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1CC6" w14:textId="18751983" w:rsidR="004C1B87" w:rsidRDefault="004C1B87" w:rsidP="004C1B87">
      <w:pPr>
        <w:pStyle w:val="Heading1"/>
        <w:rPr>
          <w:rFonts w:eastAsiaTheme="minorHAnsi"/>
          <w:bCs w:val="0"/>
          <w:lang w:val="en-US" w:eastAsia="en-US"/>
        </w:rPr>
      </w:pPr>
      <w:r w:rsidRPr="004C1B87">
        <w:rPr>
          <w:rFonts w:eastAsiaTheme="minorHAnsi"/>
          <w:bCs w:val="0"/>
          <w:lang w:val="en-US" w:eastAsia="en-US"/>
        </w:rPr>
        <w:t xml:space="preserve">Influence of teacher practices on career choice decisiveness among secondary school students in </w:t>
      </w:r>
      <w:proofErr w:type="spellStart"/>
      <w:r w:rsidRPr="004C1B87">
        <w:rPr>
          <w:rFonts w:eastAsiaTheme="minorHAnsi"/>
          <w:bCs w:val="0"/>
          <w:lang w:val="en-US" w:eastAsia="en-US"/>
        </w:rPr>
        <w:t>Gilgil</w:t>
      </w:r>
      <w:proofErr w:type="spellEnd"/>
      <w:r w:rsidRPr="004C1B87">
        <w:rPr>
          <w:rFonts w:eastAsiaTheme="minorHAnsi"/>
          <w:bCs w:val="0"/>
          <w:lang w:val="en-US" w:eastAsia="en-US"/>
        </w:rPr>
        <w:t xml:space="preserve"> Sub-County, Nakuru County.</w:t>
      </w:r>
    </w:p>
    <w:p w14:paraId="44DEA4E0" w14:textId="77777777" w:rsidR="00184347" w:rsidRDefault="00184347" w:rsidP="00C76FE0">
      <w:pPr>
        <w:spacing w:after="0" w:line="360" w:lineRule="auto"/>
        <w:jc w:val="center"/>
        <w:rPr>
          <w:rFonts w:ascii="Times New Roman" w:eastAsia="Times New Roman" w:hAnsi="Times New Roman" w:cs="Times New Roman"/>
          <w:b/>
          <w:sz w:val="24"/>
          <w:szCs w:val="24"/>
          <w:lang w:val="en-US"/>
        </w:rPr>
      </w:pPr>
    </w:p>
    <w:p w14:paraId="2C497791" w14:textId="77777777" w:rsidR="00184347" w:rsidRDefault="00184347" w:rsidP="00C76FE0">
      <w:pPr>
        <w:spacing w:after="0" w:line="360" w:lineRule="auto"/>
        <w:jc w:val="center"/>
        <w:rPr>
          <w:rFonts w:ascii="Times New Roman" w:eastAsia="Times New Roman" w:hAnsi="Times New Roman" w:cs="Times New Roman"/>
          <w:b/>
          <w:sz w:val="24"/>
          <w:szCs w:val="24"/>
          <w:lang w:val="en-US"/>
        </w:rPr>
      </w:pPr>
    </w:p>
    <w:p w14:paraId="0E592DD4" w14:textId="2C67FC5E" w:rsidR="009A7BE8" w:rsidRPr="009877ED" w:rsidRDefault="009A7BE8" w:rsidP="00C76FE0">
      <w:pPr>
        <w:spacing w:after="0" w:line="360" w:lineRule="auto"/>
        <w:jc w:val="center"/>
        <w:rPr>
          <w:rFonts w:ascii="Times New Roman" w:eastAsia="Times New Roman" w:hAnsi="Times New Roman" w:cs="Times New Roman"/>
          <w:b/>
          <w:sz w:val="24"/>
          <w:szCs w:val="24"/>
          <w:lang w:val="en-US"/>
        </w:rPr>
      </w:pPr>
      <w:r w:rsidRPr="009877ED">
        <w:rPr>
          <w:rFonts w:ascii="Times New Roman" w:eastAsia="Times New Roman" w:hAnsi="Times New Roman" w:cs="Times New Roman"/>
          <w:b/>
          <w:sz w:val="24"/>
          <w:szCs w:val="24"/>
          <w:lang w:val="en-US"/>
        </w:rPr>
        <w:t>Abstract</w:t>
      </w:r>
    </w:p>
    <w:p w14:paraId="13CB8CBA" w14:textId="0E062DB9" w:rsidR="008A4C8B" w:rsidRPr="00BC1ADD" w:rsidRDefault="008A4C8B" w:rsidP="00BC1ADD">
      <w:pPr>
        <w:spacing w:after="0" w:line="240" w:lineRule="auto"/>
        <w:jc w:val="both"/>
        <w:rPr>
          <w:rFonts w:ascii="Times New Roman" w:eastAsia="SimSun" w:hAnsi="Times New Roman" w:cs="Times New Roman"/>
          <w:sz w:val="24"/>
          <w:szCs w:val="24"/>
        </w:rPr>
      </w:pPr>
      <w:r w:rsidRPr="008A4C8B">
        <w:rPr>
          <w:rFonts w:ascii="Times New Roman" w:eastAsia="SimSun" w:hAnsi="Times New Roman" w:cs="Times New Roman"/>
          <w:sz w:val="24"/>
          <w:szCs w:val="24"/>
          <w:lang w:val="en-US"/>
        </w:rPr>
        <w:t>The growth of modern technology has made the task of matching profession choices with school needs more complicated than ever. A person's environment, personality, and level of education are just a few of the variables that have a role in the job path they ultimately ch</w:t>
      </w:r>
      <w:r>
        <w:rPr>
          <w:rFonts w:ascii="Times New Roman" w:eastAsia="SimSun" w:hAnsi="Times New Roman" w:cs="Times New Roman"/>
          <w:sz w:val="24"/>
          <w:szCs w:val="24"/>
          <w:lang w:val="en-US"/>
        </w:rPr>
        <w:t>oose. The purpose of the study wa</w:t>
      </w:r>
      <w:r w:rsidRPr="008A4C8B">
        <w:rPr>
          <w:rFonts w:ascii="Times New Roman" w:eastAsia="SimSun" w:hAnsi="Times New Roman" w:cs="Times New Roman"/>
          <w:sz w:val="24"/>
          <w:szCs w:val="24"/>
          <w:lang w:val="en-US"/>
        </w:rPr>
        <w:t xml:space="preserve">s </w:t>
      </w:r>
      <w:r w:rsidRPr="008A4C8B">
        <w:rPr>
          <w:rFonts w:ascii="Times New Roman" w:eastAsia="SimSun" w:hAnsi="Times New Roman" w:cs="Times New Roman"/>
          <w:sz w:val="24"/>
          <w:szCs w:val="24"/>
        </w:rPr>
        <w:t xml:space="preserve">to investigate </w:t>
      </w:r>
      <w:r>
        <w:rPr>
          <w:rFonts w:ascii="Times New Roman" w:eastAsia="SimSun" w:hAnsi="Times New Roman" w:cs="Times New Roman"/>
          <w:sz w:val="24"/>
          <w:szCs w:val="24"/>
        </w:rPr>
        <w:t xml:space="preserve">influence of teacher practices </w:t>
      </w:r>
      <w:r w:rsidRPr="008A4C8B">
        <w:rPr>
          <w:rFonts w:ascii="Times New Roman" w:eastAsia="SimSun" w:hAnsi="Times New Roman" w:cs="Times New Roman"/>
          <w:sz w:val="24"/>
          <w:szCs w:val="24"/>
        </w:rPr>
        <w:t xml:space="preserve">on career choice decisiveness among secondary school students in </w:t>
      </w:r>
      <w:proofErr w:type="spellStart"/>
      <w:r w:rsidRPr="008A4C8B">
        <w:rPr>
          <w:rFonts w:ascii="Times New Roman" w:eastAsia="SimSun" w:hAnsi="Times New Roman" w:cs="Times New Roman"/>
          <w:sz w:val="24"/>
          <w:szCs w:val="24"/>
        </w:rPr>
        <w:t>Gilgil</w:t>
      </w:r>
      <w:proofErr w:type="spellEnd"/>
      <w:r w:rsidRPr="008A4C8B">
        <w:rPr>
          <w:rFonts w:ascii="Times New Roman" w:eastAsia="SimSun" w:hAnsi="Times New Roman" w:cs="Times New Roman"/>
          <w:sz w:val="24"/>
          <w:szCs w:val="24"/>
        </w:rPr>
        <w:t xml:space="preserve"> Sub-County, Nakuru County. Career choices in this research were </w:t>
      </w:r>
      <w:r w:rsidR="00BC1ADD" w:rsidRPr="008A4C8B">
        <w:rPr>
          <w:rFonts w:ascii="Times New Roman" w:eastAsia="SimSun" w:hAnsi="Times New Roman" w:cs="Times New Roman"/>
          <w:sz w:val="24"/>
          <w:szCs w:val="24"/>
        </w:rPr>
        <w:t>analysed</w:t>
      </w:r>
      <w:r w:rsidRPr="008A4C8B">
        <w:rPr>
          <w:rFonts w:ascii="Times New Roman" w:eastAsia="SimSun" w:hAnsi="Times New Roman" w:cs="Times New Roman"/>
          <w:sz w:val="24"/>
          <w:szCs w:val="24"/>
        </w:rPr>
        <w:t xml:space="preserve"> through the lens of the Social Learning Theory. The research strategy for this study was a descriptive survey. The study target was 65 principals, 65 career counsellors and 3547 form four students from both public and private secondary schools in the </w:t>
      </w:r>
      <w:proofErr w:type="spellStart"/>
      <w:r w:rsidRPr="008A4C8B">
        <w:rPr>
          <w:rFonts w:ascii="Times New Roman" w:eastAsia="SimSun" w:hAnsi="Times New Roman" w:cs="Times New Roman"/>
          <w:sz w:val="24"/>
          <w:szCs w:val="24"/>
        </w:rPr>
        <w:t>Gilgil</w:t>
      </w:r>
      <w:proofErr w:type="spellEnd"/>
      <w:r w:rsidRPr="008A4C8B">
        <w:rPr>
          <w:rFonts w:ascii="Times New Roman" w:eastAsia="SimSun" w:hAnsi="Times New Roman" w:cs="Times New Roman"/>
          <w:sz w:val="24"/>
          <w:szCs w:val="24"/>
        </w:rPr>
        <w:t xml:space="preserve"> </w:t>
      </w:r>
      <w:proofErr w:type="gramStart"/>
      <w:r w:rsidRPr="008A4C8B">
        <w:rPr>
          <w:rFonts w:ascii="Times New Roman" w:eastAsia="SimSun" w:hAnsi="Times New Roman" w:cs="Times New Roman"/>
          <w:sz w:val="24"/>
          <w:szCs w:val="24"/>
        </w:rPr>
        <w:t xml:space="preserve">sub </w:t>
      </w:r>
      <w:r w:rsidR="00BC1ADD" w:rsidRPr="008A4C8B">
        <w:rPr>
          <w:rFonts w:ascii="Times New Roman" w:eastAsia="SimSun" w:hAnsi="Times New Roman" w:cs="Times New Roman"/>
          <w:sz w:val="24"/>
          <w:szCs w:val="24"/>
        </w:rPr>
        <w:t>County</w:t>
      </w:r>
      <w:proofErr w:type="gramEnd"/>
      <w:r w:rsidRPr="008A4C8B">
        <w:rPr>
          <w:rFonts w:ascii="Times New Roman" w:eastAsia="SimSun" w:hAnsi="Times New Roman" w:cs="Times New Roman"/>
          <w:sz w:val="24"/>
          <w:szCs w:val="24"/>
        </w:rPr>
        <w:t xml:space="preserve"> of Nakuru County. The researcher created questionnaires to gather data from principals, experienced instructors, and department heads. The sub county’s education ministry official, the TSC rep, and the support officer all utilized the same interview guide. The surveyor first contacted KEMU to request an introduction letter. The researcher next scheduled interviews with the selected school administrators. </w:t>
      </w:r>
      <w:r w:rsidRPr="008A4C8B">
        <w:rPr>
          <w:rFonts w:ascii="Times New Roman" w:eastAsia="SimSun" w:hAnsi="Times New Roman" w:cs="Times New Roman"/>
          <w:sz w:val="24"/>
          <w:szCs w:val="24"/>
          <w:lang w:val="en-US"/>
        </w:rPr>
        <w:t>The researcher then issued the respondents with the questionnaires for them to fill. The study used quantitative data that was obtained using questionnaires. Quantitative data obtained was carefully assessed to make sure that it was complete and any incomplete questionnaire was ruled out. After editing, the quantitative data was coded into computer software after which it was analyzed using Statistical Package for Social Sciences (SPSS 28.0). The descriptive results were obtained in the form of frequencies, mean and standard deviations after which these results were presented in the form of frequency and percentage tables, pie-charts and figure in order to make it easy to understand.  Inferential statistics was also derived with computation of Pearson’s Product Moment Correlation Coefficients so that the existing relationship between the study variables can be examined.</w:t>
      </w:r>
      <w:r w:rsidRPr="008A4C8B">
        <w:rPr>
          <w:rFonts w:ascii="Times New Roman" w:eastAsia="SimSun" w:hAnsi="Times New Roman" w:cs="Times New Roman"/>
          <w:color w:val="FFFFFF"/>
          <w:sz w:val="24"/>
          <w:szCs w:val="24"/>
          <w:lang w:val="en-US"/>
        </w:rPr>
        <w:t>”</w:t>
      </w:r>
    </w:p>
    <w:p w14:paraId="40C4E6E9" w14:textId="387AF87F" w:rsidR="009A7BE8" w:rsidRPr="009877ED" w:rsidRDefault="009A7BE8" w:rsidP="00C76FE0">
      <w:pPr>
        <w:spacing w:line="360" w:lineRule="auto"/>
        <w:jc w:val="both"/>
        <w:rPr>
          <w:rFonts w:ascii="Times New Roman" w:hAnsi="Times New Roman" w:cs="Times New Roman"/>
          <w:i/>
          <w:sz w:val="24"/>
          <w:szCs w:val="24"/>
        </w:rPr>
      </w:pPr>
      <w:r w:rsidRPr="009877ED">
        <w:rPr>
          <w:rFonts w:ascii="Times New Roman" w:hAnsi="Times New Roman" w:cs="Times New Roman"/>
          <w:i/>
          <w:sz w:val="24"/>
          <w:szCs w:val="24"/>
        </w:rPr>
        <w:t xml:space="preserve">Key Words: </w:t>
      </w:r>
      <w:r w:rsidR="00BC1ADD">
        <w:rPr>
          <w:rFonts w:ascii="Times New Roman" w:hAnsi="Times New Roman" w:cs="Times New Roman"/>
          <w:i/>
          <w:sz w:val="24"/>
          <w:szCs w:val="24"/>
        </w:rPr>
        <w:t>career choices, teacher practices, social learning theory</w:t>
      </w:r>
      <w:r w:rsidR="00970294" w:rsidRPr="009877ED">
        <w:rPr>
          <w:rFonts w:ascii="Times New Roman" w:hAnsi="Times New Roman" w:cs="Times New Roman"/>
          <w:i/>
          <w:sz w:val="24"/>
          <w:szCs w:val="24"/>
        </w:rPr>
        <w:t xml:space="preserve"> </w:t>
      </w:r>
    </w:p>
    <w:p w14:paraId="2B76782F" w14:textId="77777777" w:rsidR="00CE0821" w:rsidRPr="009877ED" w:rsidRDefault="00CE0821" w:rsidP="00C76FE0">
      <w:pPr>
        <w:spacing w:after="160" w:line="360" w:lineRule="auto"/>
        <w:jc w:val="both"/>
        <w:rPr>
          <w:rFonts w:ascii="Times New Roman" w:eastAsia="Times New Roman" w:hAnsi="Times New Roman" w:cs="Times New Roman"/>
          <w:b/>
          <w:bCs/>
          <w:sz w:val="24"/>
          <w:szCs w:val="24"/>
          <w:lang w:val="en-US"/>
        </w:rPr>
      </w:pPr>
      <w:r w:rsidRPr="009877ED">
        <w:rPr>
          <w:rFonts w:ascii="Times New Roman" w:eastAsia="Times New Roman" w:hAnsi="Times New Roman" w:cs="Times New Roman"/>
          <w:b/>
          <w:bCs/>
          <w:sz w:val="24"/>
          <w:szCs w:val="24"/>
          <w:lang w:val="en-US"/>
        </w:rPr>
        <w:br w:type="page"/>
      </w:r>
    </w:p>
    <w:p w14:paraId="5CDB6045" w14:textId="1E869107" w:rsidR="009A7BE8" w:rsidRPr="009877ED" w:rsidRDefault="009A7BE8" w:rsidP="00C76FE0">
      <w:pPr>
        <w:spacing w:after="0" w:line="360" w:lineRule="auto"/>
        <w:jc w:val="both"/>
        <w:rPr>
          <w:rFonts w:ascii="Times New Roman" w:eastAsia="Times New Roman" w:hAnsi="Times New Roman" w:cs="Times New Roman"/>
          <w:b/>
          <w:bCs/>
          <w:sz w:val="24"/>
          <w:szCs w:val="24"/>
          <w:lang w:val="en-US"/>
        </w:rPr>
      </w:pPr>
      <w:r w:rsidRPr="009877ED">
        <w:rPr>
          <w:rFonts w:ascii="Times New Roman" w:eastAsia="Times New Roman" w:hAnsi="Times New Roman" w:cs="Times New Roman"/>
          <w:b/>
          <w:bCs/>
          <w:sz w:val="24"/>
          <w:szCs w:val="24"/>
          <w:lang w:val="en-US"/>
        </w:rPr>
        <w:lastRenderedPageBreak/>
        <w:t xml:space="preserve">1.1 </w:t>
      </w:r>
      <w:r w:rsidR="00B006E4" w:rsidRPr="009877ED">
        <w:rPr>
          <w:rFonts w:ascii="Times New Roman" w:eastAsia="Times New Roman" w:hAnsi="Times New Roman" w:cs="Times New Roman"/>
          <w:b/>
          <w:bCs/>
          <w:sz w:val="24"/>
          <w:szCs w:val="24"/>
          <w:lang w:val="en-US"/>
        </w:rPr>
        <w:t>INTRODUCTION</w:t>
      </w:r>
    </w:p>
    <w:p w14:paraId="19DEF89F" w14:textId="77777777" w:rsidR="00705722"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lang w:val="en-US"/>
        </w:rPr>
        <w:t xml:space="preserve">Career choice decisiveness especially among secondary school students is an important undertaking that shape and inform their destiny in the long run. Poor Career choice decisiveness may have a long-term effect on future of the student as they find themselves careers that they struggle to complete (Priyanka &amp; Hetvi, 2018). In fact, poor career choice decisiveness has been linked to the ever-increasing rates of unemployment once secondary school students complete their respective colleges. In some incidences, parents have also contributed towards poor career choices among secondary school students because of their pressure in forcing their children to undertake careers that are not of their choice.  It then follows that career choice decisiveness is a multifaceted concept that is attributed to interplay of a set of factors (Jamba &amp; </w:t>
      </w:r>
      <w:proofErr w:type="spellStart"/>
      <w:r w:rsidRPr="00705722">
        <w:rPr>
          <w:rFonts w:ascii="Times New Roman" w:eastAsia="SimSun" w:hAnsi="Times New Roman" w:cs="Times New Roman"/>
          <w:sz w:val="24"/>
          <w:szCs w:val="24"/>
          <w:lang w:val="en-US"/>
        </w:rPr>
        <w:t>Chechi</w:t>
      </w:r>
      <w:proofErr w:type="spellEnd"/>
      <w:r w:rsidRPr="00705722">
        <w:rPr>
          <w:rFonts w:ascii="Times New Roman" w:eastAsia="SimSun" w:hAnsi="Times New Roman" w:cs="Times New Roman"/>
          <w:sz w:val="24"/>
          <w:szCs w:val="24"/>
          <w:lang w:val="en-US"/>
        </w:rPr>
        <w:t>, 2019).</w:t>
      </w:r>
    </w:p>
    <w:p w14:paraId="19F49A4B" w14:textId="77777777" w:rsidR="00705722" w:rsidRPr="00705722" w:rsidRDefault="00705722" w:rsidP="00705722">
      <w:pPr>
        <w:spacing w:after="0" w:line="360" w:lineRule="auto"/>
        <w:jc w:val="both"/>
        <w:rPr>
          <w:rFonts w:ascii="Times New Roman" w:eastAsia="SimSun" w:hAnsi="Times New Roman" w:cs="Times New Roman"/>
          <w:color w:val="222222"/>
          <w:sz w:val="24"/>
          <w:szCs w:val="24"/>
          <w:shd w:val="clear" w:color="auto" w:fill="FFFFFF"/>
          <w:lang w:val="en-US"/>
        </w:rPr>
      </w:pPr>
      <w:r w:rsidRPr="00705722">
        <w:rPr>
          <w:rFonts w:ascii="Times New Roman" w:eastAsia="SimSun" w:hAnsi="Times New Roman" w:cs="Times New Roman"/>
          <w:sz w:val="24"/>
          <w:szCs w:val="24"/>
          <w:lang w:val="en-US"/>
        </w:rPr>
        <w:t xml:space="preserve">In industrialist countries like United Kingdom and United States of America (USA), career choice decisions are determined at childhood so that when these students attain secondary school education; their career path will have already been defined. Among secondary school students in Bhutan Jamba and </w:t>
      </w:r>
      <w:proofErr w:type="spellStart"/>
      <w:r w:rsidRPr="00705722">
        <w:rPr>
          <w:rFonts w:ascii="Times New Roman" w:eastAsia="SimSun" w:hAnsi="Times New Roman" w:cs="Times New Roman"/>
          <w:sz w:val="24"/>
          <w:szCs w:val="24"/>
          <w:lang w:val="en-US"/>
        </w:rPr>
        <w:t>Chechi</w:t>
      </w:r>
      <w:proofErr w:type="spellEnd"/>
      <w:r w:rsidRPr="00705722">
        <w:rPr>
          <w:rFonts w:ascii="Times New Roman" w:eastAsia="SimSun" w:hAnsi="Times New Roman" w:cs="Times New Roman"/>
          <w:sz w:val="24"/>
          <w:szCs w:val="24"/>
          <w:lang w:val="en-US"/>
        </w:rPr>
        <w:t xml:space="preserve"> (2019), it emerged that most learners in these institutions have high level and degree of career decision making.  In Turkey, Kirdök and Harman (2018) show that students having external locus of control encounter more difficulties in </w:t>
      </w:r>
      <w:r w:rsidRPr="00705722">
        <w:rPr>
          <w:rFonts w:ascii="Times New Roman" w:eastAsia="SimSun" w:hAnsi="Times New Roman" w:cs="Times New Roman"/>
          <w:color w:val="222222"/>
          <w:sz w:val="24"/>
          <w:szCs w:val="24"/>
          <w:shd w:val="clear" w:color="auto" w:fill="FFFFFF"/>
          <w:lang w:val="en-US"/>
        </w:rPr>
        <w:t>career</w:t>
      </w:r>
      <w:r w:rsidRPr="00705722">
        <w:rPr>
          <w:rFonts w:ascii="Times New Roman" w:eastAsia="SimSun" w:hAnsi="Times New Roman" w:cs="Times New Roman"/>
          <w:sz w:val="24"/>
          <w:szCs w:val="24"/>
          <w:lang w:val="en-US"/>
        </w:rPr>
        <w:t xml:space="preserve"> choice decisiveness because of lack of the required information. </w:t>
      </w:r>
    </w:p>
    <w:p w14:paraId="57D0015E" w14:textId="77777777" w:rsidR="00705722" w:rsidRPr="00705722" w:rsidRDefault="00705722" w:rsidP="00705722">
      <w:pPr>
        <w:spacing w:after="0" w:line="360" w:lineRule="auto"/>
        <w:jc w:val="both"/>
        <w:rPr>
          <w:rFonts w:ascii="Times New Roman" w:eastAsia="SimSun" w:hAnsi="Times New Roman" w:cs="Times New Roman"/>
          <w:color w:val="212529"/>
          <w:sz w:val="24"/>
          <w:szCs w:val="24"/>
          <w:shd w:val="clear" w:color="auto" w:fill="FFFFFF"/>
          <w:lang w:val="en-US"/>
        </w:rPr>
      </w:pPr>
      <w:r w:rsidRPr="00705722">
        <w:rPr>
          <w:rFonts w:ascii="Times New Roman" w:eastAsia="SimSun" w:hAnsi="Times New Roman" w:cs="Times New Roman"/>
          <w:sz w:val="24"/>
          <w:szCs w:val="24"/>
          <w:lang w:val="en-US"/>
        </w:rPr>
        <w:t xml:space="preserve">In developing countries like Nigeria, </w:t>
      </w:r>
      <w:proofErr w:type="spellStart"/>
      <w:r w:rsidRPr="00705722">
        <w:rPr>
          <w:rFonts w:ascii="Times New Roman" w:eastAsia="SimSun" w:hAnsi="Times New Roman" w:cs="Times New Roman"/>
          <w:sz w:val="24"/>
          <w:szCs w:val="24"/>
          <w:lang w:val="en-US"/>
        </w:rPr>
        <w:t>Akpochafo</w:t>
      </w:r>
      <w:proofErr w:type="spellEnd"/>
      <w:r w:rsidRPr="00705722">
        <w:rPr>
          <w:rFonts w:ascii="Times New Roman" w:eastAsia="SimSun" w:hAnsi="Times New Roman" w:cs="Times New Roman"/>
          <w:sz w:val="24"/>
          <w:szCs w:val="24"/>
          <w:lang w:val="en-US"/>
        </w:rPr>
        <w:t xml:space="preserve"> (2020) observed that most of the high school students are confronted with difficulties in career choice decisiveness. Similar evidence in Nigeria by </w:t>
      </w:r>
      <w:proofErr w:type="spellStart"/>
      <w:r w:rsidRPr="00705722">
        <w:rPr>
          <w:rFonts w:ascii="Times New Roman" w:eastAsia="SimSun" w:hAnsi="Times New Roman" w:cs="Times New Roman"/>
          <w:sz w:val="24"/>
          <w:szCs w:val="24"/>
          <w:lang w:val="en-US"/>
        </w:rPr>
        <w:t>Eremie</w:t>
      </w:r>
      <w:proofErr w:type="spellEnd"/>
      <w:r w:rsidRPr="00705722">
        <w:rPr>
          <w:rFonts w:ascii="Times New Roman" w:eastAsia="SimSun" w:hAnsi="Times New Roman" w:cs="Times New Roman"/>
          <w:sz w:val="24"/>
          <w:szCs w:val="24"/>
          <w:lang w:val="en-US"/>
        </w:rPr>
        <w:t xml:space="preserve"> and </w:t>
      </w:r>
      <w:proofErr w:type="spellStart"/>
      <w:r w:rsidRPr="00705722">
        <w:rPr>
          <w:rFonts w:ascii="Times New Roman" w:eastAsia="SimSun" w:hAnsi="Times New Roman" w:cs="Times New Roman"/>
          <w:sz w:val="24"/>
          <w:szCs w:val="24"/>
          <w:lang w:val="en-US"/>
        </w:rPr>
        <w:t>Okwulehie</w:t>
      </w:r>
      <w:proofErr w:type="spellEnd"/>
      <w:r w:rsidRPr="00705722">
        <w:rPr>
          <w:rFonts w:ascii="Times New Roman" w:eastAsia="SimSun" w:hAnsi="Times New Roman" w:cs="Times New Roman"/>
          <w:sz w:val="24"/>
          <w:szCs w:val="24"/>
          <w:lang w:val="en-US"/>
        </w:rPr>
        <w:t xml:space="preserve"> (2018) were that teachers and parents have a strong responsibility of preparing students for career awareness at their early age. In Kenya, Muturi and </w:t>
      </w:r>
      <w:proofErr w:type="spellStart"/>
      <w:r w:rsidRPr="00705722">
        <w:rPr>
          <w:rFonts w:ascii="Times New Roman" w:eastAsia="SimSun" w:hAnsi="Times New Roman" w:cs="Times New Roman"/>
          <w:sz w:val="24"/>
          <w:szCs w:val="24"/>
          <w:lang w:val="en-US"/>
        </w:rPr>
        <w:t>Kinai</w:t>
      </w:r>
      <w:proofErr w:type="spellEnd"/>
      <w:r w:rsidRPr="00705722">
        <w:rPr>
          <w:rFonts w:ascii="Times New Roman" w:eastAsia="SimSun" w:hAnsi="Times New Roman" w:cs="Times New Roman"/>
          <w:sz w:val="24"/>
          <w:szCs w:val="24"/>
          <w:lang w:val="en-US"/>
        </w:rPr>
        <w:t xml:space="preserve"> (2022) shared that emotional support; instrumental assistance and teacher support are positively linked with career choice decisiveness among secondary school students. In survey that was conducted in Kiambu by   Ngunjiri (2021), it emerged that 64% of students who were sampled expressed uncertainty concerning their career choices while, 87% of the teachers were established to be inadequately prepared for effective running of career guidance programs in institutions.</w:t>
      </w:r>
      <w:r w:rsidRPr="00705722">
        <w:rPr>
          <w:rFonts w:ascii="Times New Roman" w:eastAsia="SimSun" w:hAnsi="Times New Roman" w:cs="Times New Roman"/>
          <w:color w:val="212529"/>
          <w:sz w:val="24"/>
          <w:szCs w:val="24"/>
          <w:shd w:val="clear" w:color="auto" w:fill="FFFFFF"/>
          <w:lang w:val="en-US"/>
        </w:rPr>
        <w:t xml:space="preserve"> </w:t>
      </w:r>
    </w:p>
    <w:p w14:paraId="61D14FFC" w14:textId="77777777" w:rsidR="00705722"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lang w:val="en-US"/>
        </w:rPr>
        <w:t xml:space="preserve">Career choice decisiveness concerns the decision made by students in respect to the future jobs they would undertake when they have completed college education. </w:t>
      </w:r>
      <w:r w:rsidRPr="00705722">
        <w:rPr>
          <w:rFonts w:ascii="Times New Roman" w:eastAsia="SimSun" w:hAnsi="Times New Roman" w:cs="Times New Roman"/>
          <w:sz w:val="24"/>
          <w:szCs w:val="24"/>
          <w:shd w:val="clear" w:color="auto" w:fill="FFFFFF"/>
          <w:lang w:val="en-US"/>
        </w:rPr>
        <w:t xml:space="preserve">Kirdök and Harman, (2018) </w:t>
      </w:r>
      <w:r w:rsidRPr="00705722">
        <w:rPr>
          <w:rFonts w:ascii="Times New Roman" w:eastAsia="SimSun" w:hAnsi="Times New Roman" w:cs="Times New Roman"/>
          <w:sz w:val="24"/>
          <w:szCs w:val="24"/>
          <w:lang w:val="en-US"/>
        </w:rPr>
        <w:t xml:space="preserve">defines Career choice decisiveness as the extent of certainty in deciding which job role a student is motivated to undertake in future. The definition of career choice decisiveness by </w:t>
      </w:r>
      <w:proofErr w:type="spellStart"/>
      <w:r w:rsidRPr="00705722">
        <w:rPr>
          <w:rFonts w:ascii="Times New Roman" w:eastAsia="SimSun" w:hAnsi="Times New Roman" w:cs="Times New Roman"/>
          <w:sz w:val="24"/>
          <w:szCs w:val="24"/>
          <w:lang w:val="en-US"/>
        </w:rPr>
        <w:t>TSubhrajyoti</w:t>
      </w:r>
      <w:proofErr w:type="spellEnd"/>
      <w:r w:rsidRPr="00705722">
        <w:rPr>
          <w:rFonts w:ascii="Times New Roman" w:eastAsia="SimSun" w:hAnsi="Times New Roman" w:cs="Times New Roman"/>
          <w:sz w:val="24"/>
          <w:szCs w:val="24"/>
          <w:lang w:val="en-US"/>
        </w:rPr>
        <w:t xml:space="preserve"> and Vihar (2023) is that it refers to capability of a student to make decide on future career he/she </w:t>
      </w:r>
      <w:r w:rsidRPr="00705722">
        <w:rPr>
          <w:rFonts w:ascii="Times New Roman" w:eastAsia="SimSun" w:hAnsi="Times New Roman" w:cs="Times New Roman"/>
          <w:sz w:val="24"/>
          <w:szCs w:val="24"/>
          <w:lang w:val="en-US"/>
        </w:rPr>
        <w:lastRenderedPageBreak/>
        <w:t xml:space="preserve">intends to undertake. </w:t>
      </w:r>
      <w:proofErr w:type="spellStart"/>
      <w:r w:rsidRPr="00705722">
        <w:rPr>
          <w:rFonts w:ascii="Times New Roman" w:eastAsia="SimSun" w:hAnsi="Times New Roman" w:cs="Times New Roman"/>
          <w:sz w:val="24"/>
          <w:szCs w:val="24"/>
          <w:lang w:val="en-US"/>
        </w:rPr>
        <w:t>Akpochafo</w:t>
      </w:r>
      <w:proofErr w:type="spellEnd"/>
      <w:r w:rsidRPr="00705722">
        <w:rPr>
          <w:rFonts w:ascii="Times New Roman" w:eastAsia="SimSun" w:hAnsi="Times New Roman" w:cs="Times New Roman"/>
          <w:sz w:val="24"/>
          <w:szCs w:val="24"/>
          <w:lang w:val="en-US"/>
        </w:rPr>
        <w:t xml:space="preserve"> (2020) shared that secondary school students should not be under any pressure to undertake a given career in future which is not aligned with their interests and hobbies.  Career choice decisiveness will be understood in this research as participants' levels of confidence in, and competence with respect to, making such choices. </w:t>
      </w:r>
    </w:p>
    <w:p w14:paraId="35F65269" w14:textId="77777777" w:rsidR="00705722"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lang w:val="en-US"/>
        </w:rPr>
        <w:t xml:space="preserve">When it comes to helping their pupils make a firm decision about their futures, teachers play a crucial role, particularly in the secondary school setting.  According to </w:t>
      </w:r>
      <w:r w:rsidRPr="00705722">
        <w:rPr>
          <w:rFonts w:ascii="Times New Roman" w:eastAsia="SimSun" w:hAnsi="Times New Roman" w:cs="Times New Roman"/>
          <w:sz w:val="24"/>
          <w:szCs w:val="24"/>
          <w:shd w:val="clear" w:color="auto" w:fill="FFFFFF"/>
          <w:lang w:val="en-US"/>
        </w:rPr>
        <w:t>Kirdök and Harman (2018)</w:t>
      </w:r>
      <w:r w:rsidRPr="00705722">
        <w:rPr>
          <w:rFonts w:ascii="Times New Roman" w:eastAsia="SimSun" w:hAnsi="Times New Roman" w:cs="Times New Roman"/>
          <w:sz w:val="24"/>
          <w:szCs w:val="24"/>
          <w:lang w:val="en-US"/>
        </w:rPr>
        <w:t>, the role of teachers in career choice decisiveness especially among secondary school students is shaped and determined by their practices, providing guidance on subject selection while also offering counseling services although they encounter a number of barriers in carrying out all these. Providing motivation to teachers, organizing for trips and career talks provided by teachers are important teacher practices that have potential of ensuring effective career choice decisiveness (</w:t>
      </w:r>
      <w:proofErr w:type="spellStart"/>
      <w:r w:rsidRPr="00705722">
        <w:rPr>
          <w:rFonts w:ascii="Times New Roman" w:eastAsia="SimSun" w:hAnsi="Times New Roman" w:cs="Times New Roman"/>
          <w:sz w:val="24"/>
          <w:szCs w:val="24"/>
          <w:lang w:val="en-US"/>
        </w:rPr>
        <w:t>Eremie</w:t>
      </w:r>
      <w:proofErr w:type="spellEnd"/>
      <w:r w:rsidRPr="00705722">
        <w:rPr>
          <w:rFonts w:ascii="Times New Roman" w:eastAsia="SimSun" w:hAnsi="Times New Roman" w:cs="Times New Roman"/>
          <w:sz w:val="24"/>
          <w:szCs w:val="24"/>
          <w:lang w:val="en-US"/>
        </w:rPr>
        <w:t xml:space="preserve"> &amp; </w:t>
      </w:r>
      <w:proofErr w:type="spellStart"/>
      <w:r w:rsidRPr="00705722">
        <w:rPr>
          <w:rFonts w:ascii="Times New Roman" w:eastAsia="SimSun" w:hAnsi="Times New Roman" w:cs="Times New Roman"/>
          <w:sz w:val="24"/>
          <w:szCs w:val="24"/>
          <w:lang w:val="en-US"/>
        </w:rPr>
        <w:t>Okwulehie</w:t>
      </w:r>
      <w:proofErr w:type="spellEnd"/>
      <w:r w:rsidRPr="00705722">
        <w:rPr>
          <w:rFonts w:ascii="Times New Roman" w:eastAsia="SimSun" w:hAnsi="Times New Roman" w:cs="Times New Roman"/>
          <w:sz w:val="24"/>
          <w:szCs w:val="24"/>
          <w:lang w:val="en-US"/>
        </w:rPr>
        <w:t xml:space="preserve">, 2018). </w:t>
      </w:r>
    </w:p>
    <w:p w14:paraId="45C45425" w14:textId="551E96A4" w:rsidR="00705722" w:rsidRPr="00705722" w:rsidRDefault="00705722" w:rsidP="00705722">
      <w:pPr>
        <w:spacing w:after="0" w:line="360" w:lineRule="auto"/>
        <w:jc w:val="both"/>
        <w:rPr>
          <w:rFonts w:ascii="Times New Roman" w:eastAsia="SimSun" w:hAnsi="Times New Roman" w:cs="Times New Roman"/>
          <w:sz w:val="24"/>
          <w:szCs w:val="24"/>
        </w:rPr>
      </w:pPr>
      <w:r w:rsidRPr="00705722">
        <w:rPr>
          <w:rFonts w:ascii="Times New Roman" w:eastAsia="SimSun" w:hAnsi="Times New Roman" w:cs="Times New Roman"/>
          <w:sz w:val="24"/>
          <w:szCs w:val="24"/>
          <w:lang w:val="en-US"/>
        </w:rPr>
        <w:t xml:space="preserve">Adequate learning resources, attained and class mean scores obtained by students are some of the issues that are considered in schools to allow students select given subjects which in turn would have an effect on their career choice decisiveness </w:t>
      </w:r>
      <w:r w:rsidRPr="00705722">
        <w:rPr>
          <w:rFonts w:ascii="Times New Roman" w:eastAsia="SimSun" w:hAnsi="Times New Roman" w:cs="Times New Roman"/>
          <w:sz w:val="24"/>
          <w:szCs w:val="24"/>
          <w:shd w:val="clear" w:color="FFFFFF" w:fill="FFFFFF"/>
          <w:lang w:val="en-US"/>
        </w:rPr>
        <w:t>(</w:t>
      </w:r>
      <w:r w:rsidRPr="00705722">
        <w:rPr>
          <w:rFonts w:ascii="Times New Roman" w:eastAsia="SimSun" w:hAnsi="Times New Roman" w:cs="Times New Roman"/>
          <w:bCs/>
          <w:sz w:val="24"/>
          <w:szCs w:val="24"/>
          <w:shd w:val="clear" w:color="FFFFFF" w:fill="FFFFFF"/>
          <w:lang w:val="en-US"/>
        </w:rPr>
        <w:t xml:space="preserve">Muturi &amp; </w:t>
      </w:r>
      <w:proofErr w:type="spellStart"/>
      <w:r w:rsidRPr="00705722">
        <w:rPr>
          <w:rFonts w:ascii="Times New Roman" w:eastAsia="SimSun" w:hAnsi="Times New Roman" w:cs="Times New Roman"/>
          <w:bCs/>
          <w:sz w:val="24"/>
          <w:szCs w:val="24"/>
          <w:shd w:val="clear" w:color="FFFFFF" w:fill="FFFFFF"/>
          <w:lang w:val="en-US"/>
        </w:rPr>
        <w:t>Kinai</w:t>
      </w:r>
      <w:proofErr w:type="spellEnd"/>
      <w:r w:rsidRPr="00705722">
        <w:rPr>
          <w:rFonts w:ascii="Times New Roman" w:eastAsia="SimSun" w:hAnsi="Times New Roman" w:cs="Times New Roman"/>
          <w:bCs/>
          <w:sz w:val="24"/>
          <w:szCs w:val="24"/>
          <w:shd w:val="clear" w:color="FFFFFF" w:fill="FFFFFF"/>
          <w:lang w:val="en-US"/>
        </w:rPr>
        <w:t>, 2022)</w:t>
      </w:r>
      <w:r w:rsidRPr="00705722">
        <w:rPr>
          <w:rFonts w:ascii="Times New Roman" w:eastAsia="SimSun" w:hAnsi="Times New Roman" w:cs="Times New Roman"/>
          <w:sz w:val="24"/>
          <w:szCs w:val="24"/>
          <w:shd w:val="clear" w:color="FFFFFF" w:fill="FFFFFF"/>
          <w:lang w:val="en-US"/>
        </w:rPr>
        <w:t xml:space="preserve">. </w:t>
      </w:r>
      <w:r w:rsidRPr="00705722">
        <w:rPr>
          <w:rFonts w:ascii="Times New Roman" w:eastAsia="SimSun" w:hAnsi="Times New Roman" w:cs="Times New Roman"/>
          <w:sz w:val="24"/>
          <w:szCs w:val="24"/>
        </w:rPr>
        <w:t>Counselling programs can facilitate job shadowing and role modelling that in turn affects how students make career choice decisions in future. However, Osoro, Amundson, and Borgen (2021) found that 85 percent of secondary school educators lacked the necessary training to provide career counselling to their pupils.</w:t>
      </w:r>
    </w:p>
    <w:p w14:paraId="17DCECA8" w14:textId="77777777" w:rsidR="00705722"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rPr>
        <w:t>Effective career choice</w:t>
      </w:r>
      <w:r w:rsidRPr="00705722">
        <w:rPr>
          <w:rFonts w:ascii="Times New Roman" w:eastAsia="SimSun" w:hAnsi="Times New Roman" w:cs="Times New Roman"/>
          <w:sz w:val="24"/>
          <w:szCs w:val="24"/>
          <w:lang w:val="en-US"/>
        </w:rPr>
        <w:t xml:space="preserve"> decisiveness is strongly hinged on efforts that are made by secondary schools and all concerned stakeholders to overcome barriers like limited professional skills and poor personality among teachers as well as heavy workloads. Koech et al. (2016) discovered that students are influenced by their high school teachers, mentors, and role models while deciding on a professional path. According to Mwangi's (2020) research on secondary school education and job aspirations, instructors often have too many pupils and too little time to provide in-depth career education. Sixty-five percent of the students surveyed showed no signs of vocational direction, however around half of them aspired to attend a public university despite their uncertainty. </w:t>
      </w:r>
    </w:p>
    <w:p w14:paraId="05F10B24" w14:textId="7A4A8857" w:rsidR="00BC1ADD" w:rsidRPr="00705722" w:rsidRDefault="00705722" w:rsidP="00705722">
      <w:pPr>
        <w:spacing w:after="0" w:line="360" w:lineRule="auto"/>
        <w:jc w:val="both"/>
        <w:rPr>
          <w:rFonts w:ascii="Times New Roman" w:eastAsia="SimSun" w:hAnsi="Times New Roman" w:cs="Times New Roman"/>
          <w:sz w:val="24"/>
          <w:szCs w:val="24"/>
          <w:lang w:val="en-US"/>
        </w:rPr>
      </w:pPr>
      <w:proofErr w:type="spellStart"/>
      <w:r w:rsidRPr="00705722">
        <w:rPr>
          <w:rFonts w:ascii="Times New Roman" w:eastAsia="SimSun" w:hAnsi="Times New Roman" w:cs="Times New Roman"/>
          <w:sz w:val="24"/>
          <w:szCs w:val="24"/>
          <w:lang w:val="en-US"/>
        </w:rPr>
        <w:t>Gilgil</w:t>
      </w:r>
      <w:proofErr w:type="spellEnd"/>
      <w:r w:rsidRPr="00705722">
        <w:rPr>
          <w:rFonts w:ascii="Times New Roman" w:eastAsia="SimSun" w:hAnsi="Times New Roman" w:cs="Times New Roman"/>
          <w:sz w:val="24"/>
          <w:szCs w:val="24"/>
          <w:lang w:val="en-US"/>
        </w:rPr>
        <w:t xml:space="preserve"> Sub County is among 11 sub counties in the larger Nakuru County in Kenya. Statistics from the Ministry of Education indicate that </w:t>
      </w:r>
      <w:proofErr w:type="spellStart"/>
      <w:r w:rsidRPr="00705722">
        <w:rPr>
          <w:rFonts w:ascii="Times New Roman" w:eastAsia="SimSun" w:hAnsi="Times New Roman" w:cs="Times New Roman"/>
          <w:sz w:val="24"/>
          <w:szCs w:val="24"/>
          <w:lang w:val="en-US"/>
        </w:rPr>
        <w:t>Gilgil</w:t>
      </w:r>
      <w:proofErr w:type="spellEnd"/>
      <w:r w:rsidRPr="00705722">
        <w:rPr>
          <w:rFonts w:ascii="Times New Roman" w:eastAsia="SimSun" w:hAnsi="Times New Roman" w:cs="Times New Roman"/>
          <w:sz w:val="24"/>
          <w:szCs w:val="24"/>
          <w:lang w:val="en-US"/>
        </w:rPr>
        <w:t xml:space="preserve"> Sub County has 65 secondary schools. These schools face a number of challenges including limited counseling programs and   most of the teachers have limited training to provide expert-led guiding and counseling services (Ngugi, 2019).  Financial </w:t>
      </w:r>
      <w:r w:rsidRPr="00705722">
        <w:rPr>
          <w:rFonts w:ascii="Times New Roman" w:eastAsia="SimSun" w:hAnsi="Times New Roman" w:cs="Times New Roman"/>
          <w:sz w:val="24"/>
          <w:szCs w:val="24"/>
          <w:lang w:val="en-US"/>
        </w:rPr>
        <w:lastRenderedPageBreak/>
        <w:t>challenges demonstrated by limited funds has made it hard for these schools to invest in workshops for teachers to gain more information on market driven courses (Jackson, 2020)</w:t>
      </w:r>
      <w:r w:rsidRPr="00705722">
        <w:rPr>
          <w:rFonts w:ascii="Times New Roman" w:eastAsia="SimSun" w:hAnsi="Times New Roman" w:cs="Times New Roman"/>
          <w:color w:val="222222"/>
          <w:sz w:val="24"/>
          <w:szCs w:val="24"/>
          <w:shd w:val="clear" w:color="auto" w:fill="FFFFFF"/>
          <w:lang w:val="en-US"/>
        </w:rPr>
        <w:t xml:space="preserve"> </w:t>
      </w:r>
      <w:r w:rsidRPr="00705722">
        <w:rPr>
          <w:rFonts w:ascii="Times New Roman" w:eastAsia="SimSun" w:hAnsi="Times New Roman" w:cs="Times New Roman"/>
          <w:sz w:val="24"/>
          <w:szCs w:val="24"/>
          <w:lang w:val="en-US"/>
        </w:rPr>
        <w:t xml:space="preserve">so that the same information can be shared with students to inform their career choices. Against these challenges, it is imperative to establish the teachers’ role on career choice decisiveness among high school students in </w:t>
      </w:r>
      <w:proofErr w:type="spellStart"/>
      <w:r w:rsidRPr="00705722">
        <w:rPr>
          <w:rFonts w:ascii="Times New Roman" w:eastAsia="SimSun" w:hAnsi="Times New Roman" w:cs="Times New Roman"/>
          <w:sz w:val="24"/>
          <w:szCs w:val="24"/>
          <w:lang w:val="en-US"/>
        </w:rPr>
        <w:t>Gilgil</w:t>
      </w:r>
      <w:proofErr w:type="spellEnd"/>
      <w:r w:rsidRPr="00705722">
        <w:rPr>
          <w:rFonts w:ascii="Times New Roman" w:eastAsia="SimSun" w:hAnsi="Times New Roman" w:cs="Times New Roman"/>
          <w:sz w:val="24"/>
          <w:szCs w:val="24"/>
          <w:lang w:val="en-US"/>
        </w:rPr>
        <w:t xml:space="preserve"> Sub-County, Nakuru County.</w:t>
      </w:r>
    </w:p>
    <w:p w14:paraId="33A67F81" w14:textId="769DADEF" w:rsidR="00F0617B" w:rsidRPr="009877ED" w:rsidRDefault="00F0617B" w:rsidP="00C76FE0">
      <w:pPr>
        <w:autoSpaceDE w:val="0"/>
        <w:autoSpaceDN w:val="0"/>
        <w:adjustRightInd w:val="0"/>
        <w:spacing w:before="240" w:after="0" w:line="360" w:lineRule="auto"/>
        <w:jc w:val="both"/>
        <w:rPr>
          <w:rFonts w:ascii="Times New Roman" w:hAnsi="Times New Roman" w:cs="Times New Roman"/>
          <w:sz w:val="24"/>
          <w:szCs w:val="24"/>
        </w:rPr>
      </w:pPr>
      <w:r w:rsidRPr="009877ED">
        <w:rPr>
          <w:rFonts w:ascii="Times New Roman" w:hAnsi="Times New Roman" w:cs="Times New Roman"/>
          <w:b/>
          <w:bCs/>
          <w:sz w:val="24"/>
          <w:szCs w:val="24"/>
        </w:rPr>
        <w:t xml:space="preserve">1.2 Statement of the Problem </w:t>
      </w:r>
    </w:p>
    <w:p w14:paraId="15A5D2B6" w14:textId="77777777" w:rsidR="00705722" w:rsidRPr="00705722" w:rsidRDefault="00705722" w:rsidP="00705722">
      <w:pPr>
        <w:spacing w:after="0" w:line="360" w:lineRule="auto"/>
        <w:jc w:val="both"/>
        <w:rPr>
          <w:rFonts w:ascii="Times New Roman" w:eastAsia="SimSun" w:hAnsi="Times New Roman" w:cs="Times New Roman"/>
          <w:sz w:val="24"/>
          <w:szCs w:val="24"/>
        </w:rPr>
      </w:pPr>
      <w:r w:rsidRPr="00705722">
        <w:rPr>
          <w:rFonts w:ascii="Times New Roman" w:eastAsia="SimSun" w:hAnsi="Times New Roman" w:cs="Times New Roman"/>
          <w:sz w:val="24"/>
          <w:szCs w:val="24"/>
        </w:rPr>
        <w:t>Many people in the field of education have expressed worry about the lack of career certainty among high school pupils (</w:t>
      </w:r>
      <w:r w:rsidRPr="00705722">
        <w:rPr>
          <w:rFonts w:ascii="Times New Roman" w:eastAsia="SimSun" w:hAnsi="Times New Roman" w:cs="Times New Roman"/>
          <w:sz w:val="24"/>
          <w:szCs w:val="24"/>
          <w:shd w:val="clear" w:color="auto" w:fill="FFFFFF"/>
          <w:lang w:val="en-US"/>
        </w:rPr>
        <w:t>Kirdök &amp; Harman, 2018)</w:t>
      </w:r>
      <w:r w:rsidRPr="00705722">
        <w:rPr>
          <w:rFonts w:ascii="Times New Roman" w:eastAsia="SimSun" w:hAnsi="Times New Roman" w:cs="Times New Roman"/>
          <w:sz w:val="24"/>
          <w:szCs w:val="24"/>
        </w:rPr>
        <w:t>. Poor career choices at high school level have been one of the factors contributing towards unemployment among youths after completion of their colleges in Kenya (</w:t>
      </w:r>
      <w:r w:rsidRPr="00705722">
        <w:rPr>
          <w:rFonts w:ascii="Times New Roman" w:eastAsia="SimSun" w:hAnsi="Times New Roman" w:cs="Times New Roman"/>
          <w:sz w:val="24"/>
          <w:szCs w:val="24"/>
          <w:lang w:val="en-US"/>
        </w:rPr>
        <w:t>Ngunjiri, 2021)</w:t>
      </w:r>
      <w:r w:rsidRPr="00705722">
        <w:rPr>
          <w:rFonts w:ascii="Times New Roman" w:eastAsia="SimSun" w:hAnsi="Times New Roman" w:cs="Times New Roman"/>
          <w:sz w:val="24"/>
          <w:szCs w:val="24"/>
        </w:rPr>
        <w:t xml:space="preserve">. Despite raising several concerns, little attention has been demonstrated to resolve this challenge. Secondary schools in </w:t>
      </w:r>
      <w:proofErr w:type="spellStart"/>
      <w:r w:rsidRPr="00705722">
        <w:rPr>
          <w:rFonts w:ascii="Times New Roman" w:eastAsia="SimSun" w:hAnsi="Times New Roman" w:cs="Times New Roman"/>
          <w:sz w:val="24"/>
          <w:szCs w:val="24"/>
        </w:rPr>
        <w:t>Gilgil</w:t>
      </w:r>
      <w:proofErr w:type="spellEnd"/>
      <w:r w:rsidRPr="00705722">
        <w:rPr>
          <w:rFonts w:ascii="Times New Roman" w:eastAsia="SimSun" w:hAnsi="Times New Roman" w:cs="Times New Roman"/>
          <w:sz w:val="24"/>
          <w:szCs w:val="24"/>
        </w:rPr>
        <w:t xml:space="preserve"> Sub-County have experienced challenges like limited training among teachers on modern career guidance methods and low level of awareness on the current market driven courses which they can impart to students (</w:t>
      </w:r>
      <w:proofErr w:type="spellStart"/>
      <w:r w:rsidRPr="00705722">
        <w:rPr>
          <w:rFonts w:ascii="Times New Roman" w:eastAsia="SimSun" w:hAnsi="Times New Roman" w:cs="Times New Roman"/>
          <w:sz w:val="24"/>
          <w:szCs w:val="24"/>
        </w:rPr>
        <w:t>Naisianoi</w:t>
      </w:r>
      <w:proofErr w:type="spellEnd"/>
      <w:r w:rsidRPr="00705722">
        <w:rPr>
          <w:rFonts w:ascii="Times New Roman" w:eastAsia="SimSun" w:hAnsi="Times New Roman" w:cs="Times New Roman"/>
          <w:sz w:val="24"/>
          <w:szCs w:val="24"/>
        </w:rPr>
        <w:t xml:space="preserve">, 2020). Teachers have an important role in enhancing effective career choice decisiveness, yet this not been evident in secondary schools in </w:t>
      </w:r>
      <w:proofErr w:type="spellStart"/>
      <w:r w:rsidRPr="00705722">
        <w:rPr>
          <w:rFonts w:ascii="Times New Roman" w:eastAsia="SimSun" w:hAnsi="Times New Roman" w:cs="Times New Roman"/>
          <w:sz w:val="24"/>
          <w:szCs w:val="24"/>
        </w:rPr>
        <w:t>Gilgil</w:t>
      </w:r>
      <w:proofErr w:type="spellEnd"/>
      <w:r w:rsidRPr="00705722">
        <w:rPr>
          <w:rFonts w:ascii="Times New Roman" w:eastAsia="SimSun" w:hAnsi="Times New Roman" w:cs="Times New Roman"/>
          <w:sz w:val="24"/>
          <w:szCs w:val="24"/>
        </w:rPr>
        <w:t xml:space="preserve"> Sub-County. </w:t>
      </w:r>
    </w:p>
    <w:p w14:paraId="15913B6E" w14:textId="77777777" w:rsidR="00705722"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rPr>
        <w:t xml:space="preserve">The available studies include Kirdök and Harman (2018) focused on difficulties that secondary school students go through when making career decisions.  The findings were that </w:t>
      </w:r>
      <w:r w:rsidRPr="00705722">
        <w:rPr>
          <w:rFonts w:ascii="Times New Roman" w:eastAsia="SimSun" w:hAnsi="Times New Roman" w:cs="Times New Roman"/>
          <w:sz w:val="24"/>
          <w:szCs w:val="24"/>
          <w:lang w:val="en-US"/>
        </w:rPr>
        <w:t xml:space="preserve">students having external locus of control encounter more difficulties in </w:t>
      </w:r>
      <w:r w:rsidRPr="00705722">
        <w:rPr>
          <w:rFonts w:ascii="Times New Roman" w:eastAsia="SimSun" w:hAnsi="Times New Roman" w:cs="Times New Roman"/>
          <w:color w:val="222222"/>
          <w:sz w:val="24"/>
          <w:szCs w:val="24"/>
          <w:shd w:val="clear" w:color="auto" w:fill="FFFFFF"/>
          <w:lang w:val="en-US"/>
        </w:rPr>
        <w:t>career</w:t>
      </w:r>
      <w:r w:rsidRPr="00705722">
        <w:rPr>
          <w:rFonts w:ascii="Times New Roman" w:eastAsia="SimSun" w:hAnsi="Times New Roman" w:cs="Times New Roman"/>
          <w:sz w:val="24"/>
          <w:szCs w:val="24"/>
          <w:lang w:val="en-US"/>
        </w:rPr>
        <w:t xml:space="preserve"> choice decisiveness because of lack of the required information. However, this study was done in Turkey and not in Kenya. The study conducted in Nigeria by </w:t>
      </w:r>
      <w:proofErr w:type="spellStart"/>
      <w:r w:rsidRPr="00705722">
        <w:rPr>
          <w:rFonts w:ascii="Times New Roman" w:eastAsia="SimSun" w:hAnsi="Times New Roman" w:cs="Times New Roman"/>
          <w:sz w:val="24"/>
          <w:szCs w:val="24"/>
          <w:lang w:val="en-US"/>
        </w:rPr>
        <w:t>Akpochafo</w:t>
      </w:r>
      <w:proofErr w:type="spellEnd"/>
      <w:r w:rsidRPr="00705722">
        <w:rPr>
          <w:rFonts w:ascii="Times New Roman" w:eastAsia="SimSun" w:hAnsi="Times New Roman" w:cs="Times New Roman"/>
          <w:sz w:val="24"/>
          <w:szCs w:val="24"/>
          <w:lang w:val="en-US"/>
        </w:rPr>
        <w:t xml:space="preserve"> (2020) was an analysis of the difficultness encountered by secondary students while making career decisions. It emerged that most of the secondary school students are confronted with difficulties in career choice decisiveness. This study did not address the role that teachers have in resolving these difficulties that secondary school students go through in their career decisions. The study conducted by Ngunjiri (2021) was an analysis of decisiveness in career choices among students in secondary schools in Kiambu. The findings were that 64% of students who were sampled expressed uncertainty concerning their career choices while, 87% of the teachers were established to be inadequately prepared for effective running of career guidance programs in institutions. The gap by this study is that it was conducted in Kiambu and the role of teachers unexplored. </w:t>
      </w:r>
    </w:p>
    <w:p w14:paraId="7FA19DFC" w14:textId="77777777" w:rsidR="00705722" w:rsidRPr="00705722" w:rsidRDefault="00705722" w:rsidP="00705722">
      <w:pPr>
        <w:spacing w:after="0" w:line="360" w:lineRule="auto"/>
        <w:jc w:val="both"/>
        <w:rPr>
          <w:rFonts w:ascii="Times New Roman" w:eastAsia="SimSun" w:hAnsi="Times New Roman" w:cs="Times New Roman"/>
          <w:sz w:val="24"/>
          <w:szCs w:val="24"/>
          <w:lang w:val="en-US"/>
        </w:rPr>
      </w:pPr>
      <w:r w:rsidRPr="00705722">
        <w:rPr>
          <w:rFonts w:ascii="Times New Roman" w:eastAsia="SimSun" w:hAnsi="Times New Roman" w:cs="Times New Roman"/>
          <w:sz w:val="24"/>
          <w:szCs w:val="24"/>
          <w:lang w:val="en-US"/>
        </w:rPr>
        <w:t xml:space="preserve">Based on the aforementioned gaps and the stated challenges facing secondary schools in Kenya and </w:t>
      </w:r>
      <w:proofErr w:type="spellStart"/>
      <w:r w:rsidRPr="00705722">
        <w:rPr>
          <w:rFonts w:ascii="Times New Roman" w:eastAsia="SimSun" w:hAnsi="Times New Roman" w:cs="Times New Roman"/>
          <w:sz w:val="24"/>
          <w:szCs w:val="24"/>
        </w:rPr>
        <w:t>Gilgil</w:t>
      </w:r>
      <w:proofErr w:type="spellEnd"/>
      <w:r w:rsidRPr="00705722">
        <w:rPr>
          <w:rFonts w:ascii="Times New Roman" w:eastAsia="SimSun" w:hAnsi="Times New Roman" w:cs="Times New Roman"/>
          <w:sz w:val="24"/>
          <w:szCs w:val="24"/>
        </w:rPr>
        <w:t xml:space="preserve"> Sub-County at large, this study seeks to establish the influence of teachers’ role on </w:t>
      </w:r>
      <w:r w:rsidRPr="00705722">
        <w:rPr>
          <w:rFonts w:ascii="Times New Roman" w:eastAsia="SimSun" w:hAnsi="Times New Roman" w:cs="Times New Roman"/>
          <w:sz w:val="24"/>
          <w:szCs w:val="24"/>
        </w:rPr>
        <w:lastRenderedPageBreak/>
        <w:t xml:space="preserve">career choice decisiveness among secondary school students in </w:t>
      </w:r>
      <w:proofErr w:type="spellStart"/>
      <w:r w:rsidRPr="00705722">
        <w:rPr>
          <w:rFonts w:ascii="Times New Roman" w:eastAsia="SimSun" w:hAnsi="Times New Roman" w:cs="Times New Roman"/>
          <w:sz w:val="24"/>
          <w:szCs w:val="24"/>
        </w:rPr>
        <w:t>Gilgil</w:t>
      </w:r>
      <w:proofErr w:type="spellEnd"/>
      <w:r w:rsidRPr="00705722">
        <w:rPr>
          <w:rFonts w:ascii="Times New Roman" w:eastAsia="SimSun" w:hAnsi="Times New Roman" w:cs="Times New Roman"/>
          <w:sz w:val="24"/>
          <w:szCs w:val="24"/>
        </w:rPr>
        <w:t xml:space="preserve"> Sub-County, Nakuru County</w:t>
      </w:r>
      <w:r w:rsidRPr="00705722">
        <w:rPr>
          <w:rFonts w:ascii="Times New Roman" w:eastAsia="SimSun" w:hAnsi="Times New Roman" w:cs="Times New Roman"/>
          <w:sz w:val="24"/>
          <w:szCs w:val="24"/>
          <w:lang w:val="en-US"/>
        </w:rPr>
        <w:t>.</w:t>
      </w:r>
    </w:p>
    <w:p w14:paraId="38B1F8E3" w14:textId="61719502" w:rsidR="00EE7921" w:rsidRPr="009877ED" w:rsidRDefault="00B864E0" w:rsidP="00C76FE0">
      <w:pPr>
        <w:spacing w:before="240" w:after="160" w:line="360" w:lineRule="auto"/>
        <w:contextualSpacing/>
        <w:jc w:val="both"/>
        <w:rPr>
          <w:rFonts w:ascii="Times New Roman" w:hAnsi="Times New Roman" w:cs="Times New Roman"/>
          <w:b/>
          <w:sz w:val="24"/>
          <w:szCs w:val="24"/>
        </w:rPr>
      </w:pPr>
      <w:r w:rsidRPr="009877ED">
        <w:rPr>
          <w:rFonts w:ascii="Times New Roman" w:hAnsi="Times New Roman" w:cs="Times New Roman"/>
          <w:b/>
          <w:sz w:val="24"/>
          <w:szCs w:val="24"/>
        </w:rPr>
        <w:t>2.0 LITERATURE REVIEW</w:t>
      </w:r>
    </w:p>
    <w:p w14:paraId="7CAC1D0F" w14:textId="5FC3E9BE" w:rsidR="009E5FE4" w:rsidRPr="009877ED" w:rsidRDefault="00970294" w:rsidP="00C76FE0">
      <w:pPr>
        <w:pStyle w:val="Heading2"/>
        <w:spacing w:after="0"/>
        <w:jc w:val="both"/>
        <w:rPr>
          <w:rFonts w:cs="Times New Roman"/>
          <w:szCs w:val="24"/>
        </w:rPr>
      </w:pPr>
      <w:r w:rsidRPr="009877ED">
        <w:rPr>
          <w:rFonts w:cs="Times New Roman"/>
          <w:szCs w:val="24"/>
        </w:rPr>
        <w:t>2.1</w:t>
      </w:r>
      <w:r w:rsidR="009E5FE4" w:rsidRPr="009877ED">
        <w:rPr>
          <w:rFonts w:cs="Times New Roman"/>
          <w:szCs w:val="24"/>
        </w:rPr>
        <w:t>. Theoretical Review</w:t>
      </w:r>
    </w:p>
    <w:p w14:paraId="63259E2C" w14:textId="77777777" w:rsidR="00705722" w:rsidRPr="00705722" w:rsidRDefault="00705722" w:rsidP="00705722">
      <w:pPr>
        <w:spacing w:line="360" w:lineRule="auto"/>
        <w:jc w:val="both"/>
        <w:rPr>
          <w:rFonts w:ascii="Times New Roman" w:hAnsi="Times New Roman" w:cs="Times New Roman"/>
          <w:sz w:val="24"/>
          <w:szCs w:val="24"/>
        </w:rPr>
      </w:pPr>
      <w:r w:rsidRPr="00705722">
        <w:rPr>
          <w:rFonts w:ascii="Times New Roman" w:hAnsi="Times New Roman" w:cs="Times New Roman"/>
          <w:sz w:val="24"/>
          <w:szCs w:val="24"/>
        </w:rPr>
        <w:t>The Social Learning Theory of Profession Choice will serve as the theoretical framework for this investigation. In 1976 (</w:t>
      </w:r>
      <w:proofErr w:type="spellStart"/>
      <w:r w:rsidRPr="00705722">
        <w:rPr>
          <w:rFonts w:ascii="Times New Roman" w:hAnsi="Times New Roman" w:cs="Times New Roman"/>
          <w:sz w:val="24"/>
          <w:szCs w:val="24"/>
        </w:rPr>
        <w:t>Krumlotz</w:t>
      </w:r>
      <w:proofErr w:type="spellEnd"/>
      <w:r w:rsidRPr="00705722">
        <w:rPr>
          <w:rFonts w:ascii="Times New Roman" w:hAnsi="Times New Roman" w:cs="Times New Roman"/>
          <w:sz w:val="24"/>
          <w:szCs w:val="24"/>
        </w:rPr>
        <w:t xml:space="preserve">, Mitchell, &amp; Jones, 1976), John </w:t>
      </w:r>
      <w:proofErr w:type="spellStart"/>
      <w:r w:rsidRPr="00705722">
        <w:rPr>
          <w:rFonts w:ascii="Times New Roman" w:hAnsi="Times New Roman" w:cs="Times New Roman"/>
          <w:sz w:val="24"/>
          <w:szCs w:val="24"/>
        </w:rPr>
        <w:t>Krumboltz</w:t>
      </w:r>
      <w:proofErr w:type="spellEnd"/>
      <w:r w:rsidRPr="00705722">
        <w:rPr>
          <w:rFonts w:ascii="Times New Roman" w:hAnsi="Times New Roman" w:cs="Times New Roman"/>
          <w:sz w:val="24"/>
          <w:szCs w:val="24"/>
        </w:rPr>
        <w:t xml:space="preserve"> established the social learning theory of career choice. </w:t>
      </w:r>
      <w:proofErr w:type="spellStart"/>
      <w:r w:rsidRPr="00705722">
        <w:rPr>
          <w:rFonts w:ascii="Times New Roman" w:hAnsi="Times New Roman" w:cs="Times New Roman"/>
          <w:sz w:val="24"/>
          <w:szCs w:val="24"/>
        </w:rPr>
        <w:t>Krumboltz's</w:t>
      </w:r>
      <w:proofErr w:type="spellEnd"/>
      <w:r w:rsidRPr="00705722">
        <w:rPr>
          <w:rFonts w:ascii="Times New Roman" w:hAnsi="Times New Roman" w:cs="Times New Roman"/>
          <w:sz w:val="24"/>
          <w:szCs w:val="24"/>
        </w:rPr>
        <w:t xml:space="preserve"> Learning Theory of Career </w:t>
      </w:r>
      <w:proofErr w:type="spellStart"/>
      <w:r w:rsidRPr="00705722">
        <w:rPr>
          <w:rFonts w:ascii="Times New Roman" w:hAnsi="Times New Roman" w:cs="Times New Roman"/>
          <w:sz w:val="24"/>
          <w:szCs w:val="24"/>
        </w:rPr>
        <w:t>Counseling</w:t>
      </w:r>
      <w:proofErr w:type="spellEnd"/>
      <w:r w:rsidRPr="00705722">
        <w:rPr>
          <w:rFonts w:ascii="Times New Roman" w:hAnsi="Times New Roman" w:cs="Times New Roman"/>
          <w:sz w:val="24"/>
          <w:szCs w:val="24"/>
        </w:rPr>
        <w:t xml:space="preserve"> (KLTCC) is the second half of the theory, which also includes his Social Learning Theory of Career Decision Making (KSLTCDM). The first half of the theory, KSLTCDM, looks at people's motivations for choosing certain courses of study or careers, while the second portion suggests strategies that career </w:t>
      </w:r>
      <w:proofErr w:type="spellStart"/>
      <w:r w:rsidRPr="00705722">
        <w:rPr>
          <w:rFonts w:ascii="Times New Roman" w:hAnsi="Times New Roman" w:cs="Times New Roman"/>
          <w:sz w:val="24"/>
          <w:szCs w:val="24"/>
        </w:rPr>
        <w:t>counselors</w:t>
      </w:r>
      <w:proofErr w:type="spellEnd"/>
      <w:r w:rsidRPr="00705722">
        <w:rPr>
          <w:rFonts w:ascii="Times New Roman" w:hAnsi="Times New Roman" w:cs="Times New Roman"/>
          <w:sz w:val="24"/>
          <w:szCs w:val="24"/>
        </w:rPr>
        <w:t xml:space="preserve"> may employ to help their clients overcome obstacles in their professional development.</w:t>
      </w:r>
    </w:p>
    <w:p w14:paraId="3531FC64" w14:textId="77777777" w:rsidR="00705722" w:rsidRPr="00705722" w:rsidRDefault="00705722" w:rsidP="00705722">
      <w:pPr>
        <w:spacing w:line="360" w:lineRule="auto"/>
        <w:jc w:val="both"/>
        <w:rPr>
          <w:rFonts w:ascii="Times New Roman" w:hAnsi="Times New Roman" w:cs="Times New Roman"/>
          <w:sz w:val="24"/>
          <w:szCs w:val="24"/>
          <w:lang w:val="en-US"/>
        </w:rPr>
      </w:pPr>
      <w:r w:rsidRPr="00705722">
        <w:rPr>
          <w:rFonts w:ascii="Times New Roman" w:hAnsi="Times New Roman" w:cs="Times New Roman"/>
          <w:sz w:val="24"/>
          <w:szCs w:val="24"/>
          <w:lang w:val="en-US"/>
        </w:rPr>
        <w:t xml:space="preserve">In </w:t>
      </w:r>
      <w:proofErr w:type="spellStart"/>
      <w:r w:rsidRPr="00705722">
        <w:rPr>
          <w:rFonts w:ascii="Times New Roman" w:hAnsi="Times New Roman" w:cs="Times New Roman"/>
          <w:sz w:val="24"/>
          <w:szCs w:val="24"/>
          <w:lang w:val="en-US"/>
        </w:rPr>
        <w:t>Krumboltz's</w:t>
      </w:r>
      <w:proofErr w:type="spellEnd"/>
      <w:r w:rsidRPr="00705722">
        <w:rPr>
          <w:rFonts w:ascii="Times New Roman" w:hAnsi="Times New Roman" w:cs="Times New Roman"/>
          <w:sz w:val="24"/>
          <w:szCs w:val="24"/>
          <w:lang w:val="en-US"/>
        </w:rPr>
        <w:t xml:space="preserve"> (1998) KSLTCDM, the initial component of the theory outlines four elements that influence the career decision-making process: genetic gifts and unique skills, circumstances and occurrences in the environment, educational experiences, and skills related to tasks. As these four factors interact, individuals develop perceptions about themselves and their surroundings. Individuals move through various stages to enter a career field based on the extensive knowledge and competencies they gain.</w:t>
      </w:r>
    </w:p>
    <w:p w14:paraId="59AC4C36" w14:textId="77777777" w:rsidR="00705722" w:rsidRPr="00705722" w:rsidRDefault="00705722" w:rsidP="00705722">
      <w:pPr>
        <w:spacing w:line="360" w:lineRule="auto"/>
        <w:jc w:val="both"/>
        <w:rPr>
          <w:rFonts w:ascii="Times New Roman" w:hAnsi="Times New Roman" w:cs="Times New Roman"/>
          <w:sz w:val="24"/>
          <w:szCs w:val="24"/>
          <w:lang w:val="en-US"/>
        </w:rPr>
      </w:pPr>
      <w:r w:rsidRPr="00705722">
        <w:rPr>
          <w:rFonts w:ascii="Times New Roman" w:hAnsi="Times New Roman" w:cs="Times New Roman"/>
          <w:sz w:val="24"/>
          <w:szCs w:val="24"/>
          <w:lang w:val="en-US"/>
        </w:rPr>
        <w:t xml:space="preserve">The second aspect of the theory is that KLTCC acknowledges the unpredictability of life and that </w:t>
      </w:r>
      <w:proofErr w:type="spellStart"/>
      <w:r w:rsidRPr="00705722">
        <w:rPr>
          <w:rFonts w:ascii="Times New Roman" w:hAnsi="Times New Roman" w:cs="Times New Roman"/>
          <w:sz w:val="24"/>
          <w:szCs w:val="24"/>
          <w:lang w:val="en-US"/>
        </w:rPr>
        <w:t>Krumboltz</w:t>
      </w:r>
      <w:proofErr w:type="spellEnd"/>
      <w:r w:rsidRPr="00705722">
        <w:rPr>
          <w:rFonts w:ascii="Times New Roman" w:hAnsi="Times New Roman" w:cs="Times New Roman"/>
          <w:sz w:val="24"/>
          <w:szCs w:val="24"/>
          <w:lang w:val="en-US"/>
        </w:rPr>
        <w:t xml:space="preserve"> (1998) accounts for the potential of serendipity in the workplace. The role of the career counsellor is to help the career seeker (an explorer) address career-related issues more successfully, such as developing a more positive self- and world-view, developing a more effective approach to tasks, leading one to take the necessary steps toward achieving one's goals, broadening one's interests and skills, and adapting to a dynamic workplace.</w:t>
      </w:r>
    </w:p>
    <w:p w14:paraId="41F4A330" w14:textId="77777777" w:rsidR="00705722" w:rsidRPr="00705722" w:rsidRDefault="00705722" w:rsidP="00705722">
      <w:pPr>
        <w:spacing w:line="360" w:lineRule="auto"/>
        <w:jc w:val="both"/>
        <w:rPr>
          <w:rFonts w:ascii="Times New Roman" w:hAnsi="Times New Roman" w:cs="Times New Roman"/>
          <w:sz w:val="24"/>
          <w:szCs w:val="24"/>
        </w:rPr>
      </w:pPr>
      <w:r w:rsidRPr="00705722">
        <w:rPr>
          <w:rFonts w:ascii="Times New Roman" w:hAnsi="Times New Roman" w:cs="Times New Roman"/>
          <w:sz w:val="24"/>
          <w:szCs w:val="24"/>
          <w:lang w:val="en-US"/>
        </w:rPr>
        <w:t xml:space="preserve">The four elements that impact the professional decision-making route are described in this theory, and the job of the career counselor is elaborated, both of which aid the researcher in producing an analysis of factors in guiding career choice among secondary school students. Factors such as genetic endowment and exceptional talents; contextual circumstances; task approach skills; and learning experiences were all acknowledged as having an impact on profession choice by the </w:t>
      </w:r>
      <w:r w:rsidRPr="00705722">
        <w:rPr>
          <w:rFonts w:ascii="Times New Roman" w:hAnsi="Times New Roman" w:cs="Times New Roman"/>
          <w:sz w:val="24"/>
          <w:szCs w:val="24"/>
          <w:lang w:val="en-US"/>
        </w:rPr>
        <w:lastRenderedPageBreak/>
        <w:t xml:space="preserve">theory. Similar to the study's independent variables, these included parental expectations, the influence of the media and school policy on students' course selection, and the type of the career assistance and programs offered to students.      </w:t>
      </w:r>
      <w:r w:rsidRPr="00705722">
        <w:rPr>
          <w:rFonts w:ascii="Times New Roman" w:hAnsi="Times New Roman" w:cs="Times New Roman"/>
          <w:sz w:val="24"/>
          <w:szCs w:val="24"/>
        </w:rPr>
        <w:t xml:space="preserve">  </w:t>
      </w:r>
    </w:p>
    <w:p w14:paraId="61252DAB" w14:textId="77777777" w:rsidR="00705722" w:rsidRPr="00705722" w:rsidRDefault="00705722" w:rsidP="00705722">
      <w:pPr>
        <w:spacing w:line="360" w:lineRule="auto"/>
        <w:jc w:val="both"/>
        <w:rPr>
          <w:rFonts w:ascii="Times New Roman" w:hAnsi="Times New Roman" w:cs="Times New Roman"/>
          <w:sz w:val="24"/>
          <w:szCs w:val="24"/>
          <w:lang w:val="en-US"/>
        </w:rPr>
      </w:pPr>
      <w:r w:rsidRPr="00705722">
        <w:rPr>
          <w:rFonts w:ascii="Times New Roman" w:hAnsi="Times New Roman" w:cs="Times New Roman"/>
          <w:sz w:val="24"/>
          <w:szCs w:val="24"/>
          <w:lang w:val="en-US"/>
        </w:rPr>
        <w:t xml:space="preserve">According to </w:t>
      </w:r>
      <w:proofErr w:type="spellStart"/>
      <w:r w:rsidRPr="00705722">
        <w:rPr>
          <w:rFonts w:ascii="Times New Roman" w:hAnsi="Times New Roman" w:cs="Times New Roman"/>
          <w:sz w:val="24"/>
          <w:szCs w:val="24"/>
          <w:lang w:val="en-US"/>
        </w:rPr>
        <w:t>Krumboltz's</w:t>
      </w:r>
      <w:proofErr w:type="spellEnd"/>
      <w:r w:rsidRPr="00705722">
        <w:rPr>
          <w:rFonts w:ascii="Times New Roman" w:hAnsi="Times New Roman" w:cs="Times New Roman"/>
          <w:sz w:val="24"/>
          <w:szCs w:val="24"/>
          <w:lang w:val="en-US"/>
        </w:rPr>
        <w:t xml:space="preserve"> (KSLTCDM) first component of the theory, secondary school pupils should be provided with career advice programs that teach them how to recognize and cope with hereditary traits that might restrict their choices of study and work. When a school mandates that students pursuing specific topics should have earned certain yearly mean grades in defined subjects, genetic endowment and distinctive talents may also educate the school on the most suitable policy on subject selection. The learning experiences component helped zero down on the most consequential individuals. Parents, educators, friends, and family members were all influential in students' decision-making about their futures when they were in high school. Relationships with peers, instructors, and adults outside of the classroom all played a role in shaping students' development. The researcher was able to critically examine the data connected to these constructions and provide sound advice because of their familiarity with the factors that motivate people's professional decisions. Education and career choices are heavily influenced by factors external to the person. Environmental variables help to understand the orientations that a student faces at home, such as the availability of role models and parental interventions, which go a long way towards affecting one's knowledge of professional options and possibilities. </w:t>
      </w:r>
    </w:p>
    <w:p w14:paraId="6A55F307" w14:textId="77777777" w:rsidR="00705722" w:rsidRPr="00705722" w:rsidRDefault="00705722" w:rsidP="00705722">
      <w:pPr>
        <w:spacing w:line="360" w:lineRule="auto"/>
        <w:jc w:val="both"/>
        <w:rPr>
          <w:rFonts w:ascii="Times New Roman" w:hAnsi="Times New Roman" w:cs="Times New Roman"/>
          <w:sz w:val="24"/>
          <w:szCs w:val="24"/>
        </w:rPr>
      </w:pPr>
      <w:r w:rsidRPr="00705722">
        <w:rPr>
          <w:rFonts w:ascii="Times New Roman" w:hAnsi="Times New Roman" w:cs="Times New Roman"/>
          <w:sz w:val="24"/>
          <w:szCs w:val="24"/>
        </w:rPr>
        <w:t xml:space="preserve">The second element of the idea explains that the career </w:t>
      </w:r>
      <w:proofErr w:type="spellStart"/>
      <w:r w:rsidRPr="00705722">
        <w:rPr>
          <w:rFonts w:ascii="Times New Roman" w:hAnsi="Times New Roman" w:cs="Times New Roman"/>
          <w:sz w:val="24"/>
          <w:szCs w:val="24"/>
        </w:rPr>
        <w:t>counselor's</w:t>
      </w:r>
      <w:proofErr w:type="spellEnd"/>
      <w:r w:rsidRPr="00705722">
        <w:rPr>
          <w:rFonts w:ascii="Times New Roman" w:hAnsi="Times New Roman" w:cs="Times New Roman"/>
          <w:sz w:val="24"/>
          <w:szCs w:val="24"/>
        </w:rPr>
        <w:t xml:space="preserve"> job is to assist the client in developing more realistic views of themselves and the world at large, both of which have an impact on the client's ability to make an informed career decision. As such, this idea was crucial in achieving the first research goal of this study, which was to determine the type of career counselling services offered to secondary school students. According to the </w:t>
      </w:r>
      <w:proofErr w:type="spellStart"/>
      <w:r w:rsidRPr="00705722">
        <w:rPr>
          <w:rFonts w:ascii="Times New Roman" w:hAnsi="Times New Roman" w:cs="Times New Roman"/>
          <w:sz w:val="24"/>
          <w:szCs w:val="24"/>
        </w:rPr>
        <w:t>Krumboltz</w:t>
      </w:r>
      <w:proofErr w:type="spellEnd"/>
      <w:r w:rsidRPr="00705722">
        <w:rPr>
          <w:rFonts w:ascii="Times New Roman" w:hAnsi="Times New Roman" w:cs="Times New Roman"/>
          <w:sz w:val="24"/>
          <w:szCs w:val="24"/>
        </w:rPr>
        <w:t xml:space="preserve"> theory of job choice, an individual's professional path develops via a series of lessons learned in response to specific stimuli in his or her life. That is, individuals make decisions about their professional lives in light of their prior education and life experiences. Secondary school activities like career days, mentoring initiatives, academic days, and career advice programs put this principle into practice.</w:t>
      </w:r>
    </w:p>
    <w:p w14:paraId="7E5941AF" w14:textId="77777777" w:rsidR="00705722" w:rsidRPr="00705722" w:rsidRDefault="00705722" w:rsidP="00705722">
      <w:pPr>
        <w:spacing w:line="360" w:lineRule="auto"/>
        <w:jc w:val="both"/>
        <w:rPr>
          <w:rFonts w:ascii="Times New Roman" w:hAnsi="Times New Roman" w:cs="Times New Roman"/>
          <w:sz w:val="24"/>
          <w:szCs w:val="24"/>
        </w:rPr>
      </w:pPr>
      <w:r w:rsidRPr="00705722">
        <w:rPr>
          <w:rFonts w:ascii="Times New Roman" w:hAnsi="Times New Roman" w:cs="Times New Roman"/>
          <w:sz w:val="24"/>
          <w:szCs w:val="24"/>
        </w:rPr>
        <w:t xml:space="preserve">Opponents of social learning theory argue that the theory is just behaviourist since it states that children are motivated to replicate a behaviour as long as there is some form of reward or praise, and these opponents believe that the theory is flawed. The theory's applicability in the classroom, </w:t>
      </w:r>
      <w:r w:rsidRPr="00705722">
        <w:rPr>
          <w:rFonts w:ascii="Times New Roman" w:hAnsi="Times New Roman" w:cs="Times New Roman"/>
          <w:sz w:val="24"/>
          <w:szCs w:val="24"/>
        </w:rPr>
        <w:lastRenderedPageBreak/>
        <w:t xml:space="preserve">however, stems from the fact that it provides an explanation for students' inconsistent </w:t>
      </w:r>
      <w:proofErr w:type="spellStart"/>
      <w:r w:rsidRPr="00705722">
        <w:rPr>
          <w:rFonts w:ascii="Times New Roman" w:hAnsi="Times New Roman" w:cs="Times New Roman"/>
          <w:sz w:val="24"/>
          <w:szCs w:val="24"/>
        </w:rPr>
        <w:t>behavior</w:t>
      </w:r>
      <w:proofErr w:type="spellEnd"/>
      <w:r w:rsidRPr="00705722">
        <w:rPr>
          <w:rFonts w:ascii="Times New Roman" w:hAnsi="Times New Roman" w:cs="Times New Roman"/>
          <w:sz w:val="24"/>
          <w:szCs w:val="24"/>
        </w:rPr>
        <w:t xml:space="preserve"> and, by integrating many essential modalities of learning, provides a realistic picture of how </w:t>
      </w:r>
      <w:proofErr w:type="spellStart"/>
      <w:r w:rsidRPr="00705722">
        <w:rPr>
          <w:rFonts w:ascii="Times New Roman" w:hAnsi="Times New Roman" w:cs="Times New Roman"/>
          <w:sz w:val="24"/>
          <w:szCs w:val="24"/>
        </w:rPr>
        <w:t>behavior</w:t>
      </w:r>
      <w:proofErr w:type="spellEnd"/>
      <w:r w:rsidRPr="00705722">
        <w:rPr>
          <w:rFonts w:ascii="Times New Roman" w:hAnsi="Times New Roman" w:cs="Times New Roman"/>
          <w:sz w:val="24"/>
          <w:szCs w:val="24"/>
        </w:rPr>
        <w:t xml:space="preserve"> is learnt (</w:t>
      </w:r>
      <w:proofErr w:type="spellStart"/>
      <w:r w:rsidRPr="00705722">
        <w:rPr>
          <w:rFonts w:ascii="Times New Roman" w:hAnsi="Times New Roman" w:cs="Times New Roman"/>
          <w:sz w:val="24"/>
          <w:szCs w:val="24"/>
        </w:rPr>
        <w:t>Ormord</w:t>
      </w:r>
      <w:proofErr w:type="spellEnd"/>
      <w:r w:rsidRPr="00705722">
        <w:rPr>
          <w:rFonts w:ascii="Times New Roman" w:hAnsi="Times New Roman" w:cs="Times New Roman"/>
          <w:sz w:val="24"/>
          <w:szCs w:val="24"/>
        </w:rPr>
        <w:t xml:space="preserve"> &amp; Merril, 2004). </w:t>
      </w:r>
    </w:p>
    <w:p w14:paraId="25300FBD" w14:textId="67AC22A0" w:rsidR="00D069F1" w:rsidRPr="00705722" w:rsidRDefault="00705722" w:rsidP="00705722">
      <w:pPr>
        <w:spacing w:line="360" w:lineRule="auto"/>
        <w:jc w:val="both"/>
        <w:rPr>
          <w:rFonts w:ascii="Times New Roman" w:hAnsi="Times New Roman" w:cs="Times New Roman"/>
          <w:sz w:val="24"/>
          <w:szCs w:val="24"/>
        </w:rPr>
      </w:pPr>
      <w:r w:rsidRPr="00705722">
        <w:rPr>
          <w:rFonts w:ascii="Times New Roman" w:hAnsi="Times New Roman" w:cs="Times New Roman"/>
          <w:sz w:val="24"/>
          <w:szCs w:val="24"/>
          <w:lang w:val="en-US"/>
        </w:rPr>
        <w:t>The social learning theory of profession choice has certain flaws, such as the fact that it is not a developmental theory and hence cannot account for job changes (Brown, 1990a, as quoted in Stephen, 2008). As a result, it may be useless in establishing standards of conduct or designing training programs for professionals. Brown argued, however, that the theory was rigorously crafted, and its predictions could be tested. And according to Ormrod and Merril (2004), the idea is flawed because it fails to account for the fact that what one person considers to be punishment may be seen by another as a reward. These theoretical limitations and critiques are not within the purview of this investigation, and as such, social learning theory is still applicable and useful.</w:t>
      </w:r>
      <w:r w:rsidRPr="00705722">
        <w:rPr>
          <w:rFonts w:ascii="Times New Roman" w:hAnsi="Times New Roman" w:cs="Times New Roman"/>
          <w:sz w:val="24"/>
          <w:szCs w:val="24"/>
        </w:rPr>
        <w:t xml:space="preserve">” </w:t>
      </w:r>
      <w:r w:rsidR="00D77620" w:rsidRPr="009877ED">
        <w:rPr>
          <w:rFonts w:ascii="Times New Roman" w:hAnsi="Times New Roman" w:cs="Times New Roman"/>
          <w:vanish/>
          <w:sz w:val="24"/>
          <w:szCs w:val="24"/>
        </w:rPr>
        <w:t>Top of Form</w:t>
      </w:r>
      <w:bookmarkStart w:id="0" w:name="_Toc148117269"/>
    </w:p>
    <w:p w14:paraId="141E44AD" w14:textId="0AC28AC4" w:rsidR="00D77620" w:rsidRPr="009877ED" w:rsidRDefault="00D77620" w:rsidP="002D64C6">
      <w:pPr>
        <w:pStyle w:val="Heading2"/>
        <w:spacing w:line="240" w:lineRule="auto"/>
        <w:jc w:val="both"/>
        <w:rPr>
          <w:rFonts w:cs="Times New Roman"/>
          <w:szCs w:val="24"/>
        </w:rPr>
      </w:pPr>
      <w:r w:rsidRPr="009877ED">
        <w:rPr>
          <w:rFonts w:cs="Times New Roman"/>
          <w:szCs w:val="24"/>
        </w:rPr>
        <w:t>2</w:t>
      </w:r>
      <w:r w:rsidR="00705722">
        <w:rPr>
          <w:rFonts w:cs="Times New Roman"/>
          <w:szCs w:val="24"/>
        </w:rPr>
        <w:t>.2</w:t>
      </w:r>
      <w:r w:rsidRPr="009877ED">
        <w:rPr>
          <w:rFonts w:cs="Times New Roman"/>
          <w:szCs w:val="24"/>
        </w:rPr>
        <w:t>. Empirical Literature Review</w:t>
      </w:r>
      <w:bookmarkEnd w:id="0"/>
    </w:p>
    <w:p w14:paraId="1DE4E1E9" w14:textId="48A1555E" w:rsidR="00D77620" w:rsidRDefault="00FE6C74" w:rsidP="00FE6C7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D77620" w:rsidRPr="009877ED">
        <w:rPr>
          <w:rFonts w:ascii="Times New Roman" w:hAnsi="Times New Roman" w:cs="Times New Roman"/>
          <w:b/>
          <w:bCs/>
          <w:sz w:val="24"/>
          <w:szCs w:val="24"/>
        </w:rPr>
        <w:t xml:space="preserve">.1 </w:t>
      </w:r>
      <w:r w:rsidRPr="00FE6C74">
        <w:rPr>
          <w:rFonts w:ascii="Times New Roman" w:hAnsi="Times New Roman" w:cs="Times New Roman"/>
          <w:b/>
          <w:bCs/>
          <w:sz w:val="24"/>
          <w:szCs w:val="24"/>
        </w:rPr>
        <w:t>Teacher Practices on Career Choice Decisiveness</w:t>
      </w:r>
    </w:p>
    <w:p w14:paraId="497B1DE6" w14:textId="77777777" w:rsidR="00FE6C74" w:rsidRPr="00FE6C74" w:rsidRDefault="00FE6C74" w:rsidP="00FE6C74">
      <w:pPr>
        <w:spacing w:beforeAutospacing="1" w:after="0" w:afterAutospacing="1" w:line="360" w:lineRule="auto"/>
        <w:jc w:val="both"/>
        <w:rPr>
          <w:rFonts w:ascii="Times New Roman" w:eastAsia="SimSun" w:hAnsi="Times New Roman" w:cs="Times New Roman"/>
          <w:sz w:val="24"/>
          <w:szCs w:val="24"/>
          <w:lang w:val="en-US" w:eastAsia="zh-CN"/>
        </w:rPr>
      </w:pPr>
      <w:r w:rsidRPr="00FE6C74">
        <w:rPr>
          <w:rFonts w:ascii="Times New Roman" w:eastAsia="SimSun" w:hAnsi="Times New Roman" w:cs="Times New Roman"/>
          <w:sz w:val="24"/>
          <w:szCs w:val="24"/>
          <w:lang w:val="en-US" w:eastAsia="zh-CN"/>
        </w:rPr>
        <w:t>Educators play an essential role in influencing the career decisions of students and assisting them in developing confidence in their chosen paths. Below are some effective strategies teachers can use to aid students in making knowledgeable and assured career choices: Career Education: Incorporating career education within the curriculum to expose students to a variety of career possibilities, sectors, and job functions. This approach may involve guest speakers, career fairs, and excursions to workplaces. Self-assessment Activities: Motivating students to engage in self-assessment activities, such as personality assessments, interest inventories, and skill evaluations, to help them identify their strengths, weaknesses, and preferences.</w:t>
      </w:r>
    </w:p>
    <w:p w14:paraId="1336CE1C" w14:textId="77777777" w:rsidR="00FE6C74" w:rsidRPr="00FE6C74" w:rsidRDefault="00FE6C74" w:rsidP="00FE6C74">
      <w:pPr>
        <w:spacing w:beforeAutospacing="1" w:after="0" w:afterAutospacing="1" w:line="360" w:lineRule="auto"/>
        <w:jc w:val="both"/>
        <w:rPr>
          <w:rFonts w:ascii="Times New Roman" w:eastAsia="SimSun" w:hAnsi="Times New Roman" w:cs="Times New Roman"/>
          <w:sz w:val="24"/>
          <w:szCs w:val="24"/>
          <w:lang w:val="en-US" w:eastAsia="zh-CN"/>
        </w:rPr>
      </w:pPr>
      <w:r w:rsidRPr="00FE6C74">
        <w:rPr>
          <w:rFonts w:ascii="Times New Roman" w:eastAsia="SimSun" w:hAnsi="Times New Roman" w:cs="Times New Roman"/>
          <w:sz w:val="24"/>
          <w:szCs w:val="24"/>
          <w:lang w:val="en-US" w:eastAsia="zh-CN"/>
        </w:rPr>
        <w:t>Personalized Support: Offering individual counseling sessions to explore students' career ambitions, objectives, and concerns. Providing tailored guidance and assistance to help them make informed career decisions. Hands-On Experience: Organizing internships, job shadowing, and volunteer experiences to provide students with practical exposure in various industries. This enables them to acquire valuable insights and make better-informed choices. Goal Development and Strategy: Instructing students on how to formulate realistic and attainable career objectives. Assisting them in devising action plans to achieve these targets, which may include pursuing further education, enhancing skills, and building a professional network.</w:t>
      </w:r>
    </w:p>
    <w:p w14:paraId="388DBB93" w14:textId="77777777" w:rsidR="00FE6C74" w:rsidRPr="00FE6C74" w:rsidRDefault="00FE6C74" w:rsidP="00FE6C74">
      <w:pPr>
        <w:spacing w:beforeAutospacing="1" w:after="0" w:afterAutospacing="1" w:line="360" w:lineRule="auto"/>
        <w:jc w:val="both"/>
        <w:rPr>
          <w:rFonts w:ascii="Times New Roman" w:eastAsia="SimSun" w:hAnsi="Times New Roman" w:cs="Times New Roman"/>
          <w:sz w:val="24"/>
          <w:szCs w:val="24"/>
          <w:lang w:val="en-US" w:eastAsia="zh-CN"/>
        </w:rPr>
      </w:pPr>
      <w:r w:rsidRPr="00FE6C74">
        <w:rPr>
          <w:rFonts w:ascii="Times New Roman" w:eastAsia="SimSun" w:hAnsi="Times New Roman" w:cs="Times New Roman"/>
          <w:sz w:val="24"/>
          <w:szCs w:val="24"/>
          <w:lang w:val="en-US" w:eastAsia="zh-CN"/>
        </w:rPr>
        <w:lastRenderedPageBreak/>
        <w:t>Information Resources: Offering access to current career information, such as job market trends, industry needs, and educational prerequisites. This can be done through online platforms, career resource centers, and workshops. Mentorship Programs: Creating mentorship initiatives where students can engage with professionals in their interested fields. Mentors can provide valuable insights, guidance, and support based on their personal experiences. Encouraging Exploration: Fostering a growth mindset and motivating students to investigate different interests and career paths without the fear of making mistakes. Assisting them in recognizing that career trajectories can change over time. Decision-making Skills: Teaching students effective decision-making strategies, such as weighing pros and cons, evaluating potential outcomes, and considering long-term implications. Parental Involvement: Engaging parents in the career planning process to ensure they support and understand their children's career choices. Organizing informational sessions and workshops for parents can be beneficial.</w:t>
      </w:r>
    </w:p>
    <w:p w14:paraId="3061C11B" w14:textId="67A2AE98" w:rsidR="00FE6C74" w:rsidRPr="00FE6C74" w:rsidRDefault="00FE6C74" w:rsidP="00FE6C74">
      <w:pPr>
        <w:spacing w:after="0" w:line="360" w:lineRule="auto"/>
        <w:jc w:val="both"/>
        <w:rPr>
          <w:rFonts w:ascii="Times New Roman" w:eastAsia="SimSun" w:hAnsi="Times New Roman" w:cs="Times New Roman"/>
          <w:sz w:val="24"/>
          <w:szCs w:val="24"/>
          <w:lang w:val="en-US"/>
        </w:rPr>
      </w:pPr>
      <w:r w:rsidRPr="00FE6C74">
        <w:rPr>
          <w:rFonts w:ascii="Times New Roman" w:eastAsia="SimSun" w:hAnsi="Times New Roman" w:cs="Times New Roman"/>
          <w:sz w:val="24"/>
          <w:szCs w:val="24"/>
          <w:lang w:val="en-US"/>
        </w:rPr>
        <w:t>In Singapore studies were conducted to examine how Singaporean schools have developed and implemented Education and Career Guidance (ECG) methods in response to the rapidly evolving needs of the future economy. The review explores vocational psychology studies to learn about the difficulties students encounter when choosing a job, starting with the broad overview of Singapore's ECG policy. It makes the case for shifting the emphasis of career theory and practice in Singapore from the current emphasis on students' decision-making skills to their capacity to adjust to or manage the demands of the dynamic workplace. In order to stimulate the creation of potential interventions and investigate further ways our educational system may support students' job awareness, professional development skills, and academic achievement, a chosen list of ECG practice and resource implementations in other nations is supplied (Ismail, 2018).</w:t>
      </w:r>
    </w:p>
    <w:p w14:paraId="313A0652" w14:textId="77777777" w:rsidR="00FE6C74" w:rsidRPr="00FE6C74" w:rsidRDefault="00FE6C74" w:rsidP="00FE6C74">
      <w:pPr>
        <w:spacing w:after="0" w:line="360" w:lineRule="auto"/>
        <w:jc w:val="both"/>
        <w:rPr>
          <w:rFonts w:ascii="Times New Roman" w:eastAsia="SimSun" w:hAnsi="Times New Roman" w:cs="Times New Roman"/>
          <w:sz w:val="24"/>
          <w:szCs w:val="24"/>
          <w:lang w:val="en-US"/>
        </w:rPr>
      </w:pPr>
      <w:r w:rsidRPr="00FE6C74">
        <w:rPr>
          <w:rFonts w:ascii="Times New Roman" w:eastAsia="SimSun" w:hAnsi="Times New Roman" w:cs="Times New Roman"/>
          <w:sz w:val="24"/>
          <w:szCs w:val="24"/>
          <w:lang w:val="en-US"/>
        </w:rPr>
        <w:t>The Factors Influencing Teaching Choice scale (FIT-Choice scale; Watt &amp; Richardson, 2007) was used to examine the reasons behind preservice teachers' decision to become teachers. Our study used this scale on foreign samples from Australia, the US, Germany, and Norway. It was first created and validated in the Australian setting. Strong factorial invariance was supported, suggesting that the scale operated similarly and could be usefully applied in many settings. While opinions regarding the teaching profession tended to reflect national disparities, sample comparisons showed that motives for teaching were more similar than varied across these samples (Watt et al., 2012).</w:t>
      </w:r>
    </w:p>
    <w:p w14:paraId="1A1145A4" w14:textId="77777777" w:rsidR="00FE6C74" w:rsidRPr="00FE6C74" w:rsidRDefault="00FE6C74" w:rsidP="00FE6C74">
      <w:pPr>
        <w:spacing w:after="0" w:line="360" w:lineRule="auto"/>
        <w:jc w:val="both"/>
        <w:rPr>
          <w:rFonts w:ascii="Times New Roman" w:eastAsia="Segoe UI" w:hAnsi="Times New Roman" w:cs="Times New Roman"/>
          <w:color w:val="343A40"/>
          <w:sz w:val="24"/>
          <w:szCs w:val="24"/>
          <w:shd w:val="clear" w:color="auto" w:fill="FFFFFF"/>
          <w:lang w:val="en-US"/>
        </w:rPr>
      </w:pPr>
      <w:r w:rsidRPr="00FE6C74">
        <w:rPr>
          <w:rFonts w:ascii="Times New Roman" w:eastAsia="SimSun" w:hAnsi="Times New Roman" w:cs="Times New Roman"/>
          <w:sz w:val="24"/>
          <w:szCs w:val="24"/>
          <w:lang w:val="en-US"/>
        </w:rPr>
        <w:lastRenderedPageBreak/>
        <w:t xml:space="preserve">The link between career optimism and favorable career events is explored in this research. The relationship between career optimism and positive career events is mediated by career decision-making self-efficacy (CDSE), and the influence of considering immediate future outcomes (CFC-I) on both CDSE and career optimism is analyzed. Data was collected from 192 individuals working in the electronic media sector using an online questionnaire and cluster sampling techniques. The initial descriptive analysis of the data was carried out with SPSS version 21. Hypotheses were evaluated using </w:t>
      </w:r>
      <w:proofErr w:type="spellStart"/>
      <w:r w:rsidRPr="00FE6C74">
        <w:rPr>
          <w:rFonts w:ascii="Times New Roman" w:eastAsia="SimSun" w:hAnsi="Times New Roman" w:cs="Times New Roman"/>
          <w:sz w:val="24"/>
          <w:szCs w:val="24"/>
          <w:lang w:val="en-US"/>
        </w:rPr>
        <w:t>SmartPLS</w:t>
      </w:r>
      <w:proofErr w:type="spellEnd"/>
      <w:r w:rsidRPr="00FE6C74">
        <w:rPr>
          <w:rFonts w:ascii="Times New Roman" w:eastAsia="SimSun" w:hAnsi="Times New Roman" w:cs="Times New Roman"/>
          <w:sz w:val="24"/>
          <w:szCs w:val="24"/>
          <w:lang w:val="en-US"/>
        </w:rPr>
        <w:t xml:space="preserve"> version 3.0. Results indicated a relationship between career optimism and positive career events, mediated by CDSE. Furthermore, CFC-I affected the relationship between CDSE and career optimism, enhancing the link when CFC-I levels were higher. The study has significance for senior management of firms, human resource specialists, and career consultants. Building a list of beneficial career shocks is something that all of these stakeholders can work toward. Another thing to concentrate on is switching to a startled business model of disclosing promotions and remuneration. The study's findings also recommend disengaging new hires from the early stages of the hiring process. Another crucial result for this study is the interdepartmental coordination between the human resource management and health and safety departments, which highlights the benefits of optimism.  The study is one of the few empirical investigations that uses CDSE to examine the connection between career optimism and positive career shocks. Additionally, this study incorporates a moderating variable, namely CFC-I, in predicting career optimism in response to the recent call of numerous empirical works in the field. Additionally, this study tests the suggested career model using data gathered from professionals, in contrast to the traditional method of applying student data on career models (</w:t>
      </w:r>
      <w:r w:rsidRPr="00FE6C74">
        <w:rPr>
          <w:rFonts w:ascii="Times New Roman" w:eastAsia="Segoe UI" w:hAnsi="Times New Roman" w:cs="Times New Roman"/>
          <w:color w:val="343A40"/>
          <w:sz w:val="24"/>
          <w:szCs w:val="24"/>
          <w:shd w:val="clear" w:color="auto" w:fill="FFFFFF"/>
          <w:lang w:val="en-US"/>
        </w:rPr>
        <w:t>Ahmad &amp; Nasir, 2023).</w:t>
      </w:r>
    </w:p>
    <w:p w14:paraId="23A973DB" w14:textId="10EA425F" w:rsidR="00FE6C74" w:rsidRPr="00FE6C74" w:rsidRDefault="00FE6C74" w:rsidP="00FE6C74">
      <w:pPr>
        <w:spacing w:after="0" w:line="360" w:lineRule="auto"/>
        <w:jc w:val="both"/>
        <w:rPr>
          <w:rFonts w:ascii="Times New Roman" w:eastAsia="Segoe UI" w:hAnsi="Times New Roman" w:cs="Times New Roman"/>
          <w:color w:val="343A40"/>
          <w:sz w:val="24"/>
          <w:szCs w:val="24"/>
          <w:shd w:val="clear" w:color="auto" w:fill="FFFFFF"/>
          <w:lang w:val="en-US"/>
        </w:rPr>
      </w:pPr>
      <w:r w:rsidRPr="00FE6C74">
        <w:rPr>
          <w:rFonts w:ascii="Times New Roman" w:eastAsia="Segoe UI" w:hAnsi="Times New Roman" w:cs="Times New Roman"/>
          <w:color w:val="343A40"/>
          <w:sz w:val="24"/>
          <w:szCs w:val="24"/>
          <w:shd w:val="clear" w:color="auto" w:fill="FFFFFF"/>
          <w:lang w:val="en-US"/>
        </w:rPr>
        <w:t xml:space="preserve">Twenty learners were asked about their educational journeys through a biographical interpretive approach, and a questionnaire was distributed to the highest achieving 200 pupils (roughly 2%) in a certain educational district at the beginning of their university experience. The goal of this study was to identify characteristics of teachers that nurture students' interests in the learning environment. </w:t>
      </w:r>
      <w:proofErr w:type="gramStart"/>
      <w:r w:rsidRPr="00FE6C74">
        <w:rPr>
          <w:rFonts w:ascii="Times New Roman" w:eastAsia="Segoe UI" w:hAnsi="Times New Roman" w:cs="Times New Roman"/>
          <w:color w:val="343A40"/>
          <w:sz w:val="24"/>
          <w:szCs w:val="24"/>
          <w:shd w:val="clear" w:color="auto" w:fill="FFFFFF"/>
          <w:lang w:val="en-US"/>
        </w:rPr>
        <w:t>Participants’</w:t>
      </w:r>
      <w:proofErr w:type="gramEnd"/>
      <w:r w:rsidRPr="00FE6C74">
        <w:rPr>
          <w:rFonts w:ascii="Times New Roman" w:eastAsia="Segoe UI" w:hAnsi="Times New Roman" w:cs="Times New Roman"/>
          <w:color w:val="343A40"/>
          <w:sz w:val="24"/>
          <w:szCs w:val="24"/>
          <w:shd w:val="clear" w:color="auto" w:fill="FFFFFF"/>
          <w:lang w:val="en-US"/>
        </w:rPr>
        <w:t xml:space="preserve"> highlighted seven key traits of educators that they believed are essential in motivating students to follow their passions. These traits include the capacity to connect teaching methods with students' interests, knowledge of the subject, the skill to make lessons applicable, the ability to establish elevated expectations for student performance, the talent to express ideas clearly, and the capability to keep the classroom organized. This research offers </w:t>
      </w:r>
      <w:r w:rsidRPr="00FE6C74">
        <w:rPr>
          <w:rFonts w:ascii="Times New Roman" w:eastAsia="Segoe UI" w:hAnsi="Times New Roman" w:cs="Times New Roman"/>
          <w:color w:val="343A40"/>
          <w:sz w:val="24"/>
          <w:szCs w:val="24"/>
          <w:shd w:val="clear" w:color="auto" w:fill="FFFFFF"/>
          <w:lang w:val="en-US"/>
        </w:rPr>
        <w:lastRenderedPageBreak/>
        <w:t xml:space="preserve">insights for both pre-service and in-service teacher training as well as career advice, enhancing our comprehension of how teachers’ impact gifted students. In contrast to the current study, which will focus on high school students in </w:t>
      </w:r>
      <w:proofErr w:type="spellStart"/>
      <w:r w:rsidRPr="00FE6C74">
        <w:rPr>
          <w:rFonts w:ascii="Times New Roman" w:eastAsia="Segoe UI" w:hAnsi="Times New Roman" w:cs="Times New Roman"/>
          <w:color w:val="343A40"/>
          <w:sz w:val="24"/>
          <w:szCs w:val="24"/>
          <w:shd w:val="clear" w:color="auto" w:fill="FFFFFF"/>
          <w:lang w:val="en-US"/>
        </w:rPr>
        <w:t>Gilgil</w:t>
      </w:r>
      <w:proofErr w:type="spellEnd"/>
      <w:r w:rsidRPr="00FE6C74">
        <w:rPr>
          <w:rFonts w:ascii="Times New Roman" w:eastAsia="Segoe UI" w:hAnsi="Times New Roman" w:cs="Times New Roman"/>
          <w:color w:val="343A40"/>
          <w:sz w:val="24"/>
          <w:szCs w:val="24"/>
          <w:shd w:val="clear" w:color="auto" w:fill="FFFFFF"/>
          <w:lang w:val="en-US"/>
        </w:rPr>
        <w:t xml:space="preserve"> County, the background of the previous research remains unclear.</w:t>
      </w:r>
    </w:p>
    <w:p w14:paraId="36CE52C7" w14:textId="77777777" w:rsidR="00FE6C74" w:rsidRPr="00FE6C74" w:rsidRDefault="00FE6C74" w:rsidP="00FE6C74">
      <w:pPr>
        <w:spacing w:after="0" w:line="360" w:lineRule="auto"/>
        <w:jc w:val="both"/>
        <w:rPr>
          <w:rFonts w:ascii="Times New Roman" w:eastAsia="SimSun" w:hAnsi="Times New Roman" w:cs="Times New Roman"/>
          <w:sz w:val="24"/>
          <w:szCs w:val="24"/>
          <w:lang w:val="en-US"/>
        </w:rPr>
      </w:pPr>
      <w:r w:rsidRPr="00FE6C74">
        <w:rPr>
          <w:rFonts w:ascii="Times New Roman" w:eastAsia="SimSun" w:hAnsi="Times New Roman" w:cs="Times New Roman"/>
          <w:sz w:val="24"/>
          <w:szCs w:val="24"/>
          <w:lang w:val="en-US"/>
        </w:rPr>
        <w:t xml:space="preserve">Academically talented students' career choices were investigated by Kass and Miller (2018). </w:t>
      </w:r>
    </w:p>
    <w:p w14:paraId="244A7B4E" w14:textId="77777777" w:rsidR="00FE6C74" w:rsidRPr="00FE6C74" w:rsidRDefault="00FE6C74" w:rsidP="00FE6C74">
      <w:pPr>
        <w:spacing w:after="0" w:line="360" w:lineRule="auto"/>
        <w:jc w:val="both"/>
        <w:rPr>
          <w:rFonts w:ascii="Times New Roman" w:eastAsia="SimSun" w:hAnsi="Times New Roman" w:cs="Times New Roman"/>
          <w:color w:val="FFFFFF"/>
          <w:sz w:val="24"/>
          <w:szCs w:val="24"/>
          <w:lang w:val="en-US"/>
        </w:rPr>
      </w:pPr>
      <w:r w:rsidRPr="00FE6C74">
        <w:rPr>
          <w:rFonts w:ascii="Times New Roman" w:eastAsia="SimSun" w:hAnsi="Times New Roman" w:cs="Times New Roman"/>
          <w:sz w:val="24"/>
          <w:szCs w:val="24"/>
          <w:lang w:val="en-US"/>
        </w:rPr>
        <w:t xml:space="preserve">In Nigeria </w:t>
      </w:r>
      <w:proofErr w:type="spellStart"/>
      <w:r w:rsidRPr="00FE6C74">
        <w:rPr>
          <w:rFonts w:ascii="Times New Roman" w:eastAsia="SimSun" w:hAnsi="Times New Roman" w:cs="Times New Roman"/>
          <w:sz w:val="24"/>
          <w:szCs w:val="24"/>
        </w:rPr>
        <w:t>Adkintomide</w:t>
      </w:r>
      <w:proofErr w:type="spellEnd"/>
      <w:r w:rsidRPr="00FE6C74">
        <w:rPr>
          <w:rFonts w:ascii="Times New Roman" w:eastAsia="SimSun" w:hAnsi="Times New Roman" w:cs="Times New Roman"/>
          <w:sz w:val="24"/>
          <w:szCs w:val="24"/>
        </w:rPr>
        <w:t xml:space="preserve"> and Oluwatosin</w:t>
      </w:r>
      <w:r w:rsidRPr="00FE6C74">
        <w:rPr>
          <w:rFonts w:ascii="Times New Roman" w:eastAsia="SimSun" w:hAnsi="Times New Roman" w:cs="Times New Roman"/>
          <w:sz w:val="24"/>
          <w:szCs w:val="24"/>
          <w:lang w:val="en-US"/>
        </w:rPr>
        <w:t xml:space="preserve"> (2011)</w:t>
      </w:r>
      <w:r w:rsidRPr="00FE6C74">
        <w:rPr>
          <w:rFonts w:ascii="Times New Roman" w:eastAsia="SimSun" w:hAnsi="Times New Roman" w:cs="Times New Roman"/>
          <w:sz w:val="24"/>
          <w:szCs w:val="24"/>
        </w:rPr>
        <w:t xml:space="preserve"> looked at why certain secondary school students in Osun state, Nigeria, chose teaching as a profession based on their teachers' personalities. Ten high schools across three districts in the state provided the sample population of 250 students. A reliable 35-item questionnaire titled Teacher Characteristics and Students' Career Aspirations was used to compile the data. Pupils' evaluations of their instructors' qualities that can influence them to go into teaching include how well they teach, how they present themselves in the classroom, and how well they can communicate with their pupils.</w:t>
      </w:r>
      <w:r w:rsidRPr="00FE6C74">
        <w:rPr>
          <w:rFonts w:ascii="Times New Roman" w:eastAsia="SimSun" w:hAnsi="Times New Roman" w:cs="Times New Roman"/>
          <w:sz w:val="24"/>
          <w:szCs w:val="24"/>
          <w:lang w:val="en-US"/>
        </w:rPr>
        <w:t xml:space="preserve"> A positive correlation between student interest in teaching as a profession and teacher personality traits was also found (2 = 3.73, p 0.05). In addition, pupils from both private and public schools had significantly different views on the qualities they valued most in a teacher. The study found that due to the pervasiveness of the problems, addressing some of the teacher traits that might impact students' choice of teaching as a career is urgently needed if we are to reposition teaching as a profession that attracts the attention of individuals with the capacity to meet the educational requirement of the Nation. Unlike the current research, which focuses on careers in general, this one focused only on teaching as a profession. </w:t>
      </w:r>
    </w:p>
    <w:p w14:paraId="58691F19" w14:textId="77777777" w:rsidR="00FE6C74" w:rsidRPr="00FE6C74" w:rsidRDefault="00FE6C74" w:rsidP="00FE6C74">
      <w:pPr>
        <w:spacing w:after="0" w:line="360" w:lineRule="auto"/>
        <w:jc w:val="both"/>
        <w:rPr>
          <w:rFonts w:ascii="Times New Roman" w:eastAsia="SimSun" w:hAnsi="Times New Roman" w:cs="Times New Roman"/>
          <w:color w:val="FFFFFF"/>
          <w:sz w:val="24"/>
          <w:szCs w:val="24"/>
        </w:rPr>
      </w:pPr>
      <w:r w:rsidRPr="00FE6C74">
        <w:rPr>
          <w:rFonts w:ascii="Times New Roman" w:eastAsia="SimSun" w:hAnsi="Times New Roman" w:cs="Times New Roman"/>
          <w:sz w:val="24"/>
          <w:szCs w:val="24"/>
          <w:lang w:val="en-US"/>
        </w:rPr>
        <w:t xml:space="preserve">In the Dominican Republic, </w:t>
      </w:r>
      <w:r w:rsidRPr="00FE6C74">
        <w:rPr>
          <w:rFonts w:ascii="Times New Roman" w:eastAsia="SimSun" w:hAnsi="Times New Roman" w:cs="Times New Roman"/>
          <w:sz w:val="24"/>
          <w:szCs w:val="24"/>
        </w:rPr>
        <w:t xml:space="preserve">De-Hernandez (2020) looked studied the factors that influenced the profession choices of university students from top-performing high schools in the Dominican Republic. Thirteen preservice teachers participated in semi-structured interviews for this research. All of them had excelled academically in high school and were accepted into a teacher preparation program at one of the private institutions in the Santo Domingo metropolitan region via a scholarship program. The study confirmed the findings of prior studies that the majority of these high-achieving students from top Dominican Republic institutions were inspired to enter their chosen fields by a desire to engage with children and make a difference in the lives of others. These high-achieving undergrads have decided to enter the teaching profession in order to aid the Dominican Republic's (DR) educational system. The participants in this research were college </w:t>
      </w:r>
      <w:r w:rsidRPr="00FE6C74">
        <w:rPr>
          <w:rFonts w:ascii="Times New Roman" w:eastAsia="SimSun" w:hAnsi="Times New Roman" w:cs="Times New Roman"/>
          <w:sz w:val="24"/>
          <w:szCs w:val="24"/>
        </w:rPr>
        <w:lastRenderedPageBreak/>
        <w:t xml:space="preserve">students in the Dominican Republic; our emphasis will be on high school pupils in Kenya's </w:t>
      </w:r>
      <w:proofErr w:type="spellStart"/>
      <w:r w:rsidRPr="00FE6C74">
        <w:rPr>
          <w:rFonts w:ascii="Times New Roman" w:eastAsia="SimSun" w:hAnsi="Times New Roman" w:cs="Times New Roman"/>
          <w:sz w:val="24"/>
          <w:szCs w:val="24"/>
        </w:rPr>
        <w:t>Gilgil</w:t>
      </w:r>
      <w:proofErr w:type="spellEnd"/>
      <w:r w:rsidRPr="00FE6C74">
        <w:rPr>
          <w:rFonts w:ascii="Times New Roman" w:eastAsia="SimSun" w:hAnsi="Times New Roman" w:cs="Times New Roman"/>
          <w:sz w:val="24"/>
          <w:szCs w:val="24"/>
        </w:rPr>
        <w:t xml:space="preserve"> County. </w:t>
      </w:r>
    </w:p>
    <w:p w14:paraId="53DAF206" w14:textId="77777777" w:rsidR="00FE6C74" w:rsidRPr="00FE6C74" w:rsidRDefault="00FE6C74" w:rsidP="00FE6C74">
      <w:pPr>
        <w:spacing w:after="0" w:line="360" w:lineRule="auto"/>
        <w:jc w:val="both"/>
        <w:rPr>
          <w:rFonts w:ascii="Times New Roman" w:eastAsia="SimSun" w:hAnsi="Times New Roman" w:cs="Times New Roman"/>
          <w:sz w:val="24"/>
          <w:szCs w:val="24"/>
          <w:lang w:val="en-US"/>
        </w:rPr>
      </w:pPr>
      <w:r w:rsidRPr="00FE6C74">
        <w:rPr>
          <w:rFonts w:ascii="Times New Roman" w:eastAsia="SimSun" w:hAnsi="Times New Roman" w:cs="Times New Roman"/>
          <w:sz w:val="24"/>
          <w:szCs w:val="24"/>
          <w:lang w:val="en-US"/>
        </w:rPr>
        <w:t>When asked what factors influenced them to become teachers, they all pointed to their extensive prior teaching experience as "critical." When juggling teaching with other occupations, many found this knowledge to be invaluable. Many of the participants went against their parents' wishes while making their decision, but they are all quite happy with it now and view this professional path as a way to go forward financially and socially in the Dominican Republic. The interviews also showed that the government of the Dominican Republic is assisting to elevate the teaching profession by providing scholarships to students attending private institutions who want to become teachers. Students who are interested in teaching but also wish to attend a top-tier private institution now have that option. This will enable them to join a new generation of Dominican educators who will help address the country's education crisis.</w:t>
      </w:r>
    </w:p>
    <w:p w14:paraId="1183B842" w14:textId="75A09FE0" w:rsidR="00FE6C74" w:rsidRPr="00FE6C74" w:rsidRDefault="00FE6C74" w:rsidP="00FE6C74">
      <w:pPr>
        <w:spacing w:after="0" w:line="360" w:lineRule="auto"/>
        <w:jc w:val="both"/>
        <w:rPr>
          <w:rFonts w:ascii="Times New Roman" w:eastAsia="SimSun" w:hAnsi="Times New Roman" w:cs="Times New Roman"/>
          <w:sz w:val="24"/>
          <w:szCs w:val="24"/>
        </w:rPr>
      </w:pPr>
      <w:r w:rsidRPr="00FE6C74">
        <w:rPr>
          <w:rFonts w:ascii="Times New Roman" w:eastAsia="Times New Roman" w:hAnsi="Times New Roman" w:cs="Times New Roman"/>
          <w:sz w:val="24"/>
          <w:szCs w:val="24"/>
          <w:lang w:val="en-US" w:eastAsia="en-GB"/>
        </w:rPr>
        <w:t xml:space="preserve">In Tanzania, </w:t>
      </w:r>
      <w:proofErr w:type="spellStart"/>
      <w:r w:rsidRPr="00FE6C74">
        <w:rPr>
          <w:rFonts w:ascii="Times New Roman" w:eastAsia="Times New Roman" w:hAnsi="Times New Roman" w:cs="Times New Roman"/>
          <w:sz w:val="24"/>
          <w:szCs w:val="24"/>
          <w:lang w:eastAsia="en-GB"/>
        </w:rPr>
        <w:t>Ngussa</w:t>
      </w:r>
      <w:proofErr w:type="spellEnd"/>
      <w:r w:rsidRPr="00FE6C74">
        <w:rPr>
          <w:rFonts w:ascii="Times New Roman" w:eastAsia="Times New Roman" w:hAnsi="Times New Roman" w:cs="Times New Roman"/>
          <w:sz w:val="24"/>
          <w:szCs w:val="24"/>
          <w:lang w:eastAsia="en-GB"/>
        </w:rPr>
        <w:t xml:space="preserve"> &amp; Rehema (2019) used a survey study methodology to analyse how students in secondary schools in Meru District, Tanzania felt about the impact of instructors and parents on their readiness to make informed career choices. A total of 406 pupils from 10 different schools were selected using systematic and purposeful selection methods and asked to fill out the survey. Expert opinion and preliminary testing of the questionnaire yielded a Cronbach's Alpha of over 0.700, establishing validity in advance of data collection. The data was analysed using t-tests, Pearson correlations, and descriptive statistics. Students are equipped to make informed professional decisions, according to the study's findings. Students believe that their parents and professors did an excellent job of preparing them for their future careers. Students may be as well-prepared for college or a profession regardless of their gender or where they live. Students' professional readiness is significantly correlated with parental and faculty engagement in career advising. Finally, the level of teacher and parent participation is correlated with kids' level of readiness for their chosen careers. Schools under scrutiny were urged to broaden the variety of courses they offer so that students might tailor their education to their interests and the needs of their future careers. Career coaching from parents should be continued since it helps pupils become more equipped for their future careers. Teachers should help students make wise job choices since they have a significant impact on their futures. Tanzania was the country of study, whereas secondary school pupils in </w:t>
      </w:r>
      <w:proofErr w:type="spellStart"/>
      <w:r w:rsidRPr="00FE6C74">
        <w:rPr>
          <w:rFonts w:ascii="Times New Roman" w:eastAsia="Times New Roman" w:hAnsi="Times New Roman" w:cs="Times New Roman"/>
          <w:sz w:val="24"/>
          <w:szCs w:val="24"/>
          <w:lang w:eastAsia="en-GB"/>
        </w:rPr>
        <w:t>Gilgil</w:t>
      </w:r>
      <w:proofErr w:type="spellEnd"/>
      <w:r w:rsidRPr="00FE6C74">
        <w:rPr>
          <w:rFonts w:ascii="Times New Roman" w:eastAsia="Times New Roman" w:hAnsi="Times New Roman" w:cs="Times New Roman"/>
          <w:sz w:val="24"/>
          <w:szCs w:val="24"/>
          <w:lang w:eastAsia="en-GB"/>
        </w:rPr>
        <w:t xml:space="preserve"> County, Kenya, would be the subject of the planned research.</w:t>
      </w:r>
      <w:r w:rsidRPr="00FE6C74">
        <w:rPr>
          <w:rFonts w:ascii="Times New Roman" w:eastAsia="SimSun" w:hAnsi="Times New Roman" w:cs="Times New Roman"/>
          <w:sz w:val="24"/>
          <w:szCs w:val="24"/>
        </w:rPr>
        <w:t xml:space="preserve"> </w:t>
      </w:r>
    </w:p>
    <w:p w14:paraId="05407AEC" w14:textId="71C62DFB" w:rsidR="00FE6C74" w:rsidRPr="00FE6C74" w:rsidRDefault="00FE6C74" w:rsidP="00FE6C74">
      <w:pPr>
        <w:spacing w:after="0" w:line="360" w:lineRule="auto"/>
        <w:jc w:val="both"/>
        <w:rPr>
          <w:rFonts w:ascii="Times New Roman" w:eastAsia="SimSun" w:hAnsi="Times New Roman" w:cs="Times New Roman"/>
          <w:sz w:val="24"/>
          <w:szCs w:val="24"/>
          <w:lang w:val="en-US" w:eastAsia="en-GB"/>
        </w:rPr>
      </w:pPr>
      <w:r w:rsidRPr="00FE6C74">
        <w:rPr>
          <w:rFonts w:ascii="Times New Roman" w:eastAsia="SimSun" w:hAnsi="Times New Roman" w:cs="Times New Roman"/>
          <w:sz w:val="24"/>
          <w:szCs w:val="24"/>
          <w:lang w:val="en-US" w:eastAsia="en-GB"/>
        </w:rPr>
        <w:lastRenderedPageBreak/>
        <w:t>In Kenya, the inability to make informed career choices is the most common obstacle young individuals’ face in advancing their careers. Most high school students lack the motivation to pursue personal growth through a university education, opting instead for paths that do not enhance skills and abilities relevant to the job market. This research aimed to explore the impact of self-efficacy on the career choices of secondary school students. A total of 364 students in their fourth year from Busia County, Kenya, took part in the study. Factors such as age, gender, and type of school were accounted for when evaluating self-efficacy in career decision-making. Various scales were developed to measure career decision-making ability and self-efficacy levels. The data underwent analysis using multinomial logistic regression and the Spearman correlation coefficient. Although the relative risk ratio varied with the inclusion of control variables in the multinomial logistic models, the p-value remained statistically significant. This finding indicated that the relationship between self-efficacy and career decision-making was notably shaped by elements within the self-efficacy construct. The findings led to a recommendation for implementing career counseling and guidance strategies in schools to enhance decision-making regarding careers (Ogutu et al., 2017).</w:t>
      </w:r>
    </w:p>
    <w:p w14:paraId="7054D3D5" w14:textId="2702DFDA" w:rsidR="00FE6C74" w:rsidRPr="00FE6C74" w:rsidRDefault="00FE6C74" w:rsidP="00FE6C74">
      <w:pPr>
        <w:spacing w:after="0" w:line="360" w:lineRule="auto"/>
        <w:jc w:val="both"/>
        <w:rPr>
          <w:rFonts w:ascii="Times New Roman" w:eastAsia="SimSun" w:hAnsi="Times New Roman" w:cs="Times New Roman"/>
          <w:sz w:val="24"/>
          <w:szCs w:val="24"/>
          <w:lang w:val="en-US" w:eastAsia="en-GB"/>
        </w:rPr>
      </w:pPr>
      <w:r w:rsidRPr="00FE6C74">
        <w:rPr>
          <w:rFonts w:ascii="Times New Roman" w:eastAsia="SimSun" w:hAnsi="Times New Roman" w:cs="Times New Roman"/>
          <w:sz w:val="24"/>
          <w:szCs w:val="24"/>
          <w:lang w:val="en-US" w:eastAsia="en-GB"/>
        </w:rPr>
        <w:t xml:space="preserve">According to a study conducted in Kenya by </w:t>
      </w:r>
      <w:proofErr w:type="spellStart"/>
      <w:r w:rsidRPr="00FE6C74">
        <w:rPr>
          <w:rFonts w:ascii="Times New Roman" w:eastAsia="SimSun" w:hAnsi="Times New Roman" w:cs="Times New Roman"/>
          <w:sz w:val="24"/>
          <w:szCs w:val="24"/>
          <w:lang w:val="en-US" w:eastAsia="en-GB"/>
        </w:rPr>
        <w:t>Odanga</w:t>
      </w:r>
      <w:proofErr w:type="spellEnd"/>
      <w:r w:rsidRPr="00FE6C74">
        <w:rPr>
          <w:rFonts w:ascii="Times New Roman" w:eastAsia="SimSun" w:hAnsi="Times New Roman" w:cs="Times New Roman"/>
          <w:sz w:val="24"/>
          <w:szCs w:val="24"/>
          <w:lang w:val="en-US" w:eastAsia="en-GB"/>
        </w:rPr>
        <w:t xml:space="preserve">, </w:t>
      </w:r>
      <w:proofErr w:type="spellStart"/>
      <w:r w:rsidRPr="00FE6C74">
        <w:rPr>
          <w:rFonts w:ascii="Times New Roman" w:eastAsia="SimSun" w:hAnsi="Times New Roman" w:cs="Times New Roman"/>
          <w:sz w:val="24"/>
          <w:szCs w:val="24"/>
          <w:lang w:val="en-US" w:eastAsia="en-GB"/>
        </w:rPr>
        <w:t>Raburu</w:t>
      </w:r>
      <w:proofErr w:type="spellEnd"/>
      <w:r w:rsidRPr="00FE6C74">
        <w:rPr>
          <w:rFonts w:ascii="Times New Roman" w:eastAsia="SimSun" w:hAnsi="Times New Roman" w:cs="Times New Roman"/>
          <w:sz w:val="24"/>
          <w:szCs w:val="24"/>
          <w:lang w:val="en-US" w:eastAsia="en-GB"/>
        </w:rPr>
        <w:t xml:space="preserve">, and Aloka (2015), gender had no statistically significant impact on teachers' self-efficacy. With a sample size of 327 teachers selected by stratified random sampling, the study used a mixed method approach. Data was gathered through questionnaires and interview schedules. Additionally, Ochieng (2015) conducted a study in Kenya's </w:t>
      </w:r>
      <w:proofErr w:type="spellStart"/>
      <w:r w:rsidRPr="00FE6C74">
        <w:rPr>
          <w:rFonts w:ascii="Times New Roman" w:eastAsia="SimSun" w:hAnsi="Times New Roman" w:cs="Times New Roman"/>
          <w:sz w:val="24"/>
          <w:szCs w:val="24"/>
          <w:lang w:val="en-US" w:eastAsia="en-GB"/>
        </w:rPr>
        <w:t>Nyakach</w:t>
      </w:r>
      <w:proofErr w:type="spellEnd"/>
      <w:r w:rsidRPr="00FE6C74">
        <w:rPr>
          <w:rFonts w:ascii="Times New Roman" w:eastAsia="SimSun" w:hAnsi="Times New Roman" w:cs="Times New Roman"/>
          <w:sz w:val="24"/>
          <w:szCs w:val="24"/>
          <w:lang w:val="en-US" w:eastAsia="en-GB"/>
        </w:rPr>
        <w:t xml:space="preserve"> Sub- County to ascertain the connection between academic achievement and self-efficacy in secondary school pupils, both male and female. 390 secondary school students made up the study's sample, which used the descriptive research approach. The findings demonstrated that male students were more self-efficacious than female pupils. The current study used rigorous statistical analysis in the hopes of producing different outcomes, whereas earlier studies used descriptive statistical techniques to analyze the data. It is clear from earlier studies that self-efficacy has drawn a lot of attention in the career literature over time. Nonetheless, college and university samples have been the subject of a large portion of the research. Examining the relationship between self-efficacy and career decision making with the goal of triggering a dynamic approach to career counseling in schools was crucial for the current study, since secondary school is a time when students are expected to start formalizing and crystallizing their post-secondary career plans. More quantitative study is required on sampling </w:t>
      </w:r>
      <w:r w:rsidRPr="00FE6C74">
        <w:rPr>
          <w:rFonts w:ascii="Times New Roman" w:eastAsia="SimSun" w:hAnsi="Times New Roman" w:cs="Times New Roman"/>
          <w:sz w:val="24"/>
          <w:szCs w:val="24"/>
          <w:lang w:val="en-US" w:eastAsia="en-GB"/>
        </w:rPr>
        <w:lastRenderedPageBreak/>
        <w:t>populations that are more varied and comprise secondary school pupils from different educational backgrounds.</w:t>
      </w:r>
    </w:p>
    <w:p w14:paraId="06E8A4AC" w14:textId="57E97121" w:rsidR="008C3F3F" w:rsidRPr="009877ED" w:rsidRDefault="00B864E0" w:rsidP="002D64C6">
      <w:pPr>
        <w:spacing w:before="240" w:after="0" w:line="240" w:lineRule="auto"/>
        <w:jc w:val="both"/>
        <w:rPr>
          <w:rFonts w:ascii="Times New Roman" w:hAnsi="Times New Roman" w:cs="Times New Roman"/>
          <w:b/>
          <w:sz w:val="24"/>
          <w:szCs w:val="24"/>
        </w:rPr>
      </w:pPr>
      <w:r w:rsidRPr="009877ED">
        <w:rPr>
          <w:rFonts w:ascii="Times New Roman" w:hAnsi="Times New Roman" w:cs="Times New Roman"/>
          <w:b/>
          <w:sz w:val="24"/>
          <w:szCs w:val="24"/>
        </w:rPr>
        <w:t>3.0 METHODOLOGY</w:t>
      </w:r>
    </w:p>
    <w:p w14:paraId="7BE820F7" w14:textId="7F6D439E" w:rsidR="009E5FE4" w:rsidRPr="009877ED" w:rsidRDefault="00970294" w:rsidP="00FE6C74">
      <w:pPr>
        <w:pStyle w:val="Heading2"/>
        <w:spacing w:after="0"/>
        <w:jc w:val="both"/>
        <w:rPr>
          <w:rFonts w:cs="Times New Roman"/>
          <w:szCs w:val="24"/>
        </w:rPr>
      </w:pPr>
      <w:bookmarkStart w:id="1" w:name="_Toc148117273"/>
      <w:r w:rsidRPr="009877ED">
        <w:rPr>
          <w:rFonts w:cs="Times New Roman"/>
          <w:szCs w:val="24"/>
        </w:rPr>
        <w:t>3.1</w:t>
      </w:r>
      <w:r w:rsidR="009E5FE4" w:rsidRPr="009877ED">
        <w:rPr>
          <w:rFonts w:cs="Times New Roman"/>
          <w:szCs w:val="24"/>
        </w:rPr>
        <w:t xml:space="preserve"> Research Design</w:t>
      </w:r>
      <w:bookmarkEnd w:id="1"/>
      <w:r w:rsidR="009E5FE4" w:rsidRPr="009877ED">
        <w:rPr>
          <w:rFonts w:cs="Times New Roman"/>
          <w:szCs w:val="24"/>
        </w:rPr>
        <w:t xml:space="preserve"> </w:t>
      </w:r>
    </w:p>
    <w:p w14:paraId="7305EEC5" w14:textId="77777777" w:rsidR="00F0406D" w:rsidRDefault="00FE6C74" w:rsidP="00F0406D">
      <w:pPr>
        <w:spacing w:after="0" w:line="360" w:lineRule="auto"/>
        <w:jc w:val="both"/>
        <w:rPr>
          <w:rFonts w:ascii="Times New Roman" w:eastAsia="SimSun" w:hAnsi="Times New Roman" w:cs="Times New Roman"/>
          <w:sz w:val="24"/>
          <w:szCs w:val="24"/>
          <w:lang w:val="en-US"/>
        </w:rPr>
      </w:pPr>
      <w:r w:rsidRPr="00FE6C74">
        <w:rPr>
          <w:rFonts w:ascii="Times New Roman" w:eastAsia="SimSun" w:hAnsi="Times New Roman" w:cs="Times New Roman"/>
          <w:sz w:val="24"/>
          <w:szCs w:val="24"/>
          <w:lang w:val="en-US"/>
        </w:rPr>
        <w:t xml:space="preserve">This investigation utilized a descriptive survey research design.  Descriptive survey design entails gathering information regarding individuals' perceptions, attitudes, and opinions on various educational or social issues without any manipulation (Gill &amp; Phil, 2011). The design was deemed appropriate for this study due to its ability to provide valid and precise responses to the study objectives (Patton, 2015).  This design was employed in the study based on the premise that a descriptive survey is focused on determining the scope of various problems, issues, and concerns within communities. It is suitable for gathering information through interviews or questionnaires (Ritchie &amp; Lewis, 2012).  The design produced descriptive data that was illustrated through graphs and charts, facilitating a deeper understanding of the data distribution in relation to the study objectives.  This study examines key constructs such as teacher practices, subject selection, career counselling programs, and perceived barriers. These elements were analyzed both separately and in conjunction to determine their impact on students’ career decisiveness in secondary schools located in </w:t>
      </w:r>
      <w:proofErr w:type="spellStart"/>
      <w:r w:rsidRPr="00FE6C74">
        <w:rPr>
          <w:rFonts w:ascii="Times New Roman" w:eastAsia="SimSun" w:hAnsi="Times New Roman" w:cs="Times New Roman"/>
          <w:sz w:val="24"/>
          <w:szCs w:val="24"/>
          <w:lang w:val="en-US"/>
        </w:rPr>
        <w:t>Gilgil</w:t>
      </w:r>
      <w:proofErr w:type="spellEnd"/>
      <w:r w:rsidRPr="00FE6C74">
        <w:rPr>
          <w:rFonts w:ascii="Times New Roman" w:eastAsia="SimSun" w:hAnsi="Times New Roman" w:cs="Times New Roman"/>
          <w:sz w:val="24"/>
          <w:szCs w:val="24"/>
          <w:lang w:val="en-US"/>
        </w:rPr>
        <w:t xml:space="preserve"> Subcounty, Nakuru County</w:t>
      </w:r>
      <w:r w:rsidR="00F0406D">
        <w:rPr>
          <w:rFonts w:ascii="Times New Roman" w:eastAsia="SimSun" w:hAnsi="Times New Roman" w:cs="Times New Roman"/>
          <w:sz w:val="24"/>
          <w:szCs w:val="24"/>
          <w:lang w:val="en-US"/>
        </w:rPr>
        <w:t>.</w:t>
      </w:r>
    </w:p>
    <w:p w14:paraId="34B8DF4A" w14:textId="7790ACEB" w:rsidR="009E5FE4" w:rsidRPr="009877ED" w:rsidRDefault="00970294" w:rsidP="00FE6C74">
      <w:pPr>
        <w:pStyle w:val="Heading3"/>
        <w:spacing w:after="0"/>
        <w:jc w:val="both"/>
      </w:pPr>
      <w:bookmarkStart w:id="2" w:name="_Toc148117275"/>
      <w:r w:rsidRPr="009877ED">
        <w:lastRenderedPageBreak/>
        <w:t>3.2</w:t>
      </w:r>
      <w:r w:rsidR="009E5FE4" w:rsidRPr="009877ED">
        <w:t xml:space="preserve"> Population</w:t>
      </w:r>
      <w:bookmarkEnd w:id="2"/>
      <w:r w:rsidR="009E5FE4" w:rsidRPr="009877ED">
        <w:t xml:space="preserve"> </w:t>
      </w:r>
    </w:p>
    <w:p w14:paraId="139D9AF5" w14:textId="19F4B4C1" w:rsidR="00FE6C74" w:rsidRPr="00F0406D" w:rsidRDefault="00FE6C74" w:rsidP="00F0406D">
      <w:pPr>
        <w:pStyle w:val="Heading1"/>
        <w:jc w:val="both"/>
        <w:rPr>
          <w:b w:val="0"/>
          <w:lang w:eastAsia="en-US"/>
        </w:rPr>
      </w:pPr>
      <w:r w:rsidRPr="00FE6C74">
        <w:rPr>
          <w:b w:val="0"/>
        </w:rPr>
        <w:t xml:space="preserve">In research, the word target population refers to the total group of people or entities that a researcher wishes to examine or collect data on.  It is the population to whom a study's findings are meant to be generalized. </w:t>
      </w:r>
      <w:proofErr w:type="spellStart"/>
      <w:r w:rsidRPr="00FE6C74">
        <w:rPr>
          <w:b w:val="0"/>
        </w:rPr>
        <w:t>Dahabreh</w:t>
      </w:r>
      <w:proofErr w:type="spellEnd"/>
      <w:r w:rsidRPr="00FE6C74">
        <w:rPr>
          <w:b w:val="0"/>
        </w:rPr>
        <w:t xml:space="preserve"> et al. (2020) state that the term "target population" refers to the total set of people or things from whom the researcher hopes to glean meaningful information. The researcher acquired data regarding the target demographic from the Meru County Director of Education's office.  The population consisted of participants from all the 30 public and 35 private secondary schools in </w:t>
      </w:r>
      <w:proofErr w:type="spellStart"/>
      <w:r w:rsidRPr="00FE6C74">
        <w:rPr>
          <w:b w:val="0"/>
        </w:rPr>
        <w:t>Gilgil</w:t>
      </w:r>
      <w:proofErr w:type="spellEnd"/>
      <w:r w:rsidRPr="00FE6C74">
        <w:rPr>
          <w:b w:val="0"/>
        </w:rPr>
        <w:t xml:space="preserve"> sub-County in 2021, for a grand total of 65 institutions serving as the unit of analysis, as reported by the Ministry of Education </w:t>
      </w:r>
      <w:bookmarkStart w:id="3" w:name="_Hlk196059084"/>
      <w:proofErr w:type="spellStart"/>
      <w:r w:rsidRPr="00FE6C74">
        <w:rPr>
          <w:b w:val="0"/>
        </w:rPr>
        <w:t>Gilgil</w:t>
      </w:r>
      <w:proofErr w:type="spellEnd"/>
      <w:r w:rsidRPr="00FE6C74">
        <w:rPr>
          <w:b w:val="0"/>
        </w:rPr>
        <w:t xml:space="preserve"> sub-County </w:t>
      </w:r>
      <w:bookmarkEnd w:id="3"/>
      <w:r w:rsidRPr="00FE6C74">
        <w:rPr>
          <w:b w:val="0"/>
        </w:rPr>
        <w:t xml:space="preserve">Office. The sixty-five public and private secondary schools comprised a population of 3,547 form four students, 65 principals, 65 career guidance teachers or equivalent.  The participants were deemed suitable for supplying the data necessary to fulfil the research objectives. The unit of observation included principals, </w:t>
      </w:r>
      <w:r w:rsidRPr="00FE6C74">
        <w:rPr>
          <w:b w:val="0"/>
          <w:color w:val="000000"/>
        </w:rPr>
        <w:t>c</w:t>
      </w:r>
      <w:r w:rsidRPr="00FE6C74">
        <w:rPr>
          <w:b w:val="0"/>
        </w:rPr>
        <w:t>areer teachers, heads of counselling department or their equivalents each drawn from these schools</w:t>
      </w:r>
    </w:p>
    <w:p w14:paraId="60A48623" w14:textId="2AF5D97A" w:rsidR="009E5FE4" w:rsidRPr="009877ED" w:rsidRDefault="009E5FE4" w:rsidP="00F0406D">
      <w:pPr>
        <w:pStyle w:val="Heading3"/>
        <w:jc w:val="both"/>
      </w:pPr>
      <w:bookmarkStart w:id="4" w:name="_Toc148117277"/>
      <w:r w:rsidRPr="009877ED">
        <w:t>3.</w:t>
      </w:r>
      <w:r w:rsidR="00F0406D">
        <w:t>3</w:t>
      </w:r>
      <w:r w:rsidRPr="009877ED">
        <w:t xml:space="preserve"> Sampling Procedure</w:t>
      </w:r>
      <w:bookmarkEnd w:id="4"/>
      <w:r w:rsidRPr="009877ED">
        <w:t xml:space="preserve"> </w:t>
      </w:r>
    </w:p>
    <w:p w14:paraId="4934F0F7" w14:textId="77777777" w:rsidR="00F0406D" w:rsidRPr="00F0406D" w:rsidRDefault="00F0406D" w:rsidP="00F0406D">
      <w:pPr>
        <w:spacing w:after="0" w:line="360" w:lineRule="auto"/>
        <w:jc w:val="both"/>
        <w:rPr>
          <w:rFonts w:ascii="Times New Roman" w:eastAsia="SimSun" w:hAnsi="Times New Roman" w:cs="Times New Roman"/>
          <w:sz w:val="24"/>
          <w:szCs w:val="24"/>
          <w:lang w:val="en-US"/>
        </w:rPr>
      </w:pPr>
      <w:r w:rsidRPr="00F0406D">
        <w:rPr>
          <w:rFonts w:ascii="Times New Roman" w:eastAsia="SimSun" w:hAnsi="Times New Roman" w:cs="Times New Roman"/>
          <w:sz w:val="24"/>
          <w:szCs w:val="24"/>
          <w:lang w:val="en-US"/>
        </w:rPr>
        <w:t xml:space="preserve">A sampling technique refers to the method used to select a subset (sample) of individuals, items, or data points from a larger group (population) for the purpose of conducting a study. The goal of sampling is to ensure that the selected sample is representative of the entire population, enabling researchers to make accurate inferences. </w:t>
      </w:r>
    </w:p>
    <w:p w14:paraId="4E76DB5D" w14:textId="587F55C9" w:rsidR="00F0406D" w:rsidRPr="004C74A3" w:rsidRDefault="00F0406D" w:rsidP="004C74A3">
      <w:pPr>
        <w:spacing w:after="0" w:line="360" w:lineRule="auto"/>
        <w:jc w:val="both"/>
        <w:rPr>
          <w:rFonts w:ascii="Times New Roman" w:eastAsia="SimSun" w:hAnsi="Times New Roman" w:cs="Times New Roman"/>
          <w:sz w:val="24"/>
          <w:szCs w:val="24"/>
          <w:lang w:val="en-US"/>
        </w:rPr>
      </w:pPr>
      <w:r w:rsidRPr="00F0406D">
        <w:rPr>
          <w:rFonts w:ascii="Times New Roman" w:eastAsia="SimSun" w:hAnsi="Times New Roman" w:cs="Times New Roman"/>
          <w:sz w:val="24"/>
          <w:szCs w:val="24"/>
          <w:lang w:val="en-US"/>
        </w:rPr>
        <w:t xml:space="preserve">All principals and career guidance educators from the selected schools were purposively chosen as participants in this study. Purposive sampling enabled the researcher to select samples that possess the necessary information pertinent to the study's objectives (Campbell et al., 2020). The principals would adequately address inquiries pertaining to objective one, which involves examining the teacher practices and objective two on subject selection policies adopted by the schools and career choice among secondary school students in </w:t>
      </w:r>
      <w:proofErr w:type="spellStart"/>
      <w:r w:rsidRPr="00F0406D">
        <w:rPr>
          <w:rFonts w:ascii="Times New Roman" w:eastAsia="SimSun" w:hAnsi="Times New Roman" w:cs="Times New Roman"/>
          <w:sz w:val="24"/>
          <w:szCs w:val="24"/>
          <w:lang w:val="en-US"/>
        </w:rPr>
        <w:t>Gilgil</w:t>
      </w:r>
      <w:proofErr w:type="spellEnd"/>
      <w:r w:rsidRPr="00F0406D">
        <w:rPr>
          <w:rFonts w:ascii="Times New Roman" w:eastAsia="SimSun" w:hAnsi="Times New Roman" w:cs="Times New Roman"/>
          <w:sz w:val="24"/>
          <w:szCs w:val="24"/>
          <w:lang w:val="en-US"/>
        </w:rPr>
        <w:t xml:space="preserve"> sub-County in Nakuru county. The career guidance teachers were identified as the most suitable respondents about objectives two, three and four.  The principal and the career guidance educator from each selected secondary school were intentionally incorporated into this study.</w:t>
      </w:r>
    </w:p>
    <w:p w14:paraId="0B0C8A21" w14:textId="3331AAFB" w:rsidR="009E5FE4" w:rsidRPr="009877ED" w:rsidRDefault="00F0406D" w:rsidP="00F0406D">
      <w:pPr>
        <w:pStyle w:val="Heading2"/>
        <w:jc w:val="both"/>
        <w:rPr>
          <w:rFonts w:cs="Times New Roman"/>
          <w:szCs w:val="24"/>
        </w:rPr>
      </w:pPr>
      <w:bookmarkStart w:id="5" w:name="_Toc148117278"/>
      <w:r>
        <w:rPr>
          <w:rFonts w:cs="Times New Roman"/>
          <w:szCs w:val="24"/>
        </w:rPr>
        <w:lastRenderedPageBreak/>
        <w:t>3.4</w:t>
      </w:r>
      <w:r w:rsidR="009E5FE4" w:rsidRPr="009877ED">
        <w:rPr>
          <w:rFonts w:cs="Times New Roman"/>
          <w:szCs w:val="24"/>
        </w:rPr>
        <w:t xml:space="preserve"> Data Collection Instrument</w:t>
      </w:r>
      <w:bookmarkEnd w:id="5"/>
    </w:p>
    <w:p w14:paraId="253AEAA7" w14:textId="6D3A4AA4" w:rsidR="00F0406D" w:rsidRPr="00F0406D" w:rsidRDefault="00F0406D" w:rsidP="00F0406D">
      <w:pPr>
        <w:spacing w:after="0" w:line="360" w:lineRule="auto"/>
        <w:jc w:val="both"/>
        <w:rPr>
          <w:rFonts w:ascii="Times New Roman" w:eastAsia="SimSun" w:hAnsi="Times New Roman" w:cs="Times New Roman"/>
          <w:sz w:val="24"/>
          <w:szCs w:val="24"/>
          <w:lang w:val="en-US"/>
        </w:rPr>
      </w:pPr>
      <w:r w:rsidRPr="00F0406D">
        <w:rPr>
          <w:rFonts w:ascii="Times New Roman" w:eastAsia="SimSun" w:hAnsi="Times New Roman" w:cs="Times New Roman"/>
          <w:sz w:val="24"/>
          <w:szCs w:val="24"/>
          <w:lang w:val="en-US"/>
        </w:rPr>
        <w:t>The researcher aimed at collecting primary data since existing secondary data could not provide the information needed in this study. Wilson (2010) argues that primary data collection can be quite challenging in as far as establishing a suitable sample size and gathering the data can be time consuming and often frustrating, however, it generates an interesting set of findings that can make a significant contribution to overall research. The study used questionnaire whose items were formulated based on research objectives. The elements considered in coming up with specific questions were identified from review of literature</w:t>
      </w:r>
    </w:p>
    <w:p w14:paraId="732CDF7F" w14:textId="63C14409" w:rsidR="009E5FE4" w:rsidRPr="009877ED" w:rsidRDefault="00970294" w:rsidP="00C76FE0">
      <w:pPr>
        <w:pStyle w:val="Heading2"/>
        <w:jc w:val="both"/>
        <w:rPr>
          <w:rFonts w:cs="Times New Roman"/>
          <w:szCs w:val="24"/>
        </w:rPr>
      </w:pPr>
      <w:bookmarkStart w:id="6" w:name="_Toc148117283"/>
      <w:r w:rsidRPr="009877ED">
        <w:rPr>
          <w:rFonts w:cs="Times New Roman"/>
          <w:szCs w:val="24"/>
        </w:rPr>
        <w:t>3.5</w:t>
      </w:r>
      <w:r w:rsidR="009E5FE4" w:rsidRPr="009877ED">
        <w:rPr>
          <w:rFonts w:cs="Times New Roman"/>
          <w:szCs w:val="24"/>
        </w:rPr>
        <w:t xml:space="preserve"> Data Analysis </w:t>
      </w:r>
      <w:bookmarkEnd w:id="6"/>
    </w:p>
    <w:p w14:paraId="79E052D4" w14:textId="2FF5E469" w:rsidR="008F0000" w:rsidRPr="008F0000" w:rsidRDefault="008F0000" w:rsidP="008F0000">
      <w:pPr>
        <w:spacing w:after="0" w:line="48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 xml:space="preserve">The study used quantitative data that was obtained using questionnaire. Quantitative data obtained was carefully assessed to make sure that it is complete and any incomplete questionnaire was ruled out. In </w:t>
      </w:r>
      <w:proofErr w:type="spellStart"/>
      <w:r w:rsidRPr="008F0000">
        <w:rPr>
          <w:rFonts w:ascii="Times New Roman" w:eastAsia="SimSun" w:hAnsi="Times New Roman" w:cs="Times New Roman"/>
          <w:sz w:val="24"/>
          <w:szCs w:val="24"/>
          <w:lang w:val="en-US"/>
        </w:rPr>
        <w:t>Krumboltz's</w:t>
      </w:r>
      <w:proofErr w:type="spellEnd"/>
      <w:r w:rsidRPr="008F0000">
        <w:rPr>
          <w:rFonts w:ascii="Times New Roman" w:eastAsia="SimSun" w:hAnsi="Times New Roman" w:cs="Times New Roman"/>
          <w:sz w:val="24"/>
          <w:szCs w:val="24"/>
          <w:lang w:val="en-US"/>
        </w:rPr>
        <w:t xml:space="preserve"> (1998) KSLTCDM, the initial component of the theory outlines four elements that influence the career decision-making process: genetic gifts and unique skills, circumstances and occurrences in the environment, educational experiences, and skills </w:t>
      </w:r>
      <w:r>
        <w:rPr>
          <w:rFonts w:ascii="Times New Roman" w:eastAsia="SimSun" w:hAnsi="Times New Roman" w:cs="Times New Roman"/>
          <w:sz w:val="24"/>
          <w:szCs w:val="24"/>
          <w:lang w:val="en-US"/>
        </w:rPr>
        <w:t xml:space="preserve">related to tasks. As these </w:t>
      </w:r>
      <w:r w:rsidRPr="008F0000">
        <w:rPr>
          <w:rFonts w:ascii="Times New Roman" w:eastAsia="SimSun" w:hAnsi="Times New Roman" w:cs="Times New Roman"/>
          <w:sz w:val="24"/>
          <w:szCs w:val="24"/>
          <w:lang w:val="en-US"/>
        </w:rPr>
        <w:t>factors interact, individuals develop perceptions about themselves and their surroundings. Individuals move through various stages to enter a career field based on the extensive knowledge and competencies they gain. Inferential statistics was also derived with computation of Pearson’s Product Moment Correlation Coefficients so that the existing relationship between the study variables can be examined using the following Multiple regression model.</w:t>
      </w:r>
    </w:p>
    <w:p w14:paraId="2DD68242" w14:textId="28A9D8D7" w:rsidR="008F0000" w:rsidRPr="008F0000" w:rsidRDefault="008F0000" w:rsidP="008F0000">
      <w:pPr>
        <w:spacing w:after="0" w:line="48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Y = βо + β1X</w:t>
      </w:r>
      <w:r w:rsidRPr="008F0000">
        <w:rPr>
          <w:rFonts w:ascii="Times New Roman" w:eastAsia="SimSun" w:hAnsi="Times New Roman" w:cs="Times New Roman"/>
          <w:sz w:val="24"/>
          <w:szCs w:val="24"/>
          <w:vertAlign w:val="subscript"/>
          <w:lang w:val="en-US"/>
        </w:rPr>
        <w:t>1</w:t>
      </w:r>
      <w:r w:rsidRPr="008F0000">
        <w:rPr>
          <w:rFonts w:ascii="Times New Roman" w:eastAsia="SimSun" w:hAnsi="Times New Roman" w:cs="Times New Roman"/>
          <w:sz w:val="24"/>
          <w:szCs w:val="24"/>
          <w:lang w:val="en-US"/>
        </w:rPr>
        <w:t xml:space="preserve"> </w:t>
      </w:r>
    </w:p>
    <w:p w14:paraId="194FDF8B" w14:textId="77777777" w:rsidR="008F0000" w:rsidRPr="008F0000" w:rsidRDefault="008F0000" w:rsidP="008F0000">
      <w:pPr>
        <w:spacing w:after="0" w:line="48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Where:</w:t>
      </w:r>
    </w:p>
    <w:p w14:paraId="283F8880" w14:textId="77777777" w:rsidR="008F0000" w:rsidRPr="008F0000" w:rsidRDefault="008F0000" w:rsidP="008F0000">
      <w:pPr>
        <w:spacing w:after="0" w:line="48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Y - Career choice decisiveness</w:t>
      </w:r>
    </w:p>
    <w:p w14:paraId="28646866" w14:textId="77777777" w:rsidR="008F0000" w:rsidRPr="008F0000" w:rsidRDefault="008F0000" w:rsidP="008F0000">
      <w:pPr>
        <w:spacing w:after="0" w:line="48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X</w:t>
      </w:r>
      <w:r w:rsidRPr="008F0000">
        <w:rPr>
          <w:rFonts w:ascii="Times New Roman" w:eastAsia="SimSun" w:hAnsi="Times New Roman" w:cs="Times New Roman"/>
          <w:sz w:val="24"/>
          <w:szCs w:val="24"/>
          <w:vertAlign w:val="subscript"/>
          <w:lang w:val="en-US"/>
        </w:rPr>
        <w:t>1</w:t>
      </w:r>
      <w:r w:rsidRPr="008F0000">
        <w:rPr>
          <w:rFonts w:ascii="Times New Roman" w:eastAsia="SimSun" w:hAnsi="Times New Roman" w:cs="Times New Roman"/>
          <w:sz w:val="24"/>
          <w:szCs w:val="24"/>
          <w:lang w:val="en-US"/>
        </w:rPr>
        <w:t xml:space="preserve"> - </w:t>
      </w:r>
      <w:r w:rsidRPr="008F0000">
        <w:rPr>
          <w:rFonts w:ascii="Times New Roman" w:eastAsia="SimSun" w:hAnsi="Times New Roman" w:cs="Times New Roman"/>
          <w:sz w:val="24"/>
          <w:szCs w:val="24"/>
        </w:rPr>
        <w:t>Teacher Practices</w:t>
      </w:r>
    </w:p>
    <w:p w14:paraId="234DD99D" w14:textId="77777777" w:rsidR="008F0000" w:rsidRPr="008F0000" w:rsidRDefault="008F0000" w:rsidP="008F0000">
      <w:pPr>
        <w:spacing w:after="0" w:line="480" w:lineRule="auto"/>
        <w:jc w:val="both"/>
        <w:rPr>
          <w:rFonts w:ascii="Times New Roman" w:eastAsia="SimSun" w:hAnsi="Times New Roman" w:cs="Times New Roman"/>
          <w:sz w:val="24"/>
          <w:szCs w:val="24"/>
          <w:lang w:val="en-US"/>
        </w:rPr>
      </w:pPr>
      <w:r w:rsidRPr="008F0000">
        <w:rPr>
          <w:rFonts w:ascii="Times New Roman" w:eastAsia="SimSun" w:hAnsi="Times New Roman" w:cs="Times New Roman"/>
          <w:sz w:val="24"/>
          <w:szCs w:val="24"/>
          <w:lang w:val="en-US"/>
        </w:rPr>
        <w:t xml:space="preserve">βo = Y- Intercept     </w:t>
      </w:r>
    </w:p>
    <w:p w14:paraId="460B73B0" w14:textId="01FBE5D4" w:rsidR="008F0000" w:rsidRPr="008F0000" w:rsidRDefault="008F0000" w:rsidP="008F0000">
      <w:pPr>
        <w:spacing w:after="0" w:line="480" w:lineRule="auto"/>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lastRenderedPageBreak/>
        <w:t>Β1</w:t>
      </w:r>
      <w:r w:rsidRPr="008F0000">
        <w:rPr>
          <w:rFonts w:ascii="Times New Roman" w:eastAsia="SimSun" w:hAnsi="Times New Roman" w:cs="Times New Roman"/>
          <w:sz w:val="24"/>
          <w:szCs w:val="24"/>
          <w:lang w:val="en-US"/>
        </w:rPr>
        <w:t xml:space="preserve"> = Regression Coefficients</w:t>
      </w:r>
    </w:p>
    <w:p w14:paraId="3842FF6E" w14:textId="1A50923D" w:rsidR="00792AD3" w:rsidRPr="00792AD3" w:rsidRDefault="00B864E0" w:rsidP="00792AD3">
      <w:pPr>
        <w:autoSpaceDE w:val="0"/>
        <w:autoSpaceDN w:val="0"/>
        <w:adjustRightInd w:val="0"/>
        <w:spacing w:before="240" w:after="0" w:line="360" w:lineRule="auto"/>
        <w:jc w:val="both"/>
        <w:rPr>
          <w:rFonts w:ascii="Times New Roman" w:eastAsia="Calibri" w:hAnsi="Times New Roman" w:cs="Times New Roman"/>
          <w:b/>
          <w:sz w:val="24"/>
          <w:szCs w:val="24"/>
          <w:lang w:val="af-ZA"/>
        </w:rPr>
      </w:pPr>
      <w:r w:rsidRPr="009877ED">
        <w:rPr>
          <w:rFonts w:ascii="Times New Roman" w:eastAsia="Calibri" w:hAnsi="Times New Roman" w:cs="Times New Roman"/>
          <w:b/>
          <w:sz w:val="24"/>
          <w:szCs w:val="24"/>
          <w:lang w:val="af-ZA"/>
        </w:rPr>
        <w:t>4.0 RESULTS AND DISCUSSIONS</w:t>
      </w:r>
    </w:p>
    <w:p w14:paraId="2E79B355" w14:textId="77777777" w:rsidR="00792AD3" w:rsidRDefault="00792AD3" w:rsidP="00792AD3">
      <w:pPr>
        <w:pStyle w:val="Heading2"/>
        <w:jc w:val="both"/>
      </w:pPr>
      <w:r>
        <w:rPr>
          <w:lang w:val="af-ZA"/>
        </w:rPr>
        <w:t xml:space="preserve">4.1 </w:t>
      </w:r>
      <w:r>
        <w:t xml:space="preserve">Response Rate </w:t>
      </w:r>
    </w:p>
    <w:p w14:paraId="33493920" w14:textId="39CA12A1" w:rsidR="00792AD3" w:rsidRPr="00792AD3" w:rsidRDefault="00792AD3" w:rsidP="00792AD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Of the 346 questionnaires issued to Form Four students in public and private secondary schools in </w:t>
      </w:r>
      <w:proofErr w:type="spellStart"/>
      <w:r>
        <w:rPr>
          <w:rFonts w:ascii="Times New Roman" w:eastAsia="Calibri" w:hAnsi="Times New Roman" w:cs="Times New Roman"/>
          <w:sz w:val="24"/>
          <w:szCs w:val="24"/>
        </w:rPr>
        <w:t>Gilgil</w:t>
      </w:r>
      <w:proofErr w:type="spellEnd"/>
      <w:r>
        <w:rPr>
          <w:rFonts w:ascii="Times New Roman" w:eastAsia="Calibri" w:hAnsi="Times New Roman" w:cs="Times New Roman"/>
          <w:sz w:val="24"/>
          <w:szCs w:val="24"/>
        </w:rPr>
        <w:t xml:space="preserve"> Sub County in Nakuru County, 311 valid responses were received, indicating 89.9% response rate.  Sixty-five questionnaires were issued to selected Principals of public and private secondary schools in </w:t>
      </w:r>
      <w:proofErr w:type="spellStart"/>
      <w:r>
        <w:rPr>
          <w:rFonts w:ascii="Times New Roman" w:eastAsia="Calibri" w:hAnsi="Times New Roman" w:cs="Times New Roman"/>
          <w:sz w:val="24"/>
          <w:szCs w:val="24"/>
        </w:rPr>
        <w:t>Gilgil</w:t>
      </w:r>
      <w:proofErr w:type="spellEnd"/>
      <w:r>
        <w:rPr>
          <w:rFonts w:ascii="Times New Roman" w:eastAsia="Calibri" w:hAnsi="Times New Roman" w:cs="Times New Roman"/>
          <w:sz w:val="24"/>
          <w:szCs w:val="24"/>
        </w:rPr>
        <w:t xml:space="preserve"> sub county, of which 52 were returned.  This signifies a legitimate response rate of 80.0%.  Out of 65 distributed questionnaires for career guidance instructors, 55 were returned, yielding a valid response rate of 84.6%.</w:t>
      </w:r>
    </w:p>
    <w:p w14:paraId="1EB9709D" w14:textId="5D6E872E" w:rsidR="00792AD3" w:rsidRPr="00792AD3" w:rsidRDefault="00DE68B9" w:rsidP="00792AD3">
      <w:pPr>
        <w:keepNext/>
        <w:keepLines/>
        <w:spacing w:after="0" w:line="480" w:lineRule="auto"/>
        <w:outlineLvl w:val="1"/>
        <w:rPr>
          <w:rFonts w:ascii="Times New Roman" w:eastAsia="SimSun" w:hAnsi="Times New Roman" w:cs="Times New Roman"/>
          <w:b/>
          <w:bCs/>
          <w:sz w:val="24"/>
          <w:szCs w:val="32"/>
          <w:lang w:val="en-US"/>
        </w:rPr>
      </w:pPr>
      <w:bookmarkStart w:id="7" w:name="_Toc196556355"/>
      <w:r>
        <w:rPr>
          <w:rFonts w:ascii="Times New Roman" w:eastAsia="SimSun" w:hAnsi="Times New Roman" w:cs="Times New Roman"/>
          <w:b/>
          <w:bCs/>
          <w:sz w:val="24"/>
          <w:szCs w:val="32"/>
          <w:lang w:val="en-US"/>
        </w:rPr>
        <w:t>4.2</w:t>
      </w:r>
      <w:r w:rsidR="00792AD3" w:rsidRPr="00792AD3">
        <w:rPr>
          <w:rFonts w:ascii="Times New Roman" w:eastAsia="SimSun" w:hAnsi="Times New Roman" w:cs="Times New Roman"/>
          <w:b/>
          <w:bCs/>
          <w:sz w:val="24"/>
          <w:szCs w:val="32"/>
          <w:lang w:val="en-US"/>
        </w:rPr>
        <w:t xml:space="preserve"> Descriptive statistics</w:t>
      </w:r>
      <w:bookmarkEnd w:id="7"/>
      <w:r w:rsidR="00792AD3" w:rsidRPr="00792AD3">
        <w:rPr>
          <w:rFonts w:ascii="Times New Roman" w:eastAsia="SimSun" w:hAnsi="Times New Roman" w:cs="Times New Roman"/>
          <w:b/>
          <w:bCs/>
          <w:sz w:val="24"/>
          <w:szCs w:val="32"/>
          <w:lang w:val="en-US"/>
        </w:rPr>
        <w:t xml:space="preserve"> </w:t>
      </w:r>
    </w:p>
    <w:p w14:paraId="71CFB5A2" w14:textId="7A085FD1" w:rsidR="00513DA6" w:rsidRPr="00513DA6" w:rsidRDefault="00DE68B9" w:rsidP="00513DA6">
      <w:pPr>
        <w:spacing w:after="0"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4.2</w:t>
      </w:r>
      <w:r w:rsidR="00513DA6" w:rsidRPr="00513DA6">
        <w:rPr>
          <w:rFonts w:ascii="Times New Roman" w:eastAsia="Calibri" w:hAnsi="Times New Roman" w:cs="Times New Roman"/>
          <w:b/>
          <w:bCs/>
          <w:sz w:val="24"/>
          <w:szCs w:val="24"/>
          <w:lang w:val="en-US"/>
        </w:rPr>
        <w:t xml:space="preserve">.1 Teacher Practices and Career Choice Decisiveness </w:t>
      </w:r>
    </w:p>
    <w:p w14:paraId="4877F2D9" w14:textId="1D12C96B" w:rsidR="00513DA6" w:rsidRPr="00513DA6" w:rsidRDefault="00513DA6" w:rsidP="00513DA6">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t xml:space="preserve">The first objective of the study sought to establish the influence of teacher practices on career choice decisiveness among secondary school students in </w:t>
      </w:r>
      <w:proofErr w:type="spellStart"/>
      <w:r w:rsidRPr="00513DA6">
        <w:rPr>
          <w:rFonts w:ascii="Times New Roman" w:eastAsia="Calibri" w:hAnsi="Times New Roman" w:cs="Times New Roman"/>
          <w:sz w:val="24"/>
          <w:szCs w:val="24"/>
          <w:lang w:val="en-US"/>
        </w:rPr>
        <w:t>Gilgil</w:t>
      </w:r>
      <w:proofErr w:type="spellEnd"/>
      <w:r w:rsidRPr="00513DA6">
        <w:rPr>
          <w:rFonts w:ascii="Times New Roman" w:eastAsia="Calibri" w:hAnsi="Times New Roman" w:cs="Times New Roman"/>
          <w:sz w:val="24"/>
          <w:szCs w:val="24"/>
          <w:lang w:val="en-US"/>
        </w:rPr>
        <w:t xml:space="preserve"> Sub-County, Nakuru County.</w:t>
      </w:r>
      <w:r w:rsidRPr="00513DA6">
        <w:rPr>
          <w:rFonts w:ascii="Calibri" w:eastAsia="Calibri" w:hAnsi="Calibri" w:cs="Times New Roman"/>
          <w:lang w:val="en-US"/>
        </w:rPr>
        <w:t xml:space="preserve"> </w:t>
      </w:r>
      <w:r w:rsidRPr="00513DA6">
        <w:rPr>
          <w:rFonts w:ascii="Times New Roman" w:eastAsia="Calibri" w:hAnsi="Times New Roman" w:cs="Times New Roman"/>
          <w:sz w:val="24"/>
          <w:szCs w:val="24"/>
          <w:lang w:val="en-US"/>
        </w:rPr>
        <w:t xml:space="preserve">Responses from all the respondents were presented </w:t>
      </w:r>
      <w:r>
        <w:rPr>
          <w:rFonts w:ascii="Times New Roman" w:eastAsia="Calibri" w:hAnsi="Times New Roman" w:cs="Times New Roman"/>
          <w:sz w:val="24"/>
          <w:szCs w:val="24"/>
          <w:lang w:val="en-US"/>
        </w:rPr>
        <w:t>as shown in Table 1</w:t>
      </w:r>
      <w:r w:rsidRPr="00513DA6">
        <w:rPr>
          <w:rFonts w:ascii="Times New Roman" w:eastAsia="Calibri" w:hAnsi="Times New Roman" w:cs="Times New Roman"/>
          <w:sz w:val="24"/>
          <w:szCs w:val="24"/>
          <w:lang w:val="en-US"/>
        </w:rPr>
        <w:t>.</w:t>
      </w:r>
    </w:p>
    <w:p w14:paraId="3AA026CF" w14:textId="51F7EFCB" w:rsidR="00513DA6" w:rsidRPr="00917B8D" w:rsidRDefault="00513DA6" w:rsidP="00513DA6">
      <w:pPr>
        <w:spacing w:after="0" w:line="240" w:lineRule="auto"/>
        <w:jc w:val="both"/>
        <w:rPr>
          <w:rFonts w:ascii="Times New Roman" w:eastAsia="Calibri" w:hAnsi="Times New Roman" w:cs="Times New Roman"/>
          <w:b/>
          <w:bCs/>
          <w:sz w:val="20"/>
          <w:szCs w:val="20"/>
          <w:lang w:val="en-US"/>
        </w:rPr>
      </w:pPr>
      <w:r w:rsidRPr="00513DA6">
        <w:rPr>
          <w:rFonts w:ascii="Times New Roman" w:eastAsia="Calibri" w:hAnsi="Times New Roman" w:cs="Times New Roman"/>
          <w:b/>
          <w:bCs/>
          <w:sz w:val="20"/>
          <w:szCs w:val="20"/>
          <w:lang w:val="en-US"/>
        </w:rPr>
        <w:t>Table 1</w:t>
      </w:r>
      <w:r w:rsidR="00917B8D">
        <w:rPr>
          <w:rFonts w:ascii="Times New Roman" w:eastAsia="Calibri" w:hAnsi="Times New Roman" w:cs="Times New Roman"/>
          <w:b/>
          <w:bCs/>
          <w:sz w:val="20"/>
          <w:szCs w:val="20"/>
          <w:lang w:val="en-US"/>
        </w:rPr>
        <w:t xml:space="preserve">. </w:t>
      </w:r>
      <w:r w:rsidRPr="00513DA6">
        <w:rPr>
          <w:rFonts w:ascii="Times New Roman" w:eastAsia="Calibri" w:hAnsi="Times New Roman" w:cs="Times New Roman"/>
          <w:i/>
          <w:iCs/>
          <w:sz w:val="20"/>
          <w:szCs w:val="20"/>
          <w:lang w:val="en-US"/>
        </w:rPr>
        <w:t xml:space="preserve">Teachers’ Practices </w:t>
      </w:r>
    </w:p>
    <w:tbl>
      <w:tblPr>
        <w:tblStyle w:val="ListTable6Colorful1"/>
        <w:tblW w:w="5000" w:type="pct"/>
        <w:shd w:val="clear" w:color="auto" w:fill="FFFFFF"/>
        <w:tblLayout w:type="fixed"/>
        <w:tblLook w:val="04A0" w:firstRow="1" w:lastRow="0" w:firstColumn="1" w:lastColumn="0" w:noHBand="0" w:noVBand="1"/>
      </w:tblPr>
      <w:tblGrid>
        <w:gridCol w:w="1930"/>
        <w:gridCol w:w="1282"/>
        <w:gridCol w:w="781"/>
        <w:gridCol w:w="1329"/>
        <w:gridCol w:w="1213"/>
        <w:gridCol w:w="1329"/>
        <w:gridCol w:w="751"/>
        <w:gridCol w:w="745"/>
      </w:tblGrid>
      <w:tr w:rsidR="00513DA6" w:rsidRPr="00513DA6" w14:paraId="65B88296" w14:textId="77777777" w:rsidTr="00D178F5">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2CFDAA7E" w14:textId="77777777" w:rsidR="00513DA6" w:rsidRPr="00513DA6" w:rsidRDefault="00513DA6" w:rsidP="00513DA6">
            <w:pPr>
              <w:spacing w:after="0" w:line="240" w:lineRule="auto"/>
              <w:jc w:val="both"/>
              <w:rPr>
                <w:rFonts w:ascii="Times New Roman" w:hAnsi="Times New Roman"/>
                <w:sz w:val="20"/>
                <w:szCs w:val="20"/>
                <w:lang w:val="en-US"/>
              </w:rPr>
            </w:pPr>
            <w:bookmarkStart w:id="8" w:name="_Hlk196285616"/>
            <w:r w:rsidRPr="00513DA6">
              <w:rPr>
                <w:rFonts w:ascii="Times New Roman" w:hAnsi="Times New Roman"/>
                <w:sz w:val="20"/>
                <w:szCs w:val="20"/>
                <w:lang w:val="en-US"/>
              </w:rPr>
              <w:t xml:space="preserve"> Statements </w:t>
            </w:r>
          </w:p>
        </w:tc>
        <w:tc>
          <w:tcPr>
            <w:tcW w:w="684" w:type="pct"/>
            <w:shd w:val="clear" w:color="auto" w:fill="FFFFFF"/>
          </w:tcPr>
          <w:p w14:paraId="1A826EB4"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Strongly Agree</w:t>
            </w:r>
          </w:p>
        </w:tc>
        <w:tc>
          <w:tcPr>
            <w:tcW w:w="417" w:type="pct"/>
            <w:shd w:val="clear" w:color="auto" w:fill="FFFFFF"/>
          </w:tcPr>
          <w:p w14:paraId="18DDBB72"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Agree</w:t>
            </w:r>
          </w:p>
        </w:tc>
        <w:tc>
          <w:tcPr>
            <w:tcW w:w="709" w:type="pct"/>
            <w:shd w:val="clear" w:color="auto" w:fill="FFFFFF"/>
          </w:tcPr>
          <w:p w14:paraId="0D6CC5E8"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Neutral</w:t>
            </w:r>
          </w:p>
        </w:tc>
        <w:tc>
          <w:tcPr>
            <w:tcW w:w="647" w:type="pct"/>
            <w:shd w:val="clear" w:color="auto" w:fill="FFFFFF"/>
          </w:tcPr>
          <w:p w14:paraId="20F0FF51"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Disagree</w:t>
            </w:r>
          </w:p>
        </w:tc>
        <w:tc>
          <w:tcPr>
            <w:tcW w:w="709" w:type="pct"/>
            <w:shd w:val="clear" w:color="auto" w:fill="FFFFFF"/>
          </w:tcPr>
          <w:p w14:paraId="587F9C71"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Strongly Disagree</w:t>
            </w:r>
          </w:p>
        </w:tc>
        <w:tc>
          <w:tcPr>
            <w:tcW w:w="401" w:type="pct"/>
            <w:shd w:val="clear" w:color="auto" w:fill="FFFFFF"/>
          </w:tcPr>
          <w:p w14:paraId="32A188F9"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Mean</w:t>
            </w:r>
          </w:p>
        </w:tc>
        <w:tc>
          <w:tcPr>
            <w:tcW w:w="398" w:type="pct"/>
            <w:shd w:val="clear" w:color="auto" w:fill="FFFFFF"/>
          </w:tcPr>
          <w:p w14:paraId="7A107DD6" w14:textId="77777777" w:rsidR="00513DA6" w:rsidRPr="00513DA6" w:rsidRDefault="00513DA6" w:rsidP="00513DA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S. D</w:t>
            </w:r>
          </w:p>
        </w:tc>
      </w:tr>
      <w:tr w:rsidR="00513DA6" w:rsidRPr="00513DA6" w14:paraId="0D6DDDE8" w14:textId="77777777" w:rsidTr="00D178F5">
        <w:trPr>
          <w:trHeight w:val="711"/>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72769A78"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Teachers' passion for teaching boosts students' professional interest.</w:t>
            </w:r>
          </w:p>
        </w:tc>
        <w:tc>
          <w:tcPr>
            <w:tcW w:w="684" w:type="pct"/>
            <w:shd w:val="clear" w:color="auto" w:fill="FFFFFF"/>
          </w:tcPr>
          <w:p w14:paraId="4B10CF99"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86</w:t>
            </w:r>
          </w:p>
          <w:p w14:paraId="5EF910E6"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(20.6%)</w:t>
            </w:r>
          </w:p>
        </w:tc>
        <w:tc>
          <w:tcPr>
            <w:tcW w:w="417" w:type="pct"/>
            <w:shd w:val="clear" w:color="auto" w:fill="FFFFFF"/>
          </w:tcPr>
          <w:p w14:paraId="140A2C1D"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181</w:t>
            </w:r>
          </w:p>
          <w:p w14:paraId="654AFEDE"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(43.3%)</w:t>
            </w:r>
          </w:p>
        </w:tc>
        <w:tc>
          <w:tcPr>
            <w:tcW w:w="709" w:type="pct"/>
            <w:shd w:val="clear" w:color="auto" w:fill="FFFFFF"/>
          </w:tcPr>
          <w:p w14:paraId="09207C8B"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20</w:t>
            </w:r>
          </w:p>
          <w:p w14:paraId="3E569792"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(4.7%)</w:t>
            </w:r>
          </w:p>
        </w:tc>
        <w:tc>
          <w:tcPr>
            <w:tcW w:w="647" w:type="pct"/>
            <w:shd w:val="clear" w:color="auto" w:fill="FFFFFF"/>
            <w:noWrap/>
          </w:tcPr>
          <w:p w14:paraId="1B0182EC"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56</w:t>
            </w:r>
          </w:p>
          <w:p w14:paraId="24086B22"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(13.4%)</w:t>
            </w:r>
          </w:p>
        </w:tc>
        <w:tc>
          <w:tcPr>
            <w:tcW w:w="709" w:type="pct"/>
            <w:shd w:val="clear" w:color="auto" w:fill="FFFFFF"/>
          </w:tcPr>
          <w:p w14:paraId="7202B132"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75</w:t>
            </w:r>
          </w:p>
          <w:p w14:paraId="6C54ADB1"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(18.1%)</w:t>
            </w:r>
          </w:p>
        </w:tc>
        <w:tc>
          <w:tcPr>
            <w:tcW w:w="401" w:type="pct"/>
            <w:shd w:val="clear" w:color="auto" w:fill="FFFFFF"/>
            <w:noWrap/>
          </w:tcPr>
          <w:p w14:paraId="07985A1D"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3.78</w:t>
            </w:r>
          </w:p>
        </w:tc>
        <w:tc>
          <w:tcPr>
            <w:tcW w:w="398" w:type="pct"/>
            <w:shd w:val="clear" w:color="auto" w:fill="FFFFFF"/>
            <w:noWrap/>
          </w:tcPr>
          <w:p w14:paraId="7AC5B2EB"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0.601</w:t>
            </w:r>
          </w:p>
        </w:tc>
      </w:tr>
      <w:tr w:rsidR="00513DA6" w:rsidRPr="00513DA6" w14:paraId="68ED69C0" w14:textId="77777777" w:rsidTr="00D178F5">
        <w:trPr>
          <w:trHeight w:val="866"/>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4AE6BC90"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Teachers at this school inspire students to make career decisions.</w:t>
            </w:r>
          </w:p>
        </w:tc>
        <w:tc>
          <w:tcPr>
            <w:tcW w:w="684" w:type="pct"/>
            <w:shd w:val="clear" w:color="auto" w:fill="FFFFFF"/>
          </w:tcPr>
          <w:p w14:paraId="10DCAB65"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81(19.5%)</w:t>
            </w:r>
          </w:p>
        </w:tc>
        <w:tc>
          <w:tcPr>
            <w:tcW w:w="417" w:type="pct"/>
            <w:shd w:val="clear" w:color="auto" w:fill="FFFFFF"/>
          </w:tcPr>
          <w:p w14:paraId="7CA7F550"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56(31.0%)</w:t>
            </w:r>
          </w:p>
        </w:tc>
        <w:tc>
          <w:tcPr>
            <w:tcW w:w="709" w:type="pct"/>
            <w:shd w:val="clear" w:color="auto" w:fill="FFFFFF"/>
          </w:tcPr>
          <w:p w14:paraId="527B0409"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(2.0%)</w:t>
            </w:r>
          </w:p>
        </w:tc>
        <w:tc>
          <w:tcPr>
            <w:tcW w:w="647" w:type="pct"/>
            <w:shd w:val="clear" w:color="auto" w:fill="FFFFFF"/>
            <w:noWrap/>
          </w:tcPr>
          <w:p w14:paraId="54569E6A"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16(4.7%)</w:t>
            </w:r>
          </w:p>
        </w:tc>
        <w:tc>
          <w:tcPr>
            <w:tcW w:w="709" w:type="pct"/>
            <w:shd w:val="clear" w:color="auto" w:fill="FFFFFF"/>
          </w:tcPr>
          <w:p w14:paraId="1A083DD9"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(22.7%)</w:t>
            </w:r>
          </w:p>
        </w:tc>
        <w:tc>
          <w:tcPr>
            <w:tcW w:w="401" w:type="pct"/>
            <w:shd w:val="clear" w:color="auto" w:fill="FFFFFF"/>
            <w:noWrap/>
          </w:tcPr>
          <w:p w14:paraId="4939728B"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3.26</w:t>
            </w:r>
          </w:p>
        </w:tc>
        <w:tc>
          <w:tcPr>
            <w:tcW w:w="398" w:type="pct"/>
            <w:shd w:val="clear" w:color="auto" w:fill="FFFFFF"/>
            <w:noWrap/>
          </w:tcPr>
          <w:p w14:paraId="3BEC07A0"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0.809</w:t>
            </w:r>
          </w:p>
        </w:tc>
      </w:tr>
      <w:tr w:rsidR="00513DA6" w:rsidRPr="00513DA6" w14:paraId="4DFD1FE5" w14:textId="77777777" w:rsidTr="00D178F5">
        <w:trPr>
          <w:trHeight w:val="852"/>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76FEE8C7"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Teachers' career presentations help students choose careers.</w:t>
            </w:r>
          </w:p>
        </w:tc>
        <w:tc>
          <w:tcPr>
            <w:tcW w:w="684" w:type="pct"/>
            <w:shd w:val="clear" w:color="auto" w:fill="FFFFFF"/>
          </w:tcPr>
          <w:p w14:paraId="2C350811"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68(16,2%)</w:t>
            </w:r>
          </w:p>
        </w:tc>
        <w:tc>
          <w:tcPr>
            <w:tcW w:w="417" w:type="pct"/>
            <w:shd w:val="clear" w:color="auto" w:fill="FFFFFF"/>
          </w:tcPr>
          <w:p w14:paraId="09832BB4"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125(30.0%)</w:t>
            </w:r>
          </w:p>
        </w:tc>
        <w:tc>
          <w:tcPr>
            <w:tcW w:w="709" w:type="pct"/>
            <w:shd w:val="clear" w:color="auto" w:fill="FFFFFF"/>
          </w:tcPr>
          <w:p w14:paraId="08303C5C"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98(23.5%)</w:t>
            </w:r>
          </w:p>
        </w:tc>
        <w:tc>
          <w:tcPr>
            <w:tcW w:w="647" w:type="pct"/>
            <w:shd w:val="clear" w:color="auto" w:fill="FFFFFF"/>
            <w:noWrap/>
          </w:tcPr>
          <w:p w14:paraId="3D885017"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50(11.9%)</w:t>
            </w:r>
          </w:p>
        </w:tc>
        <w:tc>
          <w:tcPr>
            <w:tcW w:w="709" w:type="pct"/>
            <w:shd w:val="clear" w:color="auto" w:fill="FFFFFF"/>
          </w:tcPr>
          <w:p w14:paraId="317564D0"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76(18.1%)</w:t>
            </w:r>
          </w:p>
        </w:tc>
        <w:tc>
          <w:tcPr>
            <w:tcW w:w="401" w:type="pct"/>
            <w:shd w:val="clear" w:color="auto" w:fill="FFFFFF"/>
            <w:noWrap/>
          </w:tcPr>
          <w:p w14:paraId="7FA94CF6"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3.76</w:t>
            </w:r>
          </w:p>
        </w:tc>
        <w:tc>
          <w:tcPr>
            <w:tcW w:w="398" w:type="pct"/>
            <w:shd w:val="clear" w:color="auto" w:fill="FFFFFF"/>
            <w:noWrap/>
          </w:tcPr>
          <w:p w14:paraId="1CFA6B8F"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0.874</w:t>
            </w:r>
          </w:p>
        </w:tc>
      </w:tr>
      <w:tr w:rsidR="00513DA6" w:rsidRPr="00513DA6" w14:paraId="40E1460D" w14:textId="77777777" w:rsidTr="00D178F5">
        <w:trPr>
          <w:trHeight w:val="835"/>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02BD70F5"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Career discussions by teachers prepare students for career decisions.</w:t>
            </w:r>
          </w:p>
        </w:tc>
        <w:tc>
          <w:tcPr>
            <w:tcW w:w="684" w:type="pct"/>
            <w:shd w:val="clear" w:color="auto" w:fill="FFFFFF"/>
          </w:tcPr>
          <w:p w14:paraId="38A31589"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94(22.4%)</w:t>
            </w:r>
          </w:p>
        </w:tc>
        <w:tc>
          <w:tcPr>
            <w:tcW w:w="417" w:type="pct"/>
            <w:shd w:val="clear" w:color="auto" w:fill="FFFFFF"/>
          </w:tcPr>
          <w:p w14:paraId="637DFAE4"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60(14.4%)</w:t>
            </w:r>
          </w:p>
        </w:tc>
        <w:tc>
          <w:tcPr>
            <w:tcW w:w="709" w:type="pct"/>
            <w:shd w:val="clear" w:color="auto" w:fill="FFFFFF"/>
          </w:tcPr>
          <w:p w14:paraId="730EF0AA"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151(36.1%)</w:t>
            </w:r>
          </w:p>
        </w:tc>
        <w:tc>
          <w:tcPr>
            <w:tcW w:w="647" w:type="pct"/>
            <w:shd w:val="clear" w:color="auto" w:fill="FFFFFF"/>
            <w:noWrap/>
          </w:tcPr>
          <w:p w14:paraId="1F33A2EB"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39(9.4%)</w:t>
            </w:r>
          </w:p>
        </w:tc>
        <w:tc>
          <w:tcPr>
            <w:tcW w:w="709" w:type="pct"/>
            <w:shd w:val="clear" w:color="auto" w:fill="FFFFFF"/>
          </w:tcPr>
          <w:p w14:paraId="1AFDE046"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74(17.7%)</w:t>
            </w:r>
          </w:p>
        </w:tc>
        <w:tc>
          <w:tcPr>
            <w:tcW w:w="401" w:type="pct"/>
            <w:shd w:val="clear" w:color="auto" w:fill="FFFFFF"/>
            <w:noWrap/>
          </w:tcPr>
          <w:p w14:paraId="18919B2C"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3.35</w:t>
            </w:r>
          </w:p>
        </w:tc>
        <w:tc>
          <w:tcPr>
            <w:tcW w:w="398" w:type="pct"/>
            <w:shd w:val="clear" w:color="auto" w:fill="FFFFFF"/>
            <w:noWrap/>
          </w:tcPr>
          <w:p w14:paraId="24FAB43D"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0.842</w:t>
            </w:r>
          </w:p>
        </w:tc>
      </w:tr>
      <w:tr w:rsidR="00513DA6" w:rsidRPr="00513DA6" w14:paraId="251A415A" w14:textId="77777777" w:rsidTr="00D178F5">
        <w:trPr>
          <w:trHeight w:val="706"/>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1D493BEA"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Teachers plan tours to expose students to real-world occupations.</w:t>
            </w:r>
          </w:p>
        </w:tc>
        <w:tc>
          <w:tcPr>
            <w:tcW w:w="684" w:type="pct"/>
            <w:shd w:val="clear" w:color="auto" w:fill="FFFFFF"/>
          </w:tcPr>
          <w:p w14:paraId="1D8C35A9"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64(15.5%)</w:t>
            </w:r>
          </w:p>
        </w:tc>
        <w:tc>
          <w:tcPr>
            <w:tcW w:w="417" w:type="pct"/>
            <w:shd w:val="clear" w:color="auto" w:fill="FFFFFF"/>
          </w:tcPr>
          <w:p w14:paraId="26F349F8"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160(38.3%)</w:t>
            </w:r>
          </w:p>
        </w:tc>
        <w:tc>
          <w:tcPr>
            <w:tcW w:w="709" w:type="pct"/>
            <w:shd w:val="clear" w:color="auto" w:fill="FFFFFF"/>
          </w:tcPr>
          <w:p w14:paraId="5E698410"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34(8.1%)</w:t>
            </w:r>
          </w:p>
        </w:tc>
        <w:tc>
          <w:tcPr>
            <w:tcW w:w="647" w:type="pct"/>
            <w:shd w:val="clear" w:color="auto" w:fill="FFFFFF"/>
            <w:noWrap/>
          </w:tcPr>
          <w:p w14:paraId="10FC32E8"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45(10.8%)</w:t>
            </w:r>
          </w:p>
        </w:tc>
        <w:tc>
          <w:tcPr>
            <w:tcW w:w="709" w:type="pct"/>
            <w:shd w:val="clear" w:color="auto" w:fill="FFFFFF"/>
          </w:tcPr>
          <w:p w14:paraId="3639A0A2"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68(12.3%)</w:t>
            </w:r>
          </w:p>
        </w:tc>
        <w:tc>
          <w:tcPr>
            <w:tcW w:w="401" w:type="pct"/>
            <w:shd w:val="clear" w:color="auto" w:fill="FFFFFF"/>
            <w:noWrap/>
          </w:tcPr>
          <w:p w14:paraId="5BD44316"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3.62</w:t>
            </w:r>
          </w:p>
        </w:tc>
        <w:tc>
          <w:tcPr>
            <w:tcW w:w="398" w:type="pct"/>
            <w:shd w:val="clear" w:color="auto" w:fill="FFFFFF"/>
            <w:noWrap/>
          </w:tcPr>
          <w:p w14:paraId="791E93D5"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0.831</w:t>
            </w:r>
          </w:p>
        </w:tc>
      </w:tr>
      <w:tr w:rsidR="00513DA6" w:rsidRPr="00513DA6" w14:paraId="770B4FE1" w14:textId="77777777" w:rsidTr="00D178F5">
        <w:trPr>
          <w:trHeight w:val="1285"/>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7B49CD9E"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lastRenderedPageBreak/>
              <w:t>Educational travels include workplace visits to teach student about different careers.</w:t>
            </w:r>
          </w:p>
        </w:tc>
        <w:tc>
          <w:tcPr>
            <w:tcW w:w="684" w:type="pct"/>
            <w:shd w:val="clear" w:color="auto" w:fill="FFFFFF"/>
          </w:tcPr>
          <w:p w14:paraId="596221E1"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21(5.1%)</w:t>
            </w:r>
          </w:p>
        </w:tc>
        <w:tc>
          <w:tcPr>
            <w:tcW w:w="417" w:type="pct"/>
            <w:shd w:val="clear" w:color="auto" w:fill="FFFFFF"/>
          </w:tcPr>
          <w:p w14:paraId="24BA9BC4"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168(38.3%)</w:t>
            </w:r>
          </w:p>
        </w:tc>
        <w:tc>
          <w:tcPr>
            <w:tcW w:w="709" w:type="pct"/>
            <w:shd w:val="clear" w:color="auto" w:fill="FFFFFF"/>
          </w:tcPr>
          <w:p w14:paraId="25F67EAE"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95(22.7%)</w:t>
            </w:r>
          </w:p>
        </w:tc>
        <w:tc>
          <w:tcPr>
            <w:tcW w:w="647" w:type="pct"/>
            <w:shd w:val="clear" w:color="auto" w:fill="FFFFFF"/>
            <w:noWrap/>
          </w:tcPr>
          <w:p w14:paraId="7C668FD5"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24(5.8%)</w:t>
            </w:r>
          </w:p>
        </w:tc>
        <w:tc>
          <w:tcPr>
            <w:tcW w:w="709" w:type="pct"/>
            <w:shd w:val="clear" w:color="auto" w:fill="FFFFFF"/>
          </w:tcPr>
          <w:p w14:paraId="05A8C82E"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118(28.2%)</w:t>
            </w:r>
          </w:p>
        </w:tc>
        <w:tc>
          <w:tcPr>
            <w:tcW w:w="401" w:type="pct"/>
            <w:shd w:val="clear" w:color="auto" w:fill="FFFFFF"/>
            <w:noWrap/>
          </w:tcPr>
          <w:p w14:paraId="37145278"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3.57</w:t>
            </w:r>
          </w:p>
        </w:tc>
        <w:tc>
          <w:tcPr>
            <w:tcW w:w="398" w:type="pct"/>
            <w:shd w:val="clear" w:color="auto" w:fill="FFFFFF"/>
            <w:noWrap/>
          </w:tcPr>
          <w:p w14:paraId="21ACA38E" w14:textId="77777777" w:rsidR="00513DA6" w:rsidRPr="00513DA6" w:rsidRDefault="00513DA6" w:rsidP="00513D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0.971</w:t>
            </w:r>
          </w:p>
        </w:tc>
      </w:tr>
      <w:tr w:rsidR="00513DA6" w:rsidRPr="00513DA6" w14:paraId="64FDA10E" w14:textId="77777777" w:rsidTr="00D178F5">
        <w:trPr>
          <w:trHeight w:val="480"/>
        </w:trPr>
        <w:tc>
          <w:tcPr>
            <w:cnfStyle w:val="001000000000" w:firstRow="0" w:lastRow="0" w:firstColumn="1" w:lastColumn="0" w:oddVBand="0" w:evenVBand="0" w:oddHBand="0" w:evenHBand="0" w:firstRowFirstColumn="0" w:firstRowLastColumn="0" w:lastRowFirstColumn="0" w:lastRowLastColumn="0"/>
            <w:tcW w:w="1030" w:type="pct"/>
            <w:shd w:val="clear" w:color="auto" w:fill="FFFFFF"/>
          </w:tcPr>
          <w:p w14:paraId="08046E04" w14:textId="77777777" w:rsidR="00513DA6" w:rsidRPr="00513DA6" w:rsidRDefault="00513DA6" w:rsidP="00513DA6">
            <w:pPr>
              <w:spacing w:after="0" w:line="240" w:lineRule="auto"/>
              <w:jc w:val="both"/>
              <w:rPr>
                <w:rFonts w:ascii="Times New Roman" w:hAnsi="Times New Roman"/>
                <w:sz w:val="20"/>
                <w:szCs w:val="20"/>
                <w:lang w:val="en-US"/>
              </w:rPr>
            </w:pPr>
            <w:r w:rsidRPr="00513DA6">
              <w:rPr>
                <w:rFonts w:ascii="Times New Roman" w:hAnsi="Times New Roman"/>
                <w:sz w:val="20"/>
                <w:szCs w:val="20"/>
                <w:lang w:val="en-US"/>
              </w:rPr>
              <w:t>Valid N=418 (listwise)</w:t>
            </w:r>
          </w:p>
        </w:tc>
        <w:tc>
          <w:tcPr>
            <w:tcW w:w="684" w:type="pct"/>
            <w:shd w:val="clear" w:color="auto" w:fill="FFFFFF"/>
          </w:tcPr>
          <w:p w14:paraId="2CFD4BEC"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417" w:type="pct"/>
            <w:shd w:val="clear" w:color="auto" w:fill="FFFFFF"/>
          </w:tcPr>
          <w:p w14:paraId="0C56669E"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709" w:type="pct"/>
            <w:shd w:val="clear" w:color="auto" w:fill="FFFFFF"/>
          </w:tcPr>
          <w:p w14:paraId="69AB729E"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647" w:type="pct"/>
            <w:shd w:val="clear" w:color="auto" w:fill="FFFFFF"/>
          </w:tcPr>
          <w:p w14:paraId="71591294"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 </w:t>
            </w:r>
          </w:p>
        </w:tc>
        <w:tc>
          <w:tcPr>
            <w:tcW w:w="709" w:type="pct"/>
            <w:shd w:val="clear" w:color="auto" w:fill="FFFFFF"/>
          </w:tcPr>
          <w:p w14:paraId="012AA949"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c>
          <w:tcPr>
            <w:tcW w:w="401" w:type="pct"/>
            <w:shd w:val="clear" w:color="auto" w:fill="FFFFFF"/>
          </w:tcPr>
          <w:p w14:paraId="5CAD1030"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 </w:t>
            </w:r>
          </w:p>
        </w:tc>
        <w:tc>
          <w:tcPr>
            <w:tcW w:w="398" w:type="pct"/>
            <w:shd w:val="clear" w:color="auto" w:fill="FFFFFF"/>
          </w:tcPr>
          <w:p w14:paraId="7652E3E4" w14:textId="77777777" w:rsidR="00513DA6" w:rsidRPr="00513DA6" w:rsidRDefault="00513DA6" w:rsidP="00513DA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513DA6">
              <w:rPr>
                <w:rFonts w:ascii="Times New Roman" w:hAnsi="Times New Roman"/>
                <w:sz w:val="20"/>
                <w:szCs w:val="20"/>
                <w:lang w:val="en-US"/>
              </w:rPr>
              <w:t> </w:t>
            </w:r>
          </w:p>
        </w:tc>
      </w:tr>
      <w:bookmarkEnd w:id="8"/>
    </w:tbl>
    <w:p w14:paraId="71188068" w14:textId="77777777" w:rsidR="00513DA6" w:rsidRPr="00513DA6" w:rsidRDefault="00513DA6" w:rsidP="00513DA6">
      <w:pPr>
        <w:spacing w:after="0" w:line="240" w:lineRule="auto"/>
        <w:jc w:val="both"/>
        <w:rPr>
          <w:rFonts w:ascii="Times New Roman" w:eastAsia="Calibri" w:hAnsi="Times New Roman" w:cs="Times New Roman"/>
          <w:sz w:val="20"/>
          <w:szCs w:val="20"/>
          <w:lang w:val="en-US"/>
        </w:rPr>
      </w:pPr>
    </w:p>
    <w:p w14:paraId="54030C51" w14:textId="09742A2B" w:rsidR="00513DA6" w:rsidRPr="00513DA6" w:rsidRDefault="00513DA6" w:rsidP="00513DA6">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t xml:space="preserve">Findings in Table </w:t>
      </w:r>
      <w:r>
        <w:rPr>
          <w:rFonts w:ascii="Times New Roman" w:eastAsia="Calibri" w:hAnsi="Times New Roman" w:cs="Times New Roman"/>
          <w:sz w:val="24"/>
          <w:szCs w:val="24"/>
          <w:lang w:val="en-US"/>
        </w:rPr>
        <w:t>1</w:t>
      </w:r>
      <w:r w:rsidRPr="00513DA6">
        <w:rPr>
          <w:rFonts w:ascii="Times New Roman" w:eastAsia="Calibri" w:hAnsi="Times New Roman" w:cs="Times New Roman"/>
          <w:sz w:val="24"/>
          <w:szCs w:val="24"/>
          <w:lang w:val="en-US"/>
        </w:rPr>
        <w:t xml:space="preserve"> indicates how teachers’ practices influence students’ career decision-making through various forms of engagement, including classroom interaction, career discussions, and educational trips. The data reveals several key insights, each highlighting different dimensions of teacher impact. Teachers' passion for teaching appears to be a significant driver of student motivation, with 20.6% of respondents strongly agreeing and 43.3% agreeing that such passion boosts students’ professional interest. With a mean score of 3.78 and a standard deviation of 0.601, this statement reflects a strong and relatively consistent perception among respondents. The low variation suggests a general agreement that enthusiastic teachers positively influence students' engagement with their future careers.</w:t>
      </w:r>
    </w:p>
    <w:p w14:paraId="13FC670E" w14:textId="77777777" w:rsidR="00513DA6" w:rsidRPr="00513DA6" w:rsidRDefault="00513DA6" w:rsidP="00513DA6">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t>The role of teachers in inspiring students to make career decisions received a moderate level of support. 19.5% strongly agreed and 31.0% agreed with the statement, although a notable 22.7% strongly disagreed. The mean score was 3.26, with a standard deviation of 0.809, indicating a more diverse range of responses. This variation suggests that while some teachers are effectively motivating students toward career paths, others may not be equally impactful, possibly due to differences in teaching styles or availability of career guidance resources.</w:t>
      </w:r>
    </w:p>
    <w:p w14:paraId="550A3F94" w14:textId="77777777" w:rsidR="00513DA6" w:rsidRPr="00513DA6" w:rsidRDefault="00513DA6" w:rsidP="00513DA6">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t>When examining the role of career presentations by teachers, the responses again highlight their influence, with 16.2% strongly agreeing and 30.0% agreeing that such presentations help students choose careers. However, 23.5% remained neutral and 18.1% strongly disagreed. Despite this, the mean score stood at 3.76, which is relatively high, though the standard deviation of 0.874 reveals some disparity in student experiences, likely influenced by how often and how effectively these presentations are conducted.</w:t>
      </w:r>
    </w:p>
    <w:p w14:paraId="0535F326" w14:textId="77777777" w:rsidR="00513DA6" w:rsidRPr="00513DA6" w:rsidRDefault="00513DA6" w:rsidP="00513DA6">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t xml:space="preserve">The data also points to the mixed effectiveness of career discussions. While 22.4% of the respondents strongly agreed that such discussions prepare students for career decisions and 14.4% agreed, a significant 36.1% remained neutral. This led to a mean score of 3.35 and a standard deviation of 0.842, suggesting that students may not consistently benefit from these conversations, either due to their limited occurrence or lack of structure and clarity. Educational initiatives beyond </w:t>
      </w:r>
      <w:r w:rsidRPr="00513DA6">
        <w:rPr>
          <w:rFonts w:ascii="Times New Roman" w:eastAsia="Calibri" w:hAnsi="Times New Roman" w:cs="Times New Roman"/>
          <w:sz w:val="24"/>
          <w:szCs w:val="24"/>
          <w:lang w:val="en-US"/>
        </w:rPr>
        <w:lastRenderedPageBreak/>
        <w:t>the classroom also featured in the survey. When asked whether teachers plan tours to expose students to real-world occupations, 15.5% strongly agreed and 38.3% agreed. The mean score was 3.62 with a standard deviation of 0.831, indicating general approval, albeit with some inconsistencies in execution across schools.</w:t>
      </w:r>
    </w:p>
    <w:p w14:paraId="01BDBF3E" w14:textId="770E0D56" w:rsidR="00513DA6" w:rsidRDefault="00513DA6" w:rsidP="00790D71">
      <w:pPr>
        <w:spacing w:after="0" w:line="360" w:lineRule="auto"/>
        <w:jc w:val="both"/>
        <w:rPr>
          <w:rFonts w:ascii="Times New Roman" w:eastAsia="Calibri" w:hAnsi="Times New Roman" w:cs="Times New Roman"/>
          <w:sz w:val="24"/>
          <w:szCs w:val="24"/>
          <w:lang w:val="en-US"/>
        </w:rPr>
      </w:pPr>
      <w:r w:rsidRPr="00513DA6">
        <w:rPr>
          <w:rFonts w:ascii="Times New Roman" w:eastAsia="Calibri" w:hAnsi="Times New Roman" w:cs="Times New Roman"/>
          <w:sz w:val="24"/>
          <w:szCs w:val="24"/>
          <w:lang w:val="en-US"/>
        </w:rPr>
        <w:t>Regarding educational travels that include workplace visits, 5.1% strongly agreed and 38.3% agreed, whereas 28.2% strongly disagreed. The mean score of 3.57 and a relatively high standard deviation of 0.971 reflect the largest variability in student responses, suggesting that while some students benefit from such exposure, others may not have access to these opportunities.</w:t>
      </w:r>
    </w:p>
    <w:p w14:paraId="5227FADC" w14:textId="3A8F8A5A" w:rsidR="00DE68B9" w:rsidRPr="00DE68B9" w:rsidRDefault="00DE68B9" w:rsidP="00790D71">
      <w:pPr>
        <w:keepNext/>
        <w:keepLines/>
        <w:spacing w:after="0" w:line="360" w:lineRule="auto"/>
        <w:outlineLvl w:val="1"/>
        <w:rPr>
          <w:rFonts w:ascii="Times New Roman" w:eastAsia="SimSun" w:hAnsi="Times New Roman" w:cs="Times New Roman"/>
          <w:b/>
          <w:bCs/>
          <w:sz w:val="24"/>
          <w:szCs w:val="32"/>
          <w:lang w:val="en-US"/>
        </w:rPr>
      </w:pPr>
      <w:bookmarkStart w:id="9" w:name="_Toc196556356"/>
      <w:r>
        <w:rPr>
          <w:rFonts w:ascii="Times New Roman" w:eastAsia="SimSun" w:hAnsi="Times New Roman" w:cs="Times New Roman"/>
          <w:b/>
          <w:bCs/>
          <w:sz w:val="24"/>
          <w:szCs w:val="32"/>
          <w:lang w:val="en-US" w:eastAsia="en-GB"/>
        </w:rPr>
        <w:t>4.3</w:t>
      </w:r>
      <w:r w:rsidRPr="00DE68B9">
        <w:rPr>
          <w:rFonts w:ascii="Times New Roman" w:eastAsia="SimSun" w:hAnsi="Times New Roman" w:cs="Times New Roman"/>
          <w:b/>
          <w:bCs/>
          <w:sz w:val="24"/>
          <w:szCs w:val="32"/>
          <w:lang w:val="en-US" w:eastAsia="en-GB"/>
        </w:rPr>
        <w:t xml:space="preserve">. </w:t>
      </w:r>
      <w:r w:rsidRPr="00DE68B9">
        <w:rPr>
          <w:rFonts w:ascii="Times New Roman" w:eastAsia="SimSun" w:hAnsi="Times New Roman" w:cs="Times New Roman"/>
          <w:b/>
          <w:bCs/>
          <w:sz w:val="24"/>
          <w:szCs w:val="32"/>
          <w:lang w:val="en-US"/>
        </w:rPr>
        <w:t>Regression Analysis</w:t>
      </w:r>
      <w:bookmarkEnd w:id="9"/>
    </w:p>
    <w:p w14:paraId="6F026964" w14:textId="4E11D119" w:rsidR="00DE68B9" w:rsidRPr="00DE68B9" w:rsidRDefault="00DE68B9" w:rsidP="00790D71">
      <w:pPr>
        <w:spacing w:after="0" w:line="360" w:lineRule="auto"/>
        <w:jc w:val="both"/>
        <w:rPr>
          <w:rFonts w:ascii="Times New Roman" w:eastAsia="SimSun" w:hAnsi="Times New Roman" w:cs="Times New Roman"/>
          <w:sz w:val="24"/>
          <w:szCs w:val="24"/>
          <w:lang w:val="en-US"/>
        </w:rPr>
      </w:pPr>
      <w:bookmarkStart w:id="10" w:name="_Toc499536984"/>
      <w:bookmarkStart w:id="11" w:name="_Toc139899135"/>
      <w:bookmarkStart w:id="12" w:name="_Toc21511707"/>
      <w:bookmarkStart w:id="13" w:name="_Toc532630237"/>
      <w:bookmarkStart w:id="14" w:name="_Toc432780011"/>
      <w:bookmarkStart w:id="15" w:name="_Toc530483425"/>
      <w:bookmarkStart w:id="16" w:name="_Toc498063945"/>
      <w:bookmarkStart w:id="17" w:name="_Toc10901700"/>
      <w:bookmarkStart w:id="18" w:name="_Toc449176734"/>
      <w:bookmarkStart w:id="19" w:name="_Toc530071502"/>
      <w:bookmarkStart w:id="20" w:name="_Toc529512825"/>
      <w:bookmarkStart w:id="21" w:name="_Toc530737413"/>
      <w:bookmarkStart w:id="22" w:name="_Toc117790605"/>
      <w:bookmarkStart w:id="23" w:name="_Toc116943038"/>
      <w:bookmarkStart w:id="24" w:name="_Toc16947860"/>
      <w:r w:rsidRPr="00DE68B9">
        <w:rPr>
          <w:rFonts w:ascii="Times New Roman" w:eastAsia="SimSun" w:hAnsi="Times New Roman" w:cs="Times New Roman"/>
          <w:sz w:val="24"/>
          <w:szCs w:val="24"/>
          <w:lang w:val="en-US"/>
        </w:rPr>
        <w:t xml:space="preserve">A study utilized multiple regression analysis to explore the relationship between predictor variables and the decisiveness of secondary school students regarding their career choices in </w:t>
      </w:r>
      <w:proofErr w:type="spellStart"/>
      <w:r w:rsidRPr="00DE68B9">
        <w:rPr>
          <w:rFonts w:ascii="Times New Roman" w:eastAsia="SimSun" w:hAnsi="Times New Roman" w:cs="Times New Roman"/>
          <w:sz w:val="24"/>
          <w:szCs w:val="24"/>
          <w:lang w:val="en-US"/>
        </w:rPr>
        <w:t>Gilgil</w:t>
      </w:r>
      <w:proofErr w:type="spellEnd"/>
      <w:r w:rsidRPr="00DE68B9">
        <w:rPr>
          <w:rFonts w:ascii="Times New Roman" w:eastAsia="SimSun" w:hAnsi="Times New Roman" w:cs="Times New Roman"/>
          <w:sz w:val="24"/>
          <w:szCs w:val="24"/>
          <w:lang w:val="en-US"/>
        </w:rPr>
        <w:t xml:space="preserve"> Sub-County, Nakuru County, Kenya. Following the organization and coding of the collected data, SPSS version 28 was employed to generate the statistical output for the regression analysis. The coefficient of determination was used to illustrate how variations in the independent variables could explain alterations in the dependent variable. In this research, the degree of career choice decisiveness among secondary school students in </w:t>
      </w:r>
      <w:proofErr w:type="spellStart"/>
      <w:r w:rsidRPr="00DE68B9">
        <w:rPr>
          <w:rFonts w:ascii="Times New Roman" w:eastAsia="SimSun" w:hAnsi="Times New Roman" w:cs="Times New Roman"/>
          <w:sz w:val="24"/>
          <w:szCs w:val="24"/>
          <w:lang w:val="en-US"/>
        </w:rPr>
        <w:t>Gilgil</w:t>
      </w:r>
      <w:proofErr w:type="spellEnd"/>
      <w:r w:rsidRPr="00DE68B9">
        <w:rPr>
          <w:rFonts w:ascii="Times New Roman" w:eastAsia="SimSun" w:hAnsi="Times New Roman" w:cs="Times New Roman"/>
          <w:sz w:val="24"/>
          <w:szCs w:val="24"/>
          <w:lang w:val="en-US"/>
        </w:rPr>
        <w:t xml:space="preserve"> Sub-County, Nakuru County, Kenya, served as the dependent variable. The predictors consisted of subject choices, teaching methods, counseling initiatives, and barriers to effective career guidance by teachers.</w:t>
      </w:r>
    </w:p>
    <w:p w14:paraId="5F6B7AC6" w14:textId="20630CB5" w:rsidR="00DE68B9" w:rsidRPr="00DE68B9" w:rsidRDefault="00790D71" w:rsidP="00790D71">
      <w:pPr>
        <w:spacing w:after="0" w:line="360" w:lineRule="auto"/>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4.3</w:t>
      </w:r>
      <w:r w:rsidR="00DE68B9" w:rsidRPr="00DE68B9">
        <w:rPr>
          <w:rFonts w:ascii="Times New Roman" w:eastAsia="SimSun" w:hAnsi="Times New Roman" w:cs="Times New Roman"/>
          <w:b/>
          <w:bCs/>
          <w:sz w:val="24"/>
          <w:szCs w:val="24"/>
          <w:lang w:val="en-US"/>
        </w:rPr>
        <w:t>.1. Model Summary</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951F25E" w14:textId="2BF989EC" w:rsidR="00DE68B9" w:rsidRPr="00DE68B9" w:rsidRDefault="00DE68B9" w:rsidP="00790D71">
      <w:pPr>
        <w:spacing w:after="0" w:line="360" w:lineRule="auto"/>
        <w:jc w:val="both"/>
        <w:rPr>
          <w:rFonts w:ascii="Times New Roman" w:eastAsia="SimSun" w:hAnsi="Times New Roman" w:cs="Times New Roman"/>
          <w:sz w:val="24"/>
          <w:szCs w:val="24"/>
          <w:lang w:val="en-US"/>
        </w:rPr>
      </w:pPr>
      <w:bookmarkStart w:id="25" w:name="_Toc430775941"/>
      <w:bookmarkStart w:id="26" w:name="_Toc450915849"/>
      <w:bookmarkStart w:id="27" w:name="_Toc432499630"/>
      <w:bookmarkStart w:id="28" w:name="_Toc498063776"/>
      <w:bookmarkStart w:id="29" w:name="_Toc10901491"/>
      <w:bookmarkStart w:id="30" w:name="_Toc530071125"/>
      <w:bookmarkStart w:id="31" w:name="_Toc173496575"/>
      <w:bookmarkStart w:id="32" w:name="_Toc530737058"/>
      <w:bookmarkStart w:id="33" w:name="_Toc21511477"/>
      <w:bookmarkStart w:id="34" w:name="_Toc498686173"/>
      <w:bookmarkStart w:id="35" w:name="_Toc116941471"/>
      <w:bookmarkStart w:id="36" w:name="_Toc531100391"/>
      <w:bookmarkStart w:id="37" w:name="_Toc529512686"/>
      <w:bookmarkStart w:id="38" w:name="_Toc16947590"/>
      <w:bookmarkStart w:id="39" w:name="_Toc530406308"/>
      <w:r w:rsidRPr="00DE68B9">
        <w:rPr>
          <w:rFonts w:ascii="Times New Roman" w:eastAsia="SimSun" w:hAnsi="Times New Roman" w:cs="Times New Roman"/>
          <w:sz w:val="24"/>
          <w:szCs w:val="24"/>
          <w:lang w:val="en-US"/>
        </w:rPr>
        <w:t xml:space="preserve">The chart presented underneath outlines the summary of the model concerning how predictor variables interact with the determination of career choices among high school students in </w:t>
      </w:r>
      <w:proofErr w:type="spellStart"/>
      <w:r w:rsidRPr="00DE68B9">
        <w:rPr>
          <w:rFonts w:ascii="Times New Roman" w:eastAsia="SimSun" w:hAnsi="Times New Roman" w:cs="Times New Roman"/>
          <w:sz w:val="24"/>
          <w:szCs w:val="24"/>
          <w:lang w:val="en-US"/>
        </w:rPr>
        <w:t>Gilgil</w:t>
      </w:r>
      <w:proofErr w:type="spellEnd"/>
      <w:r w:rsidRPr="00DE68B9">
        <w:rPr>
          <w:rFonts w:ascii="Times New Roman" w:eastAsia="SimSun" w:hAnsi="Times New Roman" w:cs="Times New Roman"/>
          <w:sz w:val="24"/>
          <w:szCs w:val="24"/>
          <w:lang w:val="en-US"/>
        </w:rPr>
        <w:t xml:space="preserve"> Sub-County, Nakuru County, Kenya. The results are displayed in table </w:t>
      </w:r>
      <w:r w:rsidR="00790D71">
        <w:rPr>
          <w:rFonts w:ascii="Times New Roman" w:eastAsia="SimSun" w:hAnsi="Times New Roman" w:cs="Times New Roman"/>
          <w:sz w:val="24"/>
          <w:szCs w:val="24"/>
          <w:lang w:val="en-US"/>
        </w:rPr>
        <w:t>2</w:t>
      </w:r>
      <w:r w:rsidRPr="00DE68B9">
        <w:rPr>
          <w:rFonts w:ascii="Times New Roman" w:eastAsia="SimSun" w:hAnsi="Times New Roman" w:cs="Times New Roman"/>
          <w:sz w:val="24"/>
          <w:szCs w:val="24"/>
          <w:lang w:val="en-US"/>
        </w:rPr>
        <w:t>.</w:t>
      </w:r>
    </w:p>
    <w:p w14:paraId="0B8A926F" w14:textId="678BBD20" w:rsidR="00DE68B9" w:rsidRPr="00917B8D" w:rsidRDefault="00DE68B9" w:rsidP="00917B8D">
      <w:pPr>
        <w:spacing w:after="0" w:line="360" w:lineRule="auto"/>
        <w:rPr>
          <w:rFonts w:ascii="Times New Roman" w:eastAsia="SimSun" w:hAnsi="Times New Roman" w:cs="Times New Roman"/>
          <w:b/>
          <w:bCs/>
          <w:sz w:val="24"/>
          <w:szCs w:val="24"/>
          <w:lang w:val="en-US"/>
        </w:rPr>
      </w:pPr>
      <w:r w:rsidRPr="00DE68B9">
        <w:rPr>
          <w:rFonts w:ascii="Times New Roman" w:eastAsia="SimSun" w:hAnsi="Times New Roman" w:cs="Times New Roman"/>
          <w:b/>
          <w:bCs/>
          <w:sz w:val="24"/>
          <w:szCs w:val="24"/>
          <w:lang w:val="en-US"/>
        </w:rPr>
        <w:t xml:space="preserve">Table </w:t>
      </w:r>
      <w:r w:rsidR="00790D71">
        <w:rPr>
          <w:rFonts w:ascii="Times New Roman" w:eastAsia="SimSun" w:hAnsi="Times New Roman" w:cs="Times New Roman"/>
          <w:b/>
          <w:bCs/>
          <w:sz w:val="24"/>
          <w:szCs w:val="24"/>
          <w:lang w:val="en-US"/>
        </w:rPr>
        <w:t>2</w:t>
      </w:r>
      <w:r w:rsidR="00917B8D">
        <w:rPr>
          <w:rFonts w:ascii="Times New Roman" w:eastAsia="SimSun" w:hAnsi="Times New Roman" w:cs="Times New Roman"/>
          <w:b/>
          <w:bCs/>
          <w:sz w:val="24"/>
          <w:szCs w:val="24"/>
          <w:lang w:val="en-US"/>
        </w:rPr>
        <w:t xml:space="preserve">. </w:t>
      </w:r>
      <w:r w:rsidRPr="00DE68B9">
        <w:rPr>
          <w:rFonts w:ascii="Times New Roman" w:eastAsia="SimSun" w:hAnsi="Times New Roman" w:cs="Times New Roman"/>
          <w:i/>
          <w:iCs/>
          <w:sz w:val="24"/>
          <w:szCs w:val="24"/>
          <w:lang w:val="en-US"/>
        </w:rPr>
        <w:t xml:space="preserve">Model </w:t>
      </w:r>
      <w:bookmarkStart w:id="40" w:name="m_7095600579053613311__Toc496348954"/>
      <w:bookmarkEnd w:id="25"/>
      <w:bookmarkEnd w:id="26"/>
      <w:bookmarkEnd w:id="27"/>
      <w:bookmarkEnd w:id="28"/>
      <w:r w:rsidRPr="00DE68B9">
        <w:rPr>
          <w:rFonts w:ascii="Times New Roman" w:eastAsia="SimSun" w:hAnsi="Times New Roman" w:cs="Times New Roman"/>
          <w:i/>
          <w:iCs/>
          <w:sz w:val="24"/>
          <w:szCs w:val="24"/>
          <w:lang w:val="en-US"/>
        </w:rPr>
        <w:t>Summary</w:t>
      </w:r>
      <w:bookmarkEnd w:id="29"/>
      <w:bookmarkEnd w:id="30"/>
      <w:bookmarkEnd w:id="31"/>
      <w:bookmarkEnd w:id="32"/>
      <w:bookmarkEnd w:id="33"/>
      <w:bookmarkEnd w:id="34"/>
      <w:bookmarkEnd w:id="35"/>
      <w:bookmarkEnd w:id="36"/>
      <w:bookmarkEnd w:id="37"/>
      <w:bookmarkEnd w:id="38"/>
      <w:bookmarkEnd w:id="39"/>
      <w:r w:rsidRPr="00DE68B9">
        <w:rPr>
          <w:rFonts w:ascii="Times New Roman" w:eastAsia="SimSun" w:hAnsi="Times New Roman" w:cs="Times New Roman"/>
          <w:i/>
          <w:iCs/>
          <w:sz w:val="24"/>
          <w:szCs w:val="24"/>
          <w:lang w:val="en-US"/>
        </w:rPr>
        <w:t xml:space="preserve"> </w:t>
      </w:r>
      <w:bookmarkEnd w:id="40"/>
    </w:p>
    <w:tbl>
      <w:tblPr>
        <w:tblW w:w="4846" w:type="pct"/>
        <w:shd w:val="clear" w:color="auto" w:fill="FFFFFF"/>
        <w:tblCellMar>
          <w:left w:w="0" w:type="dxa"/>
          <w:right w:w="0" w:type="dxa"/>
        </w:tblCellMar>
        <w:tblLook w:val="04A0" w:firstRow="1" w:lastRow="0" w:firstColumn="1" w:lastColumn="0" w:noHBand="0" w:noVBand="1"/>
      </w:tblPr>
      <w:tblGrid>
        <w:gridCol w:w="1062"/>
        <w:gridCol w:w="868"/>
        <w:gridCol w:w="1062"/>
        <w:gridCol w:w="2665"/>
        <w:gridCol w:w="3415"/>
      </w:tblGrid>
      <w:tr w:rsidR="00DE68B9" w:rsidRPr="00DE68B9" w14:paraId="733534A3" w14:textId="77777777" w:rsidTr="00D178F5">
        <w:trPr>
          <w:trHeight w:val="278"/>
        </w:trPr>
        <w:tc>
          <w:tcPr>
            <w:tcW w:w="585" w:type="pct"/>
            <w:tcBorders>
              <w:top w:val="single" w:sz="4" w:space="0" w:color="auto"/>
              <w:bottom w:val="single" w:sz="4" w:space="0" w:color="auto"/>
            </w:tcBorders>
            <w:shd w:val="clear" w:color="auto" w:fill="FFFFFF"/>
            <w:vAlign w:val="bottom"/>
          </w:tcPr>
          <w:p w14:paraId="5E206186" w14:textId="77777777" w:rsidR="00DE68B9" w:rsidRPr="00DE68B9" w:rsidRDefault="00DE68B9" w:rsidP="00DE68B9">
            <w:pPr>
              <w:spacing w:after="0" w:line="24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Model</w:t>
            </w:r>
          </w:p>
        </w:tc>
        <w:tc>
          <w:tcPr>
            <w:tcW w:w="478" w:type="pct"/>
            <w:tcBorders>
              <w:top w:val="single" w:sz="4" w:space="0" w:color="auto"/>
              <w:bottom w:val="single" w:sz="4" w:space="0" w:color="auto"/>
            </w:tcBorders>
            <w:shd w:val="clear" w:color="auto" w:fill="FFFFFF"/>
            <w:vAlign w:val="bottom"/>
          </w:tcPr>
          <w:p w14:paraId="1B4A2A2C" w14:textId="77777777" w:rsidR="00DE68B9" w:rsidRPr="00DE68B9" w:rsidRDefault="00DE68B9" w:rsidP="00DE68B9">
            <w:pPr>
              <w:spacing w:after="0" w:line="24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R</w:t>
            </w:r>
          </w:p>
        </w:tc>
        <w:tc>
          <w:tcPr>
            <w:tcW w:w="585" w:type="pct"/>
            <w:tcBorders>
              <w:top w:val="single" w:sz="4" w:space="0" w:color="auto"/>
              <w:bottom w:val="single" w:sz="4" w:space="0" w:color="auto"/>
            </w:tcBorders>
            <w:shd w:val="clear" w:color="auto" w:fill="FFFFFF"/>
            <w:vAlign w:val="bottom"/>
          </w:tcPr>
          <w:p w14:paraId="0740A152" w14:textId="77777777" w:rsidR="00DE68B9" w:rsidRPr="00DE68B9" w:rsidRDefault="00DE68B9" w:rsidP="00DE68B9">
            <w:pPr>
              <w:spacing w:after="0" w:line="24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R Square</w:t>
            </w:r>
          </w:p>
        </w:tc>
        <w:tc>
          <w:tcPr>
            <w:tcW w:w="1469" w:type="pct"/>
            <w:tcBorders>
              <w:top w:val="single" w:sz="4" w:space="0" w:color="auto"/>
              <w:bottom w:val="single" w:sz="4" w:space="0" w:color="auto"/>
            </w:tcBorders>
            <w:shd w:val="clear" w:color="auto" w:fill="FFFFFF"/>
            <w:vAlign w:val="bottom"/>
          </w:tcPr>
          <w:p w14:paraId="55797744" w14:textId="77777777" w:rsidR="00DE68B9" w:rsidRPr="00DE68B9" w:rsidRDefault="00DE68B9" w:rsidP="00DE68B9">
            <w:pPr>
              <w:spacing w:after="0" w:line="24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Adjusted R Square</w:t>
            </w:r>
          </w:p>
        </w:tc>
        <w:tc>
          <w:tcPr>
            <w:tcW w:w="1882" w:type="pct"/>
            <w:tcBorders>
              <w:top w:val="single" w:sz="4" w:space="0" w:color="auto"/>
              <w:bottom w:val="single" w:sz="4" w:space="0" w:color="auto"/>
            </w:tcBorders>
            <w:shd w:val="clear" w:color="auto" w:fill="FFFFFF"/>
            <w:vAlign w:val="bottom"/>
          </w:tcPr>
          <w:p w14:paraId="2FE1598D" w14:textId="77777777" w:rsidR="00DE68B9" w:rsidRPr="00DE68B9" w:rsidRDefault="00DE68B9" w:rsidP="00DE68B9">
            <w:pPr>
              <w:spacing w:after="0" w:line="24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Std. Error of the Estimate</w:t>
            </w:r>
          </w:p>
        </w:tc>
      </w:tr>
      <w:tr w:rsidR="00DE68B9" w:rsidRPr="00DE68B9" w14:paraId="1DBA2147" w14:textId="77777777" w:rsidTr="00D178F5">
        <w:trPr>
          <w:trHeight w:val="323"/>
        </w:trPr>
        <w:tc>
          <w:tcPr>
            <w:tcW w:w="585" w:type="pct"/>
            <w:tcBorders>
              <w:top w:val="single" w:sz="4" w:space="0" w:color="auto"/>
              <w:bottom w:val="single" w:sz="4" w:space="0" w:color="auto"/>
            </w:tcBorders>
            <w:shd w:val="clear" w:color="auto" w:fill="FFFFFF"/>
            <w:vAlign w:val="bottom"/>
          </w:tcPr>
          <w:p w14:paraId="5B3136D1" w14:textId="77777777" w:rsidR="00DE68B9" w:rsidRPr="00DE68B9" w:rsidRDefault="00DE68B9" w:rsidP="00DE68B9">
            <w:pPr>
              <w:spacing w:after="0" w:line="24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1</w:t>
            </w:r>
          </w:p>
        </w:tc>
        <w:tc>
          <w:tcPr>
            <w:tcW w:w="478" w:type="pct"/>
            <w:tcBorders>
              <w:top w:val="single" w:sz="4" w:space="0" w:color="auto"/>
              <w:bottom w:val="single" w:sz="4" w:space="0" w:color="auto"/>
            </w:tcBorders>
            <w:shd w:val="clear" w:color="auto" w:fill="FFFFFF"/>
            <w:vAlign w:val="bottom"/>
          </w:tcPr>
          <w:p w14:paraId="0A10D575" w14:textId="77777777" w:rsidR="00DE68B9" w:rsidRPr="00DE68B9" w:rsidRDefault="00DE68B9" w:rsidP="00DE68B9">
            <w:pPr>
              <w:spacing w:after="0" w:line="24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0.808</w:t>
            </w:r>
          </w:p>
        </w:tc>
        <w:tc>
          <w:tcPr>
            <w:tcW w:w="585" w:type="pct"/>
            <w:tcBorders>
              <w:top w:val="single" w:sz="4" w:space="0" w:color="auto"/>
              <w:bottom w:val="single" w:sz="4" w:space="0" w:color="auto"/>
            </w:tcBorders>
            <w:shd w:val="clear" w:color="auto" w:fill="FFFFFF"/>
            <w:vAlign w:val="bottom"/>
          </w:tcPr>
          <w:p w14:paraId="42D9A1B3" w14:textId="77777777" w:rsidR="00DE68B9" w:rsidRPr="00DE68B9" w:rsidRDefault="00DE68B9" w:rsidP="00DE68B9">
            <w:pPr>
              <w:spacing w:after="0" w:line="24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.652</w:t>
            </w:r>
          </w:p>
        </w:tc>
        <w:tc>
          <w:tcPr>
            <w:tcW w:w="1469" w:type="pct"/>
            <w:tcBorders>
              <w:top w:val="single" w:sz="4" w:space="0" w:color="auto"/>
              <w:bottom w:val="single" w:sz="4" w:space="0" w:color="auto"/>
            </w:tcBorders>
            <w:shd w:val="clear" w:color="auto" w:fill="FFFFFF"/>
            <w:vAlign w:val="bottom"/>
          </w:tcPr>
          <w:p w14:paraId="321D32B6" w14:textId="77777777" w:rsidR="00DE68B9" w:rsidRPr="00DE68B9" w:rsidRDefault="00DE68B9" w:rsidP="00DE68B9">
            <w:pPr>
              <w:spacing w:after="0" w:line="24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.640</w:t>
            </w:r>
          </w:p>
        </w:tc>
        <w:tc>
          <w:tcPr>
            <w:tcW w:w="1882" w:type="pct"/>
            <w:tcBorders>
              <w:top w:val="single" w:sz="4" w:space="0" w:color="auto"/>
              <w:bottom w:val="single" w:sz="4" w:space="0" w:color="auto"/>
            </w:tcBorders>
            <w:shd w:val="clear" w:color="auto" w:fill="FFFFFF"/>
            <w:vAlign w:val="bottom"/>
          </w:tcPr>
          <w:p w14:paraId="252F2C10" w14:textId="77777777" w:rsidR="00DE68B9" w:rsidRPr="00DE68B9" w:rsidRDefault="00DE68B9" w:rsidP="00DE68B9">
            <w:pPr>
              <w:spacing w:after="0" w:line="24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w:t>
            </w:r>
            <w:r w:rsidRPr="00DE68B9">
              <w:rPr>
                <w:rFonts w:ascii="Times New Roman" w:eastAsia="SimSun" w:hAnsi="Times New Roman" w:cs="Times New Roman"/>
                <w:color w:val="000000"/>
                <w:sz w:val="24"/>
                <w:szCs w:val="24"/>
                <w:lang w:val="en-US" w:eastAsia="en-GB"/>
              </w:rPr>
              <w:t xml:space="preserve"> </w:t>
            </w:r>
            <w:r w:rsidRPr="00DE68B9">
              <w:rPr>
                <w:rFonts w:ascii="Times New Roman" w:eastAsia="SimSun" w:hAnsi="Times New Roman" w:cs="Times New Roman"/>
                <w:sz w:val="24"/>
                <w:szCs w:val="24"/>
                <w:lang w:val="en-US"/>
              </w:rPr>
              <w:t>17785</w:t>
            </w:r>
          </w:p>
        </w:tc>
      </w:tr>
    </w:tbl>
    <w:p w14:paraId="089B74DE" w14:textId="7DDE3925" w:rsidR="00DE68B9" w:rsidRPr="00DE68B9" w:rsidRDefault="00DE68B9" w:rsidP="003B4087">
      <w:pPr>
        <w:spacing w:after="0" w:line="36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a. Predictors: (Constant), teacher practices</w:t>
      </w:r>
    </w:p>
    <w:p w14:paraId="4EDF147B" w14:textId="77777777" w:rsidR="00DE68B9" w:rsidRPr="00DE68B9" w:rsidRDefault="00DE68B9" w:rsidP="003B4087">
      <w:pPr>
        <w:spacing w:after="0" w:line="36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 xml:space="preserve">b. Dependent Variable: career choice decisiveness among secondary school students in </w:t>
      </w:r>
      <w:proofErr w:type="spellStart"/>
      <w:r w:rsidRPr="00DE68B9">
        <w:rPr>
          <w:rFonts w:ascii="Times New Roman" w:eastAsia="SimSun" w:hAnsi="Times New Roman" w:cs="Times New Roman"/>
          <w:sz w:val="24"/>
          <w:szCs w:val="24"/>
          <w:lang w:val="en-US"/>
        </w:rPr>
        <w:t>Gilgil</w:t>
      </w:r>
      <w:proofErr w:type="spellEnd"/>
      <w:r w:rsidRPr="00DE68B9">
        <w:rPr>
          <w:rFonts w:ascii="Times New Roman" w:eastAsia="SimSun" w:hAnsi="Times New Roman" w:cs="Times New Roman"/>
          <w:sz w:val="24"/>
          <w:szCs w:val="24"/>
          <w:lang w:val="en-US"/>
        </w:rPr>
        <w:t xml:space="preserve"> Sub-County, Nakuru County, Kenya.</w:t>
      </w:r>
    </w:p>
    <w:p w14:paraId="5F21967D" w14:textId="77777777" w:rsidR="00DE68B9" w:rsidRPr="00DE68B9" w:rsidRDefault="00DE68B9" w:rsidP="003B4087">
      <w:pPr>
        <w:spacing w:after="0" w:line="360" w:lineRule="auto"/>
        <w:jc w:val="both"/>
        <w:rPr>
          <w:rFonts w:ascii="Times New Roman" w:eastAsia="SimSun" w:hAnsi="Times New Roman" w:cs="Times New Roman"/>
          <w:sz w:val="24"/>
          <w:szCs w:val="24"/>
          <w:lang w:val="en-US"/>
        </w:rPr>
      </w:pPr>
      <w:bookmarkStart w:id="41" w:name="_Toc116943039"/>
      <w:bookmarkStart w:id="42" w:name="_Toc139899136"/>
      <w:bookmarkStart w:id="43" w:name="_Toc21511708"/>
      <w:bookmarkStart w:id="44" w:name="_Toc117790606"/>
      <w:r w:rsidRPr="00DE68B9">
        <w:rPr>
          <w:rFonts w:ascii="Times New Roman" w:eastAsia="SimSun" w:hAnsi="Times New Roman" w:cs="Times New Roman"/>
          <w:sz w:val="24"/>
          <w:szCs w:val="24"/>
          <w:lang w:val="en-US"/>
        </w:rPr>
        <w:t xml:space="preserve">According to the data presented in the table, an R2 value of 0.652 indicates that 65.2% of the variation in career choice decisiveness among high school students in </w:t>
      </w:r>
      <w:proofErr w:type="spellStart"/>
      <w:r w:rsidRPr="00DE68B9">
        <w:rPr>
          <w:rFonts w:ascii="Times New Roman" w:eastAsia="SimSun" w:hAnsi="Times New Roman" w:cs="Times New Roman"/>
          <w:sz w:val="24"/>
          <w:szCs w:val="24"/>
          <w:lang w:val="en-US"/>
        </w:rPr>
        <w:t>Gilgil</w:t>
      </w:r>
      <w:proofErr w:type="spellEnd"/>
      <w:r w:rsidRPr="00DE68B9">
        <w:rPr>
          <w:rFonts w:ascii="Times New Roman" w:eastAsia="SimSun" w:hAnsi="Times New Roman" w:cs="Times New Roman"/>
          <w:sz w:val="24"/>
          <w:szCs w:val="24"/>
          <w:lang w:val="en-US"/>
        </w:rPr>
        <w:t xml:space="preserve"> Sub-County, Nakuru County, Kenya, is accounted for by the independent variable in the model. Nonetheless, the remaining 34.8% of the variation in career choice decisiveness among these students can be </w:t>
      </w:r>
      <w:r w:rsidRPr="00DE68B9">
        <w:rPr>
          <w:rFonts w:ascii="Times New Roman" w:eastAsia="SimSun" w:hAnsi="Times New Roman" w:cs="Times New Roman"/>
          <w:sz w:val="24"/>
          <w:szCs w:val="24"/>
          <w:lang w:val="en-US"/>
        </w:rPr>
        <w:lastRenderedPageBreak/>
        <w:t xml:space="preserve">attributed to other factors that are not included in the regression model. Based on the results shown in the previous table, it can be concluded that the model is effective and suitable for estimation purposes. The findings in the table reveal a notable connection, as illustrated by the R2 value of 0.652, which demonstrates that there is a meaningful relationship between the independent variables and the decisiveness of career choices among secondary school students in </w:t>
      </w:r>
      <w:proofErr w:type="spellStart"/>
      <w:r w:rsidRPr="00DE68B9">
        <w:rPr>
          <w:rFonts w:ascii="Times New Roman" w:eastAsia="SimSun" w:hAnsi="Times New Roman" w:cs="Times New Roman"/>
          <w:sz w:val="24"/>
          <w:szCs w:val="24"/>
          <w:lang w:val="en-US"/>
        </w:rPr>
        <w:t>Gilgil</w:t>
      </w:r>
      <w:proofErr w:type="spellEnd"/>
      <w:r w:rsidRPr="00DE68B9">
        <w:rPr>
          <w:rFonts w:ascii="Times New Roman" w:eastAsia="SimSun" w:hAnsi="Times New Roman" w:cs="Times New Roman"/>
          <w:sz w:val="24"/>
          <w:szCs w:val="24"/>
          <w:lang w:val="en-US"/>
        </w:rPr>
        <w:t xml:space="preserve"> Sub-County, Nakuru County, Kenya.</w:t>
      </w:r>
    </w:p>
    <w:p w14:paraId="26971127" w14:textId="22200F86" w:rsidR="00DE68B9" w:rsidRPr="00DE68B9" w:rsidRDefault="003B4087" w:rsidP="003B4087">
      <w:pPr>
        <w:spacing w:after="0" w:line="360" w:lineRule="auto"/>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4.3</w:t>
      </w:r>
      <w:r w:rsidR="00DE68B9" w:rsidRPr="00DE68B9">
        <w:rPr>
          <w:rFonts w:ascii="Times New Roman" w:eastAsia="SimSun" w:hAnsi="Times New Roman" w:cs="Times New Roman"/>
          <w:b/>
          <w:bCs/>
          <w:sz w:val="24"/>
          <w:szCs w:val="24"/>
          <w:lang w:val="en-US"/>
        </w:rPr>
        <w:t>.2 ANOVA Results</w:t>
      </w:r>
      <w:bookmarkEnd w:id="41"/>
      <w:bookmarkEnd w:id="42"/>
      <w:bookmarkEnd w:id="43"/>
      <w:bookmarkEnd w:id="44"/>
      <w:r w:rsidR="00DE68B9" w:rsidRPr="00DE68B9">
        <w:rPr>
          <w:rFonts w:ascii="Times New Roman" w:eastAsia="SimSun" w:hAnsi="Times New Roman" w:cs="Times New Roman"/>
          <w:b/>
          <w:bCs/>
          <w:sz w:val="24"/>
          <w:szCs w:val="24"/>
          <w:lang w:val="en-US"/>
        </w:rPr>
        <w:t xml:space="preserve"> </w:t>
      </w:r>
    </w:p>
    <w:p w14:paraId="0C79D38C" w14:textId="77777777" w:rsidR="00DE68B9" w:rsidRPr="00DE68B9" w:rsidRDefault="00DE68B9" w:rsidP="003B4087">
      <w:pPr>
        <w:spacing w:after="0" w:line="360" w:lineRule="auto"/>
        <w:rPr>
          <w:rFonts w:ascii="Times New Roman" w:eastAsia="SimSun" w:hAnsi="Times New Roman" w:cs="Times New Roman"/>
          <w:b/>
          <w:bCs/>
          <w:sz w:val="24"/>
          <w:szCs w:val="24"/>
          <w:lang w:val="en-US"/>
        </w:rPr>
      </w:pPr>
    </w:p>
    <w:p w14:paraId="38B55530" w14:textId="4C715C90" w:rsidR="00DE68B9" w:rsidRPr="00DE68B9" w:rsidRDefault="00DE68B9" w:rsidP="003B4087">
      <w:pPr>
        <w:spacing w:after="0" w:line="36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 xml:space="preserve">The table below provides the ANOVA results of the relationship between the predictor variables and career choice decisiveness among secondary school students in </w:t>
      </w:r>
      <w:proofErr w:type="spellStart"/>
      <w:r w:rsidRPr="00DE68B9">
        <w:rPr>
          <w:rFonts w:ascii="Times New Roman" w:eastAsia="SimSun" w:hAnsi="Times New Roman" w:cs="Times New Roman"/>
          <w:sz w:val="24"/>
          <w:szCs w:val="24"/>
          <w:lang w:val="en-US"/>
        </w:rPr>
        <w:t>Gilgil</w:t>
      </w:r>
      <w:proofErr w:type="spellEnd"/>
      <w:r w:rsidRPr="00DE68B9">
        <w:rPr>
          <w:rFonts w:ascii="Times New Roman" w:eastAsia="SimSun" w:hAnsi="Times New Roman" w:cs="Times New Roman"/>
          <w:sz w:val="24"/>
          <w:szCs w:val="24"/>
          <w:lang w:val="en-US"/>
        </w:rPr>
        <w:t xml:space="preserve"> Sub-County, Nakuru County, Kenya. The f</w:t>
      </w:r>
      <w:bookmarkStart w:id="45" w:name="_Toc430775942"/>
      <w:bookmarkStart w:id="46" w:name="_Toc498063777"/>
      <w:bookmarkStart w:id="47" w:name="_Toc432499631"/>
      <w:bookmarkStart w:id="48" w:name="_Toc530737059"/>
      <w:bookmarkStart w:id="49" w:name="_Toc530406309"/>
      <w:bookmarkStart w:id="50" w:name="_Toc531100392"/>
      <w:bookmarkStart w:id="51" w:name="_Toc529512687"/>
      <w:bookmarkStart w:id="52" w:name="_Toc450915850"/>
      <w:bookmarkStart w:id="53" w:name="_Toc498686174"/>
      <w:bookmarkStart w:id="54" w:name="_Toc530071126"/>
      <w:r w:rsidR="003B4087">
        <w:rPr>
          <w:rFonts w:ascii="Times New Roman" w:eastAsia="SimSun" w:hAnsi="Times New Roman" w:cs="Times New Roman"/>
          <w:sz w:val="24"/>
          <w:szCs w:val="24"/>
          <w:lang w:val="en-US"/>
        </w:rPr>
        <w:t>indings are as shown in Table 3</w:t>
      </w:r>
      <w:r w:rsidRPr="00DE68B9">
        <w:rPr>
          <w:rFonts w:ascii="Times New Roman" w:eastAsia="SimSun" w:hAnsi="Times New Roman" w:cs="Times New Roman"/>
          <w:sz w:val="24"/>
          <w:szCs w:val="24"/>
          <w:lang w:val="en-US"/>
        </w:rPr>
        <w:t xml:space="preserve">. </w:t>
      </w:r>
    </w:p>
    <w:p w14:paraId="3A32E52C" w14:textId="28174481" w:rsidR="00DE68B9" w:rsidRPr="00917B8D" w:rsidRDefault="00DE68B9" w:rsidP="00DE68B9">
      <w:pPr>
        <w:spacing w:after="0" w:line="240" w:lineRule="auto"/>
        <w:rPr>
          <w:rFonts w:ascii="Times New Roman" w:eastAsia="SimSun" w:hAnsi="Times New Roman" w:cs="Times New Roman"/>
          <w:b/>
          <w:bCs/>
          <w:sz w:val="24"/>
          <w:szCs w:val="24"/>
          <w:lang w:val="en-US"/>
        </w:rPr>
      </w:pPr>
      <w:bookmarkStart w:id="55" w:name="_Toc116941472"/>
      <w:bookmarkStart w:id="56" w:name="_Toc21511478"/>
      <w:bookmarkStart w:id="57" w:name="_Toc10901492"/>
      <w:bookmarkStart w:id="58" w:name="_Toc16947591"/>
      <w:bookmarkStart w:id="59" w:name="_Toc173496576"/>
      <w:r w:rsidRPr="00DE68B9">
        <w:rPr>
          <w:rFonts w:ascii="Times New Roman" w:eastAsia="SimSun" w:hAnsi="Times New Roman" w:cs="Times New Roman"/>
          <w:b/>
          <w:bCs/>
          <w:sz w:val="24"/>
          <w:szCs w:val="24"/>
          <w:lang w:val="en-US"/>
        </w:rPr>
        <w:t>Tabl</w:t>
      </w:r>
      <w:r w:rsidR="003B4087">
        <w:rPr>
          <w:rFonts w:ascii="Times New Roman" w:eastAsia="SimSun" w:hAnsi="Times New Roman" w:cs="Times New Roman"/>
          <w:b/>
          <w:bCs/>
          <w:sz w:val="24"/>
          <w:szCs w:val="24"/>
          <w:lang w:val="en-US"/>
        </w:rPr>
        <w:t xml:space="preserve">e </w:t>
      </w:r>
      <w:proofErr w:type="gramStart"/>
      <w:r w:rsidR="003B4087">
        <w:rPr>
          <w:rFonts w:ascii="Times New Roman" w:eastAsia="SimSun" w:hAnsi="Times New Roman" w:cs="Times New Roman"/>
          <w:b/>
          <w:bCs/>
          <w:sz w:val="24"/>
          <w:szCs w:val="24"/>
          <w:lang w:val="en-US"/>
        </w:rPr>
        <w:t>3</w:t>
      </w:r>
      <w:r w:rsidR="00917B8D">
        <w:rPr>
          <w:rFonts w:ascii="Times New Roman" w:eastAsia="SimSun" w:hAnsi="Times New Roman" w:cs="Times New Roman"/>
          <w:b/>
          <w:bCs/>
          <w:sz w:val="24"/>
          <w:szCs w:val="24"/>
          <w:lang w:val="en-US"/>
        </w:rPr>
        <w:t xml:space="preserve"> .</w:t>
      </w:r>
      <w:proofErr w:type="gramEnd"/>
      <w:r w:rsidR="00917B8D">
        <w:rPr>
          <w:rFonts w:ascii="Times New Roman" w:eastAsia="SimSun" w:hAnsi="Times New Roman" w:cs="Times New Roman"/>
          <w:b/>
          <w:bCs/>
          <w:sz w:val="24"/>
          <w:szCs w:val="24"/>
          <w:lang w:val="en-US"/>
        </w:rPr>
        <w:t xml:space="preserve"> </w:t>
      </w:r>
      <w:r w:rsidRPr="00DE68B9">
        <w:rPr>
          <w:rFonts w:ascii="Times New Roman" w:eastAsia="SimSun" w:hAnsi="Times New Roman" w:cs="Times New Roman"/>
          <w:i/>
          <w:iCs/>
          <w:sz w:val="24"/>
          <w:szCs w:val="24"/>
          <w:lang w:val="en-US"/>
        </w:rPr>
        <w:t>ANOVA of the Regression</w:t>
      </w:r>
      <w:bookmarkStart w:id="60" w:name="m_7095600579053613311__Toc496348955"/>
      <w:bookmarkStart w:id="61" w:name="m_7095600579053613311_page50"/>
      <w:bookmarkStart w:id="62" w:name="m_7095600579053613311__Toc49634899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bl>
      <w:tblPr>
        <w:tblW w:w="0" w:type="auto"/>
        <w:tblInd w:w="10" w:type="dxa"/>
        <w:shd w:val="clear" w:color="auto" w:fill="FFFFFF"/>
        <w:tblCellMar>
          <w:left w:w="0" w:type="dxa"/>
          <w:right w:w="0" w:type="dxa"/>
        </w:tblCellMar>
        <w:tblLook w:val="04A0" w:firstRow="1" w:lastRow="0" w:firstColumn="1" w:lastColumn="0" w:noHBand="0" w:noVBand="1"/>
      </w:tblPr>
      <w:tblGrid>
        <w:gridCol w:w="779"/>
        <w:gridCol w:w="1494"/>
        <w:gridCol w:w="1590"/>
        <w:gridCol w:w="429"/>
        <w:gridCol w:w="1480"/>
        <w:gridCol w:w="1134"/>
        <w:gridCol w:w="1724"/>
      </w:tblGrid>
      <w:tr w:rsidR="00DE68B9" w:rsidRPr="00DE68B9" w14:paraId="039FB218" w14:textId="77777777" w:rsidTr="00D178F5">
        <w:trPr>
          <w:trHeight w:val="338"/>
        </w:trPr>
        <w:tc>
          <w:tcPr>
            <w:tcW w:w="779" w:type="dxa"/>
            <w:tcBorders>
              <w:top w:val="single" w:sz="8" w:space="0" w:color="auto"/>
              <w:left w:val="nil"/>
              <w:bottom w:val="single" w:sz="8" w:space="0" w:color="auto"/>
              <w:right w:val="nil"/>
            </w:tcBorders>
            <w:shd w:val="clear" w:color="auto" w:fill="FFFFFF"/>
            <w:vAlign w:val="bottom"/>
          </w:tcPr>
          <w:p w14:paraId="4D8E97E2"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Model</w:t>
            </w:r>
          </w:p>
        </w:tc>
        <w:tc>
          <w:tcPr>
            <w:tcW w:w="1494" w:type="dxa"/>
            <w:tcBorders>
              <w:top w:val="single" w:sz="8" w:space="0" w:color="auto"/>
              <w:left w:val="nil"/>
              <w:bottom w:val="single" w:sz="8" w:space="0" w:color="auto"/>
              <w:right w:val="nil"/>
            </w:tcBorders>
            <w:shd w:val="clear" w:color="auto" w:fill="FFFFFF"/>
            <w:vAlign w:val="bottom"/>
          </w:tcPr>
          <w:p w14:paraId="72659D34"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 </w:t>
            </w:r>
          </w:p>
        </w:tc>
        <w:tc>
          <w:tcPr>
            <w:tcW w:w="1590" w:type="dxa"/>
            <w:tcBorders>
              <w:top w:val="single" w:sz="8" w:space="0" w:color="auto"/>
              <w:left w:val="nil"/>
              <w:bottom w:val="single" w:sz="8" w:space="0" w:color="auto"/>
              <w:right w:val="nil"/>
            </w:tcBorders>
            <w:shd w:val="clear" w:color="auto" w:fill="FFFFFF"/>
            <w:vAlign w:val="bottom"/>
          </w:tcPr>
          <w:p w14:paraId="3F4CC781"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Sum of Squares</w:t>
            </w:r>
          </w:p>
        </w:tc>
        <w:tc>
          <w:tcPr>
            <w:tcW w:w="429" w:type="dxa"/>
            <w:tcBorders>
              <w:top w:val="single" w:sz="8" w:space="0" w:color="auto"/>
              <w:left w:val="nil"/>
              <w:bottom w:val="single" w:sz="8" w:space="0" w:color="auto"/>
              <w:right w:val="nil"/>
            </w:tcBorders>
            <w:shd w:val="clear" w:color="auto" w:fill="FFFFFF"/>
            <w:vAlign w:val="bottom"/>
          </w:tcPr>
          <w:p w14:paraId="7F8E8430"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proofErr w:type="spellStart"/>
            <w:r w:rsidRPr="00DE68B9">
              <w:rPr>
                <w:rFonts w:ascii="Times New Roman" w:eastAsia="SimSun" w:hAnsi="Times New Roman" w:cs="Times New Roman"/>
                <w:b/>
                <w:bCs/>
                <w:sz w:val="24"/>
                <w:szCs w:val="24"/>
                <w:lang w:val="en-US"/>
              </w:rPr>
              <w:t>df</w:t>
            </w:r>
            <w:proofErr w:type="spellEnd"/>
          </w:p>
        </w:tc>
        <w:tc>
          <w:tcPr>
            <w:tcW w:w="1480" w:type="dxa"/>
            <w:tcBorders>
              <w:top w:val="single" w:sz="8" w:space="0" w:color="auto"/>
              <w:left w:val="nil"/>
              <w:bottom w:val="single" w:sz="8" w:space="0" w:color="auto"/>
              <w:right w:val="nil"/>
            </w:tcBorders>
            <w:shd w:val="clear" w:color="auto" w:fill="FFFFFF"/>
            <w:vAlign w:val="bottom"/>
          </w:tcPr>
          <w:p w14:paraId="19722DF6"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Mean Square</w:t>
            </w:r>
          </w:p>
        </w:tc>
        <w:tc>
          <w:tcPr>
            <w:tcW w:w="1134" w:type="dxa"/>
            <w:tcBorders>
              <w:top w:val="single" w:sz="8" w:space="0" w:color="auto"/>
              <w:left w:val="nil"/>
              <w:bottom w:val="single" w:sz="8" w:space="0" w:color="auto"/>
              <w:right w:val="nil"/>
            </w:tcBorders>
            <w:shd w:val="clear" w:color="auto" w:fill="FFFFFF"/>
            <w:vAlign w:val="bottom"/>
          </w:tcPr>
          <w:p w14:paraId="4C59E80B"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F</w:t>
            </w:r>
          </w:p>
        </w:tc>
        <w:tc>
          <w:tcPr>
            <w:tcW w:w="1724" w:type="dxa"/>
            <w:tcBorders>
              <w:top w:val="single" w:sz="8" w:space="0" w:color="auto"/>
              <w:left w:val="nil"/>
              <w:bottom w:val="single" w:sz="8" w:space="0" w:color="auto"/>
              <w:right w:val="nil"/>
            </w:tcBorders>
            <w:shd w:val="clear" w:color="auto" w:fill="FFFFFF"/>
            <w:vAlign w:val="bottom"/>
          </w:tcPr>
          <w:p w14:paraId="3027D83F"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Sig.</w:t>
            </w:r>
          </w:p>
        </w:tc>
      </w:tr>
      <w:tr w:rsidR="00DE68B9" w:rsidRPr="00DE68B9" w14:paraId="19EBE46F" w14:textId="77777777" w:rsidTr="00D178F5">
        <w:trPr>
          <w:trHeight w:val="343"/>
        </w:trPr>
        <w:tc>
          <w:tcPr>
            <w:tcW w:w="779" w:type="dxa"/>
            <w:tcBorders>
              <w:top w:val="nil"/>
              <w:left w:val="nil"/>
              <w:bottom w:val="nil"/>
              <w:right w:val="nil"/>
            </w:tcBorders>
            <w:shd w:val="clear" w:color="auto" w:fill="FFFFFF"/>
            <w:vAlign w:val="bottom"/>
          </w:tcPr>
          <w:p w14:paraId="208007F4"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1</w:t>
            </w:r>
          </w:p>
        </w:tc>
        <w:tc>
          <w:tcPr>
            <w:tcW w:w="1494" w:type="dxa"/>
            <w:tcBorders>
              <w:top w:val="nil"/>
              <w:left w:val="nil"/>
              <w:bottom w:val="nil"/>
              <w:right w:val="nil"/>
            </w:tcBorders>
            <w:shd w:val="clear" w:color="auto" w:fill="FFFFFF"/>
            <w:vAlign w:val="bottom"/>
          </w:tcPr>
          <w:p w14:paraId="6ABDEF2F"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Regression</w:t>
            </w:r>
          </w:p>
        </w:tc>
        <w:tc>
          <w:tcPr>
            <w:tcW w:w="1590" w:type="dxa"/>
            <w:tcBorders>
              <w:top w:val="nil"/>
              <w:left w:val="nil"/>
              <w:bottom w:val="nil"/>
              <w:right w:val="nil"/>
            </w:tcBorders>
            <w:shd w:val="clear" w:color="auto" w:fill="FFFFFF"/>
            <w:vAlign w:val="bottom"/>
          </w:tcPr>
          <w:p w14:paraId="138DCC39"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6.484</w:t>
            </w:r>
          </w:p>
        </w:tc>
        <w:tc>
          <w:tcPr>
            <w:tcW w:w="429" w:type="dxa"/>
            <w:tcBorders>
              <w:top w:val="nil"/>
              <w:left w:val="nil"/>
              <w:bottom w:val="nil"/>
              <w:right w:val="nil"/>
            </w:tcBorders>
            <w:shd w:val="clear" w:color="auto" w:fill="FFFFFF"/>
            <w:vAlign w:val="bottom"/>
          </w:tcPr>
          <w:p w14:paraId="41E05AA2"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4</w:t>
            </w:r>
          </w:p>
        </w:tc>
        <w:tc>
          <w:tcPr>
            <w:tcW w:w="1480" w:type="dxa"/>
            <w:tcBorders>
              <w:top w:val="nil"/>
              <w:left w:val="nil"/>
              <w:right w:val="nil"/>
            </w:tcBorders>
            <w:shd w:val="clear" w:color="auto" w:fill="FFFFFF"/>
            <w:vAlign w:val="bottom"/>
          </w:tcPr>
          <w:p w14:paraId="5701CDF8"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1.621</w:t>
            </w:r>
          </w:p>
        </w:tc>
        <w:tc>
          <w:tcPr>
            <w:tcW w:w="1134" w:type="dxa"/>
            <w:tcBorders>
              <w:top w:val="nil"/>
              <w:left w:val="nil"/>
              <w:right w:val="nil"/>
            </w:tcBorders>
            <w:shd w:val="clear" w:color="auto" w:fill="FFFFFF"/>
            <w:vAlign w:val="bottom"/>
          </w:tcPr>
          <w:p w14:paraId="7B478A1E"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51.265</w:t>
            </w:r>
          </w:p>
        </w:tc>
        <w:tc>
          <w:tcPr>
            <w:tcW w:w="1724" w:type="dxa"/>
            <w:tcBorders>
              <w:top w:val="nil"/>
              <w:left w:val="nil"/>
              <w:right w:val="nil"/>
            </w:tcBorders>
            <w:shd w:val="clear" w:color="auto" w:fill="FFFFFF"/>
            <w:vAlign w:val="bottom"/>
          </w:tcPr>
          <w:p w14:paraId="028A97BD"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.000</w:t>
            </w:r>
            <w:r w:rsidRPr="00DE68B9">
              <w:rPr>
                <w:rFonts w:ascii="Times New Roman" w:eastAsia="SimSun" w:hAnsi="Times New Roman" w:cs="Times New Roman"/>
                <w:sz w:val="24"/>
                <w:szCs w:val="24"/>
                <w:vertAlign w:val="superscript"/>
                <w:lang w:val="en-US"/>
              </w:rPr>
              <w:t>a</w:t>
            </w:r>
          </w:p>
        </w:tc>
      </w:tr>
      <w:tr w:rsidR="00DE68B9" w:rsidRPr="00DE68B9" w14:paraId="13FEA955" w14:textId="77777777" w:rsidTr="00D178F5">
        <w:trPr>
          <w:trHeight w:val="533"/>
        </w:trPr>
        <w:tc>
          <w:tcPr>
            <w:tcW w:w="779" w:type="dxa"/>
            <w:tcBorders>
              <w:top w:val="nil"/>
              <w:left w:val="nil"/>
              <w:bottom w:val="single" w:sz="4" w:space="0" w:color="auto"/>
              <w:right w:val="nil"/>
            </w:tcBorders>
            <w:shd w:val="clear" w:color="auto" w:fill="FFFFFF"/>
            <w:vAlign w:val="bottom"/>
          </w:tcPr>
          <w:p w14:paraId="09A747B4"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 </w:t>
            </w:r>
          </w:p>
        </w:tc>
        <w:tc>
          <w:tcPr>
            <w:tcW w:w="1494" w:type="dxa"/>
            <w:tcBorders>
              <w:top w:val="nil"/>
              <w:left w:val="nil"/>
              <w:bottom w:val="single" w:sz="4" w:space="0" w:color="auto"/>
              <w:right w:val="nil"/>
            </w:tcBorders>
            <w:shd w:val="clear" w:color="auto" w:fill="FFFFFF"/>
            <w:vAlign w:val="bottom"/>
          </w:tcPr>
          <w:p w14:paraId="7176728B" w14:textId="77777777" w:rsidR="00DE68B9" w:rsidRPr="00DE68B9" w:rsidRDefault="00DE68B9" w:rsidP="00DE68B9">
            <w:pPr>
              <w:spacing w:after="0" w:line="480" w:lineRule="auto"/>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Residual</w:t>
            </w:r>
          </w:p>
        </w:tc>
        <w:tc>
          <w:tcPr>
            <w:tcW w:w="1590" w:type="dxa"/>
            <w:tcBorders>
              <w:top w:val="nil"/>
              <w:left w:val="nil"/>
              <w:bottom w:val="single" w:sz="4" w:space="0" w:color="auto"/>
              <w:right w:val="nil"/>
            </w:tcBorders>
            <w:shd w:val="clear" w:color="auto" w:fill="FFFFFF"/>
            <w:vAlign w:val="bottom"/>
          </w:tcPr>
          <w:p w14:paraId="68153A80"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2.848</w:t>
            </w:r>
          </w:p>
        </w:tc>
        <w:tc>
          <w:tcPr>
            <w:tcW w:w="429" w:type="dxa"/>
            <w:tcBorders>
              <w:top w:val="nil"/>
              <w:left w:val="nil"/>
              <w:bottom w:val="single" w:sz="4" w:space="0" w:color="auto"/>
              <w:right w:val="nil"/>
            </w:tcBorders>
            <w:shd w:val="clear" w:color="auto" w:fill="FFFFFF"/>
            <w:vAlign w:val="bottom"/>
          </w:tcPr>
          <w:p w14:paraId="11723205"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361</w:t>
            </w:r>
          </w:p>
        </w:tc>
        <w:tc>
          <w:tcPr>
            <w:tcW w:w="1480" w:type="dxa"/>
            <w:tcBorders>
              <w:top w:val="nil"/>
              <w:left w:val="nil"/>
              <w:bottom w:val="single" w:sz="4" w:space="0" w:color="auto"/>
              <w:right w:val="nil"/>
            </w:tcBorders>
            <w:shd w:val="clear" w:color="auto" w:fill="FFFFFF"/>
            <w:vAlign w:val="bottom"/>
          </w:tcPr>
          <w:p w14:paraId="64F5A469"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.032</w:t>
            </w:r>
          </w:p>
        </w:tc>
        <w:tc>
          <w:tcPr>
            <w:tcW w:w="1134" w:type="dxa"/>
            <w:tcBorders>
              <w:top w:val="nil"/>
              <w:left w:val="nil"/>
              <w:bottom w:val="single" w:sz="4" w:space="0" w:color="auto"/>
              <w:right w:val="nil"/>
            </w:tcBorders>
            <w:shd w:val="clear" w:color="auto" w:fill="FFFFFF"/>
            <w:vAlign w:val="bottom"/>
          </w:tcPr>
          <w:p w14:paraId="3EB12BA2"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p>
        </w:tc>
        <w:tc>
          <w:tcPr>
            <w:tcW w:w="1724" w:type="dxa"/>
            <w:tcBorders>
              <w:top w:val="nil"/>
              <w:left w:val="nil"/>
              <w:bottom w:val="single" w:sz="4" w:space="0" w:color="auto"/>
              <w:right w:val="nil"/>
            </w:tcBorders>
            <w:shd w:val="clear" w:color="auto" w:fill="FFFFFF"/>
            <w:vAlign w:val="bottom"/>
          </w:tcPr>
          <w:p w14:paraId="2DE3B760" w14:textId="77777777" w:rsidR="00DE68B9" w:rsidRPr="00DE68B9" w:rsidRDefault="00DE68B9" w:rsidP="00DE68B9">
            <w:pPr>
              <w:spacing w:after="0" w:line="480" w:lineRule="auto"/>
              <w:jc w:val="center"/>
              <w:rPr>
                <w:rFonts w:ascii="Times New Roman" w:eastAsia="SimSun" w:hAnsi="Times New Roman" w:cs="Times New Roman"/>
                <w:sz w:val="24"/>
                <w:szCs w:val="24"/>
                <w:lang w:val="en-US"/>
              </w:rPr>
            </w:pPr>
          </w:p>
        </w:tc>
      </w:tr>
      <w:tr w:rsidR="00DE68B9" w:rsidRPr="00DE68B9" w14:paraId="0AC110FD" w14:textId="77777777" w:rsidTr="00D178F5">
        <w:trPr>
          <w:trHeight w:val="576"/>
        </w:trPr>
        <w:tc>
          <w:tcPr>
            <w:tcW w:w="779" w:type="dxa"/>
            <w:tcBorders>
              <w:top w:val="single" w:sz="4" w:space="0" w:color="auto"/>
              <w:left w:val="nil"/>
              <w:bottom w:val="single" w:sz="8" w:space="0" w:color="auto"/>
              <w:right w:val="nil"/>
            </w:tcBorders>
            <w:shd w:val="clear" w:color="auto" w:fill="FFFFFF"/>
            <w:vAlign w:val="bottom"/>
          </w:tcPr>
          <w:p w14:paraId="2BB2D1FC" w14:textId="77777777" w:rsidR="00DE68B9" w:rsidRPr="00DE68B9" w:rsidRDefault="00DE68B9" w:rsidP="00DE68B9">
            <w:pPr>
              <w:spacing w:after="0" w:line="480" w:lineRule="auto"/>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 </w:t>
            </w:r>
          </w:p>
        </w:tc>
        <w:tc>
          <w:tcPr>
            <w:tcW w:w="1494" w:type="dxa"/>
            <w:tcBorders>
              <w:top w:val="single" w:sz="4" w:space="0" w:color="auto"/>
              <w:left w:val="nil"/>
              <w:bottom w:val="single" w:sz="8" w:space="0" w:color="auto"/>
              <w:right w:val="nil"/>
            </w:tcBorders>
            <w:shd w:val="clear" w:color="auto" w:fill="FFFFFF"/>
            <w:vAlign w:val="bottom"/>
          </w:tcPr>
          <w:p w14:paraId="062E7B8E" w14:textId="77777777" w:rsidR="00DE68B9" w:rsidRPr="00DE68B9" w:rsidRDefault="00DE68B9" w:rsidP="00DE68B9">
            <w:pPr>
              <w:spacing w:after="0" w:line="480" w:lineRule="auto"/>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Total</w:t>
            </w:r>
          </w:p>
        </w:tc>
        <w:tc>
          <w:tcPr>
            <w:tcW w:w="1590" w:type="dxa"/>
            <w:tcBorders>
              <w:top w:val="single" w:sz="4" w:space="0" w:color="auto"/>
              <w:left w:val="nil"/>
              <w:bottom w:val="single" w:sz="8" w:space="0" w:color="auto"/>
              <w:right w:val="nil"/>
            </w:tcBorders>
            <w:shd w:val="clear" w:color="auto" w:fill="FFFFFF"/>
            <w:vAlign w:val="bottom"/>
          </w:tcPr>
          <w:p w14:paraId="4046A33E" w14:textId="77777777" w:rsidR="00DE68B9" w:rsidRPr="00DE68B9" w:rsidRDefault="00DE68B9" w:rsidP="00DE68B9">
            <w:pPr>
              <w:spacing w:after="0" w:line="48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9.332</w:t>
            </w:r>
          </w:p>
        </w:tc>
        <w:tc>
          <w:tcPr>
            <w:tcW w:w="429" w:type="dxa"/>
            <w:tcBorders>
              <w:top w:val="single" w:sz="4" w:space="0" w:color="auto"/>
              <w:left w:val="nil"/>
              <w:bottom w:val="single" w:sz="8" w:space="0" w:color="auto"/>
              <w:right w:val="nil"/>
            </w:tcBorders>
            <w:shd w:val="clear" w:color="auto" w:fill="FFFFFF"/>
            <w:vAlign w:val="bottom"/>
          </w:tcPr>
          <w:p w14:paraId="70F16540" w14:textId="77777777" w:rsidR="00DE68B9" w:rsidRPr="00DE68B9" w:rsidRDefault="00DE68B9" w:rsidP="00DE68B9">
            <w:pPr>
              <w:spacing w:after="0" w:line="480" w:lineRule="auto"/>
              <w:jc w:val="center"/>
              <w:rPr>
                <w:rFonts w:ascii="Times New Roman" w:eastAsia="SimSun" w:hAnsi="Times New Roman" w:cs="Times New Roman"/>
                <w:b/>
                <w:sz w:val="24"/>
                <w:szCs w:val="24"/>
                <w:lang w:val="en-US"/>
              </w:rPr>
            </w:pPr>
            <w:r w:rsidRPr="00DE68B9">
              <w:rPr>
                <w:rFonts w:ascii="Times New Roman" w:eastAsia="SimSun" w:hAnsi="Times New Roman" w:cs="Times New Roman"/>
                <w:b/>
                <w:sz w:val="24"/>
                <w:szCs w:val="24"/>
                <w:lang w:val="en-US"/>
              </w:rPr>
              <w:t>365</w:t>
            </w:r>
          </w:p>
        </w:tc>
        <w:tc>
          <w:tcPr>
            <w:tcW w:w="1480" w:type="dxa"/>
            <w:tcBorders>
              <w:top w:val="single" w:sz="4" w:space="0" w:color="auto"/>
              <w:left w:val="nil"/>
              <w:bottom w:val="single" w:sz="8" w:space="0" w:color="auto"/>
              <w:right w:val="nil"/>
            </w:tcBorders>
            <w:shd w:val="clear" w:color="auto" w:fill="FFFFFF"/>
            <w:vAlign w:val="bottom"/>
          </w:tcPr>
          <w:p w14:paraId="77C63F62" w14:textId="77777777" w:rsidR="00DE68B9" w:rsidRPr="00DE68B9" w:rsidRDefault="00DE68B9" w:rsidP="00DE68B9">
            <w:pPr>
              <w:spacing w:after="0" w:line="480" w:lineRule="auto"/>
              <w:jc w:val="center"/>
              <w:rPr>
                <w:rFonts w:ascii="Times New Roman" w:eastAsia="SimSun" w:hAnsi="Times New Roman" w:cs="Times New Roman"/>
                <w:b/>
                <w:sz w:val="24"/>
                <w:szCs w:val="24"/>
                <w:lang w:val="en-US"/>
              </w:rPr>
            </w:pPr>
          </w:p>
        </w:tc>
        <w:tc>
          <w:tcPr>
            <w:tcW w:w="1134" w:type="dxa"/>
            <w:tcBorders>
              <w:top w:val="single" w:sz="4" w:space="0" w:color="auto"/>
              <w:left w:val="nil"/>
              <w:bottom w:val="single" w:sz="8" w:space="0" w:color="auto"/>
              <w:right w:val="nil"/>
            </w:tcBorders>
            <w:shd w:val="clear" w:color="auto" w:fill="FFFFFF"/>
            <w:vAlign w:val="bottom"/>
          </w:tcPr>
          <w:p w14:paraId="0B7A8B9D" w14:textId="77777777" w:rsidR="00DE68B9" w:rsidRPr="00DE68B9" w:rsidRDefault="00DE68B9" w:rsidP="00DE68B9">
            <w:pPr>
              <w:spacing w:after="0" w:line="480" w:lineRule="auto"/>
              <w:jc w:val="center"/>
              <w:rPr>
                <w:rFonts w:ascii="Times New Roman" w:eastAsia="SimSun" w:hAnsi="Times New Roman" w:cs="Times New Roman"/>
                <w:b/>
                <w:sz w:val="24"/>
                <w:szCs w:val="24"/>
                <w:lang w:val="en-US"/>
              </w:rPr>
            </w:pPr>
          </w:p>
        </w:tc>
        <w:tc>
          <w:tcPr>
            <w:tcW w:w="1724" w:type="dxa"/>
            <w:tcBorders>
              <w:top w:val="single" w:sz="4" w:space="0" w:color="auto"/>
              <w:left w:val="nil"/>
              <w:bottom w:val="single" w:sz="8" w:space="0" w:color="auto"/>
              <w:right w:val="nil"/>
            </w:tcBorders>
            <w:shd w:val="clear" w:color="auto" w:fill="FFFFFF"/>
            <w:vAlign w:val="bottom"/>
          </w:tcPr>
          <w:p w14:paraId="774AC6FF" w14:textId="77777777" w:rsidR="00DE68B9" w:rsidRPr="00DE68B9" w:rsidRDefault="00DE68B9" w:rsidP="00DE68B9">
            <w:pPr>
              <w:spacing w:after="0" w:line="480" w:lineRule="auto"/>
              <w:jc w:val="center"/>
              <w:rPr>
                <w:rFonts w:ascii="Times New Roman" w:eastAsia="SimSun" w:hAnsi="Times New Roman" w:cs="Times New Roman"/>
                <w:b/>
                <w:sz w:val="24"/>
                <w:szCs w:val="24"/>
                <w:lang w:val="en-US"/>
              </w:rPr>
            </w:pPr>
          </w:p>
        </w:tc>
      </w:tr>
    </w:tbl>
    <w:p w14:paraId="2BB56033" w14:textId="77777777" w:rsidR="00DE68B9" w:rsidRPr="00DE68B9" w:rsidRDefault="00DE68B9" w:rsidP="00DE68B9">
      <w:pPr>
        <w:autoSpaceDE w:val="0"/>
        <w:autoSpaceDN w:val="0"/>
        <w:adjustRightInd w:val="0"/>
        <w:spacing w:after="0" w:line="240" w:lineRule="auto"/>
        <w:rPr>
          <w:rFonts w:ascii="Times New Roman" w:eastAsia="SimSun" w:hAnsi="Times New Roman" w:cs="Times New Roman"/>
          <w:sz w:val="24"/>
          <w:szCs w:val="24"/>
          <w:lang w:val="en-US" w:eastAsia="en-GB"/>
        </w:rPr>
      </w:pPr>
    </w:p>
    <w:p w14:paraId="68385765" w14:textId="79CD1819" w:rsidR="00DE68B9" w:rsidRPr="00DE68B9" w:rsidRDefault="00DE68B9" w:rsidP="003B4087">
      <w:pPr>
        <w:spacing w:after="0" w:line="360" w:lineRule="auto"/>
        <w:jc w:val="both"/>
        <w:rPr>
          <w:rFonts w:ascii="Times New Roman" w:eastAsia="SimSun" w:hAnsi="Times New Roman" w:cs="Times New Roman"/>
          <w:sz w:val="24"/>
          <w:szCs w:val="24"/>
          <w:lang w:val="en-US"/>
        </w:rPr>
      </w:pPr>
      <w:bookmarkStart w:id="63" w:name="_Toc117790607"/>
      <w:bookmarkStart w:id="64" w:name="_Toc530483427"/>
      <w:bookmarkStart w:id="65" w:name="_Toc16947862"/>
      <w:bookmarkStart w:id="66" w:name="_Toc530737415"/>
      <w:bookmarkStart w:id="67" w:name="_Toc532630239"/>
      <w:bookmarkStart w:id="68" w:name="_Toc10901702"/>
      <w:bookmarkStart w:id="69" w:name="_Toc530071504"/>
      <w:bookmarkStart w:id="70" w:name="_Toc529512827"/>
      <w:bookmarkStart w:id="71" w:name="_Toc432780013"/>
      <w:bookmarkStart w:id="72" w:name="_Toc116943040"/>
      <w:bookmarkStart w:id="73" w:name="_Toc21511709"/>
      <w:bookmarkStart w:id="74" w:name="_Toc498063947"/>
      <w:bookmarkStart w:id="75" w:name="_Toc499536986"/>
      <w:bookmarkStart w:id="76" w:name="_Toc139899137"/>
      <w:bookmarkStart w:id="77" w:name="_Toc449176736"/>
      <w:r w:rsidRPr="00DE68B9">
        <w:rPr>
          <w:rFonts w:ascii="Times New Roman" w:eastAsia="SimSun" w:hAnsi="Times New Roman" w:cs="Times New Roman"/>
          <w:sz w:val="24"/>
          <w:szCs w:val="24"/>
          <w:lang w:val="en-US"/>
        </w:rPr>
        <w:t xml:space="preserve">The p-value obtained is 0.000, which is below 0.05, indicating that the model is statistically significant in forecasting the influence of factors (teaching methods) on the decisiveness of career choices among secondary school learners in </w:t>
      </w:r>
      <w:proofErr w:type="spellStart"/>
      <w:r w:rsidRPr="00DE68B9">
        <w:rPr>
          <w:rFonts w:ascii="Times New Roman" w:eastAsia="SimSun" w:hAnsi="Times New Roman" w:cs="Times New Roman"/>
          <w:sz w:val="24"/>
          <w:szCs w:val="24"/>
          <w:lang w:val="en-US"/>
        </w:rPr>
        <w:t>Gilgil</w:t>
      </w:r>
      <w:proofErr w:type="spellEnd"/>
      <w:r w:rsidRPr="00DE68B9">
        <w:rPr>
          <w:rFonts w:ascii="Times New Roman" w:eastAsia="SimSun" w:hAnsi="Times New Roman" w:cs="Times New Roman"/>
          <w:sz w:val="24"/>
          <w:szCs w:val="24"/>
          <w:lang w:val="en-US"/>
        </w:rPr>
        <w:t xml:space="preserve"> Sub-County, Nakuru County, Kenya. The critical F value at the 5% significance level is 3.123. Given that the calculated F value (51.265) exceeds the critical F value, it demonstrates that the overall model holds significance.</w:t>
      </w:r>
    </w:p>
    <w:p w14:paraId="547DB9D9" w14:textId="73825AC6" w:rsidR="00DE68B9" w:rsidRPr="00DE68B9" w:rsidRDefault="003B4087" w:rsidP="003B4087">
      <w:pPr>
        <w:spacing w:after="0" w:line="360" w:lineRule="auto"/>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4.3</w:t>
      </w:r>
      <w:r w:rsidR="00DE68B9" w:rsidRPr="00DE68B9">
        <w:rPr>
          <w:rFonts w:ascii="Times New Roman" w:eastAsia="SimSun" w:hAnsi="Times New Roman" w:cs="Times New Roman"/>
          <w:b/>
          <w:bCs/>
          <w:sz w:val="24"/>
          <w:szCs w:val="24"/>
          <w:lang w:val="en-US"/>
        </w:rPr>
        <w:t>.3 Coefficient of Determination</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DE68B9" w:rsidRPr="00DE68B9">
        <w:rPr>
          <w:rFonts w:ascii="Times New Roman" w:eastAsia="SimSun" w:hAnsi="Times New Roman" w:cs="Times New Roman"/>
          <w:b/>
          <w:bCs/>
          <w:sz w:val="24"/>
          <w:szCs w:val="24"/>
          <w:lang w:val="en-US"/>
        </w:rPr>
        <w:t xml:space="preserve"> </w:t>
      </w:r>
    </w:p>
    <w:p w14:paraId="764F92D8" w14:textId="6F50C6A2" w:rsidR="00DE68B9" w:rsidRPr="00DE68B9" w:rsidRDefault="00DE68B9" w:rsidP="003B4087">
      <w:pPr>
        <w:spacing w:after="0" w:line="360" w:lineRule="auto"/>
        <w:jc w:val="both"/>
        <w:rPr>
          <w:rFonts w:ascii="Times New Roman" w:eastAsia="SimSun" w:hAnsi="Times New Roman" w:cs="Times New Roman"/>
          <w:sz w:val="24"/>
          <w:szCs w:val="24"/>
          <w:lang w:val="en-US"/>
        </w:rPr>
      </w:pPr>
      <w:bookmarkStart w:id="78" w:name="_Toc10901493"/>
      <w:bookmarkStart w:id="79" w:name="_Toc16947592"/>
      <w:bookmarkStart w:id="80" w:name="_Toc173496577"/>
      <w:bookmarkStart w:id="81" w:name="_Toc21511479"/>
      <w:bookmarkStart w:id="82" w:name="_Toc450915851"/>
      <w:bookmarkStart w:id="83" w:name="_Toc530737060"/>
      <w:bookmarkStart w:id="84" w:name="_Toc116941473"/>
      <w:bookmarkStart w:id="85" w:name="_Toc430775943"/>
      <w:bookmarkStart w:id="86" w:name="_Toc531100393"/>
      <w:bookmarkStart w:id="87" w:name="_Toc498063778"/>
      <w:bookmarkStart w:id="88" w:name="_Toc530071127"/>
      <w:bookmarkStart w:id="89" w:name="_Toc530406310"/>
      <w:bookmarkStart w:id="90" w:name="_Toc432499632"/>
      <w:bookmarkStart w:id="91" w:name="_Toc529512688"/>
      <w:bookmarkStart w:id="92" w:name="_Toc498686175"/>
      <w:r w:rsidRPr="00DE68B9">
        <w:rPr>
          <w:rFonts w:ascii="Times New Roman" w:eastAsia="SimSun" w:hAnsi="Times New Roman" w:cs="Times New Roman"/>
          <w:sz w:val="24"/>
          <w:szCs w:val="24"/>
          <w:lang w:val="en-US"/>
        </w:rPr>
        <w:t xml:space="preserve">The following table illustrates the coefficient of determination regarding how predictor variables relate to the decisiveness of career choices among high school students in </w:t>
      </w:r>
      <w:proofErr w:type="spellStart"/>
      <w:r w:rsidRPr="00DE68B9">
        <w:rPr>
          <w:rFonts w:ascii="Times New Roman" w:eastAsia="SimSun" w:hAnsi="Times New Roman" w:cs="Times New Roman"/>
          <w:sz w:val="24"/>
          <w:szCs w:val="24"/>
          <w:lang w:val="en-US"/>
        </w:rPr>
        <w:t>Gilgil</w:t>
      </w:r>
      <w:proofErr w:type="spellEnd"/>
      <w:r w:rsidRPr="00DE68B9">
        <w:rPr>
          <w:rFonts w:ascii="Times New Roman" w:eastAsia="SimSun" w:hAnsi="Times New Roman" w:cs="Times New Roman"/>
          <w:sz w:val="24"/>
          <w:szCs w:val="24"/>
          <w:lang w:val="en-US"/>
        </w:rPr>
        <w:t xml:space="preserve"> Sub-County, Nakuru County, Kenya. The results are pr</w:t>
      </w:r>
      <w:r w:rsidR="003B4087">
        <w:rPr>
          <w:rFonts w:ascii="Times New Roman" w:eastAsia="SimSun" w:hAnsi="Times New Roman" w:cs="Times New Roman"/>
          <w:sz w:val="24"/>
          <w:szCs w:val="24"/>
          <w:lang w:val="en-US"/>
        </w:rPr>
        <w:t>esented in table 4</w:t>
      </w:r>
      <w:r w:rsidRPr="00DE68B9">
        <w:rPr>
          <w:rFonts w:ascii="Times New Roman" w:eastAsia="SimSun" w:hAnsi="Times New Roman" w:cs="Times New Roman"/>
          <w:sz w:val="24"/>
          <w:szCs w:val="24"/>
          <w:lang w:val="en-US"/>
        </w:rPr>
        <w:t>.</w:t>
      </w:r>
    </w:p>
    <w:p w14:paraId="2A86CE18" w14:textId="77777777" w:rsidR="00917B8D" w:rsidRDefault="00917B8D" w:rsidP="00917B8D">
      <w:pPr>
        <w:spacing w:after="0" w:line="360" w:lineRule="auto"/>
        <w:jc w:val="both"/>
        <w:rPr>
          <w:rFonts w:ascii="Times New Roman" w:eastAsia="SimSun" w:hAnsi="Times New Roman" w:cs="Times New Roman"/>
          <w:b/>
          <w:bCs/>
          <w:sz w:val="24"/>
          <w:szCs w:val="24"/>
          <w:lang w:val="en-US"/>
        </w:rPr>
      </w:pPr>
    </w:p>
    <w:p w14:paraId="79F02A68" w14:textId="77777777" w:rsidR="00917B8D" w:rsidRDefault="00917B8D" w:rsidP="00917B8D">
      <w:pPr>
        <w:spacing w:after="0" w:line="360" w:lineRule="auto"/>
        <w:jc w:val="both"/>
        <w:rPr>
          <w:rFonts w:ascii="Times New Roman" w:eastAsia="SimSun" w:hAnsi="Times New Roman" w:cs="Times New Roman"/>
          <w:b/>
          <w:bCs/>
          <w:sz w:val="24"/>
          <w:szCs w:val="24"/>
          <w:lang w:val="en-US"/>
        </w:rPr>
      </w:pPr>
    </w:p>
    <w:p w14:paraId="149C17DA" w14:textId="77777777" w:rsidR="00917B8D" w:rsidRDefault="00917B8D" w:rsidP="00917B8D">
      <w:pPr>
        <w:spacing w:after="0" w:line="360" w:lineRule="auto"/>
        <w:jc w:val="both"/>
        <w:rPr>
          <w:rFonts w:ascii="Times New Roman" w:eastAsia="SimSun" w:hAnsi="Times New Roman" w:cs="Times New Roman"/>
          <w:b/>
          <w:bCs/>
          <w:sz w:val="24"/>
          <w:szCs w:val="24"/>
          <w:lang w:val="en-US"/>
        </w:rPr>
      </w:pPr>
    </w:p>
    <w:p w14:paraId="46A2EE33" w14:textId="0D97D391" w:rsidR="00DE68B9" w:rsidRPr="00917B8D" w:rsidRDefault="003B4087" w:rsidP="00917B8D">
      <w:pPr>
        <w:spacing w:after="0" w:line="360" w:lineRule="auto"/>
        <w:jc w:val="both"/>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lastRenderedPageBreak/>
        <w:t>Table 4</w:t>
      </w:r>
      <w:r w:rsidR="00917B8D">
        <w:rPr>
          <w:rFonts w:ascii="Times New Roman" w:eastAsia="SimSun" w:hAnsi="Times New Roman" w:cs="Times New Roman"/>
          <w:b/>
          <w:bCs/>
          <w:sz w:val="24"/>
          <w:szCs w:val="24"/>
          <w:lang w:val="en-US"/>
        </w:rPr>
        <w:t xml:space="preserve">. </w:t>
      </w:r>
      <w:r w:rsidR="00DE68B9" w:rsidRPr="00DE68B9">
        <w:rPr>
          <w:rFonts w:ascii="Times New Roman" w:eastAsia="SimSun" w:hAnsi="Times New Roman" w:cs="Times New Roman"/>
          <w:i/>
          <w:iCs/>
          <w:sz w:val="24"/>
          <w:szCs w:val="24"/>
          <w:lang w:val="en-US"/>
        </w:rPr>
        <w:t>Coefficient of Determination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tbl>
      <w:tblPr>
        <w:tblW w:w="0" w:type="auto"/>
        <w:tblBorders>
          <w:top w:val="single" w:sz="4" w:space="0" w:color="auto"/>
          <w:bottom w:val="single" w:sz="4" w:space="0" w:color="auto"/>
        </w:tblBorders>
        <w:shd w:val="clear" w:color="auto" w:fill="FFFFFF"/>
        <w:tblCellMar>
          <w:left w:w="0" w:type="dxa"/>
          <w:right w:w="0" w:type="dxa"/>
        </w:tblCellMar>
        <w:tblLook w:val="04A0" w:firstRow="1" w:lastRow="0" w:firstColumn="1" w:lastColumn="0" w:noHBand="0" w:noVBand="1"/>
      </w:tblPr>
      <w:tblGrid>
        <w:gridCol w:w="2768"/>
        <w:gridCol w:w="1175"/>
        <w:gridCol w:w="1619"/>
        <w:gridCol w:w="2339"/>
        <w:gridCol w:w="919"/>
        <w:gridCol w:w="540"/>
      </w:tblGrid>
      <w:tr w:rsidR="00DE68B9" w:rsidRPr="00DE68B9" w14:paraId="17DEF42E" w14:textId="77777777" w:rsidTr="00D178F5">
        <w:trPr>
          <w:trHeight w:val="276"/>
        </w:trPr>
        <w:tc>
          <w:tcPr>
            <w:tcW w:w="0" w:type="auto"/>
            <w:tcBorders>
              <w:top w:val="single" w:sz="4" w:space="0" w:color="auto"/>
              <w:bottom w:val="nil"/>
            </w:tcBorders>
            <w:shd w:val="clear" w:color="auto" w:fill="FFFFFF"/>
            <w:vAlign w:val="bottom"/>
          </w:tcPr>
          <w:p w14:paraId="7398EB99"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 </w:t>
            </w:r>
          </w:p>
        </w:tc>
        <w:tc>
          <w:tcPr>
            <w:tcW w:w="0" w:type="auto"/>
            <w:gridSpan w:val="2"/>
            <w:tcBorders>
              <w:top w:val="single" w:sz="4" w:space="0" w:color="auto"/>
              <w:bottom w:val="nil"/>
            </w:tcBorders>
            <w:shd w:val="clear" w:color="auto" w:fill="FFFFFF"/>
            <w:vAlign w:val="bottom"/>
          </w:tcPr>
          <w:p w14:paraId="4C933AF3"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Unstandardized</w:t>
            </w:r>
          </w:p>
        </w:tc>
        <w:tc>
          <w:tcPr>
            <w:tcW w:w="0" w:type="auto"/>
            <w:tcBorders>
              <w:top w:val="single" w:sz="4" w:space="0" w:color="auto"/>
              <w:bottom w:val="nil"/>
            </w:tcBorders>
            <w:shd w:val="clear" w:color="auto" w:fill="FFFFFF"/>
            <w:vAlign w:val="bottom"/>
          </w:tcPr>
          <w:p w14:paraId="47496B8C"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Standardized</w:t>
            </w:r>
          </w:p>
        </w:tc>
        <w:tc>
          <w:tcPr>
            <w:tcW w:w="0" w:type="auto"/>
            <w:tcBorders>
              <w:top w:val="single" w:sz="4" w:space="0" w:color="auto"/>
              <w:bottom w:val="nil"/>
            </w:tcBorders>
            <w:shd w:val="clear" w:color="auto" w:fill="FFFFFF"/>
            <w:vAlign w:val="bottom"/>
          </w:tcPr>
          <w:p w14:paraId="66AFA995"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c>
          <w:tcPr>
            <w:tcW w:w="0" w:type="auto"/>
            <w:tcBorders>
              <w:top w:val="single" w:sz="4" w:space="0" w:color="auto"/>
              <w:bottom w:val="nil"/>
            </w:tcBorders>
            <w:shd w:val="clear" w:color="auto" w:fill="FFFFFF"/>
            <w:vAlign w:val="bottom"/>
          </w:tcPr>
          <w:p w14:paraId="7C099D28"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r>
      <w:tr w:rsidR="00DE68B9" w:rsidRPr="00DE68B9" w14:paraId="2034271B" w14:textId="77777777" w:rsidTr="00D178F5">
        <w:trPr>
          <w:trHeight w:val="276"/>
        </w:trPr>
        <w:tc>
          <w:tcPr>
            <w:tcW w:w="0" w:type="auto"/>
            <w:tcBorders>
              <w:top w:val="nil"/>
              <w:bottom w:val="single" w:sz="4" w:space="0" w:color="auto"/>
            </w:tcBorders>
            <w:shd w:val="clear" w:color="auto" w:fill="FFFFFF"/>
            <w:vAlign w:val="bottom"/>
          </w:tcPr>
          <w:p w14:paraId="5F4A4ADF"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 </w:t>
            </w:r>
          </w:p>
        </w:tc>
        <w:tc>
          <w:tcPr>
            <w:tcW w:w="0" w:type="auto"/>
            <w:gridSpan w:val="2"/>
            <w:tcBorders>
              <w:top w:val="nil"/>
              <w:bottom w:val="single" w:sz="4" w:space="0" w:color="auto"/>
            </w:tcBorders>
            <w:shd w:val="clear" w:color="auto" w:fill="FFFFFF"/>
            <w:vAlign w:val="bottom"/>
          </w:tcPr>
          <w:p w14:paraId="402735C3"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Coefficients</w:t>
            </w:r>
          </w:p>
        </w:tc>
        <w:tc>
          <w:tcPr>
            <w:tcW w:w="0" w:type="auto"/>
            <w:tcBorders>
              <w:top w:val="nil"/>
              <w:bottom w:val="single" w:sz="4" w:space="0" w:color="auto"/>
            </w:tcBorders>
            <w:shd w:val="clear" w:color="auto" w:fill="FFFFFF"/>
            <w:vAlign w:val="bottom"/>
          </w:tcPr>
          <w:p w14:paraId="3B465122"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b/>
                <w:bCs/>
                <w:sz w:val="24"/>
                <w:szCs w:val="24"/>
                <w:lang w:val="en-US"/>
              </w:rPr>
              <w:t>Coefficients</w:t>
            </w:r>
          </w:p>
        </w:tc>
        <w:tc>
          <w:tcPr>
            <w:tcW w:w="0" w:type="auto"/>
            <w:tcBorders>
              <w:top w:val="nil"/>
              <w:bottom w:val="single" w:sz="4" w:space="0" w:color="auto"/>
            </w:tcBorders>
            <w:shd w:val="clear" w:color="auto" w:fill="FFFFFF"/>
            <w:vAlign w:val="bottom"/>
          </w:tcPr>
          <w:p w14:paraId="13A35048"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c>
          <w:tcPr>
            <w:tcW w:w="0" w:type="auto"/>
            <w:tcBorders>
              <w:top w:val="nil"/>
              <w:bottom w:val="single" w:sz="4" w:space="0" w:color="auto"/>
            </w:tcBorders>
            <w:shd w:val="clear" w:color="auto" w:fill="FFFFFF"/>
            <w:vAlign w:val="bottom"/>
          </w:tcPr>
          <w:p w14:paraId="7B4BA635"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r>
      <w:tr w:rsidR="00DE68B9" w:rsidRPr="00DE68B9" w14:paraId="4091754E" w14:textId="77777777" w:rsidTr="00D178F5">
        <w:trPr>
          <w:trHeight w:val="602"/>
        </w:trPr>
        <w:tc>
          <w:tcPr>
            <w:tcW w:w="0" w:type="auto"/>
            <w:tcBorders>
              <w:top w:val="single" w:sz="4" w:space="0" w:color="auto"/>
            </w:tcBorders>
            <w:shd w:val="clear" w:color="auto" w:fill="FFFFFF"/>
            <w:vAlign w:val="bottom"/>
          </w:tcPr>
          <w:p w14:paraId="0BCD075C"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c>
          <w:tcPr>
            <w:tcW w:w="0" w:type="auto"/>
            <w:tcBorders>
              <w:top w:val="single" w:sz="4" w:space="0" w:color="auto"/>
            </w:tcBorders>
            <w:shd w:val="clear" w:color="auto" w:fill="FFFFFF"/>
            <w:vAlign w:val="bottom"/>
          </w:tcPr>
          <w:p w14:paraId="53A01203"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B</w:t>
            </w:r>
          </w:p>
        </w:tc>
        <w:tc>
          <w:tcPr>
            <w:tcW w:w="0" w:type="auto"/>
            <w:tcBorders>
              <w:top w:val="single" w:sz="4" w:space="0" w:color="auto"/>
            </w:tcBorders>
            <w:shd w:val="clear" w:color="auto" w:fill="FFFFFF"/>
            <w:vAlign w:val="bottom"/>
          </w:tcPr>
          <w:p w14:paraId="3EDFE2C5"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Std. Error</w:t>
            </w:r>
          </w:p>
        </w:tc>
        <w:tc>
          <w:tcPr>
            <w:tcW w:w="0" w:type="auto"/>
            <w:tcBorders>
              <w:top w:val="single" w:sz="4" w:space="0" w:color="auto"/>
            </w:tcBorders>
            <w:shd w:val="clear" w:color="auto" w:fill="FFFFFF"/>
            <w:vAlign w:val="bottom"/>
          </w:tcPr>
          <w:p w14:paraId="2E0B65B3"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Beta</w:t>
            </w:r>
          </w:p>
        </w:tc>
        <w:tc>
          <w:tcPr>
            <w:tcW w:w="0" w:type="auto"/>
            <w:tcBorders>
              <w:top w:val="single" w:sz="4" w:space="0" w:color="auto"/>
            </w:tcBorders>
            <w:shd w:val="clear" w:color="auto" w:fill="FFFFFF"/>
            <w:vAlign w:val="bottom"/>
          </w:tcPr>
          <w:p w14:paraId="06495E78"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T</w:t>
            </w:r>
          </w:p>
        </w:tc>
        <w:tc>
          <w:tcPr>
            <w:tcW w:w="0" w:type="auto"/>
            <w:tcBorders>
              <w:top w:val="single" w:sz="4" w:space="0" w:color="auto"/>
            </w:tcBorders>
            <w:shd w:val="clear" w:color="auto" w:fill="FFFFFF"/>
            <w:vAlign w:val="bottom"/>
          </w:tcPr>
          <w:p w14:paraId="47B9DE49"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Sig.</w:t>
            </w:r>
          </w:p>
        </w:tc>
      </w:tr>
      <w:tr w:rsidR="00DE68B9" w:rsidRPr="00DE68B9" w14:paraId="4074682D" w14:textId="77777777" w:rsidTr="00D178F5">
        <w:trPr>
          <w:trHeight w:val="258"/>
        </w:trPr>
        <w:tc>
          <w:tcPr>
            <w:tcW w:w="0" w:type="auto"/>
            <w:shd w:val="clear" w:color="auto" w:fill="FFFFFF"/>
            <w:vAlign w:val="bottom"/>
          </w:tcPr>
          <w:p w14:paraId="274E028F"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Model 1(Constant)</w:t>
            </w:r>
          </w:p>
        </w:tc>
        <w:tc>
          <w:tcPr>
            <w:tcW w:w="0" w:type="auto"/>
            <w:shd w:val="clear" w:color="auto" w:fill="FFFFFF"/>
            <w:vAlign w:val="bottom"/>
          </w:tcPr>
          <w:p w14:paraId="76C4FDE4"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0.531</w:t>
            </w:r>
          </w:p>
        </w:tc>
        <w:tc>
          <w:tcPr>
            <w:tcW w:w="0" w:type="auto"/>
            <w:shd w:val="clear" w:color="auto" w:fill="FFFFFF"/>
            <w:vAlign w:val="bottom"/>
          </w:tcPr>
          <w:p w14:paraId="7E4CFAC7"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0.169</w:t>
            </w:r>
          </w:p>
        </w:tc>
        <w:tc>
          <w:tcPr>
            <w:tcW w:w="0" w:type="auto"/>
            <w:shd w:val="clear" w:color="auto" w:fill="FFFFFF"/>
            <w:vAlign w:val="bottom"/>
          </w:tcPr>
          <w:p w14:paraId="6A3D944F"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p>
        </w:tc>
        <w:tc>
          <w:tcPr>
            <w:tcW w:w="0" w:type="auto"/>
            <w:shd w:val="clear" w:color="auto" w:fill="FFFFFF"/>
            <w:vAlign w:val="bottom"/>
          </w:tcPr>
          <w:p w14:paraId="576F89D1"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3.144</w:t>
            </w:r>
          </w:p>
        </w:tc>
        <w:tc>
          <w:tcPr>
            <w:tcW w:w="0" w:type="auto"/>
            <w:shd w:val="clear" w:color="auto" w:fill="FFFFFF"/>
            <w:vAlign w:val="bottom"/>
          </w:tcPr>
          <w:p w14:paraId="6D06FF13"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0.002</w:t>
            </w:r>
          </w:p>
        </w:tc>
      </w:tr>
      <w:tr w:rsidR="00DE68B9" w:rsidRPr="00DE68B9" w14:paraId="7662136E" w14:textId="77777777" w:rsidTr="00D178F5">
        <w:trPr>
          <w:trHeight w:val="476"/>
        </w:trPr>
        <w:tc>
          <w:tcPr>
            <w:tcW w:w="0" w:type="auto"/>
            <w:shd w:val="clear" w:color="auto" w:fill="FFFFFF"/>
          </w:tcPr>
          <w:p w14:paraId="4CCD4BF5"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 xml:space="preserve">Teacher practices </w:t>
            </w:r>
          </w:p>
        </w:tc>
        <w:tc>
          <w:tcPr>
            <w:tcW w:w="0" w:type="auto"/>
            <w:shd w:val="clear" w:color="auto" w:fill="FFFFFF"/>
            <w:vAlign w:val="bottom"/>
          </w:tcPr>
          <w:p w14:paraId="7AE7C606"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0.383</w:t>
            </w:r>
          </w:p>
        </w:tc>
        <w:tc>
          <w:tcPr>
            <w:tcW w:w="0" w:type="auto"/>
            <w:shd w:val="clear" w:color="auto" w:fill="FFFFFF"/>
            <w:vAlign w:val="bottom"/>
          </w:tcPr>
          <w:p w14:paraId="28A4D416"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0.083</w:t>
            </w:r>
          </w:p>
        </w:tc>
        <w:tc>
          <w:tcPr>
            <w:tcW w:w="0" w:type="auto"/>
            <w:shd w:val="clear" w:color="auto" w:fill="FFFFFF"/>
            <w:vAlign w:val="bottom"/>
          </w:tcPr>
          <w:p w14:paraId="566905DD"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0.457</w:t>
            </w:r>
          </w:p>
        </w:tc>
        <w:tc>
          <w:tcPr>
            <w:tcW w:w="0" w:type="auto"/>
            <w:shd w:val="clear" w:color="auto" w:fill="FFFFFF"/>
            <w:vAlign w:val="bottom"/>
          </w:tcPr>
          <w:p w14:paraId="1612E021"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4.613</w:t>
            </w:r>
          </w:p>
        </w:tc>
        <w:tc>
          <w:tcPr>
            <w:tcW w:w="0" w:type="auto"/>
            <w:shd w:val="clear" w:color="auto" w:fill="FFFFFF"/>
            <w:vAlign w:val="bottom"/>
          </w:tcPr>
          <w:p w14:paraId="6D2D1A97"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0.000</w:t>
            </w:r>
          </w:p>
        </w:tc>
      </w:tr>
      <w:tr w:rsidR="00DE68B9" w:rsidRPr="00DE68B9" w14:paraId="1D07ECDB" w14:textId="77777777" w:rsidTr="00D178F5">
        <w:trPr>
          <w:gridAfter w:val="1"/>
          <w:trHeight w:val="256"/>
        </w:trPr>
        <w:tc>
          <w:tcPr>
            <w:tcW w:w="0" w:type="auto"/>
            <w:gridSpan w:val="5"/>
            <w:tcBorders>
              <w:top w:val="single" w:sz="4" w:space="0" w:color="auto"/>
              <w:bottom w:val="single" w:sz="4" w:space="0" w:color="auto"/>
            </w:tcBorders>
            <w:shd w:val="clear" w:color="auto" w:fill="FFFFFF"/>
            <w:vAlign w:val="bottom"/>
          </w:tcPr>
          <w:p w14:paraId="75F3977F" w14:textId="77777777" w:rsidR="00DE68B9" w:rsidRPr="00DE68B9" w:rsidRDefault="00DE68B9" w:rsidP="00DE68B9">
            <w:pPr>
              <w:spacing w:after="0" w:line="480" w:lineRule="auto"/>
              <w:jc w:val="both"/>
              <w:rPr>
                <w:rFonts w:ascii="Times New Roman" w:eastAsia="SimSun" w:hAnsi="Times New Roman" w:cs="Times New Roman"/>
                <w:sz w:val="24"/>
                <w:szCs w:val="24"/>
                <w:lang w:val="en-US"/>
              </w:rPr>
            </w:pPr>
            <w:r w:rsidRPr="00DE68B9">
              <w:rPr>
                <w:rFonts w:ascii="Times New Roman" w:eastAsia="SimSun" w:hAnsi="Times New Roman" w:cs="Times New Roman"/>
                <w:sz w:val="24"/>
                <w:szCs w:val="24"/>
                <w:lang w:val="en-US"/>
              </w:rPr>
              <w:t xml:space="preserve">a. </w:t>
            </w:r>
            <w:r w:rsidRPr="00DE68B9">
              <w:rPr>
                <w:rFonts w:ascii="Times New Roman" w:eastAsia="SimSun" w:hAnsi="Times New Roman" w:cs="Times New Roman"/>
                <w:b/>
                <w:sz w:val="24"/>
                <w:szCs w:val="24"/>
                <w:lang w:val="en-US"/>
              </w:rPr>
              <w:t xml:space="preserve">Dependent Variable: </w:t>
            </w:r>
            <w:r w:rsidRPr="00DE68B9">
              <w:rPr>
                <w:rFonts w:ascii="Times New Roman" w:eastAsia="SimSun" w:hAnsi="Times New Roman" w:cs="Times New Roman"/>
                <w:sz w:val="24"/>
                <w:szCs w:val="24"/>
                <w:lang w:val="en-US"/>
              </w:rPr>
              <w:t xml:space="preserve">career choice decisiveness among secondary school students in </w:t>
            </w:r>
            <w:proofErr w:type="spellStart"/>
            <w:r w:rsidRPr="00DE68B9">
              <w:rPr>
                <w:rFonts w:ascii="Times New Roman" w:eastAsia="SimSun" w:hAnsi="Times New Roman" w:cs="Times New Roman"/>
                <w:sz w:val="24"/>
                <w:szCs w:val="24"/>
                <w:lang w:val="en-US"/>
              </w:rPr>
              <w:t>Gilgil</w:t>
            </w:r>
            <w:proofErr w:type="spellEnd"/>
            <w:r w:rsidRPr="00DE68B9">
              <w:rPr>
                <w:rFonts w:ascii="Times New Roman" w:eastAsia="SimSun" w:hAnsi="Times New Roman" w:cs="Times New Roman"/>
                <w:sz w:val="24"/>
                <w:szCs w:val="24"/>
                <w:lang w:val="en-US"/>
              </w:rPr>
              <w:t xml:space="preserve"> Sub-County, Nakuru County, Kenya</w:t>
            </w:r>
          </w:p>
        </w:tc>
      </w:tr>
    </w:tbl>
    <w:p w14:paraId="54166200" w14:textId="77777777" w:rsidR="00DE68B9" w:rsidRPr="00DE68B9" w:rsidRDefault="00DE68B9" w:rsidP="00DE68B9">
      <w:pPr>
        <w:spacing w:after="0" w:line="480" w:lineRule="auto"/>
        <w:jc w:val="both"/>
        <w:rPr>
          <w:rFonts w:ascii="Times New Roman" w:eastAsia="SimSun" w:hAnsi="Times New Roman" w:cs="Times New Roman"/>
          <w:sz w:val="24"/>
          <w:szCs w:val="24"/>
          <w:lang w:val="en-US" w:eastAsia="en-GB"/>
        </w:rPr>
      </w:pPr>
    </w:p>
    <w:p w14:paraId="79BA8F09" w14:textId="77777777" w:rsidR="00DE68B9" w:rsidRPr="00DE68B9" w:rsidRDefault="00DE68B9" w:rsidP="003B4087">
      <w:pPr>
        <w:spacing w:after="0" w:line="360" w:lineRule="auto"/>
        <w:jc w:val="both"/>
        <w:rPr>
          <w:rFonts w:ascii="Times New Roman" w:eastAsia="SimSun" w:hAnsi="Times New Roman" w:cs="Times New Roman"/>
          <w:sz w:val="24"/>
          <w:szCs w:val="24"/>
          <w:lang w:val="en-US" w:eastAsia="en-GB"/>
        </w:rPr>
      </w:pPr>
      <w:r w:rsidRPr="00DE68B9">
        <w:rPr>
          <w:rFonts w:ascii="Times New Roman" w:eastAsia="SimSun" w:hAnsi="Times New Roman" w:cs="Times New Roman"/>
          <w:sz w:val="24"/>
          <w:szCs w:val="24"/>
          <w:lang w:val="en-US"/>
        </w:rPr>
        <w:t xml:space="preserve">Multiple regression analysis </w:t>
      </w:r>
      <w:r w:rsidRPr="00DE68B9">
        <w:rPr>
          <w:rFonts w:ascii="Times New Roman" w:eastAsia="SimSun" w:hAnsi="Times New Roman" w:cs="Times New Roman"/>
          <w:sz w:val="24"/>
          <w:szCs w:val="24"/>
          <w:lang w:val="en-US" w:eastAsia="en-GB"/>
        </w:rPr>
        <w:t xml:space="preserve">was conducted as to determine the </w:t>
      </w:r>
      <w:r w:rsidRPr="00DE68B9">
        <w:rPr>
          <w:rFonts w:ascii="Times New Roman" w:eastAsia="SimSun" w:hAnsi="Times New Roman" w:cs="Times New Roman"/>
          <w:sz w:val="24"/>
          <w:szCs w:val="24"/>
          <w:lang w:val="en-US"/>
        </w:rPr>
        <w:t xml:space="preserve">career choice decisiveness among secondary school students in </w:t>
      </w:r>
      <w:proofErr w:type="spellStart"/>
      <w:r w:rsidRPr="00DE68B9">
        <w:rPr>
          <w:rFonts w:ascii="Times New Roman" w:eastAsia="SimSun" w:hAnsi="Times New Roman" w:cs="Times New Roman"/>
          <w:sz w:val="24"/>
          <w:szCs w:val="24"/>
          <w:lang w:val="en-US"/>
        </w:rPr>
        <w:t>Gilgil</w:t>
      </w:r>
      <w:proofErr w:type="spellEnd"/>
      <w:r w:rsidRPr="00DE68B9">
        <w:rPr>
          <w:rFonts w:ascii="Times New Roman" w:eastAsia="SimSun" w:hAnsi="Times New Roman" w:cs="Times New Roman"/>
          <w:sz w:val="24"/>
          <w:szCs w:val="24"/>
          <w:lang w:val="en-US"/>
        </w:rPr>
        <w:t xml:space="preserve"> Sub-County, Nakuru County, Kenya</w:t>
      </w:r>
      <w:r w:rsidRPr="00DE68B9">
        <w:rPr>
          <w:rFonts w:ascii="Times New Roman" w:eastAsia="SimSun" w:hAnsi="Times New Roman" w:cs="Times New Roman"/>
          <w:sz w:val="24"/>
          <w:szCs w:val="24"/>
          <w:lang w:val="en-US" w:eastAsia="en-GB"/>
        </w:rPr>
        <w:t xml:space="preserve">. As per the SPSS generated table below, regression equation. </w:t>
      </w:r>
    </w:p>
    <w:p w14:paraId="050E41D6" w14:textId="4D0A1D92" w:rsidR="00DE68B9" w:rsidRPr="00DE68B9" w:rsidRDefault="00DE68B9" w:rsidP="003B4087">
      <w:pPr>
        <w:autoSpaceDE w:val="0"/>
        <w:autoSpaceDN w:val="0"/>
        <w:adjustRightInd w:val="0"/>
        <w:spacing w:after="0" w:line="360" w:lineRule="auto"/>
        <w:jc w:val="both"/>
        <w:rPr>
          <w:rFonts w:ascii="Times New Roman" w:eastAsia="SimSun" w:hAnsi="Times New Roman" w:cs="Times New Roman"/>
          <w:sz w:val="24"/>
          <w:szCs w:val="24"/>
          <w:lang w:val="en-US" w:eastAsia="en-GB"/>
        </w:rPr>
      </w:pPr>
      <w:r w:rsidRPr="00DE68B9">
        <w:rPr>
          <w:rFonts w:ascii="Times New Roman" w:eastAsia="SimSun" w:hAnsi="Times New Roman" w:cs="Times New Roman"/>
          <w:sz w:val="24"/>
          <w:szCs w:val="24"/>
          <w:lang w:val="en-US" w:eastAsia="en-GB"/>
        </w:rPr>
        <w:t xml:space="preserve"> (</w:t>
      </w:r>
      <w:r w:rsidRPr="00DE68B9">
        <w:rPr>
          <w:rFonts w:ascii="Times New Roman" w:eastAsia="SimSun" w:hAnsi="Times New Roman" w:cs="Times New Roman"/>
          <w:b/>
          <w:sz w:val="24"/>
          <w:szCs w:val="24"/>
          <w:lang w:val="en-US" w:eastAsia="en-GB"/>
        </w:rPr>
        <w:t>Y = α + β</w:t>
      </w:r>
      <w:r w:rsidRPr="00DE68B9">
        <w:rPr>
          <w:rFonts w:ascii="Times New Roman" w:eastAsia="SimSun" w:hAnsi="Times New Roman" w:cs="Times New Roman"/>
          <w:b/>
          <w:sz w:val="24"/>
          <w:szCs w:val="24"/>
          <w:vertAlign w:val="subscript"/>
          <w:lang w:val="en-US" w:eastAsia="en-GB"/>
        </w:rPr>
        <w:t>1</w:t>
      </w:r>
      <w:r w:rsidRPr="00DE68B9">
        <w:rPr>
          <w:rFonts w:ascii="Times New Roman" w:eastAsia="SimSun" w:hAnsi="Times New Roman" w:cs="Times New Roman"/>
          <w:b/>
          <w:sz w:val="24"/>
          <w:szCs w:val="24"/>
          <w:lang w:val="en-US" w:eastAsia="en-GB"/>
        </w:rPr>
        <w:t>X</w:t>
      </w:r>
      <w:r w:rsidR="003B4087">
        <w:rPr>
          <w:rFonts w:ascii="Times New Roman" w:eastAsia="SimSun" w:hAnsi="Times New Roman" w:cs="Times New Roman"/>
          <w:b/>
          <w:sz w:val="24"/>
          <w:szCs w:val="24"/>
          <w:vertAlign w:val="subscript"/>
          <w:lang w:val="en-US" w:eastAsia="en-GB"/>
        </w:rPr>
        <w:t>1+</w:t>
      </w:r>
      <w:r w:rsidRPr="00DE68B9">
        <w:rPr>
          <w:rFonts w:ascii="Times New Roman" w:eastAsia="SimSun" w:hAnsi="Times New Roman" w:cs="Times New Roman"/>
          <w:b/>
          <w:sz w:val="24"/>
          <w:szCs w:val="24"/>
          <w:lang w:val="en-US" w:eastAsia="en-GB"/>
        </w:rPr>
        <w:t xml:space="preserve"> ẹ</w:t>
      </w:r>
      <w:r w:rsidRPr="00DE68B9">
        <w:rPr>
          <w:rFonts w:ascii="Times New Roman" w:eastAsia="SimSun" w:hAnsi="Times New Roman" w:cs="Times New Roman"/>
          <w:sz w:val="24"/>
          <w:szCs w:val="24"/>
          <w:lang w:val="en-US" w:eastAsia="en-GB"/>
        </w:rPr>
        <w:t xml:space="preserve">) </w:t>
      </w:r>
    </w:p>
    <w:p w14:paraId="0F006212" w14:textId="77777777" w:rsidR="00DE68B9" w:rsidRPr="00DE68B9" w:rsidRDefault="00DE68B9" w:rsidP="003B4087">
      <w:pPr>
        <w:autoSpaceDE w:val="0"/>
        <w:autoSpaceDN w:val="0"/>
        <w:adjustRightInd w:val="0"/>
        <w:spacing w:after="0" w:line="360" w:lineRule="auto"/>
        <w:jc w:val="both"/>
        <w:rPr>
          <w:rFonts w:ascii="Times New Roman" w:eastAsia="SimSun" w:hAnsi="Times New Roman" w:cs="Times New Roman"/>
          <w:b/>
          <w:sz w:val="24"/>
          <w:szCs w:val="24"/>
          <w:lang w:val="en-US" w:eastAsia="en-GB"/>
        </w:rPr>
      </w:pPr>
      <w:r w:rsidRPr="00DE68B9">
        <w:rPr>
          <w:rFonts w:ascii="Times New Roman" w:eastAsia="SimSun" w:hAnsi="Times New Roman" w:cs="Times New Roman"/>
          <w:sz w:val="24"/>
          <w:szCs w:val="24"/>
          <w:lang w:val="en-US" w:eastAsia="en-GB"/>
        </w:rPr>
        <w:t xml:space="preserve">Becomes:  </w:t>
      </w:r>
    </w:p>
    <w:p w14:paraId="1CBF1047" w14:textId="2F8097E5" w:rsidR="00DE68B9" w:rsidRPr="00DE68B9" w:rsidRDefault="00DE68B9" w:rsidP="003B4087">
      <w:pPr>
        <w:autoSpaceDE w:val="0"/>
        <w:autoSpaceDN w:val="0"/>
        <w:adjustRightInd w:val="0"/>
        <w:spacing w:after="0" w:line="360" w:lineRule="auto"/>
        <w:jc w:val="both"/>
        <w:rPr>
          <w:rFonts w:ascii="Times New Roman" w:eastAsia="SimSun" w:hAnsi="Times New Roman" w:cs="Times New Roman"/>
          <w:sz w:val="24"/>
          <w:szCs w:val="24"/>
          <w:vertAlign w:val="subscript"/>
          <w:lang w:val="en-US" w:eastAsia="en-GB"/>
        </w:rPr>
      </w:pPr>
      <w:r w:rsidRPr="00DE68B9">
        <w:rPr>
          <w:rFonts w:ascii="Times New Roman" w:eastAsia="SimSun" w:hAnsi="Times New Roman" w:cs="Times New Roman"/>
          <w:sz w:val="24"/>
          <w:szCs w:val="24"/>
          <w:lang w:val="en-US" w:eastAsia="en-GB"/>
        </w:rPr>
        <w:t xml:space="preserve">(Y= 0.531+ 0.383+ ε) </w:t>
      </w:r>
    </w:p>
    <w:p w14:paraId="7122A549" w14:textId="2CFAB537" w:rsidR="00DE68B9" w:rsidRDefault="00DE68B9" w:rsidP="003B4087">
      <w:pPr>
        <w:pStyle w:val="Heading1"/>
        <w:jc w:val="both"/>
        <w:rPr>
          <w:lang w:val="en-US" w:eastAsia="en-US"/>
        </w:rPr>
      </w:pPr>
      <w:r w:rsidRPr="00DE68B9">
        <w:rPr>
          <w:rFonts w:eastAsia="SimSun"/>
          <w:b w:val="0"/>
          <w:bCs w:val="0"/>
          <w:lang w:val="en-US"/>
        </w:rPr>
        <w:t>From the regression taking the independent variable at constant (</w:t>
      </w:r>
      <w:r w:rsidRPr="00DE68B9">
        <w:rPr>
          <w:rFonts w:eastAsia="SimSun"/>
          <w:b w:val="0"/>
          <w:bCs w:val="0"/>
          <w:lang w:val="en-US" w:eastAsia="en-US"/>
        </w:rPr>
        <w:t>teacher practices</w:t>
      </w:r>
      <w:r w:rsidRPr="00DE68B9">
        <w:rPr>
          <w:rFonts w:eastAsia="SimSun"/>
          <w:b w:val="0"/>
          <w:bCs w:val="0"/>
          <w:lang w:val="en-US"/>
        </w:rPr>
        <w:t xml:space="preserve">) constant at zero, </w:t>
      </w:r>
      <w:r w:rsidRPr="00DE68B9">
        <w:rPr>
          <w:rFonts w:eastAsia="SimSun"/>
          <w:b w:val="0"/>
          <w:bCs w:val="0"/>
          <w:lang w:val="en-US" w:eastAsia="en-US"/>
        </w:rPr>
        <w:t xml:space="preserve">career choice decisiveness among secondary school students in </w:t>
      </w:r>
      <w:proofErr w:type="spellStart"/>
      <w:r w:rsidRPr="00DE68B9">
        <w:rPr>
          <w:rFonts w:eastAsia="SimSun"/>
          <w:b w:val="0"/>
          <w:bCs w:val="0"/>
          <w:lang w:val="en-US" w:eastAsia="en-US"/>
        </w:rPr>
        <w:t>Gilgil</w:t>
      </w:r>
      <w:proofErr w:type="spellEnd"/>
      <w:r w:rsidRPr="00DE68B9">
        <w:rPr>
          <w:rFonts w:eastAsia="SimSun"/>
          <w:b w:val="0"/>
          <w:bCs w:val="0"/>
          <w:lang w:val="en-US" w:eastAsia="en-US"/>
        </w:rPr>
        <w:t xml:space="preserve"> Sub-County, Nakuru County, Kenya</w:t>
      </w:r>
      <w:r w:rsidRPr="00DE68B9">
        <w:rPr>
          <w:rFonts w:eastAsia="SimSun"/>
          <w:b w:val="0"/>
          <w:bCs w:val="0"/>
          <w:lang w:val="en-US"/>
        </w:rPr>
        <w:t xml:space="preserve"> was 0.531. The data findings analyzed also showed that taking all other independent variables at zero, a unit increase in </w:t>
      </w:r>
      <w:r w:rsidRPr="00DE68B9">
        <w:rPr>
          <w:rFonts w:eastAsia="SimSun"/>
          <w:b w:val="0"/>
          <w:bCs w:val="0"/>
          <w:lang w:val="en-US" w:eastAsia="en-US"/>
        </w:rPr>
        <w:t>teacher practices</w:t>
      </w:r>
      <w:r w:rsidRPr="00DE68B9">
        <w:rPr>
          <w:rFonts w:eastAsia="SimSun"/>
          <w:b w:val="0"/>
          <w:bCs w:val="0"/>
          <w:lang w:val="en-US"/>
        </w:rPr>
        <w:t xml:space="preserve"> will lead to a 0.383 increase in </w:t>
      </w:r>
      <w:r w:rsidRPr="00DE68B9">
        <w:rPr>
          <w:rFonts w:eastAsia="SimSun"/>
          <w:b w:val="0"/>
          <w:bCs w:val="0"/>
          <w:lang w:val="en-US" w:eastAsia="en-US"/>
        </w:rPr>
        <w:t xml:space="preserve">career choice decisiveness among secondary school students in </w:t>
      </w:r>
      <w:proofErr w:type="spellStart"/>
      <w:r w:rsidRPr="00DE68B9">
        <w:rPr>
          <w:rFonts w:eastAsia="SimSun"/>
          <w:b w:val="0"/>
          <w:bCs w:val="0"/>
          <w:lang w:val="en-US" w:eastAsia="en-US"/>
        </w:rPr>
        <w:t>Gilgil</w:t>
      </w:r>
      <w:proofErr w:type="spellEnd"/>
      <w:r w:rsidRPr="00DE68B9">
        <w:rPr>
          <w:rFonts w:eastAsia="SimSun"/>
          <w:b w:val="0"/>
          <w:bCs w:val="0"/>
          <w:lang w:val="en-US" w:eastAsia="en-US"/>
        </w:rPr>
        <w:t xml:space="preserve"> Sub-County, Nakuru County, Kenya</w:t>
      </w:r>
    </w:p>
    <w:p w14:paraId="442984D9" w14:textId="77777777" w:rsidR="00DE68B9" w:rsidRPr="00DE68B9" w:rsidRDefault="00DE68B9" w:rsidP="00DE68B9">
      <w:pPr>
        <w:rPr>
          <w:lang w:val="en-US"/>
        </w:rPr>
      </w:pPr>
    </w:p>
    <w:p w14:paraId="181C8916" w14:textId="1E6A99D4" w:rsidR="009A7BE8" w:rsidRPr="009877ED" w:rsidRDefault="006A5AE2" w:rsidP="00C76FE0">
      <w:pPr>
        <w:spacing w:before="240" w:line="360" w:lineRule="auto"/>
        <w:jc w:val="both"/>
        <w:rPr>
          <w:rFonts w:ascii="Times New Roman" w:eastAsia="MinionPro-Capt" w:hAnsi="Times New Roman" w:cs="Times New Roman"/>
          <w:b/>
          <w:sz w:val="24"/>
          <w:szCs w:val="24"/>
        </w:rPr>
      </w:pPr>
      <w:r w:rsidRPr="009877ED">
        <w:rPr>
          <w:rFonts w:ascii="Times New Roman" w:eastAsia="MinionPro-Capt" w:hAnsi="Times New Roman" w:cs="Times New Roman"/>
          <w:b/>
          <w:sz w:val="24"/>
          <w:szCs w:val="24"/>
        </w:rPr>
        <w:t xml:space="preserve">5.0 CONCLUSIONS AND RECOMMENDATIONS </w:t>
      </w:r>
    </w:p>
    <w:p w14:paraId="05FC23D1" w14:textId="24419800" w:rsidR="009E5FE4" w:rsidRDefault="00970294" w:rsidP="003B4087">
      <w:pPr>
        <w:pStyle w:val="Heading3"/>
        <w:jc w:val="both"/>
      </w:pPr>
      <w:r w:rsidRPr="009877ED">
        <w:t xml:space="preserve">5.1 </w:t>
      </w:r>
      <w:r w:rsidR="003B4087">
        <w:t>Conclusion</w:t>
      </w:r>
    </w:p>
    <w:p w14:paraId="0ECF5C21" w14:textId="45941DD3" w:rsidR="003B4087" w:rsidRPr="003B4087" w:rsidRDefault="003B4087" w:rsidP="003B4087">
      <w:pPr>
        <w:spacing w:after="0" w:line="360" w:lineRule="auto"/>
        <w:jc w:val="both"/>
        <w:rPr>
          <w:rFonts w:ascii="Times New Roman" w:eastAsia="SimSun" w:hAnsi="Times New Roman" w:cs="Times New Roman"/>
          <w:sz w:val="24"/>
          <w:szCs w:val="24"/>
          <w:lang w:val="en-US"/>
        </w:rPr>
      </w:pPr>
      <w:r w:rsidRPr="003B4087">
        <w:rPr>
          <w:rFonts w:ascii="Times New Roman" w:eastAsia="SimSun" w:hAnsi="Times New Roman" w:cs="Times New Roman"/>
          <w:sz w:val="24"/>
          <w:szCs w:val="24"/>
          <w:lang w:val="en-US"/>
        </w:rPr>
        <w:t xml:space="preserve">In conclusion, teacher practices play a pivotal role in shaping career choice decisiveness among secondary school students. Through effective guidance, mentorship, personalized support, </w:t>
      </w:r>
      <w:r w:rsidRPr="003B4087">
        <w:rPr>
          <w:rFonts w:ascii="Times New Roman" w:eastAsia="SimSun" w:hAnsi="Times New Roman" w:cs="Times New Roman"/>
          <w:sz w:val="24"/>
          <w:szCs w:val="24"/>
          <w:lang w:val="en-US"/>
        </w:rPr>
        <w:lastRenderedPageBreak/>
        <w:t>integration of career education into the curriculum, and collaboration with parents and the community, teachers can significantly influence students' confidence and clarity in making career decisions. Investing in teacher professional development further enhances their ability to support students in this critical aspect of their educational journey.</w:t>
      </w:r>
    </w:p>
    <w:p w14:paraId="34F6BDD3" w14:textId="4616DEC8" w:rsidR="009E5FE4" w:rsidRPr="009877ED" w:rsidRDefault="00970294" w:rsidP="003B4087">
      <w:pPr>
        <w:pStyle w:val="Heading2"/>
        <w:jc w:val="both"/>
        <w:rPr>
          <w:rFonts w:cs="Times New Roman"/>
          <w:szCs w:val="24"/>
        </w:rPr>
      </w:pPr>
      <w:bookmarkStart w:id="93" w:name="_Toc148117303"/>
      <w:r w:rsidRPr="009877ED">
        <w:rPr>
          <w:rFonts w:cs="Times New Roman"/>
          <w:szCs w:val="24"/>
        </w:rPr>
        <w:t>5.2</w:t>
      </w:r>
      <w:r w:rsidR="009E5FE4" w:rsidRPr="009877ED">
        <w:rPr>
          <w:rFonts w:cs="Times New Roman"/>
          <w:szCs w:val="24"/>
        </w:rPr>
        <w:t xml:space="preserve"> Recommendations of the Study</w:t>
      </w:r>
      <w:bookmarkEnd w:id="93"/>
    </w:p>
    <w:p w14:paraId="0605959D" w14:textId="77777777" w:rsidR="003B4087" w:rsidRPr="003B4087" w:rsidRDefault="003B4087" w:rsidP="003B4087">
      <w:pPr>
        <w:spacing w:after="0" w:line="360" w:lineRule="auto"/>
        <w:jc w:val="both"/>
        <w:rPr>
          <w:rFonts w:ascii="Times New Roman" w:eastAsia="SimSun" w:hAnsi="Times New Roman" w:cs="Times New Roman"/>
          <w:sz w:val="24"/>
          <w:szCs w:val="24"/>
          <w:lang w:val="en-US"/>
        </w:rPr>
      </w:pPr>
      <w:r w:rsidRPr="003B4087">
        <w:rPr>
          <w:rFonts w:ascii="Times New Roman" w:eastAsia="SimSun" w:hAnsi="Times New Roman" w:cs="Times New Roman"/>
          <w:sz w:val="24"/>
          <w:szCs w:val="24"/>
        </w:rPr>
        <w:t xml:space="preserve">The schools need to </w:t>
      </w:r>
      <w:r w:rsidRPr="003B4087">
        <w:rPr>
          <w:rFonts w:ascii="Times New Roman" w:eastAsia="SimSun" w:hAnsi="Times New Roman" w:cs="Times New Roman"/>
          <w:sz w:val="24"/>
          <w:szCs w:val="24"/>
          <w:lang w:val="en-US"/>
        </w:rPr>
        <w:t>equip teachers with the necessary skills, resources, and support, schools to foster an environment where students are empowered to explore and confidently pursue their career aspirations.</w:t>
      </w:r>
    </w:p>
    <w:p w14:paraId="1F4968C7" w14:textId="77777777" w:rsidR="003B4087" w:rsidRPr="003B4087" w:rsidRDefault="003B4087" w:rsidP="003B4087">
      <w:pPr>
        <w:spacing w:after="0" w:line="360" w:lineRule="auto"/>
        <w:jc w:val="both"/>
        <w:rPr>
          <w:rFonts w:ascii="Times New Roman" w:eastAsia="SimSun" w:hAnsi="Times New Roman" w:cs="Times New Roman"/>
          <w:sz w:val="24"/>
          <w:szCs w:val="24"/>
          <w:lang w:val="en-US"/>
        </w:rPr>
      </w:pPr>
      <w:r w:rsidRPr="003B4087">
        <w:rPr>
          <w:rFonts w:ascii="Times New Roman" w:eastAsia="SimSun" w:hAnsi="Times New Roman" w:cs="Times New Roman"/>
          <w:sz w:val="24"/>
          <w:szCs w:val="24"/>
          <w:lang w:val="en-US"/>
        </w:rPr>
        <w:t>The schools should also integrate career education into the regular curriculum to help students understand the connections between subjects and career opportunities. Develop modules or courses focused on exploring various career paths and how different subjects can lead to these careers.</w:t>
      </w:r>
    </w:p>
    <w:p w14:paraId="722EE3D9" w14:textId="77777777" w:rsidR="003B4087" w:rsidRDefault="003B4087" w:rsidP="003B4087">
      <w:pPr>
        <w:spacing w:after="0" w:line="360" w:lineRule="auto"/>
        <w:jc w:val="both"/>
        <w:rPr>
          <w:rFonts w:ascii="Times New Roman" w:eastAsia="SimSun" w:hAnsi="Times New Roman" w:cs="Times New Roman"/>
          <w:sz w:val="24"/>
          <w:szCs w:val="24"/>
          <w:lang w:val="en-US"/>
        </w:rPr>
      </w:pPr>
      <w:r w:rsidRPr="003B4087">
        <w:rPr>
          <w:rFonts w:ascii="Times New Roman" w:eastAsia="SimSun" w:hAnsi="Times New Roman" w:cs="Times New Roman"/>
          <w:sz w:val="24"/>
          <w:szCs w:val="24"/>
          <w:lang w:val="en-US"/>
        </w:rPr>
        <w:t>The education sector should provide career counselors and teachers with specialized training in career counseling techniques, including the use of career assessment tools and knowledge of labor market trends. Offer personalized one-on-one counseling sessions that focus on each student’s unique interests, strengths, and career aspirations. Incorporate career education into the school curriculum to ensure that career counseling is an ongoing part of the educational experience.</w:t>
      </w:r>
    </w:p>
    <w:p w14:paraId="562E80CC" w14:textId="77777777" w:rsidR="003B4087" w:rsidRPr="003B4087" w:rsidRDefault="00C81AA5" w:rsidP="003B4087">
      <w:pPr>
        <w:pStyle w:val="Heading2"/>
        <w:rPr>
          <w:rFonts w:eastAsia="SimSun" w:cs="Times New Roman"/>
          <w:szCs w:val="32"/>
          <w:lang w:val="en-US" w:eastAsia="en-US"/>
        </w:rPr>
      </w:pPr>
      <w:r w:rsidRPr="009877ED">
        <w:rPr>
          <w:rFonts w:cs="Times New Roman"/>
          <w:b w:val="0"/>
          <w:szCs w:val="24"/>
        </w:rPr>
        <w:t>5</w:t>
      </w:r>
      <w:r w:rsidR="00721972" w:rsidRPr="009877ED">
        <w:rPr>
          <w:rFonts w:cs="Times New Roman"/>
          <w:b w:val="0"/>
          <w:szCs w:val="24"/>
        </w:rPr>
        <w:t>.3</w:t>
      </w:r>
      <w:r w:rsidR="009A7BE8" w:rsidRPr="009877ED">
        <w:rPr>
          <w:rFonts w:cs="Times New Roman"/>
          <w:b w:val="0"/>
          <w:szCs w:val="24"/>
        </w:rPr>
        <w:t xml:space="preserve"> </w:t>
      </w:r>
      <w:r w:rsidR="003B4087" w:rsidRPr="003B4087">
        <w:rPr>
          <w:rFonts w:eastAsia="SimSun" w:cs="Times New Roman"/>
          <w:szCs w:val="32"/>
          <w:lang w:val="en-US" w:eastAsia="en-US"/>
        </w:rPr>
        <w:t>Suggestions for Further Studies</w:t>
      </w:r>
    </w:p>
    <w:p w14:paraId="510FEAC0" w14:textId="77777777" w:rsidR="003B4087" w:rsidRDefault="003B4087" w:rsidP="003B4087">
      <w:pPr>
        <w:spacing w:after="0" w:line="360" w:lineRule="auto"/>
        <w:jc w:val="both"/>
        <w:rPr>
          <w:rFonts w:ascii="Times New Roman" w:eastAsia="SimSun" w:hAnsi="Times New Roman" w:cs="Times New Roman"/>
          <w:sz w:val="24"/>
          <w:szCs w:val="24"/>
          <w:lang w:val="en-US"/>
        </w:rPr>
      </w:pPr>
      <w:r w:rsidRPr="003B4087">
        <w:rPr>
          <w:rFonts w:ascii="Times New Roman" w:eastAsia="SimSun" w:hAnsi="Times New Roman" w:cs="Times New Roman"/>
          <w:sz w:val="24"/>
          <w:szCs w:val="24"/>
          <w:lang w:val="en-US"/>
        </w:rPr>
        <w:t>The degree to which teachers' attitudes impact secondary school pupils' decision-making regarding their careers should be investigated. The professional teacher believed during the study that a teacher's job in a school is more than just teaching; it involves going above and beyond the call of duties. Teachers play multiple roles in the life of the learners in the course of their work like being parents, mentors, role models, counsellors and also confidants.</w:t>
      </w:r>
    </w:p>
    <w:p w14:paraId="518AD493" w14:textId="77777777" w:rsidR="00917B8D" w:rsidRPr="00917B8D" w:rsidRDefault="00917B8D" w:rsidP="00917B8D">
      <w:pPr>
        <w:pStyle w:val="Heading1"/>
        <w:jc w:val="left"/>
        <w:rPr>
          <w:lang w:val="en-US" w:eastAsia="en-US"/>
        </w:rPr>
      </w:pPr>
      <w:r w:rsidRPr="00917B8D">
        <w:rPr>
          <w:lang w:val="en-US" w:eastAsia="en-US"/>
        </w:rPr>
        <w:t>COMPETING INTERESTS DISCLAIMER:</w:t>
      </w:r>
    </w:p>
    <w:p w14:paraId="4CFED78F" w14:textId="5609F62D" w:rsidR="00917B8D" w:rsidRPr="00917B8D" w:rsidRDefault="00917B8D" w:rsidP="00917B8D">
      <w:pPr>
        <w:pStyle w:val="Heading1"/>
        <w:jc w:val="left"/>
        <w:rPr>
          <w:b w:val="0"/>
          <w:bCs w:val="0"/>
          <w:lang w:val="en-US" w:eastAsia="en-US"/>
        </w:rPr>
      </w:pPr>
      <w:r w:rsidRPr="00917B8D">
        <w:rPr>
          <w:b w:val="0"/>
          <w:bCs w:val="0"/>
          <w:lang w:val="en-US" w:eastAsia="en-US"/>
        </w:rPr>
        <w:t>Authors have declared that they have no known competing financial interests OR non-financial interests OR personal relationships that could have appeared to influence the work reported in this paper.</w:t>
      </w:r>
    </w:p>
    <w:p w14:paraId="1C3B0678" w14:textId="77777777" w:rsidR="008A39BE" w:rsidRDefault="008A39BE" w:rsidP="00C76FE0">
      <w:pPr>
        <w:spacing w:line="360" w:lineRule="auto"/>
        <w:jc w:val="both"/>
        <w:rPr>
          <w:lang w:val="en-US"/>
        </w:rPr>
      </w:pPr>
    </w:p>
    <w:p w14:paraId="2F7B9E2F" w14:textId="66105934" w:rsidR="009A7BE8" w:rsidRPr="00A21354" w:rsidRDefault="00A21354" w:rsidP="00C76FE0">
      <w:pPr>
        <w:spacing w:line="360" w:lineRule="auto"/>
        <w:jc w:val="both"/>
        <w:rPr>
          <w:rFonts w:ascii="Times New Roman" w:hAnsi="Times New Roman" w:cs="Times New Roman"/>
          <w:b/>
          <w:sz w:val="24"/>
          <w:szCs w:val="24"/>
        </w:rPr>
      </w:pPr>
      <w:r w:rsidRPr="00A21354">
        <w:rPr>
          <w:rFonts w:ascii="Times New Roman" w:hAnsi="Times New Roman" w:cs="Times New Roman"/>
          <w:b/>
          <w:sz w:val="24"/>
          <w:szCs w:val="24"/>
        </w:rPr>
        <w:lastRenderedPageBreak/>
        <w:t>REFERENCES</w:t>
      </w:r>
    </w:p>
    <w:p w14:paraId="1509274E"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Acar, D., </w:t>
      </w:r>
      <w:proofErr w:type="spellStart"/>
      <w:r>
        <w:rPr>
          <w:rFonts w:ascii="Times New Roman" w:hAnsi="Times New Roman" w:cs="Times New Roman"/>
          <w:sz w:val="24"/>
          <w:szCs w:val="24"/>
        </w:rPr>
        <w:t>Tertemiz</w:t>
      </w:r>
      <w:proofErr w:type="spellEnd"/>
      <w:r>
        <w:rPr>
          <w:rFonts w:ascii="Times New Roman" w:hAnsi="Times New Roman" w:cs="Times New Roman"/>
          <w:sz w:val="24"/>
          <w:szCs w:val="24"/>
        </w:rPr>
        <w:t xml:space="preserve">, N., &amp; Taşdemir, A. (2018). The Effects of STEM Training on the Academic Achievement of 4th Graders in Science and Mathematics and their Views on STEM Training. </w:t>
      </w:r>
      <w:r>
        <w:rPr>
          <w:rFonts w:ascii="Times New Roman" w:hAnsi="Times New Roman" w:cs="Times New Roman"/>
          <w:i/>
          <w:iCs/>
          <w:sz w:val="24"/>
          <w:szCs w:val="24"/>
        </w:rPr>
        <w:t>International Electronic Journal of Elementary Education</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(4), 505-513.</w:t>
      </w:r>
    </w:p>
    <w:p w14:paraId="1B358A9E"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t>Ahmad, B., &amp; Nasir, N. (2023). Positive career shocks and career optimism: testing the mediating role of career decision-making self-efficacy. Journal of Asian Business and Economic Studies, 30(2), 105-125.</w:t>
      </w:r>
    </w:p>
    <w:p w14:paraId="70139A79"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Akpochafo</w:t>
      </w:r>
      <w:proofErr w:type="spellEnd"/>
      <w:r>
        <w:rPr>
          <w:rFonts w:ascii="Times New Roman" w:hAnsi="Times New Roman" w:cs="Times New Roman"/>
          <w:sz w:val="24"/>
          <w:szCs w:val="24"/>
        </w:rPr>
        <w:t xml:space="preserve">, G. O. (2020). Career Decision-making Difficulties among Secondary School Students in Nigeria </w:t>
      </w:r>
      <w:r>
        <w:rPr>
          <w:rFonts w:ascii="Times New Roman" w:hAnsi="Times New Roman" w:cs="Times New Roman"/>
          <w:i/>
          <w:sz w:val="24"/>
          <w:szCs w:val="24"/>
        </w:rPr>
        <w:t>Universal Journal of Educational Research</w:t>
      </w:r>
      <w:r>
        <w:rPr>
          <w:rFonts w:ascii="Times New Roman" w:hAnsi="Times New Roman" w:cs="Times New Roman"/>
          <w:sz w:val="24"/>
          <w:szCs w:val="24"/>
        </w:rPr>
        <w:t xml:space="preserve"> 8(11B): 5918-5925</w:t>
      </w:r>
    </w:p>
    <w:p w14:paraId="3B1A144F" w14:textId="77777777" w:rsidR="003B4087" w:rsidRDefault="003B4087" w:rsidP="003B4087">
      <w:pPr>
        <w:spacing w:before="240"/>
        <w:ind w:left="720" w:hanging="720"/>
        <w:rPr>
          <w:rFonts w:ascii="Times New Roman" w:hAnsi="Times New Roman"/>
          <w:sz w:val="24"/>
          <w:szCs w:val="24"/>
        </w:rPr>
      </w:pPr>
      <w:proofErr w:type="spellStart"/>
      <w:r>
        <w:rPr>
          <w:rFonts w:ascii="Times New Roman" w:hAnsi="Times New Roman"/>
          <w:sz w:val="24"/>
          <w:szCs w:val="24"/>
        </w:rPr>
        <w:t>Alornyo</w:t>
      </w:r>
      <w:proofErr w:type="spellEnd"/>
      <w:r>
        <w:rPr>
          <w:rFonts w:ascii="Times New Roman" w:hAnsi="Times New Roman"/>
          <w:sz w:val="24"/>
          <w:szCs w:val="24"/>
        </w:rPr>
        <w:t>, W. (2023). Factors Influencing Choice of Future Careers Among Senior High School Students (Doctoral dissertation, University of Cape Coast).</w:t>
      </w:r>
    </w:p>
    <w:p w14:paraId="7289FA61"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Altun, M. (2017). The effects of teacher commitment on student achievement: A case study in Iraq. </w:t>
      </w:r>
      <w:r>
        <w:rPr>
          <w:rFonts w:ascii="Times New Roman" w:hAnsi="Times New Roman" w:cs="Times New Roman"/>
          <w:i/>
          <w:iCs/>
          <w:sz w:val="24"/>
          <w:szCs w:val="24"/>
        </w:rPr>
        <w:t>International Journal of Academic Research in Business and Social Sciences</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(11), 417-426.</w:t>
      </w:r>
    </w:p>
    <w:p w14:paraId="325759B8"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Argyropoulou, K., &amp; </w:t>
      </w:r>
      <w:proofErr w:type="spellStart"/>
      <w:r>
        <w:rPr>
          <w:rFonts w:ascii="Times New Roman" w:hAnsi="Times New Roman" w:cs="Times New Roman"/>
          <w:sz w:val="24"/>
          <w:szCs w:val="24"/>
        </w:rPr>
        <w:t>Kaliris</w:t>
      </w:r>
      <w:proofErr w:type="spellEnd"/>
      <w:r>
        <w:rPr>
          <w:rFonts w:ascii="Times New Roman" w:hAnsi="Times New Roman" w:cs="Times New Roman"/>
          <w:sz w:val="24"/>
          <w:szCs w:val="24"/>
        </w:rPr>
        <w:t xml:space="preserve">, A. (2018). From career decision-making to career decision- </w:t>
      </w:r>
      <w:proofErr w:type="spellStart"/>
      <w:r>
        <w:rPr>
          <w:rFonts w:ascii="Times New Roman" w:hAnsi="Times New Roman" w:cs="Times New Roman"/>
          <w:sz w:val="24"/>
          <w:szCs w:val="24"/>
        </w:rPr>
        <w:t>anagement</w:t>
      </w:r>
      <w:proofErr w:type="spellEnd"/>
      <w:r>
        <w:rPr>
          <w:rFonts w:ascii="Times New Roman" w:hAnsi="Times New Roman" w:cs="Times New Roman"/>
          <w:sz w:val="24"/>
          <w:szCs w:val="24"/>
        </w:rPr>
        <w:t xml:space="preserve">: New trends and prospects for career </w:t>
      </w:r>
      <w:proofErr w:type="spellStart"/>
      <w:r>
        <w:rPr>
          <w:rFonts w:ascii="Times New Roman" w:hAnsi="Times New Roman" w:cs="Times New Roman"/>
          <w:sz w:val="24"/>
          <w:szCs w:val="24"/>
        </w:rPr>
        <w:t>counseling</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Advances in Social Sciences Research Journal</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(10).</w:t>
      </w:r>
    </w:p>
    <w:p w14:paraId="5C19B2B2"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Ayeni, A. J., &amp; </w:t>
      </w:r>
      <w:proofErr w:type="spellStart"/>
      <w:r>
        <w:rPr>
          <w:rFonts w:ascii="Times New Roman" w:hAnsi="Times New Roman" w:cs="Times New Roman"/>
          <w:sz w:val="24"/>
          <w:szCs w:val="24"/>
        </w:rPr>
        <w:t>Amanekwe</w:t>
      </w:r>
      <w:proofErr w:type="spellEnd"/>
      <w:r>
        <w:rPr>
          <w:rFonts w:ascii="Times New Roman" w:hAnsi="Times New Roman" w:cs="Times New Roman"/>
          <w:sz w:val="24"/>
          <w:szCs w:val="24"/>
        </w:rPr>
        <w:t xml:space="preserve">, A. P. (2018). Teachers’ instructional workload management and students’ academic performance in public and private secondary schools in Akoko North-East Local Government, Ondo State, Nigeria. </w:t>
      </w:r>
      <w:r>
        <w:rPr>
          <w:rFonts w:ascii="Times New Roman" w:hAnsi="Times New Roman" w:cs="Times New Roman"/>
          <w:i/>
          <w:iCs/>
          <w:sz w:val="24"/>
          <w:szCs w:val="24"/>
        </w:rPr>
        <w:t>American International Journal of Education and Linguistics Research</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9-23.</w:t>
      </w:r>
    </w:p>
    <w:p w14:paraId="60E9421C"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Banerjee, P. A. (2016). A systematic review of factors linked to poor academic performance of disadvantaged students in science and maths in schools. </w:t>
      </w:r>
      <w:r>
        <w:rPr>
          <w:rFonts w:ascii="Times New Roman" w:hAnsi="Times New Roman" w:cs="Times New Roman"/>
          <w:i/>
          <w:iCs/>
          <w:sz w:val="24"/>
          <w:szCs w:val="24"/>
        </w:rPr>
        <w:t>Cogent Education</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(1), 1178441.</w:t>
      </w:r>
    </w:p>
    <w:p w14:paraId="6F9A1824"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Barmola</w:t>
      </w:r>
      <w:proofErr w:type="spellEnd"/>
      <w:r>
        <w:rPr>
          <w:rFonts w:ascii="Times New Roman" w:hAnsi="Times New Roman" w:cs="Times New Roman"/>
          <w:sz w:val="24"/>
          <w:szCs w:val="24"/>
        </w:rPr>
        <w:t>, K. C. (2018). Role of guidance in academic performance, mental health and career choice of students. </w:t>
      </w:r>
      <w:r>
        <w:rPr>
          <w:rFonts w:ascii="Times New Roman" w:hAnsi="Times New Roman" w:cs="Times New Roman"/>
          <w:i/>
          <w:iCs/>
          <w:sz w:val="24"/>
          <w:szCs w:val="24"/>
        </w:rPr>
        <w:t>ZENITH International Journal of Multidisciplinary Research</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(11), 143-155.</w:t>
      </w:r>
    </w:p>
    <w:p w14:paraId="059D1378"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Dahabreh</w:t>
      </w:r>
      <w:proofErr w:type="spellEnd"/>
      <w:r>
        <w:rPr>
          <w:rFonts w:ascii="Times New Roman" w:hAnsi="Times New Roman" w:cs="Times New Roman"/>
          <w:sz w:val="24"/>
          <w:szCs w:val="24"/>
        </w:rPr>
        <w:t xml:space="preserve">, I. J., Robertson, S. E., Steingrimsson, J. A., Stuart, E. A., &amp; Hernan, M. A. (2020). Extending inferences from a randomized trial to a new target population. </w:t>
      </w:r>
      <w:r>
        <w:rPr>
          <w:rFonts w:ascii="Times New Roman" w:hAnsi="Times New Roman" w:cs="Times New Roman"/>
          <w:i/>
          <w:iCs/>
          <w:sz w:val="24"/>
          <w:szCs w:val="24"/>
        </w:rPr>
        <w:t>Statistics in medicine</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(14), 1999-2014.</w:t>
      </w:r>
    </w:p>
    <w:p w14:paraId="760095C4"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sz w:val="24"/>
          <w:szCs w:val="24"/>
        </w:rPr>
        <w:t>Das, P. K., Dangi, R. K., &amp; Naik, I. C. (2020). Career decision and indecision of students at secondary level schools. International Journal of Management (IJM), 11(6).</w:t>
      </w:r>
    </w:p>
    <w:p w14:paraId="0F7E82BB"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De Hernandez, M. F. (2020). </w:t>
      </w:r>
      <w:r>
        <w:rPr>
          <w:rFonts w:ascii="Times New Roman" w:hAnsi="Times New Roman" w:cs="Times New Roman"/>
          <w:i/>
          <w:iCs/>
          <w:sz w:val="24"/>
          <w:szCs w:val="24"/>
        </w:rPr>
        <w:t xml:space="preserve">Choosing to Be a </w:t>
      </w:r>
      <w:proofErr w:type="gramStart"/>
      <w:r>
        <w:rPr>
          <w:rFonts w:ascii="Times New Roman" w:hAnsi="Times New Roman" w:cs="Times New Roman"/>
          <w:i/>
          <w:iCs/>
          <w:sz w:val="24"/>
          <w:szCs w:val="24"/>
        </w:rPr>
        <w:t>Teacher</w:t>
      </w:r>
      <w:proofErr w:type="gramEnd"/>
      <w:r>
        <w:rPr>
          <w:rFonts w:ascii="Times New Roman" w:hAnsi="Times New Roman" w:cs="Times New Roman"/>
          <w:i/>
          <w:iCs/>
          <w:sz w:val="24"/>
          <w:szCs w:val="24"/>
        </w:rPr>
        <w:t>: Understanding the Career Choice of Academically Excellent University Students Who Had Graduated from High Performing High Schools in the Dominican Republic</w:t>
      </w:r>
      <w:r>
        <w:rPr>
          <w:rFonts w:ascii="Times New Roman" w:hAnsi="Times New Roman" w:cs="Times New Roman"/>
          <w:sz w:val="24"/>
          <w:szCs w:val="24"/>
        </w:rPr>
        <w:t>. Western Michigan University.</w:t>
      </w:r>
    </w:p>
    <w:p w14:paraId="036A0399"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t>Du Preez, M. (2018). The factors influencing Mathematics students to choose teaching as a career. South African Journal of Education, 38(2), 1-13.</w:t>
      </w:r>
    </w:p>
    <w:p w14:paraId="1518B8E3"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t xml:space="preserve">Duru, H., </w:t>
      </w:r>
      <w:proofErr w:type="spellStart"/>
      <w:r>
        <w:rPr>
          <w:rFonts w:ascii="Times New Roman" w:hAnsi="Times New Roman"/>
          <w:sz w:val="24"/>
          <w:szCs w:val="24"/>
        </w:rPr>
        <w:t>Söner</w:t>
      </w:r>
      <w:proofErr w:type="spellEnd"/>
      <w:r>
        <w:rPr>
          <w:rFonts w:ascii="Times New Roman" w:hAnsi="Times New Roman"/>
          <w:sz w:val="24"/>
          <w:szCs w:val="24"/>
        </w:rPr>
        <w:t>, O., &amp; Sinan, F. N. (2021). The predictors of career decision-making difficulties among high school students: Career decision self-efficacy and personal traits-Turkey case. Educational Sciences: Theory &amp; Practice, 21(1), 33-42.</w:t>
      </w:r>
    </w:p>
    <w:p w14:paraId="707987B2"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shd w:val="clear" w:color="auto" w:fill="FFFFFF"/>
        </w:rPr>
        <w:t>Eden, L., &amp; Nielsen, B. B. (2020). Research methods in international business: The challenge of complexity. </w:t>
      </w:r>
      <w:r>
        <w:rPr>
          <w:rFonts w:ascii="Times New Roman" w:hAnsi="Times New Roman" w:cs="Times New Roman"/>
          <w:i/>
          <w:iCs/>
          <w:sz w:val="24"/>
          <w:szCs w:val="24"/>
          <w:shd w:val="clear" w:color="auto" w:fill="FFFFFF"/>
        </w:rPr>
        <w:t>Journal of International Business Studies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51</w:t>
      </w:r>
      <w:r>
        <w:rPr>
          <w:rFonts w:ascii="Times New Roman" w:hAnsi="Times New Roman" w:cs="Times New Roman"/>
          <w:sz w:val="24"/>
          <w:szCs w:val="24"/>
          <w:shd w:val="clear" w:color="auto" w:fill="FFFFFF"/>
        </w:rPr>
        <w:t>(9), 1609-1620</w:t>
      </w:r>
    </w:p>
    <w:p w14:paraId="0157B074"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Emmanuel, M. (2018). Career Guidance and Academic Performance of Teacher Training Colleges Students Teacher in Rwanda: A Case Study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Byumba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Rubengera</w:t>
      </w:r>
      <w:proofErr w:type="spellEnd"/>
      <w:r>
        <w:rPr>
          <w:rFonts w:ascii="Times New Roman" w:hAnsi="Times New Roman" w:cs="Times New Roman"/>
          <w:sz w:val="24"/>
          <w:szCs w:val="24"/>
        </w:rPr>
        <w:t> (Doctoral dissertation, Mount Kenya University).</w:t>
      </w:r>
    </w:p>
    <w:p w14:paraId="1C18FE20"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Eremie</w:t>
      </w:r>
      <w:proofErr w:type="spellEnd"/>
      <w:r>
        <w:rPr>
          <w:rFonts w:ascii="Times New Roman" w:hAnsi="Times New Roman" w:cs="Times New Roman"/>
          <w:sz w:val="24"/>
          <w:szCs w:val="24"/>
        </w:rPr>
        <w:t xml:space="preserve">, M. </w:t>
      </w:r>
      <w:proofErr w:type="gramStart"/>
      <w:r>
        <w:rPr>
          <w:rFonts w:ascii="Times New Roman" w:hAnsi="Times New Roman" w:cs="Times New Roman"/>
          <w:sz w:val="24"/>
          <w:szCs w:val="24"/>
        </w:rPr>
        <w:t xml:space="preserve">&amp;  </w:t>
      </w:r>
      <w:proofErr w:type="spellStart"/>
      <w:r>
        <w:rPr>
          <w:rFonts w:ascii="Times New Roman" w:hAnsi="Times New Roman" w:cs="Times New Roman"/>
          <w:sz w:val="24"/>
          <w:szCs w:val="24"/>
        </w:rPr>
        <w:t>Okwulehie</w:t>
      </w:r>
      <w:proofErr w:type="spellEnd"/>
      <w:proofErr w:type="gramEnd"/>
      <w:r>
        <w:rPr>
          <w:rFonts w:ascii="Times New Roman" w:hAnsi="Times New Roman" w:cs="Times New Roman"/>
          <w:sz w:val="24"/>
          <w:szCs w:val="24"/>
        </w:rPr>
        <w:t xml:space="preserve">, C. (2018). Factors Affecting Career Choice among Senior Secondary School Students in </w:t>
      </w:r>
      <w:proofErr w:type="spellStart"/>
      <w:r>
        <w:rPr>
          <w:rFonts w:ascii="Times New Roman" w:hAnsi="Times New Roman" w:cs="Times New Roman"/>
          <w:sz w:val="24"/>
          <w:szCs w:val="24"/>
        </w:rPr>
        <w:t>Obio</w:t>
      </w:r>
      <w:proofErr w:type="spellEnd"/>
      <w:r>
        <w:rPr>
          <w:rFonts w:ascii="Times New Roman" w:hAnsi="Times New Roman" w:cs="Times New Roman"/>
          <w:sz w:val="24"/>
          <w:szCs w:val="24"/>
        </w:rPr>
        <w:t>/Akpor Local Government Area of Rivers State (Implication to Counselling</w:t>
      </w:r>
      <w:r>
        <w:rPr>
          <w:rFonts w:ascii="Times New Roman" w:hAnsi="Times New Roman" w:cs="Times New Roman"/>
          <w:i/>
          <w:sz w:val="24"/>
          <w:szCs w:val="24"/>
        </w:rPr>
        <w:t>) International Journal of Innovative Education Research</w:t>
      </w:r>
      <w:r>
        <w:rPr>
          <w:rFonts w:ascii="Times New Roman" w:hAnsi="Times New Roman" w:cs="Times New Roman"/>
          <w:sz w:val="24"/>
          <w:szCs w:val="24"/>
        </w:rPr>
        <w:t xml:space="preserve"> 6(2):27-39</w:t>
      </w:r>
    </w:p>
    <w:p w14:paraId="05D9DD02"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Galassi, J. P. (2017). </w:t>
      </w:r>
      <w:r>
        <w:rPr>
          <w:rFonts w:ascii="Times New Roman" w:hAnsi="Times New Roman" w:cs="Times New Roman"/>
          <w:i/>
          <w:iCs/>
          <w:sz w:val="24"/>
          <w:szCs w:val="24"/>
        </w:rPr>
        <w:t xml:space="preserve">Strengths-based school </w:t>
      </w:r>
      <w:proofErr w:type="spellStart"/>
      <w:r>
        <w:rPr>
          <w:rFonts w:ascii="Times New Roman" w:hAnsi="Times New Roman" w:cs="Times New Roman"/>
          <w:i/>
          <w:iCs/>
          <w:sz w:val="24"/>
          <w:szCs w:val="24"/>
        </w:rPr>
        <w:t>counseling</w:t>
      </w:r>
      <w:proofErr w:type="spellEnd"/>
      <w:r>
        <w:rPr>
          <w:rFonts w:ascii="Times New Roman" w:hAnsi="Times New Roman" w:cs="Times New Roman"/>
          <w:i/>
          <w:iCs/>
          <w:sz w:val="24"/>
          <w:szCs w:val="24"/>
        </w:rPr>
        <w:t>: Promoting student development and achievement</w:t>
      </w:r>
      <w:r>
        <w:rPr>
          <w:rFonts w:ascii="Times New Roman" w:hAnsi="Times New Roman" w:cs="Times New Roman"/>
          <w:sz w:val="24"/>
          <w:szCs w:val="24"/>
        </w:rPr>
        <w:t>. Routledge.</w:t>
      </w:r>
    </w:p>
    <w:p w14:paraId="12004A5E"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Gati, I., Levin, N., &amp; Landman, S. (2019). Decision-making models and career guidance. In </w:t>
      </w:r>
      <w:r>
        <w:rPr>
          <w:rFonts w:ascii="Times New Roman" w:hAnsi="Times New Roman" w:cs="Times New Roman"/>
          <w:i/>
          <w:iCs/>
          <w:sz w:val="24"/>
          <w:szCs w:val="24"/>
        </w:rPr>
        <w:t>International handbook of career guidance</w:t>
      </w:r>
      <w:r>
        <w:rPr>
          <w:rFonts w:ascii="Times New Roman" w:hAnsi="Times New Roman" w:cs="Times New Roman"/>
          <w:sz w:val="24"/>
          <w:szCs w:val="24"/>
        </w:rPr>
        <w:t> (pp. 115-145). Springer, Cham.</w:t>
      </w:r>
    </w:p>
    <w:p w14:paraId="3031AF8F"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Gough, J. (2017). Educating career guidance practitioners in the twenty-first century. </w:t>
      </w:r>
      <w:r>
        <w:rPr>
          <w:rFonts w:ascii="Times New Roman" w:hAnsi="Times New Roman" w:cs="Times New Roman"/>
          <w:i/>
          <w:iCs/>
          <w:sz w:val="24"/>
          <w:szCs w:val="24"/>
        </w:rPr>
        <w:t>British Journal of Guidance &amp; Counselling</w:t>
      </w:r>
      <w:r>
        <w:rPr>
          <w:rFonts w:ascii="Times New Roman" w:hAnsi="Times New Roman" w:cs="Times New Roman"/>
          <w:sz w:val="24"/>
          <w:szCs w:val="24"/>
        </w:rPr>
        <w:t>, </w:t>
      </w:r>
      <w:r>
        <w:rPr>
          <w:rFonts w:ascii="Times New Roman" w:hAnsi="Times New Roman" w:cs="Times New Roman"/>
          <w:i/>
          <w:iCs/>
          <w:sz w:val="24"/>
          <w:szCs w:val="24"/>
        </w:rPr>
        <w:t>45</w:t>
      </w:r>
      <w:r>
        <w:rPr>
          <w:rFonts w:ascii="Times New Roman" w:hAnsi="Times New Roman" w:cs="Times New Roman"/>
          <w:sz w:val="24"/>
          <w:szCs w:val="24"/>
        </w:rPr>
        <w:t>(2), 199-207.</w:t>
      </w:r>
    </w:p>
    <w:p w14:paraId="7D28D401"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Ho, Y. F., &amp; Leung, S. M. A. (2016). Career guidance in Hong Kong: From policy ideal to school practice. </w:t>
      </w:r>
      <w:r>
        <w:rPr>
          <w:rFonts w:ascii="Times New Roman" w:hAnsi="Times New Roman" w:cs="Times New Roman"/>
          <w:i/>
          <w:iCs/>
          <w:sz w:val="24"/>
          <w:szCs w:val="24"/>
        </w:rPr>
        <w:t>The Career Development Quarterly</w:t>
      </w:r>
      <w:r>
        <w:rPr>
          <w:rFonts w:ascii="Times New Roman" w:hAnsi="Times New Roman" w:cs="Times New Roman"/>
          <w:sz w:val="24"/>
          <w:szCs w:val="24"/>
        </w:rPr>
        <w:t>, </w:t>
      </w:r>
      <w:r>
        <w:rPr>
          <w:rFonts w:ascii="Times New Roman" w:hAnsi="Times New Roman" w:cs="Times New Roman"/>
          <w:i/>
          <w:iCs/>
          <w:sz w:val="24"/>
          <w:szCs w:val="24"/>
        </w:rPr>
        <w:t>64</w:t>
      </w:r>
      <w:r>
        <w:rPr>
          <w:rFonts w:ascii="Times New Roman" w:hAnsi="Times New Roman" w:cs="Times New Roman"/>
          <w:sz w:val="24"/>
          <w:szCs w:val="24"/>
        </w:rPr>
        <w:t>(3), 216-230.</w:t>
      </w:r>
    </w:p>
    <w:p w14:paraId="225A24C3"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t>Hodge, S., Billett, S., &amp; Choy, S. (2022). Influences on Post-School Decision-Making: Perspectives of School Students, Parents, Teachers (Phase 1). In The standing of vocational education and the occupations it serves: Current concerns and strategies for enhancing that standing (pp. 325-351). Cham: Springer International Publishing.</w:t>
      </w:r>
    </w:p>
    <w:p w14:paraId="77410868"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Hooley, T., &amp; Rice, S. (2019). Ensuring quality in career guidance: a critical review. </w:t>
      </w:r>
      <w:r>
        <w:rPr>
          <w:rFonts w:ascii="Times New Roman" w:hAnsi="Times New Roman" w:cs="Times New Roman"/>
          <w:i/>
          <w:iCs/>
          <w:sz w:val="24"/>
          <w:szCs w:val="24"/>
        </w:rPr>
        <w:t>British Journal of Guidance &amp; Counselling</w:t>
      </w:r>
      <w:r>
        <w:rPr>
          <w:rFonts w:ascii="Times New Roman" w:hAnsi="Times New Roman" w:cs="Times New Roman"/>
          <w:sz w:val="24"/>
          <w:szCs w:val="24"/>
        </w:rPr>
        <w:t>, </w:t>
      </w:r>
      <w:r>
        <w:rPr>
          <w:rFonts w:ascii="Times New Roman" w:hAnsi="Times New Roman" w:cs="Times New Roman"/>
          <w:i/>
          <w:iCs/>
          <w:sz w:val="24"/>
          <w:szCs w:val="24"/>
        </w:rPr>
        <w:t>47</w:t>
      </w:r>
      <w:r>
        <w:rPr>
          <w:rFonts w:ascii="Times New Roman" w:hAnsi="Times New Roman" w:cs="Times New Roman"/>
          <w:sz w:val="24"/>
          <w:szCs w:val="24"/>
        </w:rPr>
        <w:t>(4), 472-486.</w:t>
      </w:r>
    </w:p>
    <w:p w14:paraId="14EC6722"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lastRenderedPageBreak/>
        <w:t>Ismail, S.M. (2018). Effective education and career guidance policies and practices to strengthen career decision-making abilities in Singapore students (NIE Working Paper Series No. 13). Singapore: National Institute of Education. https://hdl.handle.net/10497/21310</w:t>
      </w:r>
    </w:p>
    <w:p w14:paraId="4C3D45D0" w14:textId="77777777" w:rsidR="003B4087" w:rsidRDefault="003B4087" w:rsidP="003B4087">
      <w:pPr>
        <w:spacing w:before="240"/>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Jackson, T. B. (2020). Factors Influencing Career Choice Among Secondary School Students </w:t>
      </w:r>
      <w:proofErr w:type="gramStart"/>
      <w:r>
        <w:rPr>
          <w:rFonts w:ascii="Times New Roman" w:hAnsi="Times New Roman" w:cs="Times New Roman"/>
          <w:color w:val="222222"/>
          <w:sz w:val="24"/>
          <w:szCs w:val="24"/>
          <w:shd w:val="clear" w:color="auto" w:fill="FFFFFF"/>
        </w:rPr>
        <w:t>In</w:t>
      </w:r>
      <w:proofErr w:type="gram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Msabweni</w:t>
      </w:r>
      <w:proofErr w:type="spellEnd"/>
      <w:r>
        <w:rPr>
          <w:rFonts w:ascii="Times New Roman" w:hAnsi="Times New Roman" w:cs="Times New Roman"/>
          <w:color w:val="222222"/>
          <w:sz w:val="24"/>
          <w:szCs w:val="24"/>
          <w:shd w:val="clear" w:color="auto" w:fill="FFFFFF"/>
        </w:rPr>
        <w:t>, Soin/</w:t>
      </w:r>
      <w:proofErr w:type="spellStart"/>
      <w:r>
        <w:rPr>
          <w:rFonts w:ascii="Times New Roman" w:hAnsi="Times New Roman" w:cs="Times New Roman"/>
          <w:color w:val="222222"/>
          <w:sz w:val="24"/>
          <w:szCs w:val="24"/>
          <w:shd w:val="clear" w:color="auto" w:fill="FFFFFF"/>
        </w:rPr>
        <w:t>Sigowet</w:t>
      </w:r>
      <w:proofErr w:type="spell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And</w:t>
      </w:r>
      <w:proofErr w:type="gram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Gilgil</w:t>
      </w:r>
      <w:proofErr w:type="spellEnd"/>
      <w:r>
        <w:rPr>
          <w:rFonts w:ascii="Times New Roman" w:hAnsi="Times New Roman" w:cs="Times New Roman"/>
          <w:color w:val="222222"/>
          <w:sz w:val="24"/>
          <w:szCs w:val="24"/>
          <w:shd w:val="clear" w:color="auto" w:fill="FFFFFF"/>
        </w:rPr>
        <w:t xml:space="preserve"> Sub-Counties, Kenya.</w:t>
      </w:r>
    </w:p>
    <w:p w14:paraId="65AC1AD2" w14:textId="77777777" w:rsidR="003B4087" w:rsidRDefault="003B4087" w:rsidP="003B4087">
      <w:pPr>
        <w:spacing w:before="240"/>
        <w:ind w:left="720" w:hanging="720"/>
        <w:rPr>
          <w:rFonts w:ascii="Times New Roman" w:hAnsi="Times New Roman" w:cs="Times New Roman"/>
          <w:sz w:val="24"/>
          <w:szCs w:val="24"/>
        </w:rPr>
      </w:pPr>
      <w:proofErr w:type="gramStart"/>
      <w:r>
        <w:rPr>
          <w:rFonts w:ascii="Times New Roman" w:hAnsi="Times New Roman" w:cs="Times New Roman"/>
          <w:sz w:val="24"/>
          <w:szCs w:val="24"/>
        </w:rPr>
        <w:t>Jamba,  S.</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Chechi</w:t>
      </w:r>
      <w:proofErr w:type="spellEnd"/>
      <w:r>
        <w:rPr>
          <w:rFonts w:ascii="Times New Roman" w:hAnsi="Times New Roman" w:cs="Times New Roman"/>
          <w:sz w:val="24"/>
          <w:szCs w:val="24"/>
        </w:rPr>
        <w:t>, V. K. (2019). Career Decision Making Among Senior Secondary School Students in Bhutan</w:t>
      </w:r>
    </w:p>
    <w:p w14:paraId="168DD776"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Kass, E., &amp; Miller, E. C. (2018). Career choice among academically excellent students: Choosing teaching career as a corrective experience. </w:t>
      </w:r>
      <w:r>
        <w:rPr>
          <w:rFonts w:ascii="Times New Roman" w:hAnsi="Times New Roman" w:cs="Times New Roman"/>
          <w:i/>
          <w:iCs/>
          <w:sz w:val="24"/>
          <w:szCs w:val="24"/>
        </w:rPr>
        <w:t>Teaching and Teacher Education</w:t>
      </w:r>
      <w:r>
        <w:rPr>
          <w:rFonts w:ascii="Times New Roman" w:hAnsi="Times New Roman" w:cs="Times New Roman"/>
          <w:sz w:val="24"/>
          <w:szCs w:val="24"/>
        </w:rPr>
        <w:t xml:space="preserve">, </w:t>
      </w:r>
      <w:r>
        <w:rPr>
          <w:rFonts w:ascii="Times New Roman" w:hAnsi="Times New Roman" w:cs="Times New Roman"/>
          <w:i/>
          <w:iCs/>
          <w:sz w:val="24"/>
          <w:szCs w:val="24"/>
        </w:rPr>
        <w:t>73</w:t>
      </w:r>
      <w:r>
        <w:rPr>
          <w:rFonts w:ascii="Times New Roman" w:hAnsi="Times New Roman" w:cs="Times New Roman"/>
          <w:sz w:val="24"/>
          <w:szCs w:val="24"/>
        </w:rPr>
        <w:t>, 90-98.</w:t>
      </w:r>
    </w:p>
    <w:p w14:paraId="5A8F964B"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Khan, F., &amp; </w:t>
      </w:r>
      <w:proofErr w:type="spellStart"/>
      <w:r>
        <w:rPr>
          <w:rFonts w:ascii="Times New Roman" w:hAnsi="Times New Roman" w:cs="Times New Roman"/>
          <w:sz w:val="24"/>
          <w:szCs w:val="24"/>
        </w:rPr>
        <w:t>Irshadullah</w:t>
      </w:r>
      <w:proofErr w:type="spellEnd"/>
      <w:r>
        <w:rPr>
          <w:rFonts w:ascii="Times New Roman" w:hAnsi="Times New Roman" w:cs="Times New Roman"/>
          <w:sz w:val="24"/>
          <w:szCs w:val="24"/>
        </w:rPr>
        <w:t xml:space="preserve">, H. M. (2018). A Review of the Effect of Education and Good Trained Teachers on Students' Performance. </w:t>
      </w:r>
      <w:proofErr w:type="spellStart"/>
      <w:r>
        <w:rPr>
          <w:rFonts w:ascii="Times New Roman" w:hAnsi="Times New Roman" w:cs="Times New Roman"/>
          <w:i/>
          <w:iCs/>
          <w:sz w:val="24"/>
          <w:szCs w:val="24"/>
        </w:rPr>
        <w:t>Putaj</w:t>
      </w:r>
      <w:proofErr w:type="spellEnd"/>
      <w:r>
        <w:rPr>
          <w:rFonts w:ascii="Times New Roman" w:hAnsi="Times New Roman" w:cs="Times New Roman"/>
          <w:i/>
          <w:iCs/>
          <w:sz w:val="24"/>
          <w:szCs w:val="24"/>
        </w:rPr>
        <w:t xml:space="preserve"> Humanities &amp; Social Sciences</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(2).</w:t>
      </w:r>
    </w:p>
    <w:p w14:paraId="51859F93" w14:textId="77777777" w:rsidR="003B4087" w:rsidRDefault="003B4087" w:rsidP="003B4087">
      <w:pPr>
        <w:spacing w:before="240"/>
        <w:ind w:left="720" w:hanging="720"/>
        <w:rPr>
          <w:rFonts w:ascii="Times New Roman" w:hAnsi="Times New Roman"/>
          <w:sz w:val="24"/>
          <w:szCs w:val="24"/>
        </w:rPr>
      </w:pPr>
      <w:proofErr w:type="spellStart"/>
      <w:r>
        <w:rPr>
          <w:rFonts w:ascii="Times New Roman" w:hAnsi="Times New Roman"/>
          <w:sz w:val="24"/>
          <w:szCs w:val="24"/>
        </w:rPr>
        <w:t>Kiburi</w:t>
      </w:r>
      <w:proofErr w:type="spellEnd"/>
      <w:r>
        <w:rPr>
          <w:rFonts w:ascii="Times New Roman" w:hAnsi="Times New Roman"/>
          <w:sz w:val="24"/>
          <w:szCs w:val="24"/>
        </w:rPr>
        <w:t xml:space="preserve">, J. M., Kimani, J. M., &amp; </w:t>
      </w:r>
      <w:proofErr w:type="spellStart"/>
      <w:r>
        <w:rPr>
          <w:rFonts w:ascii="Times New Roman" w:hAnsi="Times New Roman"/>
          <w:sz w:val="24"/>
          <w:szCs w:val="24"/>
        </w:rPr>
        <w:t>Rop</w:t>
      </w:r>
      <w:proofErr w:type="spellEnd"/>
      <w:r>
        <w:rPr>
          <w:rFonts w:ascii="Times New Roman" w:hAnsi="Times New Roman"/>
          <w:sz w:val="24"/>
          <w:szCs w:val="24"/>
        </w:rPr>
        <w:t>, N. (2024). Influence of Mentors’ Advice on Career Adaptability of Public Secondary School Students in Kiambu County, Kenya. Journal of Pedagogy, Andragogy and Heutagogy in Academic Practice, 5(3), 48-63.</w:t>
      </w:r>
    </w:p>
    <w:p w14:paraId="0E47AC90"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Kilonzo, T. M., Were, S., &amp; Odhiambo, R. (2018). Job burnout and performance of teachers in secondary schools in Machakos County in Kenya. </w:t>
      </w:r>
      <w:r>
        <w:rPr>
          <w:rFonts w:ascii="Times New Roman" w:hAnsi="Times New Roman" w:cs="Times New Roman"/>
          <w:i/>
          <w:iCs/>
          <w:sz w:val="24"/>
          <w:szCs w:val="24"/>
        </w:rPr>
        <w:t>The Strategic Journal of Change and Business Management</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 551-583.</w:t>
      </w:r>
    </w:p>
    <w:p w14:paraId="6EB3C1D6"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Kim, K. N. (2019). Teachers’ administrative workload crowding out instructional activities. </w:t>
      </w:r>
      <w:r>
        <w:rPr>
          <w:rFonts w:ascii="Times New Roman" w:hAnsi="Times New Roman" w:cs="Times New Roman"/>
          <w:i/>
          <w:iCs/>
          <w:sz w:val="24"/>
          <w:szCs w:val="24"/>
        </w:rPr>
        <w:t>Asia Pacific Journal of Education</w:t>
      </w:r>
      <w:r>
        <w:rPr>
          <w:rFonts w:ascii="Times New Roman" w:hAnsi="Times New Roman" w:cs="Times New Roman"/>
          <w:sz w:val="24"/>
          <w:szCs w:val="24"/>
        </w:rPr>
        <w:t xml:space="preserve">, </w:t>
      </w:r>
      <w:r>
        <w:rPr>
          <w:rFonts w:ascii="Times New Roman" w:hAnsi="Times New Roman" w:cs="Times New Roman"/>
          <w:i/>
          <w:iCs/>
          <w:sz w:val="24"/>
          <w:szCs w:val="24"/>
        </w:rPr>
        <w:t>39</w:t>
      </w:r>
      <w:r>
        <w:rPr>
          <w:rFonts w:ascii="Times New Roman" w:hAnsi="Times New Roman" w:cs="Times New Roman"/>
          <w:sz w:val="24"/>
          <w:szCs w:val="24"/>
        </w:rPr>
        <w:t>(1), 31-49.</w:t>
      </w:r>
    </w:p>
    <w:p w14:paraId="0120316C" w14:textId="77777777" w:rsidR="003B4087" w:rsidRDefault="003B4087" w:rsidP="003B4087">
      <w:pPr>
        <w:spacing w:before="240"/>
        <w:ind w:left="720"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Kirdök, O., &amp; Harman, E. (2018). High School Students' Career Decision-Making Difficulties According to Locus of Control. </w:t>
      </w:r>
      <w:r>
        <w:rPr>
          <w:rFonts w:ascii="Times New Roman" w:hAnsi="Times New Roman" w:cs="Times New Roman"/>
          <w:i/>
          <w:iCs/>
          <w:sz w:val="24"/>
          <w:szCs w:val="24"/>
          <w:shd w:val="clear" w:color="auto" w:fill="FFFFFF"/>
        </w:rPr>
        <w:t>Universal Journal of Educational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w:t>
      </w:r>
      <w:r>
        <w:rPr>
          <w:rFonts w:ascii="Times New Roman" w:hAnsi="Times New Roman" w:cs="Times New Roman"/>
          <w:sz w:val="24"/>
          <w:szCs w:val="24"/>
          <w:shd w:val="clear" w:color="auto" w:fill="FFFFFF"/>
        </w:rPr>
        <w:t>(2), 242-248.</w:t>
      </w:r>
    </w:p>
    <w:p w14:paraId="4B14A751"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Kuijpers, M., &amp; Meijers, F. (2017). Professionalising teachers in career dialogue: An effect study. </w:t>
      </w:r>
      <w:r>
        <w:rPr>
          <w:rFonts w:ascii="Times New Roman" w:hAnsi="Times New Roman" w:cs="Times New Roman"/>
          <w:i/>
          <w:iCs/>
          <w:sz w:val="24"/>
          <w:szCs w:val="24"/>
        </w:rPr>
        <w:t>British Journal of Guidance &amp; Counselling</w:t>
      </w:r>
      <w:r>
        <w:rPr>
          <w:rFonts w:ascii="Times New Roman" w:hAnsi="Times New Roman" w:cs="Times New Roman"/>
          <w:sz w:val="24"/>
          <w:szCs w:val="24"/>
        </w:rPr>
        <w:t xml:space="preserve">, </w:t>
      </w:r>
      <w:r>
        <w:rPr>
          <w:rFonts w:ascii="Times New Roman" w:hAnsi="Times New Roman" w:cs="Times New Roman"/>
          <w:i/>
          <w:iCs/>
          <w:sz w:val="24"/>
          <w:szCs w:val="24"/>
        </w:rPr>
        <w:t>45</w:t>
      </w:r>
      <w:r>
        <w:rPr>
          <w:rFonts w:ascii="Times New Roman" w:hAnsi="Times New Roman" w:cs="Times New Roman"/>
          <w:sz w:val="24"/>
          <w:szCs w:val="24"/>
        </w:rPr>
        <w:t>(1), 83-96.</w:t>
      </w:r>
    </w:p>
    <w:p w14:paraId="7263B946"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Kulcsár, V., </w:t>
      </w:r>
      <w:proofErr w:type="spellStart"/>
      <w:r>
        <w:rPr>
          <w:rFonts w:ascii="Times New Roman" w:hAnsi="Times New Roman" w:cs="Times New Roman"/>
          <w:sz w:val="24"/>
          <w:szCs w:val="24"/>
        </w:rPr>
        <w:t>Dobrean</w:t>
      </w:r>
      <w:proofErr w:type="spellEnd"/>
      <w:r>
        <w:rPr>
          <w:rFonts w:ascii="Times New Roman" w:hAnsi="Times New Roman" w:cs="Times New Roman"/>
          <w:sz w:val="24"/>
          <w:szCs w:val="24"/>
        </w:rPr>
        <w:t xml:space="preserve">, A., &amp; Gati, I. (2020). Challenges and difficulties in career decision making: Their causes, and their effects on the process and the decision. </w:t>
      </w:r>
      <w:r>
        <w:rPr>
          <w:rFonts w:ascii="Times New Roman" w:hAnsi="Times New Roman" w:cs="Times New Roman"/>
          <w:i/>
          <w:iCs/>
          <w:sz w:val="24"/>
          <w:szCs w:val="24"/>
        </w:rPr>
        <w:t xml:space="preserve">Journal of Vocational </w:t>
      </w:r>
      <w:proofErr w:type="spellStart"/>
      <w:r>
        <w:rPr>
          <w:rFonts w:ascii="Times New Roman" w:hAnsi="Times New Roman" w:cs="Times New Roman"/>
          <w:i/>
          <w:iCs/>
          <w:sz w:val="24"/>
          <w:szCs w:val="24"/>
        </w:rPr>
        <w:t>Behavior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116</w:t>
      </w:r>
      <w:r>
        <w:rPr>
          <w:rFonts w:ascii="Times New Roman" w:hAnsi="Times New Roman" w:cs="Times New Roman"/>
          <w:sz w:val="24"/>
          <w:szCs w:val="24"/>
        </w:rPr>
        <w:t>, 103346.</w:t>
      </w:r>
    </w:p>
    <w:p w14:paraId="76C7987B"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Makola, Z. S., </w:t>
      </w:r>
      <w:proofErr w:type="spellStart"/>
      <w:r>
        <w:rPr>
          <w:rFonts w:ascii="Times New Roman" w:hAnsi="Times New Roman" w:cs="Times New Roman"/>
          <w:sz w:val="24"/>
          <w:szCs w:val="24"/>
        </w:rPr>
        <w:t>Saliwe</w:t>
      </w:r>
      <w:proofErr w:type="spellEnd"/>
      <w:r>
        <w:rPr>
          <w:rFonts w:ascii="Times New Roman" w:hAnsi="Times New Roman" w:cs="Times New Roman"/>
          <w:sz w:val="24"/>
          <w:szCs w:val="24"/>
        </w:rPr>
        <w:t>, P., Dube, I., Tabane, R., &amp; Mudau, A. V. (2021). High school learners’ views on benefits derived from attending career talks: Need for sound career guidance. </w:t>
      </w:r>
      <w:r>
        <w:rPr>
          <w:rFonts w:ascii="Times New Roman" w:hAnsi="Times New Roman" w:cs="Times New Roman"/>
          <w:i/>
          <w:iCs/>
          <w:sz w:val="24"/>
          <w:szCs w:val="24"/>
        </w:rPr>
        <w:t>The Journal for Transdisciplinary Research in Southern Africa</w:t>
      </w:r>
      <w:r>
        <w:rPr>
          <w:rFonts w:ascii="Times New Roman" w:hAnsi="Times New Roman" w:cs="Times New Roman"/>
          <w:sz w:val="24"/>
          <w:szCs w:val="24"/>
        </w:rPr>
        <w:t>, </w:t>
      </w:r>
      <w:r>
        <w:rPr>
          <w:rFonts w:ascii="Times New Roman" w:hAnsi="Times New Roman" w:cs="Times New Roman"/>
          <w:i/>
          <w:iCs/>
          <w:sz w:val="24"/>
          <w:szCs w:val="24"/>
        </w:rPr>
        <w:t>17</w:t>
      </w:r>
      <w:r>
        <w:rPr>
          <w:rFonts w:ascii="Times New Roman" w:hAnsi="Times New Roman" w:cs="Times New Roman"/>
          <w:sz w:val="24"/>
          <w:szCs w:val="24"/>
        </w:rPr>
        <w:t>(1), 8.</w:t>
      </w:r>
    </w:p>
    <w:p w14:paraId="62318FCE"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Makovec, D. (2018). The teacher’s role and professional development. </w:t>
      </w:r>
      <w:r>
        <w:rPr>
          <w:rFonts w:ascii="Times New Roman" w:hAnsi="Times New Roman" w:cs="Times New Roman"/>
          <w:i/>
          <w:iCs/>
          <w:sz w:val="24"/>
          <w:szCs w:val="24"/>
        </w:rPr>
        <w:t>International Journal of Cognitive Research in Science, Engineering and Education</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(2), 33.</w:t>
      </w:r>
    </w:p>
    <w:p w14:paraId="2266CC0C"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Mudulia</w:t>
      </w:r>
      <w:proofErr w:type="spellEnd"/>
      <w:r>
        <w:rPr>
          <w:rFonts w:ascii="Times New Roman" w:hAnsi="Times New Roman" w:cs="Times New Roman"/>
          <w:sz w:val="24"/>
          <w:szCs w:val="24"/>
        </w:rPr>
        <w:t xml:space="preserve">, A. M. (2017). </w:t>
      </w:r>
      <w:r>
        <w:rPr>
          <w:rFonts w:ascii="Times New Roman" w:hAnsi="Times New Roman" w:cs="Times New Roman"/>
          <w:i/>
          <w:iCs/>
          <w:sz w:val="24"/>
          <w:szCs w:val="24"/>
        </w:rPr>
        <w:t xml:space="preserve">Relationship between career guidance and counselling and career choice among secondary school girls in </w:t>
      </w:r>
      <w:proofErr w:type="spellStart"/>
      <w:r>
        <w:rPr>
          <w:rFonts w:ascii="Times New Roman" w:hAnsi="Times New Roman" w:cs="Times New Roman"/>
          <w:i/>
          <w:iCs/>
          <w:sz w:val="24"/>
          <w:szCs w:val="24"/>
        </w:rPr>
        <w:t>Vihiga</w:t>
      </w:r>
      <w:proofErr w:type="spellEnd"/>
      <w:r>
        <w:rPr>
          <w:rFonts w:ascii="Times New Roman" w:hAnsi="Times New Roman" w:cs="Times New Roman"/>
          <w:i/>
          <w:iCs/>
          <w:sz w:val="24"/>
          <w:szCs w:val="24"/>
        </w:rPr>
        <w:t xml:space="preserve"> County, Kenya</w:t>
      </w:r>
      <w:r>
        <w:rPr>
          <w:rFonts w:ascii="Times New Roman" w:hAnsi="Times New Roman" w:cs="Times New Roman"/>
          <w:sz w:val="24"/>
          <w:szCs w:val="24"/>
        </w:rPr>
        <w:t xml:space="preserve"> (Doctoral dissertation, Moi University).</w:t>
      </w:r>
    </w:p>
    <w:p w14:paraId="5CAEA5A6"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Mutua, F., &amp; </w:t>
      </w:r>
      <w:proofErr w:type="spellStart"/>
      <w:r>
        <w:rPr>
          <w:rFonts w:ascii="Times New Roman" w:hAnsi="Times New Roman" w:cs="Times New Roman"/>
          <w:sz w:val="24"/>
          <w:szCs w:val="24"/>
        </w:rPr>
        <w:t>Kiamba</w:t>
      </w:r>
      <w:proofErr w:type="spellEnd"/>
      <w:r>
        <w:rPr>
          <w:rFonts w:ascii="Times New Roman" w:hAnsi="Times New Roman" w:cs="Times New Roman"/>
          <w:sz w:val="24"/>
          <w:szCs w:val="24"/>
        </w:rPr>
        <w:t xml:space="preserve">, E. W. (2018). Influence of Teacher Training on Academic Achievement of Kiswahili Language in Public Secondary Schools in </w:t>
      </w:r>
      <w:proofErr w:type="spellStart"/>
      <w:r>
        <w:rPr>
          <w:rFonts w:ascii="Times New Roman" w:hAnsi="Times New Roman" w:cs="Times New Roman"/>
          <w:sz w:val="24"/>
          <w:szCs w:val="24"/>
        </w:rPr>
        <w:t>Kathonzweni</w:t>
      </w:r>
      <w:proofErr w:type="spellEnd"/>
      <w:r>
        <w:rPr>
          <w:rFonts w:ascii="Times New Roman" w:hAnsi="Times New Roman" w:cs="Times New Roman"/>
          <w:sz w:val="24"/>
          <w:szCs w:val="24"/>
        </w:rPr>
        <w:t xml:space="preserve"> Subcounty, Makueni County.</w:t>
      </w:r>
    </w:p>
    <w:p w14:paraId="3315C179" w14:textId="77777777" w:rsidR="003B4087" w:rsidRDefault="003B4087" w:rsidP="003B4087">
      <w:pPr>
        <w:spacing w:before="240"/>
        <w:ind w:left="720" w:hanging="720"/>
        <w:rPr>
          <w:rFonts w:ascii="Times New Roman" w:hAnsi="Times New Roman" w:cs="Times New Roman"/>
          <w:b/>
          <w:bCs/>
          <w:sz w:val="24"/>
          <w:szCs w:val="24"/>
        </w:rPr>
      </w:pPr>
      <w:r>
        <w:rPr>
          <w:rFonts w:ascii="Times New Roman" w:hAnsi="Times New Roman" w:cs="Times New Roman"/>
          <w:bCs/>
          <w:sz w:val="24"/>
          <w:szCs w:val="24"/>
        </w:rPr>
        <w:t xml:space="preserve">Muturi, M. N. </w:t>
      </w:r>
      <w:proofErr w:type="gramStart"/>
      <w:r>
        <w:rPr>
          <w:rFonts w:ascii="Times New Roman" w:hAnsi="Times New Roman" w:cs="Times New Roman"/>
          <w:bCs/>
          <w:sz w:val="24"/>
          <w:szCs w:val="24"/>
        </w:rPr>
        <w:t>&amp;  </w:t>
      </w:r>
      <w:proofErr w:type="spellStart"/>
      <w:r>
        <w:rPr>
          <w:rFonts w:ascii="Times New Roman" w:hAnsi="Times New Roman" w:cs="Times New Roman"/>
          <w:bCs/>
          <w:sz w:val="24"/>
          <w:szCs w:val="24"/>
        </w:rPr>
        <w:t>Kinai</w:t>
      </w:r>
      <w:proofErr w:type="spellEnd"/>
      <w:proofErr w:type="gramEnd"/>
      <w:r>
        <w:rPr>
          <w:rFonts w:ascii="Times New Roman" w:hAnsi="Times New Roman" w:cs="Times New Roman"/>
          <w:bCs/>
          <w:sz w:val="24"/>
          <w:szCs w:val="24"/>
        </w:rPr>
        <w:t xml:space="preserve">, T. (2022). Parental Career Support as a Correlate of Career Decision Making Among Secondary Students in </w:t>
      </w:r>
      <w:proofErr w:type="spellStart"/>
      <w:r>
        <w:rPr>
          <w:rFonts w:ascii="Times New Roman" w:hAnsi="Times New Roman" w:cs="Times New Roman"/>
          <w:bCs/>
          <w:sz w:val="24"/>
          <w:szCs w:val="24"/>
        </w:rPr>
        <w:t>Muranga</w:t>
      </w:r>
      <w:proofErr w:type="spellEnd"/>
      <w:r>
        <w:rPr>
          <w:rFonts w:ascii="Times New Roman" w:hAnsi="Times New Roman" w:cs="Times New Roman"/>
          <w:bCs/>
          <w:sz w:val="24"/>
          <w:szCs w:val="24"/>
        </w:rPr>
        <w:t xml:space="preserve"> County, Kenya</w:t>
      </w:r>
      <w:r>
        <w:rPr>
          <w:rFonts w:ascii="Times New Roman" w:hAnsi="Times New Roman" w:cs="Times New Roman"/>
          <w:b/>
          <w:bCs/>
          <w:sz w:val="24"/>
          <w:szCs w:val="24"/>
        </w:rPr>
        <w:t>.</w:t>
      </w:r>
    </w:p>
    <w:p w14:paraId="64AC1592"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Naisianoi</w:t>
      </w:r>
      <w:proofErr w:type="spellEnd"/>
      <w:r>
        <w:rPr>
          <w:rFonts w:ascii="Times New Roman" w:hAnsi="Times New Roman" w:cs="Times New Roman"/>
          <w:color w:val="222222"/>
          <w:sz w:val="24"/>
          <w:szCs w:val="24"/>
          <w:shd w:val="clear" w:color="auto" w:fill="FFFFFF"/>
        </w:rPr>
        <w:t>, M. (2020). </w:t>
      </w:r>
      <w:r>
        <w:rPr>
          <w:rFonts w:ascii="Times New Roman" w:hAnsi="Times New Roman" w:cs="Times New Roman"/>
          <w:i/>
          <w:iCs/>
          <w:color w:val="222222"/>
          <w:sz w:val="24"/>
          <w:szCs w:val="24"/>
          <w:shd w:val="clear" w:color="auto" w:fill="FFFFFF"/>
        </w:rPr>
        <w:t xml:space="preserve">Influence of teaching and learning materials on academic performance of pupils in upper primary schools in </w:t>
      </w:r>
      <w:proofErr w:type="spellStart"/>
      <w:r>
        <w:rPr>
          <w:rFonts w:ascii="Times New Roman" w:hAnsi="Times New Roman" w:cs="Times New Roman"/>
          <w:i/>
          <w:iCs/>
          <w:color w:val="222222"/>
          <w:sz w:val="24"/>
          <w:szCs w:val="24"/>
          <w:shd w:val="clear" w:color="auto" w:fill="FFFFFF"/>
        </w:rPr>
        <w:t>Karunga</w:t>
      </w:r>
      <w:proofErr w:type="spellEnd"/>
      <w:r>
        <w:rPr>
          <w:rFonts w:ascii="Times New Roman" w:hAnsi="Times New Roman" w:cs="Times New Roman"/>
          <w:i/>
          <w:iCs/>
          <w:color w:val="222222"/>
          <w:sz w:val="24"/>
          <w:szCs w:val="24"/>
          <w:shd w:val="clear" w:color="auto" w:fill="FFFFFF"/>
        </w:rPr>
        <w:t xml:space="preserve"> zone, </w:t>
      </w:r>
      <w:proofErr w:type="spellStart"/>
      <w:r>
        <w:rPr>
          <w:rFonts w:ascii="Times New Roman" w:hAnsi="Times New Roman" w:cs="Times New Roman"/>
          <w:i/>
          <w:iCs/>
          <w:color w:val="222222"/>
          <w:sz w:val="24"/>
          <w:szCs w:val="24"/>
          <w:shd w:val="clear" w:color="auto" w:fill="FFFFFF"/>
        </w:rPr>
        <w:t>Gilgil</w:t>
      </w:r>
      <w:proofErr w:type="spellEnd"/>
      <w:r>
        <w:rPr>
          <w:rFonts w:ascii="Times New Roman" w:hAnsi="Times New Roman" w:cs="Times New Roman"/>
          <w:i/>
          <w:iCs/>
          <w:color w:val="222222"/>
          <w:sz w:val="24"/>
          <w:szCs w:val="24"/>
          <w:shd w:val="clear" w:color="auto" w:fill="FFFFFF"/>
        </w:rPr>
        <w:t xml:space="preserve"> Sub County, Kenya</w:t>
      </w:r>
      <w:r>
        <w:rPr>
          <w:rFonts w:ascii="Times New Roman" w:hAnsi="Times New Roman" w:cs="Times New Roman"/>
          <w:color w:val="222222"/>
          <w:sz w:val="24"/>
          <w:szCs w:val="24"/>
          <w:shd w:val="clear" w:color="auto" w:fill="FFFFFF"/>
        </w:rPr>
        <w:t> (Doctoral dissertation, St. Paul's University).</w:t>
      </w:r>
    </w:p>
    <w:p w14:paraId="38C48158"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Namai, L. B. A., &amp; </w:t>
      </w:r>
      <w:proofErr w:type="spellStart"/>
      <w:r>
        <w:rPr>
          <w:rFonts w:ascii="Times New Roman" w:hAnsi="Times New Roman" w:cs="Times New Roman"/>
          <w:sz w:val="24"/>
          <w:szCs w:val="24"/>
        </w:rPr>
        <w:t>Manyasi</w:t>
      </w:r>
      <w:proofErr w:type="spellEnd"/>
      <w:r>
        <w:rPr>
          <w:rFonts w:ascii="Times New Roman" w:hAnsi="Times New Roman" w:cs="Times New Roman"/>
          <w:sz w:val="24"/>
          <w:szCs w:val="24"/>
        </w:rPr>
        <w:t xml:space="preserve">, B. (2019). Effectiveness of Guidance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Counselling Procedures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Development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Values Among Learners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Public Secondary Schools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Nakuru County, Kenya.</w:t>
      </w:r>
    </w:p>
    <w:p w14:paraId="65A2D7BF" w14:textId="77777777" w:rsidR="003B4087" w:rsidRDefault="003B4087" w:rsidP="003B4087">
      <w:pPr>
        <w:spacing w:before="240"/>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Ngugi, N. B. (2019). </w:t>
      </w:r>
      <w:r>
        <w:rPr>
          <w:rFonts w:ascii="Times New Roman" w:hAnsi="Times New Roman" w:cs="Times New Roman"/>
          <w:i/>
          <w:iCs/>
          <w:color w:val="222222"/>
          <w:sz w:val="24"/>
          <w:szCs w:val="24"/>
          <w:shd w:val="clear" w:color="auto" w:fill="FFFFFF"/>
        </w:rPr>
        <w:t xml:space="preserve">Influence Of </w:t>
      </w:r>
      <w:proofErr w:type="spellStart"/>
      <w:r>
        <w:rPr>
          <w:rFonts w:ascii="Times New Roman" w:hAnsi="Times New Roman" w:cs="Times New Roman"/>
          <w:i/>
          <w:iCs/>
          <w:color w:val="222222"/>
          <w:sz w:val="24"/>
          <w:szCs w:val="24"/>
          <w:shd w:val="clear" w:color="auto" w:fill="FFFFFF"/>
        </w:rPr>
        <w:t>Principals’leadership</w:t>
      </w:r>
      <w:proofErr w:type="spellEnd"/>
      <w:r>
        <w:rPr>
          <w:rFonts w:ascii="Times New Roman" w:hAnsi="Times New Roman" w:cs="Times New Roman"/>
          <w:i/>
          <w:iCs/>
          <w:color w:val="222222"/>
          <w:sz w:val="24"/>
          <w:szCs w:val="24"/>
          <w:shd w:val="clear" w:color="auto" w:fill="FFFFFF"/>
        </w:rPr>
        <w:t xml:space="preserve"> Behaviour Practices </w:t>
      </w:r>
      <w:proofErr w:type="gramStart"/>
      <w:r>
        <w:rPr>
          <w:rFonts w:ascii="Times New Roman" w:hAnsi="Times New Roman" w:cs="Times New Roman"/>
          <w:i/>
          <w:iCs/>
          <w:color w:val="222222"/>
          <w:sz w:val="24"/>
          <w:szCs w:val="24"/>
          <w:shd w:val="clear" w:color="auto" w:fill="FFFFFF"/>
        </w:rPr>
        <w:t>On</w:t>
      </w:r>
      <w:proofErr w:type="gramEnd"/>
      <w:r>
        <w:rPr>
          <w:rFonts w:ascii="Times New Roman" w:hAnsi="Times New Roman" w:cs="Times New Roman"/>
          <w:i/>
          <w:iCs/>
          <w:color w:val="222222"/>
          <w:sz w:val="24"/>
          <w:szCs w:val="24"/>
          <w:shd w:val="clear" w:color="auto" w:fill="FFFFFF"/>
        </w:rPr>
        <w:t xml:space="preserve"> </w:t>
      </w:r>
      <w:proofErr w:type="spellStart"/>
      <w:r>
        <w:rPr>
          <w:rFonts w:ascii="Times New Roman" w:hAnsi="Times New Roman" w:cs="Times New Roman"/>
          <w:i/>
          <w:iCs/>
          <w:color w:val="222222"/>
          <w:sz w:val="24"/>
          <w:szCs w:val="24"/>
          <w:shd w:val="clear" w:color="auto" w:fill="FFFFFF"/>
        </w:rPr>
        <w:t>Students’academic</w:t>
      </w:r>
      <w:proofErr w:type="spellEnd"/>
      <w:r>
        <w:rPr>
          <w:rFonts w:ascii="Times New Roman" w:hAnsi="Times New Roman" w:cs="Times New Roman"/>
          <w:i/>
          <w:iCs/>
          <w:color w:val="222222"/>
          <w:sz w:val="24"/>
          <w:szCs w:val="24"/>
          <w:shd w:val="clear" w:color="auto" w:fill="FFFFFF"/>
        </w:rPr>
        <w:t xml:space="preserve"> Performance </w:t>
      </w:r>
      <w:proofErr w:type="gramStart"/>
      <w:r>
        <w:rPr>
          <w:rFonts w:ascii="Times New Roman" w:hAnsi="Times New Roman" w:cs="Times New Roman"/>
          <w:i/>
          <w:iCs/>
          <w:color w:val="222222"/>
          <w:sz w:val="24"/>
          <w:szCs w:val="24"/>
          <w:shd w:val="clear" w:color="auto" w:fill="FFFFFF"/>
        </w:rPr>
        <w:t>In</w:t>
      </w:r>
      <w:proofErr w:type="gramEnd"/>
      <w:r>
        <w:rPr>
          <w:rFonts w:ascii="Times New Roman" w:hAnsi="Times New Roman" w:cs="Times New Roman"/>
          <w:i/>
          <w:iCs/>
          <w:color w:val="222222"/>
          <w:sz w:val="24"/>
          <w:szCs w:val="24"/>
          <w:shd w:val="clear" w:color="auto" w:fill="FFFFFF"/>
        </w:rPr>
        <w:t xml:space="preserve"> Public Secondary Schools </w:t>
      </w:r>
      <w:proofErr w:type="spellStart"/>
      <w:r>
        <w:rPr>
          <w:rFonts w:ascii="Times New Roman" w:hAnsi="Times New Roman" w:cs="Times New Roman"/>
          <w:i/>
          <w:iCs/>
          <w:color w:val="222222"/>
          <w:sz w:val="24"/>
          <w:szCs w:val="24"/>
          <w:shd w:val="clear" w:color="auto" w:fill="FFFFFF"/>
        </w:rPr>
        <w:t>Gilgil</w:t>
      </w:r>
      <w:proofErr w:type="spellEnd"/>
      <w:r>
        <w:rPr>
          <w:rFonts w:ascii="Times New Roman" w:hAnsi="Times New Roman" w:cs="Times New Roman"/>
          <w:i/>
          <w:iCs/>
          <w:color w:val="222222"/>
          <w:sz w:val="24"/>
          <w:szCs w:val="24"/>
          <w:shd w:val="clear" w:color="auto" w:fill="FFFFFF"/>
        </w:rPr>
        <w:t xml:space="preserve"> Nakuru County, Kenya</w:t>
      </w:r>
      <w:r>
        <w:rPr>
          <w:rFonts w:ascii="Times New Roman" w:hAnsi="Times New Roman" w:cs="Times New Roman"/>
          <w:color w:val="222222"/>
          <w:sz w:val="24"/>
          <w:szCs w:val="24"/>
          <w:shd w:val="clear" w:color="auto" w:fill="FFFFFF"/>
        </w:rPr>
        <w:t xml:space="preserve"> (Doctoral Dissertation, School </w:t>
      </w:r>
      <w:proofErr w:type="gramStart"/>
      <w:r>
        <w:rPr>
          <w:rFonts w:ascii="Times New Roman" w:hAnsi="Times New Roman" w:cs="Times New Roman"/>
          <w:color w:val="222222"/>
          <w:sz w:val="24"/>
          <w:szCs w:val="24"/>
          <w:shd w:val="clear" w:color="auto" w:fill="FFFFFF"/>
        </w:rPr>
        <w:t>Of</w:t>
      </w:r>
      <w:proofErr w:type="gramEnd"/>
      <w:r>
        <w:rPr>
          <w:rFonts w:ascii="Times New Roman" w:hAnsi="Times New Roman" w:cs="Times New Roman"/>
          <w:color w:val="222222"/>
          <w:sz w:val="24"/>
          <w:szCs w:val="24"/>
          <w:shd w:val="clear" w:color="auto" w:fill="FFFFFF"/>
        </w:rPr>
        <w:t xml:space="preserve"> Education, Kenyatta University).</w:t>
      </w:r>
    </w:p>
    <w:p w14:paraId="333B9EDE"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Ngunjiri, G. F. (2021). Decisiveness in career choices among secondary school students in </w:t>
      </w:r>
      <w:proofErr w:type="spellStart"/>
      <w:r>
        <w:rPr>
          <w:rFonts w:ascii="Times New Roman" w:hAnsi="Times New Roman" w:cs="Times New Roman"/>
          <w:sz w:val="24"/>
          <w:szCs w:val="24"/>
        </w:rPr>
        <w:t>kiambu</w:t>
      </w:r>
      <w:proofErr w:type="spellEnd"/>
      <w:r>
        <w:rPr>
          <w:rFonts w:ascii="Times New Roman" w:hAnsi="Times New Roman" w:cs="Times New Roman"/>
          <w:sz w:val="24"/>
          <w:szCs w:val="24"/>
        </w:rPr>
        <w:t xml:space="preserve"> west district-Kiambu county, Kenya</w:t>
      </w:r>
    </w:p>
    <w:p w14:paraId="114A7462"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Ngussa</w:t>
      </w:r>
      <w:proofErr w:type="spellEnd"/>
      <w:r>
        <w:rPr>
          <w:rFonts w:ascii="Times New Roman" w:hAnsi="Times New Roman" w:cs="Times New Roman"/>
          <w:sz w:val="24"/>
          <w:szCs w:val="24"/>
        </w:rPr>
        <w:t xml:space="preserve">, B. M., &amp; Rehema, C. (2019). Perception of students regarding the role of teachers and parents on career choice preparedness: A case of secondary schools in Meru District, Tanzania. </w:t>
      </w:r>
      <w:r>
        <w:rPr>
          <w:rFonts w:ascii="Times New Roman" w:hAnsi="Times New Roman" w:cs="Times New Roman"/>
          <w:i/>
          <w:iCs/>
          <w:sz w:val="24"/>
          <w:szCs w:val="24"/>
        </w:rPr>
        <w:t>Integrity Journal of Education and Training</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(4), 60-72.</w:t>
      </w:r>
    </w:p>
    <w:p w14:paraId="705F7CE2"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Njogu, W., Kibaara, T., &amp; Gichohi, P. (2019). How career guidance services affect career choice among public secondary school students in Meru County, Kenya. </w:t>
      </w:r>
      <w:r>
        <w:rPr>
          <w:rFonts w:ascii="Times New Roman" w:hAnsi="Times New Roman" w:cs="Times New Roman"/>
          <w:i/>
          <w:iCs/>
          <w:sz w:val="24"/>
          <w:szCs w:val="24"/>
        </w:rPr>
        <w:t>African Journal of Emerging Issues</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(8), 1-13.</w:t>
      </w:r>
    </w:p>
    <w:p w14:paraId="1A46ED87"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Nong, T. W. (2016). The impact of career guidance (CG) for career choice (CC) in the secondary schools of </w:t>
      </w:r>
      <w:proofErr w:type="spellStart"/>
      <w:r>
        <w:rPr>
          <w:rFonts w:ascii="Times New Roman" w:hAnsi="Times New Roman" w:cs="Times New Roman"/>
          <w:sz w:val="24"/>
          <w:szCs w:val="24"/>
        </w:rPr>
        <w:t>Sepitsi</w:t>
      </w:r>
      <w:proofErr w:type="spellEnd"/>
      <w:r>
        <w:rPr>
          <w:rFonts w:ascii="Times New Roman" w:hAnsi="Times New Roman" w:cs="Times New Roman"/>
          <w:sz w:val="24"/>
          <w:szCs w:val="24"/>
        </w:rPr>
        <w:t xml:space="preserve"> circuit in Lebowakgomo district, Limpopo province (Doctoral dissertation, University of Limpopo).</w:t>
      </w:r>
    </w:p>
    <w:p w14:paraId="2E131E99"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Nsubuga, H., &amp; </w:t>
      </w:r>
      <w:proofErr w:type="spellStart"/>
      <w:r>
        <w:rPr>
          <w:rFonts w:ascii="Times New Roman" w:hAnsi="Times New Roman" w:cs="Times New Roman"/>
          <w:sz w:val="24"/>
          <w:szCs w:val="24"/>
        </w:rPr>
        <w:t>Kronholz</w:t>
      </w:r>
      <w:proofErr w:type="spellEnd"/>
      <w:r>
        <w:rPr>
          <w:rFonts w:ascii="Times New Roman" w:hAnsi="Times New Roman" w:cs="Times New Roman"/>
          <w:sz w:val="24"/>
          <w:szCs w:val="24"/>
        </w:rPr>
        <w:t>, J. (2018). The State of Career Services in Uganda. </w:t>
      </w:r>
      <w:r>
        <w:rPr>
          <w:rFonts w:ascii="Times New Roman" w:hAnsi="Times New Roman" w:cs="Times New Roman"/>
          <w:i/>
          <w:iCs/>
          <w:sz w:val="24"/>
          <w:szCs w:val="24"/>
        </w:rPr>
        <w:t>International practices of career services, credentials, and training</w:t>
      </w:r>
      <w:r>
        <w:rPr>
          <w:rFonts w:ascii="Times New Roman" w:hAnsi="Times New Roman" w:cs="Times New Roman"/>
          <w:sz w:val="24"/>
          <w:szCs w:val="24"/>
        </w:rPr>
        <w:t>, 185.</w:t>
      </w:r>
    </w:p>
    <w:p w14:paraId="2E89A328"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lastRenderedPageBreak/>
        <w:t>Nyamwange</w:t>
      </w:r>
      <w:proofErr w:type="spellEnd"/>
      <w:r>
        <w:rPr>
          <w:rFonts w:ascii="Times New Roman" w:hAnsi="Times New Roman" w:cs="Times New Roman"/>
          <w:sz w:val="24"/>
          <w:szCs w:val="24"/>
        </w:rPr>
        <w:t>, J. (2016). Influence of Student's Interest on Career Choice among First Year University Students in Public and Private Universities in Kisii County, Kenya. </w:t>
      </w:r>
      <w:r>
        <w:rPr>
          <w:rFonts w:ascii="Times New Roman" w:hAnsi="Times New Roman" w:cs="Times New Roman"/>
          <w:i/>
          <w:iCs/>
          <w:sz w:val="24"/>
          <w:szCs w:val="24"/>
        </w:rPr>
        <w:t>Journal of Education and Practice</w:t>
      </w:r>
      <w:r>
        <w:rPr>
          <w:rFonts w:ascii="Times New Roman" w:hAnsi="Times New Roman" w:cs="Times New Roman"/>
          <w:sz w:val="24"/>
          <w:szCs w:val="24"/>
        </w:rPr>
        <w:t>, </w:t>
      </w:r>
      <w:r>
        <w:rPr>
          <w:rFonts w:ascii="Times New Roman" w:hAnsi="Times New Roman" w:cs="Times New Roman"/>
          <w:i/>
          <w:iCs/>
          <w:sz w:val="24"/>
          <w:szCs w:val="24"/>
        </w:rPr>
        <w:t>7</w:t>
      </w:r>
      <w:r>
        <w:rPr>
          <w:rFonts w:ascii="Times New Roman" w:hAnsi="Times New Roman" w:cs="Times New Roman"/>
          <w:sz w:val="24"/>
          <w:szCs w:val="24"/>
        </w:rPr>
        <w:t>(4), 96-102.</w:t>
      </w:r>
    </w:p>
    <w:p w14:paraId="71450B9F"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t xml:space="preserve">Ogutu, J. P., Odera, P., &amp; </w:t>
      </w:r>
      <w:proofErr w:type="spellStart"/>
      <w:r>
        <w:rPr>
          <w:rFonts w:ascii="Times New Roman" w:hAnsi="Times New Roman"/>
          <w:sz w:val="24"/>
          <w:szCs w:val="24"/>
        </w:rPr>
        <w:t>Maragia</w:t>
      </w:r>
      <w:proofErr w:type="spellEnd"/>
      <w:r>
        <w:rPr>
          <w:rFonts w:ascii="Times New Roman" w:hAnsi="Times New Roman"/>
          <w:sz w:val="24"/>
          <w:szCs w:val="24"/>
        </w:rPr>
        <w:t>, S. N. (2017). Self-Efficacy as a Predictor of Career Decision Making among Secondary School Students in Busia County, Kenya. Journal of Education and Practice, 8(11), 20-29.</w:t>
      </w:r>
    </w:p>
    <w:p w14:paraId="00DBC7A7"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Ogutu, J. P., Odera, P., &amp; </w:t>
      </w:r>
      <w:proofErr w:type="spellStart"/>
      <w:r>
        <w:rPr>
          <w:rFonts w:ascii="Times New Roman" w:hAnsi="Times New Roman" w:cs="Times New Roman"/>
          <w:sz w:val="24"/>
          <w:szCs w:val="24"/>
        </w:rPr>
        <w:t>Maragia</w:t>
      </w:r>
      <w:proofErr w:type="spellEnd"/>
      <w:r>
        <w:rPr>
          <w:rFonts w:ascii="Times New Roman" w:hAnsi="Times New Roman" w:cs="Times New Roman"/>
          <w:sz w:val="24"/>
          <w:szCs w:val="24"/>
        </w:rPr>
        <w:t>, S. N. (2017). Self-Efficacy as a Predictor of Career Decision Making among Secondary School Students in Busia County, Kenya. </w:t>
      </w:r>
      <w:r>
        <w:rPr>
          <w:rFonts w:ascii="Times New Roman" w:hAnsi="Times New Roman" w:cs="Times New Roman"/>
          <w:i/>
          <w:iCs/>
          <w:sz w:val="24"/>
          <w:szCs w:val="24"/>
        </w:rPr>
        <w:t>Journal of Education and Practice</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(11), 20-29.</w:t>
      </w:r>
    </w:p>
    <w:p w14:paraId="0A8712EF" w14:textId="77777777" w:rsidR="003B4087" w:rsidRDefault="003B4087" w:rsidP="003B4087">
      <w:pPr>
        <w:spacing w:before="240"/>
        <w:ind w:left="720" w:hanging="720"/>
        <w:rPr>
          <w:rFonts w:ascii="Times New Roman" w:hAnsi="Times New Roman"/>
          <w:sz w:val="24"/>
          <w:szCs w:val="24"/>
        </w:rPr>
      </w:pPr>
      <w:proofErr w:type="spellStart"/>
      <w:r>
        <w:rPr>
          <w:rFonts w:ascii="Times New Roman" w:hAnsi="Times New Roman"/>
          <w:sz w:val="24"/>
          <w:szCs w:val="24"/>
        </w:rPr>
        <w:t>Otuei</w:t>
      </w:r>
      <w:proofErr w:type="spellEnd"/>
      <w:r>
        <w:rPr>
          <w:rFonts w:ascii="Times New Roman" w:hAnsi="Times New Roman"/>
          <w:sz w:val="24"/>
          <w:szCs w:val="24"/>
        </w:rPr>
        <w:t xml:space="preserve">, C. O. (2017). Carrer decision-making difficulties of senior high school students in </w:t>
      </w:r>
      <w:proofErr w:type="spellStart"/>
      <w:r>
        <w:rPr>
          <w:rFonts w:ascii="Times New Roman" w:hAnsi="Times New Roman"/>
          <w:sz w:val="24"/>
          <w:szCs w:val="24"/>
        </w:rPr>
        <w:t>koforidua</w:t>
      </w:r>
      <w:proofErr w:type="spellEnd"/>
      <w:r>
        <w:rPr>
          <w:rFonts w:ascii="Times New Roman" w:hAnsi="Times New Roman"/>
          <w:sz w:val="24"/>
          <w:szCs w:val="24"/>
        </w:rPr>
        <w:t xml:space="preserve"> municipality (Doctoral dissertation, University of Cape Coast).</w:t>
      </w:r>
    </w:p>
    <w:p w14:paraId="7AEE1651"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Özhan, M. B., &amp; Yüksel, G. (2021). The effect of school burnout on academic achievement and well-being in high school students: A holistic model proposal. </w:t>
      </w:r>
      <w:r>
        <w:rPr>
          <w:rFonts w:ascii="Times New Roman" w:hAnsi="Times New Roman" w:cs="Times New Roman"/>
          <w:i/>
          <w:iCs/>
          <w:sz w:val="24"/>
          <w:szCs w:val="24"/>
        </w:rPr>
        <w:t>International Journal of Contemporary Educational Research, 8</w:t>
      </w:r>
      <w:r>
        <w:rPr>
          <w:rFonts w:ascii="Times New Roman" w:hAnsi="Times New Roman" w:cs="Times New Roman"/>
          <w:sz w:val="24"/>
          <w:szCs w:val="24"/>
        </w:rPr>
        <w:t>(1), 145-162. DOI: https://doi.org/10.33200/ijcer.824488</w:t>
      </w:r>
    </w:p>
    <w:p w14:paraId="1ADB0F50"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Priyanka D., &amp; Hetvi, D. (2018). Factors Affecting the Career Decision Making of Secondary School Students. </w:t>
      </w:r>
      <w:r>
        <w:rPr>
          <w:rFonts w:ascii="Times New Roman" w:hAnsi="Times New Roman" w:cs="Times New Roman"/>
          <w:i/>
          <w:sz w:val="24"/>
          <w:szCs w:val="24"/>
        </w:rPr>
        <w:t>The International Journal of Indian Psychology</w:t>
      </w:r>
      <w:r>
        <w:rPr>
          <w:rFonts w:ascii="Times New Roman" w:hAnsi="Times New Roman" w:cs="Times New Roman"/>
          <w:sz w:val="24"/>
          <w:szCs w:val="24"/>
        </w:rPr>
        <w:t xml:space="preserve"> 6(3), 176-187</w:t>
      </w:r>
    </w:p>
    <w:p w14:paraId="60E71EE4"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t xml:space="preserve">Rozek, C. S., Svoboda, R. C., </w:t>
      </w:r>
      <w:proofErr w:type="spellStart"/>
      <w:r>
        <w:rPr>
          <w:rFonts w:ascii="Times New Roman" w:hAnsi="Times New Roman" w:cs="Times New Roman"/>
          <w:sz w:val="24"/>
          <w:szCs w:val="24"/>
        </w:rPr>
        <w:t>Harackiewicz</w:t>
      </w:r>
      <w:proofErr w:type="spellEnd"/>
      <w:r>
        <w:rPr>
          <w:rFonts w:ascii="Times New Roman" w:hAnsi="Times New Roman" w:cs="Times New Roman"/>
          <w:sz w:val="24"/>
          <w:szCs w:val="24"/>
        </w:rPr>
        <w:t xml:space="preserve">, J. M., </w:t>
      </w:r>
      <w:proofErr w:type="spellStart"/>
      <w:r>
        <w:rPr>
          <w:rFonts w:ascii="Times New Roman" w:hAnsi="Times New Roman" w:cs="Times New Roman"/>
          <w:sz w:val="24"/>
          <w:szCs w:val="24"/>
        </w:rPr>
        <w:t>Hulleman</w:t>
      </w:r>
      <w:proofErr w:type="spellEnd"/>
      <w:r>
        <w:rPr>
          <w:rFonts w:ascii="Times New Roman" w:hAnsi="Times New Roman" w:cs="Times New Roman"/>
          <w:sz w:val="24"/>
          <w:szCs w:val="24"/>
        </w:rPr>
        <w:t>, C. S., &amp; Hyde, J. S. (2017). Utility-value intervention with parents increases students’ STEM preparation and career pursuit. </w:t>
      </w:r>
      <w:r>
        <w:rPr>
          <w:rFonts w:ascii="Times New Roman" w:hAnsi="Times New Roman" w:cs="Times New Roman"/>
          <w:i/>
          <w:iCs/>
          <w:sz w:val="24"/>
          <w:szCs w:val="24"/>
        </w:rPr>
        <w:t>Proceedings of the National Academy of Sciences</w:t>
      </w:r>
      <w:r>
        <w:rPr>
          <w:rFonts w:ascii="Times New Roman" w:hAnsi="Times New Roman" w:cs="Times New Roman"/>
          <w:sz w:val="24"/>
          <w:szCs w:val="24"/>
        </w:rPr>
        <w:t>, </w:t>
      </w:r>
      <w:r>
        <w:rPr>
          <w:rFonts w:ascii="Times New Roman" w:hAnsi="Times New Roman" w:cs="Times New Roman"/>
          <w:i/>
          <w:iCs/>
          <w:sz w:val="24"/>
          <w:szCs w:val="24"/>
        </w:rPr>
        <w:t>114</w:t>
      </w:r>
      <w:r>
        <w:rPr>
          <w:rFonts w:ascii="Times New Roman" w:hAnsi="Times New Roman" w:cs="Times New Roman"/>
          <w:sz w:val="24"/>
          <w:szCs w:val="24"/>
        </w:rPr>
        <w:t>(5), 909-914.</w:t>
      </w:r>
    </w:p>
    <w:p w14:paraId="1D98FED3"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Rusilowati</w:t>
      </w:r>
      <w:proofErr w:type="spellEnd"/>
      <w:r>
        <w:rPr>
          <w:rFonts w:ascii="Times New Roman" w:hAnsi="Times New Roman" w:cs="Times New Roman"/>
          <w:sz w:val="24"/>
          <w:szCs w:val="24"/>
        </w:rPr>
        <w:t xml:space="preserve">, U., &amp; Wahyudi, W. (2020, March). The significance of educator certification in developing pedagogy, personality, social and professional competencies. In </w:t>
      </w:r>
      <w:r>
        <w:rPr>
          <w:rFonts w:ascii="Times New Roman" w:hAnsi="Times New Roman" w:cs="Times New Roman"/>
          <w:i/>
          <w:iCs/>
          <w:sz w:val="24"/>
          <w:szCs w:val="24"/>
        </w:rPr>
        <w:t xml:space="preserve">2nd Social and </w:t>
      </w:r>
      <w:proofErr w:type="spellStart"/>
      <w:r>
        <w:rPr>
          <w:rFonts w:ascii="Times New Roman" w:hAnsi="Times New Roman" w:cs="Times New Roman"/>
          <w:i/>
          <w:iCs/>
          <w:sz w:val="24"/>
          <w:szCs w:val="24"/>
        </w:rPr>
        <w:t>Humaniora</w:t>
      </w:r>
      <w:proofErr w:type="spellEnd"/>
      <w:r>
        <w:rPr>
          <w:rFonts w:ascii="Times New Roman" w:hAnsi="Times New Roman" w:cs="Times New Roman"/>
          <w:i/>
          <w:iCs/>
          <w:sz w:val="24"/>
          <w:szCs w:val="24"/>
        </w:rPr>
        <w:t xml:space="preserve"> Research Symposium (</w:t>
      </w:r>
      <w:proofErr w:type="spellStart"/>
      <w:r>
        <w:rPr>
          <w:rFonts w:ascii="Times New Roman" w:hAnsi="Times New Roman" w:cs="Times New Roman"/>
          <w:i/>
          <w:iCs/>
          <w:sz w:val="24"/>
          <w:szCs w:val="24"/>
        </w:rPr>
        <w:t>SoRes</w:t>
      </w:r>
      <w:proofErr w:type="spellEnd"/>
      <w:r>
        <w:rPr>
          <w:rFonts w:ascii="Times New Roman" w:hAnsi="Times New Roman" w:cs="Times New Roman"/>
          <w:i/>
          <w:iCs/>
          <w:sz w:val="24"/>
          <w:szCs w:val="24"/>
        </w:rPr>
        <w:t xml:space="preserve"> 2019)</w:t>
      </w:r>
      <w:r>
        <w:rPr>
          <w:rFonts w:ascii="Times New Roman" w:hAnsi="Times New Roman" w:cs="Times New Roman"/>
          <w:sz w:val="24"/>
          <w:szCs w:val="24"/>
        </w:rPr>
        <w:t xml:space="preserve"> (pp. 446-451). Atlantis Press.</w:t>
      </w:r>
    </w:p>
    <w:p w14:paraId="1174B102"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Skaalvik</w:t>
      </w:r>
      <w:proofErr w:type="spellEnd"/>
      <w:r>
        <w:rPr>
          <w:rFonts w:ascii="Times New Roman" w:hAnsi="Times New Roman" w:cs="Times New Roman"/>
          <w:sz w:val="24"/>
          <w:szCs w:val="24"/>
        </w:rPr>
        <w:t xml:space="preserve">, E. M., &amp; </w:t>
      </w:r>
      <w:proofErr w:type="spellStart"/>
      <w:r>
        <w:rPr>
          <w:rFonts w:ascii="Times New Roman" w:hAnsi="Times New Roman" w:cs="Times New Roman"/>
          <w:sz w:val="24"/>
          <w:szCs w:val="24"/>
        </w:rPr>
        <w:t>Skaalvik</w:t>
      </w:r>
      <w:proofErr w:type="spellEnd"/>
      <w:r>
        <w:rPr>
          <w:rFonts w:ascii="Times New Roman" w:hAnsi="Times New Roman" w:cs="Times New Roman"/>
          <w:sz w:val="24"/>
          <w:szCs w:val="24"/>
        </w:rPr>
        <w:t xml:space="preserve">, S. (2017). Dimensions of teacher burnout: Relations with potential stressors at school. </w:t>
      </w:r>
      <w:r>
        <w:rPr>
          <w:rFonts w:ascii="Times New Roman" w:hAnsi="Times New Roman" w:cs="Times New Roman"/>
          <w:i/>
          <w:iCs/>
          <w:sz w:val="24"/>
          <w:szCs w:val="24"/>
        </w:rPr>
        <w:t>Social Psychology of Education</w:t>
      </w:r>
      <w:r>
        <w:rPr>
          <w:rFonts w:ascii="Times New Roman" w:hAnsi="Times New Roman" w:cs="Times New Roman"/>
          <w:sz w:val="24"/>
          <w:szCs w:val="24"/>
        </w:rPr>
        <w:t xml:space="preserve">, </w:t>
      </w:r>
      <w:r>
        <w:rPr>
          <w:rFonts w:ascii="Times New Roman" w:hAnsi="Times New Roman" w:cs="Times New Roman"/>
          <w:i/>
          <w:iCs/>
          <w:sz w:val="24"/>
          <w:szCs w:val="24"/>
        </w:rPr>
        <w:t>20</w:t>
      </w:r>
      <w:r>
        <w:rPr>
          <w:rFonts w:ascii="Times New Roman" w:hAnsi="Times New Roman" w:cs="Times New Roman"/>
          <w:sz w:val="24"/>
          <w:szCs w:val="24"/>
        </w:rPr>
        <w:t>(4), 775-790.</w:t>
      </w:r>
    </w:p>
    <w:p w14:paraId="44B750B9" w14:textId="77777777" w:rsidR="003B4087" w:rsidRDefault="003B4087" w:rsidP="003B4087">
      <w:pPr>
        <w:spacing w:before="240"/>
        <w:ind w:left="720" w:hanging="720"/>
        <w:rPr>
          <w:rFonts w:ascii="Times New Roman" w:hAnsi="Times New Roman" w:cs="Times New Roman"/>
          <w:sz w:val="24"/>
          <w:szCs w:val="24"/>
        </w:rPr>
      </w:pPr>
      <w:proofErr w:type="spellStart"/>
      <w:r>
        <w:rPr>
          <w:rFonts w:ascii="Times New Roman" w:hAnsi="Times New Roman" w:cs="Times New Roman"/>
          <w:sz w:val="24"/>
          <w:szCs w:val="24"/>
        </w:rPr>
        <w:t>TSubhrajyoti</w:t>
      </w:r>
      <w:proofErr w:type="spellEnd"/>
      <w:r>
        <w:rPr>
          <w:rFonts w:ascii="Times New Roman" w:hAnsi="Times New Roman" w:cs="Times New Roman"/>
          <w:sz w:val="24"/>
          <w:szCs w:val="24"/>
        </w:rPr>
        <w:t xml:space="preserve">, T., &amp; Vihar, V. (2023). Career decision making of secondary school students - a critical review. </w:t>
      </w:r>
      <w:r>
        <w:rPr>
          <w:rFonts w:ascii="Times New Roman" w:hAnsi="Times New Roman" w:cs="Times New Roman"/>
          <w:i/>
          <w:sz w:val="24"/>
          <w:szCs w:val="24"/>
        </w:rPr>
        <w:t>International Journal of Innovative Science and Research Technology</w:t>
      </w:r>
      <w:r>
        <w:rPr>
          <w:rFonts w:ascii="Times New Roman" w:hAnsi="Times New Roman" w:cs="Times New Roman"/>
          <w:sz w:val="24"/>
          <w:szCs w:val="24"/>
        </w:rPr>
        <w:t xml:space="preserve"> 8(2), 1112- 1116</w:t>
      </w:r>
    </w:p>
    <w:p w14:paraId="47A0AF7C" w14:textId="77777777" w:rsidR="003B4087" w:rsidRDefault="003B4087" w:rsidP="003B4087">
      <w:pPr>
        <w:spacing w:before="240"/>
        <w:ind w:left="720" w:hanging="720"/>
        <w:rPr>
          <w:rFonts w:ascii="Times New Roman" w:hAnsi="Times New Roman"/>
          <w:sz w:val="24"/>
          <w:szCs w:val="24"/>
        </w:rPr>
      </w:pPr>
      <w:r>
        <w:rPr>
          <w:rFonts w:ascii="Times New Roman" w:hAnsi="Times New Roman"/>
          <w:sz w:val="24"/>
          <w:szCs w:val="24"/>
        </w:rPr>
        <w:t>Watt, H. M., Richardson, P. W., Klusmann, U., Kunter, M., Beyer, B., Trautwein, U., &amp; Baumert, J. (2012). Motivations for choosing teaching as a career: An international comparison using the FIT-Choice scale. Teaching and teacher education, 28(6), 791-805.</w:t>
      </w:r>
    </w:p>
    <w:p w14:paraId="7A78FF8F" w14:textId="77777777" w:rsidR="003B4087" w:rsidRDefault="003B4087" w:rsidP="003B4087">
      <w:pPr>
        <w:spacing w:before="24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Xing, X., &amp; Rojewski, J. W. (2018). Family Influences on Career Decision-Making Self-Efficacy of Chinese Secondary Vocational Students. </w:t>
      </w:r>
      <w:r>
        <w:rPr>
          <w:rFonts w:ascii="Times New Roman" w:hAnsi="Times New Roman" w:cs="Times New Roman"/>
          <w:i/>
          <w:iCs/>
          <w:sz w:val="24"/>
          <w:szCs w:val="24"/>
        </w:rPr>
        <w:t>New Waves-Educational Research and Development Journal</w:t>
      </w:r>
      <w:r>
        <w:rPr>
          <w:rFonts w:ascii="Times New Roman" w:hAnsi="Times New Roman" w:cs="Times New Roman"/>
          <w:sz w:val="24"/>
          <w:szCs w:val="24"/>
        </w:rPr>
        <w:t xml:space="preserve">, </w:t>
      </w:r>
      <w:r>
        <w:rPr>
          <w:rFonts w:ascii="Times New Roman" w:hAnsi="Times New Roman" w:cs="Times New Roman"/>
          <w:i/>
          <w:iCs/>
          <w:sz w:val="24"/>
          <w:szCs w:val="24"/>
        </w:rPr>
        <w:t>21</w:t>
      </w:r>
      <w:r>
        <w:rPr>
          <w:rFonts w:ascii="Times New Roman" w:hAnsi="Times New Roman" w:cs="Times New Roman"/>
          <w:sz w:val="24"/>
          <w:szCs w:val="24"/>
        </w:rPr>
        <w:t>(1), 48-67.</w:t>
      </w:r>
    </w:p>
    <w:p w14:paraId="25A1F681" w14:textId="77777777" w:rsidR="002B2EE7" w:rsidRPr="002B2EE7" w:rsidRDefault="002B2EE7" w:rsidP="003B4087">
      <w:pPr>
        <w:pStyle w:val="Heading1"/>
        <w:jc w:val="left"/>
        <w:rPr>
          <w:lang w:eastAsia="en-US"/>
        </w:rPr>
      </w:pPr>
    </w:p>
    <w:sectPr w:rsidR="002B2EE7" w:rsidRPr="002B2E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69B5" w14:textId="77777777" w:rsidR="00DE79A9" w:rsidRDefault="00DE79A9">
      <w:pPr>
        <w:spacing w:after="0" w:line="240" w:lineRule="auto"/>
      </w:pPr>
      <w:r>
        <w:separator/>
      </w:r>
    </w:p>
  </w:endnote>
  <w:endnote w:type="continuationSeparator" w:id="0">
    <w:p w14:paraId="13A463FE" w14:textId="77777777" w:rsidR="00DE79A9" w:rsidRDefault="00DE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OT-Light">
    <w:altName w:val="DINOT-Light"/>
    <w:panose1 w:val="00000000000000000000"/>
    <w:charset w:val="00"/>
    <w:family w:val="swiss"/>
    <w:notTrueType/>
    <w:pitch w:val="default"/>
    <w:sig w:usb0="00000003" w:usb1="00000000" w:usb2="00000000" w:usb3="00000000" w:csb0="00000001" w:csb1="00000000"/>
  </w:font>
  <w:font w:name="DINOT-Bold">
    <w:altName w:val="DINOT-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Cap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6111" w14:textId="77777777" w:rsidR="00184347" w:rsidRDefault="00184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C7BB" w14:textId="0E46E98D" w:rsidR="00BC1ADD" w:rsidRDefault="00BC1ADD">
    <w:pPr>
      <w:pStyle w:val="BodyText"/>
      <w:spacing w:line="14" w:lineRule="auto"/>
      <w:rPr>
        <w:sz w:val="19"/>
      </w:rPr>
    </w:pPr>
    <w:r>
      <w:rPr>
        <w:noProof/>
      </w:rPr>
      <mc:AlternateContent>
        <mc:Choice Requires="wps">
          <w:drawing>
            <wp:anchor distT="0" distB="0" distL="114300" distR="114300" simplePos="0" relativeHeight="251659264" behindDoc="1" locked="0" layoutInCell="1" allowOverlap="1" wp14:anchorId="2E8D0DD9" wp14:editId="61C2EE90">
              <wp:simplePos x="0" y="0"/>
              <wp:positionH relativeFrom="page">
                <wp:posOffset>3772535</wp:posOffset>
              </wp:positionH>
              <wp:positionV relativeFrom="page">
                <wp:posOffset>8961755</wp:posOffset>
              </wp:positionV>
              <wp:extent cx="2286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15CC" w14:textId="184F492F" w:rsidR="00BC1ADD" w:rsidRDefault="00BC1ADD">
                          <w:pPr>
                            <w:pStyle w:val="BodyText"/>
                            <w:spacing w:before="10"/>
                            <w:ind w:left="60"/>
                          </w:pPr>
                          <w:r>
                            <w:fldChar w:fldCharType="begin"/>
                          </w:r>
                          <w:r>
                            <w:instrText xml:space="preserve"> PAGE </w:instrText>
                          </w:r>
                          <w:r>
                            <w:fldChar w:fldCharType="separate"/>
                          </w:r>
                          <w:r w:rsidR="001B3CC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D0DD9" id="_x0000_t202" coordsize="21600,21600" o:spt="202" path="m,l,21600r21600,l21600,xe">
              <v:stroke joinstyle="miter"/>
              <v:path gradientshapeok="t" o:connecttype="rect"/>
            </v:shapetype>
            <v:shape id="Text Box 2" o:spid="_x0000_s1026" type="#_x0000_t202" style="position:absolute;margin-left:297.05pt;margin-top:705.6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" filled="f" stroked="f">
              <v:textbox inset="0,0,0,0">
                <w:txbxContent>
                  <w:p w14:paraId="745915CC" w14:textId="184F492F" w:rsidR="00BC1ADD" w:rsidRDefault="00BC1ADD">
                    <w:pPr>
                      <w:pStyle w:val="BodyText"/>
                      <w:spacing w:before="10"/>
                      <w:ind w:left="60"/>
                    </w:pPr>
                    <w:r>
                      <w:fldChar w:fldCharType="begin"/>
                    </w:r>
                    <w:r>
                      <w:instrText xml:space="preserve"> PAGE </w:instrText>
                    </w:r>
                    <w:r>
                      <w:fldChar w:fldCharType="separate"/>
                    </w:r>
                    <w:r w:rsidR="001B3CCF">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7A87" w14:textId="77777777" w:rsidR="00184347" w:rsidRDefault="0018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36A9" w14:textId="77777777" w:rsidR="00DE79A9" w:rsidRDefault="00DE79A9">
      <w:pPr>
        <w:spacing w:after="0" w:line="240" w:lineRule="auto"/>
      </w:pPr>
      <w:r>
        <w:separator/>
      </w:r>
    </w:p>
  </w:footnote>
  <w:footnote w:type="continuationSeparator" w:id="0">
    <w:p w14:paraId="7DE5D4EE" w14:textId="77777777" w:rsidR="00DE79A9" w:rsidRDefault="00DE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4024" w14:textId="494D0D92" w:rsidR="00184347" w:rsidRDefault="00184347">
    <w:pPr>
      <w:pStyle w:val="Header"/>
    </w:pPr>
    <w:r>
      <w:rPr>
        <w:noProof/>
      </w:rPr>
      <w:pict w14:anchorId="617E6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87938" o:spid="_x0000_s1026"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6A66" w14:textId="3B8AE228" w:rsidR="00184347" w:rsidRDefault="00184347">
    <w:pPr>
      <w:pStyle w:val="Header"/>
    </w:pPr>
    <w:r>
      <w:rPr>
        <w:noProof/>
      </w:rPr>
      <w:pict w14:anchorId="54EA4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87939" o:spid="_x0000_s1027"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AC78" w14:textId="4C6A76AB" w:rsidR="00184347" w:rsidRDefault="00184347">
    <w:pPr>
      <w:pStyle w:val="Header"/>
    </w:pPr>
    <w:r>
      <w:rPr>
        <w:noProof/>
      </w:rPr>
      <w:pict w14:anchorId="12EDE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887937" o:spid="_x0000_s1025"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36C457"/>
    <w:multiLevelType w:val="hybridMultilevel"/>
    <w:tmpl w:val="023875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3B0774"/>
    <w:multiLevelType w:val="hybridMultilevel"/>
    <w:tmpl w:val="019923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E262E9"/>
    <w:multiLevelType w:val="hybridMultilevel"/>
    <w:tmpl w:val="BD641AF0"/>
    <w:lvl w:ilvl="0" w:tplc="DF16067E">
      <w:numFmt w:val="bullet"/>
      <w:lvlText w:val=""/>
      <w:lvlJc w:val="left"/>
      <w:pPr>
        <w:ind w:left="405" w:hanging="264"/>
      </w:pPr>
      <w:rPr>
        <w:rFonts w:ascii="Symbol" w:eastAsia="Symbol" w:hAnsi="Symbol" w:cs="Symbol" w:hint="default"/>
        <w:w w:val="101"/>
        <w:sz w:val="19"/>
        <w:szCs w:val="19"/>
        <w:lang w:val="en-US" w:eastAsia="en-US" w:bidi="en-US"/>
      </w:rPr>
    </w:lvl>
    <w:lvl w:ilvl="1" w:tplc="6A409CC4">
      <w:numFmt w:val="bullet"/>
      <w:lvlText w:val="•"/>
      <w:lvlJc w:val="left"/>
      <w:pPr>
        <w:ind w:left="694" w:hanging="264"/>
      </w:pPr>
      <w:rPr>
        <w:rFonts w:hint="default"/>
        <w:lang w:val="en-US" w:eastAsia="en-US" w:bidi="en-US"/>
      </w:rPr>
    </w:lvl>
    <w:lvl w:ilvl="2" w:tplc="722EEBA6">
      <w:numFmt w:val="bullet"/>
      <w:lvlText w:val="•"/>
      <w:lvlJc w:val="left"/>
      <w:pPr>
        <w:ind w:left="989" w:hanging="264"/>
      </w:pPr>
      <w:rPr>
        <w:rFonts w:hint="default"/>
        <w:lang w:val="en-US" w:eastAsia="en-US" w:bidi="en-US"/>
      </w:rPr>
    </w:lvl>
    <w:lvl w:ilvl="3" w:tplc="03287D52">
      <w:numFmt w:val="bullet"/>
      <w:lvlText w:val="•"/>
      <w:lvlJc w:val="left"/>
      <w:pPr>
        <w:ind w:left="1283" w:hanging="264"/>
      </w:pPr>
      <w:rPr>
        <w:rFonts w:hint="default"/>
        <w:lang w:val="en-US" w:eastAsia="en-US" w:bidi="en-US"/>
      </w:rPr>
    </w:lvl>
    <w:lvl w:ilvl="4" w:tplc="42029224">
      <w:numFmt w:val="bullet"/>
      <w:lvlText w:val="•"/>
      <w:lvlJc w:val="left"/>
      <w:pPr>
        <w:ind w:left="1578" w:hanging="264"/>
      </w:pPr>
      <w:rPr>
        <w:rFonts w:hint="default"/>
        <w:lang w:val="en-US" w:eastAsia="en-US" w:bidi="en-US"/>
      </w:rPr>
    </w:lvl>
    <w:lvl w:ilvl="5" w:tplc="0EA2ADD4">
      <w:numFmt w:val="bullet"/>
      <w:lvlText w:val="•"/>
      <w:lvlJc w:val="left"/>
      <w:pPr>
        <w:ind w:left="1872" w:hanging="264"/>
      </w:pPr>
      <w:rPr>
        <w:rFonts w:hint="default"/>
        <w:lang w:val="en-US" w:eastAsia="en-US" w:bidi="en-US"/>
      </w:rPr>
    </w:lvl>
    <w:lvl w:ilvl="6" w:tplc="35D0BEC2">
      <w:numFmt w:val="bullet"/>
      <w:lvlText w:val="•"/>
      <w:lvlJc w:val="left"/>
      <w:pPr>
        <w:ind w:left="2167" w:hanging="264"/>
      </w:pPr>
      <w:rPr>
        <w:rFonts w:hint="default"/>
        <w:lang w:val="en-US" w:eastAsia="en-US" w:bidi="en-US"/>
      </w:rPr>
    </w:lvl>
    <w:lvl w:ilvl="7" w:tplc="94564F9A">
      <w:numFmt w:val="bullet"/>
      <w:lvlText w:val="•"/>
      <w:lvlJc w:val="left"/>
      <w:pPr>
        <w:ind w:left="2461" w:hanging="264"/>
      </w:pPr>
      <w:rPr>
        <w:rFonts w:hint="default"/>
        <w:lang w:val="en-US" w:eastAsia="en-US" w:bidi="en-US"/>
      </w:rPr>
    </w:lvl>
    <w:lvl w:ilvl="8" w:tplc="4096069C">
      <w:numFmt w:val="bullet"/>
      <w:lvlText w:val="•"/>
      <w:lvlJc w:val="left"/>
      <w:pPr>
        <w:ind w:left="2756" w:hanging="264"/>
      </w:pPr>
      <w:rPr>
        <w:rFonts w:hint="default"/>
        <w:lang w:val="en-US" w:eastAsia="en-US" w:bidi="en-US"/>
      </w:rPr>
    </w:lvl>
  </w:abstractNum>
  <w:abstractNum w:abstractNumId="3" w15:restartNumberingAfterBreak="0">
    <w:nsid w:val="202729AD"/>
    <w:multiLevelType w:val="hybridMultilevel"/>
    <w:tmpl w:val="08AAAC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25F78"/>
    <w:multiLevelType w:val="hybridMultilevel"/>
    <w:tmpl w:val="7A22D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5462C"/>
    <w:multiLevelType w:val="hybridMultilevel"/>
    <w:tmpl w:val="B4C6A5CA"/>
    <w:lvl w:ilvl="0" w:tplc="0409001B">
      <w:start w:val="1"/>
      <w:numFmt w:val="low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6BA5C4D"/>
    <w:multiLevelType w:val="hybridMultilevel"/>
    <w:tmpl w:val="0D0CD7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A7210CC"/>
    <w:multiLevelType w:val="hybridMultilevel"/>
    <w:tmpl w:val="0E425180"/>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3D1D68"/>
    <w:multiLevelType w:val="hybridMultilevel"/>
    <w:tmpl w:val="9C3E7B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06F10"/>
    <w:multiLevelType w:val="hybridMultilevel"/>
    <w:tmpl w:val="970B84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7092BEB"/>
    <w:multiLevelType w:val="hybridMultilevel"/>
    <w:tmpl w:val="328EE4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C4166"/>
    <w:multiLevelType w:val="hybridMultilevel"/>
    <w:tmpl w:val="F8F2EC70"/>
    <w:lvl w:ilvl="0" w:tplc="4B22AFE8">
      <w:start w:val="1"/>
      <w:numFmt w:val="decimal"/>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2" w15:restartNumberingAfterBreak="0">
    <w:nsid w:val="7ACE0C6D"/>
    <w:multiLevelType w:val="multilevel"/>
    <w:tmpl w:val="EC9257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2577942">
    <w:abstractNumId w:val="5"/>
  </w:num>
  <w:num w:numId="2" w16cid:durableId="1346323245">
    <w:abstractNumId w:val="8"/>
  </w:num>
  <w:num w:numId="3" w16cid:durableId="2133549932">
    <w:abstractNumId w:val="6"/>
  </w:num>
  <w:num w:numId="4" w16cid:durableId="1405376336">
    <w:abstractNumId w:val="2"/>
  </w:num>
  <w:num w:numId="5" w16cid:durableId="1351832765">
    <w:abstractNumId w:val="4"/>
  </w:num>
  <w:num w:numId="6" w16cid:durableId="1787457139">
    <w:abstractNumId w:val="9"/>
  </w:num>
  <w:num w:numId="7" w16cid:durableId="90899941">
    <w:abstractNumId w:val="1"/>
  </w:num>
  <w:num w:numId="8" w16cid:durableId="917711863">
    <w:abstractNumId w:val="0"/>
  </w:num>
  <w:num w:numId="9" w16cid:durableId="1251962106">
    <w:abstractNumId w:val="3"/>
  </w:num>
  <w:num w:numId="10" w16cid:durableId="1671250889">
    <w:abstractNumId w:val="10"/>
  </w:num>
  <w:num w:numId="11" w16cid:durableId="1851606918">
    <w:abstractNumId w:val="11"/>
  </w:num>
  <w:num w:numId="12" w16cid:durableId="1833452551">
    <w:abstractNumId w:val="12"/>
  </w:num>
  <w:num w:numId="13" w16cid:durableId="735859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E8"/>
    <w:rsid w:val="0000061A"/>
    <w:rsid w:val="000057F7"/>
    <w:rsid w:val="00010B22"/>
    <w:rsid w:val="00021F17"/>
    <w:rsid w:val="00023C83"/>
    <w:rsid w:val="00025CBE"/>
    <w:rsid w:val="000270B6"/>
    <w:rsid w:val="00031345"/>
    <w:rsid w:val="00041560"/>
    <w:rsid w:val="00056A4F"/>
    <w:rsid w:val="00057047"/>
    <w:rsid w:val="00064346"/>
    <w:rsid w:val="000647F5"/>
    <w:rsid w:val="00067C45"/>
    <w:rsid w:val="000731D2"/>
    <w:rsid w:val="00074EBE"/>
    <w:rsid w:val="00081584"/>
    <w:rsid w:val="00081FF9"/>
    <w:rsid w:val="000A376A"/>
    <w:rsid w:val="000B024E"/>
    <w:rsid w:val="000C2658"/>
    <w:rsid w:val="000C7260"/>
    <w:rsid w:val="000D61C3"/>
    <w:rsid w:val="000E339A"/>
    <w:rsid w:val="000F0B82"/>
    <w:rsid w:val="00102547"/>
    <w:rsid w:val="00103462"/>
    <w:rsid w:val="00103827"/>
    <w:rsid w:val="00127EF3"/>
    <w:rsid w:val="001439EC"/>
    <w:rsid w:val="00163729"/>
    <w:rsid w:val="00164E71"/>
    <w:rsid w:val="00171A53"/>
    <w:rsid w:val="00181DDA"/>
    <w:rsid w:val="00184347"/>
    <w:rsid w:val="0018732D"/>
    <w:rsid w:val="001A4CA8"/>
    <w:rsid w:val="001B3CCF"/>
    <w:rsid w:val="001D2984"/>
    <w:rsid w:val="001D3604"/>
    <w:rsid w:val="001D78C7"/>
    <w:rsid w:val="001E6E05"/>
    <w:rsid w:val="001F16AE"/>
    <w:rsid w:val="002125B9"/>
    <w:rsid w:val="00214437"/>
    <w:rsid w:val="0022090B"/>
    <w:rsid w:val="00235EAC"/>
    <w:rsid w:val="002375BD"/>
    <w:rsid w:val="00251E3E"/>
    <w:rsid w:val="00256D0F"/>
    <w:rsid w:val="00263002"/>
    <w:rsid w:val="00263D42"/>
    <w:rsid w:val="00266B35"/>
    <w:rsid w:val="00271D68"/>
    <w:rsid w:val="00284306"/>
    <w:rsid w:val="002A7552"/>
    <w:rsid w:val="002B2EE7"/>
    <w:rsid w:val="002B50EF"/>
    <w:rsid w:val="002C18EA"/>
    <w:rsid w:val="002C3E1F"/>
    <w:rsid w:val="002C74CA"/>
    <w:rsid w:val="002D5744"/>
    <w:rsid w:val="002D64C6"/>
    <w:rsid w:val="0030511E"/>
    <w:rsid w:val="003162DD"/>
    <w:rsid w:val="00317AED"/>
    <w:rsid w:val="00317CF0"/>
    <w:rsid w:val="00330E4A"/>
    <w:rsid w:val="0033426D"/>
    <w:rsid w:val="00356888"/>
    <w:rsid w:val="00362211"/>
    <w:rsid w:val="00364BE7"/>
    <w:rsid w:val="00371F6F"/>
    <w:rsid w:val="00376A4F"/>
    <w:rsid w:val="003809D5"/>
    <w:rsid w:val="00383F0C"/>
    <w:rsid w:val="003909F6"/>
    <w:rsid w:val="003A12BA"/>
    <w:rsid w:val="003B23F2"/>
    <w:rsid w:val="003B4087"/>
    <w:rsid w:val="003C1C87"/>
    <w:rsid w:val="003D633B"/>
    <w:rsid w:val="003D63E7"/>
    <w:rsid w:val="003E4221"/>
    <w:rsid w:val="003E5CA7"/>
    <w:rsid w:val="003F796C"/>
    <w:rsid w:val="00405973"/>
    <w:rsid w:val="0041425F"/>
    <w:rsid w:val="0041553E"/>
    <w:rsid w:val="00422ABA"/>
    <w:rsid w:val="00426656"/>
    <w:rsid w:val="00426CEA"/>
    <w:rsid w:val="00427C03"/>
    <w:rsid w:val="00442372"/>
    <w:rsid w:val="0045544D"/>
    <w:rsid w:val="00461E14"/>
    <w:rsid w:val="00474F61"/>
    <w:rsid w:val="004931A0"/>
    <w:rsid w:val="004932D9"/>
    <w:rsid w:val="004A2ABB"/>
    <w:rsid w:val="004A5995"/>
    <w:rsid w:val="004A5C22"/>
    <w:rsid w:val="004B3C23"/>
    <w:rsid w:val="004C1B87"/>
    <w:rsid w:val="004C1E5F"/>
    <w:rsid w:val="004C74A3"/>
    <w:rsid w:val="004D5423"/>
    <w:rsid w:val="004E158F"/>
    <w:rsid w:val="004F2144"/>
    <w:rsid w:val="0050159F"/>
    <w:rsid w:val="00501936"/>
    <w:rsid w:val="00501DA5"/>
    <w:rsid w:val="0051009C"/>
    <w:rsid w:val="00513DA6"/>
    <w:rsid w:val="0052238E"/>
    <w:rsid w:val="005235A7"/>
    <w:rsid w:val="0053006A"/>
    <w:rsid w:val="00530D30"/>
    <w:rsid w:val="005323AE"/>
    <w:rsid w:val="00532AB7"/>
    <w:rsid w:val="00533E3D"/>
    <w:rsid w:val="00543ACF"/>
    <w:rsid w:val="00546342"/>
    <w:rsid w:val="00556824"/>
    <w:rsid w:val="005630E7"/>
    <w:rsid w:val="00567006"/>
    <w:rsid w:val="00570987"/>
    <w:rsid w:val="00574604"/>
    <w:rsid w:val="00580ED0"/>
    <w:rsid w:val="00587853"/>
    <w:rsid w:val="00590BE0"/>
    <w:rsid w:val="005A062F"/>
    <w:rsid w:val="005A60B7"/>
    <w:rsid w:val="005C273B"/>
    <w:rsid w:val="005C44BC"/>
    <w:rsid w:val="005C747A"/>
    <w:rsid w:val="005E062F"/>
    <w:rsid w:val="00602868"/>
    <w:rsid w:val="00605465"/>
    <w:rsid w:val="00611D36"/>
    <w:rsid w:val="00612D56"/>
    <w:rsid w:val="00613610"/>
    <w:rsid w:val="006237F9"/>
    <w:rsid w:val="00633B2E"/>
    <w:rsid w:val="0064564B"/>
    <w:rsid w:val="006456B5"/>
    <w:rsid w:val="00645EBF"/>
    <w:rsid w:val="00650D8C"/>
    <w:rsid w:val="006527F7"/>
    <w:rsid w:val="00663D57"/>
    <w:rsid w:val="006817BA"/>
    <w:rsid w:val="00693774"/>
    <w:rsid w:val="006A5AE2"/>
    <w:rsid w:val="006B30BF"/>
    <w:rsid w:val="006C4F33"/>
    <w:rsid w:val="006C622E"/>
    <w:rsid w:val="006E446F"/>
    <w:rsid w:val="006E4889"/>
    <w:rsid w:val="006E64B4"/>
    <w:rsid w:val="006F4DBB"/>
    <w:rsid w:val="00705722"/>
    <w:rsid w:val="00715842"/>
    <w:rsid w:val="00721972"/>
    <w:rsid w:val="00722FF6"/>
    <w:rsid w:val="00724D52"/>
    <w:rsid w:val="007253F4"/>
    <w:rsid w:val="00726211"/>
    <w:rsid w:val="0072720D"/>
    <w:rsid w:val="007430E3"/>
    <w:rsid w:val="00763E3A"/>
    <w:rsid w:val="00776042"/>
    <w:rsid w:val="00787C2F"/>
    <w:rsid w:val="00790D71"/>
    <w:rsid w:val="00792AD3"/>
    <w:rsid w:val="00797D05"/>
    <w:rsid w:val="007A1341"/>
    <w:rsid w:val="007B0275"/>
    <w:rsid w:val="007C04DD"/>
    <w:rsid w:val="007C0E3B"/>
    <w:rsid w:val="007C7EFC"/>
    <w:rsid w:val="007F1984"/>
    <w:rsid w:val="007F2492"/>
    <w:rsid w:val="008012F8"/>
    <w:rsid w:val="00807F04"/>
    <w:rsid w:val="00811858"/>
    <w:rsid w:val="00811C30"/>
    <w:rsid w:val="0081385D"/>
    <w:rsid w:val="00821AD2"/>
    <w:rsid w:val="00827551"/>
    <w:rsid w:val="00830BA4"/>
    <w:rsid w:val="00834268"/>
    <w:rsid w:val="00843CF6"/>
    <w:rsid w:val="0084483B"/>
    <w:rsid w:val="00846A76"/>
    <w:rsid w:val="0085332E"/>
    <w:rsid w:val="00856B83"/>
    <w:rsid w:val="0087140D"/>
    <w:rsid w:val="0087197E"/>
    <w:rsid w:val="008738C7"/>
    <w:rsid w:val="00880B1B"/>
    <w:rsid w:val="00882598"/>
    <w:rsid w:val="00885C9C"/>
    <w:rsid w:val="00886240"/>
    <w:rsid w:val="00891EC6"/>
    <w:rsid w:val="00892E1A"/>
    <w:rsid w:val="008A22A3"/>
    <w:rsid w:val="008A39BE"/>
    <w:rsid w:val="008A4C8B"/>
    <w:rsid w:val="008B2A2E"/>
    <w:rsid w:val="008C36EB"/>
    <w:rsid w:val="008C3F3F"/>
    <w:rsid w:val="008E3180"/>
    <w:rsid w:val="008E6405"/>
    <w:rsid w:val="008E6F3F"/>
    <w:rsid w:val="008F0000"/>
    <w:rsid w:val="008F009C"/>
    <w:rsid w:val="008F432F"/>
    <w:rsid w:val="008F7FAC"/>
    <w:rsid w:val="00901287"/>
    <w:rsid w:val="00904413"/>
    <w:rsid w:val="00914CBB"/>
    <w:rsid w:val="00917B8D"/>
    <w:rsid w:val="00920105"/>
    <w:rsid w:val="0092439F"/>
    <w:rsid w:val="0093056E"/>
    <w:rsid w:val="00936DAA"/>
    <w:rsid w:val="00950167"/>
    <w:rsid w:val="00950449"/>
    <w:rsid w:val="009526C1"/>
    <w:rsid w:val="00953886"/>
    <w:rsid w:val="009543EA"/>
    <w:rsid w:val="00970294"/>
    <w:rsid w:val="009867CB"/>
    <w:rsid w:val="009877ED"/>
    <w:rsid w:val="009A0056"/>
    <w:rsid w:val="009A7BE8"/>
    <w:rsid w:val="009B711D"/>
    <w:rsid w:val="009C57EE"/>
    <w:rsid w:val="009D1189"/>
    <w:rsid w:val="009E3787"/>
    <w:rsid w:val="009E4447"/>
    <w:rsid w:val="009E4A1F"/>
    <w:rsid w:val="009E5FE4"/>
    <w:rsid w:val="009F2A62"/>
    <w:rsid w:val="009F798E"/>
    <w:rsid w:val="00A20C45"/>
    <w:rsid w:val="00A21354"/>
    <w:rsid w:val="00A2692C"/>
    <w:rsid w:val="00A26B29"/>
    <w:rsid w:val="00A326EB"/>
    <w:rsid w:val="00A36735"/>
    <w:rsid w:val="00A51A96"/>
    <w:rsid w:val="00A6003D"/>
    <w:rsid w:val="00A71DFC"/>
    <w:rsid w:val="00A75981"/>
    <w:rsid w:val="00A80167"/>
    <w:rsid w:val="00A83B7B"/>
    <w:rsid w:val="00A84F06"/>
    <w:rsid w:val="00A912CE"/>
    <w:rsid w:val="00A91A11"/>
    <w:rsid w:val="00A930D0"/>
    <w:rsid w:val="00AA2565"/>
    <w:rsid w:val="00AA5D87"/>
    <w:rsid w:val="00AB2C6E"/>
    <w:rsid w:val="00AB5A04"/>
    <w:rsid w:val="00AC48E3"/>
    <w:rsid w:val="00AC71EC"/>
    <w:rsid w:val="00AD5B3E"/>
    <w:rsid w:val="00AE3CB9"/>
    <w:rsid w:val="00B006E4"/>
    <w:rsid w:val="00B21382"/>
    <w:rsid w:val="00B2730D"/>
    <w:rsid w:val="00B405D7"/>
    <w:rsid w:val="00B45891"/>
    <w:rsid w:val="00B67082"/>
    <w:rsid w:val="00B67377"/>
    <w:rsid w:val="00B7454B"/>
    <w:rsid w:val="00B77DCB"/>
    <w:rsid w:val="00B864E0"/>
    <w:rsid w:val="00B8658C"/>
    <w:rsid w:val="00B975B2"/>
    <w:rsid w:val="00BB3776"/>
    <w:rsid w:val="00BC1ADD"/>
    <w:rsid w:val="00BC6458"/>
    <w:rsid w:val="00BD61BB"/>
    <w:rsid w:val="00BF0AB1"/>
    <w:rsid w:val="00BF7F5B"/>
    <w:rsid w:val="00C12B1D"/>
    <w:rsid w:val="00C176E1"/>
    <w:rsid w:val="00C31D32"/>
    <w:rsid w:val="00C33FEA"/>
    <w:rsid w:val="00C62AE7"/>
    <w:rsid w:val="00C72D8B"/>
    <w:rsid w:val="00C76FE0"/>
    <w:rsid w:val="00C77659"/>
    <w:rsid w:val="00C81AA5"/>
    <w:rsid w:val="00C857AA"/>
    <w:rsid w:val="00CA030E"/>
    <w:rsid w:val="00CA1023"/>
    <w:rsid w:val="00CB60C5"/>
    <w:rsid w:val="00CB69B2"/>
    <w:rsid w:val="00CD1C7F"/>
    <w:rsid w:val="00CE0821"/>
    <w:rsid w:val="00D04D80"/>
    <w:rsid w:val="00D05939"/>
    <w:rsid w:val="00D069F1"/>
    <w:rsid w:val="00D24337"/>
    <w:rsid w:val="00D46ED3"/>
    <w:rsid w:val="00D70F56"/>
    <w:rsid w:val="00D77620"/>
    <w:rsid w:val="00D80F04"/>
    <w:rsid w:val="00D9764C"/>
    <w:rsid w:val="00DC1E29"/>
    <w:rsid w:val="00DC4839"/>
    <w:rsid w:val="00DD5C4C"/>
    <w:rsid w:val="00DD6975"/>
    <w:rsid w:val="00DE68B9"/>
    <w:rsid w:val="00DE7716"/>
    <w:rsid w:val="00DE79A9"/>
    <w:rsid w:val="00DF27EB"/>
    <w:rsid w:val="00DF38CC"/>
    <w:rsid w:val="00DF6931"/>
    <w:rsid w:val="00E00FA9"/>
    <w:rsid w:val="00E069DC"/>
    <w:rsid w:val="00E07039"/>
    <w:rsid w:val="00E07E5B"/>
    <w:rsid w:val="00E12808"/>
    <w:rsid w:val="00E15C4C"/>
    <w:rsid w:val="00E20C8C"/>
    <w:rsid w:val="00E43B9B"/>
    <w:rsid w:val="00E56AA4"/>
    <w:rsid w:val="00E66D38"/>
    <w:rsid w:val="00E83DB7"/>
    <w:rsid w:val="00E85108"/>
    <w:rsid w:val="00E96015"/>
    <w:rsid w:val="00EA09AF"/>
    <w:rsid w:val="00EA4F24"/>
    <w:rsid w:val="00EB40FB"/>
    <w:rsid w:val="00EB6354"/>
    <w:rsid w:val="00EB6F6A"/>
    <w:rsid w:val="00EC0B3C"/>
    <w:rsid w:val="00EC69A0"/>
    <w:rsid w:val="00ED44B8"/>
    <w:rsid w:val="00ED59D1"/>
    <w:rsid w:val="00EE0775"/>
    <w:rsid w:val="00EE19DB"/>
    <w:rsid w:val="00EE2EB8"/>
    <w:rsid w:val="00EE6CC5"/>
    <w:rsid w:val="00EE6F65"/>
    <w:rsid w:val="00EE7921"/>
    <w:rsid w:val="00EF753A"/>
    <w:rsid w:val="00F00078"/>
    <w:rsid w:val="00F00A7D"/>
    <w:rsid w:val="00F0406D"/>
    <w:rsid w:val="00F0617B"/>
    <w:rsid w:val="00F06BFF"/>
    <w:rsid w:val="00F21055"/>
    <w:rsid w:val="00F2532E"/>
    <w:rsid w:val="00F439E0"/>
    <w:rsid w:val="00F45244"/>
    <w:rsid w:val="00F47279"/>
    <w:rsid w:val="00F544A1"/>
    <w:rsid w:val="00F552F2"/>
    <w:rsid w:val="00F70F16"/>
    <w:rsid w:val="00F74A57"/>
    <w:rsid w:val="00FA40CF"/>
    <w:rsid w:val="00FB5663"/>
    <w:rsid w:val="00FE24B5"/>
    <w:rsid w:val="00FE5AE2"/>
    <w:rsid w:val="00FE6C74"/>
    <w:rsid w:val="00FF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AA1A"/>
  <w15:chartTrackingRefBased/>
  <w15:docId w15:val="{131CDE83-0FF7-4687-B159-A463DC72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9A7BE8"/>
    <w:pPr>
      <w:spacing w:after="200" w:line="276" w:lineRule="auto"/>
    </w:pPr>
    <w:rPr>
      <w:lang w:val="en-GB"/>
    </w:rPr>
  </w:style>
  <w:style w:type="paragraph" w:styleId="Heading1">
    <w:name w:val="heading 1"/>
    <w:basedOn w:val="Normal"/>
    <w:next w:val="Normal"/>
    <w:link w:val="Heading1Char"/>
    <w:uiPriority w:val="9"/>
    <w:qFormat/>
    <w:rsid w:val="009A7BE8"/>
    <w:pPr>
      <w:keepNext/>
      <w:keepLines/>
      <w:spacing w:before="240" w:after="0" w:line="360" w:lineRule="auto"/>
      <w:jc w:val="center"/>
      <w:outlineLvl w:val="0"/>
    </w:pPr>
    <w:rPr>
      <w:rFonts w:ascii="Times New Roman" w:eastAsiaTheme="majorEastAsia" w:hAnsi="Times New Roman" w:cs="Times New Roman"/>
      <w:b/>
      <w:bCs/>
      <w:sz w:val="24"/>
      <w:szCs w:val="24"/>
      <w:lang w:eastAsia="en-GB"/>
    </w:rPr>
  </w:style>
  <w:style w:type="paragraph" w:styleId="Heading2">
    <w:name w:val="heading 2"/>
    <w:basedOn w:val="Normal"/>
    <w:next w:val="Normal"/>
    <w:link w:val="Heading2Char"/>
    <w:uiPriority w:val="9"/>
    <w:unhideWhenUsed/>
    <w:qFormat/>
    <w:rsid w:val="009A7BE8"/>
    <w:pPr>
      <w:keepNext/>
      <w:keepLines/>
      <w:spacing w:before="200" w:after="240" w:line="360" w:lineRule="auto"/>
      <w:outlineLvl w:val="1"/>
    </w:pPr>
    <w:rPr>
      <w:rFonts w:ascii="Times New Roman" w:eastAsiaTheme="majorEastAsia" w:hAnsi="Times New Roman" w:cstheme="majorBidi"/>
      <w:b/>
      <w:bCs/>
      <w:sz w:val="24"/>
      <w:szCs w:val="26"/>
      <w:lang w:eastAsia="en-GB"/>
    </w:rPr>
  </w:style>
  <w:style w:type="paragraph" w:styleId="Heading3">
    <w:name w:val="heading 3"/>
    <w:basedOn w:val="Normal"/>
    <w:next w:val="Normal"/>
    <w:link w:val="Heading3Char"/>
    <w:uiPriority w:val="9"/>
    <w:unhideWhenUsed/>
    <w:qFormat/>
    <w:rsid w:val="009A7BE8"/>
    <w:pPr>
      <w:keepNext/>
      <w:keepLines/>
      <w:spacing w:before="200" w:after="240" w:line="360" w:lineRule="auto"/>
      <w:outlineLvl w:val="2"/>
    </w:pPr>
    <w:rPr>
      <w:rFonts w:ascii="Times New Roman" w:eastAsiaTheme="majorEastAsia" w:hAnsi="Times New Roman" w:cs="Times New Roman"/>
      <w:b/>
      <w:bCs/>
      <w:sz w:val="24"/>
      <w:szCs w:val="24"/>
      <w:shd w:val="clear" w:color="auto" w:fill="FFFFFF"/>
      <w:lang w:val="en-US"/>
    </w:rPr>
  </w:style>
  <w:style w:type="paragraph" w:styleId="Heading4">
    <w:name w:val="heading 4"/>
    <w:basedOn w:val="Normal"/>
    <w:next w:val="Normal"/>
    <w:link w:val="Heading4Char"/>
    <w:uiPriority w:val="9"/>
    <w:unhideWhenUsed/>
    <w:qFormat/>
    <w:rsid w:val="009A7BE8"/>
    <w:pPr>
      <w:keepNext/>
      <w:keepLines/>
      <w:spacing w:before="200" w:after="0" w:line="360" w:lineRule="auto"/>
      <w:outlineLvl w:val="3"/>
    </w:pPr>
    <w:rPr>
      <w:rFonts w:asciiTheme="majorHAnsi" w:eastAsiaTheme="majorEastAsia" w:hAnsiTheme="majorHAnsi" w:cstheme="majorBidi"/>
      <w:b/>
      <w:bCs/>
      <w:i/>
      <w:iCs/>
      <w:color w:val="5B9BD5" w:themeColor="accent1"/>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BE8"/>
    <w:rPr>
      <w:rFonts w:ascii="Times New Roman" w:eastAsiaTheme="majorEastAsia" w:hAnsi="Times New Roman" w:cs="Times New Roman"/>
      <w:b/>
      <w:bCs/>
      <w:sz w:val="24"/>
      <w:szCs w:val="24"/>
      <w:lang w:val="en-GB" w:eastAsia="en-GB"/>
    </w:rPr>
  </w:style>
  <w:style w:type="character" w:customStyle="1" w:styleId="Heading2Char">
    <w:name w:val="Heading 2 Char"/>
    <w:basedOn w:val="DefaultParagraphFont"/>
    <w:link w:val="Heading2"/>
    <w:uiPriority w:val="9"/>
    <w:rsid w:val="009A7BE8"/>
    <w:rPr>
      <w:rFonts w:ascii="Times New Roman" w:eastAsiaTheme="majorEastAsia" w:hAnsi="Times New Roman" w:cstheme="majorBidi"/>
      <w:b/>
      <w:bCs/>
      <w:sz w:val="24"/>
      <w:szCs w:val="26"/>
      <w:lang w:val="en-GB" w:eastAsia="en-GB"/>
    </w:rPr>
  </w:style>
  <w:style w:type="character" w:customStyle="1" w:styleId="Heading3Char">
    <w:name w:val="Heading 3 Char"/>
    <w:basedOn w:val="DefaultParagraphFont"/>
    <w:link w:val="Heading3"/>
    <w:uiPriority w:val="9"/>
    <w:rsid w:val="009A7BE8"/>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9A7BE8"/>
    <w:rPr>
      <w:rFonts w:asciiTheme="majorHAnsi" w:eastAsiaTheme="majorEastAsia" w:hAnsiTheme="majorHAnsi" w:cstheme="majorBidi"/>
      <w:b/>
      <w:bCs/>
      <w:i/>
      <w:iCs/>
      <w:color w:val="5B9BD5" w:themeColor="accent1"/>
      <w:sz w:val="24"/>
      <w:szCs w:val="24"/>
      <w:lang w:val="en-GB" w:eastAsia="en-GB"/>
    </w:rPr>
  </w:style>
  <w:style w:type="paragraph" w:styleId="Caption">
    <w:name w:val="caption"/>
    <w:basedOn w:val="Normal"/>
    <w:next w:val="Normal"/>
    <w:uiPriority w:val="35"/>
    <w:unhideWhenUsed/>
    <w:qFormat/>
    <w:rsid w:val="009A7BE8"/>
    <w:pPr>
      <w:spacing w:before="240" w:line="240" w:lineRule="auto"/>
    </w:pPr>
    <w:rPr>
      <w:rFonts w:ascii="Times New Roman" w:hAnsi="Times New Roman"/>
      <w:b/>
      <w:bCs/>
      <w:color w:val="5B9BD5" w:themeColor="accent1"/>
      <w:sz w:val="18"/>
      <w:szCs w:val="18"/>
      <w:lang w:val="en-US"/>
    </w:rPr>
  </w:style>
  <w:style w:type="character" w:styleId="Strong">
    <w:name w:val="Strong"/>
    <w:basedOn w:val="DefaultParagraphFont"/>
    <w:uiPriority w:val="22"/>
    <w:qFormat/>
    <w:rsid w:val="009A7BE8"/>
    <w:rPr>
      <w:b/>
      <w:bCs/>
    </w:rPr>
  </w:style>
  <w:style w:type="character" w:styleId="Emphasis">
    <w:name w:val="Emphasis"/>
    <w:basedOn w:val="DefaultParagraphFont"/>
    <w:uiPriority w:val="20"/>
    <w:qFormat/>
    <w:rsid w:val="009A7BE8"/>
    <w:rPr>
      <w:i/>
      <w:iCs/>
    </w:rPr>
  </w:style>
  <w:style w:type="paragraph" w:styleId="NoSpacing">
    <w:name w:val="No Spacing"/>
    <w:link w:val="NoSpacingChar"/>
    <w:uiPriority w:val="99"/>
    <w:qFormat/>
    <w:rsid w:val="009A7BE8"/>
    <w:pPr>
      <w:spacing w:before="240" w:after="0" w:line="240" w:lineRule="auto"/>
    </w:pPr>
    <w:rPr>
      <w:rFonts w:ascii="Times New Roman" w:hAnsi="Times New Roman"/>
      <w:sz w:val="24"/>
      <w:szCs w:val="24"/>
      <w:lang w:val="en-GB" w:eastAsia="en-GB"/>
    </w:rPr>
  </w:style>
  <w:style w:type="paragraph" w:styleId="ListParagraph">
    <w:name w:val="List Paragraph"/>
    <w:aliases w:val="normal"/>
    <w:basedOn w:val="Normal"/>
    <w:link w:val="ListParagraphChar"/>
    <w:uiPriority w:val="34"/>
    <w:qFormat/>
    <w:rsid w:val="009A7BE8"/>
    <w:pPr>
      <w:spacing w:before="240" w:line="360" w:lineRule="auto"/>
      <w:ind w:left="720"/>
      <w:contextualSpacing/>
    </w:pPr>
    <w:rPr>
      <w:rFonts w:ascii="Times New Roman" w:hAnsi="Times New Roman"/>
      <w:sz w:val="24"/>
      <w:szCs w:val="24"/>
      <w:lang w:val="en-US"/>
    </w:rPr>
  </w:style>
  <w:style w:type="character" w:customStyle="1" w:styleId="ListParagraphChar">
    <w:name w:val="List Paragraph Char"/>
    <w:aliases w:val="normal Char"/>
    <w:basedOn w:val="DefaultParagraphFont"/>
    <w:link w:val="ListParagraph"/>
    <w:uiPriority w:val="34"/>
    <w:rsid w:val="009A7BE8"/>
    <w:rPr>
      <w:rFonts w:ascii="Times New Roman" w:hAnsi="Times New Roman"/>
      <w:sz w:val="24"/>
      <w:szCs w:val="24"/>
    </w:rPr>
  </w:style>
  <w:style w:type="paragraph" w:styleId="Quote">
    <w:name w:val="Quote"/>
    <w:basedOn w:val="Normal"/>
    <w:next w:val="Normal"/>
    <w:link w:val="QuoteChar"/>
    <w:uiPriority w:val="29"/>
    <w:qFormat/>
    <w:rsid w:val="009A7BE8"/>
    <w:pPr>
      <w:spacing w:before="200" w:after="160" w:line="360" w:lineRule="auto"/>
      <w:ind w:left="864" w:right="864"/>
      <w:jc w:val="center"/>
    </w:pPr>
    <w:rPr>
      <w:rFonts w:ascii="Times New Roman" w:hAnsi="Times New Roman"/>
      <w:i/>
      <w:iCs/>
      <w:color w:val="404040" w:themeColor="text1" w:themeTint="BF"/>
      <w:sz w:val="24"/>
      <w:szCs w:val="24"/>
      <w:lang w:val="en-US"/>
    </w:rPr>
  </w:style>
  <w:style w:type="character" w:customStyle="1" w:styleId="QuoteChar">
    <w:name w:val="Quote Char"/>
    <w:basedOn w:val="DefaultParagraphFont"/>
    <w:link w:val="Quote"/>
    <w:uiPriority w:val="29"/>
    <w:rsid w:val="009A7BE8"/>
    <w:rPr>
      <w:rFonts w:ascii="Times New Roman" w:hAnsi="Times New Roman"/>
      <w:i/>
      <w:iCs/>
      <w:color w:val="404040" w:themeColor="text1" w:themeTint="BF"/>
      <w:sz w:val="24"/>
      <w:szCs w:val="24"/>
    </w:rPr>
  </w:style>
  <w:style w:type="paragraph" w:styleId="TOCHeading">
    <w:name w:val="TOC Heading"/>
    <w:basedOn w:val="Heading1"/>
    <w:next w:val="Normal"/>
    <w:uiPriority w:val="39"/>
    <w:unhideWhenUsed/>
    <w:qFormat/>
    <w:rsid w:val="009A7BE8"/>
    <w:pPr>
      <w:outlineLvl w:val="9"/>
    </w:pPr>
    <w:rPr>
      <w:lang w:val="en-US" w:eastAsia="en-US"/>
    </w:rPr>
  </w:style>
  <w:style w:type="paragraph" w:customStyle="1" w:styleId="Default">
    <w:name w:val="Default"/>
    <w:rsid w:val="009A7B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9A7BE8"/>
    <w:rPr>
      <w:color w:val="000000"/>
      <w:sz w:val="21"/>
      <w:szCs w:val="21"/>
    </w:rPr>
  </w:style>
  <w:style w:type="table" w:styleId="TableGrid">
    <w:name w:val="Table Grid"/>
    <w:basedOn w:val="TableNormal"/>
    <w:uiPriority w:val="59"/>
    <w:rsid w:val="009A7BE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A7BE8"/>
    <w:pPr>
      <w:pBdr>
        <w:left w:val="single" w:sz="18" w:space="12" w:color="5B9BD5" w:themeColor="accent1"/>
      </w:pBdr>
      <w:spacing w:before="100" w:beforeAutospacing="1" w:after="80" w:line="300" w:lineRule="auto"/>
      <w:ind w:left="1224" w:right="1224"/>
    </w:pPr>
    <w:rPr>
      <w:rFonts w:asciiTheme="majorHAnsi" w:eastAsiaTheme="majorEastAsia" w:hAnsiTheme="majorHAnsi" w:cstheme="majorBidi"/>
      <w:color w:val="5B9BD5" w:themeColor="accent1"/>
      <w:sz w:val="28"/>
      <w:szCs w:val="28"/>
      <w:lang w:val="en-US"/>
    </w:rPr>
  </w:style>
  <w:style w:type="character" w:customStyle="1" w:styleId="IntenseQuoteChar">
    <w:name w:val="Intense Quote Char"/>
    <w:basedOn w:val="DefaultParagraphFont"/>
    <w:link w:val="IntenseQuote"/>
    <w:uiPriority w:val="30"/>
    <w:rsid w:val="009A7BE8"/>
    <w:rPr>
      <w:rFonts w:asciiTheme="majorHAnsi" w:eastAsiaTheme="majorEastAsia" w:hAnsiTheme="majorHAnsi" w:cstheme="majorBidi"/>
      <w:color w:val="5B9BD5" w:themeColor="accent1"/>
      <w:sz w:val="28"/>
      <w:szCs w:val="28"/>
    </w:rPr>
  </w:style>
  <w:style w:type="character" w:styleId="Hyperlink">
    <w:name w:val="Hyperlink"/>
    <w:basedOn w:val="DefaultParagraphFont"/>
    <w:uiPriority w:val="99"/>
    <w:unhideWhenUsed/>
    <w:rsid w:val="009A7BE8"/>
    <w:rPr>
      <w:color w:val="0563C1" w:themeColor="hyperlink"/>
      <w:u w:val="single"/>
    </w:rPr>
  </w:style>
  <w:style w:type="paragraph" w:customStyle="1" w:styleId="Pa17">
    <w:name w:val="Pa17"/>
    <w:basedOn w:val="Default"/>
    <w:next w:val="Default"/>
    <w:uiPriority w:val="99"/>
    <w:rsid w:val="009A7BE8"/>
    <w:pPr>
      <w:spacing w:line="401" w:lineRule="atLeast"/>
    </w:pPr>
    <w:rPr>
      <w:color w:val="auto"/>
    </w:rPr>
  </w:style>
  <w:style w:type="character" w:customStyle="1" w:styleId="A11">
    <w:name w:val="A11"/>
    <w:uiPriority w:val="99"/>
    <w:rsid w:val="009A7BE8"/>
    <w:rPr>
      <w:b/>
      <w:bCs/>
      <w:color w:val="000000"/>
      <w:sz w:val="16"/>
      <w:szCs w:val="16"/>
    </w:rPr>
  </w:style>
  <w:style w:type="character" w:customStyle="1" w:styleId="italic">
    <w:name w:val="italic"/>
    <w:basedOn w:val="DefaultParagraphFont"/>
    <w:rsid w:val="009A7BE8"/>
  </w:style>
  <w:style w:type="character" w:customStyle="1" w:styleId="A31">
    <w:name w:val="A3+1"/>
    <w:uiPriority w:val="99"/>
    <w:rsid w:val="003F796C"/>
    <w:rPr>
      <w:rFonts w:ascii="DINOT-Light" w:hAnsi="DINOT-Light" w:cs="DINOT-Light" w:hint="default"/>
      <w:color w:val="000000"/>
      <w:sz w:val="36"/>
      <w:szCs w:val="36"/>
    </w:rPr>
  </w:style>
  <w:style w:type="character" w:customStyle="1" w:styleId="A01">
    <w:name w:val="A0+1"/>
    <w:uiPriority w:val="99"/>
    <w:rsid w:val="003F796C"/>
    <w:rPr>
      <w:rFonts w:ascii="DINOT-Bold" w:hAnsi="DINOT-Bold" w:cs="DINOT-Bold" w:hint="default"/>
      <w:b/>
      <w:bCs/>
      <w:color w:val="000000"/>
      <w:sz w:val="28"/>
      <w:szCs w:val="28"/>
    </w:rPr>
  </w:style>
  <w:style w:type="character" w:styleId="CommentReference">
    <w:name w:val="annotation reference"/>
    <w:basedOn w:val="DefaultParagraphFont"/>
    <w:uiPriority w:val="99"/>
    <w:semiHidden/>
    <w:unhideWhenUsed/>
    <w:rsid w:val="00081584"/>
    <w:rPr>
      <w:sz w:val="16"/>
      <w:szCs w:val="16"/>
    </w:rPr>
  </w:style>
  <w:style w:type="paragraph" w:styleId="CommentText">
    <w:name w:val="annotation text"/>
    <w:basedOn w:val="Normal"/>
    <w:link w:val="CommentTextChar"/>
    <w:uiPriority w:val="99"/>
    <w:semiHidden/>
    <w:unhideWhenUsed/>
    <w:rsid w:val="00081584"/>
    <w:pPr>
      <w:spacing w:line="240" w:lineRule="auto"/>
    </w:pPr>
    <w:rPr>
      <w:sz w:val="20"/>
      <w:szCs w:val="20"/>
    </w:rPr>
  </w:style>
  <w:style w:type="character" w:customStyle="1" w:styleId="CommentTextChar">
    <w:name w:val="Comment Text Char"/>
    <w:basedOn w:val="DefaultParagraphFont"/>
    <w:link w:val="CommentText"/>
    <w:uiPriority w:val="99"/>
    <w:semiHidden/>
    <w:rsid w:val="00081584"/>
    <w:rPr>
      <w:sz w:val="20"/>
      <w:szCs w:val="20"/>
      <w:lang w:val="fr-FR"/>
    </w:rPr>
  </w:style>
  <w:style w:type="paragraph" w:styleId="CommentSubject">
    <w:name w:val="annotation subject"/>
    <w:basedOn w:val="CommentText"/>
    <w:next w:val="CommentText"/>
    <w:link w:val="CommentSubjectChar"/>
    <w:uiPriority w:val="99"/>
    <w:semiHidden/>
    <w:unhideWhenUsed/>
    <w:rsid w:val="00081584"/>
    <w:rPr>
      <w:b/>
      <w:bCs/>
    </w:rPr>
  </w:style>
  <w:style w:type="character" w:customStyle="1" w:styleId="CommentSubjectChar">
    <w:name w:val="Comment Subject Char"/>
    <w:basedOn w:val="CommentTextChar"/>
    <w:link w:val="CommentSubject"/>
    <w:uiPriority w:val="99"/>
    <w:semiHidden/>
    <w:rsid w:val="00081584"/>
    <w:rPr>
      <w:b/>
      <w:bCs/>
      <w:sz w:val="20"/>
      <w:szCs w:val="20"/>
      <w:lang w:val="fr-FR"/>
    </w:rPr>
  </w:style>
  <w:style w:type="paragraph" w:styleId="BalloonText">
    <w:name w:val="Balloon Text"/>
    <w:basedOn w:val="Normal"/>
    <w:link w:val="BalloonTextChar"/>
    <w:uiPriority w:val="99"/>
    <w:semiHidden/>
    <w:unhideWhenUsed/>
    <w:rsid w:val="00081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584"/>
    <w:rPr>
      <w:rFonts w:ascii="Segoe UI" w:hAnsi="Segoe UI" w:cs="Segoe UI"/>
      <w:sz w:val="18"/>
      <w:szCs w:val="18"/>
      <w:lang w:val="fr-FR"/>
    </w:rPr>
  </w:style>
  <w:style w:type="paragraph" w:styleId="Revision">
    <w:name w:val="Revision"/>
    <w:hidden/>
    <w:uiPriority w:val="99"/>
    <w:semiHidden/>
    <w:rsid w:val="00CD1C7F"/>
    <w:pPr>
      <w:spacing w:after="0" w:line="240" w:lineRule="auto"/>
    </w:pPr>
    <w:rPr>
      <w:lang w:val="fr-FR"/>
    </w:rPr>
  </w:style>
  <w:style w:type="paragraph" w:styleId="BodyText">
    <w:name w:val="Body Text"/>
    <w:basedOn w:val="Normal"/>
    <w:link w:val="BodyTextChar"/>
    <w:uiPriority w:val="1"/>
    <w:qFormat/>
    <w:rsid w:val="00532AB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32AB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270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NoSpacingChar">
    <w:name w:val="No Spacing Char"/>
    <w:link w:val="NoSpacing"/>
    <w:uiPriority w:val="99"/>
    <w:locked/>
    <w:rsid w:val="00797D05"/>
    <w:rPr>
      <w:rFonts w:ascii="Times New Roman" w:hAnsi="Times New Roman"/>
      <w:sz w:val="24"/>
      <w:szCs w:val="24"/>
      <w:lang w:val="en-GB" w:eastAsia="en-GB"/>
    </w:rPr>
  </w:style>
  <w:style w:type="paragraph" w:styleId="NormalWeb">
    <w:name w:val="Normal (Web)"/>
    <w:basedOn w:val="Normal"/>
    <w:uiPriority w:val="99"/>
    <w:unhideWhenUsed/>
    <w:rsid w:val="00D04D8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
    <w:name w:val="Style"/>
    <w:rsid w:val="009E5F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ss-x5hiaf">
    <w:name w:val="css-x5hiaf"/>
    <w:rsid w:val="009E5FE4"/>
  </w:style>
  <w:style w:type="character" w:customStyle="1" w:styleId="css-0">
    <w:name w:val="css-0"/>
    <w:rsid w:val="009E5FE4"/>
  </w:style>
  <w:style w:type="character" w:customStyle="1" w:styleId="css-rh820s">
    <w:name w:val="css-rh820s"/>
    <w:rsid w:val="009E5FE4"/>
  </w:style>
  <w:style w:type="character" w:customStyle="1" w:styleId="css-15iwe0d">
    <w:name w:val="css-15iwe0d"/>
    <w:rsid w:val="009E5FE4"/>
  </w:style>
  <w:style w:type="character" w:customStyle="1" w:styleId="css-2yp7ui">
    <w:name w:val="css-2yp7ui"/>
    <w:rsid w:val="009E5FE4"/>
  </w:style>
  <w:style w:type="character" w:customStyle="1" w:styleId="css-1ber87j">
    <w:name w:val="css-1ber87j"/>
    <w:rsid w:val="009E5FE4"/>
  </w:style>
  <w:style w:type="table" w:customStyle="1" w:styleId="ListTable6Colorful1">
    <w:name w:val="List Table 6 Colorful1"/>
    <w:basedOn w:val="TableNormal"/>
    <w:uiPriority w:val="51"/>
    <w:qFormat/>
    <w:rsid w:val="00513DA6"/>
    <w:pPr>
      <w:spacing w:after="0" w:line="240" w:lineRule="auto"/>
    </w:pPr>
    <w:rPr>
      <w:rFonts w:ascii="Calibri" w:eastAsia="Calibri" w:hAnsi="Calibri" w:cs="Times New Roman"/>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18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347"/>
    <w:rPr>
      <w:lang w:val="en-GB"/>
    </w:rPr>
  </w:style>
  <w:style w:type="paragraph" w:styleId="Footer">
    <w:name w:val="footer"/>
    <w:basedOn w:val="Normal"/>
    <w:link w:val="FooterChar"/>
    <w:uiPriority w:val="99"/>
    <w:unhideWhenUsed/>
    <w:rsid w:val="0018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34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565">
      <w:bodyDiv w:val="1"/>
      <w:marLeft w:val="0"/>
      <w:marRight w:val="0"/>
      <w:marTop w:val="0"/>
      <w:marBottom w:val="0"/>
      <w:divBdr>
        <w:top w:val="none" w:sz="0" w:space="0" w:color="auto"/>
        <w:left w:val="none" w:sz="0" w:space="0" w:color="auto"/>
        <w:bottom w:val="none" w:sz="0" w:space="0" w:color="auto"/>
        <w:right w:val="none" w:sz="0" w:space="0" w:color="auto"/>
      </w:divBdr>
    </w:div>
    <w:div w:id="122507607">
      <w:bodyDiv w:val="1"/>
      <w:marLeft w:val="0"/>
      <w:marRight w:val="0"/>
      <w:marTop w:val="0"/>
      <w:marBottom w:val="0"/>
      <w:divBdr>
        <w:top w:val="none" w:sz="0" w:space="0" w:color="auto"/>
        <w:left w:val="none" w:sz="0" w:space="0" w:color="auto"/>
        <w:bottom w:val="none" w:sz="0" w:space="0" w:color="auto"/>
        <w:right w:val="none" w:sz="0" w:space="0" w:color="auto"/>
      </w:divBdr>
    </w:div>
    <w:div w:id="158623568">
      <w:bodyDiv w:val="1"/>
      <w:marLeft w:val="0"/>
      <w:marRight w:val="0"/>
      <w:marTop w:val="0"/>
      <w:marBottom w:val="0"/>
      <w:divBdr>
        <w:top w:val="none" w:sz="0" w:space="0" w:color="auto"/>
        <w:left w:val="none" w:sz="0" w:space="0" w:color="auto"/>
        <w:bottom w:val="none" w:sz="0" w:space="0" w:color="auto"/>
        <w:right w:val="none" w:sz="0" w:space="0" w:color="auto"/>
      </w:divBdr>
    </w:div>
    <w:div w:id="203254376">
      <w:bodyDiv w:val="1"/>
      <w:marLeft w:val="0"/>
      <w:marRight w:val="0"/>
      <w:marTop w:val="0"/>
      <w:marBottom w:val="0"/>
      <w:divBdr>
        <w:top w:val="none" w:sz="0" w:space="0" w:color="auto"/>
        <w:left w:val="none" w:sz="0" w:space="0" w:color="auto"/>
        <w:bottom w:val="none" w:sz="0" w:space="0" w:color="auto"/>
        <w:right w:val="none" w:sz="0" w:space="0" w:color="auto"/>
      </w:divBdr>
    </w:div>
    <w:div w:id="380906609">
      <w:bodyDiv w:val="1"/>
      <w:marLeft w:val="0"/>
      <w:marRight w:val="0"/>
      <w:marTop w:val="0"/>
      <w:marBottom w:val="0"/>
      <w:divBdr>
        <w:top w:val="none" w:sz="0" w:space="0" w:color="auto"/>
        <w:left w:val="none" w:sz="0" w:space="0" w:color="auto"/>
        <w:bottom w:val="none" w:sz="0" w:space="0" w:color="auto"/>
        <w:right w:val="none" w:sz="0" w:space="0" w:color="auto"/>
      </w:divBdr>
    </w:div>
    <w:div w:id="401876865">
      <w:bodyDiv w:val="1"/>
      <w:marLeft w:val="0"/>
      <w:marRight w:val="0"/>
      <w:marTop w:val="0"/>
      <w:marBottom w:val="0"/>
      <w:divBdr>
        <w:top w:val="none" w:sz="0" w:space="0" w:color="auto"/>
        <w:left w:val="none" w:sz="0" w:space="0" w:color="auto"/>
        <w:bottom w:val="none" w:sz="0" w:space="0" w:color="auto"/>
        <w:right w:val="none" w:sz="0" w:space="0" w:color="auto"/>
      </w:divBdr>
    </w:div>
    <w:div w:id="585847030">
      <w:bodyDiv w:val="1"/>
      <w:marLeft w:val="0"/>
      <w:marRight w:val="0"/>
      <w:marTop w:val="0"/>
      <w:marBottom w:val="0"/>
      <w:divBdr>
        <w:top w:val="none" w:sz="0" w:space="0" w:color="auto"/>
        <w:left w:val="none" w:sz="0" w:space="0" w:color="auto"/>
        <w:bottom w:val="none" w:sz="0" w:space="0" w:color="auto"/>
        <w:right w:val="none" w:sz="0" w:space="0" w:color="auto"/>
      </w:divBdr>
    </w:div>
    <w:div w:id="602079758">
      <w:bodyDiv w:val="1"/>
      <w:marLeft w:val="0"/>
      <w:marRight w:val="0"/>
      <w:marTop w:val="0"/>
      <w:marBottom w:val="0"/>
      <w:divBdr>
        <w:top w:val="none" w:sz="0" w:space="0" w:color="auto"/>
        <w:left w:val="none" w:sz="0" w:space="0" w:color="auto"/>
        <w:bottom w:val="none" w:sz="0" w:space="0" w:color="auto"/>
        <w:right w:val="none" w:sz="0" w:space="0" w:color="auto"/>
      </w:divBdr>
    </w:div>
    <w:div w:id="608397080">
      <w:bodyDiv w:val="1"/>
      <w:marLeft w:val="0"/>
      <w:marRight w:val="0"/>
      <w:marTop w:val="0"/>
      <w:marBottom w:val="0"/>
      <w:divBdr>
        <w:top w:val="none" w:sz="0" w:space="0" w:color="auto"/>
        <w:left w:val="none" w:sz="0" w:space="0" w:color="auto"/>
        <w:bottom w:val="none" w:sz="0" w:space="0" w:color="auto"/>
        <w:right w:val="none" w:sz="0" w:space="0" w:color="auto"/>
      </w:divBdr>
    </w:div>
    <w:div w:id="712733165">
      <w:bodyDiv w:val="1"/>
      <w:marLeft w:val="0"/>
      <w:marRight w:val="0"/>
      <w:marTop w:val="0"/>
      <w:marBottom w:val="0"/>
      <w:divBdr>
        <w:top w:val="none" w:sz="0" w:space="0" w:color="auto"/>
        <w:left w:val="none" w:sz="0" w:space="0" w:color="auto"/>
        <w:bottom w:val="none" w:sz="0" w:space="0" w:color="auto"/>
        <w:right w:val="none" w:sz="0" w:space="0" w:color="auto"/>
      </w:divBdr>
    </w:div>
    <w:div w:id="936526745">
      <w:bodyDiv w:val="1"/>
      <w:marLeft w:val="0"/>
      <w:marRight w:val="0"/>
      <w:marTop w:val="0"/>
      <w:marBottom w:val="0"/>
      <w:divBdr>
        <w:top w:val="none" w:sz="0" w:space="0" w:color="auto"/>
        <w:left w:val="none" w:sz="0" w:space="0" w:color="auto"/>
        <w:bottom w:val="none" w:sz="0" w:space="0" w:color="auto"/>
        <w:right w:val="none" w:sz="0" w:space="0" w:color="auto"/>
      </w:divBdr>
    </w:div>
    <w:div w:id="1005132841">
      <w:bodyDiv w:val="1"/>
      <w:marLeft w:val="0"/>
      <w:marRight w:val="0"/>
      <w:marTop w:val="0"/>
      <w:marBottom w:val="0"/>
      <w:divBdr>
        <w:top w:val="none" w:sz="0" w:space="0" w:color="auto"/>
        <w:left w:val="none" w:sz="0" w:space="0" w:color="auto"/>
        <w:bottom w:val="none" w:sz="0" w:space="0" w:color="auto"/>
        <w:right w:val="none" w:sz="0" w:space="0" w:color="auto"/>
      </w:divBdr>
    </w:div>
    <w:div w:id="1013412048">
      <w:bodyDiv w:val="1"/>
      <w:marLeft w:val="0"/>
      <w:marRight w:val="0"/>
      <w:marTop w:val="0"/>
      <w:marBottom w:val="0"/>
      <w:divBdr>
        <w:top w:val="none" w:sz="0" w:space="0" w:color="auto"/>
        <w:left w:val="none" w:sz="0" w:space="0" w:color="auto"/>
        <w:bottom w:val="none" w:sz="0" w:space="0" w:color="auto"/>
        <w:right w:val="none" w:sz="0" w:space="0" w:color="auto"/>
      </w:divBdr>
    </w:div>
    <w:div w:id="1031497162">
      <w:bodyDiv w:val="1"/>
      <w:marLeft w:val="0"/>
      <w:marRight w:val="0"/>
      <w:marTop w:val="0"/>
      <w:marBottom w:val="0"/>
      <w:divBdr>
        <w:top w:val="none" w:sz="0" w:space="0" w:color="auto"/>
        <w:left w:val="none" w:sz="0" w:space="0" w:color="auto"/>
        <w:bottom w:val="none" w:sz="0" w:space="0" w:color="auto"/>
        <w:right w:val="none" w:sz="0" w:space="0" w:color="auto"/>
      </w:divBdr>
    </w:div>
    <w:div w:id="1066951495">
      <w:bodyDiv w:val="1"/>
      <w:marLeft w:val="0"/>
      <w:marRight w:val="0"/>
      <w:marTop w:val="0"/>
      <w:marBottom w:val="0"/>
      <w:divBdr>
        <w:top w:val="none" w:sz="0" w:space="0" w:color="auto"/>
        <w:left w:val="none" w:sz="0" w:space="0" w:color="auto"/>
        <w:bottom w:val="none" w:sz="0" w:space="0" w:color="auto"/>
        <w:right w:val="none" w:sz="0" w:space="0" w:color="auto"/>
      </w:divBdr>
    </w:div>
    <w:div w:id="1110976561">
      <w:bodyDiv w:val="1"/>
      <w:marLeft w:val="0"/>
      <w:marRight w:val="0"/>
      <w:marTop w:val="0"/>
      <w:marBottom w:val="0"/>
      <w:divBdr>
        <w:top w:val="none" w:sz="0" w:space="0" w:color="auto"/>
        <w:left w:val="none" w:sz="0" w:space="0" w:color="auto"/>
        <w:bottom w:val="none" w:sz="0" w:space="0" w:color="auto"/>
        <w:right w:val="none" w:sz="0" w:space="0" w:color="auto"/>
      </w:divBdr>
    </w:div>
    <w:div w:id="1182740811">
      <w:bodyDiv w:val="1"/>
      <w:marLeft w:val="0"/>
      <w:marRight w:val="0"/>
      <w:marTop w:val="0"/>
      <w:marBottom w:val="0"/>
      <w:divBdr>
        <w:top w:val="none" w:sz="0" w:space="0" w:color="auto"/>
        <w:left w:val="none" w:sz="0" w:space="0" w:color="auto"/>
        <w:bottom w:val="none" w:sz="0" w:space="0" w:color="auto"/>
        <w:right w:val="none" w:sz="0" w:space="0" w:color="auto"/>
      </w:divBdr>
    </w:div>
    <w:div w:id="1225989373">
      <w:bodyDiv w:val="1"/>
      <w:marLeft w:val="0"/>
      <w:marRight w:val="0"/>
      <w:marTop w:val="0"/>
      <w:marBottom w:val="0"/>
      <w:divBdr>
        <w:top w:val="none" w:sz="0" w:space="0" w:color="auto"/>
        <w:left w:val="none" w:sz="0" w:space="0" w:color="auto"/>
        <w:bottom w:val="none" w:sz="0" w:space="0" w:color="auto"/>
        <w:right w:val="none" w:sz="0" w:space="0" w:color="auto"/>
      </w:divBdr>
    </w:div>
    <w:div w:id="1323699934">
      <w:bodyDiv w:val="1"/>
      <w:marLeft w:val="0"/>
      <w:marRight w:val="0"/>
      <w:marTop w:val="0"/>
      <w:marBottom w:val="0"/>
      <w:divBdr>
        <w:top w:val="none" w:sz="0" w:space="0" w:color="auto"/>
        <w:left w:val="none" w:sz="0" w:space="0" w:color="auto"/>
        <w:bottom w:val="none" w:sz="0" w:space="0" w:color="auto"/>
        <w:right w:val="none" w:sz="0" w:space="0" w:color="auto"/>
      </w:divBdr>
    </w:div>
    <w:div w:id="1379084828">
      <w:bodyDiv w:val="1"/>
      <w:marLeft w:val="0"/>
      <w:marRight w:val="0"/>
      <w:marTop w:val="0"/>
      <w:marBottom w:val="0"/>
      <w:divBdr>
        <w:top w:val="none" w:sz="0" w:space="0" w:color="auto"/>
        <w:left w:val="none" w:sz="0" w:space="0" w:color="auto"/>
        <w:bottom w:val="none" w:sz="0" w:space="0" w:color="auto"/>
        <w:right w:val="none" w:sz="0" w:space="0" w:color="auto"/>
      </w:divBdr>
    </w:div>
    <w:div w:id="1392192222">
      <w:bodyDiv w:val="1"/>
      <w:marLeft w:val="0"/>
      <w:marRight w:val="0"/>
      <w:marTop w:val="0"/>
      <w:marBottom w:val="0"/>
      <w:divBdr>
        <w:top w:val="none" w:sz="0" w:space="0" w:color="auto"/>
        <w:left w:val="none" w:sz="0" w:space="0" w:color="auto"/>
        <w:bottom w:val="none" w:sz="0" w:space="0" w:color="auto"/>
        <w:right w:val="none" w:sz="0" w:space="0" w:color="auto"/>
      </w:divBdr>
    </w:div>
    <w:div w:id="1461654245">
      <w:bodyDiv w:val="1"/>
      <w:marLeft w:val="0"/>
      <w:marRight w:val="0"/>
      <w:marTop w:val="0"/>
      <w:marBottom w:val="0"/>
      <w:divBdr>
        <w:top w:val="none" w:sz="0" w:space="0" w:color="auto"/>
        <w:left w:val="none" w:sz="0" w:space="0" w:color="auto"/>
        <w:bottom w:val="none" w:sz="0" w:space="0" w:color="auto"/>
        <w:right w:val="none" w:sz="0" w:space="0" w:color="auto"/>
      </w:divBdr>
    </w:div>
    <w:div w:id="1465734133">
      <w:bodyDiv w:val="1"/>
      <w:marLeft w:val="0"/>
      <w:marRight w:val="0"/>
      <w:marTop w:val="0"/>
      <w:marBottom w:val="0"/>
      <w:divBdr>
        <w:top w:val="none" w:sz="0" w:space="0" w:color="auto"/>
        <w:left w:val="none" w:sz="0" w:space="0" w:color="auto"/>
        <w:bottom w:val="none" w:sz="0" w:space="0" w:color="auto"/>
        <w:right w:val="none" w:sz="0" w:space="0" w:color="auto"/>
      </w:divBdr>
    </w:div>
    <w:div w:id="1660619246">
      <w:bodyDiv w:val="1"/>
      <w:marLeft w:val="0"/>
      <w:marRight w:val="0"/>
      <w:marTop w:val="0"/>
      <w:marBottom w:val="0"/>
      <w:divBdr>
        <w:top w:val="none" w:sz="0" w:space="0" w:color="auto"/>
        <w:left w:val="none" w:sz="0" w:space="0" w:color="auto"/>
        <w:bottom w:val="none" w:sz="0" w:space="0" w:color="auto"/>
        <w:right w:val="none" w:sz="0" w:space="0" w:color="auto"/>
      </w:divBdr>
    </w:div>
    <w:div w:id="1664552285">
      <w:bodyDiv w:val="1"/>
      <w:marLeft w:val="0"/>
      <w:marRight w:val="0"/>
      <w:marTop w:val="0"/>
      <w:marBottom w:val="0"/>
      <w:divBdr>
        <w:top w:val="none" w:sz="0" w:space="0" w:color="auto"/>
        <w:left w:val="none" w:sz="0" w:space="0" w:color="auto"/>
        <w:bottom w:val="none" w:sz="0" w:space="0" w:color="auto"/>
        <w:right w:val="none" w:sz="0" w:space="0" w:color="auto"/>
      </w:divBdr>
    </w:div>
    <w:div w:id="1755202706">
      <w:bodyDiv w:val="1"/>
      <w:marLeft w:val="0"/>
      <w:marRight w:val="0"/>
      <w:marTop w:val="0"/>
      <w:marBottom w:val="0"/>
      <w:divBdr>
        <w:top w:val="none" w:sz="0" w:space="0" w:color="auto"/>
        <w:left w:val="none" w:sz="0" w:space="0" w:color="auto"/>
        <w:bottom w:val="none" w:sz="0" w:space="0" w:color="auto"/>
        <w:right w:val="none" w:sz="0" w:space="0" w:color="auto"/>
      </w:divBdr>
    </w:div>
    <w:div w:id="1793547692">
      <w:bodyDiv w:val="1"/>
      <w:marLeft w:val="0"/>
      <w:marRight w:val="0"/>
      <w:marTop w:val="0"/>
      <w:marBottom w:val="0"/>
      <w:divBdr>
        <w:top w:val="none" w:sz="0" w:space="0" w:color="auto"/>
        <w:left w:val="none" w:sz="0" w:space="0" w:color="auto"/>
        <w:bottom w:val="none" w:sz="0" w:space="0" w:color="auto"/>
        <w:right w:val="none" w:sz="0" w:space="0" w:color="auto"/>
      </w:divBdr>
    </w:div>
    <w:div w:id="1902447505">
      <w:bodyDiv w:val="1"/>
      <w:marLeft w:val="0"/>
      <w:marRight w:val="0"/>
      <w:marTop w:val="0"/>
      <w:marBottom w:val="0"/>
      <w:divBdr>
        <w:top w:val="none" w:sz="0" w:space="0" w:color="auto"/>
        <w:left w:val="none" w:sz="0" w:space="0" w:color="auto"/>
        <w:bottom w:val="none" w:sz="0" w:space="0" w:color="auto"/>
        <w:right w:val="none" w:sz="0" w:space="0" w:color="auto"/>
      </w:divBdr>
    </w:div>
    <w:div w:id="1971355474">
      <w:bodyDiv w:val="1"/>
      <w:marLeft w:val="0"/>
      <w:marRight w:val="0"/>
      <w:marTop w:val="0"/>
      <w:marBottom w:val="0"/>
      <w:divBdr>
        <w:top w:val="none" w:sz="0" w:space="0" w:color="auto"/>
        <w:left w:val="none" w:sz="0" w:space="0" w:color="auto"/>
        <w:bottom w:val="none" w:sz="0" w:space="0" w:color="auto"/>
        <w:right w:val="none" w:sz="0" w:space="0" w:color="auto"/>
      </w:divBdr>
    </w:div>
    <w:div w:id="198469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5127-AA79-4009-9484-7B7BC85BD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9177</Words>
  <Characters>52311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12</cp:revision>
  <dcterms:created xsi:type="dcterms:W3CDTF">2025-05-01T13:15:00Z</dcterms:created>
  <dcterms:modified xsi:type="dcterms:W3CDTF">2025-05-02T10:57:00Z</dcterms:modified>
</cp:coreProperties>
</file>