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C1CA5" w14:textId="77777777" w:rsidR="00B47300" w:rsidRDefault="00414E9C">
      <w:pPr>
        <w:spacing w:line="240" w:lineRule="auto"/>
        <w:jc w:val="center"/>
      </w:pPr>
      <w:r>
        <w:rPr>
          <w:rFonts w:ascii="Times New Roman" w:eastAsia="Times New Roman" w:hAnsi="Times New Roman" w:cs="Times New Roman"/>
          <w:b/>
          <w:sz w:val="24"/>
          <w:szCs w:val="24"/>
        </w:rPr>
        <w:t xml:space="preserve">Social Anxiety among University Undergraduates: The Role of Mobile Gaming Addiction </w:t>
      </w:r>
    </w:p>
    <w:p w14:paraId="1D53B1B2" w14:textId="77777777" w:rsidR="00B47300" w:rsidRDefault="00B47300">
      <w:pPr>
        <w:spacing w:line="240" w:lineRule="auto"/>
        <w:jc w:val="center"/>
        <w:rPr>
          <w:rFonts w:ascii="Times New Roman" w:eastAsia="Times New Roman" w:hAnsi="Times New Roman" w:cs="Times New Roman"/>
          <w:b/>
          <w:sz w:val="24"/>
          <w:szCs w:val="24"/>
        </w:rPr>
      </w:pPr>
    </w:p>
    <w:p w14:paraId="49B4A558" w14:textId="05D1D7ED" w:rsidR="00B47300" w:rsidRDefault="00B47300">
      <w:pPr>
        <w:spacing w:line="240" w:lineRule="auto"/>
        <w:jc w:val="center"/>
        <w:rPr>
          <w:rFonts w:ascii="Times New Roman" w:eastAsia="Times New Roman" w:hAnsi="Times New Roman" w:cs="Times New Roman"/>
          <w:sz w:val="24"/>
          <w:szCs w:val="24"/>
        </w:rPr>
      </w:pPr>
    </w:p>
    <w:p w14:paraId="5E55411D" w14:textId="77777777" w:rsidR="00043475" w:rsidRDefault="00043475">
      <w:pPr>
        <w:spacing w:line="240" w:lineRule="auto"/>
        <w:jc w:val="center"/>
        <w:rPr>
          <w:rFonts w:ascii="Times New Roman" w:eastAsia="Times New Roman" w:hAnsi="Times New Roman" w:cs="Times New Roman"/>
          <w:sz w:val="24"/>
          <w:szCs w:val="24"/>
        </w:rPr>
      </w:pPr>
    </w:p>
    <w:p w14:paraId="323808D2" w14:textId="77777777" w:rsidR="00B47300" w:rsidRDefault="00414E9C">
      <w:pPr>
        <w:spacing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Abstract</w:t>
      </w:r>
    </w:p>
    <w:p w14:paraId="2AB730B0" w14:textId="388A4F1A"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This research aimed to investigate the predictive influence of mobile gaming addiction on social anxiety (SA) among undergraduates at a selected Nigerian university. This cross-sectional survey utilized a multistage sampling technique to select 300 participants (149 male, 151 female) with a mean age of 19.53 ±2.22. Participants completed the Internet Gaming Disorder Scale–Short-Form (IGDS9-SF) and the Social Interaction Anxiety Scale (SIAS). A prevalence of 5.9% and 1.7% was reported for social anxiety and mobile gaming addiction respectively. Mobile gaming addiction significantly predicted social anxiety (</w:t>
      </w:r>
      <w:r>
        <w:rPr>
          <w:rFonts w:ascii="Times New Roman" w:eastAsia="Times New Roman" w:hAnsi="Times New Roman" w:cs="Times New Roman"/>
          <w:i/>
          <w:iCs/>
          <w:color w:val="0E101A"/>
          <w:sz w:val="24"/>
          <w:szCs w:val="24"/>
        </w:rPr>
        <w:t>β</w:t>
      </w:r>
      <w:r>
        <w:rPr>
          <w:rFonts w:ascii="Times New Roman" w:eastAsia="Times New Roman" w:hAnsi="Times New Roman" w:cs="Times New Roman"/>
          <w:color w:val="0E101A"/>
          <w:sz w:val="24"/>
          <w:szCs w:val="24"/>
        </w:rPr>
        <w:t xml:space="preserve"> = .27,</w:t>
      </w:r>
      <w:r w:rsidR="009B5838">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i/>
          <w:iCs/>
          <w:color w:val="0E101A"/>
          <w:sz w:val="24"/>
          <w:szCs w:val="24"/>
        </w:rPr>
        <w:t xml:space="preserve">t </w:t>
      </w:r>
      <w:r>
        <w:rPr>
          <w:rFonts w:ascii="Times New Roman" w:eastAsia="Times New Roman" w:hAnsi="Times New Roman" w:cs="Times New Roman"/>
          <w:color w:val="0E101A"/>
          <w:sz w:val="24"/>
          <w:szCs w:val="24"/>
        </w:rPr>
        <w:t xml:space="preserve">= 4.40, </w:t>
      </w:r>
      <w:r>
        <w:rPr>
          <w:rFonts w:ascii="Times New Roman" w:eastAsia="Times New Roman" w:hAnsi="Times New Roman" w:cs="Times New Roman"/>
          <w:i/>
          <w:iCs/>
          <w:color w:val="0E101A"/>
          <w:sz w:val="24"/>
          <w:szCs w:val="24"/>
        </w:rPr>
        <w:t>p</w:t>
      </w:r>
      <w:r>
        <w:rPr>
          <w:rFonts w:ascii="Times New Roman" w:eastAsia="Times New Roman" w:hAnsi="Times New Roman" w:cs="Times New Roman"/>
          <w:color w:val="0E101A"/>
          <w:sz w:val="24"/>
          <w:szCs w:val="24"/>
        </w:rPr>
        <w:t xml:space="preserve"> &lt;.01).  Age also significantly predicted social anxiety </w:t>
      </w:r>
      <w:r>
        <w:rPr>
          <w:rFonts w:ascii="Times New Roman" w:eastAsia="Times New Roman" w:hAnsi="Times New Roman" w:cs="Times New Roman"/>
          <w:i/>
          <w:iCs/>
          <w:color w:val="0E101A"/>
          <w:sz w:val="24"/>
          <w:szCs w:val="24"/>
        </w:rPr>
        <w:t>(β</w:t>
      </w:r>
      <w:r>
        <w:rPr>
          <w:rFonts w:ascii="Times New Roman" w:eastAsia="Times New Roman" w:hAnsi="Times New Roman" w:cs="Times New Roman"/>
          <w:color w:val="0E101A"/>
          <w:sz w:val="24"/>
          <w:szCs w:val="24"/>
        </w:rPr>
        <w:t xml:space="preserve"> = -.98, </w:t>
      </w:r>
      <w:r>
        <w:rPr>
          <w:rFonts w:ascii="Times New Roman" w:eastAsia="Times New Roman" w:hAnsi="Times New Roman" w:cs="Times New Roman"/>
          <w:i/>
          <w:iCs/>
          <w:color w:val="0E101A"/>
          <w:sz w:val="24"/>
          <w:szCs w:val="24"/>
        </w:rPr>
        <w:t>t</w:t>
      </w:r>
      <w:r>
        <w:rPr>
          <w:rFonts w:ascii="Times New Roman" w:eastAsia="Times New Roman" w:hAnsi="Times New Roman" w:cs="Times New Roman"/>
          <w:color w:val="0E101A"/>
          <w:sz w:val="24"/>
          <w:szCs w:val="24"/>
        </w:rPr>
        <w:t xml:space="preserve"> = -2.31, </w:t>
      </w:r>
      <w:r>
        <w:rPr>
          <w:rFonts w:ascii="Times New Roman" w:eastAsia="Times New Roman" w:hAnsi="Times New Roman" w:cs="Times New Roman"/>
          <w:i/>
          <w:iCs/>
          <w:color w:val="0E101A"/>
          <w:sz w:val="24"/>
          <w:szCs w:val="24"/>
        </w:rPr>
        <w:t>p</w:t>
      </w:r>
      <w:r>
        <w:rPr>
          <w:rFonts w:ascii="Times New Roman" w:eastAsia="Times New Roman" w:hAnsi="Times New Roman" w:cs="Times New Roman"/>
          <w:color w:val="0E101A"/>
          <w:sz w:val="24"/>
          <w:szCs w:val="24"/>
        </w:rPr>
        <w:t xml:space="preserve"> &lt;.01), with younger students showing higher levels of anxiety. Years spent in university did not significantly influence social anxiety levels [</w:t>
      </w:r>
      <w:r>
        <w:rPr>
          <w:rFonts w:ascii="Times New Roman" w:eastAsia="Times New Roman" w:hAnsi="Times New Roman" w:cs="Times New Roman"/>
          <w:i/>
          <w:iCs/>
          <w:color w:val="0E101A"/>
          <w:sz w:val="24"/>
          <w:szCs w:val="24"/>
        </w:rPr>
        <w:t>F</w:t>
      </w:r>
      <w:r>
        <w:rPr>
          <w:rFonts w:ascii="Times New Roman" w:eastAsia="Times New Roman" w:hAnsi="Times New Roman" w:cs="Times New Roman"/>
          <w:color w:val="0E101A"/>
          <w:sz w:val="24"/>
          <w:szCs w:val="24"/>
        </w:rPr>
        <w:t xml:space="preserve"> (4,295) = .26, </w:t>
      </w:r>
      <w:r>
        <w:rPr>
          <w:rFonts w:ascii="Times New Roman" w:eastAsia="Times New Roman" w:hAnsi="Times New Roman" w:cs="Times New Roman"/>
          <w:i/>
          <w:iCs/>
          <w:color w:val="0E101A"/>
          <w:sz w:val="24"/>
          <w:szCs w:val="24"/>
        </w:rPr>
        <w:t>p</w:t>
      </w:r>
      <w:r>
        <w:rPr>
          <w:rFonts w:ascii="Times New Roman" w:eastAsia="Times New Roman" w:hAnsi="Times New Roman" w:cs="Times New Roman"/>
          <w:color w:val="0E101A"/>
          <w:sz w:val="24"/>
          <w:szCs w:val="24"/>
        </w:rPr>
        <w:t>&gt;0.05]. No significant gender difference was found in social anxiety scores [</w:t>
      </w:r>
      <w:r>
        <w:rPr>
          <w:rFonts w:ascii="Times New Roman" w:eastAsia="Times New Roman" w:hAnsi="Times New Roman" w:cs="Times New Roman"/>
          <w:i/>
          <w:iCs/>
          <w:color w:val="0E101A"/>
          <w:sz w:val="24"/>
          <w:szCs w:val="24"/>
        </w:rPr>
        <w:t>t</w:t>
      </w:r>
      <w:r>
        <w:rPr>
          <w:rFonts w:ascii="Times New Roman" w:eastAsia="Times New Roman" w:hAnsi="Times New Roman" w:cs="Times New Roman"/>
          <w:color w:val="0E101A"/>
          <w:sz w:val="24"/>
          <w:szCs w:val="24"/>
        </w:rPr>
        <w:t xml:space="preserve"> (298) = -2.35, </w:t>
      </w:r>
      <w:r>
        <w:rPr>
          <w:rFonts w:ascii="Times New Roman" w:eastAsia="Times New Roman" w:hAnsi="Times New Roman" w:cs="Times New Roman"/>
          <w:i/>
          <w:iCs/>
          <w:color w:val="0E101A"/>
          <w:sz w:val="24"/>
          <w:szCs w:val="24"/>
        </w:rPr>
        <w:t>p</w:t>
      </w:r>
      <w:r>
        <w:rPr>
          <w:rFonts w:ascii="Times New Roman" w:eastAsia="Times New Roman" w:hAnsi="Times New Roman" w:cs="Times New Roman"/>
          <w:color w:val="0E101A"/>
          <w:sz w:val="24"/>
          <w:szCs w:val="24"/>
        </w:rPr>
        <w:t>&gt; .05], although female students (M = 36.86, SD = 15.85) scored slightly higher than male students (M = 32.39, SD = 16.65). These findings reveal a high prevalence of social anxiety among Nigerian undergraduates and underscore the strong role mobile gaming addiction and age play in SA. The study suggests a need for targeted interventions to address gaming-related issues and SA, particularly among younger students. Future research should explore additional factors contributing to SA in university settings and develop effective strategies for supporting student mental health.</w:t>
      </w:r>
    </w:p>
    <w:p w14:paraId="50D3A5F4" w14:textId="77777777" w:rsidR="00B47300" w:rsidRDefault="00B47300">
      <w:pPr>
        <w:spacing w:line="240" w:lineRule="auto"/>
        <w:rPr>
          <w:rFonts w:ascii="Times New Roman" w:eastAsia="Times New Roman" w:hAnsi="Times New Roman" w:cs="Times New Roman"/>
          <w:b/>
          <w:bCs/>
          <w:color w:val="0E101A"/>
          <w:sz w:val="24"/>
          <w:szCs w:val="24"/>
        </w:rPr>
      </w:pPr>
    </w:p>
    <w:p w14:paraId="62926F8F" w14:textId="77777777" w:rsidR="00B47300" w:rsidRDefault="00414E9C">
      <w:pPr>
        <w:spacing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Keywords</w:t>
      </w:r>
      <w:r>
        <w:rPr>
          <w:rFonts w:ascii="Times New Roman" w:eastAsia="Times New Roman" w:hAnsi="Times New Roman" w:cs="Times New Roman"/>
          <w:color w:val="0E101A"/>
          <w:sz w:val="24"/>
          <w:szCs w:val="24"/>
        </w:rPr>
        <w:t xml:space="preserve">: Mobile gaming addiction, social anxiety, university undergraduates, Nigeria. </w:t>
      </w:r>
    </w:p>
    <w:p w14:paraId="26CEACB3" w14:textId="77777777" w:rsidR="00B47300" w:rsidRDefault="00B47300">
      <w:pPr>
        <w:spacing w:line="240" w:lineRule="auto"/>
        <w:rPr>
          <w:rFonts w:ascii="Times New Roman" w:eastAsia="Times New Roman" w:hAnsi="Times New Roman" w:cs="Times New Roman"/>
          <w:b/>
          <w:bCs/>
          <w:color w:val="0E101A"/>
          <w:sz w:val="24"/>
          <w:szCs w:val="24"/>
        </w:rPr>
      </w:pPr>
    </w:p>
    <w:p w14:paraId="61C40A25" w14:textId="77777777" w:rsidR="00B47300" w:rsidRDefault="00414E9C">
      <w:pPr>
        <w:spacing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Introduction</w:t>
      </w:r>
      <w:r>
        <w:rPr>
          <w:rFonts w:ascii="Times New Roman" w:eastAsia="Times New Roman" w:hAnsi="Times New Roman" w:cs="Times New Roman"/>
          <w:color w:val="0E101A"/>
          <w:sz w:val="24"/>
          <w:szCs w:val="24"/>
        </w:rPr>
        <w:t xml:space="preserve"> </w:t>
      </w:r>
    </w:p>
    <w:p w14:paraId="38C61358"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Social anxiety (SA) is a common and debilitating mental disorder that involves a persistent fear of being negatively evaluated or embarrassed in social situations. People with social anxiety may avoid or endure social interactions with intense distress, which can impair their functioning and quality of life. Social anxiety can affect people of any age, culture, or background, but it often begins in adolescence or early adulthood. Social anxiety in Nigeria may be influenced by various cultural and contextual factors, such as stigma, discrimination, violence, poverty, and lack of mental health services. Some studies have suggested that Nigerians may have different conceptualizations and expressions of social anxiety than Western populations and that social anxiety may be related to specific fears of witchcraft, evil spirits, or curses (Jefferies &amp; Ungar 2020). Moreover, social anxiety may be exacerbated by the high expectations and pressures to conform to social norms and roles in Nigerian society, especially for women and young people (Jefferies &amp; Ungar 2020).</w:t>
      </w:r>
    </w:p>
    <w:p w14:paraId="21E0F202"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Social Anxiety Disorder (SAD) affects 12.1% of the population, is chronic, and can lead to significant disabilities in education, employment, and relationships (Maya et al., 2017). For example, individuals with social anxiety are more likely to leave school early, achieve lower educational qualifications, and experience increased bullying (Acquah et al., 2016; Leigh &amp; Clark, 2018). In the workplace, they often have lower productivity, higher absenteeism (Leigh &amp; Clark, 2018), and fewer friendships across different areas of their lives (Jefferies &amp; Ungar, 2020). SAD commonly co-occurs with other conditions like depression, generalized anxiety disorder, and substance abuse (Spence &amp; </w:t>
      </w:r>
      <w:proofErr w:type="spellStart"/>
      <w:r>
        <w:rPr>
          <w:rFonts w:ascii="Times New Roman" w:eastAsia="Times New Roman" w:hAnsi="Times New Roman" w:cs="Times New Roman"/>
          <w:color w:val="0E101A"/>
          <w:sz w:val="24"/>
          <w:szCs w:val="24"/>
        </w:rPr>
        <w:t>Rapee</w:t>
      </w:r>
      <w:proofErr w:type="spellEnd"/>
      <w:r>
        <w:rPr>
          <w:rFonts w:ascii="Times New Roman" w:eastAsia="Times New Roman" w:hAnsi="Times New Roman" w:cs="Times New Roman"/>
          <w:color w:val="0E101A"/>
          <w:sz w:val="24"/>
          <w:szCs w:val="24"/>
        </w:rPr>
        <w:t xml:space="preserve">, 2016; Goodwin &amp; Stein, 2021), and it is </w:t>
      </w:r>
      <w:r>
        <w:rPr>
          <w:rFonts w:ascii="Times New Roman" w:eastAsia="Times New Roman" w:hAnsi="Times New Roman" w:cs="Times New Roman"/>
          <w:color w:val="0E101A"/>
          <w:sz w:val="24"/>
          <w:szCs w:val="24"/>
        </w:rPr>
        <w:lastRenderedPageBreak/>
        <w:t>associated with reduced well-being (Jefferies &amp; Ungar, 2020). Despite the severe distress caused by social anxiety symptoms, most individuals with SAD do not seek treatment (Anxiety and Depression Association of America, ADAA). Consequently, SAD has a lasting impact on individuals' lives, even though effective treatments exist (Hur et al., 2020).</w:t>
      </w:r>
    </w:p>
    <w:p w14:paraId="4DB104CD"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Research from both community and clinical settings identifies SAD as a prevalent and debilitating condition (Stein et al., 2017). The National Comorbidity Survey (NCS) and its follow-up (NCS-R) in the United States found that SAD is among the most common mental disorders in adults, with lifetime prevalence rates of 16% and 12.1%, respectively (Ruscio et al., 2008). These surveys also highlighted that SAD typically begins at an early age and is frequently associated with other mental disorders (Hugo et al., 2022). Most epidemiological data on SAD comes from Western high-income countries (Stein et al., 2017). Data from Europe and the US show similar patterns of high SAD prevalence and comorbidity (Stein et al., 2017). However, some argue that SAD might be a uniquely Western phenomenon (</w:t>
      </w:r>
      <w:proofErr w:type="spellStart"/>
      <w:r>
        <w:rPr>
          <w:rFonts w:ascii="Times New Roman" w:eastAsia="Times New Roman" w:hAnsi="Times New Roman" w:cs="Times New Roman"/>
          <w:color w:val="0E101A"/>
          <w:sz w:val="24"/>
          <w:szCs w:val="24"/>
        </w:rPr>
        <w:t>Dowbiggin</w:t>
      </w:r>
      <w:proofErr w:type="spellEnd"/>
      <w:r>
        <w:rPr>
          <w:rFonts w:ascii="Times New Roman" w:eastAsia="Times New Roman" w:hAnsi="Times New Roman" w:cs="Times New Roman"/>
          <w:color w:val="0E101A"/>
          <w:sz w:val="24"/>
          <w:szCs w:val="24"/>
        </w:rPr>
        <w:t>, 2009). To investigate this, Stein et al. (2017) used data from the WHO World Mental Health (WMH) Survey Initiative to examine SAD's epidemiology globally. Their study revealed that SAD prevalence rates were lowest in low/lower-middle-income countries, Africa, and the Eastern Mediterranean regions and highest in high-income countries, the Americas, and the Western Pacific regions.</w:t>
      </w:r>
    </w:p>
    <w:p w14:paraId="1B1210A8"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According to the WHO World Mental Health (WMH) Survey Initiative, the prevalence of SAD among adults aged 18 and above in Nigeria is 0.2%, significantly lower than the global average of 4.0%. However, the report also notes that reliable data on mental health in Nigeria is scarce, and many people with SAD may not seek help due to stigma, lack of awareness, or limited access to mental health services. Therefore, the actual prevalence of SAD in Nigeria may be higher than reported. The study also found that SAD typically begins early in life worldwide. In Nigeria, the median age of onset is 11 years, meaning that half of the individuals who develop SAD experience symptoms by this age, with symptoms persisting the longest in upper-middle-income countries and the Eastern Mediterranean. Furthermore, SAD was linked to socio-demographic factors, including younger age, female gender, unmarried status, lower education, and lower income across different countries, suggesting that the epidemiology of SAD is consistent globally. This global analysis indicates that SAD is not exclusively a Western phenomenon and underscores its significance in international clinical and public health.</w:t>
      </w:r>
    </w:p>
    <w:p w14:paraId="1F15AAE4"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Gaming is a popular form of entertainment enjoyed by tens of millions worldwide. While most individuals encounter no issues with their gaming habits, certain adverse effects can arise for some. Research has indicated that excessive use of technological devices may pose risks, especially for adolescents (Eleuteri et al., 2017). The American Psychiatric Association (2013) identified "Internet gaming disorder" as a condition warranting further study in the 5th edition of the Diagnostic and Statistical Manual of Mental Disorders (DSM-5). The DSM-5 outlines nine criteria for this disorder: preoccupation, withdrawal symptoms, tolerance, unsuccessful attempts to reduce use, loss of interest in previous hobbies, continued excessive use, deception, using gaming to escape negative moods, and jeopardizing significant relationships, jobs, or opportunities (APA, 2013). The World Health Organization also recognized gaming disorder (GD), including its criteria in the 11th edition of the International Classification of Diseases (ICD-11), receiving validation from experts (Castro-Calvo et al., 2021). Gaming has become a daily routine for many, with the Entertainment Software Association's (ESA) 2020 report estimating 214 million gamers in the United States, 75% of who are children and adolescents. In Sub-Saharan Africa, gamers increased from 77 million to 186 million between 2015 and 2021, </w:t>
      </w:r>
      <w:r>
        <w:rPr>
          <w:rFonts w:ascii="Times New Roman" w:eastAsia="Times New Roman" w:hAnsi="Times New Roman" w:cs="Times New Roman"/>
          <w:color w:val="0E101A"/>
          <w:sz w:val="24"/>
          <w:szCs w:val="24"/>
        </w:rPr>
        <w:lastRenderedPageBreak/>
        <w:t>with Nigeria leading with 46.5 million gamers and holding the second-largest gaming market in Africa, valued at 184.6 million USD (</w:t>
      </w:r>
      <w:proofErr w:type="spellStart"/>
      <w:r>
        <w:rPr>
          <w:rFonts w:ascii="Times New Roman" w:eastAsia="Times New Roman" w:hAnsi="Times New Roman" w:cs="Times New Roman"/>
          <w:color w:val="0E101A"/>
          <w:sz w:val="24"/>
          <w:szCs w:val="24"/>
        </w:rPr>
        <w:t>Newzoo</w:t>
      </w:r>
      <w:proofErr w:type="spellEnd"/>
      <w:r>
        <w:rPr>
          <w:rFonts w:ascii="Times New Roman" w:eastAsia="Times New Roman" w:hAnsi="Times New Roman" w:cs="Times New Roman"/>
          <w:color w:val="0E101A"/>
          <w:sz w:val="24"/>
          <w:szCs w:val="24"/>
        </w:rPr>
        <w:t>, 2021). Gaming spans three main categories: PC gaming, console gaming, and mobile gaming.</w:t>
      </w:r>
    </w:p>
    <w:p w14:paraId="1D49A69A"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Mobile gaming is a form of digital entertainment that involves playing games on mobile devices, such as smartphones or tablets. Mobile gaming has become increasingly popular and accessible in Nigeria, due to the large and youthful population, the improving internet penetration, and the availability of affordable internet-enabled devices (PwC 2018). The mobile gaming market in Nigeria is projected to reach US$55.92 million in revenue in 2023, with a user penetration of 36.0%. The app-based mobile gaming market is estimated to be worth approximately $126 million in 2023. (Statista Market Forecast, 2023). Gaming disorder has been extensively studied worldwide, particularly in Western and Asian countries (Berle et al., 2015; </w:t>
      </w:r>
      <w:proofErr w:type="spellStart"/>
      <w:r>
        <w:rPr>
          <w:rFonts w:ascii="Times New Roman" w:eastAsia="Times New Roman" w:hAnsi="Times New Roman" w:cs="Times New Roman"/>
          <w:color w:val="0E101A"/>
          <w:sz w:val="24"/>
          <w:szCs w:val="24"/>
        </w:rPr>
        <w:t>Stavropolous</w:t>
      </w:r>
      <w:proofErr w:type="spellEnd"/>
      <w:r>
        <w:rPr>
          <w:rFonts w:ascii="Times New Roman" w:eastAsia="Times New Roman" w:hAnsi="Times New Roman" w:cs="Times New Roman"/>
          <w:color w:val="0E101A"/>
          <w:sz w:val="24"/>
          <w:szCs w:val="24"/>
        </w:rPr>
        <w:t xml:space="preserve"> et al., 2016; Anderson et al., 2016; Raneri et al., 2022; Dong &amp; Potenza, 2022; Wang et al., 2022). However, research on this topic has been less prevalent in Africa, especially in Nigeria. According to a Statista report (2023), the number of gamers in Africa is projected to rise to 457.20 million by 2027, with a substantial proportion of these users being adolescents. This highlights the need for focused and appropriate research in this area.</w:t>
      </w:r>
    </w:p>
    <w:p w14:paraId="2D891725"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However, mobile gaming also poses some risks and challenges for the users, especially the young ones, who may develop mobile gaming addiction, which is a compulsive and excessive use of mobile games that interferes with one's daily life and well-being. Mobile gaming addiction can have negative consequences for the physical, psychological, social, and academic aspects of the users' lives, such as eye strain, sleep deprivation, anxiety, depression, isolation, poor academic performance, and financial problems (Haberlin, et al, 2022; </w:t>
      </w:r>
      <w:proofErr w:type="spellStart"/>
      <w:r>
        <w:rPr>
          <w:rFonts w:ascii="Times New Roman" w:eastAsia="Times New Roman" w:hAnsi="Times New Roman" w:cs="Times New Roman"/>
          <w:color w:val="0E101A"/>
          <w:sz w:val="24"/>
          <w:szCs w:val="24"/>
        </w:rPr>
        <w:t>Aguocha</w:t>
      </w:r>
      <w:proofErr w:type="spellEnd"/>
      <w:r>
        <w:rPr>
          <w:rFonts w:ascii="Times New Roman" w:eastAsia="Times New Roman" w:hAnsi="Times New Roman" w:cs="Times New Roman"/>
          <w:color w:val="0E101A"/>
          <w:sz w:val="24"/>
          <w:szCs w:val="24"/>
        </w:rPr>
        <w:t xml:space="preserve"> &amp; </w:t>
      </w:r>
      <w:proofErr w:type="spellStart"/>
      <w:r>
        <w:rPr>
          <w:rFonts w:ascii="Times New Roman" w:eastAsia="Times New Roman" w:hAnsi="Times New Roman" w:cs="Times New Roman"/>
          <w:color w:val="0E101A"/>
          <w:sz w:val="24"/>
          <w:szCs w:val="24"/>
        </w:rPr>
        <w:t>Uwakwe</w:t>
      </w:r>
      <w:proofErr w:type="spellEnd"/>
      <w:r>
        <w:rPr>
          <w:rFonts w:ascii="Times New Roman" w:eastAsia="Times New Roman" w:hAnsi="Times New Roman" w:cs="Times New Roman"/>
          <w:color w:val="0E101A"/>
          <w:sz w:val="24"/>
          <w:szCs w:val="24"/>
        </w:rPr>
        <w:t xml:space="preserve"> 2020)</w:t>
      </w:r>
    </w:p>
    <w:p w14:paraId="7F49BEEE"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Research by </w:t>
      </w:r>
      <w:proofErr w:type="spellStart"/>
      <w:r>
        <w:rPr>
          <w:rFonts w:ascii="Times New Roman" w:eastAsia="Times New Roman" w:hAnsi="Times New Roman" w:cs="Times New Roman"/>
          <w:color w:val="0E101A"/>
          <w:sz w:val="24"/>
          <w:szCs w:val="24"/>
        </w:rPr>
        <w:t>Onivehu</w:t>
      </w:r>
      <w:proofErr w:type="spellEnd"/>
      <w:r>
        <w:rPr>
          <w:rFonts w:ascii="Times New Roman" w:eastAsia="Times New Roman" w:hAnsi="Times New Roman" w:cs="Times New Roman"/>
          <w:color w:val="0E101A"/>
          <w:sz w:val="24"/>
          <w:szCs w:val="24"/>
        </w:rPr>
        <w:t xml:space="preserve"> (2021) has brought the issue of video gaming addiction into the spotlight within Nigeria’s educational community. This study explored the occurrence and associated factors of video gaming addiction among a random sample of adolescents attending both public and private secondary schools in Kwara State. It was discovered that video gaming addiction affected 6.7% of the surveyed students. Another study by </w:t>
      </w:r>
      <w:proofErr w:type="spellStart"/>
      <w:r>
        <w:rPr>
          <w:rFonts w:ascii="Times New Roman" w:eastAsia="Times New Roman" w:hAnsi="Times New Roman" w:cs="Times New Roman"/>
          <w:color w:val="0E101A"/>
          <w:sz w:val="24"/>
          <w:szCs w:val="24"/>
        </w:rPr>
        <w:t>Aguocha</w:t>
      </w:r>
      <w:proofErr w:type="spellEnd"/>
      <w:r>
        <w:rPr>
          <w:rFonts w:ascii="Times New Roman" w:eastAsia="Times New Roman" w:hAnsi="Times New Roman" w:cs="Times New Roman"/>
          <w:color w:val="0E101A"/>
          <w:sz w:val="24"/>
          <w:szCs w:val="24"/>
        </w:rPr>
        <w:t xml:space="preserve"> &amp; </w:t>
      </w:r>
      <w:proofErr w:type="spellStart"/>
      <w:r>
        <w:rPr>
          <w:rFonts w:ascii="Times New Roman" w:eastAsia="Times New Roman" w:hAnsi="Times New Roman" w:cs="Times New Roman"/>
          <w:color w:val="0E101A"/>
          <w:sz w:val="24"/>
          <w:szCs w:val="24"/>
        </w:rPr>
        <w:t>Uwakwe</w:t>
      </w:r>
      <w:proofErr w:type="spellEnd"/>
      <w:r>
        <w:rPr>
          <w:rFonts w:ascii="Times New Roman" w:eastAsia="Times New Roman" w:hAnsi="Times New Roman" w:cs="Times New Roman"/>
          <w:b/>
          <w:bCs/>
          <w:color w:val="0E101A"/>
          <w:sz w:val="24"/>
          <w:szCs w:val="24"/>
        </w:rPr>
        <w:t xml:space="preserve"> </w:t>
      </w:r>
      <w:r>
        <w:rPr>
          <w:rFonts w:ascii="Times New Roman" w:eastAsia="Times New Roman" w:hAnsi="Times New Roman" w:cs="Times New Roman"/>
          <w:color w:val="0E101A"/>
          <w:sz w:val="24"/>
          <w:szCs w:val="24"/>
        </w:rPr>
        <w:t xml:space="preserve">(2020) found that 18.5% of senior secondary school students in Owerri met the criteria for mobile gaming addiction and that male students, students from private schools, and students who spent more than two hours per day on mobile gaming were more likely to be addicted. The causes and factors that contribute to mobile gaming addiction in Nigeria are complex and multifaceted, but some possible explanations include: the gratification and escapism that mobile games provide for the users; the social and competitive aspects of mobile games that foster peer pressure and social comparison; the materialistic and consumerist culture that encourages spending money on mobile games; the lack of awareness and regulation of mobile gaming among the users, parents, educators, and authorities; and the lack of alternative recreational and educational opportunities for the users(Haberlin &amp; Atkin 2022) </w:t>
      </w:r>
    </w:p>
    <w:p w14:paraId="4B2E9E28"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Several studies have found that mobile gaming addiction is positively associated with social anxiety, as well as depression and loneliness (Wang, et al., 2019, Gioia, et al., 2022). One possible explanation is that socially anxious individuals may perceive online games as safer and more comfortable social environments than face-to-face interactions, and may use them as a coping strategy to escape from their negative emotions or real-life challenges (Wang, et al., 2019, Gioia, et al., 2022). However, this may also create a vicious cycle, as excessive gaming may isolate them from real social contacts and worsen their social skills and self-esteem, which in turn may increase their social anxiety (Wang, et al., 2019, Gioia, et al., 2022).</w:t>
      </w:r>
    </w:p>
    <w:p w14:paraId="56763B5F"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 xml:space="preserve">Another possible explanation is that mobile gaming addiction may cause social anxiety, as it may interfere with other aspects of one's life, such as physical and mental health, relationships, and academic or work performance (Wang, et al., 2019). Individuals who are addicted to mobile games may experience guilt, shame, or fear of being judged by others for their gaming behaviour, and may avoid social situations where they may be exposed or criticized (Wang, et al., 2019). Adolescents may also suffer from withdrawal symptoms, such as irritability, anxiety, or depression when they are not able to play their </w:t>
      </w:r>
      <w:proofErr w:type="spellStart"/>
      <w:r>
        <w:rPr>
          <w:rFonts w:ascii="Times New Roman" w:eastAsia="Times New Roman" w:hAnsi="Times New Roman" w:cs="Times New Roman"/>
          <w:color w:val="0E101A"/>
          <w:sz w:val="24"/>
          <w:szCs w:val="24"/>
        </w:rPr>
        <w:t>favourite</w:t>
      </w:r>
      <w:proofErr w:type="spellEnd"/>
      <w:r>
        <w:rPr>
          <w:rFonts w:ascii="Times New Roman" w:eastAsia="Times New Roman" w:hAnsi="Times New Roman" w:cs="Times New Roman"/>
          <w:color w:val="0E101A"/>
          <w:sz w:val="24"/>
          <w:szCs w:val="24"/>
        </w:rPr>
        <w:t xml:space="preserve"> games (Wang, et al., 2019). Despite the increasing research on mobile gaming addiction and its psychological implications, there is a significant gap in the literature regarding its relationship with social anxiety, particularly among undergraduate students. Most studies have focused on the general population or younger adolescents, leaving the undergraduate population largely unexplored (Gioia, et al., 2022). Furthermore, the predictive nature of mobile gaming addiction on social anxiety has not been thoroughly investigated. This study aims to fill these gaps by examining the predictive role of mobile gaming addiction on social anxiety among undergraduate students.</w:t>
      </w:r>
    </w:p>
    <w:p w14:paraId="10D0995C"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significance of studying the relationship between mobile gaming addiction and social anxiety lies in the potential negative effects of this new type of </w:t>
      </w:r>
      <w:proofErr w:type="spellStart"/>
      <w:r>
        <w:rPr>
          <w:rFonts w:ascii="Times New Roman" w:eastAsia="Times New Roman" w:hAnsi="Times New Roman" w:cs="Times New Roman"/>
          <w:color w:val="0E101A"/>
          <w:sz w:val="24"/>
          <w:szCs w:val="24"/>
        </w:rPr>
        <w:t>behavioural</w:t>
      </w:r>
      <w:proofErr w:type="spellEnd"/>
      <w:r>
        <w:rPr>
          <w:rFonts w:ascii="Times New Roman" w:eastAsia="Times New Roman" w:hAnsi="Times New Roman" w:cs="Times New Roman"/>
          <w:color w:val="0E101A"/>
          <w:sz w:val="24"/>
          <w:szCs w:val="24"/>
        </w:rPr>
        <w:t xml:space="preserve"> addiction on mental health. With the fast development of mobile technology, many functions of desktop computers have been transferred to mobile devices like smartphones and tablets, which is especially the case for game applications. Mobile video games are particularly popular when they can be downloaded for free and adolescents are the main user group.</w:t>
      </w:r>
    </w:p>
    <w:p w14:paraId="2D981CD7"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Research has shown that mobile game addiction is positively associated with social anxiety, depression, and loneliness (Wang, et al., 2019). By studying this relationship, we can better understand the impact of mobile gaming on mental health and develop strategies to address these issues. For example, understanding the gender differences in the relationship between mobile gaming addiction and social anxiety can help us develop targeted interventions.</w:t>
      </w:r>
    </w:p>
    <w:p w14:paraId="3F972358"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2433CC80"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Materials and Methods</w:t>
      </w:r>
    </w:p>
    <w:p w14:paraId="723902B2"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Research Design </w:t>
      </w:r>
    </w:p>
    <w:p w14:paraId="10294959"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 cross-sectional design was </w:t>
      </w:r>
      <w:proofErr w:type="spellStart"/>
      <w:r>
        <w:rPr>
          <w:rFonts w:ascii="Times New Roman" w:eastAsia="Times New Roman" w:hAnsi="Times New Roman" w:cs="Times New Roman"/>
          <w:color w:val="0E101A"/>
          <w:sz w:val="24"/>
          <w:szCs w:val="24"/>
        </w:rPr>
        <w:t>utilised</w:t>
      </w:r>
      <w:proofErr w:type="spellEnd"/>
      <w:r>
        <w:rPr>
          <w:rFonts w:ascii="Times New Roman" w:eastAsia="Times New Roman" w:hAnsi="Times New Roman" w:cs="Times New Roman"/>
          <w:color w:val="0E101A"/>
          <w:sz w:val="24"/>
          <w:szCs w:val="24"/>
        </w:rPr>
        <w:t xml:space="preserve"> for this study. The survey design, consisting of self-administered instruments was used to evaluate mobile gaming addiction as a predictor of social anxiety among undergraduate students.  </w:t>
      </w:r>
    </w:p>
    <w:p w14:paraId="1AEF975A"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748E1E20"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Participants</w:t>
      </w:r>
    </w:p>
    <w:p w14:paraId="0B26A7F1"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study participants comprised 300 undergraduate students from Redeemers University. The sample was drawn between January and March 2024. Multi-stage sampling method was used for sample selection.  </w:t>
      </w:r>
    </w:p>
    <w:p w14:paraId="650574D5"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1D5FF6A2"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Measures </w:t>
      </w:r>
    </w:p>
    <w:p w14:paraId="058563DF"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study will use two self-report questionnaires to measure social interaction anxiety and </w:t>
      </w:r>
    </w:p>
    <w:p w14:paraId="69550C45"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mobile gaming addiction:</w:t>
      </w:r>
    </w:p>
    <w:p w14:paraId="7EC49DFC"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57EDD477"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Social Interaction Anxiety Scale (SIAS):</w:t>
      </w:r>
      <w:r>
        <w:rPr>
          <w:rFonts w:ascii="Times New Roman" w:eastAsia="Times New Roman" w:hAnsi="Times New Roman" w:cs="Times New Roman"/>
          <w:color w:val="0E101A"/>
          <w:sz w:val="24"/>
          <w:szCs w:val="24"/>
        </w:rPr>
        <w:t xml:space="preserve"> The Social Interaction Anxiety Scale (SIAS) was developed by Mattick and Clarke in 1998. It is a 20-item self-report measure designed to assess anxiety related to social interactions. Each item is scored on a 5-point Likert scale, ranging from 0 (not at all characteristic or true of me) to 4 (extremely characteristic or true of me). The total score is obtained by summing the responses, with higher scores indicating greater social </w:t>
      </w:r>
      <w:r>
        <w:rPr>
          <w:rFonts w:ascii="Times New Roman" w:eastAsia="Times New Roman" w:hAnsi="Times New Roman" w:cs="Times New Roman"/>
          <w:color w:val="0E101A"/>
          <w:sz w:val="24"/>
          <w:szCs w:val="24"/>
        </w:rPr>
        <w:lastRenderedPageBreak/>
        <w:t>interaction anxiety. The SIAS has a Cronbach's alpha of .96, indicating excellent internal consistency.</w:t>
      </w:r>
    </w:p>
    <w:p w14:paraId="59FCC640"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514E6A1A"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Internet Gaming Disorder Scale–Short-Form (IGDS9-SF):</w:t>
      </w:r>
      <w:r>
        <w:rPr>
          <w:rFonts w:ascii="Times New Roman" w:eastAsia="Times New Roman" w:hAnsi="Times New Roman" w:cs="Times New Roman"/>
          <w:color w:val="0E101A"/>
          <w:sz w:val="24"/>
          <w:szCs w:val="24"/>
        </w:rPr>
        <w:t xml:space="preserve"> The Internet Gaming Disorder Scale–Short-Form (IGDS9-SF) was developed by Pontes and Griffiths in 2015. It is a 9-item self-report scale designed to assess the severity of internet gaming disorder based on the criteria in the DSM-5. Each item is scored on a 5-point Likert scale, ranging from 1 (never) to 5 (very often). The total score is obtained by summing the item responses, with higher scores indicating a higher level of internet gaming disorder symptoms. The IGDS9-SF is a valid and reliable measure of IGD in adolescents and adults. The IGDS9-SF has a Cronbach's alpha of .86, indicating good internal consistency.</w:t>
      </w:r>
    </w:p>
    <w:p w14:paraId="48495404"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4028FEDC"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Results</w:t>
      </w:r>
    </w:p>
    <w:p w14:paraId="7FC61CDA" w14:textId="77777777" w:rsidR="00B47300" w:rsidRDefault="00414E9C">
      <w:pPr>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Socio-Demographic Characteristics of the participants</w:t>
      </w:r>
    </w:p>
    <w:p w14:paraId="6E4DDCB7" w14:textId="77777777" w:rsidR="00B47300" w:rsidRDefault="00414E9C">
      <w:pPr>
        <w:widowControl w:val="0"/>
        <w:spacing w:line="240" w:lineRule="auto"/>
        <w:jc w:val="both"/>
        <w:rPr>
          <w:rFonts w:ascii="Times New Roman" w:hAnsi="Times New Roman" w:cs="Times New Roman"/>
          <w:color w:val="000000"/>
          <w:sz w:val="24"/>
          <w:szCs w:val="24"/>
          <w:lang w:eastAsia="zh-CN"/>
        </w:rPr>
      </w:pPr>
      <w:r>
        <w:rPr>
          <w:rFonts w:ascii="Times New Roman" w:hAnsi="Times New Roman" w:cs="Times New Roman"/>
          <w:bCs/>
          <w:color w:val="000000"/>
          <w:sz w:val="24"/>
          <w:szCs w:val="24"/>
        </w:rPr>
        <w:t>O</w:t>
      </w:r>
      <w:r>
        <w:rPr>
          <w:rFonts w:ascii="Times New Roman" w:hAnsi="Times New Roman" w:cs="Times New Roman"/>
          <w:sz w:val="24"/>
          <w:szCs w:val="24"/>
        </w:rPr>
        <w:t xml:space="preserve">f the 300 participants, 149 (49.7%) were male while 151 were female (50.3%). Distribution of the level of study showed that 113(37.7%) were in 100 level, 66(22.0%) 200 level, 50(16.7%) in 300 level, 56(18.7%) in 400 level while 15(5.0%) are in 500 level. </w:t>
      </w:r>
      <w:r>
        <w:rPr>
          <w:rFonts w:ascii="Times New Roman" w:hAnsi="Times New Roman" w:cs="Times New Roman"/>
          <w:color w:val="000000"/>
          <w:sz w:val="24"/>
          <w:szCs w:val="24"/>
          <w:lang w:eastAsia="zh-CN"/>
        </w:rPr>
        <w:t>The participants’ age ranged between 13 years and 26 years (19.53± 2.22).</w:t>
      </w:r>
    </w:p>
    <w:p w14:paraId="3C194CB2" w14:textId="2D0970F0" w:rsidR="00B47300" w:rsidRDefault="00B47300">
      <w:pPr>
        <w:spacing w:line="240" w:lineRule="auto"/>
        <w:jc w:val="both"/>
        <w:rPr>
          <w:rFonts w:ascii="Times New Roman" w:hAnsi="Times New Roman" w:cs="Times New Roman"/>
          <w:color w:val="000000"/>
          <w:sz w:val="24"/>
          <w:szCs w:val="24"/>
          <w:lang w:eastAsia="zh-CN"/>
        </w:rPr>
      </w:pPr>
    </w:p>
    <w:p w14:paraId="5E3E6E85" w14:textId="77777777" w:rsidR="009B5838" w:rsidRDefault="009B5838">
      <w:pPr>
        <w:spacing w:line="240" w:lineRule="auto"/>
        <w:jc w:val="both"/>
        <w:rPr>
          <w:rFonts w:ascii="Times New Roman" w:hAnsi="Times New Roman" w:cs="Times New Roman"/>
          <w:color w:val="000000"/>
          <w:sz w:val="24"/>
          <w:szCs w:val="24"/>
          <w:lang w:eastAsia="zh-CN"/>
        </w:rPr>
      </w:pPr>
    </w:p>
    <w:p w14:paraId="31A01804" w14:textId="77777777" w:rsidR="00B47300" w:rsidRDefault="00414E9C">
      <w:pPr>
        <w:spacing w:line="240" w:lineRule="auto"/>
        <w:jc w:val="both"/>
        <w:rPr>
          <w:rFonts w:ascii="Times New Roman" w:hAnsi="Times New Roman" w:cs="Times New Roman"/>
          <w:b/>
          <w:iCs/>
          <w:color w:val="000000"/>
          <w:sz w:val="24"/>
          <w:szCs w:val="24"/>
          <w:lang w:eastAsia="zh-CN"/>
        </w:rPr>
      </w:pPr>
      <w:r>
        <w:rPr>
          <w:rFonts w:ascii="Times New Roman" w:hAnsi="Times New Roman" w:cs="Times New Roman"/>
          <w:b/>
          <w:iCs/>
          <w:color w:val="000000"/>
          <w:sz w:val="24"/>
          <w:szCs w:val="24"/>
          <w:lang w:eastAsia="zh-CN"/>
        </w:rPr>
        <w:t>Prevalence of the Variables of the Study</w:t>
      </w:r>
    </w:p>
    <w:p w14:paraId="65C612A4" w14:textId="77777777" w:rsidR="00B47300" w:rsidRDefault="00B47300">
      <w:pPr>
        <w:spacing w:line="240" w:lineRule="auto"/>
        <w:jc w:val="both"/>
        <w:rPr>
          <w:rFonts w:ascii="Times New Roman" w:hAnsi="Times New Roman" w:cs="Times New Roman"/>
          <w:b/>
          <w:iCs/>
          <w:color w:val="000000"/>
          <w:sz w:val="24"/>
          <w:szCs w:val="24"/>
          <w:lang w:eastAsia="zh-CN"/>
        </w:rPr>
      </w:pPr>
    </w:p>
    <w:p w14:paraId="7AC5F876" w14:textId="77777777" w:rsidR="00B47300" w:rsidRDefault="00414E9C">
      <w:pPr>
        <w:spacing w:line="240" w:lineRule="auto"/>
        <w:jc w:val="both"/>
        <w:rPr>
          <w:rFonts w:ascii="Times New Roman" w:hAnsi="Times New Roman" w:cs="Times New Roman"/>
          <w:b/>
          <w:iCs/>
          <w:sz w:val="24"/>
          <w:szCs w:val="24"/>
        </w:rPr>
      </w:pPr>
      <w:r>
        <w:rPr>
          <w:rFonts w:ascii="Times New Roman" w:hAnsi="Times New Roman" w:cs="Times New Roman"/>
          <w:b/>
          <w:iCs/>
          <w:color w:val="000000"/>
          <w:sz w:val="24"/>
          <w:szCs w:val="24"/>
          <w:lang w:eastAsia="zh-CN"/>
        </w:rPr>
        <w:t>Table 1</w:t>
      </w:r>
    </w:p>
    <w:p w14:paraId="17D9D3BC" w14:textId="77777777" w:rsidR="00B47300" w:rsidRDefault="00414E9C">
      <w:pPr>
        <w:widowControl w:val="0"/>
        <w:spacing w:line="240" w:lineRule="auto"/>
        <w:jc w:val="both"/>
        <w:rPr>
          <w:rFonts w:ascii="Times New Roman" w:hAnsi="Times New Roman" w:cs="Times New Roman"/>
          <w:bCs/>
          <w:i/>
          <w:color w:val="000000"/>
          <w:sz w:val="18"/>
          <w:szCs w:val="18"/>
          <w:lang w:eastAsia="zh-CN"/>
        </w:rPr>
      </w:pPr>
      <w:r>
        <w:rPr>
          <w:rFonts w:ascii="Times New Roman" w:hAnsi="Times New Roman" w:cs="Times New Roman"/>
          <w:bCs/>
          <w:i/>
          <w:color w:val="000000"/>
          <w:sz w:val="24"/>
          <w:szCs w:val="24"/>
          <w:lang w:eastAsia="zh-CN"/>
        </w:rPr>
        <w:t>Frequency, Percentage, Mean, and Standard Deviation Showing the Prevalence of the Variables of the Study</w:t>
      </w:r>
    </w:p>
    <w:tbl>
      <w:tblPr>
        <w:tblStyle w:val="TableGrid2"/>
        <w:tblpPr w:leftFromText="180" w:rightFromText="180" w:vertAnchor="text" w:horzAnchor="margin" w:tblpXSpec="center" w:tblpY="303"/>
        <w:tblW w:w="9602" w:type="dxa"/>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38"/>
        <w:gridCol w:w="713"/>
        <w:gridCol w:w="637"/>
        <w:gridCol w:w="800"/>
        <w:gridCol w:w="725"/>
        <w:gridCol w:w="900"/>
        <w:gridCol w:w="625"/>
        <w:gridCol w:w="813"/>
        <w:gridCol w:w="537"/>
        <w:gridCol w:w="638"/>
        <w:gridCol w:w="686"/>
      </w:tblGrid>
      <w:tr w:rsidR="00B47300" w14:paraId="0A2B2139" w14:textId="77777777">
        <w:trPr>
          <w:trHeight w:val="78"/>
          <w:jc w:val="center"/>
        </w:trPr>
        <w:tc>
          <w:tcPr>
            <w:tcW w:w="9599" w:type="dxa"/>
            <w:gridSpan w:val="12"/>
            <w:tcBorders>
              <w:top w:val="single" w:sz="4" w:space="0" w:color="auto"/>
              <w:bottom w:val="nil"/>
            </w:tcBorders>
            <w:shd w:val="clear" w:color="auto" w:fill="auto"/>
          </w:tcPr>
          <w:p w14:paraId="1A9C995C" w14:textId="77777777" w:rsidR="00B47300" w:rsidRDefault="00414E9C">
            <w:pPr>
              <w:spacing w:line="240" w:lineRule="auto"/>
              <w:jc w:val="center"/>
              <w:rPr>
                <w:rFonts w:ascii="Calibri" w:eastAsia="Times New Roman" w:hAnsi="Calibri" w:cs="Times New Roman"/>
                <w:sz w:val="18"/>
                <w:szCs w:val="18"/>
              </w:rPr>
            </w:pPr>
            <w:r>
              <w:rPr>
                <w:rFonts w:ascii="Times New Roman" w:eastAsia="Times New Roman" w:hAnsi="Times New Roman" w:cs="Times New Roman"/>
                <w:sz w:val="18"/>
                <w:szCs w:val="18"/>
              </w:rPr>
              <w:t>Prevalence</w:t>
            </w:r>
          </w:p>
          <w:p w14:paraId="04B40B88"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 </w:t>
            </w:r>
          </w:p>
        </w:tc>
      </w:tr>
      <w:tr w:rsidR="00B47300" w14:paraId="5C5013C3" w14:textId="77777777">
        <w:trPr>
          <w:trHeight w:val="153"/>
          <w:jc w:val="center"/>
        </w:trPr>
        <w:tc>
          <w:tcPr>
            <w:tcW w:w="1888" w:type="dxa"/>
            <w:tcBorders>
              <w:top w:val="nil"/>
              <w:bottom w:val="single" w:sz="4" w:space="0" w:color="auto"/>
            </w:tcBorders>
            <w:shd w:val="clear" w:color="auto" w:fill="auto"/>
          </w:tcPr>
          <w:p w14:paraId="33A63FC1" w14:textId="77777777" w:rsidR="00B47300" w:rsidRDefault="00B47300">
            <w:pPr>
              <w:spacing w:line="240" w:lineRule="auto"/>
              <w:rPr>
                <w:rFonts w:ascii="Times New Roman" w:eastAsia="Times New Roman" w:hAnsi="Times New Roman" w:cs="Times New Roman"/>
                <w:sz w:val="18"/>
                <w:szCs w:val="18"/>
              </w:rPr>
            </w:pPr>
          </w:p>
        </w:tc>
        <w:tc>
          <w:tcPr>
            <w:tcW w:w="637" w:type="dxa"/>
            <w:tcBorders>
              <w:top w:val="nil"/>
              <w:bottom w:val="single" w:sz="4" w:space="0" w:color="auto"/>
            </w:tcBorders>
            <w:shd w:val="clear" w:color="auto" w:fill="auto"/>
          </w:tcPr>
          <w:p w14:paraId="0BE8A3DC" w14:textId="77777777" w:rsidR="00B47300" w:rsidRDefault="00B47300">
            <w:pPr>
              <w:spacing w:line="240" w:lineRule="auto"/>
              <w:rPr>
                <w:rFonts w:ascii="Times New Roman" w:eastAsia="Times New Roman" w:hAnsi="Times New Roman" w:cs="Times New Roman"/>
                <w:sz w:val="18"/>
                <w:szCs w:val="18"/>
              </w:rPr>
            </w:pPr>
          </w:p>
        </w:tc>
        <w:tc>
          <w:tcPr>
            <w:tcW w:w="713" w:type="dxa"/>
            <w:tcBorders>
              <w:top w:val="nil"/>
              <w:bottom w:val="single" w:sz="4" w:space="0" w:color="auto"/>
            </w:tcBorders>
            <w:shd w:val="clear" w:color="auto" w:fill="auto"/>
          </w:tcPr>
          <w:p w14:paraId="76E2F31B" w14:textId="77777777" w:rsidR="00B47300" w:rsidRDefault="00B47300">
            <w:pPr>
              <w:spacing w:line="240" w:lineRule="auto"/>
              <w:rPr>
                <w:rFonts w:ascii="Times New Roman" w:eastAsia="Times New Roman" w:hAnsi="Times New Roman" w:cs="Times New Roman"/>
                <w:sz w:val="18"/>
                <w:szCs w:val="18"/>
              </w:rPr>
            </w:pPr>
          </w:p>
        </w:tc>
        <w:tc>
          <w:tcPr>
            <w:tcW w:w="637" w:type="dxa"/>
            <w:tcBorders>
              <w:top w:val="nil"/>
              <w:bottom w:val="single" w:sz="4" w:space="0" w:color="auto"/>
            </w:tcBorders>
            <w:shd w:val="clear" w:color="auto" w:fill="auto"/>
          </w:tcPr>
          <w:p w14:paraId="7B9537E2" w14:textId="77777777" w:rsidR="00B47300" w:rsidRDefault="00B47300">
            <w:pPr>
              <w:spacing w:line="240" w:lineRule="auto"/>
              <w:rPr>
                <w:rFonts w:ascii="Times New Roman" w:eastAsia="Times New Roman" w:hAnsi="Times New Roman" w:cs="Times New Roman"/>
                <w:sz w:val="18"/>
                <w:szCs w:val="18"/>
              </w:rPr>
            </w:pPr>
          </w:p>
        </w:tc>
        <w:tc>
          <w:tcPr>
            <w:tcW w:w="1525" w:type="dxa"/>
            <w:gridSpan w:val="2"/>
            <w:tcBorders>
              <w:top w:val="nil"/>
              <w:bottom w:val="single" w:sz="4" w:space="0" w:color="auto"/>
            </w:tcBorders>
            <w:shd w:val="clear" w:color="auto" w:fill="auto"/>
          </w:tcPr>
          <w:p w14:paraId="268DDAA8" w14:textId="77777777" w:rsidR="00B47300" w:rsidRDefault="00B47300">
            <w:pPr>
              <w:spacing w:line="240" w:lineRule="auto"/>
              <w:rPr>
                <w:rFonts w:ascii="Times New Roman" w:eastAsia="Times New Roman" w:hAnsi="Times New Roman" w:cs="Times New Roman"/>
                <w:sz w:val="18"/>
                <w:szCs w:val="18"/>
              </w:rPr>
            </w:pPr>
          </w:p>
          <w:p w14:paraId="2B0A14C2"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None </w:t>
            </w:r>
          </w:p>
        </w:tc>
        <w:tc>
          <w:tcPr>
            <w:tcW w:w="1525" w:type="dxa"/>
            <w:gridSpan w:val="2"/>
            <w:tcBorders>
              <w:top w:val="nil"/>
              <w:bottom w:val="single" w:sz="4" w:space="0" w:color="auto"/>
            </w:tcBorders>
            <w:shd w:val="clear" w:color="auto" w:fill="auto"/>
          </w:tcPr>
          <w:p w14:paraId="3CCB1305" w14:textId="77777777" w:rsidR="00B47300" w:rsidRDefault="00B47300">
            <w:pPr>
              <w:spacing w:line="240" w:lineRule="auto"/>
              <w:rPr>
                <w:rFonts w:ascii="Times New Roman" w:eastAsia="Times New Roman" w:hAnsi="Times New Roman" w:cs="Times New Roman"/>
                <w:sz w:val="18"/>
                <w:szCs w:val="18"/>
              </w:rPr>
            </w:pPr>
          </w:p>
          <w:p w14:paraId="55A577A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Low </w:t>
            </w:r>
          </w:p>
        </w:tc>
        <w:tc>
          <w:tcPr>
            <w:tcW w:w="1350" w:type="dxa"/>
            <w:gridSpan w:val="2"/>
            <w:tcBorders>
              <w:top w:val="nil"/>
              <w:bottom w:val="single" w:sz="4" w:space="0" w:color="auto"/>
            </w:tcBorders>
            <w:shd w:val="clear" w:color="auto" w:fill="auto"/>
          </w:tcPr>
          <w:p w14:paraId="47EC8E39" w14:textId="77777777" w:rsidR="00B47300" w:rsidRDefault="00B47300">
            <w:pPr>
              <w:spacing w:line="240" w:lineRule="auto"/>
              <w:rPr>
                <w:rFonts w:ascii="Times New Roman" w:eastAsia="Times New Roman" w:hAnsi="Times New Roman" w:cs="Times New Roman"/>
                <w:sz w:val="18"/>
                <w:szCs w:val="18"/>
              </w:rPr>
            </w:pPr>
          </w:p>
          <w:p w14:paraId="5918F5E6"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Moderate </w:t>
            </w:r>
          </w:p>
        </w:tc>
        <w:tc>
          <w:tcPr>
            <w:tcW w:w="1324" w:type="dxa"/>
            <w:gridSpan w:val="2"/>
            <w:tcBorders>
              <w:top w:val="nil"/>
              <w:bottom w:val="single" w:sz="4" w:space="0" w:color="auto"/>
            </w:tcBorders>
            <w:shd w:val="clear" w:color="auto" w:fill="auto"/>
          </w:tcPr>
          <w:p w14:paraId="2D9E668D" w14:textId="77777777" w:rsidR="00B47300" w:rsidRDefault="00B47300">
            <w:pPr>
              <w:spacing w:line="240" w:lineRule="auto"/>
              <w:rPr>
                <w:rFonts w:ascii="Times New Roman" w:eastAsia="Times New Roman" w:hAnsi="Times New Roman" w:cs="Times New Roman"/>
                <w:sz w:val="18"/>
                <w:szCs w:val="18"/>
              </w:rPr>
            </w:pPr>
          </w:p>
          <w:p w14:paraId="30D0FB93"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High </w:t>
            </w:r>
          </w:p>
        </w:tc>
      </w:tr>
      <w:tr w:rsidR="00B47300" w14:paraId="346D0792" w14:textId="77777777" w:rsidTr="00F442A4">
        <w:trPr>
          <w:trHeight w:val="274"/>
          <w:jc w:val="center"/>
        </w:trPr>
        <w:tc>
          <w:tcPr>
            <w:tcW w:w="1888" w:type="dxa"/>
            <w:tcBorders>
              <w:top w:val="single" w:sz="4" w:space="0" w:color="auto"/>
            </w:tcBorders>
            <w:shd w:val="clear" w:color="auto" w:fill="auto"/>
          </w:tcPr>
          <w:p w14:paraId="0713061F" w14:textId="77777777" w:rsidR="00B47300" w:rsidRDefault="00B47300">
            <w:pPr>
              <w:spacing w:line="240" w:lineRule="auto"/>
              <w:rPr>
                <w:rFonts w:ascii="Times New Roman" w:eastAsia="Times New Roman" w:hAnsi="Times New Roman" w:cs="Times New Roman"/>
                <w:sz w:val="18"/>
                <w:szCs w:val="18"/>
              </w:rPr>
            </w:pPr>
          </w:p>
        </w:tc>
        <w:tc>
          <w:tcPr>
            <w:tcW w:w="637" w:type="dxa"/>
            <w:tcBorders>
              <w:top w:val="single" w:sz="4" w:space="0" w:color="auto"/>
            </w:tcBorders>
            <w:shd w:val="clear" w:color="auto" w:fill="auto"/>
          </w:tcPr>
          <w:p w14:paraId="7FDE8469"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N </w:t>
            </w:r>
          </w:p>
        </w:tc>
        <w:tc>
          <w:tcPr>
            <w:tcW w:w="713" w:type="dxa"/>
            <w:tcBorders>
              <w:top w:val="single" w:sz="4" w:space="0" w:color="auto"/>
            </w:tcBorders>
            <w:shd w:val="clear" w:color="auto" w:fill="auto"/>
          </w:tcPr>
          <w:p w14:paraId="168AB658"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Mean </w:t>
            </w:r>
          </w:p>
        </w:tc>
        <w:tc>
          <w:tcPr>
            <w:tcW w:w="637" w:type="dxa"/>
            <w:tcBorders>
              <w:top w:val="single" w:sz="4" w:space="0" w:color="auto"/>
            </w:tcBorders>
            <w:shd w:val="clear" w:color="auto" w:fill="auto"/>
          </w:tcPr>
          <w:p w14:paraId="62820DBB"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SD</w:t>
            </w:r>
          </w:p>
        </w:tc>
        <w:tc>
          <w:tcPr>
            <w:tcW w:w="800" w:type="dxa"/>
            <w:tcBorders>
              <w:top w:val="single" w:sz="4" w:space="0" w:color="auto"/>
            </w:tcBorders>
            <w:shd w:val="clear" w:color="auto" w:fill="auto"/>
          </w:tcPr>
          <w:p w14:paraId="3255AEE1"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F</w:t>
            </w:r>
          </w:p>
        </w:tc>
        <w:tc>
          <w:tcPr>
            <w:tcW w:w="725" w:type="dxa"/>
            <w:tcBorders>
              <w:top w:val="single" w:sz="4" w:space="0" w:color="auto"/>
            </w:tcBorders>
            <w:shd w:val="clear" w:color="auto" w:fill="auto"/>
          </w:tcPr>
          <w:p w14:paraId="1C22AF74"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w:t>
            </w:r>
          </w:p>
        </w:tc>
        <w:tc>
          <w:tcPr>
            <w:tcW w:w="900" w:type="dxa"/>
            <w:tcBorders>
              <w:top w:val="single" w:sz="4" w:space="0" w:color="auto"/>
            </w:tcBorders>
            <w:shd w:val="clear" w:color="auto" w:fill="auto"/>
          </w:tcPr>
          <w:p w14:paraId="79B1B414"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F</w:t>
            </w:r>
          </w:p>
        </w:tc>
        <w:tc>
          <w:tcPr>
            <w:tcW w:w="625" w:type="dxa"/>
            <w:tcBorders>
              <w:top w:val="single" w:sz="4" w:space="0" w:color="auto"/>
            </w:tcBorders>
            <w:shd w:val="clear" w:color="auto" w:fill="auto"/>
            <w:vAlign w:val="bottom"/>
          </w:tcPr>
          <w:p w14:paraId="57C5E046"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w:t>
            </w:r>
          </w:p>
        </w:tc>
        <w:tc>
          <w:tcPr>
            <w:tcW w:w="813" w:type="dxa"/>
            <w:tcBorders>
              <w:top w:val="single" w:sz="4" w:space="0" w:color="auto"/>
            </w:tcBorders>
            <w:shd w:val="clear" w:color="auto" w:fill="auto"/>
          </w:tcPr>
          <w:p w14:paraId="5D39C594"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F </w:t>
            </w:r>
          </w:p>
        </w:tc>
        <w:tc>
          <w:tcPr>
            <w:tcW w:w="537" w:type="dxa"/>
            <w:tcBorders>
              <w:top w:val="single" w:sz="4" w:space="0" w:color="auto"/>
            </w:tcBorders>
            <w:shd w:val="clear" w:color="auto" w:fill="auto"/>
          </w:tcPr>
          <w:p w14:paraId="0C5DAB0A" w14:textId="77777777" w:rsidR="00B47300" w:rsidRDefault="00B47300">
            <w:pPr>
              <w:spacing w:line="240" w:lineRule="auto"/>
              <w:rPr>
                <w:rFonts w:ascii="Times New Roman" w:eastAsia="Times New Roman" w:hAnsi="Times New Roman" w:cs="Times New Roman"/>
                <w:sz w:val="18"/>
                <w:szCs w:val="18"/>
              </w:rPr>
            </w:pPr>
          </w:p>
          <w:p w14:paraId="0077642C"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w:t>
            </w:r>
          </w:p>
        </w:tc>
        <w:tc>
          <w:tcPr>
            <w:tcW w:w="638" w:type="dxa"/>
            <w:tcBorders>
              <w:top w:val="single" w:sz="4" w:space="0" w:color="auto"/>
            </w:tcBorders>
            <w:shd w:val="clear" w:color="auto" w:fill="auto"/>
          </w:tcPr>
          <w:p w14:paraId="7F4A8EAC"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F </w:t>
            </w:r>
          </w:p>
        </w:tc>
        <w:tc>
          <w:tcPr>
            <w:tcW w:w="686" w:type="dxa"/>
            <w:tcBorders>
              <w:top w:val="single" w:sz="4" w:space="0" w:color="auto"/>
            </w:tcBorders>
            <w:shd w:val="clear" w:color="auto" w:fill="auto"/>
          </w:tcPr>
          <w:p w14:paraId="6A506082" w14:textId="77777777" w:rsidR="00B47300" w:rsidRDefault="00B47300">
            <w:pPr>
              <w:spacing w:line="240" w:lineRule="auto"/>
              <w:rPr>
                <w:rFonts w:ascii="Times New Roman" w:eastAsia="Times New Roman" w:hAnsi="Times New Roman" w:cs="Times New Roman"/>
                <w:sz w:val="18"/>
                <w:szCs w:val="18"/>
              </w:rPr>
            </w:pPr>
          </w:p>
          <w:p w14:paraId="2893428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w:t>
            </w:r>
          </w:p>
        </w:tc>
      </w:tr>
      <w:tr w:rsidR="00B47300" w14:paraId="7036D12C" w14:textId="77777777">
        <w:trPr>
          <w:trHeight w:val="233"/>
          <w:jc w:val="center"/>
        </w:trPr>
        <w:tc>
          <w:tcPr>
            <w:tcW w:w="1888" w:type="dxa"/>
            <w:shd w:val="clear" w:color="auto" w:fill="auto"/>
          </w:tcPr>
          <w:p w14:paraId="55C8388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Social anxiety </w:t>
            </w:r>
          </w:p>
        </w:tc>
        <w:tc>
          <w:tcPr>
            <w:tcW w:w="637" w:type="dxa"/>
            <w:shd w:val="clear" w:color="auto" w:fill="auto"/>
          </w:tcPr>
          <w:p w14:paraId="7D2DF16D"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300</w:t>
            </w:r>
          </w:p>
        </w:tc>
        <w:tc>
          <w:tcPr>
            <w:tcW w:w="713" w:type="dxa"/>
            <w:shd w:val="clear" w:color="auto" w:fill="auto"/>
          </w:tcPr>
          <w:p w14:paraId="6693E6F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1.26</w:t>
            </w:r>
          </w:p>
        </w:tc>
        <w:tc>
          <w:tcPr>
            <w:tcW w:w="637" w:type="dxa"/>
            <w:shd w:val="clear" w:color="auto" w:fill="auto"/>
          </w:tcPr>
          <w:p w14:paraId="53119CF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0.86</w:t>
            </w:r>
          </w:p>
        </w:tc>
        <w:tc>
          <w:tcPr>
            <w:tcW w:w="800" w:type="dxa"/>
            <w:shd w:val="clear" w:color="auto" w:fill="auto"/>
          </w:tcPr>
          <w:p w14:paraId="65C00294"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62</w:t>
            </w:r>
          </w:p>
        </w:tc>
        <w:tc>
          <w:tcPr>
            <w:tcW w:w="725" w:type="dxa"/>
            <w:shd w:val="clear" w:color="auto" w:fill="auto"/>
          </w:tcPr>
          <w:p w14:paraId="122FC6D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21.6</w:t>
            </w:r>
          </w:p>
        </w:tc>
        <w:tc>
          <w:tcPr>
            <w:tcW w:w="900" w:type="dxa"/>
            <w:shd w:val="clear" w:color="auto" w:fill="auto"/>
          </w:tcPr>
          <w:p w14:paraId="4DEC5FED"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106</w:t>
            </w:r>
          </w:p>
        </w:tc>
        <w:tc>
          <w:tcPr>
            <w:tcW w:w="625" w:type="dxa"/>
            <w:shd w:val="clear" w:color="auto" w:fill="auto"/>
            <w:vAlign w:val="bottom"/>
          </w:tcPr>
          <w:p w14:paraId="0028F2EC" w14:textId="77777777" w:rsidR="00B47300" w:rsidRDefault="00B47300">
            <w:pPr>
              <w:spacing w:line="240" w:lineRule="auto"/>
              <w:rPr>
                <w:rFonts w:ascii="Times New Roman" w:eastAsia="Times New Roman" w:hAnsi="Times New Roman" w:cs="Times New Roman"/>
                <w:sz w:val="18"/>
                <w:szCs w:val="18"/>
              </w:rPr>
            </w:pPr>
          </w:p>
          <w:p w14:paraId="3DFC09D2"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36.9</w:t>
            </w:r>
          </w:p>
        </w:tc>
        <w:tc>
          <w:tcPr>
            <w:tcW w:w="813" w:type="dxa"/>
            <w:shd w:val="clear" w:color="auto" w:fill="auto"/>
          </w:tcPr>
          <w:p w14:paraId="09119F13"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102</w:t>
            </w:r>
          </w:p>
        </w:tc>
        <w:tc>
          <w:tcPr>
            <w:tcW w:w="537" w:type="dxa"/>
            <w:shd w:val="clear" w:color="auto" w:fill="auto"/>
          </w:tcPr>
          <w:p w14:paraId="04105F57" w14:textId="77777777" w:rsidR="00B47300" w:rsidRDefault="00B47300">
            <w:pPr>
              <w:spacing w:line="240" w:lineRule="auto"/>
              <w:rPr>
                <w:rFonts w:ascii="Times New Roman" w:eastAsia="Times New Roman" w:hAnsi="Times New Roman" w:cs="Times New Roman"/>
                <w:sz w:val="18"/>
                <w:szCs w:val="18"/>
              </w:rPr>
            </w:pPr>
          </w:p>
          <w:p w14:paraId="0326525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35.5</w:t>
            </w:r>
          </w:p>
        </w:tc>
        <w:tc>
          <w:tcPr>
            <w:tcW w:w="638" w:type="dxa"/>
            <w:shd w:val="clear" w:color="auto" w:fill="auto"/>
          </w:tcPr>
          <w:p w14:paraId="703297B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17</w:t>
            </w:r>
          </w:p>
        </w:tc>
        <w:tc>
          <w:tcPr>
            <w:tcW w:w="686" w:type="dxa"/>
            <w:shd w:val="clear" w:color="auto" w:fill="auto"/>
          </w:tcPr>
          <w:p w14:paraId="5FF44BAF" w14:textId="77777777" w:rsidR="00B47300" w:rsidRDefault="00B47300">
            <w:pPr>
              <w:spacing w:line="240" w:lineRule="auto"/>
              <w:rPr>
                <w:rFonts w:ascii="Times New Roman" w:eastAsia="Times New Roman" w:hAnsi="Times New Roman" w:cs="Times New Roman"/>
                <w:sz w:val="18"/>
                <w:szCs w:val="18"/>
              </w:rPr>
            </w:pPr>
          </w:p>
          <w:p w14:paraId="3A086C7D"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5.9</w:t>
            </w:r>
          </w:p>
        </w:tc>
      </w:tr>
      <w:tr w:rsidR="00B47300" w14:paraId="6AF2BFCB" w14:textId="77777777">
        <w:trPr>
          <w:trHeight w:val="233"/>
          <w:jc w:val="center"/>
        </w:trPr>
        <w:tc>
          <w:tcPr>
            <w:tcW w:w="1888" w:type="dxa"/>
            <w:shd w:val="clear" w:color="auto" w:fill="auto"/>
          </w:tcPr>
          <w:p w14:paraId="0203760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Mobile gaming addiction </w:t>
            </w:r>
          </w:p>
        </w:tc>
        <w:tc>
          <w:tcPr>
            <w:tcW w:w="637" w:type="dxa"/>
            <w:shd w:val="clear" w:color="auto" w:fill="auto"/>
          </w:tcPr>
          <w:p w14:paraId="59D4AE4F"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300</w:t>
            </w:r>
          </w:p>
        </w:tc>
        <w:tc>
          <w:tcPr>
            <w:tcW w:w="713" w:type="dxa"/>
            <w:shd w:val="clear" w:color="auto" w:fill="auto"/>
          </w:tcPr>
          <w:p w14:paraId="4F2FE185"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1.62</w:t>
            </w:r>
          </w:p>
        </w:tc>
        <w:tc>
          <w:tcPr>
            <w:tcW w:w="637" w:type="dxa"/>
            <w:shd w:val="clear" w:color="auto" w:fill="auto"/>
          </w:tcPr>
          <w:p w14:paraId="7AEB8D78"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0.72</w:t>
            </w:r>
          </w:p>
        </w:tc>
        <w:tc>
          <w:tcPr>
            <w:tcW w:w="800" w:type="dxa"/>
            <w:shd w:val="clear" w:color="auto" w:fill="auto"/>
          </w:tcPr>
          <w:p w14:paraId="399F32D9"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152</w:t>
            </w:r>
          </w:p>
        </w:tc>
        <w:tc>
          <w:tcPr>
            <w:tcW w:w="725" w:type="dxa"/>
            <w:shd w:val="clear" w:color="auto" w:fill="auto"/>
          </w:tcPr>
          <w:p w14:paraId="2B6E8B38"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50.7</w:t>
            </w:r>
          </w:p>
        </w:tc>
        <w:tc>
          <w:tcPr>
            <w:tcW w:w="900" w:type="dxa"/>
            <w:shd w:val="clear" w:color="auto" w:fill="auto"/>
          </w:tcPr>
          <w:p w14:paraId="4ADFBBC2"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115</w:t>
            </w:r>
          </w:p>
        </w:tc>
        <w:tc>
          <w:tcPr>
            <w:tcW w:w="625" w:type="dxa"/>
            <w:shd w:val="clear" w:color="auto" w:fill="auto"/>
            <w:vAlign w:val="bottom"/>
          </w:tcPr>
          <w:p w14:paraId="0432E835" w14:textId="77777777" w:rsidR="00B47300" w:rsidRDefault="00B47300">
            <w:pPr>
              <w:spacing w:line="240" w:lineRule="auto"/>
              <w:rPr>
                <w:rFonts w:ascii="Times New Roman" w:eastAsia="Times New Roman" w:hAnsi="Times New Roman" w:cs="Times New Roman"/>
                <w:sz w:val="18"/>
                <w:szCs w:val="18"/>
              </w:rPr>
            </w:pPr>
          </w:p>
          <w:p w14:paraId="3002EDDB"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38.3</w:t>
            </w:r>
          </w:p>
        </w:tc>
        <w:tc>
          <w:tcPr>
            <w:tcW w:w="813" w:type="dxa"/>
            <w:shd w:val="clear" w:color="auto" w:fill="auto"/>
          </w:tcPr>
          <w:p w14:paraId="7B6BB1A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28</w:t>
            </w:r>
          </w:p>
        </w:tc>
        <w:tc>
          <w:tcPr>
            <w:tcW w:w="537" w:type="dxa"/>
            <w:shd w:val="clear" w:color="auto" w:fill="auto"/>
          </w:tcPr>
          <w:p w14:paraId="6D8BAF0E" w14:textId="77777777" w:rsidR="00B47300" w:rsidRDefault="00B47300">
            <w:pPr>
              <w:spacing w:line="240" w:lineRule="auto"/>
              <w:rPr>
                <w:rFonts w:ascii="Times New Roman" w:eastAsia="Times New Roman" w:hAnsi="Times New Roman" w:cs="Times New Roman"/>
                <w:sz w:val="18"/>
                <w:szCs w:val="18"/>
              </w:rPr>
            </w:pPr>
          </w:p>
          <w:p w14:paraId="22C7A64C"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9.3</w:t>
            </w:r>
          </w:p>
        </w:tc>
        <w:tc>
          <w:tcPr>
            <w:tcW w:w="638" w:type="dxa"/>
            <w:shd w:val="clear" w:color="auto" w:fill="auto"/>
          </w:tcPr>
          <w:p w14:paraId="60436EF9"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5</w:t>
            </w:r>
          </w:p>
        </w:tc>
        <w:tc>
          <w:tcPr>
            <w:tcW w:w="686" w:type="dxa"/>
            <w:shd w:val="clear" w:color="auto" w:fill="auto"/>
          </w:tcPr>
          <w:p w14:paraId="16053D99" w14:textId="77777777" w:rsidR="00B47300" w:rsidRDefault="00B47300">
            <w:pPr>
              <w:spacing w:line="240" w:lineRule="auto"/>
              <w:rPr>
                <w:rFonts w:ascii="Times New Roman" w:eastAsia="Times New Roman" w:hAnsi="Times New Roman" w:cs="Times New Roman"/>
                <w:sz w:val="18"/>
                <w:szCs w:val="18"/>
              </w:rPr>
            </w:pPr>
          </w:p>
          <w:p w14:paraId="6218C2B7"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1.7</w:t>
            </w:r>
          </w:p>
        </w:tc>
      </w:tr>
    </w:tbl>
    <w:p w14:paraId="7DB4BC5D" w14:textId="77777777" w:rsidR="00B47300" w:rsidRDefault="00414E9C">
      <w:pPr>
        <w:spacing w:line="240" w:lineRule="auto"/>
        <w:rPr>
          <w:rFonts w:ascii="Times New Roman" w:hAnsi="Times New Roman" w:cs="Times New Roman"/>
          <w:b/>
          <w:bCs/>
          <w:kern w:val="2"/>
          <w:sz w:val="24"/>
          <w:szCs w:val="24"/>
        </w:rPr>
      </w:pPr>
      <w:r>
        <w:rPr>
          <w:rFonts w:ascii="Times New Roman" w:hAnsi="Times New Roman" w:cs="Times New Roman"/>
          <w:b/>
          <w:bCs/>
          <w:kern w:val="2"/>
          <w:sz w:val="18"/>
          <w:szCs w:val="18"/>
        </w:rPr>
        <w:t xml:space="preserve">     </w:t>
      </w:r>
    </w:p>
    <w:p w14:paraId="19AB3219" w14:textId="77777777" w:rsidR="00B47300" w:rsidRDefault="00414E9C">
      <w:pPr>
        <w:spacing w:line="240" w:lineRule="auto"/>
        <w:jc w:val="both"/>
      </w:pPr>
      <w:r>
        <w:rPr>
          <w:rFonts w:ascii="Times New Roman" w:hAnsi="Times New Roman" w:cs="Times New Roman"/>
          <w:bCs/>
          <w:color w:val="000000"/>
          <w:sz w:val="24"/>
          <w:szCs w:val="24"/>
          <w:lang w:eastAsia="zh-CN"/>
        </w:rPr>
        <w:t>The findings on the prevalence of social anxiety, as indicated in Table 1, show that 36.9% displayed</w:t>
      </w:r>
      <w:r>
        <w:rPr>
          <w:rFonts w:ascii="Times New Roman" w:hAnsi="Times New Roman" w:cs="Times New Roman"/>
          <w:color w:val="000000"/>
          <w:sz w:val="24"/>
          <w:szCs w:val="24"/>
          <w:lang w:eastAsia="zh-CN"/>
        </w:rPr>
        <w:t xml:space="preserve"> a low form of social anxiety, 35.5% displayed a moderate form of social anxiety, and 5.9% displayed a high form of social anxiety.</w:t>
      </w:r>
    </w:p>
    <w:p w14:paraId="57ADBBBA" w14:textId="77777777" w:rsidR="00B47300" w:rsidRDefault="00414E9C">
      <w:pPr>
        <w:spacing w:line="240" w:lineRule="auto"/>
        <w:jc w:val="both"/>
        <w:rPr>
          <w:rFonts w:ascii="Times New Roman" w:hAnsi="Times New Roman" w:cs="Times New Roman"/>
          <w:color w:val="000000"/>
          <w:sz w:val="24"/>
          <w:szCs w:val="24"/>
          <w:lang w:eastAsia="zh-CN"/>
        </w:rPr>
      </w:pPr>
      <w:r>
        <w:rPr>
          <w:rFonts w:ascii="Times New Roman" w:hAnsi="Times New Roman" w:cs="Times New Roman"/>
          <w:bCs/>
          <w:color w:val="000000"/>
          <w:sz w:val="24"/>
          <w:szCs w:val="24"/>
          <w:lang w:eastAsia="zh-CN"/>
        </w:rPr>
        <w:t>The findings on the prevalence of mobile gaming addiction, as indicated in Table 1, show that 38.3% displayed</w:t>
      </w:r>
      <w:r>
        <w:rPr>
          <w:rFonts w:ascii="Times New Roman" w:hAnsi="Times New Roman" w:cs="Times New Roman"/>
          <w:color w:val="000000"/>
          <w:sz w:val="24"/>
          <w:szCs w:val="24"/>
          <w:lang w:eastAsia="zh-CN"/>
        </w:rPr>
        <w:t xml:space="preserve"> a low form of mobile gaming addiction, 9.3% displayed a moderate form of mobile gaming addiction, and 1.7% displayed a high form of mobile gaming addiction.</w:t>
      </w:r>
    </w:p>
    <w:p w14:paraId="3F07B5D2" w14:textId="77777777" w:rsidR="00B47300" w:rsidRDefault="00B47300">
      <w:pPr>
        <w:spacing w:line="240" w:lineRule="auto"/>
        <w:jc w:val="both"/>
        <w:rPr>
          <w:rFonts w:ascii="Times New Roman" w:hAnsi="Times New Roman" w:cs="Times New Roman"/>
          <w:color w:val="000000"/>
          <w:sz w:val="24"/>
          <w:szCs w:val="24"/>
          <w:lang w:eastAsia="zh-CN"/>
        </w:rPr>
      </w:pPr>
    </w:p>
    <w:p w14:paraId="25D71EAB" w14:textId="77777777" w:rsidR="00B47300" w:rsidRDefault="00414E9C">
      <w:pPr>
        <w:widowControl w:val="0"/>
        <w:spacing w:line="240" w:lineRule="auto"/>
      </w:pPr>
      <w:r>
        <w:rPr>
          <w:rFonts w:ascii="Times New Roman" w:hAnsi="Times New Roman" w:cs="Times New Roman"/>
          <w:b/>
          <w:color w:val="000000"/>
          <w:sz w:val="24"/>
          <w:szCs w:val="24"/>
          <w:lang w:eastAsia="zh-CN"/>
        </w:rPr>
        <w:t>Test of Relationship</w:t>
      </w:r>
    </w:p>
    <w:p w14:paraId="48C056BE" w14:textId="77777777" w:rsidR="00B47300" w:rsidRDefault="00414E9C">
      <w:pPr>
        <w:widowControl w:val="0"/>
        <w:spacing w:line="240" w:lineRule="auto"/>
        <w:rPr>
          <w:rFonts w:ascii="Times New Roman" w:hAnsi="Times New Roman" w:cs="Times New Roman"/>
          <w:b/>
          <w:sz w:val="24"/>
          <w:szCs w:val="24"/>
        </w:rPr>
      </w:pPr>
      <w:r>
        <w:rPr>
          <w:rFonts w:ascii="Times New Roman" w:hAnsi="Times New Roman" w:cs="Times New Roman"/>
          <w:b/>
          <w:color w:val="000000"/>
          <w:sz w:val="24"/>
          <w:szCs w:val="24"/>
          <w:lang w:eastAsia="zh-CN"/>
        </w:rPr>
        <w:t>Table 2</w:t>
      </w:r>
    </w:p>
    <w:p w14:paraId="15CCA1F3" w14:textId="77777777" w:rsidR="00B47300" w:rsidRDefault="00414E9C">
      <w:pPr>
        <w:widowControl w:val="0"/>
        <w:spacing w:line="240" w:lineRule="auto"/>
        <w:rPr>
          <w:rFonts w:ascii="Times New Roman" w:hAnsi="Times New Roman" w:cs="Times New Roman"/>
          <w:bCs/>
          <w:i/>
          <w:iCs/>
          <w:sz w:val="24"/>
          <w:szCs w:val="24"/>
        </w:rPr>
      </w:pPr>
      <w:r>
        <w:rPr>
          <w:rFonts w:ascii="Times New Roman" w:hAnsi="Times New Roman" w:cs="Times New Roman"/>
          <w:bCs/>
          <w:i/>
          <w:iCs/>
          <w:color w:val="000000"/>
          <w:sz w:val="24"/>
          <w:szCs w:val="24"/>
          <w:lang w:eastAsia="zh-CN"/>
        </w:rPr>
        <w:t>Correlation Matrix Showing Relationships among Study Variables</w:t>
      </w:r>
    </w:p>
    <w:p w14:paraId="666DA278" w14:textId="77777777" w:rsidR="00B47300" w:rsidRDefault="00B47300">
      <w:pPr>
        <w:spacing w:line="240" w:lineRule="auto"/>
        <w:rPr>
          <w:rFonts w:ascii="Times New Roman" w:hAnsi="Times New Roman" w:cs="Times New Roman"/>
          <w:b/>
          <w:bCs/>
          <w:sz w:val="24"/>
          <w:szCs w:val="24"/>
        </w:rPr>
      </w:pPr>
    </w:p>
    <w:tbl>
      <w:tblPr>
        <w:tblStyle w:val="TableGrid0"/>
        <w:tblW w:w="10615" w:type="dxa"/>
        <w:tblInd w:w="0" w:type="dxa"/>
        <w:tblCellMar>
          <w:left w:w="108" w:type="dxa"/>
          <w:right w:w="108" w:type="dxa"/>
        </w:tblCellMar>
        <w:tblLook w:val="04A0" w:firstRow="1" w:lastRow="0" w:firstColumn="1" w:lastColumn="0" w:noHBand="0" w:noVBand="1"/>
      </w:tblPr>
      <w:tblGrid>
        <w:gridCol w:w="2474"/>
        <w:gridCol w:w="1178"/>
        <w:gridCol w:w="1217"/>
        <w:gridCol w:w="1066"/>
        <w:gridCol w:w="912"/>
        <w:gridCol w:w="1064"/>
        <w:gridCol w:w="761"/>
        <w:gridCol w:w="1943"/>
      </w:tblGrid>
      <w:tr w:rsidR="00B47300" w14:paraId="6302A1C0" w14:textId="77777777">
        <w:trPr>
          <w:trHeight w:val="229"/>
        </w:trPr>
        <w:tc>
          <w:tcPr>
            <w:tcW w:w="2304" w:type="dxa"/>
            <w:tcBorders>
              <w:top w:val="single" w:sz="18" w:space="0" w:color="000000"/>
              <w:bottom w:val="single" w:sz="18" w:space="0" w:color="000000"/>
            </w:tcBorders>
            <w:shd w:val="clear" w:color="auto" w:fill="auto"/>
          </w:tcPr>
          <w:p w14:paraId="16FEC278" w14:textId="77777777" w:rsidR="00B47300" w:rsidRDefault="00414E9C">
            <w:pPr>
              <w:widowControl w:val="0"/>
              <w:spacing w:line="240" w:lineRule="auto"/>
              <w:rPr>
                <w:rFonts w:eastAsiaTheme="minorEastAsia"/>
                <w:lang w:val="en-GB" w:eastAsia="en-GB"/>
              </w:rPr>
            </w:pPr>
            <w:r>
              <w:rPr>
                <w:rFonts w:ascii="Times New Roman" w:eastAsiaTheme="minorEastAsia" w:hAnsi="Times New Roman" w:cs="Times New Roman"/>
                <w:sz w:val="24"/>
                <w:szCs w:val="24"/>
                <w:lang w:val="en-GB" w:eastAsia="zh-CN"/>
              </w:rPr>
              <w:t>Variables</w:t>
            </w:r>
          </w:p>
        </w:tc>
        <w:tc>
          <w:tcPr>
            <w:tcW w:w="1097" w:type="dxa"/>
            <w:tcBorders>
              <w:top w:val="single" w:sz="18" w:space="0" w:color="000000"/>
              <w:bottom w:val="single" w:sz="18" w:space="0" w:color="000000"/>
            </w:tcBorders>
            <w:shd w:val="clear" w:color="auto" w:fill="auto"/>
            <w:vAlign w:val="bottom"/>
          </w:tcPr>
          <w:p w14:paraId="46772626" w14:textId="77777777" w:rsidR="00B47300" w:rsidRDefault="00414E9C">
            <w:pPr>
              <w:widowControl w:val="0"/>
              <w:spacing w:line="240" w:lineRule="auto"/>
              <w:rPr>
                <w:rFonts w:eastAsiaTheme="minorEastAsia"/>
                <w:lang w:val="en-GB" w:eastAsia="en-GB"/>
              </w:rPr>
            </w:pPr>
            <w:r>
              <w:rPr>
                <w:rFonts w:ascii="Times New Roman" w:eastAsiaTheme="minorEastAsia" w:hAnsi="Times New Roman" w:cs="Times New Roman"/>
                <w:sz w:val="24"/>
                <w:szCs w:val="24"/>
                <w:lang w:val="en-GB" w:eastAsia="zh-CN"/>
              </w:rPr>
              <w:t>1</w:t>
            </w:r>
          </w:p>
        </w:tc>
        <w:tc>
          <w:tcPr>
            <w:tcW w:w="1133" w:type="dxa"/>
            <w:tcBorders>
              <w:top w:val="single" w:sz="18" w:space="0" w:color="000000"/>
              <w:bottom w:val="single" w:sz="18" w:space="0" w:color="000000"/>
            </w:tcBorders>
            <w:shd w:val="clear" w:color="auto" w:fill="auto"/>
            <w:vAlign w:val="bottom"/>
          </w:tcPr>
          <w:p w14:paraId="63FF4E41" w14:textId="77777777" w:rsidR="00B47300" w:rsidRDefault="00414E9C">
            <w:pPr>
              <w:widowControl w:val="0"/>
              <w:spacing w:line="240" w:lineRule="auto"/>
              <w:rPr>
                <w:rFonts w:eastAsiaTheme="minorEastAsia"/>
                <w:lang w:val="en-GB" w:eastAsia="en-GB"/>
              </w:rPr>
            </w:pPr>
            <w:r>
              <w:rPr>
                <w:rFonts w:ascii="Times New Roman" w:eastAsiaTheme="minorEastAsia" w:hAnsi="Times New Roman" w:cs="Times New Roman"/>
                <w:sz w:val="24"/>
                <w:szCs w:val="24"/>
                <w:lang w:val="en-GB" w:eastAsia="zh-CN"/>
              </w:rPr>
              <w:t>2</w:t>
            </w:r>
          </w:p>
        </w:tc>
        <w:tc>
          <w:tcPr>
            <w:tcW w:w="993" w:type="dxa"/>
            <w:tcBorders>
              <w:top w:val="single" w:sz="18" w:space="0" w:color="000000"/>
              <w:bottom w:val="single" w:sz="18" w:space="0" w:color="000000"/>
            </w:tcBorders>
            <w:shd w:val="clear" w:color="auto" w:fill="auto"/>
            <w:vAlign w:val="bottom"/>
          </w:tcPr>
          <w:p w14:paraId="5469F445" w14:textId="77777777" w:rsidR="00B47300" w:rsidRDefault="00414E9C">
            <w:pPr>
              <w:widowControl w:val="0"/>
              <w:spacing w:line="240" w:lineRule="auto"/>
              <w:rPr>
                <w:rFonts w:eastAsiaTheme="minorEastAsia"/>
                <w:lang w:val="en-GB" w:eastAsia="en-GB"/>
              </w:rPr>
            </w:pPr>
            <w:r>
              <w:rPr>
                <w:rFonts w:ascii="Times New Roman" w:eastAsiaTheme="minorEastAsia" w:hAnsi="Times New Roman" w:cs="Times New Roman"/>
                <w:sz w:val="24"/>
                <w:szCs w:val="24"/>
                <w:lang w:val="en-GB" w:eastAsia="zh-CN"/>
              </w:rPr>
              <w:t>3</w:t>
            </w:r>
          </w:p>
        </w:tc>
        <w:tc>
          <w:tcPr>
            <w:tcW w:w="849" w:type="dxa"/>
            <w:tcBorders>
              <w:top w:val="single" w:sz="18" w:space="0" w:color="000000"/>
              <w:bottom w:val="single" w:sz="18" w:space="0" w:color="000000"/>
            </w:tcBorders>
            <w:shd w:val="clear" w:color="auto" w:fill="auto"/>
            <w:vAlign w:val="bottom"/>
          </w:tcPr>
          <w:p w14:paraId="7FCCE10A" w14:textId="77777777" w:rsidR="00B47300" w:rsidRDefault="00414E9C">
            <w:pPr>
              <w:widowControl w:val="0"/>
              <w:spacing w:line="240" w:lineRule="auto"/>
              <w:rPr>
                <w:rFonts w:eastAsiaTheme="minorEastAsia"/>
                <w:lang w:val="en-GB" w:eastAsia="en-GB"/>
              </w:rPr>
            </w:pPr>
            <w:r>
              <w:rPr>
                <w:rFonts w:ascii="Times New Roman" w:eastAsiaTheme="minorEastAsia" w:hAnsi="Times New Roman" w:cs="Times New Roman"/>
                <w:sz w:val="24"/>
                <w:szCs w:val="24"/>
                <w:lang w:val="en-GB" w:eastAsia="zh-CN"/>
              </w:rPr>
              <w:t>4</w:t>
            </w:r>
          </w:p>
        </w:tc>
        <w:tc>
          <w:tcPr>
            <w:tcW w:w="991" w:type="dxa"/>
            <w:tcBorders>
              <w:top w:val="single" w:sz="18" w:space="0" w:color="000000"/>
              <w:bottom w:val="single" w:sz="18" w:space="0" w:color="000000"/>
            </w:tcBorders>
            <w:shd w:val="clear" w:color="auto" w:fill="auto"/>
            <w:vAlign w:val="bottom"/>
          </w:tcPr>
          <w:p w14:paraId="71E24500" w14:textId="77777777" w:rsidR="00B47300" w:rsidRDefault="00414E9C">
            <w:pPr>
              <w:widowControl w:val="0"/>
              <w:spacing w:line="240" w:lineRule="auto"/>
              <w:rPr>
                <w:rFonts w:eastAsiaTheme="minorEastAsia"/>
                <w:lang w:val="en-GB" w:eastAsia="en-GB"/>
              </w:rPr>
            </w:pPr>
            <w:r>
              <w:rPr>
                <w:rFonts w:ascii="Times New Roman" w:eastAsiaTheme="minorEastAsia" w:hAnsi="Times New Roman" w:cs="Times New Roman"/>
                <w:sz w:val="24"/>
                <w:szCs w:val="24"/>
                <w:lang w:val="en-GB" w:eastAsia="zh-CN"/>
              </w:rPr>
              <w:t>5</w:t>
            </w:r>
          </w:p>
        </w:tc>
        <w:tc>
          <w:tcPr>
            <w:tcW w:w="709" w:type="dxa"/>
            <w:tcBorders>
              <w:top w:val="single" w:sz="18" w:space="0" w:color="000000"/>
              <w:bottom w:val="single" w:sz="18" w:space="0" w:color="000000"/>
            </w:tcBorders>
            <w:shd w:val="clear" w:color="auto" w:fill="auto"/>
            <w:vAlign w:val="bottom"/>
          </w:tcPr>
          <w:p w14:paraId="107E0152" w14:textId="77777777" w:rsidR="00B47300" w:rsidRDefault="00414E9C">
            <w:pPr>
              <w:widowControl w:val="0"/>
              <w:spacing w:line="240" w:lineRule="auto"/>
              <w:rPr>
                <w:rFonts w:eastAsiaTheme="minorEastAsia"/>
                <w:lang w:val="en-GB" w:eastAsia="en-GB"/>
              </w:rPr>
            </w:pPr>
            <w:r>
              <w:rPr>
                <w:rFonts w:ascii="Times New Roman" w:eastAsiaTheme="minorEastAsia" w:hAnsi="Times New Roman" w:cs="Times New Roman"/>
                <w:sz w:val="24"/>
                <w:szCs w:val="24"/>
                <w:lang w:val="en-GB" w:eastAsia="zh-CN"/>
              </w:rPr>
              <w:t>6</w:t>
            </w:r>
          </w:p>
        </w:tc>
        <w:tc>
          <w:tcPr>
            <w:tcW w:w="1810" w:type="dxa"/>
            <w:vMerge w:val="restart"/>
            <w:shd w:val="clear" w:color="auto" w:fill="auto"/>
          </w:tcPr>
          <w:p w14:paraId="4D05650E" w14:textId="77777777" w:rsidR="00B47300" w:rsidRDefault="00B47300">
            <w:pPr>
              <w:spacing w:line="240" w:lineRule="auto"/>
              <w:rPr>
                <w:rFonts w:eastAsiaTheme="minorEastAsia"/>
                <w:lang w:val="en-GB" w:eastAsia="en-GB"/>
              </w:rPr>
            </w:pPr>
          </w:p>
        </w:tc>
      </w:tr>
      <w:tr w:rsidR="00B47300" w14:paraId="18CA90AB" w14:textId="77777777">
        <w:trPr>
          <w:trHeight w:val="241"/>
        </w:trPr>
        <w:tc>
          <w:tcPr>
            <w:tcW w:w="2304" w:type="dxa"/>
            <w:tcBorders>
              <w:top w:val="single" w:sz="18" w:space="0" w:color="000000"/>
            </w:tcBorders>
            <w:shd w:val="clear" w:color="auto" w:fill="auto"/>
          </w:tcPr>
          <w:p w14:paraId="77043084"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 Age</w:t>
            </w:r>
          </w:p>
        </w:tc>
        <w:tc>
          <w:tcPr>
            <w:tcW w:w="1097" w:type="dxa"/>
            <w:tcBorders>
              <w:top w:val="single" w:sz="18" w:space="0" w:color="000000"/>
            </w:tcBorders>
            <w:shd w:val="clear" w:color="auto" w:fill="auto"/>
          </w:tcPr>
          <w:p w14:paraId="76C63C20"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w:t>
            </w:r>
          </w:p>
        </w:tc>
        <w:tc>
          <w:tcPr>
            <w:tcW w:w="1133" w:type="dxa"/>
            <w:tcBorders>
              <w:top w:val="single" w:sz="18" w:space="0" w:color="000000"/>
            </w:tcBorders>
            <w:shd w:val="clear" w:color="auto" w:fill="auto"/>
            <w:vAlign w:val="center"/>
          </w:tcPr>
          <w:p w14:paraId="2DFD815A"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993" w:type="dxa"/>
            <w:tcBorders>
              <w:top w:val="single" w:sz="18" w:space="0" w:color="000000"/>
            </w:tcBorders>
            <w:shd w:val="clear" w:color="auto" w:fill="auto"/>
            <w:vAlign w:val="center"/>
          </w:tcPr>
          <w:p w14:paraId="7158188F"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849" w:type="dxa"/>
            <w:tcBorders>
              <w:top w:val="single" w:sz="18" w:space="0" w:color="000000"/>
            </w:tcBorders>
            <w:shd w:val="clear" w:color="auto" w:fill="auto"/>
            <w:vAlign w:val="center"/>
          </w:tcPr>
          <w:p w14:paraId="5BB30EFF"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991" w:type="dxa"/>
            <w:tcBorders>
              <w:top w:val="single" w:sz="18" w:space="0" w:color="000000"/>
            </w:tcBorders>
            <w:shd w:val="clear" w:color="auto" w:fill="auto"/>
            <w:vAlign w:val="center"/>
          </w:tcPr>
          <w:p w14:paraId="7F533FF3"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709" w:type="dxa"/>
            <w:tcBorders>
              <w:top w:val="single" w:sz="18" w:space="0" w:color="000000"/>
            </w:tcBorders>
            <w:shd w:val="clear" w:color="auto" w:fill="auto"/>
            <w:vAlign w:val="center"/>
          </w:tcPr>
          <w:p w14:paraId="37C93C06"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1810" w:type="dxa"/>
            <w:vMerge/>
            <w:shd w:val="clear" w:color="auto" w:fill="auto"/>
          </w:tcPr>
          <w:p w14:paraId="3E1077A3" w14:textId="77777777" w:rsidR="00B47300" w:rsidRDefault="00B47300">
            <w:pPr>
              <w:spacing w:line="240" w:lineRule="auto"/>
              <w:rPr>
                <w:rFonts w:eastAsiaTheme="minorEastAsia"/>
                <w:sz w:val="20"/>
                <w:szCs w:val="20"/>
                <w:lang w:val="en-GB" w:eastAsia="en-GB"/>
              </w:rPr>
            </w:pPr>
          </w:p>
        </w:tc>
      </w:tr>
      <w:tr w:rsidR="00B47300" w14:paraId="190B366C" w14:textId="77777777">
        <w:trPr>
          <w:trHeight w:val="93"/>
        </w:trPr>
        <w:tc>
          <w:tcPr>
            <w:tcW w:w="2304" w:type="dxa"/>
            <w:shd w:val="clear" w:color="auto" w:fill="auto"/>
          </w:tcPr>
          <w:p w14:paraId="2E1CAB8A"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lastRenderedPageBreak/>
              <w:t>2. Gender</w:t>
            </w:r>
          </w:p>
        </w:tc>
        <w:tc>
          <w:tcPr>
            <w:tcW w:w="1097" w:type="dxa"/>
            <w:shd w:val="clear" w:color="auto" w:fill="auto"/>
          </w:tcPr>
          <w:p w14:paraId="1CEDA88C"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en-GB"/>
              </w:rPr>
              <w:t>-.22**</w:t>
            </w:r>
          </w:p>
        </w:tc>
        <w:tc>
          <w:tcPr>
            <w:tcW w:w="1133" w:type="dxa"/>
            <w:shd w:val="clear" w:color="auto" w:fill="auto"/>
          </w:tcPr>
          <w:p w14:paraId="6467CD69"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w:t>
            </w:r>
          </w:p>
        </w:tc>
        <w:tc>
          <w:tcPr>
            <w:tcW w:w="993" w:type="dxa"/>
            <w:shd w:val="clear" w:color="auto" w:fill="auto"/>
            <w:vAlign w:val="center"/>
          </w:tcPr>
          <w:p w14:paraId="7D402B14"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849" w:type="dxa"/>
            <w:shd w:val="clear" w:color="auto" w:fill="auto"/>
            <w:vAlign w:val="center"/>
          </w:tcPr>
          <w:p w14:paraId="21C19AB9"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991" w:type="dxa"/>
            <w:shd w:val="clear" w:color="auto" w:fill="auto"/>
            <w:vAlign w:val="center"/>
          </w:tcPr>
          <w:p w14:paraId="1B5979CF"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709" w:type="dxa"/>
            <w:shd w:val="clear" w:color="auto" w:fill="auto"/>
            <w:vAlign w:val="center"/>
          </w:tcPr>
          <w:p w14:paraId="52A2C26E"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1810" w:type="dxa"/>
            <w:vMerge/>
            <w:shd w:val="clear" w:color="auto" w:fill="auto"/>
          </w:tcPr>
          <w:p w14:paraId="4909D3B2"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r>
      <w:tr w:rsidR="00B47300" w14:paraId="4D757425" w14:textId="77777777">
        <w:trPr>
          <w:trHeight w:val="66"/>
        </w:trPr>
        <w:tc>
          <w:tcPr>
            <w:tcW w:w="2304" w:type="dxa"/>
            <w:shd w:val="clear" w:color="auto" w:fill="auto"/>
          </w:tcPr>
          <w:p w14:paraId="5E339025"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3. Faculty</w:t>
            </w:r>
          </w:p>
        </w:tc>
        <w:tc>
          <w:tcPr>
            <w:tcW w:w="1097" w:type="dxa"/>
            <w:shd w:val="clear" w:color="auto" w:fill="auto"/>
          </w:tcPr>
          <w:p w14:paraId="7B2DBD25"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.13</w:t>
            </w:r>
            <w:r>
              <w:rPr>
                <w:rFonts w:ascii="Times New Roman" w:eastAsiaTheme="minorEastAsia" w:hAnsi="Times New Roman" w:cs="Times New Roman"/>
                <w:sz w:val="20"/>
                <w:szCs w:val="20"/>
                <w:vertAlign w:val="superscript"/>
                <w:lang w:val="en-GB" w:eastAsia="zh-CN"/>
              </w:rPr>
              <w:t>*</w:t>
            </w:r>
          </w:p>
        </w:tc>
        <w:tc>
          <w:tcPr>
            <w:tcW w:w="1133" w:type="dxa"/>
            <w:shd w:val="clear" w:color="auto" w:fill="auto"/>
          </w:tcPr>
          <w:p w14:paraId="24BE2F40"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.26</w:t>
            </w:r>
            <w:r>
              <w:rPr>
                <w:rFonts w:ascii="Times New Roman" w:eastAsiaTheme="minorEastAsia" w:hAnsi="Times New Roman" w:cs="Times New Roman"/>
                <w:sz w:val="20"/>
                <w:szCs w:val="20"/>
                <w:vertAlign w:val="superscript"/>
                <w:lang w:val="en-GB" w:eastAsia="zh-CN"/>
              </w:rPr>
              <w:t>**</w:t>
            </w:r>
          </w:p>
        </w:tc>
        <w:tc>
          <w:tcPr>
            <w:tcW w:w="993" w:type="dxa"/>
            <w:shd w:val="clear" w:color="auto" w:fill="auto"/>
          </w:tcPr>
          <w:p w14:paraId="2F277900"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w:t>
            </w:r>
          </w:p>
        </w:tc>
        <w:tc>
          <w:tcPr>
            <w:tcW w:w="849" w:type="dxa"/>
            <w:shd w:val="clear" w:color="auto" w:fill="auto"/>
            <w:vAlign w:val="center"/>
          </w:tcPr>
          <w:p w14:paraId="1859CB2C"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991" w:type="dxa"/>
            <w:shd w:val="clear" w:color="auto" w:fill="auto"/>
            <w:vAlign w:val="center"/>
          </w:tcPr>
          <w:p w14:paraId="47D4061D"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709" w:type="dxa"/>
            <w:shd w:val="clear" w:color="auto" w:fill="auto"/>
            <w:vAlign w:val="center"/>
          </w:tcPr>
          <w:p w14:paraId="2BFB6A0B"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1810" w:type="dxa"/>
            <w:vMerge/>
            <w:shd w:val="clear" w:color="auto" w:fill="auto"/>
          </w:tcPr>
          <w:p w14:paraId="671FE3DD"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r>
      <w:tr w:rsidR="00B47300" w14:paraId="5B571B27" w14:textId="77777777">
        <w:trPr>
          <w:trHeight w:val="252"/>
        </w:trPr>
        <w:tc>
          <w:tcPr>
            <w:tcW w:w="2304" w:type="dxa"/>
            <w:shd w:val="clear" w:color="auto" w:fill="auto"/>
          </w:tcPr>
          <w:p w14:paraId="2DF587A2"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4. Level</w:t>
            </w:r>
          </w:p>
        </w:tc>
        <w:tc>
          <w:tcPr>
            <w:tcW w:w="1097" w:type="dxa"/>
            <w:shd w:val="clear" w:color="auto" w:fill="auto"/>
          </w:tcPr>
          <w:p w14:paraId="3F6123AC"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62**</w:t>
            </w:r>
          </w:p>
        </w:tc>
        <w:tc>
          <w:tcPr>
            <w:tcW w:w="1133" w:type="dxa"/>
            <w:shd w:val="clear" w:color="auto" w:fill="auto"/>
          </w:tcPr>
          <w:p w14:paraId="0CA264D0"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-.01</w:t>
            </w:r>
          </w:p>
        </w:tc>
        <w:tc>
          <w:tcPr>
            <w:tcW w:w="993" w:type="dxa"/>
            <w:shd w:val="clear" w:color="auto" w:fill="auto"/>
          </w:tcPr>
          <w:p w14:paraId="4D02458C"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.14*</w:t>
            </w:r>
          </w:p>
        </w:tc>
        <w:tc>
          <w:tcPr>
            <w:tcW w:w="849" w:type="dxa"/>
            <w:shd w:val="clear" w:color="auto" w:fill="auto"/>
          </w:tcPr>
          <w:p w14:paraId="6B32D85C"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w:t>
            </w:r>
          </w:p>
        </w:tc>
        <w:tc>
          <w:tcPr>
            <w:tcW w:w="991" w:type="dxa"/>
            <w:shd w:val="clear" w:color="auto" w:fill="auto"/>
            <w:vAlign w:val="center"/>
          </w:tcPr>
          <w:p w14:paraId="18A32CB9"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709" w:type="dxa"/>
            <w:shd w:val="clear" w:color="auto" w:fill="auto"/>
            <w:vAlign w:val="center"/>
          </w:tcPr>
          <w:p w14:paraId="46F76CE1"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1810" w:type="dxa"/>
            <w:vMerge/>
            <w:shd w:val="clear" w:color="auto" w:fill="auto"/>
          </w:tcPr>
          <w:p w14:paraId="1D18CC02"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r>
      <w:tr w:rsidR="00B47300" w14:paraId="7B9CCB68" w14:textId="77777777">
        <w:trPr>
          <w:trHeight w:val="259"/>
        </w:trPr>
        <w:tc>
          <w:tcPr>
            <w:tcW w:w="2304" w:type="dxa"/>
            <w:shd w:val="clear" w:color="auto" w:fill="auto"/>
          </w:tcPr>
          <w:p w14:paraId="37B98A60"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5. Mobile Gaming</w:t>
            </w:r>
          </w:p>
        </w:tc>
        <w:tc>
          <w:tcPr>
            <w:tcW w:w="1097" w:type="dxa"/>
            <w:shd w:val="clear" w:color="auto" w:fill="auto"/>
          </w:tcPr>
          <w:p w14:paraId="63FE4B3B"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13*</w:t>
            </w:r>
          </w:p>
        </w:tc>
        <w:tc>
          <w:tcPr>
            <w:tcW w:w="1133" w:type="dxa"/>
            <w:shd w:val="clear" w:color="auto" w:fill="auto"/>
          </w:tcPr>
          <w:p w14:paraId="2D9905C7"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-.21</w:t>
            </w:r>
            <w:r>
              <w:rPr>
                <w:rFonts w:ascii="Times New Roman" w:eastAsiaTheme="minorEastAsia" w:hAnsi="Times New Roman" w:cs="Times New Roman"/>
                <w:sz w:val="20"/>
                <w:szCs w:val="20"/>
                <w:vertAlign w:val="superscript"/>
                <w:lang w:val="en-GB" w:eastAsia="zh-CN"/>
              </w:rPr>
              <w:t>**</w:t>
            </w:r>
          </w:p>
        </w:tc>
        <w:tc>
          <w:tcPr>
            <w:tcW w:w="993" w:type="dxa"/>
            <w:shd w:val="clear" w:color="auto" w:fill="auto"/>
          </w:tcPr>
          <w:p w14:paraId="627F79FC"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.12*</w:t>
            </w:r>
          </w:p>
        </w:tc>
        <w:tc>
          <w:tcPr>
            <w:tcW w:w="849" w:type="dxa"/>
            <w:shd w:val="clear" w:color="auto" w:fill="auto"/>
          </w:tcPr>
          <w:p w14:paraId="4F779874"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-.01</w:t>
            </w:r>
          </w:p>
        </w:tc>
        <w:tc>
          <w:tcPr>
            <w:tcW w:w="991" w:type="dxa"/>
            <w:shd w:val="clear" w:color="auto" w:fill="auto"/>
          </w:tcPr>
          <w:p w14:paraId="3A208729"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w:t>
            </w:r>
          </w:p>
        </w:tc>
        <w:tc>
          <w:tcPr>
            <w:tcW w:w="709" w:type="dxa"/>
            <w:shd w:val="clear" w:color="auto" w:fill="auto"/>
            <w:vAlign w:val="center"/>
          </w:tcPr>
          <w:p w14:paraId="0CEE14C0"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c>
          <w:tcPr>
            <w:tcW w:w="1810" w:type="dxa"/>
            <w:vMerge/>
            <w:shd w:val="clear" w:color="auto" w:fill="auto"/>
          </w:tcPr>
          <w:p w14:paraId="249ECFF6"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r>
      <w:tr w:rsidR="00B47300" w14:paraId="72175DA8" w14:textId="77777777">
        <w:trPr>
          <w:trHeight w:val="259"/>
        </w:trPr>
        <w:tc>
          <w:tcPr>
            <w:tcW w:w="2304" w:type="dxa"/>
            <w:tcBorders>
              <w:bottom w:val="single" w:sz="18" w:space="0" w:color="000000"/>
            </w:tcBorders>
            <w:shd w:val="clear" w:color="auto" w:fill="auto"/>
          </w:tcPr>
          <w:p w14:paraId="49345A14"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6. Social Anxiety</w:t>
            </w:r>
          </w:p>
        </w:tc>
        <w:tc>
          <w:tcPr>
            <w:tcW w:w="1097" w:type="dxa"/>
            <w:tcBorders>
              <w:bottom w:val="single" w:sz="18" w:space="0" w:color="000000"/>
            </w:tcBorders>
            <w:shd w:val="clear" w:color="auto" w:fill="auto"/>
          </w:tcPr>
          <w:p w14:paraId="7870907F"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-.13</w:t>
            </w:r>
            <w:r>
              <w:rPr>
                <w:rFonts w:ascii="Times New Roman" w:eastAsiaTheme="minorEastAsia" w:hAnsi="Times New Roman" w:cs="Times New Roman"/>
                <w:sz w:val="20"/>
                <w:szCs w:val="20"/>
                <w:vertAlign w:val="superscript"/>
                <w:lang w:val="en-GB" w:eastAsia="zh-CN"/>
              </w:rPr>
              <w:t>*</w:t>
            </w:r>
          </w:p>
        </w:tc>
        <w:tc>
          <w:tcPr>
            <w:tcW w:w="1133" w:type="dxa"/>
            <w:tcBorders>
              <w:bottom w:val="single" w:sz="18" w:space="0" w:color="000000"/>
            </w:tcBorders>
            <w:shd w:val="clear" w:color="auto" w:fill="auto"/>
          </w:tcPr>
          <w:p w14:paraId="1164532C"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.14*</w:t>
            </w:r>
          </w:p>
        </w:tc>
        <w:tc>
          <w:tcPr>
            <w:tcW w:w="993" w:type="dxa"/>
            <w:tcBorders>
              <w:bottom w:val="single" w:sz="18" w:space="0" w:color="000000"/>
            </w:tcBorders>
            <w:shd w:val="clear" w:color="auto" w:fill="auto"/>
          </w:tcPr>
          <w:p w14:paraId="50D77C5A"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-.05</w:t>
            </w:r>
          </w:p>
        </w:tc>
        <w:tc>
          <w:tcPr>
            <w:tcW w:w="849" w:type="dxa"/>
            <w:tcBorders>
              <w:bottom w:val="single" w:sz="18" w:space="0" w:color="000000"/>
            </w:tcBorders>
            <w:shd w:val="clear" w:color="auto" w:fill="auto"/>
          </w:tcPr>
          <w:p w14:paraId="75CA5977"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-.01</w:t>
            </w:r>
          </w:p>
        </w:tc>
        <w:tc>
          <w:tcPr>
            <w:tcW w:w="991" w:type="dxa"/>
            <w:tcBorders>
              <w:bottom w:val="single" w:sz="18" w:space="0" w:color="000000"/>
            </w:tcBorders>
            <w:shd w:val="clear" w:color="auto" w:fill="auto"/>
          </w:tcPr>
          <w:p w14:paraId="6ED72316"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.25**</w:t>
            </w:r>
          </w:p>
        </w:tc>
        <w:tc>
          <w:tcPr>
            <w:tcW w:w="709" w:type="dxa"/>
            <w:tcBorders>
              <w:bottom w:val="single" w:sz="18" w:space="0" w:color="000000"/>
            </w:tcBorders>
            <w:shd w:val="clear" w:color="auto" w:fill="auto"/>
          </w:tcPr>
          <w:p w14:paraId="4E6A02BF" w14:textId="77777777" w:rsidR="00B47300" w:rsidRDefault="00414E9C">
            <w:pPr>
              <w:widowControl w:val="0"/>
              <w:spacing w:line="240" w:lineRule="auto"/>
              <w:rPr>
                <w:rFonts w:eastAsiaTheme="minorEastAsia"/>
                <w:sz w:val="20"/>
                <w:szCs w:val="20"/>
                <w:lang w:val="en-GB" w:eastAsia="en-GB"/>
              </w:rPr>
            </w:pPr>
            <w:r>
              <w:rPr>
                <w:rFonts w:ascii="Times New Roman" w:eastAsiaTheme="minorEastAsia" w:hAnsi="Times New Roman" w:cs="Times New Roman"/>
                <w:sz w:val="20"/>
                <w:szCs w:val="20"/>
                <w:lang w:val="en-GB" w:eastAsia="zh-CN"/>
              </w:rPr>
              <w:t>1</w:t>
            </w:r>
          </w:p>
        </w:tc>
        <w:tc>
          <w:tcPr>
            <w:tcW w:w="1810" w:type="dxa"/>
            <w:vMerge/>
            <w:shd w:val="clear" w:color="auto" w:fill="auto"/>
          </w:tcPr>
          <w:p w14:paraId="53F827B0" w14:textId="77777777" w:rsidR="00B47300" w:rsidRDefault="00B47300">
            <w:pPr>
              <w:widowControl w:val="0"/>
              <w:spacing w:line="240" w:lineRule="auto"/>
              <w:rPr>
                <w:rFonts w:ascii="Times New Roman" w:eastAsiaTheme="minorEastAsia" w:hAnsi="Times New Roman" w:cs="Times New Roman"/>
                <w:sz w:val="20"/>
                <w:szCs w:val="20"/>
                <w:lang w:val="en-GB" w:eastAsia="en-GB"/>
              </w:rPr>
            </w:pPr>
          </w:p>
        </w:tc>
      </w:tr>
    </w:tbl>
    <w:p w14:paraId="0570E441" w14:textId="77777777" w:rsidR="00B47300" w:rsidRDefault="00B47300">
      <w:pPr>
        <w:spacing w:line="240" w:lineRule="auto"/>
        <w:rPr>
          <w:rFonts w:ascii="Times New Roman" w:hAnsi="Times New Roman" w:cs="Times New Roman"/>
          <w:b/>
          <w:bCs/>
          <w:sz w:val="24"/>
          <w:szCs w:val="24"/>
        </w:rPr>
      </w:pPr>
    </w:p>
    <w:p w14:paraId="56F14C95" w14:textId="77777777" w:rsidR="00B47300" w:rsidRDefault="00B47300">
      <w:pPr>
        <w:widowControl w:val="0"/>
        <w:spacing w:line="240" w:lineRule="auto"/>
        <w:ind w:firstLine="720"/>
        <w:jc w:val="both"/>
        <w:rPr>
          <w:rFonts w:ascii="Times New Roman" w:hAnsi="Times New Roman" w:cs="Times New Roman"/>
          <w:color w:val="000000"/>
          <w:sz w:val="24"/>
          <w:szCs w:val="24"/>
          <w:lang w:eastAsia="zh-CN"/>
        </w:rPr>
      </w:pPr>
    </w:p>
    <w:p w14:paraId="0213C819" w14:textId="77777777" w:rsidR="00B47300" w:rsidRDefault="00414E9C">
      <w:pPr>
        <w:widowControl w:val="0"/>
        <w:spacing w:line="240" w:lineRule="auto"/>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The result in Table 2 shows the test of the relationship between variables. From the table, it was indicated that mobile gaming addiction had a significant positive relationship with social anxiety [</w:t>
      </w:r>
      <w:r>
        <w:rPr>
          <w:rFonts w:ascii="Times New Roman" w:hAnsi="Times New Roman" w:cs="Times New Roman"/>
          <w:i/>
          <w:iCs/>
          <w:color w:val="000000"/>
          <w:sz w:val="24"/>
          <w:szCs w:val="24"/>
          <w:lang w:eastAsia="zh-CN"/>
        </w:rPr>
        <w:t>r</w:t>
      </w:r>
      <w:r>
        <w:rPr>
          <w:rFonts w:ascii="Times New Roman" w:hAnsi="Times New Roman" w:cs="Times New Roman"/>
          <w:color w:val="000000"/>
          <w:sz w:val="24"/>
          <w:szCs w:val="24"/>
          <w:lang w:eastAsia="zh-CN"/>
        </w:rPr>
        <w:t xml:space="preserve"> (298) = .25, </w:t>
      </w:r>
      <w:r>
        <w:rPr>
          <w:rFonts w:ascii="Times New Roman" w:hAnsi="Times New Roman" w:cs="Times New Roman"/>
          <w:i/>
          <w:iCs/>
          <w:color w:val="000000"/>
          <w:sz w:val="24"/>
          <w:szCs w:val="24"/>
          <w:lang w:eastAsia="zh-CN"/>
        </w:rPr>
        <w:t xml:space="preserve">p </w:t>
      </w:r>
      <w:r>
        <w:rPr>
          <w:rFonts w:ascii="Times New Roman" w:hAnsi="Times New Roman" w:cs="Times New Roman"/>
          <w:color w:val="000000"/>
          <w:sz w:val="24"/>
          <w:szCs w:val="24"/>
          <w:lang w:eastAsia="zh-CN"/>
        </w:rPr>
        <w:t>&lt;.01].</w:t>
      </w:r>
    </w:p>
    <w:p w14:paraId="4BF02400" w14:textId="77777777" w:rsidR="00B47300" w:rsidRDefault="00414E9C">
      <w:pPr>
        <w:widowControl w:val="0"/>
        <w:spacing w:line="240" w:lineRule="auto"/>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The socio-demographic factors indicated that gender had a significant relationship with social anxiety [</w:t>
      </w:r>
      <w:r>
        <w:rPr>
          <w:rFonts w:ascii="Times New Roman" w:hAnsi="Times New Roman" w:cs="Times New Roman"/>
          <w:i/>
          <w:iCs/>
          <w:color w:val="000000"/>
          <w:sz w:val="24"/>
          <w:szCs w:val="24"/>
          <w:lang w:eastAsia="zh-CN"/>
        </w:rPr>
        <w:t>r</w:t>
      </w:r>
      <w:r>
        <w:rPr>
          <w:rFonts w:ascii="Times New Roman" w:hAnsi="Times New Roman" w:cs="Times New Roman"/>
          <w:color w:val="000000"/>
          <w:sz w:val="24"/>
          <w:szCs w:val="24"/>
          <w:lang w:eastAsia="zh-CN"/>
        </w:rPr>
        <w:t xml:space="preserve"> (298) = .14, </w:t>
      </w:r>
      <w:r>
        <w:rPr>
          <w:rFonts w:ascii="Times New Roman" w:hAnsi="Times New Roman" w:cs="Times New Roman"/>
          <w:i/>
          <w:iCs/>
          <w:color w:val="000000"/>
          <w:sz w:val="24"/>
          <w:szCs w:val="24"/>
          <w:lang w:eastAsia="zh-CN"/>
        </w:rPr>
        <w:t>p</w:t>
      </w:r>
      <w:r>
        <w:rPr>
          <w:rFonts w:ascii="Times New Roman" w:hAnsi="Times New Roman" w:cs="Times New Roman"/>
          <w:color w:val="000000"/>
          <w:sz w:val="24"/>
          <w:szCs w:val="24"/>
          <w:lang w:eastAsia="zh-CN"/>
        </w:rPr>
        <w:t xml:space="preserve"> &lt;.01]. Age had a significant association with social anxiety [</w:t>
      </w:r>
      <w:r>
        <w:rPr>
          <w:rFonts w:ascii="Times New Roman" w:hAnsi="Times New Roman" w:cs="Times New Roman"/>
          <w:i/>
          <w:iCs/>
          <w:color w:val="000000"/>
          <w:sz w:val="24"/>
          <w:szCs w:val="24"/>
          <w:lang w:eastAsia="zh-CN"/>
        </w:rPr>
        <w:t>r</w:t>
      </w:r>
      <w:r>
        <w:rPr>
          <w:rFonts w:ascii="Times New Roman" w:hAnsi="Times New Roman" w:cs="Times New Roman"/>
          <w:color w:val="000000"/>
          <w:sz w:val="24"/>
          <w:szCs w:val="24"/>
          <w:lang w:eastAsia="zh-CN"/>
        </w:rPr>
        <w:t xml:space="preserve"> (298) = .13, </w:t>
      </w:r>
      <w:r>
        <w:rPr>
          <w:rFonts w:ascii="Times New Roman" w:hAnsi="Times New Roman" w:cs="Times New Roman"/>
          <w:i/>
          <w:iCs/>
          <w:color w:val="000000"/>
          <w:sz w:val="24"/>
          <w:szCs w:val="24"/>
          <w:lang w:eastAsia="zh-CN"/>
        </w:rPr>
        <w:t>p</w:t>
      </w:r>
      <w:r>
        <w:rPr>
          <w:rFonts w:ascii="Times New Roman" w:hAnsi="Times New Roman" w:cs="Times New Roman"/>
          <w:color w:val="000000"/>
          <w:sz w:val="24"/>
          <w:szCs w:val="24"/>
          <w:lang w:eastAsia="zh-CN"/>
        </w:rPr>
        <w:t xml:space="preserve"> &lt;.01]. The level had no significant relationship with social anxiety [</w:t>
      </w:r>
      <w:r>
        <w:rPr>
          <w:rFonts w:ascii="Times New Roman" w:hAnsi="Times New Roman" w:cs="Times New Roman"/>
          <w:i/>
          <w:iCs/>
          <w:color w:val="000000"/>
          <w:sz w:val="24"/>
          <w:szCs w:val="24"/>
          <w:lang w:eastAsia="zh-CN"/>
        </w:rPr>
        <w:t>r</w:t>
      </w:r>
      <w:r>
        <w:rPr>
          <w:rFonts w:ascii="Times New Roman" w:hAnsi="Times New Roman" w:cs="Times New Roman"/>
          <w:color w:val="000000"/>
          <w:sz w:val="24"/>
          <w:szCs w:val="24"/>
          <w:lang w:eastAsia="zh-CN"/>
        </w:rPr>
        <w:t xml:space="preserve"> (298) = -.01, </w:t>
      </w:r>
      <w:r>
        <w:rPr>
          <w:rFonts w:ascii="Times New Roman" w:hAnsi="Times New Roman" w:cs="Times New Roman"/>
          <w:i/>
          <w:iCs/>
          <w:color w:val="000000"/>
          <w:sz w:val="24"/>
          <w:szCs w:val="24"/>
          <w:lang w:eastAsia="zh-CN"/>
        </w:rPr>
        <w:t>p</w:t>
      </w:r>
      <w:r>
        <w:rPr>
          <w:rFonts w:ascii="Times New Roman" w:hAnsi="Times New Roman" w:cs="Times New Roman"/>
          <w:color w:val="000000"/>
          <w:sz w:val="24"/>
          <w:szCs w:val="24"/>
          <w:lang w:eastAsia="zh-CN"/>
        </w:rPr>
        <w:t xml:space="preserve"> &gt;.05]. Faculty had no significant relationship with social anxiety [</w:t>
      </w:r>
      <w:r>
        <w:rPr>
          <w:rFonts w:ascii="Times New Roman" w:hAnsi="Times New Roman" w:cs="Times New Roman"/>
          <w:i/>
          <w:iCs/>
          <w:color w:val="000000"/>
          <w:sz w:val="24"/>
          <w:szCs w:val="24"/>
          <w:lang w:eastAsia="zh-CN"/>
        </w:rPr>
        <w:t>r</w:t>
      </w:r>
      <w:r>
        <w:rPr>
          <w:rFonts w:ascii="Times New Roman" w:hAnsi="Times New Roman" w:cs="Times New Roman"/>
          <w:color w:val="000000"/>
          <w:sz w:val="24"/>
          <w:szCs w:val="24"/>
          <w:lang w:eastAsia="zh-CN"/>
        </w:rPr>
        <w:t xml:space="preserve"> (298) = -.05, </w:t>
      </w:r>
      <w:r>
        <w:rPr>
          <w:rFonts w:ascii="Times New Roman" w:hAnsi="Times New Roman" w:cs="Times New Roman"/>
          <w:i/>
          <w:iCs/>
          <w:color w:val="000000"/>
          <w:sz w:val="24"/>
          <w:szCs w:val="24"/>
          <w:lang w:eastAsia="zh-CN"/>
        </w:rPr>
        <w:t>p</w:t>
      </w:r>
      <w:r>
        <w:rPr>
          <w:rFonts w:ascii="Times New Roman" w:hAnsi="Times New Roman" w:cs="Times New Roman"/>
          <w:color w:val="000000"/>
          <w:sz w:val="24"/>
          <w:szCs w:val="24"/>
          <w:lang w:eastAsia="zh-CN"/>
        </w:rPr>
        <w:t xml:space="preserve"> &gt;.05].</w:t>
      </w:r>
    </w:p>
    <w:p w14:paraId="56A1E154" w14:textId="3128310B" w:rsidR="00B47300" w:rsidRDefault="00B47300">
      <w:pPr>
        <w:widowControl w:val="0"/>
        <w:spacing w:line="240" w:lineRule="auto"/>
        <w:ind w:firstLine="720"/>
        <w:jc w:val="both"/>
        <w:rPr>
          <w:rFonts w:ascii="Times New Roman" w:hAnsi="Times New Roman" w:cs="Times New Roman"/>
          <w:color w:val="000000"/>
          <w:sz w:val="24"/>
          <w:szCs w:val="24"/>
          <w:lang w:eastAsia="zh-CN"/>
        </w:rPr>
      </w:pPr>
    </w:p>
    <w:p w14:paraId="6DEE43EB" w14:textId="68B06ECD" w:rsidR="000C1572" w:rsidRDefault="000C1572">
      <w:pPr>
        <w:widowControl w:val="0"/>
        <w:spacing w:line="240" w:lineRule="auto"/>
        <w:ind w:firstLine="720"/>
        <w:jc w:val="both"/>
        <w:rPr>
          <w:rFonts w:ascii="Times New Roman" w:hAnsi="Times New Roman" w:cs="Times New Roman"/>
          <w:color w:val="000000"/>
          <w:sz w:val="24"/>
          <w:szCs w:val="24"/>
          <w:lang w:eastAsia="zh-CN"/>
        </w:rPr>
      </w:pPr>
    </w:p>
    <w:p w14:paraId="5397A5FB" w14:textId="7BC78385" w:rsidR="000C1572" w:rsidRDefault="000C1572">
      <w:pPr>
        <w:widowControl w:val="0"/>
        <w:spacing w:line="240" w:lineRule="auto"/>
        <w:ind w:firstLine="720"/>
        <w:jc w:val="both"/>
        <w:rPr>
          <w:rFonts w:ascii="Times New Roman" w:hAnsi="Times New Roman" w:cs="Times New Roman"/>
          <w:color w:val="000000"/>
          <w:sz w:val="24"/>
          <w:szCs w:val="24"/>
          <w:lang w:eastAsia="zh-CN"/>
        </w:rPr>
      </w:pPr>
    </w:p>
    <w:p w14:paraId="300D7064" w14:textId="0E9D7589" w:rsidR="000C1572" w:rsidRDefault="000C1572">
      <w:pPr>
        <w:widowControl w:val="0"/>
        <w:spacing w:line="240" w:lineRule="auto"/>
        <w:ind w:firstLine="720"/>
        <w:jc w:val="both"/>
        <w:rPr>
          <w:rFonts w:ascii="Times New Roman" w:hAnsi="Times New Roman" w:cs="Times New Roman"/>
          <w:color w:val="000000"/>
          <w:sz w:val="24"/>
          <w:szCs w:val="24"/>
          <w:lang w:eastAsia="zh-CN"/>
        </w:rPr>
      </w:pPr>
    </w:p>
    <w:p w14:paraId="49B2CE01" w14:textId="6B95CFE8" w:rsidR="000C1572" w:rsidRDefault="000C1572">
      <w:pPr>
        <w:widowControl w:val="0"/>
        <w:spacing w:line="240" w:lineRule="auto"/>
        <w:ind w:firstLine="720"/>
        <w:jc w:val="both"/>
        <w:rPr>
          <w:rFonts w:ascii="Times New Roman" w:hAnsi="Times New Roman" w:cs="Times New Roman"/>
          <w:color w:val="000000"/>
          <w:sz w:val="24"/>
          <w:szCs w:val="24"/>
          <w:lang w:eastAsia="zh-CN"/>
        </w:rPr>
      </w:pPr>
    </w:p>
    <w:p w14:paraId="6D55E56C" w14:textId="77777777" w:rsidR="000C1572" w:rsidRDefault="000C1572">
      <w:pPr>
        <w:widowControl w:val="0"/>
        <w:spacing w:line="240" w:lineRule="auto"/>
        <w:ind w:firstLine="720"/>
        <w:jc w:val="both"/>
        <w:rPr>
          <w:rFonts w:ascii="Times New Roman" w:hAnsi="Times New Roman" w:cs="Times New Roman"/>
          <w:color w:val="000000"/>
          <w:sz w:val="24"/>
          <w:szCs w:val="24"/>
          <w:lang w:eastAsia="zh-CN"/>
        </w:rPr>
      </w:pPr>
    </w:p>
    <w:p w14:paraId="1B4E2F61" w14:textId="77777777" w:rsidR="00B47300" w:rsidRDefault="00414E9C">
      <w:pPr>
        <w:spacing w:line="240" w:lineRule="auto"/>
        <w:ind w:right="536"/>
        <w:rPr>
          <w:rFonts w:ascii="Times New Roman" w:hAnsi="Times New Roman" w:cs="Times New Roman"/>
          <w:b/>
          <w:bCs/>
          <w:sz w:val="24"/>
          <w:szCs w:val="24"/>
        </w:rPr>
      </w:pPr>
      <w:r>
        <w:rPr>
          <w:rFonts w:ascii="Times New Roman" w:hAnsi="Times New Roman" w:cs="Times New Roman"/>
          <w:b/>
          <w:bCs/>
          <w:sz w:val="24"/>
          <w:szCs w:val="24"/>
        </w:rPr>
        <w:t>Hypotheses Testing</w:t>
      </w:r>
    </w:p>
    <w:p w14:paraId="217C6A3E" w14:textId="77777777" w:rsidR="00B47300" w:rsidRDefault="00B47300">
      <w:pPr>
        <w:spacing w:line="240" w:lineRule="auto"/>
        <w:ind w:left="-15" w:right="536"/>
        <w:jc w:val="both"/>
        <w:rPr>
          <w:rFonts w:ascii="Times New Roman" w:hAnsi="Times New Roman" w:cs="Times New Roman"/>
          <w:b/>
          <w:bCs/>
          <w:sz w:val="24"/>
          <w:szCs w:val="24"/>
        </w:rPr>
      </w:pPr>
    </w:p>
    <w:p w14:paraId="3D04835F" w14:textId="77777777" w:rsidR="00B47300" w:rsidRDefault="00414E9C">
      <w:pPr>
        <w:spacing w:line="240" w:lineRule="auto"/>
        <w:rPr>
          <w:rFonts w:ascii="Times New Roman" w:hAnsi="Times New Roman" w:cs="Times New Roman"/>
          <w:b/>
          <w:bCs/>
          <w:sz w:val="24"/>
          <w:szCs w:val="24"/>
        </w:rPr>
      </w:pPr>
      <w:r>
        <w:rPr>
          <w:rFonts w:ascii="Times New Roman" w:hAnsi="Times New Roman" w:cs="Times New Roman"/>
          <w:b/>
          <w:bCs/>
          <w:sz w:val="24"/>
          <w:szCs w:val="24"/>
        </w:rPr>
        <w:t>Hypothesis 1</w:t>
      </w:r>
    </w:p>
    <w:p w14:paraId="7130ABD9"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Mobile gaming addiction will predict higher levels of social anxiety among undergraduate students at Redeemer’s University.</w:t>
      </w:r>
    </w:p>
    <w:p w14:paraId="733DA9F3" w14:textId="77777777" w:rsidR="00B47300" w:rsidRDefault="00B47300">
      <w:pPr>
        <w:spacing w:line="240" w:lineRule="auto"/>
        <w:rPr>
          <w:rFonts w:ascii="Times New Roman" w:hAnsi="Times New Roman" w:cs="Times New Roman"/>
          <w:sz w:val="24"/>
          <w:szCs w:val="24"/>
        </w:rPr>
      </w:pPr>
    </w:p>
    <w:p w14:paraId="1FADD4E0"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3 </w:t>
      </w:r>
    </w:p>
    <w:p w14:paraId="6ACC6A1E"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Linear regression analysis on mobile gaming addiction as a predictor of social anxiety</w:t>
      </w:r>
    </w:p>
    <w:tbl>
      <w:tblPr>
        <w:tblW w:w="8622" w:type="dxa"/>
        <w:tblInd w:w="406" w:type="dxa"/>
        <w:tblCellMar>
          <w:top w:w="24" w:type="dxa"/>
          <w:right w:w="115" w:type="dxa"/>
        </w:tblCellMar>
        <w:tblLook w:val="04A0" w:firstRow="1" w:lastRow="0" w:firstColumn="1" w:lastColumn="0" w:noHBand="0" w:noVBand="1"/>
      </w:tblPr>
      <w:tblGrid>
        <w:gridCol w:w="1869"/>
        <w:gridCol w:w="802"/>
        <w:gridCol w:w="895"/>
        <w:gridCol w:w="892"/>
        <w:gridCol w:w="890"/>
        <w:gridCol w:w="802"/>
        <w:gridCol w:w="1068"/>
        <w:gridCol w:w="1404"/>
      </w:tblGrid>
      <w:tr w:rsidR="00B47300" w14:paraId="2DEF4313" w14:textId="77777777">
        <w:trPr>
          <w:trHeight w:val="583"/>
        </w:trPr>
        <w:tc>
          <w:tcPr>
            <w:tcW w:w="1868" w:type="dxa"/>
            <w:tcBorders>
              <w:top w:val="single" w:sz="16" w:space="0" w:color="000000"/>
              <w:bottom w:val="single" w:sz="16" w:space="0" w:color="000000"/>
            </w:tcBorders>
            <w:shd w:val="clear" w:color="auto" w:fill="auto"/>
          </w:tcPr>
          <w:p w14:paraId="3F0FEB72"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b/>
                <w:sz w:val="24"/>
                <w:szCs w:val="24"/>
              </w:rPr>
              <w:t xml:space="preserve">Predictors </w:t>
            </w:r>
          </w:p>
        </w:tc>
        <w:tc>
          <w:tcPr>
            <w:tcW w:w="802" w:type="dxa"/>
            <w:tcBorders>
              <w:top w:val="single" w:sz="16" w:space="0" w:color="000000"/>
              <w:bottom w:val="single" w:sz="16" w:space="0" w:color="000000"/>
            </w:tcBorders>
            <w:shd w:val="clear" w:color="auto" w:fill="auto"/>
          </w:tcPr>
          <w:p w14:paraId="60C859A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Β </w:t>
            </w:r>
          </w:p>
        </w:tc>
        <w:tc>
          <w:tcPr>
            <w:tcW w:w="895" w:type="dxa"/>
            <w:tcBorders>
              <w:top w:val="single" w:sz="16" w:space="0" w:color="000000"/>
              <w:bottom w:val="single" w:sz="16" w:space="0" w:color="000000"/>
            </w:tcBorders>
            <w:shd w:val="clear" w:color="auto" w:fill="auto"/>
          </w:tcPr>
          <w:p w14:paraId="0123D1A2"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T </w:t>
            </w:r>
          </w:p>
        </w:tc>
        <w:tc>
          <w:tcPr>
            <w:tcW w:w="892" w:type="dxa"/>
            <w:tcBorders>
              <w:top w:val="single" w:sz="16" w:space="0" w:color="000000"/>
              <w:bottom w:val="single" w:sz="16" w:space="0" w:color="000000"/>
            </w:tcBorders>
            <w:shd w:val="clear" w:color="auto" w:fill="auto"/>
          </w:tcPr>
          <w:p w14:paraId="562DDA4A"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i/>
                <w:iCs/>
                <w:sz w:val="24"/>
                <w:szCs w:val="24"/>
              </w:rPr>
              <w:t xml:space="preserve">P </w:t>
            </w:r>
          </w:p>
        </w:tc>
        <w:tc>
          <w:tcPr>
            <w:tcW w:w="890" w:type="dxa"/>
            <w:tcBorders>
              <w:top w:val="single" w:sz="16" w:space="0" w:color="000000"/>
              <w:bottom w:val="single" w:sz="16" w:space="0" w:color="000000"/>
            </w:tcBorders>
            <w:shd w:val="clear" w:color="auto" w:fill="auto"/>
          </w:tcPr>
          <w:p w14:paraId="381C29B1"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R </w:t>
            </w:r>
          </w:p>
        </w:tc>
        <w:tc>
          <w:tcPr>
            <w:tcW w:w="802" w:type="dxa"/>
            <w:tcBorders>
              <w:top w:val="single" w:sz="16" w:space="0" w:color="000000"/>
              <w:bottom w:val="single" w:sz="16" w:space="0" w:color="000000"/>
            </w:tcBorders>
            <w:shd w:val="clear" w:color="auto" w:fill="auto"/>
          </w:tcPr>
          <w:p w14:paraId="2B784451"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R</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
        </w:tc>
        <w:tc>
          <w:tcPr>
            <w:tcW w:w="1068" w:type="dxa"/>
            <w:tcBorders>
              <w:top w:val="single" w:sz="16" w:space="0" w:color="000000"/>
              <w:bottom w:val="single" w:sz="16" w:space="0" w:color="000000"/>
            </w:tcBorders>
            <w:shd w:val="clear" w:color="auto" w:fill="auto"/>
          </w:tcPr>
          <w:p w14:paraId="3FE1A92C"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Df </w:t>
            </w:r>
          </w:p>
        </w:tc>
        <w:tc>
          <w:tcPr>
            <w:tcW w:w="1404" w:type="dxa"/>
            <w:tcBorders>
              <w:top w:val="single" w:sz="16" w:space="0" w:color="000000"/>
              <w:bottom w:val="single" w:sz="16" w:space="0" w:color="000000"/>
            </w:tcBorders>
            <w:shd w:val="clear" w:color="auto" w:fill="auto"/>
          </w:tcPr>
          <w:p w14:paraId="4F23DD57"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F </w:t>
            </w:r>
          </w:p>
        </w:tc>
      </w:tr>
      <w:tr w:rsidR="00B47300" w14:paraId="236C2CF8" w14:textId="77777777">
        <w:trPr>
          <w:trHeight w:val="421"/>
        </w:trPr>
        <w:tc>
          <w:tcPr>
            <w:tcW w:w="1868" w:type="dxa"/>
            <w:tcBorders>
              <w:top w:val="single" w:sz="16" w:space="0" w:color="000000"/>
            </w:tcBorders>
            <w:shd w:val="clear" w:color="auto" w:fill="auto"/>
          </w:tcPr>
          <w:p w14:paraId="4EECFC07"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sz w:val="24"/>
                <w:szCs w:val="24"/>
              </w:rPr>
              <w:t xml:space="preserve"> </w:t>
            </w:r>
          </w:p>
        </w:tc>
        <w:tc>
          <w:tcPr>
            <w:tcW w:w="802" w:type="dxa"/>
            <w:tcBorders>
              <w:top w:val="single" w:sz="16" w:space="0" w:color="000000"/>
            </w:tcBorders>
            <w:shd w:val="clear" w:color="auto" w:fill="auto"/>
          </w:tcPr>
          <w:p w14:paraId="748D875C"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5" w:type="dxa"/>
            <w:tcBorders>
              <w:top w:val="single" w:sz="16" w:space="0" w:color="000000"/>
            </w:tcBorders>
            <w:shd w:val="clear" w:color="auto" w:fill="auto"/>
          </w:tcPr>
          <w:p w14:paraId="748EC70F"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2" w:type="dxa"/>
            <w:tcBorders>
              <w:top w:val="single" w:sz="16" w:space="0" w:color="000000"/>
            </w:tcBorders>
            <w:shd w:val="clear" w:color="auto" w:fill="auto"/>
          </w:tcPr>
          <w:p w14:paraId="2477875B"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0" w:type="dxa"/>
            <w:tcBorders>
              <w:top w:val="single" w:sz="16" w:space="0" w:color="000000"/>
            </w:tcBorders>
            <w:shd w:val="clear" w:color="auto" w:fill="auto"/>
          </w:tcPr>
          <w:p w14:paraId="1890801C"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802" w:type="dxa"/>
            <w:tcBorders>
              <w:top w:val="single" w:sz="16" w:space="0" w:color="000000"/>
            </w:tcBorders>
            <w:shd w:val="clear" w:color="auto" w:fill="auto"/>
          </w:tcPr>
          <w:p w14:paraId="7A8F61AC"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.06 </w:t>
            </w:r>
          </w:p>
        </w:tc>
        <w:tc>
          <w:tcPr>
            <w:tcW w:w="1068" w:type="dxa"/>
            <w:tcBorders>
              <w:top w:val="single" w:sz="16" w:space="0" w:color="000000"/>
            </w:tcBorders>
            <w:shd w:val="clear" w:color="auto" w:fill="auto"/>
          </w:tcPr>
          <w:p w14:paraId="69A309D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298 </w:t>
            </w:r>
          </w:p>
        </w:tc>
        <w:tc>
          <w:tcPr>
            <w:tcW w:w="1404" w:type="dxa"/>
            <w:tcBorders>
              <w:top w:val="single" w:sz="16" w:space="0" w:color="000000"/>
            </w:tcBorders>
            <w:shd w:val="clear" w:color="auto" w:fill="auto"/>
          </w:tcPr>
          <w:p w14:paraId="2EBCFE15"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19.39</w:t>
            </w:r>
          </w:p>
        </w:tc>
      </w:tr>
      <w:tr w:rsidR="00B47300" w14:paraId="43A150CF" w14:textId="77777777">
        <w:trPr>
          <w:trHeight w:val="717"/>
        </w:trPr>
        <w:tc>
          <w:tcPr>
            <w:tcW w:w="1868" w:type="dxa"/>
            <w:tcBorders>
              <w:bottom w:val="single" w:sz="18" w:space="0" w:color="000000"/>
            </w:tcBorders>
            <w:shd w:val="clear" w:color="auto" w:fill="auto"/>
          </w:tcPr>
          <w:p w14:paraId="0805E88F"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sz w:val="24"/>
                <w:szCs w:val="24"/>
              </w:rPr>
              <w:t xml:space="preserve">Mobile Gaming Addiction  </w:t>
            </w:r>
          </w:p>
        </w:tc>
        <w:tc>
          <w:tcPr>
            <w:tcW w:w="802" w:type="dxa"/>
            <w:tcBorders>
              <w:bottom w:val="single" w:sz="18" w:space="0" w:color="000000"/>
            </w:tcBorders>
            <w:shd w:val="clear" w:color="auto" w:fill="auto"/>
          </w:tcPr>
          <w:p w14:paraId="65B76DD8"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.27</w:t>
            </w:r>
          </w:p>
        </w:tc>
        <w:tc>
          <w:tcPr>
            <w:tcW w:w="895" w:type="dxa"/>
            <w:tcBorders>
              <w:bottom w:val="single" w:sz="18" w:space="0" w:color="000000"/>
            </w:tcBorders>
            <w:shd w:val="clear" w:color="auto" w:fill="auto"/>
          </w:tcPr>
          <w:p w14:paraId="48FDE4A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4.40 </w:t>
            </w:r>
          </w:p>
        </w:tc>
        <w:tc>
          <w:tcPr>
            <w:tcW w:w="892" w:type="dxa"/>
            <w:tcBorders>
              <w:bottom w:val="single" w:sz="18" w:space="0" w:color="000000"/>
            </w:tcBorders>
            <w:shd w:val="clear" w:color="auto" w:fill="auto"/>
          </w:tcPr>
          <w:p w14:paraId="4F393401" w14:textId="77777777" w:rsidR="00B47300" w:rsidRDefault="00414E9C">
            <w:pPr>
              <w:spacing w:line="240" w:lineRule="auto"/>
              <w:ind w:left="60"/>
              <w:rPr>
                <w:rFonts w:ascii="Times New Roman" w:hAnsi="Times New Roman" w:cs="Times New Roman"/>
                <w:sz w:val="24"/>
                <w:szCs w:val="24"/>
              </w:rPr>
            </w:pPr>
            <w:r>
              <w:rPr>
                <w:rFonts w:ascii="Times New Roman" w:hAnsi="Times New Roman" w:cs="Times New Roman"/>
                <w:sz w:val="24"/>
                <w:szCs w:val="24"/>
              </w:rPr>
              <w:t xml:space="preserve">&lt; .01 </w:t>
            </w:r>
          </w:p>
        </w:tc>
        <w:tc>
          <w:tcPr>
            <w:tcW w:w="890" w:type="dxa"/>
            <w:tcBorders>
              <w:bottom w:val="single" w:sz="18" w:space="0" w:color="000000"/>
            </w:tcBorders>
            <w:shd w:val="clear" w:color="auto" w:fill="auto"/>
          </w:tcPr>
          <w:p w14:paraId="608CEEB1" w14:textId="77777777" w:rsidR="00B47300" w:rsidRDefault="00B47300">
            <w:pPr>
              <w:spacing w:line="240" w:lineRule="auto"/>
              <w:rPr>
                <w:rFonts w:ascii="Times New Roman" w:hAnsi="Times New Roman" w:cs="Times New Roman"/>
                <w:sz w:val="24"/>
                <w:szCs w:val="24"/>
              </w:rPr>
            </w:pPr>
          </w:p>
        </w:tc>
        <w:tc>
          <w:tcPr>
            <w:tcW w:w="802" w:type="dxa"/>
            <w:tcBorders>
              <w:bottom w:val="single" w:sz="18" w:space="0" w:color="000000"/>
            </w:tcBorders>
            <w:shd w:val="clear" w:color="auto" w:fill="auto"/>
          </w:tcPr>
          <w:p w14:paraId="19ADDE76" w14:textId="77777777" w:rsidR="00B47300" w:rsidRDefault="00B47300">
            <w:pPr>
              <w:spacing w:line="240" w:lineRule="auto"/>
              <w:rPr>
                <w:rFonts w:ascii="Times New Roman" w:hAnsi="Times New Roman" w:cs="Times New Roman"/>
                <w:sz w:val="24"/>
                <w:szCs w:val="24"/>
              </w:rPr>
            </w:pPr>
          </w:p>
        </w:tc>
        <w:tc>
          <w:tcPr>
            <w:tcW w:w="1068" w:type="dxa"/>
            <w:tcBorders>
              <w:bottom w:val="single" w:sz="18" w:space="0" w:color="000000"/>
            </w:tcBorders>
            <w:shd w:val="clear" w:color="auto" w:fill="auto"/>
          </w:tcPr>
          <w:p w14:paraId="3E3C0665" w14:textId="77777777" w:rsidR="00B47300" w:rsidRDefault="00B47300">
            <w:pPr>
              <w:spacing w:line="240" w:lineRule="auto"/>
              <w:rPr>
                <w:rFonts w:ascii="Times New Roman" w:hAnsi="Times New Roman" w:cs="Times New Roman"/>
                <w:sz w:val="24"/>
                <w:szCs w:val="24"/>
              </w:rPr>
            </w:pPr>
          </w:p>
        </w:tc>
        <w:tc>
          <w:tcPr>
            <w:tcW w:w="1404" w:type="dxa"/>
            <w:tcBorders>
              <w:bottom w:val="single" w:sz="18" w:space="0" w:color="000000"/>
            </w:tcBorders>
            <w:shd w:val="clear" w:color="auto" w:fill="auto"/>
          </w:tcPr>
          <w:p w14:paraId="1FCE2D01" w14:textId="77777777" w:rsidR="00B47300" w:rsidRDefault="00B47300">
            <w:pPr>
              <w:spacing w:line="240" w:lineRule="auto"/>
            </w:pPr>
            <w:bookmarkStart w:id="0" w:name="_Hlk161582075"/>
            <w:bookmarkEnd w:id="0"/>
          </w:p>
        </w:tc>
      </w:tr>
    </w:tbl>
    <w:p w14:paraId="1EA6000D" w14:textId="77777777" w:rsidR="00B47300" w:rsidRDefault="00B47300">
      <w:pPr>
        <w:spacing w:line="240" w:lineRule="auto"/>
        <w:rPr>
          <w:rFonts w:ascii="Times New Roman" w:hAnsi="Times New Roman" w:cs="Times New Roman"/>
          <w:sz w:val="24"/>
          <w:szCs w:val="24"/>
        </w:rPr>
      </w:pPr>
    </w:p>
    <w:p w14:paraId="615CA6F2" w14:textId="77777777" w:rsidR="00B47300" w:rsidRDefault="00414E9C">
      <w:pPr>
        <w:spacing w:line="240" w:lineRule="auto"/>
        <w:ind w:left="-5" w:right="536"/>
        <w:jc w:val="both"/>
        <w:rPr>
          <w:rFonts w:ascii="Times New Roman" w:hAnsi="Times New Roman" w:cs="Times New Roman"/>
          <w:sz w:val="24"/>
          <w:szCs w:val="24"/>
        </w:rPr>
      </w:pPr>
      <w:bookmarkStart w:id="1" w:name="_Hlk161582375"/>
      <w:r>
        <w:rPr>
          <w:rFonts w:ascii="Times New Roman" w:hAnsi="Times New Roman" w:cs="Times New Roman"/>
          <w:sz w:val="24"/>
          <w:szCs w:val="24"/>
        </w:rPr>
        <w:t>A linear regression analysis was used to test the hypothesis. As summarized in Table 3, mobile gaming addiction had a significant positive prediction of social anxiety [</w:t>
      </w:r>
      <w:r>
        <w:rPr>
          <w:rFonts w:ascii="Times New Roman" w:hAnsi="Times New Roman" w:cs="Times New Roman"/>
          <w:i/>
          <w:iCs/>
          <w:sz w:val="24"/>
          <w:szCs w:val="24"/>
        </w:rPr>
        <w:t>β</w:t>
      </w:r>
      <w:r>
        <w:rPr>
          <w:rFonts w:ascii="Times New Roman" w:hAnsi="Times New Roman" w:cs="Times New Roman"/>
          <w:sz w:val="24"/>
          <w:szCs w:val="24"/>
        </w:rPr>
        <w:t xml:space="preserve"> = .27, </w:t>
      </w:r>
      <w:r>
        <w:rPr>
          <w:rFonts w:ascii="Times New Roman" w:hAnsi="Times New Roman" w:cs="Times New Roman"/>
          <w:i/>
          <w:iCs/>
          <w:sz w:val="24"/>
          <w:szCs w:val="24"/>
        </w:rPr>
        <w:t>t</w:t>
      </w:r>
      <w:r>
        <w:rPr>
          <w:rFonts w:ascii="Times New Roman" w:hAnsi="Times New Roman" w:cs="Times New Roman"/>
          <w:sz w:val="24"/>
          <w:szCs w:val="24"/>
        </w:rPr>
        <w:t xml:space="preserve"> = 4.40, </w:t>
      </w:r>
      <w:r>
        <w:rPr>
          <w:rFonts w:ascii="Times New Roman" w:hAnsi="Times New Roman" w:cs="Times New Roman"/>
          <w:i/>
          <w:iCs/>
          <w:sz w:val="24"/>
          <w:szCs w:val="24"/>
        </w:rPr>
        <w:t>p</w:t>
      </w:r>
      <w:r>
        <w:rPr>
          <w:rFonts w:ascii="Times New Roman" w:hAnsi="Times New Roman" w:cs="Times New Roman"/>
          <w:sz w:val="24"/>
          <w:szCs w:val="24"/>
        </w:rPr>
        <w:t xml:space="preserve"> &lt;.01]. This means that an increase in mobile gaming addiction will cause a significant increase in social anxiety among undergraduates at Redeemers University. </w:t>
      </w:r>
      <w:r>
        <w:rPr>
          <w:rFonts w:ascii="Times New Roman" w:hAnsi="Times New Roman" w:cs="Times New Roman"/>
          <w:color w:val="000000"/>
          <w:sz w:val="24"/>
          <w:szCs w:val="24"/>
          <w:lang w:eastAsia="zh-CN"/>
        </w:rPr>
        <w:t xml:space="preserve">Furthermore, the analysis showed an </w:t>
      </w:r>
      <w:r>
        <w:rPr>
          <w:rFonts w:ascii="Times New Roman" w:hAnsi="Times New Roman" w:cs="Times New Roman"/>
          <w:i/>
          <w:iCs/>
          <w:color w:val="000000"/>
          <w:sz w:val="24"/>
          <w:szCs w:val="24"/>
          <w:lang w:eastAsia="zh-CN"/>
        </w:rPr>
        <w:t>R</w:t>
      </w:r>
      <w:r>
        <w:rPr>
          <w:rFonts w:ascii="Times New Roman" w:hAnsi="Times New Roman" w:cs="Times New Roman"/>
          <w:i/>
          <w:iCs/>
          <w:color w:val="000000"/>
          <w:sz w:val="24"/>
          <w:szCs w:val="24"/>
          <w:vertAlign w:val="superscript"/>
          <w:lang w:eastAsia="zh-CN"/>
        </w:rPr>
        <w:t>2</w:t>
      </w:r>
      <w:r>
        <w:rPr>
          <w:rFonts w:ascii="Times New Roman" w:hAnsi="Times New Roman" w:cs="Times New Roman"/>
          <w:i/>
          <w:iCs/>
          <w:color w:val="000000"/>
          <w:sz w:val="24"/>
          <w:szCs w:val="24"/>
          <w:lang w:eastAsia="zh-CN"/>
        </w:rPr>
        <w:t xml:space="preserve"> </w:t>
      </w:r>
      <w:r>
        <w:rPr>
          <w:rFonts w:ascii="Times New Roman" w:hAnsi="Times New Roman" w:cs="Times New Roman"/>
          <w:color w:val="000000"/>
          <w:sz w:val="24"/>
          <w:szCs w:val="24"/>
          <w:lang w:eastAsia="zh-CN"/>
        </w:rPr>
        <w:t>of .061 (p&lt;0.01) indicating that a 6.1% variance in the anxiety severity among the participants is accounted for by internet gaming addiction.</w:t>
      </w:r>
      <w:r>
        <w:rPr>
          <w:rFonts w:ascii="Times New Roman" w:hAnsi="Times New Roman" w:cs="Times New Roman"/>
          <w:sz w:val="24"/>
          <w:szCs w:val="24"/>
        </w:rPr>
        <w:t xml:space="preserve"> </w:t>
      </w:r>
      <w:bookmarkEnd w:id="1"/>
    </w:p>
    <w:p w14:paraId="3A7D82E8" w14:textId="77777777" w:rsidR="00B47300" w:rsidRDefault="00B47300">
      <w:pPr>
        <w:spacing w:line="240" w:lineRule="auto"/>
        <w:rPr>
          <w:rFonts w:ascii="Times New Roman" w:hAnsi="Times New Roman" w:cs="Times New Roman"/>
          <w:b/>
          <w:bCs/>
          <w:sz w:val="24"/>
          <w:szCs w:val="24"/>
        </w:rPr>
      </w:pPr>
    </w:p>
    <w:p w14:paraId="7C13D4D2" w14:textId="77777777" w:rsidR="00B47300" w:rsidRDefault="00414E9C">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Hypothesis 2 </w:t>
      </w:r>
    </w:p>
    <w:p w14:paraId="1FD874A0" w14:textId="77777777" w:rsidR="00B47300" w:rsidRDefault="00414E9C">
      <w:pPr>
        <w:spacing w:line="240" w:lineRule="auto"/>
        <w:jc w:val="both"/>
        <w:rPr>
          <w:rFonts w:ascii="Times New Roman" w:hAnsi="Times New Roman" w:cs="Times New Roman"/>
          <w:sz w:val="24"/>
          <w:szCs w:val="24"/>
        </w:rPr>
      </w:pPr>
      <w:r>
        <w:rPr>
          <w:rFonts w:ascii="Times New Roman" w:hAnsi="Times New Roman" w:cs="Times New Roman"/>
          <w:sz w:val="24"/>
          <w:szCs w:val="24"/>
        </w:rPr>
        <w:t>Younger undergraduates will report higher levels of social anxiety than older students.</w:t>
      </w:r>
    </w:p>
    <w:p w14:paraId="4DFEED2C" w14:textId="77777777" w:rsidR="00B47300" w:rsidRDefault="00B47300">
      <w:pPr>
        <w:spacing w:line="240" w:lineRule="auto"/>
        <w:rPr>
          <w:rFonts w:ascii="Times New Roman" w:hAnsi="Times New Roman" w:cs="Times New Roman"/>
          <w:sz w:val="24"/>
          <w:szCs w:val="24"/>
        </w:rPr>
      </w:pPr>
    </w:p>
    <w:p w14:paraId="47DDA306"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4 </w:t>
      </w:r>
    </w:p>
    <w:p w14:paraId="1CC4088E"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Linear regression analysis on age as a predictor of social anxiety</w:t>
      </w:r>
    </w:p>
    <w:p w14:paraId="2788EE3A" w14:textId="77777777" w:rsidR="00B47300" w:rsidRDefault="00B47300">
      <w:pPr>
        <w:spacing w:line="240" w:lineRule="auto"/>
        <w:rPr>
          <w:rFonts w:ascii="Times New Roman" w:hAnsi="Times New Roman" w:cs="Times New Roman"/>
          <w:sz w:val="24"/>
          <w:szCs w:val="24"/>
        </w:rPr>
      </w:pPr>
    </w:p>
    <w:tbl>
      <w:tblPr>
        <w:tblW w:w="8622" w:type="dxa"/>
        <w:tblInd w:w="406" w:type="dxa"/>
        <w:tblCellMar>
          <w:top w:w="24" w:type="dxa"/>
          <w:right w:w="115" w:type="dxa"/>
        </w:tblCellMar>
        <w:tblLook w:val="04A0" w:firstRow="1" w:lastRow="0" w:firstColumn="1" w:lastColumn="0" w:noHBand="0" w:noVBand="1"/>
      </w:tblPr>
      <w:tblGrid>
        <w:gridCol w:w="1869"/>
        <w:gridCol w:w="802"/>
        <w:gridCol w:w="895"/>
        <w:gridCol w:w="892"/>
        <w:gridCol w:w="890"/>
        <w:gridCol w:w="802"/>
        <w:gridCol w:w="1068"/>
        <w:gridCol w:w="1404"/>
      </w:tblGrid>
      <w:tr w:rsidR="00B47300" w14:paraId="3F64B653" w14:textId="77777777">
        <w:trPr>
          <w:trHeight w:val="583"/>
        </w:trPr>
        <w:tc>
          <w:tcPr>
            <w:tcW w:w="1868" w:type="dxa"/>
            <w:tcBorders>
              <w:top w:val="single" w:sz="16" w:space="0" w:color="000000"/>
              <w:bottom w:val="single" w:sz="16" w:space="0" w:color="000000"/>
            </w:tcBorders>
            <w:shd w:val="clear" w:color="auto" w:fill="auto"/>
          </w:tcPr>
          <w:p w14:paraId="4B27FB37"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b/>
                <w:sz w:val="24"/>
                <w:szCs w:val="24"/>
              </w:rPr>
              <w:t xml:space="preserve">Predictors </w:t>
            </w:r>
          </w:p>
        </w:tc>
        <w:tc>
          <w:tcPr>
            <w:tcW w:w="802" w:type="dxa"/>
            <w:tcBorders>
              <w:top w:val="single" w:sz="16" w:space="0" w:color="000000"/>
              <w:bottom w:val="single" w:sz="16" w:space="0" w:color="000000"/>
            </w:tcBorders>
            <w:shd w:val="clear" w:color="auto" w:fill="auto"/>
          </w:tcPr>
          <w:p w14:paraId="57DD4625"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Β </w:t>
            </w:r>
          </w:p>
        </w:tc>
        <w:tc>
          <w:tcPr>
            <w:tcW w:w="895" w:type="dxa"/>
            <w:tcBorders>
              <w:top w:val="single" w:sz="16" w:space="0" w:color="000000"/>
              <w:bottom w:val="single" w:sz="16" w:space="0" w:color="000000"/>
            </w:tcBorders>
            <w:shd w:val="clear" w:color="auto" w:fill="auto"/>
          </w:tcPr>
          <w:p w14:paraId="5ED8D920"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T </w:t>
            </w:r>
          </w:p>
        </w:tc>
        <w:tc>
          <w:tcPr>
            <w:tcW w:w="892" w:type="dxa"/>
            <w:tcBorders>
              <w:top w:val="single" w:sz="16" w:space="0" w:color="000000"/>
              <w:bottom w:val="single" w:sz="16" w:space="0" w:color="000000"/>
            </w:tcBorders>
            <w:shd w:val="clear" w:color="auto" w:fill="auto"/>
          </w:tcPr>
          <w:p w14:paraId="400E78BE"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P </w:t>
            </w:r>
          </w:p>
        </w:tc>
        <w:tc>
          <w:tcPr>
            <w:tcW w:w="890" w:type="dxa"/>
            <w:tcBorders>
              <w:top w:val="single" w:sz="16" w:space="0" w:color="000000"/>
              <w:bottom w:val="single" w:sz="16" w:space="0" w:color="000000"/>
            </w:tcBorders>
            <w:shd w:val="clear" w:color="auto" w:fill="auto"/>
          </w:tcPr>
          <w:p w14:paraId="063ADBE1"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R </w:t>
            </w:r>
          </w:p>
        </w:tc>
        <w:tc>
          <w:tcPr>
            <w:tcW w:w="802" w:type="dxa"/>
            <w:tcBorders>
              <w:top w:val="single" w:sz="16" w:space="0" w:color="000000"/>
              <w:bottom w:val="single" w:sz="16" w:space="0" w:color="000000"/>
            </w:tcBorders>
            <w:shd w:val="clear" w:color="auto" w:fill="auto"/>
          </w:tcPr>
          <w:p w14:paraId="1B120BD3"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R</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
        </w:tc>
        <w:tc>
          <w:tcPr>
            <w:tcW w:w="1068" w:type="dxa"/>
            <w:tcBorders>
              <w:top w:val="single" w:sz="16" w:space="0" w:color="000000"/>
              <w:bottom w:val="single" w:sz="16" w:space="0" w:color="000000"/>
            </w:tcBorders>
            <w:shd w:val="clear" w:color="auto" w:fill="auto"/>
          </w:tcPr>
          <w:p w14:paraId="1E5C6343"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Df </w:t>
            </w:r>
          </w:p>
        </w:tc>
        <w:tc>
          <w:tcPr>
            <w:tcW w:w="1404" w:type="dxa"/>
            <w:tcBorders>
              <w:top w:val="single" w:sz="16" w:space="0" w:color="000000"/>
              <w:bottom w:val="single" w:sz="16" w:space="0" w:color="000000"/>
            </w:tcBorders>
            <w:shd w:val="clear" w:color="auto" w:fill="auto"/>
          </w:tcPr>
          <w:p w14:paraId="5958D15D"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F </w:t>
            </w:r>
          </w:p>
        </w:tc>
      </w:tr>
      <w:tr w:rsidR="00B47300" w14:paraId="56C3EF4E" w14:textId="77777777">
        <w:trPr>
          <w:trHeight w:val="421"/>
        </w:trPr>
        <w:tc>
          <w:tcPr>
            <w:tcW w:w="1868" w:type="dxa"/>
            <w:tcBorders>
              <w:top w:val="single" w:sz="16" w:space="0" w:color="000000"/>
            </w:tcBorders>
            <w:shd w:val="clear" w:color="auto" w:fill="auto"/>
          </w:tcPr>
          <w:p w14:paraId="15B36A51"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sz w:val="24"/>
                <w:szCs w:val="24"/>
              </w:rPr>
              <w:t xml:space="preserve"> </w:t>
            </w:r>
          </w:p>
        </w:tc>
        <w:tc>
          <w:tcPr>
            <w:tcW w:w="802" w:type="dxa"/>
            <w:tcBorders>
              <w:top w:val="single" w:sz="16" w:space="0" w:color="000000"/>
            </w:tcBorders>
            <w:shd w:val="clear" w:color="auto" w:fill="auto"/>
          </w:tcPr>
          <w:p w14:paraId="1F0268F0"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5" w:type="dxa"/>
            <w:tcBorders>
              <w:top w:val="single" w:sz="16" w:space="0" w:color="000000"/>
            </w:tcBorders>
            <w:shd w:val="clear" w:color="auto" w:fill="auto"/>
          </w:tcPr>
          <w:p w14:paraId="3A808BEA"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2" w:type="dxa"/>
            <w:tcBorders>
              <w:top w:val="single" w:sz="16" w:space="0" w:color="000000"/>
            </w:tcBorders>
            <w:shd w:val="clear" w:color="auto" w:fill="auto"/>
          </w:tcPr>
          <w:p w14:paraId="708469D8"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0" w:type="dxa"/>
            <w:tcBorders>
              <w:top w:val="single" w:sz="16" w:space="0" w:color="000000"/>
            </w:tcBorders>
            <w:shd w:val="clear" w:color="auto" w:fill="auto"/>
          </w:tcPr>
          <w:p w14:paraId="22DD7B82"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802" w:type="dxa"/>
            <w:tcBorders>
              <w:top w:val="single" w:sz="16" w:space="0" w:color="000000"/>
            </w:tcBorders>
            <w:shd w:val="clear" w:color="auto" w:fill="auto"/>
          </w:tcPr>
          <w:p w14:paraId="25D7DD68"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.018</w:t>
            </w:r>
          </w:p>
        </w:tc>
        <w:tc>
          <w:tcPr>
            <w:tcW w:w="1068" w:type="dxa"/>
            <w:tcBorders>
              <w:top w:val="single" w:sz="16" w:space="0" w:color="000000"/>
            </w:tcBorders>
            <w:shd w:val="clear" w:color="auto" w:fill="auto"/>
          </w:tcPr>
          <w:p w14:paraId="6555949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298 </w:t>
            </w:r>
          </w:p>
        </w:tc>
        <w:tc>
          <w:tcPr>
            <w:tcW w:w="1404" w:type="dxa"/>
            <w:tcBorders>
              <w:top w:val="single" w:sz="16" w:space="0" w:color="000000"/>
            </w:tcBorders>
            <w:shd w:val="clear" w:color="auto" w:fill="auto"/>
          </w:tcPr>
          <w:p w14:paraId="1F31DBA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5.35</w:t>
            </w:r>
          </w:p>
        </w:tc>
      </w:tr>
      <w:tr w:rsidR="00B47300" w14:paraId="624855B9" w14:textId="77777777">
        <w:trPr>
          <w:trHeight w:val="717"/>
        </w:trPr>
        <w:tc>
          <w:tcPr>
            <w:tcW w:w="1868" w:type="dxa"/>
            <w:tcBorders>
              <w:bottom w:val="single" w:sz="18" w:space="0" w:color="000000"/>
            </w:tcBorders>
            <w:shd w:val="clear" w:color="auto" w:fill="auto"/>
          </w:tcPr>
          <w:p w14:paraId="35C05D2D"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sz w:val="24"/>
                <w:szCs w:val="24"/>
              </w:rPr>
              <w:t xml:space="preserve">Age   </w:t>
            </w:r>
          </w:p>
        </w:tc>
        <w:tc>
          <w:tcPr>
            <w:tcW w:w="802" w:type="dxa"/>
            <w:tcBorders>
              <w:bottom w:val="single" w:sz="18" w:space="0" w:color="000000"/>
            </w:tcBorders>
            <w:shd w:val="clear" w:color="auto" w:fill="auto"/>
          </w:tcPr>
          <w:p w14:paraId="2FC35905"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-.983</w:t>
            </w:r>
          </w:p>
        </w:tc>
        <w:tc>
          <w:tcPr>
            <w:tcW w:w="895" w:type="dxa"/>
            <w:tcBorders>
              <w:bottom w:val="single" w:sz="18" w:space="0" w:color="000000"/>
            </w:tcBorders>
            <w:shd w:val="clear" w:color="auto" w:fill="auto"/>
          </w:tcPr>
          <w:p w14:paraId="743AEE3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-2.31</w:t>
            </w:r>
          </w:p>
        </w:tc>
        <w:tc>
          <w:tcPr>
            <w:tcW w:w="892" w:type="dxa"/>
            <w:tcBorders>
              <w:bottom w:val="single" w:sz="18" w:space="0" w:color="000000"/>
            </w:tcBorders>
            <w:shd w:val="clear" w:color="auto" w:fill="auto"/>
          </w:tcPr>
          <w:p w14:paraId="13D1357B" w14:textId="77777777" w:rsidR="00B47300" w:rsidRDefault="00414E9C">
            <w:pPr>
              <w:spacing w:line="240" w:lineRule="auto"/>
              <w:ind w:left="60"/>
              <w:rPr>
                <w:rFonts w:ascii="Times New Roman" w:hAnsi="Times New Roman" w:cs="Times New Roman"/>
                <w:sz w:val="24"/>
                <w:szCs w:val="24"/>
              </w:rPr>
            </w:pPr>
            <w:r>
              <w:rPr>
                <w:rFonts w:ascii="Times New Roman" w:hAnsi="Times New Roman" w:cs="Times New Roman"/>
                <w:sz w:val="24"/>
                <w:szCs w:val="24"/>
              </w:rPr>
              <w:t xml:space="preserve">&lt; .01 </w:t>
            </w:r>
          </w:p>
        </w:tc>
        <w:tc>
          <w:tcPr>
            <w:tcW w:w="890" w:type="dxa"/>
            <w:tcBorders>
              <w:bottom w:val="single" w:sz="18" w:space="0" w:color="000000"/>
            </w:tcBorders>
            <w:shd w:val="clear" w:color="auto" w:fill="auto"/>
          </w:tcPr>
          <w:p w14:paraId="5BFD7B6F" w14:textId="77777777" w:rsidR="00B47300" w:rsidRDefault="00B47300">
            <w:pPr>
              <w:spacing w:line="240" w:lineRule="auto"/>
              <w:rPr>
                <w:rFonts w:ascii="Times New Roman" w:hAnsi="Times New Roman" w:cs="Times New Roman"/>
                <w:sz w:val="24"/>
                <w:szCs w:val="24"/>
              </w:rPr>
            </w:pPr>
          </w:p>
        </w:tc>
        <w:tc>
          <w:tcPr>
            <w:tcW w:w="802" w:type="dxa"/>
            <w:tcBorders>
              <w:bottom w:val="single" w:sz="18" w:space="0" w:color="000000"/>
            </w:tcBorders>
            <w:shd w:val="clear" w:color="auto" w:fill="auto"/>
          </w:tcPr>
          <w:p w14:paraId="267543AB" w14:textId="77777777" w:rsidR="00B47300" w:rsidRDefault="00B47300">
            <w:pPr>
              <w:spacing w:line="240" w:lineRule="auto"/>
              <w:rPr>
                <w:rFonts w:ascii="Times New Roman" w:hAnsi="Times New Roman" w:cs="Times New Roman"/>
                <w:sz w:val="24"/>
                <w:szCs w:val="24"/>
              </w:rPr>
            </w:pPr>
          </w:p>
        </w:tc>
        <w:tc>
          <w:tcPr>
            <w:tcW w:w="1068" w:type="dxa"/>
            <w:tcBorders>
              <w:bottom w:val="single" w:sz="18" w:space="0" w:color="000000"/>
            </w:tcBorders>
            <w:shd w:val="clear" w:color="auto" w:fill="auto"/>
          </w:tcPr>
          <w:p w14:paraId="7BB1B1A3" w14:textId="77777777" w:rsidR="00B47300" w:rsidRDefault="00B47300">
            <w:pPr>
              <w:spacing w:line="240" w:lineRule="auto"/>
              <w:rPr>
                <w:rFonts w:ascii="Times New Roman" w:hAnsi="Times New Roman" w:cs="Times New Roman"/>
                <w:sz w:val="24"/>
                <w:szCs w:val="24"/>
              </w:rPr>
            </w:pPr>
          </w:p>
        </w:tc>
        <w:tc>
          <w:tcPr>
            <w:tcW w:w="1404" w:type="dxa"/>
            <w:tcBorders>
              <w:bottom w:val="single" w:sz="18" w:space="0" w:color="000000"/>
            </w:tcBorders>
            <w:shd w:val="clear" w:color="auto" w:fill="auto"/>
          </w:tcPr>
          <w:p w14:paraId="6AF8B518" w14:textId="77777777" w:rsidR="00B47300" w:rsidRDefault="00B47300">
            <w:pPr>
              <w:spacing w:line="240" w:lineRule="auto"/>
              <w:rPr>
                <w:rFonts w:ascii="Times New Roman" w:hAnsi="Times New Roman" w:cs="Times New Roman"/>
                <w:sz w:val="24"/>
                <w:szCs w:val="24"/>
              </w:rPr>
            </w:pPr>
          </w:p>
        </w:tc>
      </w:tr>
    </w:tbl>
    <w:p w14:paraId="0C0D8BBA" w14:textId="77777777" w:rsidR="00B47300" w:rsidRDefault="00414E9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EB61929" w14:textId="77777777" w:rsidR="00B47300" w:rsidRDefault="00414E9C">
      <w:pPr>
        <w:spacing w:line="240" w:lineRule="auto"/>
        <w:ind w:left="-5" w:right="536"/>
        <w:jc w:val="both"/>
        <w:rPr>
          <w:rFonts w:ascii="Times New Roman" w:eastAsia="Calibri" w:hAnsi="Times New Roman" w:cs="Times New Roman"/>
          <w:sz w:val="24"/>
          <w:szCs w:val="24"/>
        </w:rPr>
      </w:pPr>
      <w:r>
        <w:rPr>
          <w:rFonts w:ascii="Times New Roman" w:hAnsi="Times New Roman" w:cs="Times New Roman"/>
          <w:sz w:val="24"/>
          <w:szCs w:val="24"/>
        </w:rPr>
        <w:t>A linear regression analysis was used to test the hypothesis. As summarized in Table 4, age had a significant negative prediction on social anxiety [</w:t>
      </w:r>
      <w:r>
        <w:rPr>
          <w:rFonts w:ascii="Times New Roman" w:hAnsi="Times New Roman" w:cs="Times New Roman"/>
          <w:i/>
          <w:iCs/>
          <w:sz w:val="24"/>
          <w:szCs w:val="24"/>
        </w:rPr>
        <w:t xml:space="preserve">β </w:t>
      </w:r>
      <w:r>
        <w:rPr>
          <w:rFonts w:ascii="Times New Roman" w:hAnsi="Times New Roman" w:cs="Times New Roman"/>
          <w:sz w:val="24"/>
          <w:szCs w:val="24"/>
        </w:rPr>
        <w:t xml:space="preserve">= -.98, </w:t>
      </w:r>
      <w:r>
        <w:rPr>
          <w:rFonts w:ascii="Times New Roman" w:hAnsi="Times New Roman" w:cs="Times New Roman"/>
          <w:i/>
          <w:iCs/>
          <w:sz w:val="24"/>
          <w:szCs w:val="24"/>
        </w:rPr>
        <w:t>t</w:t>
      </w:r>
      <w:r>
        <w:rPr>
          <w:rFonts w:ascii="Times New Roman" w:hAnsi="Times New Roman" w:cs="Times New Roman"/>
          <w:sz w:val="24"/>
          <w:szCs w:val="24"/>
        </w:rPr>
        <w:t xml:space="preserve"> = -2.31, </w:t>
      </w:r>
      <w:r>
        <w:rPr>
          <w:rFonts w:ascii="Times New Roman" w:hAnsi="Times New Roman" w:cs="Times New Roman"/>
          <w:i/>
          <w:iCs/>
          <w:sz w:val="24"/>
          <w:szCs w:val="24"/>
        </w:rPr>
        <w:t>p</w:t>
      </w:r>
      <w:r>
        <w:rPr>
          <w:rFonts w:ascii="Times New Roman" w:hAnsi="Times New Roman" w:cs="Times New Roman"/>
          <w:sz w:val="24"/>
          <w:szCs w:val="24"/>
        </w:rPr>
        <w:t xml:space="preserve"> &lt;.01],</w:t>
      </w:r>
      <w:r>
        <w:rPr>
          <w:rFonts w:ascii="Times New Roman" w:hAnsi="Times New Roman" w:cs="Times New Roman"/>
          <w:i/>
          <w:iCs/>
          <w:sz w:val="24"/>
          <w:szCs w:val="24"/>
        </w:rPr>
        <w:t xml:space="preserve"> </w:t>
      </w:r>
      <w:r>
        <w:rPr>
          <w:rFonts w:ascii="Times New Roman" w:hAnsi="Times New Roman" w:cs="Times New Roman"/>
          <w:sz w:val="24"/>
          <w:szCs w:val="24"/>
        </w:rPr>
        <w:t xml:space="preserve">This means that as age decreases there will be a significant increase in social anxiety among undergraduates at Redeemers University. Furthermore, the analysis showed an </w:t>
      </w:r>
      <w:r>
        <w:rPr>
          <w:rFonts w:ascii="Times New Roman" w:hAnsi="Times New Roman" w:cs="Times New Roman"/>
          <w:i/>
          <w:iCs/>
          <w:sz w:val="24"/>
          <w:szCs w:val="24"/>
        </w:rPr>
        <w:t>R</w:t>
      </w:r>
      <w:r>
        <w:rPr>
          <w:rFonts w:ascii="Times New Roman" w:hAnsi="Times New Roman" w:cs="Times New Roman"/>
          <w:i/>
          <w:iCs/>
          <w:sz w:val="24"/>
          <w:szCs w:val="24"/>
          <w:vertAlign w:val="superscript"/>
        </w:rPr>
        <w:t>2</w:t>
      </w:r>
      <w:r>
        <w:rPr>
          <w:rFonts w:ascii="Times New Roman" w:hAnsi="Times New Roman" w:cs="Times New Roman"/>
          <w:sz w:val="24"/>
          <w:szCs w:val="24"/>
        </w:rPr>
        <w:t xml:space="preserve"> of .018 (p&lt;0.01) indicating that a 1.8% variance in the anxiety severity among the participants is accounted for by age. </w:t>
      </w:r>
    </w:p>
    <w:p w14:paraId="2AF03BBF" w14:textId="77777777" w:rsidR="00B47300" w:rsidRDefault="00B47300">
      <w:pPr>
        <w:spacing w:line="240" w:lineRule="auto"/>
        <w:ind w:right="536"/>
        <w:jc w:val="both"/>
        <w:rPr>
          <w:rFonts w:ascii="Times New Roman" w:eastAsia="Calibri" w:hAnsi="Times New Roman" w:cs="Times New Roman"/>
          <w:sz w:val="24"/>
          <w:szCs w:val="24"/>
        </w:rPr>
      </w:pPr>
    </w:p>
    <w:p w14:paraId="09F3C329" w14:textId="77777777" w:rsidR="00F442A4" w:rsidRDefault="00F442A4">
      <w:pPr>
        <w:spacing w:line="240" w:lineRule="auto"/>
        <w:rPr>
          <w:rFonts w:ascii="Times New Roman" w:eastAsia="Calibri" w:hAnsi="Times New Roman" w:cs="Times New Roman"/>
          <w:b/>
          <w:bCs/>
          <w:sz w:val="24"/>
          <w:szCs w:val="24"/>
        </w:rPr>
      </w:pPr>
    </w:p>
    <w:p w14:paraId="037B08E0" w14:textId="77777777" w:rsidR="00F442A4" w:rsidRDefault="00F442A4">
      <w:pPr>
        <w:spacing w:line="240" w:lineRule="auto"/>
        <w:rPr>
          <w:rFonts w:ascii="Times New Roman" w:eastAsia="Calibri" w:hAnsi="Times New Roman" w:cs="Times New Roman"/>
          <w:b/>
          <w:bCs/>
          <w:sz w:val="24"/>
          <w:szCs w:val="24"/>
        </w:rPr>
      </w:pPr>
    </w:p>
    <w:p w14:paraId="6064C693" w14:textId="77777777" w:rsidR="00F442A4" w:rsidRDefault="00F442A4">
      <w:pPr>
        <w:spacing w:line="240" w:lineRule="auto"/>
        <w:rPr>
          <w:rFonts w:ascii="Times New Roman" w:eastAsia="Calibri" w:hAnsi="Times New Roman" w:cs="Times New Roman"/>
          <w:b/>
          <w:bCs/>
          <w:sz w:val="24"/>
          <w:szCs w:val="24"/>
        </w:rPr>
      </w:pPr>
    </w:p>
    <w:p w14:paraId="759D365D" w14:textId="77777777" w:rsidR="00F442A4" w:rsidRDefault="00F442A4">
      <w:pPr>
        <w:spacing w:line="240" w:lineRule="auto"/>
        <w:rPr>
          <w:rFonts w:ascii="Times New Roman" w:eastAsia="Calibri" w:hAnsi="Times New Roman" w:cs="Times New Roman"/>
          <w:b/>
          <w:bCs/>
          <w:sz w:val="24"/>
          <w:szCs w:val="24"/>
        </w:rPr>
      </w:pPr>
    </w:p>
    <w:p w14:paraId="2319DED2" w14:textId="77777777" w:rsidR="00F442A4" w:rsidRDefault="00F442A4">
      <w:pPr>
        <w:spacing w:line="240" w:lineRule="auto"/>
        <w:rPr>
          <w:rFonts w:ascii="Times New Roman" w:eastAsia="Calibri" w:hAnsi="Times New Roman" w:cs="Times New Roman"/>
          <w:b/>
          <w:bCs/>
          <w:sz w:val="24"/>
          <w:szCs w:val="24"/>
        </w:rPr>
      </w:pPr>
    </w:p>
    <w:p w14:paraId="53E3F154" w14:textId="77777777" w:rsidR="00F442A4" w:rsidRDefault="00F442A4">
      <w:pPr>
        <w:spacing w:line="240" w:lineRule="auto"/>
        <w:rPr>
          <w:rFonts w:ascii="Times New Roman" w:eastAsia="Calibri" w:hAnsi="Times New Roman" w:cs="Times New Roman"/>
          <w:b/>
          <w:bCs/>
          <w:sz w:val="24"/>
          <w:szCs w:val="24"/>
        </w:rPr>
      </w:pPr>
    </w:p>
    <w:p w14:paraId="3321D819" w14:textId="77777777" w:rsidR="00F442A4" w:rsidRDefault="00F442A4">
      <w:pPr>
        <w:spacing w:line="240" w:lineRule="auto"/>
        <w:rPr>
          <w:rFonts w:ascii="Times New Roman" w:eastAsia="Calibri" w:hAnsi="Times New Roman" w:cs="Times New Roman"/>
          <w:b/>
          <w:bCs/>
          <w:sz w:val="24"/>
          <w:szCs w:val="24"/>
        </w:rPr>
      </w:pPr>
    </w:p>
    <w:p w14:paraId="2F427162" w14:textId="77777777" w:rsidR="00F442A4" w:rsidRDefault="00F442A4">
      <w:pPr>
        <w:spacing w:line="240" w:lineRule="auto"/>
        <w:rPr>
          <w:rFonts w:ascii="Times New Roman" w:eastAsia="Calibri" w:hAnsi="Times New Roman" w:cs="Times New Roman"/>
          <w:b/>
          <w:bCs/>
          <w:sz w:val="24"/>
          <w:szCs w:val="24"/>
        </w:rPr>
      </w:pPr>
    </w:p>
    <w:p w14:paraId="01966407" w14:textId="77777777" w:rsidR="00F442A4" w:rsidRDefault="00F442A4">
      <w:pPr>
        <w:spacing w:line="240" w:lineRule="auto"/>
        <w:rPr>
          <w:rFonts w:ascii="Times New Roman" w:eastAsia="Calibri" w:hAnsi="Times New Roman" w:cs="Times New Roman"/>
          <w:b/>
          <w:bCs/>
          <w:sz w:val="24"/>
          <w:szCs w:val="24"/>
        </w:rPr>
      </w:pPr>
    </w:p>
    <w:p w14:paraId="5D30DFFB" w14:textId="2304935F" w:rsidR="00B47300" w:rsidRDefault="00414E9C">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Hypothesis 3</w:t>
      </w:r>
    </w:p>
    <w:p w14:paraId="370D98F8" w14:textId="77777777" w:rsidR="00B47300" w:rsidRDefault="00414E9C">
      <w:pPr>
        <w:pStyle w:val="NormalWeb"/>
        <w:spacing w:beforeAutospacing="0" w:afterAutospacing="0"/>
        <w:jc w:val="both"/>
        <w:textAlignment w:val="baseline"/>
        <w:rPr>
          <w:color w:val="000000"/>
        </w:rPr>
      </w:pPr>
      <w:r>
        <w:rPr>
          <w:color w:val="000000"/>
        </w:rPr>
        <w:t>Undergraduate students who have spent more years in Redeemer’s University will have higher levels of social anxiety than those who have spent fewer years.</w:t>
      </w:r>
    </w:p>
    <w:p w14:paraId="1FB23471" w14:textId="77777777" w:rsidR="00B47300" w:rsidRDefault="00B47300">
      <w:pPr>
        <w:pStyle w:val="NormalWeb"/>
        <w:spacing w:beforeAutospacing="0" w:afterAutospacing="0"/>
        <w:jc w:val="both"/>
        <w:textAlignment w:val="baseline"/>
        <w:rPr>
          <w:color w:val="000000"/>
        </w:rPr>
      </w:pPr>
    </w:p>
    <w:p w14:paraId="12929E6F" w14:textId="77777777" w:rsidR="00B47300" w:rsidRDefault="00414E9C">
      <w:pPr>
        <w:pStyle w:val="NormalWeb"/>
        <w:spacing w:beforeAutospacing="0" w:afterAutospacing="0"/>
        <w:jc w:val="both"/>
        <w:textAlignment w:val="baseline"/>
        <w:rPr>
          <w:color w:val="000000"/>
        </w:rPr>
      </w:pPr>
      <w:r>
        <w:rPr>
          <w:color w:val="000000"/>
        </w:rPr>
        <w:t xml:space="preserve">Table 5 </w:t>
      </w:r>
    </w:p>
    <w:p w14:paraId="1DD4B176" w14:textId="77777777" w:rsidR="00B47300" w:rsidRDefault="00414E9C">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One-way ANOVA showing students' level of social anxiety</w:t>
      </w:r>
    </w:p>
    <w:p w14:paraId="03A8CAFF" w14:textId="77777777" w:rsidR="00B47300" w:rsidRDefault="00B47300">
      <w:pPr>
        <w:spacing w:line="240" w:lineRule="auto"/>
        <w:rPr>
          <w:rFonts w:ascii="Times New Roman" w:eastAsiaTheme="minorHAnsi" w:hAnsi="Times New Roman" w:cs="Times New Roman"/>
          <w:sz w:val="24"/>
          <w:szCs w:val="24"/>
        </w:rPr>
      </w:pPr>
    </w:p>
    <w:tbl>
      <w:tblPr>
        <w:tblW w:w="9285" w:type="dxa"/>
        <w:tblCellMar>
          <w:left w:w="0" w:type="dxa"/>
          <w:right w:w="0" w:type="dxa"/>
        </w:tblCellMar>
        <w:tblLook w:val="04A0" w:firstRow="1" w:lastRow="0" w:firstColumn="1" w:lastColumn="0" w:noHBand="0" w:noVBand="1"/>
      </w:tblPr>
      <w:tblGrid>
        <w:gridCol w:w="1861"/>
        <w:gridCol w:w="1768"/>
        <w:gridCol w:w="1368"/>
        <w:gridCol w:w="1551"/>
        <w:gridCol w:w="1368"/>
        <w:gridCol w:w="1369"/>
      </w:tblGrid>
      <w:tr w:rsidR="00B47300" w14:paraId="37BCA6FD" w14:textId="77777777">
        <w:trPr>
          <w:cantSplit/>
        </w:trPr>
        <w:tc>
          <w:tcPr>
            <w:tcW w:w="1860" w:type="dxa"/>
            <w:tcBorders>
              <w:top w:val="single" w:sz="8" w:space="0" w:color="000000"/>
              <w:bottom w:val="single" w:sz="8" w:space="0" w:color="000000"/>
            </w:tcBorders>
            <w:shd w:val="clear" w:color="auto" w:fill="FFFFFF"/>
            <w:vAlign w:val="bottom"/>
          </w:tcPr>
          <w:p w14:paraId="7D8044EA" w14:textId="77777777" w:rsidR="00B47300" w:rsidRDefault="00B47300">
            <w:pPr>
              <w:spacing w:line="240" w:lineRule="auto"/>
              <w:rPr>
                <w:rFonts w:ascii="Times New Roman" w:eastAsiaTheme="minorHAnsi" w:hAnsi="Times New Roman" w:cs="Times New Roman"/>
                <w:sz w:val="24"/>
                <w:szCs w:val="24"/>
              </w:rPr>
            </w:pPr>
          </w:p>
        </w:tc>
        <w:tc>
          <w:tcPr>
            <w:tcW w:w="1768" w:type="dxa"/>
            <w:tcBorders>
              <w:top w:val="single" w:sz="8" w:space="0" w:color="000000"/>
              <w:bottom w:val="single" w:sz="8" w:space="0" w:color="000000"/>
            </w:tcBorders>
            <w:shd w:val="clear" w:color="auto" w:fill="FFFFFF"/>
            <w:vAlign w:val="bottom"/>
          </w:tcPr>
          <w:p w14:paraId="3CE0D29F"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Sum of Squares</w:t>
            </w:r>
          </w:p>
        </w:tc>
        <w:tc>
          <w:tcPr>
            <w:tcW w:w="1368" w:type="dxa"/>
            <w:tcBorders>
              <w:top w:val="single" w:sz="8" w:space="0" w:color="000000"/>
              <w:bottom w:val="single" w:sz="8" w:space="0" w:color="000000"/>
            </w:tcBorders>
            <w:shd w:val="clear" w:color="auto" w:fill="FFFFFF"/>
            <w:vAlign w:val="bottom"/>
          </w:tcPr>
          <w:p w14:paraId="17FD034B"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df</w:t>
            </w:r>
          </w:p>
        </w:tc>
        <w:tc>
          <w:tcPr>
            <w:tcW w:w="1551" w:type="dxa"/>
            <w:tcBorders>
              <w:top w:val="single" w:sz="8" w:space="0" w:color="000000"/>
              <w:bottom w:val="single" w:sz="8" w:space="0" w:color="000000"/>
            </w:tcBorders>
            <w:shd w:val="clear" w:color="auto" w:fill="FFFFFF"/>
            <w:vAlign w:val="bottom"/>
          </w:tcPr>
          <w:p w14:paraId="60740C71"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Mean Square</w:t>
            </w:r>
          </w:p>
        </w:tc>
        <w:tc>
          <w:tcPr>
            <w:tcW w:w="1368" w:type="dxa"/>
            <w:tcBorders>
              <w:top w:val="single" w:sz="8" w:space="0" w:color="000000"/>
              <w:bottom w:val="single" w:sz="8" w:space="0" w:color="000000"/>
            </w:tcBorders>
            <w:shd w:val="clear" w:color="auto" w:fill="FFFFFF"/>
            <w:vAlign w:val="bottom"/>
          </w:tcPr>
          <w:p w14:paraId="5F0E2DBB"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F</w:t>
            </w:r>
          </w:p>
        </w:tc>
        <w:tc>
          <w:tcPr>
            <w:tcW w:w="1369" w:type="dxa"/>
            <w:tcBorders>
              <w:top w:val="single" w:sz="8" w:space="0" w:color="000000"/>
              <w:bottom w:val="single" w:sz="8" w:space="0" w:color="000000"/>
            </w:tcBorders>
            <w:shd w:val="clear" w:color="auto" w:fill="FFFFFF"/>
            <w:vAlign w:val="bottom"/>
          </w:tcPr>
          <w:p w14:paraId="3DFD413D"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Sig.</w:t>
            </w:r>
          </w:p>
        </w:tc>
      </w:tr>
      <w:tr w:rsidR="00B47300" w14:paraId="0A09F81B" w14:textId="77777777">
        <w:trPr>
          <w:cantSplit/>
        </w:trPr>
        <w:tc>
          <w:tcPr>
            <w:tcW w:w="1860" w:type="dxa"/>
            <w:tcBorders>
              <w:top w:val="single" w:sz="8" w:space="0" w:color="000000"/>
            </w:tcBorders>
            <w:shd w:val="clear" w:color="auto" w:fill="FFFFFF"/>
          </w:tcPr>
          <w:p w14:paraId="5B5F0BFA" w14:textId="77777777" w:rsidR="00B47300" w:rsidRDefault="00414E9C">
            <w:pPr>
              <w:spacing w:line="320" w:lineRule="atLeast"/>
              <w:ind w:left="60" w:right="6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Between Groups</w:t>
            </w:r>
          </w:p>
        </w:tc>
        <w:tc>
          <w:tcPr>
            <w:tcW w:w="1768" w:type="dxa"/>
            <w:tcBorders>
              <w:top w:val="single" w:sz="8" w:space="0" w:color="000000"/>
            </w:tcBorders>
            <w:shd w:val="clear" w:color="auto" w:fill="FFFFFF"/>
          </w:tcPr>
          <w:p w14:paraId="685B6E61"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279.808</w:t>
            </w:r>
          </w:p>
        </w:tc>
        <w:tc>
          <w:tcPr>
            <w:tcW w:w="1368" w:type="dxa"/>
            <w:tcBorders>
              <w:top w:val="single" w:sz="8" w:space="0" w:color="000000"/>
            </w:tcBorders>
            <w:shd w:val="clear" w:color="auto" w:fill="FFFFFF"/>
          </w:tcPr>
          <w:p w14:paraId="16A6630C"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4</w:t>
            </w:r>
          </w:p>
        </w:tc>
        <w:tc>
          <w:tcPr>
            <w:tcW w:w="1551" w:type="dxa"/>
            <w:tcBorders>
              <w:top w:val="single" w:sz="8" w:space="0" w:color="000000"/>
            </w:tcBorders>
            <w:shd w:val="clear" w:color="auto" w:fill="FFFFFF"/>
          </w:tcPr>
          <w:p w14:paraId="083274BE"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69.952</w:t>
            </w:r>
          </w:p>
        </w:tc>
        <w:tc>
          <w:tcPr>
            <w:tcW w:w="1368" w:type="dxa"/>
            <w:tcBorders>
              <w:top w:val="single" w:sz="8" w:space="0" w:color="000000"/>
            </w:tcBorders>
            <w:shd w:val="clear" w:color="auto" w:fill="FFFFFF"/>
          </w:tcPr>
          <w:p w14:paraId="12B5450A"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.258</w:t>
            </w:r>
          </w:p>
        </w:tc>
        <w:tc>
          <w:tcPr>
            <w:tcW w:w="1369" w:type="dxa"/>
            <w:tcBorders>
              <w:top w:val="single" w:sz="8" w:space="0" w:color="000000"/>
            </w:tcBorders>
            <w:shd w:val="clear" w:color="auto" w:fill="FFFFFF"/>
          </w:tcPr>
          <w:p w14:paraId="4F2643F5"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.905</w:t>
            </w:r>
          </w:p>
        </w:tc>
      </w:tr>
      <w:tr w:rsidR="00B47300" w14:paraId="5F956E70" w14:textId="77777777">
        <w:trPr>
          <w:cantSplit/>
        </w:trPr>
        <w:tc>
          <w:tcPr>
            <w:tcW w:w="1860" w:type="dxa"/>
            <w:shd w:val="clear" w:color="auto" w:fill="FFFFFF"/>
          </w:tcPr>
          <w:p w14:paraId="3B7FDF14" w14:textId="77777777" w:rsidR="00B47300" w:rsidRDefault="00414E9C">
            <w:pPr>
              <w:spacing w:line="320" w:lineRule="atLeast"/>
              <w:ind w:left="60" w:right="6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Within Groups</w:t>
            </w:r>
          </w:p>
        </w:tc>
        <w:tc>
          <w:tcPr>
            <w:tcW w:w="1768" w:type="dxa"/>
            <w:shd w:val="clear" w:color="auto" w:fill="FFFFFF"/>
          </w:tcPr>
          <w:p w14:paraId="339DCFBE"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79973.312</w:t>
            </w:r>
          </w:p>
        </w:tc>
        <w:tc>
          <w:tcPr>
            <w:tcW w:w="1368" w:type="dxa"/>
            <w:shd w:val="clear" w:color="auto" w:fill="FFFFFF"/>
          </w:tcPr>
          <w:p w14:paraId="48377ED2"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295</w:t>
            </w:r>
          </w:p>
        </w:tc>
        <w:tc>
          <w:tcPr>
            <w:tcW w:w="1551" w:type="dxa"/>
            <w:shd w:val="clear" w:color="auto" w:fill="FFFFFF"/>
          </w:tcPr>
          <w:p w14:paraId="14090D1E"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271.096</w:t>
            </w:r>
          </w:p>
        </w:tc>
        <w:tc>
          <w:tcPr>
            <w:tcW w:w="1368" w:type="dxa"/>
            <w:shd w:val="clear" w:color="auto" w:fill="FFFFFF"/>
            <w:vAlign w:val="center"/>
          </w:tcPr>
          <w:p w14:paraId="3A48EEAC" w14:textId="77777777" w:rsidR="00B47300" w:rsidRDefault="00B47300">
            <w:pPr>
              <w:spacing w:line="240" w:lineRule="auto"/>
              <w:rPr>
                <w:rFonts w:ascii="Times New Roman" w:eastAsiaTheme="minorHAnsi" w:hAnsi="Times New Roman" w:cs="Times New Roman"/>
                <w:sz w:val="24"/>
                <w:szCs w:val="24"/>
              </w:rPr>
            </w:pPr>
          </w:p>
        </w:tc>
        <w:tc>
          <w:tcPr>
            <w:tcW w:w="1369" w:type="dxa"/>
            <w:shd w:val="clear" w:color="auto" w:fill="FFFFFF"/>
            <w:vAlign w:val="center"/>
          </w:tcPr>
          <w:p w14:paraId="1AF90DDC" w14:textId="77777777" w:rsidR="00B47300" w:rsidRDefault="00B47300">
            <w:pPr>
              <w:spacing w:line="240" w:lineRule="auto"/>
              <w:rPr>
                <w:rFonts w:ascii="Times New Roman" w:eastAsiaTheme="minorHAnsi" w:hAnsi="Times New Roman" w:cs="Times New Roman"/>
                <w:sz w:val="24"/>
                <w:szCs w:val="24"/>
              </w:rPr>
            </w:pPr>
          </w:p>
        </w:tc>
      </w:tr>
      <w:tr w:rsidR="00B47300" w14:paraId="12E595B9" w14:textId="77777777">
        <w:trPr>
          <w:cantSplit/>
        </w:trPr>
        <w:tc>
          <w:tcPr>
            <w:tcW w:w="1860" w:type="dxa"/>
            <w:tcBorders>
              <w:bottom w:val="single" w:sz="8" w:space="0" w:color="000000"/>
            </w:tcBorders>
            <w:shd w:val="clear" w:color="auto" w:fill="FFFFFF"/>
          </w:tcPr>
          <w:p w14:paraId="02BA9D67" w14:textId="77777777" w:rsidR="00B47300" w:rsidRDefault="00414E9C">
            <w:pPr>
              <w:spacing w:line="320" w:lineRule="atLeast"/>
              <w:ind w:left="60" w:right="6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Total</w:t>
            </w:r>
          </w:p>
        </w:tc>
        <w:tc>
          <w:tcPr>
            <w:tcW w:w="1768" w:type="dxa"/>
            <w:tcBorders>
              <w:bottom w:val="single" w:sz="8" w:space="0" w:color="000000"/>
            </w:tcBorders>
            <w:shd w:val="clear" w:color="auto" w:fill="FFFFFF"/>
          </w:tcPr>
          <w:p w14:paraId="4C351C4F"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80253.120</w:t>
            </w:r>
          </w:p>
        </w:tc>
        <w:tc>
          <w:tcPr>
            <w:tcW w:w="1368" w:type="dxa"/>
            <w:tcBorders>
              <w:bottom w:val="single" w:sz="8" w:space="0" w:color="000000"/>
            </w:tcBorders>
            <w:shd w:val="clear" w:color="auto" w:fill="FFFFFF"/>
          </w:tcPr>
          <w:p w14:paraId="2C8BDCC4"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299</w:t>
            </w:r>
          </w:p>
        </w:tc>
        <w:tc>
          <w:tcPr>
            <w:tcW w:w="1551" w:type="dxa"/>
            <w:tcBorders>
              <w:bottom w:val="single" w:sz="8" w:space="0" w:color="000000"/>
            </w:tcBorders>
            <w:shd w:val="clear" w:color="auto" w:fill="FFFFFF"/>
            <w:vAlign w:val="center"/>
          </w:tcPr>
          <w:p w14:paraId="0CA1226C" w14:textId="77777777" w:rsidR="00B47300" w:rsidRDefault="00B47300">
            <w:pPr>
              <w:spacing w:line="240" w:lineRule="auto"/>
              <w:rPr>
                <w:rFonts w:ascii="Times New Roman" w:eastAsiaTheme="minorHAnsi" w:hAnsi="Times New Roman" w:cs="Times New Roman"/>
                <w:sz w:val="24"/>
                <w:szCs w:val="24"/>
              </w:rPr>
            </w:pPr>
          </w:p>
        </w:tc>
        <w:tc>
          <w:tcPr>
            <w:tcW w:w="1368" w:type="dxa"/>
            <w:tcBorders>
              <w:bottom w:val="single" w:sz="8" w:space="0" w:color="000000"/>
            </w:tcBorders>
            <w:shd w:val="clear" w:color="auto" w:fill="FFFFFF"/>
            <w:vAlign w:val="center"/>
          </w:tcPr>
          <w:p w14:paraId="1CB24D32" w14:textId="77777777" w:rsidR="00B47300" w:rsidRDefault="00B47300">
            <w:pPr>
              <w:spacing w:line="240" w:lineRule="auto"/>
              <w:rPr>
                <w:rFonts w:ascii="Times New Roman" w:eastAsiaTheme="minorHAnsi" w:hAnsi="Times New Roman" w:cs="Times New Roman"/>
                <w:sz w:val="24"/>
                <w:szCs w:val="24"/>
              </w:rPr>
            </w:pPr>
          </w:p>
        </w:tc>
        <w:tc>
          <w:tcPr>
            <w:tcW w:w="1369" w:type="dxa"/>
            <w:tcBorders>
              <w:bottom w:val="single" w:sz="8" w:space="0" w:color="000000"/>
            </w:tcBorders>
            <w:shd w:val="clear" w:color="auto" w:fill="FFFFFF"/>
            <w:vAlign w:val="center"/>
          </w:tcPr>
          <w:p w14:paraId="7F484755" w14:textId="77777777" w:rsidR="00B47300" w:rsidRDefault="00B47300">
            <w:pPr>
              <w:spacing w:line="240" w:lineRule="auto"/>
              <w:rPr>
                <w:rFonts w:ascii="Times New Roman" w:eastAsiaTheme="minorHAnsi" w:hAnsi="Times New Roman" w:cs="Times New Roman"/>
                <w:sz w:val="24"/>
                <w:szCs w:val="24"/>
              </w:rPr>
            </w:pPr>
          </w:p>
        </w:tc>
      </w:tr>
    </w:tbl>
    <w:p w14:paraId="0CAD87D8" w14:textId="77777777" w:rsidR="00B47300" w:rsidRDefault="00B47300">
      <w:pPr>
        <w:pStyle w:val="NormalWeb"/>
        <w:spacing w:beforeAutospacing="0" w:afterAutospacing="0"/>
        <w:jc w:val="both"/>
        <w:textAlignment w:val="baseline"/>
        <w:rPr>
          <w:color w:val="000000"/>
        </w:rPr>
      </w:pPr>
    </w:p>
    <w:p w14:paraId="78410E55" w14:textId="77777777" w:rsidR="00B47300" w:rsidRDefault="00414E9C">
      <w:pPr>
        <w:pStyle w:val="NormalWeb"/>
        <w:spacing w:beforeAutospacing="0" w:afterAutospacing="0"/>
        <w:jc w:val="both"/>
        <w:textAlignment w:val="baseline"/>
        <w:rPr>
          <w:color w:val="000000"/>
        </w:rPr>
      </w:pPr>
      <w:r>
        <w:rPr>
          <w:color w:val="000000"/>
        </w:rPr>
        <w:t>A One-way ANOVA was used to test the hypothesis. The level of study of the participants showed that 113 were from the 100 level, 66 participants were in the 200 level, 50 were in the 300 level, 56 were in the 400 level and 15 were in the 500 level. The result summarized in Table 5 showed that there was no significant influence of years spent in university on social anxiety among the participants [F (4,295) = .26, P &gt; 0.05]. This implies that years spent in the university do not affect the levels of social anxiety in students.</w:t>
      </w:r>
    </w:p>
    <w:p w14:paraId="72CFBACD" w14:textId="77777777" w:rsidR="00B47300" w:rsidRDefault="00B47300">
      <w:pPr>
        <w:spacing w:line="240" w:lineRule="auto"/>
        <w:rPr>
          <w:rFonts w:ascii="Times New Roman" w:hAnsi="Times New Roman" w:cs="Times New Roman"/>
          <w:b/>
          <w:bCs/>
          <w:sz w:val="24"/>
          <w:szCs w:val="24"/>
        </w:rPr>
      </w:pPr>
    </w:p>
    <w:p w14:paraId="263E4847" w14:textId="77777777" w:rsidR="00B47300" w:rsidRDefault="00414E9C">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Hypothesis 4 </w:t>
      </w:r>
    </w:p>
    <w:p w14:paraId="3E67A4BC" w14:textId="77777777" w:rsidR="00B47300" w:rsidRDefault="00414E9C">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Male undergraduates will have higher levels of social anxiety than female students.</w:t>
      </w:r>
    </w:p>
    <w:p w14:paraId="29278B14" w14:textId="77777777" w:rsidR="00B47300" w:rsidRDefault="00B47300">
      <w:pPr>
        <w:spacing w:line="240" w:lineRule="auto"/>
        <w:jc w:val="both"/>
        <w:textAlignment w:val="baseline"/>
        <w:rPr>
          <w:rFonts w:ascii="Times New Roman" w:hAnsi="Times New Roman" w:cs="Times New Roman"/>
          <w:sz w:val="24"/>
          <w:szCs w:val="24"/>
        </w:rPr>
      </w:pPr>
    </w:p>
    <w:p w14:paraId="6D0F3C61" w14:textId="77777777" w:rsidR="00B47300" w:rsidRDefault="00414E9C">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Table 6 </w:t>
      </w:r>
    </w:p>
    <w:p w14:paraId="7C8C4554" w14:textId="77777777" w:rsidR="00B47300" w:rsidRDefault="00414E9C">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Independent t-test showing the influence of gender on social anxiety</w:t>
      </w:r>
    </w:p>
    <w:tbl>
      <w:tblPr>
        <w:tblStyle w:val="TableGrid2"/>
        <w:tblW w:w="9083" w:type="dxa"/>
        <w:tblInd w:w="57" w:type="dxa"/>
        <w:tblLook w:val="04A0" w:firstRow="1" w:lastRow="0" w:firstColumn="1" w:lastColumn="0" w:noHBand="0" w:noVBand="1"/>
      </w:tblPr>
      <w:tblGrid>
        <w:gridCol w:w="1316"/>
        <w:gridCol w:w="464"/>
        <w:gridCol w:w="1133"/>
        <w:gridCol w:w="576"/>
        <w:gridCol w:w="1122"/>
        <w:gridCol w:w="1119"/>
        <w:gridCol w:w="1117"/>
        <w:gridCol w:w="1117"/>
        <w:gridCol w:w="1119"/>
      </w:tblGrid>
      <w:tr w:rsidR="00B47300" w14:paraId="6876D760" w14:textId="77777777">
        <w:trPr>
          <w:trHeight w:val="300"/>
        </w:trPr>
        <w:tc>
          <w:tcPr>
            <w:tcW w:w="1316" w:type="dxa"/>
            <w:tcBorders>
              <w:left w:val="single" w:sz="12" w:space="0" w:color="FFFFFF"/>
              <w:right w:val="single" w:sz="12" w:space="0" w:color="FFFFFF"/>
            </w:tcBorders>
            <w:shd w:val="clear" w:color="auto" w:fill="auto"/>
          </w:tcPr>
          <w:p w14:paraId="2C4C9D87" w14:textId="77777777" w:rsidR="00B47300" w:rsidRDefault="00B47300">
            <w:pPr>
              <w:spacing w:line="240" w:lineRule="auto"/>
              <w:rPr>
                <w:rFonts w:ascii="Times New Roman" w:eastAsia="Times New Roman" w:hAnsi="Times New Roman" w:cs="Times New Roman"/>
                <w:sz w:val="24"/>
                <w:szCs w:val="24"/>
              </w:rPr>
            </w:pPr>
          </w:p>
        </w:tc>
        <w:tc>
          <w:tcPr>
            <w:tcW w:w="1596" w:type="dxa"/>
            <w:gridSpan w:val="2"/>
            <w:tcBorders>
              <w:left w:val="single" w:sz="12" w:space="0" w:color="FFFFFF"/>
              <w:right w:val="single" w:sz="12" w:space="0" w:color="FFFFFF"/>
            </w:tcBorders>
            <w:shd w:val="clear" w:color="auto" w:fill="auto"/>
          </w:tcPr>
          <w:p w14:paraId="1244212F"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Gender </w:t>
            </w:r>
          </w:p>
        </w:tc>
        <w:tc>
          <w:tcPr>
            <w:tcW w:w="576" w:type="dxa"/>
            <w:tcBorders>
              <w:left w:val="single" w:sz="12" w:space="0" w:color="FFFFFF"/>
              <w:right w:val="single" w:sz="12" w:space="0" w:color="FFFFFF"/>
            </w:tcBorders>
            <w:shd w:val="clear" w:color="auto" w:fill="auto"/>
          </w:tcPr>
          <w:p w14:paraId="5AB9B315"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N </w:t>
            </w:r>
          </w:p>
        </w:tc>
        <w:tc>
          <w:tcPr>
            <w:tcW w:w="1122" w:type="dxa"/>
            <w:tcBorders>
              <w:left w:val="single" w:sz="12" w:space="0" w:color="FFFFFF"/>
              <w:right w:val="single" w:sz="12" w:space="0" w:color="FFFFFF"/>
            </w:tcBorders>
            <w:shd w:val="clear" w:color="auto" w:fill="auto"/>
          </w:tcPr>
          <w:p w14:paraId="21181083"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Mean </w:t>
            </w:r>
          </w:p>
        </w:tc>
        <w:tc>
          <w:tcPr>
            <w:tcW w:w="1119" w:type="dxa"/>
            <w:tcBorders>
              <w:left w:val="single" w:sz="12" w:space="0" w:color="FFFFFF"/>
              <w:right w:val="single" w:sz="12" w:space="0" w:color="FFFFFF"/>
            </w:tcBorders>
            <w:shd w:val="clear" w:color="auto" w:fill="auto"/>
          </w:tcPr>
          <w:p w14:paraId="333E29F0"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SD</w:t>
            </w:r>
          </w:p>
        </w:tc>
        <w:tc>
          <w:tcPr>
            <w:tcW w:w="1117" w:type="dxa"/>
            <w:tcBorders>
              <w:left w:val="single" w:sz="12" w:space="0" w:color="FFFFFF"/>
              <w:right w:val="single" w:sz="12" w:space="0" w:color="FFFFFF"/>
            </w:tcBorders>
            <w:shd w:val="clear" w:color="auto" w:fill="auto"/>
          </w:tcPr>
          <w:p w14:paraId="72DBA670"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df</w:t>
            </w:r>
          </w:p>
        </w:tc>
        <w:tc>
          <w:tcPr>
            <w:tcW w:w="1117" w:type="dxa"/>
            <w:tcBorders>
              <w:left w:val="single" w:sz="12" w:space="0" w:color="FFFFFF"/>
              <w:right w:val="single" w:sz="12" w:space="0" w:color="FFFFFF"/>
            </w:tcBorders>
            <w:shd w:val="clear" w:color="auto" w:fill="auto"/>
          </w:tcPr>
          <w:p w14:paraId="6F8D171D"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t</w:t>
            </w:r>
          </w:p>
        </w:tc>
        <w:tc>
          <w:tcPr>
            <w:tcW w:w="1119" w:type="dxa"/>
            <w:tcBorders>
              <w:left w:val="single" w:sz="12" w:space="0" w:color="FFFFFF"/>
              <w:right w:val="single" w:sz="12" w:space="0" w:color="FFFFFF"/>
            </w:tcBorders>
            <w:shd w:val="clear" w:color="auto" w:fill="auto"/>
          </w:tcPr>
          <w:p w14:paraId="12BC9A44"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P </w:t>
            </w:r>
          </w:p>
        </w:tc>
      </w:tr>
      <w:tr w:rsidR="00B47300" w14:paraId="118700BF" w14:textId="77777777">
        <w:trPr>
          <w:trHeight w:val="210"/>
        </w:trPr>
        <w:tc>
          <w:tcPr>
            <w:tcW w:w="1316" w:type="dxa"/>
            <w:tcBorders>
              <w:left w:val="single" w:sz="12" w:space="0" w:color="FFFFFF"/>
              <w:bottom w:val="single" w:sz="12" w:space="0" w:color="FFFFFF"/>
              <w:right w:val="single" w:sz="12" w:space="0" w:color="FFFFFF"/>
            </w:tcBorders>
            <w:shd w:val="clear" w:color="auto" w:fill="auto"/>
          </w:tcPr>
          <w:p w14:paraId="32317251" w14:textId="77777777" w:rsidR="00B47300" w:rsidRDefault="00B47300">
            <w:pPr>
              <w:spacing w:line="240" w:lineRule="auto"/>
              <w:rPr>
                <w:rFonts w:ascii="Times New Roman" w:eastAsia="Times New Roman" w:hAnsi="Times New Roman" w:cs="Times New Roman"/>
                <w:sz w:val="24"/>
                <w:szCs w:val="24"/>
              </w:rPr>
            </w:pPr>
          </w:p>
        </w:tc>
        <w:tc>
          <w:tcPr>
            <w:tcW w:w="1596" w:type="dxa"/>
            <w:gridSpan w:val="2"/>
            <w:tcBorders>
              <w:left w:val="single" w:sz="12" w:space="0" w:color="FFFFFF"/>
              <w:bottom w:val="single" w:sz="12" w:space="0" w:color="FFFFFF"/>
              <w:right w:val="single" w:sz="12" w:space="0" w:color="FFFFFF"/>
            </w:tcBorders>
            <w:shd w:val="clear" w:color="auto" w:fill="auto"/>
          </w:tcPr>
          <w:p w14:paraId="2DFB4B3E" w14:textId="77777777" w:rsidR="00B47300" w:rsidRDefault="00B47300">
            <w:pPr>
              <w:spacing w:line="240" w:lineRule="auto"/>
              <w:rPr>
                <w:rFonts w:ascii="Times New Roman" w:eastAsia="Times New Roman" w:hAnsi="Times New Roman" w:cs="Times New Roman"/>
                <w:sz w:val="24"/>
                <w:szCs w:val="24"/>
              </w:rPr>
            </w:pPr>
          </w:p>
        </w:tc>
        <w:tc>
          <w:tcPr>
            <w:tcW w:w="576" w:type="dxa"/>
            <w:tcBorders>
              <w:left w:val="single" w:sz="12" w:space="0" w:color="FFFFFF"/>
              <w:bottom w:val="single" w:sz="12" w:space="0" w:color="FFFFFF"/>
              <w:right w:val="single" w:sz="12" w:space="0" w:color="FFFFFF"/>
            </w:tcBorders>
            <w:shd w:val="clear" w:color="auto" w:fill="auto"/>
          </w:tcPr>
          <w:p w14:paraId="1C825DBF" w14:textId="77777777" w:rsidR="00B47300" w:rsidRDefault="00B47300">
            <w:pPr>
              <w:spacing w:line="240" w:lineRule="auto"/>
              <w:rPr>
                <w:rFonts w:ascii="Times New Roman" w:eastAsia="Times New Roman" w:hAnsi="Times New Roman" w:cs="Times New Roman"/>
                <w:sz w:val="24"/>
                <w:szCs w:val="24"/>
              </w:rPr>
            </w:pPr>
          </w:p>
        </w:tc>
        <w:tc>
          <w:tcPr>
            <w:tcW w:w="1122" w:type="dxa"/>
            <w:tcBorders>
              <w:left w:val="single" w:sz="12" w:space="0" w:color="FFFFFF"/>
              <w:bottom w:val="single" w:sz="12" w:space="0" w:color="FFFFFF"/>
              <w:right w:val="single" w:sz="12" w:space="0" w:color="FFFFFF"/>
            </w:tcBorders>
            <w:shd w:val="clear" w:color="auto" w:fill="auto"/>
          </w:tcPr>
          <w:p w14:paraId="50532228" w14:textId="77777777" w:rsidR="00B47300" w:rsidRDefault="00B47300">
            <w:pPr>
              <w:spacing w:line="240" w:lineRule="auto"/>
              <w:rPr>
                <w:rFonts w:ascii="Times New Roman" w:eastAsia="Times New Roman" w:hAnsi="Times New Roman" w:cs="Times New Roman"/>
                <w:sz w:val="24"/>
                <w:szCs w:val="24"/>
              </w:rPr>
            </w:pPr>
          </w:p>
        </w:tc>
        <w:tc>
          <w:tcPr>
            <w:tcW w:w="1119" w:type="dxa"/>
            <w:tcBorders>
              <w:left w:val="single" w:sz="12" w:space="0" w:color="FFFFFF"/>
              <w:bottom w:val="single" w:sz="12" w:space="0" w:color="FFFFFF"/>
              <w:right w:val="single" w:sz="12" w:space="0" w:color="FFFFFF"/>
            </w:tcBorders>
            <w:shd w:val="clear" w:color="auto" w:fill="auto"/>
          </w:tcPr>
          <w:p w14:paraId="20523419" w14:textId="77777777" w:rsidR="00B47300" w:rsidRDefault="00B47300">
            <w:pPr>
              <w:spacing w:line="240" w:lineRule="auto"/>
              <w:rPr>
                <w:rFonts w:ascii="Times New Roman" w:eastAsia="Times New Roman" w:hAnsi="Times New Roman" w:cs="Times New Roman"/>
                <w:sz w:val="24"/>
                <w:szCs w:val="24"/>
              </w:rPr>
            </w:pPr>
          </w:p>
        </w:tc>
        <w:tc>
          <w:tcPr>
            <w:tcW w:w="1117" w:type="dxa"/>
            <w:tcBorders>
              <w:left w:val="single" w:sz="12" w:space="0" w:color="FFFFFF"/>
              <w:bottom w:val="single" w:sz="12" w:space="0" w:color="FFFFFF"/>
              <w:right w:val="single" w:sz="12" w:space="0" w:color="FFFFFF"/>
            </w:tcBorders>
            <w:shd w:val="clear" w:color="auto" w:fill="auto"/>
          </w:tcPr>
          <w:p w14:paraId="0CA55536" w14:textId="77777777" w:rsidR="00B47300" w:rsidRDefault="00B47300">
            <w:pPr>
              <w:spacing w:line="240" w:lineRule="auto"/>
              <w:rPr>
                <w:rFonts w:ascii="Times New Roman" w:eastAsia="Times New Roman" w:hAnsi="Times New Roman" w:cs="Times New Roman"/>
                <w:sz w:val="24"/>
                <w:szCs w:val="24"/>
              </w:rPr>
            </w:pPr>
          </w:p>
        </w:tc>
        <w:tc>
          <w:tcPr>
            <w:tcW w:w="1117" w:type="dxa"/>
            <w:tcBorders>
              <w:left w:val="single" w:sz="12" w:space="0" w:color="FFFFFF"/>
              <w:bottom w:val="single" w:sz="12" w:space="0" w:color="FFFFFF"/>
              <w:right w:val="single" w:sz="12" w:space="0" w:color="FFFFFF"/>
            </w:tcBorders>
            <w:shd w:val="clear" w:color="auto" w:fill="auto"/>
          </w:tcPr>
          <w:p w14:paraId="3DC2BFF3" w14:textId="77777777" w:rsidR="00B47300" w:rsidRDefault="00B47300">
            <w:pPr>
              <w:spacing w:line="240" w:lineRule="auto"/>
              <w:rPr>
                <w:rFonts w:ascii="Times New Roman" w:eastAsia="Times New Roman" w:hAnsi="Times New Roman" w:cs="Times New Roman"/>
                <w:sz w:val="24"/>
                <w:szCs w:val="24"/>
              </w:rPr>
            </w:pPr>
          </w:p>
        </w:tc>
        <w:tc>
          <w:tcPr>
            <w:tcW w:w="1119" w:type="dxa"/>
            <w:tcBorders>
              <w:left w:val="single" w:sz="12" w:space="0" w:color="FFFFFF"/>
              <w:bottom w:val="single" w:sz="12" w:space="0" w:color="FFFFFF"/>
              <w:right w:val="single" w:sz="12" w:space="0" w:color="FFFFFF"/>
            </w:tcBorders>
            <w:shd w:val="clear" w:color="auto" w:fill="auto"/>
          </w:tcPr>
          <w:p w14:paraId="734AA41E" w14:textId="77777777" w:rsidR="00B47300" w:rsidRDefault="00B47300">
            <w:pPr>
              <w:spacing w:line="240" w:lineRule="auto"/>
              <w:rPr>
                <w:rFonts w:ascii="Times New Roman" w:eastAsia="Times New Roman" w:hAnsi="Times New Roman" w:cs="Times New Roman"/>
                <w:sz w:val="24"/>
                <w:szCs w:val="24"/>
              </w:rPr>
            </w:pPr>
          </w:p>
        </w:tc>
      </w:tr>
      <w:tr w:rsidR="00B47300" w14:paraId="468056A4" w14:textId="77777777">
        <w:tc>
          <w:tcPr>
            <w:tcW w:w="1316" w:type="dxa"/>
            <w:tcBorders>
              <w:top w:val="single" w:sz="12" w:space="0" w:color="FFFFFF"/>
              <w:left w:val="single" w:sz="12" w:space="0" w:color="FFFFFF"/>
              <w:bottom w:val="single" w:sz="12" w:space="0" w:color="FFFFFF"/>
              <w:right w:val="single" w:sz="12" w:space="0" w:color="FFFFFF"/>
            </w:tcBorders>
            <w:shd w:val="clear" w:color="auto" w:fill="auto"/>
          </w:tcPr>
          <w:p w14:paraId="03345DF5" w14:textId="77777777" w:rsidR="00B47300" w:rsidRDefault="00B47300">
            <w:pPr>
              <w:spacing w:line="240" w:lineRule="auto"/>
              <w:rPr>
                <w:rFonts w:ascii="Times New Roman" w:eastAsia="Times New Roman" w:hAnsi="Times New Roman" w:cs="Times New Roman"/>
                <w:sz w:val="24"/>
                <w:szCs w:val="24"/>
              </w:rPr>
            </w:pPr>
          </w:p>
        </w:tc>
        <w:tc>
          <w:tcPr>
            <w:tcW w:w="1596" w:type="dxa"/>
            <w:gridSpan w:val="2"/>
            <w:tcBorders>
              <w:top w:val="single" w:sz="12" w:space="0" w:color="FFFFFF"/>
              <w:left w:val="single" w:sz="12" w:space="0" w:color="FFFFFF"/>
              <w:right w:val="single" w:sz="12" w:space="0" w:color="FFFFFF"/>
            </w:tcBorders>
            <w:shd w:val="clear" w:color="auto" w:fill="auto"/>
          </w:tcPr>
          <w:p w14:paraId="0B0526D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Male </w:t>
            </w:r>
          </w:p>
        </w:tc>
        <w:tc>
          <w:tcPr>
            <w:tcW w:w="576" w:type="dxa"/>
            <w:tcBorders>
              <w:top w:val="single" w:sz="12" w:space="0" w:color="FFFFFF"/>
              <w:left w:val="single" w:sz="12" w:space="0" w:color="FFFFFF"/>
              <w:bottom w:val="single" w:sz="12" w:space="0" w:color="FFFFFF"/>
              <w:right w:val="single" w:sz="12" w:space="0" w:color="FFFFFF"/>
            </w:tcBorders>
            <w:shd w:val="clear" w:color="auto" w:fill="auto"/>
          </w:tcPr>
          <w:p w14:paraId="5FAEFD36"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149</w:t>
            </w:r>
          </w:p>
        </w:tc>
        <w:tc>
          <w:tcPr>
            <w:tcW w:w="1122" w:type="dxa"/>
            <w:tcBorders>
              <w:top w:val="single" w:sz="12" w:space="0" w:color="FFFFFF"/>
              <w:left w:val="single" w:sz="12" w:space="0" w:color="FFFFFF"/>
              <w:bottom w:val="single" w:sz="12" w:space="0" w:color="FFFFFF"/>
              <w:right w:val="single" w:sz="12" w:space="0" w:color="FFFFFF"/>
            </w:tcBorders>
            <w:shd w:val="clear" w:color="auto" w:fill="auto"/>
          </w:tcPr>
          <w:p w14:paraId="5734F6EB"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32.39</w:t>
            </w:r>
          </w:p>
        </w:tc>
        <w:tc>
          <w:tcPr>
            <w:tcW w:w="1119" w:type="dxa"/>
            <w:tcBorders>
              <w:top w:val="single" w:sz="12" w:space="0" w:color="FFFFFF"/>
              <w:left w:val="single" w:sz="12" w:space="0" w:color="FFFFFF"/>
              <w:bottom w:val="single" w:sz="12" w:space="0" w:color="FFFFFF"/>
              <w:right w:val="single" w:sz="12" w:space="0" w:color="FFFFFF"/>
            </w:tcBorders>
            <w:shd w:val="clear" w:color="auto" w:fill="auto"/>
          </w:tcPr>
          <w:p w14:paraId="25F17F06"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16.65</w:t>
            </w:r>
          </w:p>
        </w:tc>
        <w:tc>
          <w:tcPr>
            <w:tcW w:w="1117" w:type="dxa"/>
            <w:tcBorders>
              <w:top w:val="single" w:sz="12" w:space="0" w:color="FFFFFF"/>
              <w:left w:val="single" w:sz="12" w:space="0" w:color="FFFFFF"/>
              <w:bottom w:val="single" w:sz="12" w:space="0" w:color="FFFFFF"/>
              <w:right w:val="single" w:sz="12" w:space="0" w:color="FFFFFF"/>
            </w:tcBorders>
            <w:shd w:val="clear" w:color="auto" w:fill="auto"/>
          </w:tcPr>
          <w:p w14:paraId="3CA2C100" w14:textId="77777777" w:rsidR="00B47300" w:rsidRDefault="00B47300">
            <w:pPr>
              <w:spacing w:line="240" w:lineRule="auto"/>
              <w:rPr>
                <w:rFonts w:ascii="Times New Roman" w:eastAsia="Times New Roman" w:hAnsi="Times New Roman" w:cs="Times New Roman"/>
                <w:sz w:val="24"/>
                <w:szCs w:val="24"/>
              </w:rPr>
            </w:pPr>
          </w:p>
        </w:tc>
        <w:tc>
          <w:tcPr>
            <w:tcW w:w="1117" w:type="dxa"/>
            <w:tcBorders>
              <w:top w:val="single" w:sz="12" w:space="0" w:color="FFFFFF"/>
              <w:left w:val="single" w:sz="12" w:space="0" w:color="FFFFFF"/>
              <w:bottom w:val="single" w:sz="12" w:space="0" w:color="FFFFFF"/>
              <w:right w:val="single" w:sz="12" w:space="0" w:color="FFFFFF"/>
            </w:tcBorders>
            <w:shd w:val="clear" w:color="auto" w:fill="auto"/>
          </w:tcPr>
          <w:p w14:paraId="4AD30334" w14:textId="77777777" w:rsidR="00B47300" w:rsidRDefault="00B47300">
            <w:pPr>
              <w:spacing w:line="240" w:lineRule="auto"/>
              <w:rPr>
                <w:rFonts w:ascii="Times New Roman" w:eastAsia="Times New Roman" w:hAnsi="Times New Roman" w:cs="Times New Roman"/>
                <w:sz w:val="24"/>
                <w:szCs w:val="24"/>
              </w:rPr>
            </w:pPr>
          </w:p>
        </w:tc>
        <w:tc>
          <w:tcPr>
            <w:tcW w:w="1119" w:type="dxa"/>
            <w:tcBorders>
              <w:top w:val="single" w:sz="12" w:space="0" w:color="FFFFFF"/>
              <w:left w:val="single" w:sz="12" w:space="0" w:color="FFFFFF"/>
              <w:bottom w:val="single" w:sz="12" w:space="0" w:color="FFFFFF"/>
              <w:right w:val="single" w:sz="12" w:space="0" w:color="FFFFFF"/>
            </w:tcBorders>
            <w:shd w:val="clear" w:color="auto" w:fill="auto"/>
          </w:tcPr>
          <w:p w14:paraId="1C2EB271" w14:textId="77777777" w:rsidR="00B47300" w:rsidRDefault="00B47300">
            <w:pPr>
              <w:spacing w:line="240" w:lineRule="auto"/>
              <w:rPr>
                <w:rFonts w:ascii="Times New Roman" w:eastAsia="Times New Roman" w:hAnsi="Times New Roman" w:cs="Times New Roman"/>
                <w:sz w:val="24"/>
                <w:szCs w:val="24"/>
              </w:rPr>
            </w:pPr>
          </w:p>
        </w:tc>
      </w:tr>
      <w:tr w:rsidR="00B47300" w14:paraId="6F29AEC6" w14:textId="77777777">
        <w:tc>
          <w:tcPr>
            <w:tcW w:w="1780" w:type="dxa"/>
            <w:gridSpan w:val="2"/>
            <w:tcBorders>
              <w:top w:val="single" w:sz="12" w:space="0" w:color="FFFFFF"/>
              <w:left w:val="single" w:sz="12" w:space="0" w:color="FFFFFF"/>
              <w:right w:val="single" w:sz="12" w:space="0" w:color="FFFFFF"/>
            </w:tcBorders>
            <w:shd w:val="clear" w:color="auto" w:fill="auto"/>
          </w:tcPr>
          <w:p w14:paraId="4488B74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Social anxiety </w:t>
            </w:r>
          </w:p>
        </w:tc>
        <w:tc>
          <w:tcPr>
            <w:tcW w:w="1133" w:type="dxa"/>
            <w:tcBorders>
              <w:top w:val="single" w:sz="12" w:space="0" w:color="FFFFFF"/>
              <w:left w:val="single" w:sz="12" w:space="0" w:color="FFFFFF"/>
              <w:right w:val="single" w:sz="12" w:space="0" w:color="FFFFFF"/>
            </w:tcBorders>
            <w:shd w:val="clear" w:color="auto" w:fill="auto"/>
          </w:tcPr>
          <w:p w14:paraId="4BEB251C" w14:textId="77777777" w:rsidR="00B47300" w:rsidRDefault="00B47300">
            <w:pPr>
              <w:spacing w:line="240" w:lineRule="auto"/>
              <w:rPr>
                <w:rFonts w:ascii="Times New Roman" w:eastAsia="Times New Roman" w:hAnsi="Times New Roman" w:cs="Times New Roman"/>
                <w:sz w:val="24"/>
                <w:szCs w:val="24"/>
              </w:rPr>
            </w:pPr>
          </w:p>
        </w:tc>
        <w:tc>
          <w:tcPr>
            <w:tcW w:w="576" w:type="dxa"/>
            <w:tcBorders>
              <w:top w:val="single" w:sz="12" w:space="0" w:color="FFFFFF"/>
              <w:left w:val="single" w:sz="12" w:space="0" w:color="FFFFFF"/>
              <w:bottom w:val="single" w:sz="12" w:space="0" w:color="FFFFFF"/>
              <w:right w:val="single" w:sz="12" w:space="0" w:color="FFFFFF"/>
            </w:tcBorders>
            <w:shd w:val="clear" w:color="auto" w:fill="auto"/>
          </w:tcPr>
          <w:p w14:paraId="16FB7D9D" w14:textId="77777777" w:rsidR="00B47300" w:rsidRDefault="00B47300">
            <w:pPr>
              <w:spacing w:line="240" w:lineRule="auto"/>
              <w:rPr>
                <w:rFonts w:ascii="Times New Roman" w:eastAsia="Times New Roman" w:hAnsi="Times New Roman" w:cs="Times New Roman"/>
                <w:sz w:val="24"/>
                <w:szCs w:val="24"/>
              </w:rPr>
            </w:pPr>
          </w:p>
        </w:tc>
        <w:tc>
          <w:tcPr>
            <w:tcW w:w="1122" w:type="dxa"/>
            <w:tcBorders>
              <w:top w:val="single" w:sz="12" w:space="0" w:color="FFFFFF"/>
              <w:left w:val="single" w:sz="12" w:space="0" w:color="FFFFFF"/>
              <w:bottom w:val="single" w:sz="12" w:space="0" w:color="FFFFFF"/>
              <w:right w:val="single" w:sz="12" w:space="0" w:color="FFFFFF"/>
            </w:tcBorders>
            <w:shd w:val="clear" w:color="auto" w:fill="auto"/>
          </w:tcPr>
          <w:p w14:paraId="490EACBA" w14:textId="77777777" w:rsidR="00B47300" w:rsidRDefault="00B47300">
            <w:pPr>
              <w:spacing w:line="240" w:lineRule="auto"/>
              <w:rPr>
                <w:rFonts w:ascii="Times New Roman" w:eastAsia="Times New Roman" w:hAnsi="Times New Roman" w:cs="Times New Roman"/>
                <w:sz w:val="24"/>
                <w:szCs w:val="24"/>
              </w:rPr>
            </w:pPr>
          </w:p>
        </w:tc>
        <w:tc>
          <w:tcPr>
            <w:tcW w:w="1119" w:type="dxa"/>
            <w:tcBorders>
              <w:top w:val="single" w:sz="12" w:space="0" w:color="FFFFFF"/>
              <w:left w:val="single" w:sz="12" w:space="0" w:color="FFFFFF"/>
              <w:bottom w:val="single" w:sz="12" w:space="0" w:color="FFFFFF"/>
              <w:right w:val="single" w:sz="12" w:space="0" w:color="FFFFFF"/>
            </w:tcBorders>
            <w:shd w:val="clear" w:color="auto" w:fill="auto"/>
          </w:tcPr>
          <w:p w14:paraId="53053A5B" w14:textId="77777777" w:rsidR="00B47300" w:rsidRDefault="00B47300">
            <w:pPr>
              <w:spacing w:line="240" w:lineRule="auto"/>
              <w:rPr>
                <w:rFonts w:ascii="Times New Roman" w:eastAsia="Times New Roman" w:hAnsi="Times New Roman" w:cs="Times New Roman"/>
                <w:sz w:val="24"/>
                <w:szCs w:val="24"/>
              </w:rPr>
            </w:pPr>
          </w:p>
        </w:tc>
        <w:tc>
          <w:tcPr>
            <w:tcW w:w="1117" w:type="dxa"/>
            <w:tcBorders>
              <w:top w:val="single" w:sz="12" w:space="0" w:color="FFFFFF"/>
              <w:left w:val="single" w:sz="12" w:space="0" w:color="FFFFFF"/>
              <w:bottom w:val="single" w:sz="12" w:space="0" w:color="FFFFFF"/>
              <w:right w:val="single" w:sz="12" w:space="0" w:color="FFFFFF"/>
            </w:tcBorders>
            <w:shd w:val="clear" w:color="auto" w:fill="auto"/>
          </w:tcPr>
          <w:p w14:paraId="0A9C8649"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298</w:t>
            </w:r>
          </w:p>
        </w:tc>
        <w:tc>
          <w:tcPr>
            <w:tcW w:w="1116" w:type="dxa"/>
            <w:tcBorders>
              <w:top w:val="single" w:sz="12" w:space="0" w:color="FFFFFF"/>
              <w:left w:val="single" w:sz="12" w:space="0" w:color="FFFFFF"/>
              <w:bottom w:val="single" w:sz="12" w:space="0" w:color="FFFFFF"/>
              <w:right w:val="single" w:sz="12" w:space="0" w:color="FFFFFF"/>
            </w:tcBorders>
            <w:shd w:val="clear" w:color="auto" w:fill="auto"/>
          </w:tcPr>
          <w:p w14:paraId="31D84E1A"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-2.38</w:t>
            </w:r>
          </w:p>
        </w:tc>
        <w:tc>
          <w:tcPr>
            <w:tcW w:w="1119" w:type="dxa"/>
            <w:tcBorders>
              <w:top w:val="single" w:sz="12" w:space="0" w:color="FFFFFF"/>
              <w:left w:val="single" w:sz="12" w:space="0" w:color="FFFFFF"/>
              <w:bottom w:val="single" w:sz="12" w:space="0" w:color="FFFFFF"/>
              <w:right w:val="single" w:sz="12" w:space="0" w:color="FFFFFF"/>
            </w:tcBorders>
            <w:shd w:val="clear" w:color="auto" w:fill="auto"/>
          </w:tcPr>
          <w:p w14:paraId="5238FC08" w14:textId="77777777" w:rsidR="00B47300" w:rsidRDefault="00414E9C">
            <w:pPr>
              <w:spacing w:line="240" w:lineRule="auto"/>
              <w:rPr>
                <w:rFonts w:ascii="Times New Roman" w:hAnsi="Times New Roman" w:cs="Times New Roman"/>
                <w:b/>
                <w:sz w:val="24"/>
                <w:szCs w:val="24"/>
              </w:rPr>
            </w:pPr>
            <w:r>
              <w:rPr>
                <w:rFonts w:ascii="Times New Roman" w:eastAsia="Times New Roman" w:hAnsi="Times New Roman" w:cs="Times New Roman"/>
                <w:sz w:val="24"/>
                <w:szCs w:val="24"/>
              </w:rPr>
              <w:t>&lt; .05</w:t>
            </w:r>
          </w:p>
        </w:tc>
      </w:tr>
      <w:tr w:rsidR="00B47300" w14:paraId="7D0125C8" w14:textId="77777777">
        <w:tc>
          <w:tcPr>
            <w:tcW w:w="1316" w:type="dxa"/>
            <w:tcBorders>
              <w:top w:val="single" w:sz="12" w:space="0" w:color="FFFFFF"/>
              <w:left w:val="single" w:sz="12" w:space="0" w:color="FFFFFF"/>
              <w:bottom w:val="single" w:sz="12" w:space="0" w:color="000000"/>
              <w:right w:val="single" w:sz="12" w:space="0" w:color="FFFFFF"/>
            </w:tcBorders>
            <w:shd w:val="clear" w:color="auto" w:fill="auto"/>
          </w:tcPr>
          <w:p w14:paraId="2D22C30A" w14:textId="77777777" w:rsidR="00B47300" w:rsidRDefault="00B47300">
            <w:pPr>
              <w:spacing w:line="240" w:lineRule="auto"/>
              <w:rPr>
                <w:rFonts w:ascii="Times New Roman" w:eastAsia="Times New Roman" w:hAnsi="Times New Roman" w:cs="Times New Roman"/>
                <w:sz w:val="24"/>
                <w:szCs w:val="24"/>
              </w:rPr>
            </w:pPr>
          </w:p>
        </w:tc>
        <w:tc>
          <w:tcPr>
            <w:tcW w:w="1596" w:type="dxa"/>
            <w:gridSpan w:val="2"/>
            <w:tcBorders>
              <w:top w:val="single" w:sz="12" w:space="0" w:color="FFFFFF"/>
              <w:left w:val="single" w:sz="12" w:space="0" w:color="FFFFFF"/>
              <w:bottom w:val="single" w:sz="12" w:space="0" w:color="000000"/>
              <w:right w:val="single" w:sz="12" w:space="0" w:color="FFFFFF"/>
            </w:tcBorders>
            <w:shd w:val="clear" w:color="auto" w:fill="auto"/>
          </w:tcPr>
          <w:p w14:paraId="29A119B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576" w:type="dxa"/>
            <w:tcBorders>
              <w:top w:val="single" w:sz="12" w:space="0" w:color="FFFFFF"/>
              <w:left w:val="single" w:sz="12" w:space="0" w:color="FFFFFF"/>
              <w:bottom w:val="single" w:sz="12" w:space="0" w:color="000000"/>
              <w:right w:val="single" w:sz="12" w:space="0" w:color="FFFFFF"/>
            </w:tcBorders>
            <w:shd w:val="clear" w:color="auto" w:fill="auto"/>
          </w:tcPr>
          <w:p w14:paraId="24638AF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151</w:t>
            </w:r>
          </w:p>
        </w:tc>
        <w:tc>
          <w:tcPr>
            <w:tcW w:w="1122" w:type="dxa"/>
            <w:tcBorders>
              <w:top w:val="single" w:sz="12" w:space="0" w:color="FFFFFF"/>
              <w:left w:val="single" w:sz="12" w:space="0" w:color="FFFFFF"/>
              <w:bottom w:val="single" w:sz="12" w:space="0" w:color="000000"/>
              <w:right w:val="single" w:sz="12" w:space="0" w:color="FFFFFF"/>
            </w:tcBorders>
            <w:shd w:val="clear" w:color="auto" w:fill="auto"/>
          </w:tcPr>
          <w:p w14:paraId="19D6321E"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36.86</w:t>
            </w:r>
          </w:p>
        </w:tc>
        <w:tc>
          <w:tcPr>
            <w:tcW w:w="1119" w:type="dxa"/>
            <w:tcBorders>
              <w:top w:val="single" w:sz="12" w:space="0" w:color="FFFFFF"/>
              <w:left w:val="single" w:sz="12" w:space="0" w:color="FFFFFF"/>
              <w:bottom w:val="single" w:sz="12" w:space="0" w:color="000000"/>
              <w:right w:val="single" w:sz="12" w:space="0" w:color="FFFFFF"/>
            </w:tcBorders>
            <w:shd w:val="clear" w:color="auto" w:fill="auto"/>
          </w:tcPr>
          <w:p w14:paraId="494D785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15.85</w:t>
            </w:r>
          </w:p>
        </w:tc>
        <w:tc>
          <w:tcPr>
            <w:tcW w:w="1117" w:type="dxa"/>
            <w:tcBorders>
              <w:top w:val="single" w:sz="12" w:space="0" w:color="FFFFFF"/>
              <w:left w:val="single" w:sz="12" w:space="0" w:color="FFFFFF"/>
              <w:bottom w:val="single" w:sz="12" w:space="0" w:color="000000"/>
              <w:right w:val="single" w:sz="12" w:space="0" w:color="FFFFFF"/>
            </w:tcBorders>
            <w:shd w:val="clear" w:color="auto" w:fill="auto"/>
          </w:tcPr>
          <w:p w14:paraId="3C0DD04F" w14:textId="77777777" w:rsidR="00B47300" w:rsidRDefault="00B47300">
            <w:pPr>
              <w:spacing w:line="240" w:lineRule="auto"/>
              <w:rPr>
                <w:rFonts w:ascii="Times New Roman" w:eastAsia="Times New Roman" w:hAnsi="Times New Roman" w:cs="Times New Roman"/>
                <w:sz w:val="24"/>
                <w:szCs w:val="24"/>
              </w:rPr>
            </w:pPr>
          </w:p>
        </w:tc>
        <w:tc>
          <w:tcPr>
            <w:tcW w:w="1117" w:type="dxa"/>
            <w:tcBorders>
              <w:top w:val="single" w:sz="12" w:space="0" w:color="FFFFFF"/>
              <w:left w:val="single" w:sz="12" w:space="0" w:color="FFFFFF"/>
              <w:bottom w:val="single" w:sz="12" w:space="0" w:color="000000"/>
              <w:right w:val="single" w:sz="12" w:space="0" w:color="FFFFFF"/>
            </w:tcBorders>
            <w:shd w:val="clear" w:color="auto" w:fill="auto"/>
          </w:tcPr>
          <w:p w14:paraId="78FD3D77" w14:textId="77777777" w:rsidR="00B47300" w:rsidRDefault="00B47300">
            <w:pPr>
              <w:spacing w:line="240" w:lineRule="auto"/>
              <w:rPr>
                <w:rFonts w:ascii="Times New Roman" w:eastAsia="Times New Roman" w:hAnsi="Times New Roman" w:cs="Times New Roman"/>
                <w:sz w:val="24"/>
                <w:szCs w:val="24"/>
              </w:rPr>
            </w:pPr>
          </w:p>
        </w:tc>
        <w:tc>
          <w:tcPr>
            <w:tcW w:w="1119" w:type="dxa"/>
            <w:tcBorders>
              <w:top w:val="single" w:sz="12" w:space="0" w:color="FFFFFF"/>
              <w:left w:val="single" w:sz="12" w:space="0" w:color="FFFFFF"/>
              <w:bottom w:val="single" w:sz="12" w:space="0" w:color="000000"/>
              <w:right w:val="single" w:sz="12" w:space="0" w:color="FFFFFF"/>
            </w:tcBorders>
            <w:shd w:val="clear" w:color="auto" w:fill="auto"/>
          </w:tcPr>
          <w:p w14:paraId="262BE51C" w14:textId="77777777" w:rsidR="00B47300" w:rsidRDefault="00B47300">
            <w:pPr>
              <w:spacing w:line="240" w:lineRule="auto"/>
              <w:rPr>
                <w:rFonts w:ascii="Times New Roman" w:eastAsia="Times New Roman" w:hAnsi="Times New Roman" w:cs="Times New Roman"/>
                <w:sz w:val="24"/>
                <w:szCs w:val="24"/>
              </w:rPr>
            </w:pPr>
          </w:p>
        </w:tc>
      </w:tr>
    </w:tbl>
    <w:p w14:paraId="301355DB" w14:textId="77777777" w:rsidR="00B47300" w:rsidRDefault="00B47300">
      <w:pPr>
        <w:spacing w:line="240" w:lineRule="auto"/>
        <w:rPr>
          <w:rFonts w:ascii="Times New Roman" w:hAnsi="Times New Roman" w:cs="Times New Roman"/>
          <w:sz w:val="24"/>
          <w:szCs w:val="24"/>
        </w:rPr>
      </w:pPr>
    </w:p>
    <w:p w14:paraId="70D1711F" w14:textId="77777777" w:rsidR="00B47300" w:rsidRDefault="00414E9C">
      <w:pPr>
        <w:spacing w:line="240" w:lineRule="auto"/>
        <w:jc w:val="both"/>
      </w:pPr>
      <w:r>
        <w:rPr>
          <w:rFonts w:ascii="Times New Roman" w:hAnsi="Times New Roman" w:cs="Times New Roman"/>
          <w:sz w:val="24"/>
          <w:szCs w:val="24"/>
        </w:rPr>
        <w:t xml:space="preserve">The result in Table 6 indicated that gender had no significant influence on social anxiety [t (298) = -2.35, p&lt;.05].  However, there was a difference such that male students (M =32.39, SD= 16.65) scored lower in social anxiety when compared with female students (M=36.86, SD=15.85). </w:t>
      </w:r>
    </w:p>
    <w:p w14:paraId="2DEDA5CD" w14:textId="77777777" w:rsidR="00B47300" w:rsidRDefault="00B47300">
      <w:pPr>
        <w:spacing w:line="240" w:lineRule="auto"/>
        <w:ind w:left="-5" w:right="536"/>
        <w:jc w:val="both"/>
        <w:rPr>
          <w:rFonts w:ascii="Times New Roman" w:hAnsi="Times New Roman" w:cs="Times New Roman"/>
          <w:sz w:val="24"/>
          <w:szCs w:val="24"/>
        </w:rPr>
      </w:pPr>
    </w:p>
    <w:p w14:paraId="10FE86E9"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Discussions</w:t>
      </w:r>
    </w:p>
    <w:p w14:paraId="0F8A5F88"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goal of this study was to examine the associations between mobile game addiction and social anxiety, and the potential gender, age and time spent in the university difference in these associations were also investigated.  The findings of the study regarding the prevalence and pattern of mobile gaming addiction and social anxiety reveal important insights into the well-being of this population. The study found that 5.9% of the participant’s students have severe social anxiety. The study also found a 9.3% mild to moderate and 1.7% moderate to severe prevalence of mobile gaming addiction among undergraduates. This observed prevalence supports previous findings on the high prevalence of internet gaming among Nigerian young people (</w:t>
      </w:r>
      <w:proofErr w:type="spellStart"/>
      <w:r>
        <w:rPr>
          <w:rFonts w:ascii="Times New Roman" w:eastAsia="Times New Roman" w:hAnsi="Times New Roman" w:cs="Times New Roman"/>
          <w:color w:val="0E101A"/>
          <w:sz w:val="24"/>
          <w:szCs w:val="24"/>
        </w:rPr>
        <w:t>Akpunne</w:t>
      </w:r>
      <w:proofErr w:type="spellEnd"/>
      <w:r>
        <w:rPr>
          <w:rFonts w:ascii="Times New Roman" w:eastAsia="Times New Roman" w:hAnsi="Times New Roman" w:cs="Times New Roman"/>
          <w:color w:val="0E101A"/>
          <w:sz w:val="24"/>
          <w:szCs w:val="24"/>
        </w:rPr>
        <w:t xml:space="preserve"> &amp; </w:t>
      </w:r>
      <w:proofErr w:type="spellStart"/>
      <w:r>
        <w:rPr>
          <w:rFonts w:ascii="Times New Roman" w:eastAsia="Times New Roman" w:hAnsi="Times New Roman" w:cs="Times New Roman"/>
          <w:color w:val="0E101A"/>
          <w:sz w:val="24"/>
          <w:szCs w:val="24"/>
        </w:rPr>
        <w:t>Akinnawo</w:t>
      </w:r>
      <w:proofErr w:type="spellEnd"/>
      <w:r>
        <w:rPr>
          <w:rFonts w:ascii="Times New Roman" w:eastAsia="Times New Roman" w:hAnsi="Times New Roman" w:cs="Times New Roman"/>
          <w:color w:val="0E101A"/>
          <w:sz w:val="24"/>
          <w:szCs w:val="24"/>
        </w:rPr>
        <w:t>, 2019; Ariyo et al., 2020; David-Daniel et al., 2023).</w:t>
      </w:r>
    </w:p>
    <w:p w14:paraId="4A7F9170"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w:t>
      </w:r>
    </w:p>
    <w:p w14:paraId="1AFB55E6"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Mobile gaming addiction positively predicted social anxiety, implying that an increase in mobile gaming addiction will cause a significant increase in social anxiety among undergraduate students. This result is consistent with prior research demonstrating a connection between mobile gaming addiction and social anxiety. For instance, Wang et al., (2019) found that mobile online game addiction has a significant positive correlation with loneliness, anxiety, and depression among college students. Mobile online games can be an appealing escape for individuals who experience social anxiety (Chen &amp; Chang 2019). These games offer a virtual environment where players can interact with others without the need for face-to-face contact. For people with social anxiety, face-to-face social interactions can be distressing and anxiety-provoking. By engaging in mobile online games, individuals with social anxiety may find solace in the virtual world, where they can communicate and connect with others while avoiding the potential discomfort of in-person interactions (Carruthers et al., 2019).</w:t>
      </w:r>
    </w:p>
    <w:p w14:paraId="371B14B9" w14:textId="77777777" w:rsidR="00B47300" w:rsidRDefault="00B47300">
      <w:pPr>
        <w:spacing w:line="240" w:lineRule="auto"/>
        <w:jc w:val="both"/>
        <w:rPr>
          <w:rFonts w:ascii="Times New Roman" w:eastAsia="Times New Roman" w:hAnsi="Times New Roman" w:cs="Times New Roman"/>
          <w:color w:val="0E101A"/>
          <w:sz w:val="24"/>
          <w:szCs w:val="24"/>
        </w:rPr>
      </w:pPr>
    </w:p>
    <w:p w14:paraId="24F6D194"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sense of control and anonymity provided by mobile online games may contribute to a feeling of safety and reduced social anxiety. In these virtual environments, individuals can carefully curate their online persona, choose when and how to interact with others, and even remain anonymous if desired. This level of control can alleviate some of the pressures and uncertainties associated with face-to-face social interactions, making mobile online games an attractive alternative for those with social anxiety. </w:t>
      </w:r>
    </w:p>
    <w:p w14:paraId="2BD2E279"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 xml:space="preserve">The findings of our second hypothesis show that younger students are more prone to social anxiety than older students. The result is consistent with prior research demonstrating a connection between age and social anxiety (Hunt 2024). One study by Jefferies and Ungar (2020) explored the prevalence of social anxiety globally using a self-report survey of 6,825 individuals aged 16–29 years from seven countries selected for their cultural and economic diversity. The global prevalence of social anxiety was found to be significantly higher than previously reported, with more than 1 in 3 (36%) respondents meeting the threshold criteria for having Social Anxiety Disorder (SAD). Prevalence and severity of social anxiety symptoms did not differ between sexes but varied as a function of age. Another study by Guy-Evans (2022) found that social anxiety disorder often peaks in adolescence, with many cases diagnosed before age 23. One reason is that younger people are still developing their social skills and may not have had as much experience interacting with others in social situations. Additionally, younger people may be more self-conscious and concerned about how they are perceived by others, which can lead to feelings of anxiety in social situations. </w:t>
      </w:r>
    </w:p>
    <w:p w14:paraId="54470F47" w14:textId="77777777" w:rsidR="00B47300" w:rsidRDefault="00B47300">
      <w:pPr>
        <w:spacing w:line="240" w:lineRule="auto"/>
        <w:jc w:val="both"/>
        <w:rPr>
          <w:rFonts w:ascii="Times New Roman" w:eastAsia="Times New Roman" w:hAnsi="Times New Roman" w:cs="Times New Roman"/>
          <w:color w:val="0E101A"/>
          <w:sz w:val="24"/>
          <w:szCs w:val="24"/>
        </w:rPr>
      </w:pPr>
    </w:p>
    <w:p w14:paraId="4521F008"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‌Furthermore, there was no significant influence of gender on social anxiety among students in this study. However Female undergraduates reported a higher level of social anxiety than males. The result is consistent with prior research demonstrating a connection between gender and social anxiety (Asher et al., 2017). One study by Zentner et al., (2022) investigated the underlying mechanisms that produce cultural and gender differences in social anxiety. The study found that Asian-Canadian undergraduates reported a similar level of social anxiety to European-Canadian undergraduates, and females reported higher social anxiety than males. The study found that females tend to report higher social anxiety levels than males, which could be attributed to societal expectations and gender roles. Societal norms often place greater emphasis on women’s appearance, behaviour, and social interactions, leading to increased pressure and self-consciousness (Strahan et al., 2006). These expectations can contribute to higher levels of social anxiety among females. Additionally, related literature suggests that gender role identification plays a role in social anxiety (Zentner et al., 2022). Individuals who strongly identify with a masculine gender role may feel pressured to conform to societal expectations of confidence and assertiveness. This pressure can lead to increased anxiety in social situations, particularly if they perceive a mismatch between their behaviour and societal expectations.</w:t>
      </w:r>
    </w:p>
    <w:p w14:paraId="4202498F"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6CCCC6F1"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Conclusions and Recommendations </w:t>
      </w:r>
    </w:p>
    <w:p w14:paraId="06F8FD25"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Based on the findings of the study, it is concluded that there is a high prevalence of internet gaming addiction among the participants which contributes substantially to levels of social anxiety among undergraduates. Secondly, the study confirmed that younger students tend to experience higher levels of social anxiety compared to older students, highlighting age as a relevant factor in understanding social anxiety among this demographic. Contrary to expectations, the number of years spent at the university did not significantly influence social anxiety levels, suggesting that other factors may be more influential. Lastly, gender did not prove to be a significant factor in social anxiety levels among students, implying that social anxiety affects male and female students at a comparable rate within the context of this study.</w:t>
      </w:r>
    </w:p>
    <w:p w14:paraId="19143602" w14:textId="77777777" w:rsidR="00B47300" w:rsidRDefault="00B47300">
      <w:pPr>
        <w:spacing w:line="240" w:lineRule="auto"/>
        <w:jc w:val="both"/>
        <w:rPr>
          <w:rFonts w:ascii="Times New Roman" w:eastAsia="Times New Roman" w:hAnsi="Times New Roman" w:cs="Times New Roman"/>
          <w:color w:val="0E101A"/>
          <w:sz w:val="24"/>
          <w:szCs w:val="24"/>
        </w:rPr>
      </w:pPr>
    </w:p>
    <w:p w14:paraId="37689BBB" w14:textId="1E782553"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Thus, the authors recommend that Universities should provide students with information about the potential risks of mobile gaming addiction and social anxiety. Also, Universities and colleges should offer programs and services to help students who are struggling with mobile gaming </w:t>
      </w:r>
      <w:r>
        <w:rPr>
          <w:rFonts w:ascii="Times New Roman" w:eastAsia="Times New Roman" w:hAnsi="Times New Roman" w:cs="Times New Roman"/>
          <w:color w:val="0E101A"/>
          <w:sz w:val="24"/>
          <w:szCs w:val="24"/>
        </w:rPr>
        <w:lastRenderedPageBreak/>
        <w:t xml:space="preserve">addiction and social anxiety. We also recommend that future research should investigate the factors that contribute to social anxiety among undergraduate students, including the role of mobile gaming addiction, age, gender, and other factors. Nigerian Universities and colleges should provide students with access to mental health services such as counselling, therapy, and support groups as well as regular university community-wide psycho-education </w:t>
      </w:r>
      <w:proofErr w:type="spellStart"/>
      <w:r>
        <w:rPr>
          <w:rFonts w:ascii="Times New Roman" w:eastAsia="Times New Roman" w:hAnsi="Times New Roman" w:cs="Times New Roman"/>
          <w:color w:val="0E101A"/>
          <w:sz w:val="24"/>
          <w:szCs w:val="24"/>
        </w:rPr>
        <w:t>programmes</w:t>
      </w:r>
      <w:proofErr w:type="spellEnd"/>
      <w:r>
        <w:rPr>
          <w:rFonts w:ascii="Times New Roman" w:eastAsia="Times New Roman" w:hAnsi="Times New Roman" w:cs="Times New Roman"/>
          <w:color w:val="0E101A"/>
          <w:sz w:val="24"/>
          <w:szCs w:val="24"/>
        </w:rPr>
        <w:t xml:space="preserve"> on the importance of mental </w:t>
      </w:r>
      <w:r w:rsidR="00F442A4">
        <w:rPr>
          <w:rFonts w:ascii="Times New Roman" w:eastAsia="Times New Roman" w:hAnsi="Times New Roman" w:cs="Times New Roman"/>
          <w:color w:val="0E101A"/>
          <w:sz w:val="24"/>
          <w:szCs w:val="24"/>
        </w:rPr>
        <w:t>health, the</w:t>
      </w:r>
      <w:r>
        <w:rPr>
          <w:rFonts w:ascii="Times New Roman" w:eastAsia="Times New Roman" w:hAnsi="Times New Roman" w:cs="Times New Roman"/>
          <w:color w:val="0E101A"/>
          <w:sz w:val="24"/>
          <w:szCs w:val="24"/>
        </w:rPr>
        <w:t xml:space="preserve"> signs and symptoms of social anxiety, and the importance of seeking help if for social anxiety.</w:t>
      </w:r>
    </w:p>
    <w:p w14:paraId="0E7E53F6" w14:textId="77777777" w:rsidR="00F972BB" w:rsidRDefault="00F972BB">
      <w:pPr>
        <w:spacing w:line="240" w:lineRule="auto"/>
        <w:jc w:val="both"/>
        <w:rPr>
          <w:rFonts w:ascii="Times New Roman" w:eastAsia="Times New Roman" w:hAnsi="Times New Roman" w:cs="Times New Roman"/>
          <w:color w:val="0E101A"/>
          <w:sz w:val="24"/>
          <w:szCs w:val="24"/>
        </w:rPr>
      </w:pPr>
    </w:p>
    <w:p w14:paraId="4A4B3706" w14:textId="77777777" w:rsidR="00F972BB" w:rsidRPr="00F972BB" w:rsidRDefault="00F972BB" w:rsidP="00F972BB">
      <w:pPr>
        <w:spacing w:line="240" w:lineRule="auto"/>
        <w:jc w:val="both"/>
        <w:rPr>
          <w:rFonts w:ascii="Times New Roman" w:eastAsia="Times New Roman" w:hAnsi="Times New Roman" w:cs="Times New Roman"/>
          <w:color w:val="0E101A"/>
          <w:sz w:val="24"/>
          <w:szCs w:val="24"/>
        </w:rPr>
      </w:pPr>
      <w:r w:rsidRPr="00F972BB">
        <w:rPr>
          <w:rFonts w:ascii="Times New Roman" w:eastAsia="Times New Roman" w:hAnsi="Times New Roman" w:cs="Times New Roman"/>
          <w:color w:val="0E101A"/>
          <w:sz w:val="24"/>
          <w:szCs w:val="24"/>
        </w:rPr>
        <w:t>COMPETING INTERESTS DISCLAIMER:</w:t>
      </w:r>
    </w:p>
    <w:p w14:paraId="428ABFD0" w14:textId="77777777" w:rsidR="00F972BB" w:rsidRPr="00F972BB" w:rsidRDefault="00F972BB" w:rsidP="00F972BB">
      <w:pPr>
        <w:spacing w:line="240" w:lineRule="auto"/>
        <w:jc w:val="both"/>
        <w:rPr>
          <w:rFonts w:ascii="Times New Roman" w:eastAsia="Times New Roman" w:hAnsi="Times New Roman" w:cs="Times New Roman"/>
          <w:color w:val="0E101A"/>
          <w:sz w:val="24"/>
          <w:szCs w:val="24"/>
        </w:rPr>
      </w:pPr>
      <w:r w:rsidRPr="00F972BB">
        <w:rPr>
          <w:rFonts w:ascii="Times New Roman" w:eastAsia="Times New Roman" w:hAnsi="Times New Roman" w:cs="Times New Roman"/>
          <w:color w:val="0E101A"/>
          <w:sz w:val="24"/>
          <w:szCs w:val="24"/>
        </w:rPr>
        <w:t>Authors have declared that they have no known competing financial interests OR non-financial interests OR personal relationships that could have appeared to influence the work reported in this paper.</w:t>
      </w:r>
    </w:p>
    <w:p w14:paraId="5FED7836" w14:textId="77777777" w:rsidR="00F972BB" w:rsidRPr="00F972BB" w:rsidRDefault="00F972BB" w:rsidP="00F972BB">
      <w:pPr>
        <w:spacing w:line="240" w:lineRule="auto"/>
        <w:jc w:val="both"/>
        <w:rPr>
          <w:rFonts w:ascii="Times New Roman" w:eastAsia="Times New Roman" w:hAnsi="Times New Roman" w:cs="Times New Roman"/>
          <w:color w:val="0E101A"/>
          <w:sz w:val="24"/>
          <w:szCs w:val="24"/>
        </w:rPr>
      </w:pPr>
    </w:p>
    <w:p w14:paraId="68A2EF89" w14:textId="77777777" w:rsidR="00F972BB" w:rsidRDefault="00F972BB">
      <w:pPr>
        <w:spacing w:line="240" w:lineRule="auto"/>
        <w:jc w:val="both"/>
        <w:rPr>
          <w:rFonts w:ascii="Times New Roman" w:eastAsia="Times New Roman" w:hAnsi="Times New Roman" w:cs="Times New Roman"/>
          <w:color w:val="0E101A"/>
          <w:sz w:val="24"/>
          <w:szCs w:val="24"/>
        </w:rPr>
      </w:pPr>
    </w:p>
    <w:p w14:paraId="3CD7E280" w14:textId="411926C3" w:rsidR="00F442A4" w:rsidRDefault="00F442A4">
      <w:pPr>
        <w:spacing w:line="240" w:lineRule="auto"/>
        <w:jc w:val="both"/>
        <w:rPr>
          <w:rFonts w:ascii="Times New Roman" w:eastAsia="Times New Roman" w:hAnsi="Times New Roman" w:cs="Times New Roman"/>
          <w:color w:val="0E101A"/>
          <w:sz w:val="24"/>
          <w:szCs w:val="24"/>
        </w:rPr>
      </w:pPr>
      <w:bookmarkStart w:id="2" w:name="_GoBack"/>
      <w:bookmarkEnd w:id="2"/>
    </w:p>
    <w:p w14:paraId="7CF0CDA5" w14:textId="77777777" w:rsidR="00F442A4" w:rsidRDefault="00F442A4">
      <w:pPr>
        <w:spacing w:line="240" w:lineRule="auto"/>
        <w:jc w:val="both"/>
        <w:rPr>
          <w:rFonts w:ascii="Times New Roman" w:eastAsia="Times New Roman" w:hAnsi="Times New Roman" w:cs="Times New Roman"/>
          <w:color w:val="0E101A"/>
          <w:sz w:val="24"/>
          <w:szCs w:val="24"/>
        </w:rPr>
      </w:pPr>
    </w:p>
    <w:p w14:paraId="432B26D5" w14:textId="77777777" w:rsidR="00B47300" w:rsidRDefault="00B47300">
      <w:pPr>
        <w:spacing w:line="240" w:lineRule="auto"/>
        <w:jc w:val="both"/>
        <w:rPr>
          <w:rFonts w:ascii="Times New Roman" w:hAnsi="Times New Roman" w:cs="Times New Roman"/>
          <w:b/>
          <w:bCs/>
          <w:sz w:val="24"/>
          <w:szCs w:val="24"/>
        </w:rPr>
      </w:pPr>
    </w:p>
    <w:p w14:paraId="697D814F" w14:textId="77777777" w:rsidR="00B47300" w:rsidRDefault="00414E9C">
      <w:pPr>
        <w:spacing w:line="240" w:lineRule="auto"/>
        <w:jc w:val="both"/>
      </w:pPr>
      <w:r>
        <w:rPr>
          <w:rFonts w:ascii="Times New Roman" w:hAnsi="Times New Roman" w:cs="Times New Roman"/>
          <w:b/>
          <w:bCs/>
          <w:sz w:val="24"/>
          <w:szCs w:val="24"/>
        </w:rPr>
        <w:t>References</w:t>
      </w:r>
    </w:p>
    <w:p w14:paraId="0ED69BEE" w14:textId="77777777" w:rsidR="00B47300" w:rsidRDefault="00414E9C">
      <w:pPr>
        <w:pStyle w:val="NormalWeb"/>
        <w:spacing w:before="280" w:after="280"/>
        <w:ind w:left="567" w:hanging="720"/>
        <w:jc w:val="both"/>
      </w:pPr>
      <w:proofErr w:type="spellStart"/>
      <w:r>
        <w:t>Achangwa</w:t>
      </w:r>
      <w:proofErr w:type="spellEnd"/>
      <w:r>
        <w:t>, C., Ryu, H. S., Lee, J. K., &amp; Jang, J. D. (2022). Adverse Effects of Smartphone Addiction among University Students in South Korea: A Systematic Review. Healthcare (Basel, Switzerland), 11(1), 14. https://doi.org/10.3390/healthcare11010014</w:t>
      </w:r>
    </w:p>
    <w:p w14:paraId="5A289FF9" w14:textId="77777777" w:rsidR="00B47300" w:rsidRDefault="00414E9C">
      <w:pPr>
        <w:pStyle w:val="NormalWeb"/>
        <w:spacing w:before="280" w:after="280"/>
        <w:ind w:left="567" w:hanging="720"/>
        <w:jc w:val="both"/>
      </w:pPr>
      <w:r>
        <w:t>Acquah, E. O., Topalli, P. Z., Wilson, M. L., Junttila, N., &amp; Niemi, P. M. (2016). Adolescent loneliness and social anxiety as predictors of bullying victimisation. International Journal of Adolescence and Youth, 21(3), 320-331</w:t>
      </w:r>
    </w:p>
    <w:p w14:paraId="638DFB3B" w14:textId="77777777" w:rsidR="00B47300" w:rsidRDefault="00414E9C">
      <w:pPr>
        <w:pStyle w:val="NormalWeb"/>
        <w:spacing w:before="280" w:after="280"/>
        <w:ind w:left="567" w:hanging="720"/>
        <w:jc w:val="both"/>
      </w:pPr>
      <w:proofErr w:type="spellStart"/>
      <w:r>
        <w:rPr>
          <w:rFonts w:eastAsiaTheme="minorHAnsi"/>
          <w:color w:val="000000" w:themeColor="text1"/>
        </w:rPr>
        <w:t>Akpunne</w:t>
      </w:r>
      <w:proofErr w:type="spellEnd"/>
      <w:r>
        <w:rPr>
          <w:rFonts w:eastAsiaTheme="minorHAnsi"/>
          <w:color w:val="000000" w:themeColor="text1"/>
        </w:rPr>
        <w:t xml:space="preserve"> B. C., &amp; </w:t>
      </w:r>
      <w:proofErr w:type="spellStart"/>
      <w:r>
        <w:rPr>
          <w:rFonts w:eastAsiaTheme="minorHAnsi"/>
          <w:color w:val="000000" w:themeColor="text1"/>
        </w:rPr>
        <w:t>Akinnawo</w:t>
      </w:r>
      <w:proofErr w:type="spellEnd"/>
      <w:r>
        <w:rPr>
          <w:rFonts w:eastAsiaTheme="minorHAnsi"/>
          <w:color w:val="000000" w:themeColor="text1"/>
        </w:rPr>
        <w:t xml:space="preserve"> E. O. (2019). Internet addiction, problematic smartphone </w:t>
      </w:r>
      <w:proofErr w:type="gramStart"/>
      <w:r>
        <w:rPr>
          <w:rFonts w:eastAsiaTheme="minorHAnsi"/>
          <w:color w:val="000000" w:themeColor="text1"/>
        </w:rPr>
        <w:t>use</w:t>
      </w:r>
      <w:proofErr w:type="gramEnd"/>
      <w:r>
        <w:rPr>
          <w:rFonts w:eastAsiaTheme="minorHAnsi"/>
          <w:color w:val="000000" w:themeColor="text1"/>
        </w:rPr>
        <w:t xml:space="preserve"> and psychological health of Nigerian University Undergraduates. </w:t>
      </w:r>
      <w:r>
        <w:rPr>
          <w:rFonts w:eastAsiaTheme="minorHAnsi"/>
          <w:i/>
          <w:color w:val="000000" w:themeColor="text1"/>
        </w:rPr>
        <w:t>International Neuropsychiatric Disease Journal</w:t>
      </w:r>
      <w:r>
        <w:rPr>
          <w:rFonts w:eastAsiaTheme="minorHAnsi"/>
          <w:color w:val="000000" w:themeColor="text1"/>
        </w:rPr>
        <w:t xml:space="preserve">, 12(3) 1-13 </w:t>
      </w:r>
      <w:hyperlink r:id="rId6" w:history="1">
        <w:r>
          <w:rPr>
            <w:rStyle w:val="Hyperlink"/>
            <w:rFonts w:eastAsiaTheme="minorHAnsi"/>
            <w:color w:val="000000" w:themeColor="text1"/>
          </w:rPr>
          <w:t>http://doi.org/10.9734/INDJ/2018/v12i330093</w:t>
        </w:r>
      </w:hyperlink>
    </w:p>
    <w:p w14:paraId="58EBF63A" w14:textId="77777777" w:rsidR="00B47300" w:rsidRDefault="00414E9C">
      <w:pPr>
        <w:pStyle w:val="NormalWeb"/>
        <w:spacing w:before="280" w:after="280"/>
        <w:ind w:left="567" w:hanging="720"/>
        <w:jc w:val="both"/>
      </w:pPr>
      <w:r>
        <w:t>American Psychiatric Association. (2013). Diagnostic and statistical manual of mental disorders (5th ed.). Washington, DC: American Psychiatric Association.</w:t>
      </w:r>
    </w:p>
    <w:p w14:paraId="6F51E935" w14:textId="77777777" w:rsidR="00B47300" w:rsidRDefault="00414E9C">
      <w:pPr>
        <w:pStyle w:val="NormalWeb"/>
        <w:spacing w:before="280" w:after="280"/>
        <w:ind w:left="567" w:hanging="720"/>
        <w:jc w:val="both"/>
      </w:pPr>
      <w:r>
        <w:t xml:space="preserve">Anderson, E. S., Steen, E., &amp; Stavropoulos, V. (2016). Internet use and Problematic Internet Use: a systematic review of longitudinal research trends in adolescence and emergent adulthood. International Journal of Adolescence and Youth, 22(4), 430–454. </w:t>
      </w:r>
      <w:hyperlink>
        <w:r>
          <w:rPr>
            <w:rStyle w:val="InternetLink"/>
          </w:rPr>
          <w:t>https://doi.org/10.1080/02673843.2016.1227716</w:t>
        </w:r>
      </w:hyperlink>
    </w:p>
    <w:p w14:paraId="346C83CD" w14:textId="77777777" w:rsidR="00B47300" w:rsidRDefault="00414E9C">
      <w:pPr>
        <w:pStyle w:val="NormalWeb"/>
        <w:spacing w:before="280" w:after="280"/>
        <w:ind w:left="567" w:hanging="720"/>
        <w:jc w:val="both"/>
      </w:pPr>
      <w:r>
        <w:rPr>
          <w:sz w:val="22"/>
          <w:szCs w:val="22"/>
        </w:rPr>
        <w:t xml:space="preserve">Ariyo J. O, </w:t>
      </w:r>
      <w:proofErr w:type="spellStart"/>
      <w:r>
        <w:rPr>
          <w:sz w:val="22"/>
          <w:szCs w:val="22"/>
        </w:rPr>
        <w:t>Akinnawo</w:t>
      </w:r>
      <w:proofErr w:type="spellEnd"/>
      <w:r>
        <w:rPr>
          <w:sz w:val="22"/>
          <w:szCs w:val="22"/>
        </w:rPr>
        <w:t xml:space="preserve"> E.O, </w:t>
      </w:r>
      <w:proofErr w:type="spellStart"/>
      <w:r>
        <w:rPr>
          <w:sz w:val="22"/>
          <w:szCs w:val="22"/>
        </w:rPr>
        <w:t>Akpunne</w:t>
      </w:r>
      <w:proofErr w:type="spellEnd"/>
      <w:r>
        <w:rPr>
          <w:sz w:val="22"/>
          <w:szCs w:val="22"/>
        </w:rPr>
        <w:t xml:space="preserve"> B.C. (2020). Predictive Influence of Internet Gaming Addiction on Severities of Attention Deficit Hyperactivity Disorder Among Nigerian Adolescents. </w:t>
      </w:r>
      <w:r>
        <w:rPr>
          <w:i/>
          <w:iCs/>
          <w:sz w:val="22"/>
          <w:szCs w:val="22"/>
        </w:rPr>
        <w:t>International Journal of Progressive Sciences and Technologies</w:t>
      </w:r>
      <w:r>
        <w:rPr>
          <w:sz w:val="22"/>
          <w:szCs w:val="22"/>
        </w:rPr>
        <w:t xml:space="preserve">. 22(2) pp. 347-356.   </w:t>
      </w:r>
      <w:hyperlink r:id="rId7">
        <w:r>
          <w:rPr>
            <w:rStyle w:val="InternetLink"/>
            <w:sz w:val="22"/>
            <w:szCs w:val="22"/>
          </w:rPr>
          <w:t>https://ijpsat.ijsht-journals.org/index.php/ijpsat</w:t>
        </w:r>
      </w:hyperlink>
      <w:r>
        <w:rPr>
          <w:sz w:val="22"/>
          <w:szCs w:val="22"/>
        </w:rPr>
        <w:t xml:space="preserve"> </w:t>
      </w:r>
    </w:p>
    <w:p w14:paraId="42091887" w14:textId="77777777" w:rsidR="00B47300" w:rsidRDefault="00414E9C">
      <w:pPr>
        <w:pStyle w:val="NormalWeb"/>
        <w:spacing w:beforeAutospacing="0" w:afterAutospacing="0"/>
        <w:ind w:left="720" w:hanging="720"/>
        <w:rPr>
          <w:color w:val="000000"/>
        </w:rPr>
      </w:pPr>
      <w:r>
        <w:rPr>
          <w:color w:val="000000"/>
        </w:rPr>
        <w:lastRenderedPageBreak/>
        <w:t xml:space="preserve">Asher, M., </w:t>
      </w:r>
      <w:proofErr w:type="spellStart"/>
      <w:r>
        <w:rPr>
          <w:color w:val="000000"/>
        </w:rPr>
        <w:t>Asnaani</w:t>
      </w:r>
      <w:proofErr w:type="spellEnd"/>
      <w:r>
        <w:rPr>
          <w:color w:val="000000"/>
        </w:rPr>
        <w:t xml:space="preserve">, A., &amp; </w:t>
      </w:r>
      <w:proofErr w:type="spellStart"/>
      <w:r>
        <w:rPr>
          <w:color w:val="000000"/>
        </w:rPr>
        <w:t>Aderka</w:t>
      </w:r>
      <w:proofErr w:type="spellEnd"/>
      <w:r>
        <w:rPr>
          <w:color w:val="000000"/>
        </w:rPr>
        <w:t>, I. M. (2017). Gender differences in social anxiety disorder: A review. </w:t>
      </w:r>
      <w:r>
        <w:rPr>
          <w:i/>
          <w:iCs/>
          <w:color w:val="000000"/>
        </w:rPr>
        <w:t>Clinical Psychology Review</w:t>
      </w:r>
      <w:r>
        <w:rPr>
          <w:color w:val="000000"/>
        </w:rPr>
        <w:t>, </w:t>
      </w:r>
      <w:r>
        <w:rPr>
          <w:i/>
          <w:iCs/>
          <w:color w:val="000000"/>
        </w:rPr>
        <w:t>56</w:t>
      </w:r>
      <w:r>
        <w:rPr>
          <w:color w:val="000000"/>
        </w:rPr>
        <w:t xml:space="preserve">(56), 1–12. </w:t>
      </w:r>
      <w:hyperlink r:id="rId8" w:history="1">
        <w:r>
          <w:rPr>
            <w:rStyle w:val="Hyperlink"/>
          </w:rPr>
          <w:t>https://doi.org/10.1016/j.cpr.2017.05.004</w:t>
        </w:r>
      </w:hyperlink>
      <w:r>
        <w:rPr>
          <w:color w:val="000000"/>
        </w:rPr>
        <w:t xml:space="preserve"> </w:t>
      </w:r>
    </w:p>
    <w:p w14:paraId="71FED0B3" w14:textId="77777777" w:rsidR="00B47300" w:rsidRDefault="00414E9C">
      <w:pPr>
        <w:pStyle w:val="NormalWeb"/>
        <w:spacing w:before="280" w:after="280"/>
        <w:ind w:left="567" w:hanging="720"/>
        <w:jc w:val="both"/>
      </w:pPr>
      <w:r>
        <w:t xml:space="preserve"> Berle, D., Starcevic, V., Porter, G., &amp;Fenech, P. (2014). Are some video games associated with more life interference and psychopathology than others? Comparing massively multiplayer online role-playing games with other forms of video game. Australian Journal of Psychology, 67(2), 105–114. https://doi.org/10.1111/ajpy.12066</w:t>
      </w:r>
    </w:p>
    <w:p w14:paraId="5799652D" w14:textId="77777777" w:rsidR="00B47300" w:rsidRDefault="00414E9C">
      <w:pPr>
        <w:pStyle w:val="NormalWeb"/>
        <w:spacing w:before="280" w:after="280"/>
        <w:ind w:left="567" w:hanging="720"/>
        <w:jc w:val="both"/>
      </w:pPr>
      <w:proofErr w:type="spellStart"/>
      <w:r>
        <w:t>Aguocha</w:t>
      </w:r>
      <w:proofErr w:type="spellEnd"/>
      <w:r>
        <w:t xml:space="preserve">, C.M., K.A. </w:t>
      </w:r>
      <w:proofErr w:type="spellStart"/>
      <w:r>
        <w:t>Uwakwe</w:t>
      </w:r>
      <w:proofErr w:type="spellEnd"/>
      <w:r>
        <w:t xml:space="preserve"> (2020). Prevalence and Pattern of Mobile Gaming among Senior Secondary School Students in Owerri Metropolis Imo State Nigeria. Journal of Community Medicine &amp; Primary Health Care 32(1), 12-19.</w:t>
      </w:r>
    </w:p>
    <w:p w14:paraId="32CB5CD2" w14:textId="77777777" w:rsidR="00B47300" w:rsidRDefault="00414E9C">
      <w:pPr>
        <w:pStyle w:val="NormalWeb"/>
        <w:spacing w:before="280" w:after="280"/>
        <w:ind w:left="567" w:hanging="720"/>
        <w:jc w:val="both"/>
      </w:pPr>
      <w:r>
        <w:t xml:space="preserve">Carruthers, S. E., Warnock-Parkes, E. L., &amp; Clark, D. M. (2019). Accessing social media: Help or hindrance for people with social </w:t>
      </w:r>
      <w:proofErr w:type="gramStart"/>
      <w:r>
        <w:t>anxiety?.</w:t>
      </w:r>
      <w:proofErr w:type="gramEnd"/>
      <w:r>
        <w:t> </w:t>
      </w:r>
      <w:r>
        <w:rPr>
          <w:i/>
          <w:iCs/>
        </w:rPr>
        <w:t>Journal of experimental psychopathology</w:t>
      </w:r>
      <w:r>
        <w:t>, </w:t>
      </w:r>
      <w:r>
        <w:rPr>
          <w:i/>
          <w:iCs/>
        </w:rPr>
        <w:t>10</w:t>
      </w:r>
      <w:r>
        <w:t>(2), 2043808719837811. https://doi.org/10.1177/2043808719837811</w:t>
      </w:r>
    </w:p>
    <w:p w14:paraId="3EB4A63A" w14:textId="77777777" w:rsidR="00B47300" w:rsidRDefault="00414E9C">
      <w:pPr>
        <w:pStyle w:val="NormalWeb"/>
        <w:spacing w:before="280" w:after="280"/>
        <w:ind w:left="567" w:hanging="720"/>
        <w:jc w:val="both"/>
        <w:rPr>
          <w:rStyle w:val="InternetLink"/>
        </w:rPr>
      </w:pPr>
      <w:r>
        <w:t xml:space="preserve">Castro‐Calvo, J., King, D. L., Stein, D. J., Brand, M., Carmi, L., Chamberlain, S. R., Demetrovics, Z., Fineberg, N. A., Rumpf, H., Yücel, M., Achab, S., Ambekar, A., Bahar, N., </w:t>
      </w:r>
      <w:proofErr w:type="spellStart"/>
      <w:r>
        <w:t>Blaszczynski</w:t>
      </w:r>
      <w:proofErr w:type="spellEnd"/>
      <w:r>
        <w:t xml:space="preserve">, A., Bowden‐Jones, H., Carbonell, X., Chan, E. M. L., Ko, C., </w:t>
      </w:r>
      <w:proofErr w:type="spellStart"/>
      <w:r>
        <w:t>Timary</w:t>
      </w:r>
      <w:proofErr w:type="spellEnd"/>
      <w:r>
        <w:t xml:space="preserve">, P., &amp;Dufour, M. (2021). Expert appraisal of criteria for assessing gaming disorder: an international Delphi study. Addiction, 116(9), 2463–2475. </w:t>
      </w:r>
      <w:hyperlink>
        <w:r>
          <w:rPr>
            <w:rStyle w:val="InternetLink"/>
          </w:rPr>
          <w:t>https://doi.org/10.1111/add.15411</w:t>
        </w:r>
      </w:hyperlink>
    </w:p>
    <w:p w14:paraId="3359D2EB" w14:textId="77777777" w:rsidR="00B47300" w:rsidRDefault="00414E9C">
      <w:pPr>
        <w:pStyle w:val="NormalWeb"/>
        <w:spacing w:before="280" w:after="280"/>
        <w:ind w:left="567" w:hanging="720"/>
        <w:jc w:val="both"/>
      </w:pPr>
      <w:r>
        <w:rPr>
          <w:color w:val="282828"/>
        </w:rPr>
        <w:t>Chen, C.Y, &amp; Chang, S. L. (2019) Moderating effects of information-oriented versus escapism-oriented motivations on the relationship between psychological well-being and problematic use of video game live-streaming services. </w:t>
      </w:r>
      <w:r>
        <w:rPr>
          <w:i/>
          <w:iCs/>
          <w:color w:val="282828"/>
        </w:rPr>
        <w:t xml:space="preserve">J </w:t>
      </w:r>
      <w:proofErr w:type="spellStart"/>
      <w:r>
        <w:rPr>
          <w:i/>
          <w:iCs/>
          <w:color w:val="282828"/>
        </w:rPr>
        <w:t>Behav</w:t>
      </w:r>
      <w:proofErr w:type="spellEnd"/>
      <w:r>
        <w:rPr>
          <w:i/>
          <w:iCs/>
          <w:color w:val="282828"/>
        </w:rPr>
        <w:t xml:space="preserve"> Addict</w:t>
      </w:r>
      <w:r>
        <w:rPr>
          <w:color w:val="282828"/>
        </w:rPr>
        <w:t xml:space="preserve">. (2019) 8:564–73. </w:t>
      </w:r>
      <w:proofErr w:type="spellStart"/>
      <w:r>
        <w:rPr>
          <w:color w:val="282828"/>
        </w:rPr>
        <w:t>doi</w:t>
      </w:r>
      <w:proofErr w:type="spellEnd"/>
      <w:r>
        <w:rPr>
          <w:color w:val="282828"/>
        </w:rPr>
        <w:t xml:space="preserve">: 10.1556/2006.8.2019.34 </w:t>
      </w:r>
    </w:p>
    <w:p w14:paraId="17FD3EAA" w14:textId="77777777" w:rsidR="00B47300" w:rsidRDefault="00414E9C">
      <w:pPr>
        <w:pStyle w:val="NormalWeb"/>
        <w:spacing w:before="280" w:after="280"/>
        <w:ind w:left="567" w:hanging="720"/>
        <w:jc w:val="both"/>
      </w:pPr>
      <w:r>
        <w:rPr>
          <w:color w:val="000000"/>
        </w:rPr>
        <w:t xml:space="preserve">David-Daniel O. A., </w:t>
      </w:r>
      <w:proofErr w:type="spellStart"/>
      <w:r>
        <w:rPr>
          <w:color w:val="000000"/>
        </w:rPr>
        <w:t>Akpunne</w:t>
      </w:r>
      <w:proofErr w:type="spellEnd"/>
      <w:r>
        <w:rPr>
          <w:color w:val="000000"/>
        </w:rPr>
        <w:t xml:space="preserve"> B. C., </w:t>
      </w:r>
      <w:proofErr w:type="spellStart"/>
      <w:r>
        <w:rPr>
          <w:color w:val="000000"/>
        </w:rPr>
        <w:t>Mopa-Egbunu</w:t>
      </w:r>
      <w:proofErr w:type="spellEnd"/>
      <w:r>
        <w:rPr>
          <w:color w:val="000000"/>
        </w:rPr>
        <w:t xml:space="preserve"> A., &amp; Charles-</w:t>
      </w:r>
      <w:proofErr w:type="spellStart"/>
      <w:r>
        <w:rPr>
          <w:color w:val="000000"/>
        </w:rPr>
        <w:t>Akpunne</w:t>
      </w:r>
      <w:proofErr w:type="spellEnd"/>
      <w:r>
        <w:rPr>
          <w:color w:val="000000"/>
        </w:rPr>
        <w:t xml:space="preserve"> O J. (2023). Self-esteem family functioning and internet gaming disorder among In-school </w:t>
      </w:r>
      <w:proofErr w:type="spellStart"/>
      <w:r>
        <w:rPr>
          <w:color w:val="000000"/>
        </w:rPr>
        <w:t>adolesents</w:t>
      </w:r>
      <w:proofErr w:type="spellEnd"/>
      <w:r>
        <w:rPr>
          <w:color w:val="000000"/>
        </w:rPr>
        <w:t xml:space="preserve">. </w:t>
      </w:r>
      <w:r>
        <w:rPr>
          <w:i/>
          <w:color w:val="000000"/>
        </w:rPr>
        <w:t>Corpus Intellectual</w:t>
      </w:r>
      <w:r>
        <w:rPr>
          <w:color w:val="000000"/>
        </w:rPr>
        <w:t xml:space="preserve"> 2(3)</w:t>
      </w:r>
    </w:p>
    <w:p w14:paraId="6959C98F" w14:textId="77777777" w:rsidR="00B47300" w:rsidRDefault="00414E9C">
      <w:pPr>
        <w:pStyle w:val="NormalWeb"/>
        <w:spacing w:before="280" w:after="280"/>
        <w:ind w:left="567" w:hanging="720"/>
        <w:jc w:val="both"/>
      </w:pPr>
      <w:r>
        <w:t>Dong, G., &amp; Potenza, M. N. (2022). Considering gender differences in the study and treatment of internet gaming disorder. Journal of Psychiatric Research, 153, 25–29. https://doi.org/10.1016/j.jpsychires.2022.06.057</w:t>
      </w:r>
    </w:p>
    <w:p w14:paraId="34966FEE" w14:textId="77777777" w:rsidR="00B47300" w:rsidRDefault="00414E9C">
      <w:pPr>
        <w:pStyle w:val="NormalWeb"/>
        <w:spacing w:before="280" w:after="280"/>
        <w:ind w:left="567" w:hanging="720"/>
        <w:jc w:val="both"/>
      </w:pPr>
      <w:proofErr w:type="spellStart"/>
      <w:r>
        <w:t>Dowbiggin</w:t>
      </w:r>
      <w:proofErr w:type="spellEnd"/>
      <w:r>
        <w:t>, I. R. (2009). High anxieties: the social construction of anxiety disorders. The Canadian Journal of Psychiatry, 54(7), 429-436.</w:t>
      </w:r>
    </w:p>
    <w:p w14:paraId="0A50D668" w14:textId="77777777" w:rsidR="00B47300" w:rsidRDefault="00414E9C">
      <w:pPr>
        <w:pStyle w:val="NormalWeb"/>
        <w:spacing w:before="280" w:after="280"/>
        <w:ind w:left="567" w:hanging="720"/>
        <w:jc w:val="both"/>
      </w:pPr>
      <w:r>
        <w:t>Eleuteri, S., Saladino, V., &amp;Verrastro, V. (2017). Identity, relationships, sexuality, and risky behaviours of adolescents in the context of social media. Sexual and Relationship Therapy, 32(3-4), 354–365. https://doi.org/10.1080/14681994.2017.1397953</w:t>
      </w:r>
    </w:p>
    <w:p w14:paraId="5A3DF832" w14:textId="77777777" w:rsidR="00B47300" w:rsidRDefault="00414E9C">
      <w:pPr>
        <w:pStyle w:val="NormalWeb"/>
        <w:spacing w:before="280" w:after="280"/>
        <w:ind w:left="567" w:hanging="720"/>
        <w:jc w:val="both"/>
      </w:pPr>
      <w:r>
        <w:lastRenderedPageBreak/>
        <w:t>Gioia, F., Colella, G. M., &amp; Boursier, V. (2022). Evidence on problematic online gaming and social anxiety over the past ten years: a systematic literature review. Current Addiction Reports, 9(1), 32–47. https://doi.org/10.1007/s40429-021-00406-3</w:t>
      </w:r>
    </w:p>
    <w:p w14:paraId="16677AA5" w14:textId="77777777" w:rsidR="00B47300" w:rsidRDefault="00414E9C">
      <w:pPr>
        <w:pStyle w:val="NormalWeb"/>
        <w:spacing w:before="280" w:after="280"/>
        <w:ind w:left="567" w:hanging="720"/>
        <w:jc w:val="both"/>
      </w:pPr>
      <w:r>
        <w:t xml:space="preserve">Goodwin GM, Stein DJ. </w:t>
      </w:r>
      <w:proofErr w:type="spellStart"/>
      <w:r>
        <w:t>Generalised</w:t>
      </w:r>
      <w:proofErr w:type="spellEnd"/>
      <w:r>
        <w:t xml:space="preserve"> Anxiety Disorder and Depression: Contemporary Treatment Approaches. Adv Ther. 2021 Sep;38(Suppl2):45-51. </w:t>
      </w:r>
      <w:proofErr w:type="spellStart"/>
      <w:r>
        <w:t>doi</w:t>
      </w:r>
      <w:proofErr w:type="spellEnd"/>
      <w:r>
        <w:t xml:space="preserve">: 10.1007/s12325-021-01859-8. </w:t>
      </w:r>
      <w:proofErr w:type="spellStart"/>
      <w:r>
        <w:t>Epub</w:t>
      </w:r>
      <w:proofErr w:type="spellEnd"/>
      <w:r>
        <w:t xml:space="preserve"> 2021 Aug 21. PMID: 34417991; PMCID: PMC8437834.</w:t>
      </w:r>
    </w:p>
    <w:p w14:paraId="1AD8D5AC" w14:textId="77777777" w:rsidR="00B47300" w:rsidRDefault="00414E9C">
      <w:pPr>
        <w:pStyle w:val="NormalWeb"/>
        <w:spacing w:before="280" w:after="280"/>
        <w:ind w:left="567" w:hanging="720"/>
        <w:jc w:val="both"/>
      </w:pPr>
      <w:r>
        <w:t>Guy-Evans, O. (2022, March 30). Social Anxiety in Teens: Signs, Symptoms, and How to Help Simply Psychology. Www.simplypsychology.org. https://www.simplypsychology.org/social-anxiety-in-teens.html</w:t>
      </w:r>
    </w:p>
    <w:p w14:paraId="0B89F723" w14:textId="77777777" w:rsidR="00B47300" w:rsidRDefault="00414E9C">
      <w:pPr>
        <w:pStyle w:val="NormalWeb"/>
        <w:spacing w:before="280" w:after="280"/>
        <w:ind w:left="567" w:hanging="720"/>
        <w:jc w:val="both"/>
      </w:pPr>
      <w:r>
        <w:t>Haberlin, K.A., &amp; Atkin, D.J. (2022). Mobile gaming and Internet addiction: When is playing no longer just fun and games? Computers in Human Behavior</w:t>
      </w:r>
    </w:p>
    <w:p w14:paraId="46DAB06A" w14:textId="77777777" w:rsidR="00B47300" w:rsidRDefault="00414E9C">
      <w:pPr>
        <w:pStyle w:val="NormalWeb"/>
        <w:ind w:left="567" w:hanging="720"/>
        <w:jc w:val="both"/>
      </w:pPr>
      <w:r>
        <w:rPr>
          <w:color w:val="212121"/>
        </w:rPr>
        <w:t xml:space="preserve">Peyre, H., Barret, S., Landman, B., Blanco, C., Ellul, P., </w:t>
      </w:r>
      <w:proofErr w:type="spellStart"/>
      <w:r>
        <w:rPr>
          <w:color w:val="212121"/>
        </w:rPr>
        <w:t>Limosin</w:t>
      </w:r>
      <w:proofErr w:type="spellEnd"/>
      <w:r>
        <w:rPr>
          <w:color w:val="212121"/>
        </w:rPr>
        <w:t xml:space="preserve">, F., </w:t>
      </w:r>
      <w:proofErr w:type="spellStart"/>
      <w:r>
        <w:rPr>
          <w:color w:val="212121"/>
        </w:rPr>
        <w:t>Hoertel</w:t>
      </w:r>
      <w:proofErr w:type="spellEnd"/>
      <w:r>
        <w:rPr>
          <w:color w:val="212121"/>
        </w:rPr>
        <w:t>, N., &amp; Delorme, R. (2022). Age of onset of social anxiety disorder and psychiatric and mental health outcomes: Results from a nationally representative study. </w:t>
      </w:r>
      <w:r>
        <w:rPr>
          <w:i/>
          <w:color w:val="212121"/>
        </w:rPr>
        <w:t>Journal of affective disorders</w:t>
      </w:r>
      <w:r>
        <w:rPr>
          <w:color w:val="212121"/>
        </w:rPr>
        <w:t>, </w:t>
      </w:r>
      <w:r>
        <w:rPr>
          <w:i/>
          <w:color w:val="212121"/>
        </w:rPr>
        <w:t>309</w:t>
      </w:r>
      <w:r>
        <w:rPr>
          <w:color w:val="212121"/>
        </w:rPr>
        <w:t>, 252–258. https://doi.org/10.1016/j.jad.2022.04.149</w:t>
      </w:r>
      <w:r>
        <w:t xml:space="preserve">  </w:t>
      </w:r>
    </w:p>
    <w:p w14:paraId="4EAE9CE9" w14:textId="77777777" w:rsidR="00B47300" w:rsidRDefault="00414E9C">
      <w:pP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Hunt A., (2024). Feeling anxious? Understanding the rise in anxiety disorders among young adults | News</w:t>
      </w:r>
      <w:r>
        <w:rPr>
          <w:rFonts w:ascii="Times New Roman" w:eastAsia="Times New Roman" w:hAnsi="Times New Roman" w:cs="Times New Roman"/>
          <w:color w:val="000000"/>
          <w:sz w:val="24"/>
          <w:szCs w:val="24"/>
        </w:rPr>
        <w:t xml:space="preserve">. (July 17). Llu.edu. </w:t>
      </w:r>
      <w:hyperlink r:id="rId9" w:history="1">
        <w:r>
          <w:rPr>
            <w:rStyle w:val="Hyperlink"/>
            <w:rFonts w:ascii="Times New Roman" w:eastAsia="Times New Roman" w:hAnsi="Times New Roman" w:cs="Times New Roman"/>
            <w:sz w:val="24"/>
            <w:szCs w:val="24"/>
          </w:rPr>
          <w:t>https://news.llu.edu/health-wellness/feeling-anxious-understanding-rise-anxiety-disorders-among-young-adults</w:t>
        </w:r>
      </w:hyperlink>
      <w:r>
        <w:rPr>
          <w:rFonts w:ascii="Times New Roman" w:eastAsia="Times New Roman" w:hAnsi="Times New Roman" w:cs="Times New Roman"/>
          <w:color w:val="000000"/>
          <w:sz w:val="24"/>
          <w:szCs w:val="24"/>
        </w:rPr>
        <w:t xml:space="preserve"> </w:t>
      </w:r>
    </w:p>
    <w:p w14:paraId="1BC67EA6" w14:textId="77777777" w:rsidR="00B47300" w:rsidRDefault="00414E9C">
      <w:pPr>
        <w:pStyle w:val="NormalWeb"/>
        <w:spacing w:before="280" w:after="280"/>
        <w:ind w:left="567" w:hanging="720"/>
        <w:jc w:val="both"/>
      </w:pPr>
      <w:r>
        <w:t xml:space="preserve">Hur J, DeYoung K. A, Islam S, Anderson A.S, </w:t>
      </w:r>
      <w:proofErr w:type="spellStart"/>
      <w:r>
        <w:t>Barstead</w:t>
      </w:r>
      <w:proofErr w:type="spellEnd"/>
      <w:r>
        <w:t xml:space="preserve"> M.G, </w:t>
      </w:r>
      <w:proofErr w:type="spellStart"/>
      <w:r>
        <w:t>Shackman</w:t>
      </w:r>
      <w:proofErr w:type="spellEnd"/>
      <w:r>
        <w:t xml:space="preserve"> A.J. (2020). Social context and the real-world consequences of social anxiety. Psychol Med.  Sep;50(12):1989-2000. </w:t>
      </w:r>
      <w:proofErr w:type="spellStart"/>
      <w:r>
        <w:t>doi</w:t>
      </w:r>
      <w:proofErr w:type="spellEnd"/>
      <w:r>
        <w:t xml:space="preserve">: 10.1017/S0033291719002022. </w:t>
      </w:r>
      <w:proofErr w:type="spellStart"/>
      <w:r>
        <w:t>Epub</w:t>
      </w:r>
      <w:proofErr w:type="spellEnd"/>
      <w:r>
        <w:t xml:space="preserve"> 2019 Aug 19. PMID: 31423954; PMCID: PMC7028452.</w:t>
      </w:r>
    </w:p>
    <w:p w14:paraId="28F55E47" w14:textId="77777777" w:rsidR="00B47300" w:rsidRDefault="00414E9C">
      <w:pPr>
        <w:pStyle w:val="NormalWeb"/>
        <w:spacing w:before="280" w:after="280"/>
        <w:ind w:left="567" w:hanging="720"/>
        <w:jc w:val="both"/>
      </w:pPr>
      <w:r>
        <w:t xml:space="preserve">Igbokwe, C. C., Ejeh, V. J., Agbaje, O. S., </w:t>
      </w:r>
      <w:proofErr w:type="spellStart"/>
      <w:r>
        <w:t>Umoke</w:t>
      </w:r>
      <w:proofErr w:type="spellEnd"/>
      <w:r>
        <w:t xml:space="preserve">, P. I. C., </w:t>
      </w:r>
      <w:proofErr w:type="spellStart"/>
      <w:r>
        <w:t>Iweama</w:t>
      </w:r>
      <w:proofErr w:type="spellEnd"/>
      <w:r>
        <w:t xml:space="preserve">, C. N., &amp; </w:t>
      </w:r>
      <w:proofErr w:type="spellStart"/>
      <w:r>
        <w:t>Ozoemena</w:t>
      </w:r>
      <w:proofErr w:type="spellEnd"/>
      <w:r>
        <w:t>, E. L. (2020). Prevalence of loneliness and association with depressive and anxiety symptoms among retirees in Northcentral Nigeria: a cross-sectional study. BMC geriatrics, 20(1), 153. https://doi.org/10.1186/s12877-020-01561-4</w:t>
      </w:r>
    </w:p>
    <w:p w14:paraId="682E9791" w14:textId="77777777" w:rsidR="00B47300" w:rsidRDefault="00414E9C">
      <w:pPr>
        <w:pStyle w:val="NormalWeb"/>
        <w:spacing w:before="280" w:after="280"/>
        <w:ind w:left="567" w:hanging="720"/>
        <w:jc w:val="both"/>
      </w:pPr>
      <w:r>
        <w:t xml:space="preserve">Jefferies, P., &amp; Ungar, M. (2020). Social anxiety in young people: A prevalence study in seven countries. </w:t>
      </w:r>
      <w:proofErr w:type="spellStart"/>
      <w:r>
        <w:t>PloS</w:t>
      </w:r>
      <w:proofErr w:type="spellEnd"/>
      <w:r>
        <w:t xml:space="preserve"> one, 15(9), e0239133. https://doi.org/10.1371/journal.pone.0239133</w:t>
      </w:r>
    </w:p>
    <w:p w14:paraId="5E798458" w14:textId="77777777" w:rsidR="00B47300" w:rsidRDefault="00414E9C">
      <w:pPr>
        <w:pStyle w:val="NormalWeb"/>
        <w:spacing w:before="280" w:after="280"/>
        <w:ind w:left="567" w:hanging="720"/>
        <w:jc w:val="both"/>
      </w:pPr>
      <w:r>
        <w:t xml:space="preserve">Leigh E, Clark DM. (2018). Understanding Social Anxiety Disorder in Adolescents and Improving Treatment Outcomes: Applying the Cognitive Model of Clark and Wells (1995). </w:t>
      </w:r>
      <w:r>
        <w:rPr>
          <w:i/>
          <w:iCs/>
        </w:rPr>
        <w:t>Clin Child Fam Psychol Rev.</w:t>
      </w:r>
      <w:r>
        <w:t xml:space="preserve"> 21(3):388-414. </w:t>
      </w:r>
      <w:proofErr w:type="spellStart"/>
      <w:r>
        <w:t>doi</w:t>
      </w:r>
      <w:proofErr w:type="spellEnd"/>
      <w:r>
        <w:t>: 10.1007/s10567-018-0258-5. PMID: 29654442; PMCID: PMC6447508.</w:t>
      </w:r>
    </w:p>
    <w:p w14:paraId="76D708AB" w14:textId="77777777" w:rsidR="00B47300" w:rsidRDefault="00414E9C">
      <w:pPr>
        <w:pStyle w:val="NormalWeb"/>
        <w:spacing w:before="280" w:after="280"/>
        <w:ind w:left="567" w:hanging="720"/>
        <w:jc w:val="both"/>
      </w:pPr>
      <w:r>
        <w:t xml:space="preserve">Mattick, R. P., &amp; Clarke, J. C. (1998). Development and validation of measures of social phobia scrutiny fear and social interaction anxiety. </w:t>
      </w:r>
      <w:r>
        <w:rPr>
          <w:i/>
          <w:iCs/>
        </w:rPr>
        <w:t>Behaviour Research and Therapy</w:t>
      </w:r>
      <w:r>
        <w:t>, 36(4), 455–470. https://doi.org/10.1016/S0005-7967(97)10031-6</w:t>
      </w:r>
    </w:p>
    <w:p w14:paraId="32748D1F" w14:textId="77777777" w:rsidR="00B47300" w:rsidRDefault="00414E9C">
      <w:pPr>
        <w:pStyle w:val="NormalWeb"/>
        <w:spacing w:before="280" w:after="280"/>
        <w:ind w:left="567" w:hanging="720"/>
        <w:jc w:val="both"/>
      </w:pPr>
      <w:r>
        <w:lastRenderedPageBreak/>
        <w:t xml:space="preserve">Maya Asher, Anu </w:t>
      </w:r>
      <w:proofErr w:type="spellStart"/>
      <w:r>
        <w:t>Asnaani</w:t>
      </w:r>
      <w:proofErr w:type="spellEnd"/>
      <w:r>
        <w:t xml:space="preserve">, </w:t>
      </w:r>
      <w:proofErr w:type="spellStart"/>
      <w:r>
        <w:t>Idan</w:t>
      </w:r>
      <w:proofErr w:type="spellEnd"/>
      <w:r>
        <w:t xml:space="preserve"> M. </w:t>
      </w:r>
      <w:proofErr w:type="spellStart"/>
      <w:r>
        <w:t>Aderka</w:t>
      </w:r>
      <w:proofErr w:type="spellEnd"/>
      <w:r>
        <w:t xml:space="preserve">, (2017). Gender differences in social anxiety disorder: A review, </w:t>
      </w:r>
      <w:r>
        <w:rPr>
          <w:i/>
          <w:iCs/>
        </w:rPr>
        <w:t>Clinical Psychology Review</w:t>
      </w:r>
      <w:r>
        <w:t xml:space="preserve">, Volume 56, 2017, Pages 1-12, ISSN 0272-7358, </w:t>
      </w:r>
      <w:proofErr w:type="gramStart"/>
      <w:r>
        <w:t>https://doi.org/10.1016/j.cpr..</w:t>
      </w:r>
      <w:proofErr w:type="gramEnd"/>
      <w:r>
        <w:t>05.004.</w:t>
      </w:r>
    </w:p>
    <w:p w14:paraId="3C56A19F" w14:textId="77777777" w:rsidR="00B47300" w:rsidRDefault="00414E9C">
      <w:pPr>
        <w:pStyle w:val="NormalWeb"/>
        <w:spacing w:before="280" w:after="280"/>
        <w:ind w:left="567" w:hanging="720"/>
        <w:jc w:val="both"/>
      </w:pPr>
      <w:r>
        <w:t>Mobile Games - Nigeria | Statista Market Forecast. (n.d.). Retrieved June 19, 2023, from https://www.statista.com/outlook/dmo/digital-media/video-games/mobile-games/nigeria</w:t>
      </w:r>
    </w:p>
    <w:p w14:paraId="628335EA" w14:textId="77777777" w:rsidR="00B47300" w:rsidRDefault="00414E9C">
      <w:pPr>
        <w:pStyle w:val="NormalWeb"/>
        <w:spacing w:before="280" w:after="280"/>
        <w:ind w:left="567" w:hanging="720"/>
        <w:jc w:val="both"/>
      </w:pPr>
      <w:proofErr w:type="spellStart"/>
      <w:r>
        <w:t>Newzoo</w:t>
      </w:r>
      <w:proofErr w:type="spellEnd"/>
      <w:r>
        <w:t xml:space="preserve"> (2021). Free 2021 global games market report. Retrieved from https://newzoo.com/.</w:t>
      </w:r>
    </w:p>
    <w:p w14:paraId="5EB83416" w14:textId="77777777" w:rsidR="00B47300" w:rsidRDefault="00414E9C">
      <w:pPr>
        <w:pStyle w:val="NormalWeb"/>
        <w:spacing w:before="280" w:after="280"/>
        <w:ind w:left="567" w:hanging="720"/>
        <w:jc w:val="both"/>
      </w:pPr>
      <w:proofErr w:type="spellStart"/>
      <w:r>
        <w:t>Onivehu</w:t>
      </w:r>
      <w:proofErr w:type="spellEnd"/>
      <w:r>
        <w:t xml:space="preserve">, A. O. (2021). Prevalence and correlates of video gaming addiction among Nigerian in-school adolescents. </w:t>
      </w:r>
      <w:proofErr w:type="spellStart"/>
      <w:r>
        <w:t>Pedagogická</w:t>
      </w:r>
      <w:proofErr w:type="spellEnd"/>
      <w:r>
        <w:t xml:space="preserve"> </w:t>
      </w:r>
      <w:proofErr w:type="spellStart"/>
      <w:r>
        <w:t>orientace</w:t>
      </w:r>
      <w:proofErr w:type="spellEnd"/>
      <w:r>
        <w:t>, 30(4), 425-459. https://doi.org/10.5817/PedOr2020-4-425</w:t>
      </w:r>
    </w:p>
    <w:p w14:paraId="5BB32747" w14:textId="77777777" w:rsidR="00B47300" w:rsidRDefault="00414E9C">
      <w:pPr>
        <w:pStyle w:val="NormalWeb"/>
        <w:spacing w:before="280" w:after="280"/>
        <w:ind w:left="567" w:hanging="720"/>
        <w:jc w:val="both"/>
      </w:pPr>
      <w:r>
        <w:t>Pontes, H. M., &amp; Griffiths, M. D. (2015). Measuring DSM-5 Internet gaming disorder: Development and validation of a short psychometric scale. Computers in Human Behavior, 45, 137–143. https://doi.org/10.1016/j.chb.2014.12.006</w:t>
      </w:r>
    </w:p>
    <w:p w14:paraId="02F6AF3B" w14:textId="77777777" w:rsidR="00B47300" w:rsidRDefault="00414E9C">
      <w:pPr>
        <w:pStyle w:val="NormalWeb"/>
        <w:spacing w:before="280" w:after="280"/>
        <w:ind w:left="567" w:hanging="720"/>
        <w:jc w:val="both"/>
      </w:pPr>
      <w:r>
        <w:t>PwC (2018). The Nigeria Gaming Industry. Retrieved from https://www.pwc.com/ng/en/assets/pdf/nigeria-gaming-industry.pdf</w:t>
      </w:r>
    </w:p>
    <w:p w14:paraId="4CAD1524" w14:textId="77777777" w:rsidR="00B47300" w:rsidRDefault="00414E9C">
      <w:pPr>
        <w:pStyle w:val="NormalWeb"/>
        <w:spacing w:before="280" w:after="280"/>
        <w:ind w:left="567" w:hanging="720"/>
        <w:jc w:val="both"/>
      </w:pPr>
      <w:r>
        <w:t xml:space="preserve">Raneri, P. C., Montag, C., </w:t>
      </w:r>
      <w:proofErr w:type="spellStart"/>
      <w:r>
        <w:t>Rozgonjuk</w:t>
      </w:r>
      <w:proofErr w:type="spellEnd"/>
      <w:r>
        <w:t>, D., Satel, J., &amp; Pontes, H. M. (2022). The role of microtransactions in Internet Gaming Disorder and Gambling Disorder: A preregistered systematic review. Addictive Behaviors Reports, 15, 100415. https://doi.org/10.1016/j.abrep.2022.100415</w:t>
      </w:r>
    </w:p>
    <w:p w14:paraId="2710F474" w14:textId="77777777" w:rsidR="00B47300" w:rsidRDefault="00414E9C">
      <w:pPr>
        <w:pStyle w:val="NormalWeb"/>
        <w:spacing w:before="280" w:after="280"/>
        <w:ind w:left="567" w:hanging="720"/>
        <w:jc w:val="both"/>
      </w:pPr>
      <w:r>
        <w:t xml:space="preserve">Ruscio, A.M., Brown, T.A., Chiu, W.T., Sareen, J., Stein, M.B., &amp; Kessler, R.C. (2008). Social fears and social phobia in the USA: Results from the National Comorbidity Survey Replication. Psychological Medicine, 38, 15-28. Doi: 10.1017/S0033291707001699 </w:t>
      </w:r>
    </w:p>
    <w:p w14:paraId="507EBF9C" w14:textId="77777777" w:rsidR="00B47300" w:rsidRDefault="00414E9C">
      <w:pPr>
        <w:pStyle w:val="NormalWeb"/>
        <w:spacing w:before="280" w:after="280"/>
        <w:ind w:left="567" w:hanging="720"/>
        <w:jc w:val="both"/>
      </w:pPr>
      <w:r>
        <w:t xml:space="preserve">Spence, S. H., &amp; </w:t>
      </w:r>
      <w:proofErr w:type="spellStart"/>
      <w:r>
        <w:t>Rapee</w:t>
      </w:r>
      <w:proofErr w:type="spellEnd"/>
      <w:r>
        <w:t xml:space="preserve">, R. M. (2016). The </w:t>
      </w:r>
      <w:proofErr w:type="spellStart"/>
      <w:r>
        <w:t>aetiology</w:t>
      </w:r>
      <w:proofErr w:type="spellEnd"/>
      <w:r>
        <w:t xml:space="preserve"> of social anxiety disorder: An evidence-based model. Behaviour Research and Therapy, 86, 50–66</w:t>
      </w:r>
    </w:p>
    <w:p w14:paraId="2989A9BA" w14:textId="77777777" w:rsidR="00B47300" w:rsidRDefault="00414E9C">
      <w:pPr>
        <w:pStyle w:val="NormalWeb"/>
        <w:spacing w:before="280" w:after="280"/>
        <w:ind w:left="567" w:hanging="720"/>
        <w:jc w:val="both"/>
      </w:pPr>
      <w:r>
        <w:t xml:space="preserve">Statista. (2023). Video Games - Africa | Statista Market forecast. https://www.statista.com/outlook/dmo/digital-media/video games/Africa </w:t>
      </w:r>
    </w:p>
    <w:p w14:paraId="2141072F" w14:textId="77777777" w:rsidR="00B47300" w:rsidRDefault="00414E9C">
      <w:pPr>
        <w:pStyle w:val="NormalWeb"/>
        <w:spacing w:before="280" w:after="280"/>
        <w:ind w:left="567" w:hanging="720"/>
        <w:jc w:val="both"/>
      </w:pPr>
      <w:r>
        <w:t xml:space="preserve">Stavropoulos, V., Gentile, D., &amp; </w:t>
      </w:r>
      <w:proofErr w:type="spellStart"/>
      <w:r>
        <w:t>Motti-Stefanidi</w:t>
      </w:r>
      <w:proofErr w:type="spellEnd"/>
      <w:r>
        <w:t>, F. (2016). A multilevel longitudinal study of adolescent Internet addiction: the role of obsessive-compulsive symptoms and classroom openness to experience. European Journal of Developmental Psychology, 13(1), 99–114</w:t>
      </w:r>
    </w:p>
    <w:p w14:paraId="56BD5BE8" w14:textId="77777777" w:rsidR="00B47300" w:rsidRDefault="00414E9C">
      <w:pPr>
        <w:pStyle w:val="NormalWeb"/>
        <w:spacing w:before="280" w:after="280"/>
        <w:ind w:left="567" w:hanging="720"/>
        <w:jc w:val="both"/>
      </w:pPr>
      <w:r>
        <w:t>Stein, D. J., Lim, C. C. W., Roest, A. M., de Jonge, P., Aguilar-Gaxiola, S., Al-</w:t>
      </w:r>
      <w:proofErr w:type="spellStart"/>
      <w:r>
        <w:t>Hamzawi</w:t>
      </w:r>
      <w:proofErr w:type="spellEnd"/>
      <w:r>
        <w:t>, A., … &amp; WHO World Mental Health Survey Collaborators. (2017). The cross-national epidemiology of social anxiety disorder: Data from the World Mental Health Survey Initiative.</w:t>
      </w:r>
    </w:p>
    <w:p w14:paraId="397BB836" w14:textId="77777777" w:rsidR="00B47300" w:rsidRDefault="00414E9C">
      <w:pPr>
        <w:pStyle w:val="NormalWeb"/>
        <w:spacing w:before="280" w:after="280"/>
        <w:ind w:left="567" w:hanging="720"/>
        <w:jc w:val="both"/>
      </w:pPr>
      <w:r>
        <w:lastRenderedPageBreak/>
        <w:t>Stein, D. J., Lim, C. C. W., Roest, A. M., de Jonge, P., Aguilar-Gaxiola, S., Al-</w:t>
      </w:r>
      <w:proofErr w:type="spellStart"/>
      <w:r>
        <w:t>Hamzawi</w:t>
      </w:r>
      <w:proofErr w:type="spellEnd"/>
      <w:r>
        <w:t xml:space="preserve">, A., … Williams, D. R. (2017). The cross-national epidemiology of social anxiety disorder: Data from the World Mental Health Survey Initiative. BMC Medicine, 15(1), 1–21. </w:t>
      </w:r>
    </w:p>
    <w:p w14:paraId="5A56BCCB" w14:textId="77777777" w:rsidR="00B47300" w:rsidRDefault="00414E9C">
      <w:pP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Strahan, E. J., Wilson, A. E., Cressman, K. E., &amp; Buote, V. M. (2006). Comparing to perfection: How cultural norms for appearance affect social comparisons and self-image. </w:t>
      </w:r>
      <w:r>
        <w:rPr>
          <w:rFonts w:ascii="Times New Roman" w:eastAsia="Times New Roman" w:hAnsi="Times New Roman" w:cs="Times New Roman"/>
          <w:i/>
          <w:iCs/>
          <w:color w:val="000000"/>
          <w:sz w:val="24"/>
          <w:szCs w:val="24"/>
        </w:rPr>
        <w:t>Body Image</w:t>
      </w:r>
      <w:r>
        <w:rPr>
          <w:rFonts w:ascii="Times New Roman" w:eastAsia="Times New Roman" w:hAnsi="Times New Roman" w:cs="Times New Roman"/>
          <w:color w:val="000000"/>
          <w:sz w:val="24"/>
          <w:szCs w:val="24"/>
        </w:rPr>
        <w:t>, </w:t>
      </w:r>
      <w:r>
        <w:rPr>
          <w:rFonts w:ascii="Times New Roman" w:eastAsia="Times New Roman" w:hAnsi="Times New Roman" w:cs="Times New Roman"/>
          <w:i/>
          <w:iCs/>
          <w:color w:val="000000"/>
          <w:sz w:val="24"/>
          <w:szCs w:val="24"/>
        </w:rPr>
        <w:t>3</w:t>
      </w:r>
      <w:r>
        <w:rPr>
          <w:rFonts w:ascii="Times New Roman" w:eastAsia="Times New Roman" w:hAnsi="Times New Roman" w:cs="Times New Roman"/>
          <w:color w:val="000000"/>
          <w:sz w:val="24"/>
          <w:szCs w:val="24"/>
        </w:rPr>
        <w:t>(3), 211–227.</w:t>
      </w:r>
    </w:p>
    <w:p w14:paraId="21833338" w14:textId="59780F27" w:rsidR="00B47300" w:rsidRDefault="00414E9C" w:rsidP="007B4F9B">
      <w:pPr>
        <w:pStyle w:val="NormalWeb"/>
        <w:spacing w:before="280" w:after="280"/>
        <w:ind w:left="567" w:hanging="720"/>
        <w:jc w:val="both"/>
      </w:pPr>
      <w:r>
        <w:rPr>
          <w:color w:val="1B1B1B"/>
          <w:shd w:val="clear" w:color="auto" w:fill="FFFFFF"/>
        </w:rPr>
        <w:t>Wang, J. L., Sheng, J. R., &amp; Wang, H. Z. (2019). The Association Between Mobile Game Addiction and Depression, Social Anxiety, and Loneliness. </w:t>
      </w:r>
      <w:r>
        <w:rPr>
          <w:i/>
          <w:iCs/>
          <w:color w:val="1B1B1B"/>
          <w:shd w:val="clear" w:color="auto" w:fill="FFFFFF"/>
        </w:rPr>
        <w:t>Frontiers in public health</w:t>
      </w:r>
      <w:r>
        <w:rPr>
          <w:color w:val="1B1B1B"/>
          <w:shd w:val="clear" w:color="auto" w:fill="FFFFFF"/>
        </w:rPr>
        <w:t>, </w:t>
      </w:r>
      <w:r>
        <w:rPr>
          <w:i/>
          <w:iCs/>
          <w:color w:val="1B1B1B"/>
          <w:shd w:val="clear" w:color="auto" w:fill="FFFFFF"/>
        </w:rPr>
        <w:t>7</w:t>
      </w:r>
      <w:r>
        <w:rPr>
          <w:color w:val="1B1B1B"/>
          <w:shd w:val="clear" w:color="auto" w:fill="FFFFFF"/>
        </w:rPr>
        <w:t xml:space="preserve">, 247. </w:t>
      </w:r>
      <w:hyperlink r:id="rId10" w:history="1">
        <w:r>
          <w:rPr>
            <w:rStyle w:val="Hyperlink"/>
            <w:shd w:val="clear" w:color="auto" w:fill="FFFFFF"/>
          </w:rPr>
          <w:t>https://doi.org/10.3389/fpubh.2019.00247</w:t>
        </w:r>
      </w:hyperlink>
    </w:p>
    <w:p w14:paraId="4150A09E" w14:textId="77777777" w:rsidR="00B47300" w:rsidRDefault="00414E9C">
      <w:pPr>
        <w:pStyle w:val="NormalWeb"/>
        <w:spacing w:beforeAutospacing="0" w:afterAutospacing="0"/>
        <w:ind w:left="567" w:hanging="720"/>
        <w:jc w:val="both"/>
      </w:pPr>
      <w:r>
        <w:t>Wang, L., Chen, B., Hwang, G., Guan, J., &amp; Wang, Y. (2022). Effects of digital game-based STEM education on students‟ learning achievement: a meta-analysis. International Journal of STEM Education, 9(1). https://doi.org/10.1186/s40594-022-00344-0.</w:t>
      </w:r>
    </w:p>
    <w:p w14:paraId="7560A6FF" w14:textId="0617AE99" w:rsidR="00B47300" w:rsidRDefault="00414E9C" w:rsidP="007B4F9B">
      <w:pPr>
        <w:pStyle w:val="NormalWeb"/>
        <w:spacing w:before="280" w:after="280"/>
        <w:ind w:left="567" w:hanging="720"/>
        <w:jc w:val="both"/>
      </w:pPr>
      <w:r>
        <w:t>Zentner, K. E., Lee, H., Dueck, B. S., &amp; Masuda, T. (2022, May 28). Cultural and gender differences in social anxiety: The mediating role of self-</w:t>
      </w:r>
      <w:proofErr w:type="spellStart"/>
      <w:r>
        <w:t>construals</w:t>
      </w:r>
      <w:proofErr w:type="spellEnd"/>
      <w:r>
        <w:t xml:space="preserve"> and gender role identification - current psychology. SpringerLink. https://link.springer.com/article/10.1007/s12144-022-03116-9</w:t>
      </w:r>
    </w:p>
    <w:sectPr w:rsidR="00B4730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DF160" w14:textId="77777777" w:rsidR="00051C1A" w:rsidRDefault="00051C1A">
      <w:pPr>
        <w:spacing w:line="240" w:lineRule="auto"/>
      </w:pPr>
      <w:r>
        <w:separator/>
      </w:r>
    </w:p>
  </w:endnote>
  <w:endnote w:type="continuationSeparator" w:id="0">
    <w:p w14:paraId="328FE3BE" w14:textId="77777777" w:rsidR="00051C1A" w:rsidRDefault="00051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B40C" w14:textId="77777777" w:rsidR="00043475" w:rsidRDefault="00043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A373C" w14:textId="77777777" w:rsidR="00043475" w:rsidRDefault="000434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C8A91" w14:textId="77777777" w:rsidR="00043475" w:rsidRDefault="00043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26387" w14:textId="77777777" w:rsidR="00051C1A" w:rsidRDefault="00051C1A">
      <w:r>
        <w:separator/>
      </w:r>
    </w:p>
  </w:footnote>
  <w:footnote w:type="continuationSeparator" w:id="0">
    <w:p w14:paraId="419DE6B3" w14:textId="77777777" w:rsidR="00051C1A" w:rsidRDefault="00051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1B8A" w14:textId="71FEBB7F" w:rsidR="00043475" w:rsidRDefault="00043475">
    <w:pPr>
      <w:pStyle w:val="Header"/>
    </w:pPr>
    <w:r>
      <w:rPr>
        <w:noProof/>
      </w:rPr>
      <w:pict w14:anchorId="67D1A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25611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F5896" w14:textId="026B188C" w:rsidR="00B47300" w:rsidRDefault="00043475">
    <w:r>
      <w:rPr>
        <w:noProof/>
      </w:rPr>
      <w:pict w14:anchorId="3795A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25611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p w14:paraId="64F65240" w14:textId="77777777" w:rsidR="00B47300" w:rsidRDefault="00B473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B1602" w14:textId="3BB0C9DE" w:rsidR="00043475" w:rsidRDefault="00043475">
    <w:pPr>
      <w:pStyle w:val="Header"/>
    </w:pPr>
    <w:r>
      <w:rPr>
        <w:noProof/>
      </w:rPr>
      <w:pict w14:anchorId="623C3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25610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32F"/>
    <w:rsid w:val="00043475"/>
    <w:rsid w:val="00045EA3"/>
    <w:rsid w:val="00051C1A"/>
    <w:rsid w:val="00066E32"/>
    <w:rsid w:val="000C1572"/>
    <w:rsid w:val="00107A05"/>
    <w:rsid w:val="001407E0"/>
    <w:rsid w:val="00146548"/>
    <w:rsid w:val="0017371E"/>
    <w:rsid w:val="00191AAA"/>
    <w:rsid w:val="001B18A4"/>
    <w:rsid w:val="001F128D"/>
    <w:rsid w:val="002638AE"/>
    <w:rsid w:val="00356FB9"/>
    <w:rsid w:val="00414E9C"/>
    <w:rsid w:val="0045333C"/>
    <w:rsid w:val="00540788"/>
    <w:rsid w:val="00776BF6"/>
    <w:rsid w:val="007B4F9B"/>
    <w:rsid w:val="0088082D"/>
    <w:rsid w:val="008A432F"/>
    <w:rsid w:val="008C15AC"/>
    <w:rsid w:val="00923FC2"/>
    <w:rsid w:val="0093761D"/>
    <w:rsid w:val="0095680B"/>
    <w:rsid w:val="00994072"/>
    <w:rsid w:val="009B2CB5"/>
    <w:rsid w:val="009B5838"/>
    <w:rsid w:val="009D55A2"/>
    <w:rsid w:val="009E7C90"/>
    <w:rsid w:val="00A03821"/>
    <w:rsid w:val="00A3007F"/>
    <w:rsid w:val="00A338B5"/>
    <w:rsid w:val="00A51821"/>
    <w:rsid w:val="00AA6A1F"/>
    <w:rsid w:val="00B22F44"/>
    <w:rsid w:val="00B47300"/>
    <w:rsid w:val="00BF6D22"/>
    <w:rsid w:val="00D34914"/>
    <w:rsid w:val="00D36532"/>
    <w:rsid w:val="00DE181E"/>
    <w:rsid w:val="00F06403"/>
    <w:rsid w:val="00F442A4"/>
    <w:rsid w:val="00F972BB"/>
    <w:rsid w:val="00FA05C7"/>
    <w:rsid w:val="235278A0"/>
    <w:rsid w:val="37AA1E76"/>
    <w:rsid w:val="5A3F6EA1"/>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E1493E"/>
  <w15:docId w15:val="{573168DB-96C8-4754-8EB0-8A32BEE7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paragraph" w:styleId="BodyText">
    <w:name w:val="Body Text"/>
    <w:basedOn w:val="Normal"/>
    <w:qFormat/>
    <w:pPr>
      <w:spacing w:after="140"/>
    </w:pPr>
  </w:style>
  <w:style w:type="paragraph" w:styleId="Caption">
    <w:name w:val="caption"/>
    <w:basedOn w:val="Normal"/>
    <w:qFormat/>
    <w:pPr>
      <w:suppressLineNumbers/>
      <w:spacing w:before="120" w:after="120"/>
    </w:pPr>
    <w:rPr>
      <w:rFonts w:cs="Lucida Sans"/>
      <w:i/>
      <w:iCs/>
      <w:sz w:val="24"/>
      <w:szCs w:val="24"/>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line="240" w:lineRule="auto"/>
    </w:pPr>
  </w:style>
  <w:style w:type="paragraph" w:styleId="Header">
    <w:name w:val="header"/>
    <w:basedOn w:val="Normal"/>
    <w:link w:val="HeaderChar"/>
    <w:uiPriority w:val="99"/>
    <w:unhideWhenUsed/>
    <w:qFormat/>
    <w:pPr>
      <w:tabs>
        <w:tab w:val="center" w:pos="4513"/>
        <w:tab w:val="right" w:pos="9026"/>
      </w:tabs>
      <w:spacing w:line="240" w:lineRule="auto"/>
    </w:pPr>
  </w:style>
  <w:style w:type="character" w:styleId="Hyperlink">
    <w:name w:val="Hyperlink"/>
    <w:basedOn w:val="DefaultParagraphFont"/>
    <w:uiPriority w:val="99"/>
    <w:qFormat/>
    <w:rPr>
      <w:color w:val="0000FF"/>
      <w:u w:val="single"/>
    </w:rPr>
  </w:style>
  <w:style w:type="paragraph" w:styleId="List">
    <w:name w:val="List"/>
    <w:basedOn w:val="BodyText"/>
    <w:qFormat/>
    <w:rPr>
      <w:rFonts w:cs="Lucida Sans"/>
    </w:rPr>
  </w:style>
  <w:style w:type="paragraph" w:styleId="NormalWeb">
    <w:name w:val="Normal (Web)"/>
    <w:basedOn w:val="Normal"/>
    <w:uiPriority w:val="99"/>
    <w:unhideWhenUsed/>
    <w:qFormat/>
    <w:pPr>
      <w:spacing w:beforeAutospacing="1"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keepNext/>
      <w:keepLines/>
      <w:spacing w:after="60"/>
    </w:pPr>
    <w:rPr>
      <w:sz w:val="52"/>
      <w:szCs w:val="52"/>
    </w:rPr>
  </w:style>
  <w:style w:type="character" w:customStyle="1" w:styleId="Heading1Char">
    <w:name w:val="Heading 1 Char"/>
    <w:basedOn w:val="DefaultParagraphFont"/>
    <w:link w:val="Heading1"/>
    <w:uiPriority w:val="9"/>
    <w:qFormat/>
    <w:rPr>
      <w:rFonts w:ascii="Arial" w:eastAsia="Arial" w:hAnsi="Arial" w:cs="Arial"/>
      <w:sz w:val="40"/>
      <w:szCs w:val="40"/>
    </w:rPr>
  </w:style>
  <w:style w:type="character" w:customStyle="1" w:styleId="Heading2Char">
    <w:name w:val="Heading 2 Char"/>
    <w:basedOn w:val="DefaultParagraphFont"/>
    <w:link w:val="Heading2"/>
    <w:uiPriority w:val="9"/>
    <w:semiHidden/>
    <w:qFormat/>
    <w:rPr>
      <w:rFonts w:ascii="Arial" w:eastAsia="Arial" w:hAnsi="Arial" w:cs="Arial"/>
      <w:sz w:val="32"/>
      <w:szCs w:val="32"/>
    </w:rPr>
  </w:style>
  <w:style w:type="character" w:customStyle="1" w:styleId="Heading3Char">
    <w:name w:val="Heading 3 Char"/>
    <w:basedOn w:val="DefaultParagraphFont"/>
    <w:link w:val="Heading3"/>
    <w:uiPriority w:val="9"/>
    <w:semiHidden/>
    <w:qFormat/>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qFormat/>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qFormat/>
    <w:rPr>
      <w:rFonts w:ascii="Arial" w:eastAsia="Arial" w:hAnsi="Arial" w:cs="Arial"/>
      <w:color w:val="666666"/>
    </w:rPr>
  </w:style>
  <w:style w:type="character" w:customStyle="1" w:styleId="Heading6Char">
    <w:name w:val="Heading 6 Char"/>
    <w:basedOn w:val="DefaultParagraphFont"/>
    <w:link w:val="Heading6"/>
    <w:uiPriority w:val="9"/>
    <w:semiHidden/>
    <w:qFormat/>
    <w:rPr>
      <w:rFonts w:ascii="Arial" w:eastAsia="Arial" w:hAnsi="Arial" w:cs="Arial"/>
      <w:i/>
      <w:color w:val="666666"/>
    </w:rPr>
  </w:style>
  <w:style w:type="character" w:customStyle="1" w:styleId="TitleChar">
    <w:name w:val="Title Char"/>
    <w:basedOn w:val="DefaultParagraphFont"/>
    <w:link w:val="Title"/>
    <w:uiPriority w:val="10"/>
    <w:qFormat/>
    <w:rPr>
      <w:rFonts w:ascii="Arial" w:eastAsia="Arial" w:hAnsi="Arial" w:cs="Arial"/>
      <w:sz w:val="52"/>
      <w:szCs w:val="52"/>
    </w:rPr>
  </w:style>
  <w:style w:type="character" w:customStyle="1" w:styleId="SubtitleChar">
    <w:name w:val="Subtitle Char"/>
    <w:basedOn w:val="DefaultParagraphFont"/>
    <w:link w:val="Subtitle"/>
    <w:uiPriority w:val="11"/>
    <w:qFormat/>
    <w:rPr>
      <w:rFonts w:ascii="Arial" w:eastAsia="Arial" w:hAnsi="Arial" w:cs="Arial"/>
      <w:color w:val="666666"/>
      <w:sz w:val="30"/>
      <w:szCs w:val="30"/>
    </w:rPr>
  </w:style>
  <w:style w:type="character" w:customStyle="1" w:styleId="InternetLink">
    <w:name w:val="Internet Link"/>
    <w:basedOn w:val="DefaultParagraphFont"/>
    <w:uiPriority w:val="99"/>
    <w:unhideWhenUsed/>
    <w:qFormat/>
    <w:rPr>
      <w:color w:val="0563C1" w:themeColor="hyperlink"/>
      <w:u w:val="single"/>
    </w:rPr>
  </w:style>
  <w:style w:type="character" w:customStyle="1" w:styleId="HeaderChar">
    <w:name w:val="Header Char"/>
    <w:basedOn w:val="DefaultParagraphFont"/>
    <w:link w:val="Header"/>
    <w:uiPriority w:val="99"/>
    <w:qFormat/>
    <w:rPr>
      <w:rFonts w:ascii="Arial" w:eastAsia="Arial" w:hAnsi="Arial" w:cs="Arial"/>
    </w:rPr>
  </w:style>
  <w:style w:type="character" w:customStyle="1" w:styleId="FooterChar">
    <w:name w:val="Footer Char"/>
    <w:basedOn w:val="DefaultParagraphFont"/>
    <w:link w:val="Footer"/>
    <w:uiPriority w:val="99"/>
    <w:qFormat/>
    <w:rPr>
      <w:rFonts w:ascii="Arial" w:eastAsia="Arial" w:hAnsi="Arial" w:cs="Arial"/>
    </w:rPr>
  </w:style>
  <w:style w:type="character" w:customStyle="1" w:styleId="CommentTextChar">
    <w:name w:val="Comment Text Char"/>
    <w:basedOn w:val="DefaultParagraphFont"/>
    <w:link w:val="CommentText"/>
    <w:uiPriority w:val="99"/>
    <w:semiHidden/>
    <w:qFormat/>
    <w:rPr>
      <w:rFonts w:ascii="Arial" w:eastAsia="Arial" w:hAnsi="Arial" w:cs="Arial"/>
      <w:sz w:val="20"/>
      <w:szCs w:val="20"/>
    </w:rPr>
  </w:style>
  <w:style w:type="character" w:customStyle="1" w:styleId="CommentSubjectChar">
    <w:name w:val="Comment Subject Char"/>
    <w:basedOn w:val="CommentTextChar"/>
    <w:link w:val="CommentSubject"/>
    <w:uiPriority w:val="99"/>
    <w:semiHidden/>
    <w:qFormat/>
    <w:rPr>
      <w:rFonts w:ascii="Arial" w:eastAsia="Arial" w:hAnsi="Arial" w:cs="Arial"/>
      <w:b/>
      <w:bCs/>
      <w:sz w:val="20"/>
      <w:szCs w:val="20"/>
    </w:rPr>
  </w:style>
  <w:style w:type="character" w:customStyle="1" w:styleId="BalloonTextChar">
    <w:name w:val="Balloon Text Char"/>
    <w:basedOn w:val="DefaultParagraphFont"/>
    <w:link w:val="BalloonText"/>
    <w:uiPriority w:val="99"/>
    <w:semiHidden/>
    <w:qFormat/>
    <w:rPr>
      <w:rFonts w:ascii="Segoe UI" w:eastAsia="Arial" w:hAnsi="Segoe UI" w:cs="Segoe UI"/>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eastAsia="Microsoft YaHei" w:cs="Lucida Sans"/>
      <w:sz w:val="28"/>
      <w:szCs w:val="28"/>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pPr>
      <w:ind w:left="720"/>
      <w:contextualSpacing/>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TableGrid2">
    <w:name w:val="Table Grid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qFormat/>
    <w:rPr>
      <w:rFonts w:eastAsiaTheme="minorEastAsia"/>
      <w:lang w:val="en-GB" w:eastAsia="en-GB"/>
    </w:rPr>
    <w:tblPr>
      <w:tblCellMar>
        <w:top w:w="0" w:type="dxa"/>
        <w:left w:w="0" w:type="dxa"/>
        <w:bottom w:w="0" w:type="dxa"/>
        <w:right w:w="0" w:type="dxa"/>
      </w:tblCellMar>
    </w:tblPr>
  </w:style>
  <w:style w:type="paragraph" w:customStyle="1" w:styleId="referencescopy1">
    <w:name w:val="referencescopy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qFormat/>
  </w:style>
  <w:style w:type="character" w:customStyle="1" w:styleId="16">
    <w:name w:val="16"/>
    <w:basedOn w:val="DefaultParagraphFont"/>
    <w:qFormat/>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cpr.2017.05.00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jpsat.ijsht-journals.org/index.php/ijpsa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doi.org/10.9734/INDJ/2018/v12i330093"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doi.org/10.3389/fpubh.2019.00247" TargetMode="External"/><Relationship Id="rId4" Type="http://schemas.openxmlformats.org/officeDocument/2006/relationships/footnotes" Target="footnotes.xml"/><Relationship Id="rId9" Type="http://schemas.openxmlformats.org/officeDocument/2006/relationships/hyperlink" Target="https://news.llu.edu/health-wellness/feeling-anxious-understanding-rise-anxiety-disorders-among-young-adul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2447</TotalTime>
  <Pages>14</Pages>
  <Words>5843</Words>
  <Characters>33307</Characters>
  <Application>Microsoft Office Word</Application>
  <DocSecurity>0</DocSecurity>
  <Lines>277</Lines>
  <Paragraphs>78</Paragraphs>
  <ScaleCrop>false</ScaleCrop>
  <Company>HP</Company>
  <LinksUpToDate>false</LinksUpToDate>
  <CharactersWithSpaces>39072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1084</cp:lastModifiedBy>
  <cp:revision>17</cp:revision>
  <dcterms:created xsi:type="dcterms:W3CDTF">2024-10-15T19:26:00Z</dcterms:created>
  <dcterms:modified xsi:type="dcterms:W3CDTF">2025-04-08T11:37:00Z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1033-12.2.0.20326</vt:lpwstr>
  </property>
  <property fmtid="{D5CDD505-2E9C-101B-9397-08002B2CF9AE}" pid="10" name="ICV">
    <vt:lpwstr>FC1E91953A8B4555B746622A7A427600_13</vt:lpwstr>
  </property>
</Properties>
</file>