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E7540" w14:textId="77777777" w:rsidR="00A345B9" w:rsidRDefault="00A345B9" w:rsidP="0070004C">
      <w:pPr>
        <w:jc w:val="right"/>
        <w:rPr>
          <w:rFonts w:ascii="Times New Roman" w:hAnsi="Times New Roman" w:cs="Times New Roman"/>
          <w:b/>
          <w:bCs/>
          <w:sz w:val="28"/>
          <w:szCs w:val="28"/>
        </w:rPr>
      </w:pPr>
      <w:r w:rsidRPr="00A345B9">
        <w:rPr>
          <w:rFonts w:ascii="Times New Roman" w:hAnsi="Times New Roman" w:cs="Times New Roman"/>
          <w:b/>
          <w:bCs/>
          <w:sz w:val="28"/>
          <w:szCs w:val="28"/>
        </w:rPr>
        <w:t>Original Research Article</w:t>
      </w:r>
    </w:p>
    <w:p w14:paraId="7EA21D6A" w14:textId="77777777" w:rsidR="00A345B9" w:rsidRDefault="00A345B9" w:rsidP="0070004C">
      <w:pPr>
        <w:jc w:val="right"/>
        <w:rPr>
          <w:rFonts w:ascii="Times New Roman" w:hAnsi="Times New Roman" w:cs="Times New Roman"/>
          <w:b/>
          <w:bCs/>
          <w:sz w:val="28"/>
          <w:szCs w:val="28"/>
        </w:rPr>
      </w:pPr>
    </w:p>
    <w:p w14:paraId="7ADBE1F7" w14:textId="70F4E92B" w:rsidR="0070004C" w:rsidRDefault="0070004C" w:rsidP="0070004C">
      <w:pPr>
        <w:jc w:val="right"/>
        <w:rPr>
          <w:rFonts w:ascii="Times New Roman" w:hAnsi="Times New Roman" w:cs="Times New Roman"/>
          <w:b/>
          <w:bCs/>
          <w:sz w:val="28"/>
          <w:szCs w:val="28"/>
        </w:rPr>
      </w:pPr>
      <w:r w:rsidRPr="009678B1">
        <w:rPr>
          <w:rFonts w:ascii="Times New Roman" w:hAnsi="Times New Roman" w:cs="Times New Roman"/>
          <w:b/>
          <w:bCs/>
          <w:sz w:val="28"/>
          <w:szCs w:val="28"/>
        </w:rPr>
        <w:t xml:space="preserve">Development-Environment-Trade nexus in BRICS: A Panel </w:t>
      </w:r>
      <w:r>
        <w:rPr>
          <w:rFonts w:ascii="Times New Roman" w:hAnsi="Times New Roman" w:cs="Times New Roman"/>
          <w:b/>
          <w:bCs/>
          <w:sz w:val="28"/>
          <w:szCs w:val="28"/>
        </w:rPr>
        <w:t>VAR</w:t>
      </w:r>
      <w:r w:rsidRPr="009678B1">
        <w:rPr>
          <w:rFonts w:ascii="Times New Roman" w:hAnsi="Times New Roman" w:cs="Times New Roman"/>
          <w:b/>
          <w:bCs/>
          <w:sz w:val="28"/>
          <w:szCs w:val="28"/>
        </w:rPr>
        <w:t xml:space="preserve"> Estimation</w:t>
      </w:r>
    </w:p>
    <w:p w14:paraId="04C95B4E" w14:textId="77777777" w:rsidR="003B78EF" w:rsidRPr="009678B1" w:rsidRDefault="003B78EF" w:rsidP="0070004C">
      <w:pPr>
        <w:jc w:val="right"/>
        <w:rPr>
          <w:rFonts w:ascii="Times New Roman" w:hAnsi="Times New Roman" w:cs="Times New Roman"/>
          <w:b/>
          <w:bCs/>
          <w:sz w:val="28"/>
          <w:szCs w:val="28"/>
        </w:rPr>
      </w:pPr>
    </w:p>
    <w:p w14:paraId="55C1A5C9" w14:textId="348BAFD3" w:rsidR="00547965" w:rsidRDefault="00547965" w:rsidP="00547965">
      <w:pPr>
        <w:jc w:val="right"/>
        <w:rPr>
          <w:rFonts w:ascii="Times New Roman" w:hAnsi="Times New Roman" w:cs="Times New Roman"/>
          <w:sz w:val="24"/>
          <w:szCs w:val="24"/>
        </w:rPr>
      </w:pPr>
    </w:p>
    <w:p w14:paraId="6DE4FDED" w14:textId="3D4086AB" w:rsidR="00B65299" w:rsidRPr="00DA0EB9" w:rsidRDefault="00B65299" w:rsidP="00547965">
      <w:pPr>
        <w:jc w:val="right"/>
        <w:rPr>
          <w:rFonts w:ascii="Times New Roman" w:hAnsi="Times New Roman" w:cs="Times New Roman"/>
          <w:sz w:val="24"/>
          <w:szCs w:val="24"/>
        </w:rPr>
      </w:pPr>
      <w:r>
        <w:rPr>
          <w:rFonts w:ascii="Times New Roman" w:hAnsi="Times New Roman" w:cs="Times New Roman"/>
          <w:sz w:val="24"/>
          <w:szCs w:val="24"/>
        </w:rPr>
        <w:t>\</w:t>
      </w:r>
    </w:p>
    <w:p w14:paraId="5140D4DA" w14:textId="7A2F6200" w:rsidR="00EA302C" w:rsidRPr="00EA302C" w:rsidRDefault="00EA302C" w:rsidP="00EA302C">
      <w:pPr>
        <w:rPr>
          <w:rFonts w:ascii="Arial" w:hAnsi="Arial" w:cs="Arial"/>
          <w:b/>
          <w:bCs/>
        </w:rPr>
      </w:pPr>
      <w:r w:rsidRPr="00EA302C">
        <w:rPr>
          <w:rFonts w:ascii="Arial" w:hAnsi="Arial" w:cs="Arial"/>
          <w:b/>
          <w:bCs/>
        </w:rPr>
        <w:t>ABSTRACT</w:t>
      </w:r>
    </w:p>
    <w:p w14:paraId="68573876" w14:textId="3145F9A6"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Aims:</w:t>
      </w:r>
      <w:r w:rsidRPr="00347F7B">
        <w:rPr>
          <w:rFonts w:ascii="Times New Roman" w:hAnsi="Times New Roman" w:cs="Times New Roman"/>
        </w:rPr>
        <w:t xml:space="preserve"> This research aims to </w:t>
      </w:r>
      <w:r w:rsidR="00AD01F4" w:rsidRPr="00347F7B">
        <w:rPr>
          <w:rFonts w:ascii="Times New Roman" w:hAnsi="Times New Roman" w:cs="Times New Roman"/>
        </w:rPr>
        <w:t>examine</w:t>
      </w:r>
      <w:r w:rsidRPr="00347F7B">
        <w:rPr>
          <w:rFonts w:ascii="Times New Roman" w:hAnsi="Times New Roman" w:cs="Times New Roman"/>
        </w:rPr>
        <w:t xml:space="preserve"> the intricate </w:t>
      </w:r>
      <w:r w:rsidR="00AD01F4" w:rsidRPr="00347F7B">
        <w:rPr>
          <w:rFonts w:ascii="Times New Roman" w:hAnsi="Times New Roman" w:cs="Times New Roman"/>
        </w:rPr>
        <w:t>associations</w:t>
      </w:r>
      <w:r w:rsidRPr="00347F7B">
        <w:rPr>
          <w:rFonts w:ascii="Times New Roman" w:hAnsi="Times New Roman" w:cs="Times New Roman"/>
        </w:rPr>
        <w:t xml:space="preserve"> among economic development, environmental degradation, and trade openness within the BRICS countries, providing </w:t>
      </w:r>
      <w:r w:rsidR="00AD01F4" w:rsidRPr="00347F7B">
        <w:rPr>
          <w:rFonts w:ascii="Times New Roman" w:hAnsi="Times New Roman" w:cs="Times New Roman"/>
        </w:rPr>
        <w:t>visions</w:t>
      </w:r>
      <w:r w:rsidRPr="00347F7B">
        <w:rPr>
          <w:rFonts w:ascii="Times New Roman" w:hAnsi="Times New Roman" w:cs="Times New Roman"/>
        </w:rPr>
        <w:t xml:space="preserve"> for sustainable development policies aligned with global climate goals.</w:t>
      </w:r>
    </w:p>
    <w:p w14:paraId="1958CDDD" w14:textId="2A420BE8"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Study Design:</w:t>
      </w:r>
      <w:r w:rsidRPr="00347F7B">
        <w:rPr>
          <w:rFonts w:ascii="Times New Roman" w:hAnsi="Times New Roman" w:cs="Times New Roman"/>
        </w:rPr>
        <w:t xml:space="preserve"> The study adopts a comprehensive panel data approach, analyzing 53 annual observations per country, totaling 265 observations</w:t>
      </w:r>
      <w:r w:rsidR="00DE3B94">
        <w:rPr>
          <w:rFonts w:ascii="Times New Roman" w:hAnsi="Times New Roman" w:cs="Times New Roman"/>
        </w:rPr>
        <w:t xml:space="preserve"> from 1970 to 2023,</w:t>
      </w:r>
      <w:r w:rsidRPr="00347F7B">
        <w:rPr>
          <w:rFonts w:ascii="Times New Roman" w:hAnsi="Times New Roman" w:cs="Times New Roman"/>
        </w:rPr>
        <w:t xml:space="preserve"> to explore the interdependencies of key variables across Brazil, Russia, India, China, and South Africa.</w:t>
      </w:r>
    </w:p>
    <w:p w14:paraId="394F59D5" w14:textId="77F8C1A4"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Place and Duration of Study:</w:t>
      </w:r>
      <w:r w:rsidRPr="00347F7B">
        <w:rPr>
          <w:rFonts w:ascii="Times New Roman" w:hAnsi="Times New Roman" w:cs="Times New Roman"/>
        </w:rPr>
        <w:t xml:space="preserve"> The research </w:t>
      </w:r>
      <w:r w:rsidR="005518CD" w:rsidRPr="00347F7B">
        <w:rPr>
          <w:rFonts w:ascii="Times New Roman" w:hAnsi="Times New Roman" w:cs="Times New Roman"/>
        </w:rPr>
        <w:t>emphases</w:t>
      </w:r>
      <w:r w:rsidRPr="00347F7B">
        <w:rPr>
          <w:rFonts w:ascii="Times New Roman" w:hAnsi="Times New Roman" w:cs="Times New Roman"/>
        </w:rPr>
        <w:t xml:space="preserve"> on the BRICS countries, with data spanning </w:t>
      </w:r>
      <w:r w:rsidR="00E06AB0">
        <w:rPr>
          <w:rFonts w:ascii="Times New Roman" w:hAnsi="Times New Roman" w:cs="Times New Roman"/>
        </w:rPr>
        <w:t>from 1970 to 2023</w:t>
      </w:r>
      <w:r w:rsidRPr="00347F7B">
        <w:rPr>
          <w:rFonts w:ascii="Times New Roman" w:hAnsi="Times New Roman" w:cs="Times New Roman"/>
        </w:rPr>
        <w:t>, utilizing 53 years of annual observations per country, aggregated to 265 data points.</w:t>
      </w:r>
    </w:p>
    <w:p w14:paraId="7C3A68CF" w14:textId="62CBE1D9"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Methodology:</w:t>
      </w:r>
      <w:r w:rsidRPr="00347F7B">
        <w:rPr>
          <w:rFonts w:ascii="Times New Roman" w:hAnsi="Times New Roman" w:cs="Times New Roman"/>
        </w:rPr>
        <w:t xml:space="preserve"> The study employs advanced econometric </w:t>
      </w:r>
      <w:r w:rsidR="005518CD" w:rsidRPr="00347F7B">
        <w:rPr>
          <w:rFonts w:ascii="Times New Roman" w:hAnsi="Times New Roman" w:cs="Times New Roman"/>
        </w:rPr>
        <w:t>methods</w:t>
      </w:r>
      <w:r w:rsidRPr="00347F7B">
        <w:rPr>
          <w:rFonts w:ascii="Times New Roman" w:hAnsi="Times New Roman" w:cs="Times New Roman"/>
        </w:rPr>
        <w:t>, including panel unit root tests to assess stationarity, cointegration analysis to evaluate long-run relationships, panel vector autoregression to model dynamic interactions, and Granger causality tests to identify directional influences among variables such as GDP per capita, CO</w:t>
      </w:r>
      <w:r w:rsidRPr="00BB2B77">
        <w:rPr>
          <w:rFonts w:ascii="Times New Roman" w:hAnsi="Times New Roman" w:cs="Times New Roman"/>
          <w:vertAlign w:val="subscript"/>
        </w:rPr>
        <w:t>2</w:t>
      </w:r>
      <w:r w:rsidRPr="00347F7B">
        <w:rPr>
          <w:rFonts w:ascii="Times New Roman" w:hAnsi="Times New Roman" w:cs="Times New Roman"/>
        </w:rPr>
        <w:t xml:space="preserve"> emissions, trade openness, and energy usage.</w:t>
      </w:r>
    </w:p>
    <w:p w14:paraId="5943BF52" w14:textId="73E785B1" w:rsidR="00347F7B" w:rsidRPr="00347F7B"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Results:</w:t>
      </w:r>
      <w:r w:rsidRPr="00347F7B">
        <w:rPr>
          <w:rFonts w:ascii="Times New Roman" w:hAnsi="Times New Roman" w:cs="Times New Roman"/>
        </w:rPr>
        <w:t xml:space="preserve"> Findings reveal strong positive correlations among all variables</w:t>
      </w:r>
      <w:r w:rsidR="0033415D">
        <w:rPr>
          <w:rFonts w:ascii="Times New Roman" w:hAnsi="Times New Roman" w:cs="Times New Roman"/>
        </w:rPr>
        <w:t xml:space="preserve"> with no evidence of </w:t>
      </w:r>
      <w:r w:rsidRPr="00347F7B">
        <w:rPr>
          <w:rFonts w:ascii="Times New Roman" w:hAnsi="Times New Roman" w:cs="Times New Roman"/>
        </w:rPr>
        <w:t xml:space="preserve">long-run cointegration, and significant causal pathways: </w:t>
      </w:r>
      <w:r w:rsidR="001A0B29" w:rsidRPr="00347F7B">
        <w:rPr>
          <w:rFonts w:ascii="Times New Roman" w:hAnsi="Times New Roman" w:cs="Times New Roman"/>
        </w:rPr>
        <w:t>variations</w:t>
      </w:r>
      <w:r w:rsidRPr="00347F7B">
        <w:rPr>
          <w:rFonts w:ascii="Times New Roman" w:hAnsi="Times New Roman" w:cs="Times New Roman"/>
        </w:rPr>
        <w:t xml:space="preserve"> in per capita </w:t>
      </w:r>
      <w:r w:rsidR="005518CD" w:rsidRPr="00347F7B">
        <w:rPr>
          <w:rFonts w:ascii="Times New Roman" w:hAnsi="Times New Roman" w:cs="Times New Roman"/>
        </w:rPr>
        <w:t xml:space="preserve">GDP </w:t>
      </w:r>
      <w:r w:rsidRPr="00347F7B">
        <w:rPr>
          <w:rFonts w:ascii="Times New Roman" w:hAnsi="Times New Roman" w:cs="Times New Roman"/>
        </w:rPr>
        <w:t xml:space="preserve">Granger cause </w:t>
      </w:r>
      <w:r w:rsidR="001A0B29" w:rsidRPr="00347F7B">
        <w:rPr>
          <w:rFonts w:ascii="Times New Roman" w:hAnsi="Times New Roman" w:cs="Times New Roman"/>
        </w:rPr>
        <w:t>variations</w:t>
      </w:r>
      <w:r w:rsidRPr="00347F7B">
        <w:rPr>
          <w:rFonts w:ascii="Times New Roman" w:hAnsi="Times New Roman" w:cs="Times New Roman"/>
        </w:rPr>
        <w:t xml:space="preserve"> in CO</w:t>
      </w:r>
      <w:r w:rsidRPr="00BB2B77">
        <w:rPr>
          <w:rFonts w:ascii="Times New Roman" w:hAnsi="Times New Roman" w:cs="Times New Roman"/>
          <w:vertAlign w:val="subscript"/>
        </w:rPr>
        <w:t xml:space="preserve">2 </w:t>
      </w:r>
      <w:r w:rsidRPr="00347F7B">
        <w:rPr>
          <w:rFonts w:ascii="Times New Roman" w:hAnsi="Times New Roman" w:cs="Times New Roman"/>
        </w:rPr>
        <w:t>emissions, CO</w:t>
      </w:r>
      <w:r w:rsidRPr="00BB2B77">
        <w:rPr>
          <w:rFonts w:ascii="Times New Roman" w:hAnsi="Times New Roman" w:cs="Times New Roman"/>
          <w:vertAlign w:val="subscript"/>
        </w:rPr>
        <w:t xml:space="preserve">2 </w:t>
      </w:r>
      <w:r w:rsidRPr="00347F7B">
        <w:rPr>
          <w:rFonts w:ascii="Times New Roman" w:hAnsi="Times New Roman" w:cs="Times New Roman"/>
        </w:rPr>
        <w:t xml:space="preserve">emissions Granger cause </w:t>
      </w:r>
      <w:r w:rsidR="001A0B29" w:rsidRPr="00347F7B">
        <w:rPr>
          <w:rFonts w:ascii="Times New Roman" w:hAnsi="Times New Roman" w:cs="Times New Roman"/>
        </w:rPr>
        <w:t>variations</w:t>
      </w:r>
      <w:r w:rsidRPr="00347F7B">
        <w:rPr>
          <w:rFonts w:ascii="Times New Roman" w:hAnsi="Times New Roman" w:cs="Times New Roman"/>
        </w:rPr>
        <w:t xml:space="preserve"> in trade openness, and </w:t>
      </w:r>
      <w:r w:rsidR="001A0B29" w:rsidRPr="00347F7B">
        <w:rPr>
          <w:rFonts w:ascii="Times New Roman" w:hAnsi="Times New Roman" w:cs="Times New Roman"/>
        </w:rPr>
        <w:t>variations</w:t>
      </w:r>
      <w:r w:rsidRPr="00347F7B">
        <w:rPr>
          <w:rFonts w:ascii="Times New Roman" w:hAnsi="Times New Roman" w:cs="Times New Roman"/>
        </w:rPr>
        <w:t xml:space="preserve"> in trade openness Granger cause </w:t>
      </w:r>
      <w:r w:rsidR="001A0B29" w:rsidRPr="00347F7B">
        <w:rPr>
          <w:rFonts w:ascii="Times New Roman" w:hAnsi="Times New Roman" w:cs="Times New Roman"/>
        </w:rPr>
        <w:t>variations</w:t>
      </w:r>
      <w:r w:rsidRPr="00347F7B">
        <w:rPr>
          <w:rFonts w:ascii="Times New Roman" w:hAnsi="Times New Roman" w:cs="Times New Roman"/>
        </w:rPr>
        <w:t xml:space="preserve"> in GDP per capita, highlighting complex interplays in these emerging economies.</w:t>
      </w:r>
    </w:p>
    <w:p w14:paraId="50B40460" w14:textId="3430A0DB" w:rsidR="003A2044" w:rsidRDefault="00347F7B" w:rsidP="00D166CA">
      <w:pPr>
        <w:pBdr>
          <w:top w:val="single" w:sz="12" w:space="1" w:color="767171" w:themeColor="background2" w:themeShade="80"/>
          <w:left w:val="single" w:sz="12" w:space="0" w:color="767171" w:themeColor="background2" w:themeShade="80"/>
          <w:bottom w:val="single" w:sz="12" w:space="1" w:color="767171" w:themeColor="background2" w:themeShade="80"/>
          <w:right w:val="single" w:sz="12" w:space="4" w:color="767171" w:themeColor="background2" w:themeShade="80"/>
        </w:pBdr>
        <w:jc w:val="both"/>
        <w:rPr>
          <w:rFonts w:ascii="Times New Roman" w:hAnsi="Times New Roman" w:cs="Times New Roman"/>
        </w:rPr>
      </w:pPr>
      <w:r w:rsidRPr="00347F7B">
        <w:rPr>
          <w:rFonts w:ascii="Times New Roman" w:hAnsi="Times New Roman" w:cs="Times New Roman"/>
          <w:b/>
          <w:bCs/>
        </w:rPr>
        <w:t>Conclusion:</w:t>
      </w:r>
      <w:r w:rsidRPr="00347F7B">
        <w:rPr>
          <w:rFonts w:ascii="Times New Roman" w:hAnsi="Times New Roman" w:cs="Times New Roman"/>
        </w:rPr>
        <w:t xml:space="preserve"> The results underscore the profound interdependencies between economic </w:t>
      </w:r>
      <w:r w:rsidR="00BB2B77">
        <w:rPr>
          <w:rFonts w:ascii="Times New Roman" w:hAnsi="Times New Roman" w:cs="Times New Roman"/>
        </w:rPr>
        <w:t>development</w:t>
      </w:r>
      <w:r w:rsidRPr="00347F7B">
        <w:rPr>
          <w:rFonts w:ascii="Times New Roman" w:hAnsi="Times New Roman" w:cs="Times New Roman"/>
        </w:rPr>
        <w:t xml:space="preserve">, environmental impact, and trade dynamics in BRICS countries, offering critical insights for policymakers to design sustainable strategies that </w:t>
      </w:r>
      <w:r w:rsidR="001A0B29" w:rsidRPr="00347F7B">
        <w:rPr>
          <w:rFonts w:ascii="Times New Roman" w:hAnsi="Times New Roman" w:cs="Times New Roman"/>
        </w:rPr>
        <w:t>equilib</w:t>
      </w:r>
      <w:r w:rsidR="001A0B29">
        <w:rPr>
          <w:rFonts w:ascii="Times New Roman" w:hAnsi="Times New Roman" w:cs="Times New Roman"/>
        </w:rPr>
        <w:t>rize</w:t>
      </w:r>
      <w:r w:rsidRPr="00347F7B">
        <w:rPr>
          <w:rFonts w:ascii="Times New Roman" w:hAnsi="Times New Roman" w:cs="Times New Roman"/>
        </w:rPr>
        <w:t xml:space="preserve"> economic development with environmental sustainability and global climate objectives.</w:t>
      </w:r>
    </w:p>
    <w:p w14:paraId="1C5EB4C0" w14:textId="01FFC160" w:rsidR="00347F7B" w:rsidRPr="00347F7B" w:rsidRDefault="00347F7B" w:rsidP="00347F7B">
      <w:pPr>
        <w:spacing w:line="360" w:lineRule="auto"/>
        <w:jc w:val="both"/>
        <w:rPr>
          <w:rFonts w:ascii="Arial" w:hAnsi="Arial" w:cs="Arial"/>
          <w:i/>
          <w:iCs/>
          <w:sz w:val="20"/>
          <w:szCs w:val="20"/>
        </w:rPr>
      </w:pPr>
      <w:r w:rsidRPr="00347F7B">
        <w:rPr>
          <w:rFonts w:ascii="Arial" w:hAnsi="Arial" w:cs="Arial"/>
          <w:i/>
          <w:iCs/>
          <w:sz w:val="20"/>
          <w:szCs w:val="20"/>
        </w:rPr>
        <w:t>Keywords: BRICS, panel data analysis, CO</w:t>
      </w:r>
      <w:r w:rsidRPr="00347F7B">
        <w:rPr>
          <w:rFonts w:ascii="Arial" w:hAnsi="Arial" w:cs="Arial"/>
          <w:i/>
          <w:iCs/>
          <w:sz w:val="20"/>
          <w:szCs w:val="20"/>
          <w:vertAlign w:val="subscript"/>
        </w:rPr>
        <w:t>2</w:t>
      </w:r>
      <w:r w:rsidRPr="00347F7B">
        <w:rPr>
          <w:rFonts w:ascii="Arial" w:hAnsi="Arial" w:cs="Arial"/>
          <w:i/>
          <w:iCs/>
          <w:sz w:val="20"/>
          <w:szCs w:val="20"/>
        </w:rPr>
        <w:t xml:space="preserve"> emissions, </w:t>
      </w:r>
      <w:r w:rsidR="00FE51DA" w:rsidRPr="00347F7B">
        <w:rPr>
          <w:rFonts w:ascii="Arial" w:hAnsi="Arial" w:cs="Arial"/>
          <w:i/>
          <w:iCs/>
          <w:sz w:val="20"/>
          <w:szCs w:val="20"/>
        </w:rPr>
        <w:t xml:space="preserve">per capita </w:t>
      </w:r>
      <w:r w:rsidRPr="00347F7B">
        <w:rPr>
          <w:rFonts w:ascii="Arial" w:hAnsi="Arial" w:cs="Arial"/>
          <w:i/>
          <w:iCs/>
          <w:sz w:val="20"/>
          <w:szCs w:val="20"/>
        </w:rPr>
        <w:t>GDP, trade openness, energy usage, sustainable development, environmental policy.</w:t>
      </w:r>
      <w:r w:rsidR="00053E69">
        <w:rPr>
          <w:rFonts w:ascii="Arial" w:hAnsi="Arial" w:cs="Arial"/>
          <w:i/>
          <w:iCs/>
          <w:sz w:val="20"/>
          <w:szCs w:val="20"/>
        </w:rPr>
        <w:t xml:space="preserve">  </w:t>
      </w:r>
    </w:p>
    <w:p w14:paraId="30C8CB93" w14:textId="77777777" w:rsidR="00DE3B94" w:rsidRDefault="00DE3B94" w:rsidP="00347F7B">
      <w:pPr>
        <w:spacing w:after="0" w:line="240" w:lineRule="auto"/>
        <w:jc w:val="both"/>
        <w:rPr>
          <w:rFonts w:ascii="Times New Roman" w:hAnsi="Times New Roman" w:cs="Times New Roman"/>
          <w:sz w:val="24"/>
          <w:szCs w:val="24"/>
        </w:rPr>
      </w:pPr>
    </w:p>
    <w:p w14:paraId="198F2DC9" w14:textId="08E172B1" w:rsidR="00DE3B94" w:rsidRPr="00DE3B94" w:rsidRDefault="00DE3B94" w:rsidP="00DE3B94">
      <w:pPr>
        <w:rPr>
          <w:rFonts w:ascii="Arial" w:hAnsi="Arial" w:cs="Arial"/>
          <w:b/>
          <w:bCs/>
        </w:rPr>
      </w:pPr>
      <w:r w:rsidRPr="00DE3B94">
        <w:rPr>
          <w:rFonts w:ascii="Arial" w:hAnsi="Arial" w:cs="Arial"/>
          <w:b/>
          <w:bCs/>
        </w:rPr>
        <w:t>INTRODUCTION</w:t>
      </w:r>
    </w:p>
    <w:p w14:paraId="24DC40DA" w14:textId="48E678BC"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The nexus </w:t>
      </w:r>
      <w:r w:rsidR="00ED14A1" w:rsidRPr="00F403DA">
        <w:rPr>
          <w:rFonts w:ascii="Arial" w:hAnsi="Arial" w:cs="Arial"/>
          <w:sz w:val="20"/>
          <w:szCs w:val="20"/>
        </w:rPr>
        <w:t>amongst</w:t>
      </w:r>
      <w:r w:rsidRPr="00F403DA">
        <w:rPr>
          <w:rFonts w:ascii="Arial" w:hAnsi="Arial" w:cs="Arial"/>
          <w:sz w:val="20"/>
          <w:szCs w:val="20"/>
        </w:rPr>
        <w:t xml:space="preserve"> economic development, environmental sustainability, and international trade has emerged as a pivotal area of inquiry in contemporary economic research, </w:t>
      </w:r>
      <w:r w:rsidR="00ED14A1" w:rsidRPr="00F403DA">
        <w:rPr>
          <w:rFonts w:ascii="Arial" w:hAnsi="Arial" w:cs="Arial"/>
          <w:sz w:val="20"/>
          <w:szCs w:val="20"/>
        </w:rPr>
        <w:t>predominantly</w:t>
      </w:r>
      <w:r w:rsidRPr="00F403DA">
        <w:rPr>
          <w:rFonts w:ascii="Arial" w:hAnsi="Arial" w:cs="Arial"/>
          <w:sz w:val="20"/>
          <w:szCs w:val="20"/>
        </w:rPr>
        <w:t xml:space="preserve"> in the context of rapidly industrializing nations such as the BRICS countries—Brazil, Russia, India, China, and South Africa. These nations collectively represent a formidable economic bloc, accounting for over 40 percent of the global population, approximately 25 percent of world GDP, and a substantial portion of global greenhouse gas emissions (World Bank, 2023). Their trajectories of rapid industrialization, urbanization, and trade </w:t>
      </w:r>
      <w:r w:rsidRPr="00F403DA">
        <w:rPr>
          <w:rFonts w:ascii="Arial" w:hAnsi="Arial" w:cs="Arial"/>
          <w:sz w:val="20"/>
          <w:szCs w:val="20"/>
        </w:rPr>
        <w:lastRenderedPageBreak/>
        <w:t>liberalization have positioned them as critical players in the global economy, yet these achievements have coincided with significant environmental challenges, notably escalating CO</w:t>
      </w:r>
      <w:r w:rsidRPr="00F403DA">
        <w:rPr>
          <w:rFonts w:ascii="Arial" w:hAnsi="Arial" w:cs="Arial"/>
          <w:sz w:val="20"/>
          <w:szCs w:val="20"/>
          <w:vertAlign w:val="subscript"/>
        </w:rPr>
        <w:t>2</w:t>
      </w:r>
      <w:r w:rsidRPr="00F403DA">
        <w:rPr>
          <w:rFonts w:ascii="Arial" w:hAnsi="Arial" w:cs="Arial"/>
          <w:sz w:val="20"/>
          <w:szCs w:val="20"/>
        </w:rPr>
        <w:t xml:space="preserve"> emissions driven by energy-intensive production processes (IEA, 2022). This study seeks to unravel the dynamic relationships among economic development (measured by GDP per capita, GDPPC), environmental degradation (proxied by carbon emissions, CO</w:t>
      </w:r>
      <w:r w:rsidRPr="00F403DA">
        <w:rPr>
          <w:rFonts w:ascii="Arial" w:hAnsi="Arial" w:cs="Arial"/>
          <w:sz w:val="20"/>
          <w:szCs w:val="20"/>
          <w:vertAlign w:val="subscript"/>
        </w:rPr>
        <w:t>2</w:t>
      </w:r>
      <w:r w:rsidRPr="00F403DA">
        <w:rPr>
          <w:rFonts w:ascii="Arial" w:hAnsi="Arial" w:cs="Arial"/>
          <w:sz w:val="20"/>
          <w:szCs w:val="20"/>
        </w:rPr>
        <w:t>), and trade openness (TO), with energy usage (EU) incorporated as a control variable to account for the energy underpinnings of these interactions.</w:t>
      </w:r>
    </w:p>
    <w:p w14:paraId="30B0B3F4" w14:textId="29996B4E"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The BRICS countries offer a compelling case study due to their shared aspirations for sustained economic growth and their diverse economic structures, which range from China’s manufacturing-driven economy to Brazil’s commodity-based system, Russia’s energy exports, India’s service-oriented growth, and South Africa’s mining and industrial focus (UNCTAD, 2021). This diversity, coupled with their collective commitment to international climate agreements </w:t>
      </w:r>
      <w:r w:rsidR="00ED14A1">
        <w:rPr>
          <w:rFonts w:ascii="Arial" w:hAnsi="Arial" w:cs="Arial"/>
          <w:sz w:val="20"/>
          <w:szCs w:val="20"/>
        </w:rPr>
        <w:t xml:space="preserve">like </w:t>
      </w:r>
      <w:r w:rsidRPr="00F403DA">
        <w:rPr>
          <w:rFonts w:ascii="Arial" w:hAnsi="Arial" w:cs="Arial"/>
          <w:sz w:val="20"/>
          <w:szCs w:val="20"/>
        </w:rPr>
        <w:t>the Paris Accord, necessitates a</w:t>
      </w:r>
      <w:r w:rsidR="00CE4BE8">
        <w:rPr>
          <w:rFonts w:ascii="Arial" w:hAnsi="Arial" w:cs="Arial"/>
          <w:sz w:val="20"/>
          <w:szCs w:val="20"/>
        </w:rPr>
        <w:t xml:space="preserve">n intricate </w:t>
      </w:r>
      <w:r w:rsidRPr="00F403DA">
        <w:rPr>
          <w:rFonts w:ascii="Arial" w:hAnsi="Arial" w:cs="Arial"/>
          <w:sz w:val="20"/>
          <w:szCs w:val="20"/>
        </w:rPr>
        <w:t xml:space="preserve">understanding </w:t>
      </w:r>
      <w:r w:rsidR="00ED14A1">
        <w:rPr>
          <w:rFonts w:ascii="Arial" w:hAnsi="Arial" w:cs="Arial"/>
          <w:sz w:val="20"/>
          <w:szCs w:val="20"/>
        </w:rPr>
        <w:t xml:space="preserve">that </w:t>
      </w:r>
      <w:r w:rsidR="00ED14A1" w:rsidRPr="00F403DA">
        <w:rPr>
          <w:rFonts w:ascii="Arial" w:hAnsi="Arial" w:cs="Arial"/>
          <w:sz w:val="20"/>
          <w:szCs w:val="20"/>
        </w:rPr>
        <w:t>in what way</w:t>
      </w:r>
      <w:r w:rsidRPr="00F403DA">
        <w:rPr>
          <w:rFonts w:ascii="Arial" w:hAnsi="Arial" w:cs="Arial"/>
          <w:sz w:val="20"/>
          <w:szCs w:val="20"/>
        </w:rPr>
        <w:t xml:space="preserve"> economic progress, environmental outcomes, and trade policies interrelate. For instance, China and India rank among the world’s top CO</w:t>
      </w:r>
      <w:r w:rsidRPr="00F403DA">
        <w:rPr>
          <w:rFonts w:ascii="Arial" w:hAnsi="Arial" w:cs="Arial"/>
          <w:sz w:val="20"/>
          <w:szCs w:val="20"/>
          <w:vertAlign w:val="subscript"/>
        </w:rPr>
        <w:t>2</w:t>
      </w:r>
      <w:r w:rsidRPr="00F403DA">
        <w:rPr>
          <w:rFonts w:ascii="Arial" w:hAnsi="Arial" w:cs="Arial"/>
          <w:sz w:val="20"/>
          <w:szCs w:val="20"/>
        </w:rPr>
        <w:t xml:space="preserve"> emitters, reflecting their reliance on fossil fuels, while Brazil and Russia play significant roles in global commodity markets, often at the </w:t>
      </w:r>
      <w:r w:rsidR="006F1584" w:rsidRPr="00F403DA">
        <w:rPr>
          <w:rFonts w:ascii="Arial" w:hAnsi="Arial" w:cs="Arial"/>
          <w:sz w:val="20"/>
          <w:szCs w:val="20"/>
        </w:rPr>
        <w:t>price</w:t>
      </w:r>
      <w:r w:rsidRPr="00F403DA">
        <w:rPr>
          <w:rFonts w:ascii="Arial" w:hAnsi="Arial" w:cs="Arial"/>
          <w:sz w:val="20"/>
          <w:szCs w:val="20"/>
        </w:rPr>
        <w:t xml:space="preserve"> of </w:t>
      </w:r>
      <w:r w:rsidR="006F1584" w:rsidRPr="00F403DA">
        <w:rPr>
          <w:rFonts w:ascii="Arial" w:hAnsi="Arial" w:cs="Arial"/>
          <w:sz w:val="20"/>
          <w:szCs w:val="20"/>
        </w:rPr>
        <w:t>ecological</w:t>
      </w:r>
      <w:r w:rsidRPr="00F403DA">
        <w:rPr>
          <w:rFonts w:ascii="Arial" w:hAnsi="Arial" w:cs="Arial"/>
          <w:sz w:val="20"/>
          <w:szCs w:val="20"/>
        </w:rPr>
        <w:t xml:space="preserve"> sustainability (IEA, 2022). South Africa, with its energy-intensive economy </w:t>
      </w:r>
      <w:r w:rsidR="00C83A9E" w:rsidRPr="00F403DA">
        <w:rPr>
          <w:rFonts w:ascii="Arial" w:hAnsi="Arial" w:cs="Arial"/>
          <w:sz w:val="20"/>
          <w:szCs w:val="20"/>
        </w:rPr>
        <w:t>severely</w:t>
      </w:r>
      <w:r w:rsidRPr="00F403DA">
        <w:rPr>
          <w:rFonts w:ascii="Arial" w:hAnsi="Arial" w:cs="Arial"/>
          <w:sz w:val="20"/>
          <w:szCs w:val="20"/>
        </w:rPr>
        <w:t xml:space="preserve"> </w:t>
      </w:r>
      <w:r w:rsidR="00C83A9E" w:rsidRPr="00F403DA">
        <w:rPr>
          <w:rFonts w:ascii="Arial" w:hAnsi="Arial" w:cs="Arial"/>
          <w:sz w:val="20"/>
          <w:szCs w:val="20"/>
        </w:rPr>
        <w:t xml:space="preserve">reliant </w:t>
      </w:r>
      <w:r w:rsidRPr="00F403DA">
        <w:rPr>
          <w:rFonts w:ascii="Arial" w:hAnsi="Arial" w:cs="Arial"/>
          <w:sz w:val="20"/>
          <w:szCs w:val="20"/>
        </w:rPr>
        <w:t>on coal, faces distinct pressures to balance growth with ecological preservation (World Bank, 2023).</w:t>
      </w:r>
    </w:p>
    <w:p w14:paraId="05F4596E" w14:textId="03B00D08" w:rsidR="00DE3B94" w:rsidRPr="00F403DA" w:rsidRDefault="00DE3B94" w:rsidP="00F403DA">
      <w:pPr>
        <w:jc w:val="both"/>
        <w:rPr>
          <w:rFonts w:ascii="Arial" w:hAnsi="Arial" w:cs="Arial"/>
          <w:sz w:val="20"/>
          <w:szCs w:val="20"/>
        </w:rPr>
      </w:pPr>
      <w:r w:rsidRPr="00F403DA">
        <w:rPr>
          <w:rFonts w:ascii="Arial" w:hAnsi="Arial" w:cs="Arial"/>
          <w:sz w:val="20"/>
          <w:szCs w:val="20"/>
        </w:rPr>
        <w:t>This paper aims to address several critical questions:</w:t>
      </w:r>
      <w:r w:rsidR="00F403DA" w:rsidRPr="00F403DA">
        <w:rPr>
          <w:rFonts w:ascii="Arial" w:hAnsi="Arial" w:cs="Arial"/>
          <w:sz w:val="20"/>
          <w:szCs w:val="20"/>
        </w:rPr>
        <w:t xml:space="preserve"> 1)</w:t>
      </w:r>
      <w:r w:rsidRPr="00F403DA">
        <w:rPr>
          <w:rFonts w:ascii="Arial" w:hAnsi="Arial" w:cs="Arial"/>
          <w:sz w:val="20"/>
          <w:szCs w:val="20"/>
        </w:rPr>
        <w:t xml:space="preserve"> How do economic development, environmental degradation, and trade openness interact within the BRICS framework? </w:t>
      </w:r>
      <w:r w:rsidR="00F403DA" w:rsidRPr="00F403DA">
        <w:rPr>
          <w:rFonts w:ascii="Arial" w:hAnsi="Arial" w:cs="Arial"/>
          <w:sz w:val="20"/>
          <w:szCs w:val="20"/>
        </w:rPr>
        <w:t xml:space="preserve">2) </w:t>
      </w:r>
      <w:r w:rsidRPr="00F403DA">
        <w:rPr>
          <w:rFonts w:ascii="Arial" w:hAnsi="Arial" w:cs="Arial"/>
          <w:sz w:val="20"/>
          <w:szCs w:val="20"/>
        </w:rPr>
        <w:t xml:space="preserve">Is there evidence of a stable long-run equilibrium among these variables, or are their relationships predominantly short-term? </w:t>
      </w:r>
      <w:r w:rsidR="00F403DA" w:rsidRPr="00F403DA">
        <w:rPr>
          <w:rFonts w:ascii="Arial" w:hAnsi="Arial" w:cs="Arial"/>
          <w:sz w:val="20"/>
          <w:szCs w:val="20"/>
        </w:rPr>
        <w:t xml:space="preserve">3) </w:t>
      </w:r>
      <w:r w:rsidRPr="00F403DA">
        <w:rPr>
          <w:rFonts w:ascii="Arial" w:hAnsi="Arial" w:cs="Arial"/>
          <w:sz w:val="20"/>
          <w:szCs w:val="20"/>
        </w:rPr>
        <w:t>What causal dynamics govern these interactions, and</w:t>
      </w:r>
      <w:r w:rsidR="00F403DA" w:rsidRPr="00F403DA">
        <w:rPr>
          <w:rFonts w:ascii="Arial" w:hAnsi="Arial" w:cs="Arial"/>
          <w:sz w:val="20"/>
          <w:szCs w:val="20"/>
        </w:rPr>
        <w:t xml:space="preserve"> </w:t>
      </w:r>
      <w:r w:rsidRPr="00F403DA">
        <w:rPr>
          <w:rFonts w:ascii="Arial" w:hAnsi="Arial" w:cs="Arial"/>
          <w:sz w:val="20"/>
          <w:szCs w:val="20"/>
        </w:rPr>
        <w:t xml:space="preserve">how does energy usage mediate them? To answer these, we employ a comprehensive panel data approach, including panel unit root tests to assess stationarity, cointegration tests to explore long-run relationships, panel vector autoregression (VAR) to capture dynamic interactions, and </w:t>
      </w:r>
      <w:r w:rsidR="00814728">
        <w:rPr>
          <w:rFonts w:ascii="Arial" w:hAnsi="Arial" w:cs="Arial"/>
          <w:sz w:val="20"/>
          <w:szCs w:val="20"/>
        </w:rPr>
        <w:t xml:space="preserve">a </w:t>
      </w:r>
      <w:r w:rsidRPr="00F403DA">
        <w:rPr>
          <w:rFonts w:ascii="Arial" w:hAnsi="Arial" w:cs="Arial"/>
          <w:sz w:val="20"/>
          <w:szCs w:val="20"/>
        </w:rPr>
        <w:t>test</w:t>
      </w:r>
      <w:r w:rsidR="00814728">
        <w:rPr>
          <w:rFonts w:ascii="Arial" w:hAnsi="Arial" w:cs="Arial"/>
          <w:sz w:val="20"/>
          <w:szCs w:val="20"/>
        </w:rPr>
        <w:t xml:space="preserve"> of </w:t>
      </w:r>
      <w:r w:rsidR="00814728" w:rsidRPr="00F403DA">
        <w:rPr>
          <w:rFonts w:ascii="Arial" w:hAnsi="Arial" w:cs="Arial"/>
          <w:sz w:val="20"/>
          <w:szCs w:val="20"/>
        </w:rPr>
        <w:t xml:space="preserve">Granger causality </w:t>
      </w:r>
      <w:r w:rsidRPr="00F403DA">
        <w:rPr>
          <w:rFonts w:ascii="Arial" w:hAnsi="Arial" w:cs="Arial"/>
          <w:sz w:val="20"/>
          <w:szCs w:val="20"/>
        </w:rPr>
        <w:t xml:space="preserve">to determine directional influences. The </w:t>
      </w:r>
      <w:r w:rsidR="00814728" w:rsidRPr="00F403DA">
        <w:rPr>
          <w:rFonts w:ascii="Arial" w:hAnsi="Arial" w:cs="Arial"/>
          <w:sz w:val="20"/>
          <w:szCs w:val="20"/>
        </w:rPr>
        <w:t>insertion</w:t>
      </w:r>
      <w:r w:rsidRPr="00F403DA">
        <w:rPr>
          <w:rFonts w:ascii="Arial" w:hAnsi="Arial" w:cs="Arial"/>
          <w:sz w:val="20"/>
          <w:szCs w:val="20"/>
        </w:rPr>
        <w:t xml:space="preserve"> of energy usage (EU) as a control variable is particularly significant, as it reflects the energy intensity that underpins both economic </w:t>
      </w:r>
      <w:r w:rsidR="00814728" w:rsidRPr="00F403DA">
        <w:rPr>
          <w:rFonts w:ascii="Arial" w:hAnsi="Arial" w:cs="Arial"/>
          <w:sz w:val="20"/>
          <w:szCs w:val="20"/>
        </w:rPr>
        <w:t>progress</w:t>
      </w:r>
      <w:r w:rsidRPr="00F403DA">
        <w:rPr>
          <w:rFonts w:ascii="Arial" w:hAnsi="Arial" w:cs="Arial"/>
          <w:sz w:val="20"/>
          <w:szCs w:val="20"/>
        </w:rPr>
        <w:t xml:space="preserve"> and emissions in these countries, thereby isolating the independent effects of GDP </w:t>
      </w:r>
      <w:r w:rsidR="00814728" w:rsidRPr="00F403DA">
        <w:rPr>
          <w:rFonts w:ascii="Arial" w:hAnsi="Arial" w:cs="Arial"/>
          <w:sz w:val="20"/>
          <w:szCs w:val="20"/>
        </w:rPr>
        <w:t xml:space="preserve">per capita </w:t>
      </w:r>
      <w:r w:rsidRPr="00F403DA">
        <w:rPr>
          <w:rFonts w:ascii="Arial" w:hAnsi="Arial" w:cs="Arial"/>
          <w:sz w:val="20"/>
          <w:szCs w:val="20"/>
        </w:rPr>
        <w:t xml:space="preserve">(GDPPC) and </w:t>
      </w:r>
      <w:r w:rsidR="00814728">
        <w:rPr>
          <w:rFonts w:ascii="Arial" w:hAnsi="Arial" w:cs="Arial"/>
          <w:sz w:val="20"/>
          <w:szCs w:val="20"/>
        </w:rPr>
        <w:t>openness to trade</w:t>
      </w:r>
      <w:r w:rsidRPr="00F403DA">
        <w:rPr>
          <w:rFonts w:ascii="Arial" w:hAnsi="Arial" w:cs="Arial"/>
          <w:sz w:val="20"/>
          <w:szCs w:val="20"/>
        </w:rPr>
        <w:t xml:space="preserve"> (TO) on carbon emissions (CO</w:t>
      </w:r>
      <w:r w:rsidRPr="00F403DA">
        <w:rPr>
          <w:rFonts w:ascii="Arial" w:hAnsi="Arial" w:cs="Arial"/>
          <w:sz w:val="20"/>
          <w:szCs w:val="20"/>
          <w:vertAlign w:val="subscript"/>
        </w:rPr>
        <w:t>2</w:t>
      </w:r>
      <w:r w:rsidRPr="00F403DA">
        <w:rPr>
          <w:rFonts w:ascii="Arial" w:hAnsi="Arial" w:cs="Arial"/>
          <w:sz w:val="20"/>
          <w:szCs w:val="20"/>
        </w:rPr>
        <w:t>) (Stern, 2018).</w:t>
      </w:r>
    </w:p>
    <w:p w14:paraId="0A1796DF" w14:textId="082388AC"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Our </w:t>
      </w:r>
      <w:r w:rsidR="00DB7855">
        <w:rPr>
          <w:rFonts w:ascii="Arial" w:hAnsi="Arial" w:cs="Arial"/>
          <w:sz w:val="20"/>
          <w:szCs w:val="20"/>
        </w:rPr>
        <w:t xml:space="preserve">literary </w:t>
      </w:r>
      <w:r w:rsidRPr="00F403DA">
        <w:rPr>
          <w:rFonts w:ascii="Arial" w:hAnsi="Arial" w:cs="Arial"/>
          <w:sz w:val="20"/>
          <w:szCs w:val="20"/>
        </w:rPr>
        <w:t xml:space="preserve">contributions are threefold. First, we provide an in-depth </w:t>
      </w:r>
      <w:r w:rsidR="006178D2" w:rsidRPr="00F403DA">
        <w:rPr>
          <w:rFonts w:ascii="Arial" w:hAnsi="Arial" w:cs="Arial"/>
          <w:sz w:val="20"/>
          <w:szCs w:val="20"/>
        </w:rPr>
        <w:t>study</w:t>
      </w:r>
      <w:r w:rsidRPr="00F403DA">
        <w:rPr>
          <w:rFonts w:ascii="Arial" w:hAnsi="Arial" w:cs="Arial"/>
          <w:sz w:val="20"/>
          <w:szCs w:val="20"/>
        </w:rPr>
        <w:t xml:space="preserve"> of the BRICS countries as a cohesive group, a perspective that remains underexplored despite their growing global influence (Pao &amp; Tsai, 2011). Second, we utilize a panel VAR framework to model the dynamic interplay among GDPPC, CO</w:t>
      </w:r>
      <w:r w:rsidRPr="00F403DA">
        <w:rPr>
          <w:rFonts w:ascii="Arial" w:hAnsi="Arial" w:cs="Arial"/>
          <w:sz w:val="20"/>
          <w:szCs w:val="20"/>
          <w:vertAlign w:val="subscript"/>
        </w:rPr>
        <w:t>2</w:t>
      </w:r>
      <w:r w:rsidRPr="00F403DA">
        <w:rPr>
          <w:rFonts w:ascii="Arial" w:hAnsi="Arial" w:cs="Arial"/>
          <w:sz w:val="20"/>
          <w:szCs w:val="20"/>
        </w:rPr>
        <w:t>, TO, and EU, offering a more detailed understanding of short-term dynamics than static models allow (</w:t>
      </w:r>
      <w:proofErr w:type="spellStart"/>
      <w:r w:rsidRPr="00F403DA">
        <w:rPr>
          <w:rFonts w:ascii="Arial" w:hAnsi="Arial" w:cs="Arial"/>
          <w:sz w:val="20"/>
          <w:szCs w:val="20"/>
        </w:rPr>
        <w:t>Sebri</w:t>
      </w:r>
      <w:proofErr w:type="spellEnd"/>
      <w:r w:rsidRPr="00F403DA">
        <w:rPr>
          <w:rFonts w:ascii="Arial" w:hAnsi="Arial" w:cs="Arial"/>
          <w:sz w:val="20"/>
          <w:szCs w:val="20"/>
        </w:rPr>
        <w:t xml:space="preserve"> &amp; Ben-</w:t>
      </w:r>
      <w:proofErr w:type="spellStart"/>
      <w:r w:rsidRPr="00F403DA">
        <w:rPr>
          <w:rFonts w:ascii="Arial" w:hAnsi="Arial" w:cs="Arial"/>
          <w:sz w:val="20"/>
          <w:szCs w:val="20"/>
        </w:rPr>
        <w:t>Salha</w:t>
      </w:r>
      <w:proofErr w:type="spellEnd"/>
      <w:r w:rsidRPr="00F403DA">
        <w:rPr>
          <w:rFonts w:ascii="Arial" w:hAnsi="Arial" w:cs="Arial"/>
          <w:sz w:val="20"/>
          <w:szCs w:val="20"/>
        </w:rPr>
        <w:t xml:space="preserve">, 2014). Third, we derive policy-relevant insights that align with the United Nations Sustainable Development Goals (SDGs), particularly SDG 8 (Decent Work and Economic Growth) and SDG 13 (Climate Action), to </w:t>
      </w:r>
      <w:r w:rsidR="00624B96" w:rsidRPr="00F403DA">
        <w:rPr>
          <w:rFonts w:ascii="Arial" w:hAnsi="Arial" w:cs="Arial"/>
          <w:sz w:val="20"/>
          <w:szCs w:val="20"/>
        </w:rPr>
        <w:t>apprise</w:t>
      </w:r>
      <w:r w:rsidRPr="00F403DA">
        <w:rPr>
          <w:rFonts w:ascii="Arial" w:hAnsi="Arial" w:cs="Arial"/>
          <w:sz w:val="20"/>
          <w:szCs w:val="20"/>
        </w:rPr>
        <w:t xml:space="preserve"> strategies for sustainable development in these emerging economies (United Nations, 2015).</w:t>
      </w:r>
    </w:p>
    <w:p w14:paraId="447315EA" w14:textId="40ACA1C6" w:rsidR="00DE3B94" w:rsidRPr="00F403DA" w:rsidRDefault="00DE3B94" w:rsidP="00F403DA">
      <w:pPr>
        <w:rPr>
          <w:rFonts w:ascii="Arial" w:hAnsi="Arial" w:cs="Arial"/>
          <w:b/>
          <w:bCs/>
        </w:rPr>
      </w:pPr>
      <w:r w:rsidRPr="00F403DA">
        <w:rPr>
          <w:rFonts w:ascii="Arial" w:hAnsi="Arial" w:cs="Arial"/>
          <w:b/>
          <w:bCs/>
        </w:rPr>
        <w:t>1.1 The Environmental Kuznets Curve (EKC) Hypothesis</w:t>
      </w:r>
    </w:p>
    <w:p w14:paraId="0E1C9045" w14:textId="3F8B67D3"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The EKC hypothesis, pioneered by Grossman and Krueger (1995), posits a </w:t>
      </w:r>
      <w:r w:rsidR="00AE14FA" w:rsidRPr="00F403DA">
        <w:rPr>
          <w:rFonts w:ascii="Arial" w:hAnsi="Arial" w:cs="Arial"/>
          <w:sz w:val="20"/>
          <w:szCs w:val="20"/>
        </w:rPr>
        <w:t>reversed</w:t>
      </w:r>
      <w:r w:rsidRPr="00F403DA">
        <w:rPr>
          <w:rFonts w:ascii="Arial" w:hAnsi="Arial" w:cs="Arial"/>
          <w:sz w:val="20"/>
          <w:szCs w:val="20"/>
        </w:rPr>
        <w:t xml:space="preserve"> U-shaped </w:t>
      </w:r>
      <w:r w:rsidR="007C1AD8" w:rsidRPr="00F403DA">
        <w:rPr>
          <w:rFonts w:ascii="Arial" w:hAnsi="Arial" w:cs="Arial"/>
          <w:sz w:val="20"/>
          <w:szCs w:val="20"/>
        </w:rPr>
        <w:t>association</w:t>
      </w:r>
      <w:r w:rsidRPr="00F403DA">
        <w:rPr>
          <w:rFonts w:ascii="Arial" w:hAnsi="Arial" w:cs="Arial"/>
          <w:sz w:val="20"/>
          <w:szCs w:val="20"/>
        </w:rPr>
        <w:t xml:space="preserve"> between economic development (typically measured by income per capita) and environmental degradation. The theory </w:t>
      </w:r>
      <w:r w:rsidR="00750C57" w:rsidRPr="00F403DA">
        <w:rPr>
          <w:rFonts w:ascii="Arial" w:hAnsi="Arial" w:cs="Arial"/>
          <w:sz w:val="20"/>
          <w:szCs w:val="20"/>
        </w:rPr>
        <w:t>proposes</w:t>
      </w:r>
      <w:r w:rsidRPr="00F403DA">
        <w:rPr>
          <w:rFonts w:ascii="Arial" w:hAnsi="Arial" w:cs="Arial"/>
          <w:sz w:val="20"/>
          <w:szCs w:val="20"/>
        </w:rPr>
        <w:t xml:space="preserve"> that environmental quality deteriorates during early stages of development due to industrialization and resource exploitation but improves beyond a certain income threshold as societies invest in cleaner technologies and stricter regulations (Grossman &amp; Krueger, 1995). Early empirical support for the EKC emerged from studies like </w:t>
      </w:r>
      <w:proofErr w:type="spellStart"/>
      <w:r w:rsidRPr="00F403DA">
        <w:rPr>
          <w:rFonts w:ascii="Arial" w:hAnsi="Arial" w:cs="Arial"/>
          <w:sz w:val="20"/>
          <w:szCs w:val="20"/>
        </w:rPr>
        <w:t>Shafik</w:t>
      </w:r>
      <w:proofErr w:type="spellEnd"/>
      <w:r w:rsidRPr="00F403DA">
        <w:rPr>
          <w:rFonts w:ascii="Arial" w:hAnsi="Arial" w:cs="Arial"/>
          <w:sz w:val="20"/>
          <w:szCs w:val="20"/>
        </w:rPr>
        <w:t xml:space="preserve"> and Bandyopadhyay (1992), who documented this pattern for local pollutants such as sulfur dioxide and water contaminants across a diverse set of countries, using cross-sectional data from the World Bank.</w:t>
      </w:r>
    </w:p>
    <w:p w14:paraId="78D76DDF" w14:textId="6E328EAA" w:rsidR="00DE3B94" w:rsidRPr="00F403DA" w:rsidRDefault="00DE3B94" w:rsidP="00F403DA">
      <w:pPr>
        <w:jc w:val="both"/>
        <w:rPr>
          <w:rFonts w:ascii="Arial" w:hAnsi="Arial" w:cs="Arial"/>
          <w:sz w:val="20"/>
          <w:szCs w:val="20"/>
        </w:rPr>
      </w:pPr>
      <w:r w:rsidRPr="00F403DA">
        <w:rPr>
          <w:rFonts w:ascii="Arial" w:hAnsi="Arial" w:cs="Arial"/>
          <w:sz w:val="20"/>
          <w:szCs w:val="20"/>
        </w:rPr>
        <w:t>However, the applicability of the EKC to global pollutants like CO</w:t>
      </w:r>
      <w:r w:rsidRPr="00F403DA">
        <w:rPr>
          <w:rFonts w:ascii="Arial" w:hAnsi="Arial" w:cs="Arial"/>
          <w:sz w:val="20"/>
          <w:szCs w:val="20"/>
          <w:vertAlign w:val="subscript"/>
        </w:rPr>
        <w:t>2</w:t>
      </w:r>
      <w:r w:rsidRPr="00F403DA">
        <w:rPr>
          <w:rFonts w:ascii="Arial" w:hAnsi="Arial" w:cs="Arial"/>
          <w:sz w:val="20"/>
          <w:szCs w:val="20"/>
        </w:rPr>
        <w:t xml:space="preserve"> emissions and its relevance to developing economies, including BRICS, remain contentious. Stern (2004) critiqued the EKC, arguing that CO</w:t>
      </w:r>
      <w:r w:rsidRPr="00F403DA">
        <w:rPr>
          <w:rFonts w:ascii="Arial" w:hAnsi="Arial" w:cs="Arial"/>
          <w:sz w:val="20"/>
          <w:szCs w:val="20"/>
          <w:vertAlign w:val="subscript"/>
        </w:rPr>
        <w:t>2</w:t>
      </w:r>
      <w:r w:rsidRPr="00F403DA">
        <w:rPr>
          <w:rFonts w:ascii="Arial" w:hAnsi="Arial" w:cs="Arial"/>
          <w:sz w:val="20"/>
          <w:szCs w:val="20"/>
        </w:rPr>
        <w:t xml:space="preserve"> emissions often rise monotonically with income, lacking the turning point predicted by the hypothesis, especially in </w:t>
      </w:r>
      <w:r w:rsidR="0001147E" w:rsidRPr="00F403DA">
        <w:rPr>
          <w:rFonts w:ascii="Arial" w:hAnsi="Arial" w:cs="Arial"/>
          <w:sz w:val="20"/>
          <w:szCs w:val="20"/>
        </w:rPr>
        <w:t>nations</w:t>
      </w:r>
      <w:r w:rsidRPr="00F403DA">
        <w:rPr>
          <w:rFonts w:ascii="Arial" w:hAnsi="Arial" w:cs="Arial"/>
          <w:sz w:val="20"/>
          <w:szCs w:val="20"/>
        </w:rPr>
        <w:t xml:space="preserve"> with high energy intensity (Stern, 2004). This is particularly relevant for BRICS, where fossil fuel-based energy usage (EU) drives both economic growth and emissions, potentially undermining </w:t>
      </w:r>
      <w:r w:rsidRPr="00F403DA">
        <w:rPr>
          <w:rFonts w:ascii="Arial" w:hAnsi="Arial" w:cs="Arial"/>
          <w:sz w:val="20"/>
          <w:szCs w:val="20"/>
        </w:rPr>
        <w:lastRenderedPageBreak/>
        <w:t xml:space="preserve">the EKC’s inverted U-shape (IEA, 2022). Furthermore, the EKC framework typically overlooks trade dynamics and structural economic shifts, which are critical in the BRICS context given their </w:t>
      </w:r>
      <w:r w:rsidR="0001147E" w:rsidRPr="00F403DA">
        <w:rPr>
          <w:rFonts w:ascii="Arial" w:hAnsi="Arial" w:cs="Arial"/>
          <w:sz w:val="20"/>
          <w:szCs w:val="20"/>
        </w:rPr>
        <w:t>speedy</w:t>
      </w:r>
      <w:r w:rsidRPr="00F403DA">
        <w:rPr>
          <w:rFonts w:ascii="Arial" w:hAnsi="Arial" w:cs="Arial"/>
          <w:sz w:val="20"/>
          <w:szCs w:val="20"/>
        </w:rPr>
        <w:t xml:space="preserve"> integration into global markets (Copeland &amp; Taylor, 2004).</w:t>
      </w:r>
    </w:p>
    <w:p w14:paraId="7B9EF6CC" w14:textId="199F1323" w:rsidR="00DE3B94" w:rsidRPr="00DE3B94" w:rsidRDefault="00DE3B94" w:rsidP="00DE3B94">
      <w:pPr>
        <w:spacing w:line="360" w:lineRule="auto"/>
        <w:rPr>
          <w:rFonts w:ascii="Arial" w:hAnsi="Arial" w:cs="Arial"/>
          <w:b/>
          <w:bCs/>
        </w:rPr>
      </w:pPr>
      <w:r w:rsidRPr="00DE3B94">
        <w:rPr>
          <w:rFonts w:ascii="Arial" w:hAnsi="Arial" w:cs="Arial"/>
          <w:b/>
          <w:bCs/>
        </w:rPr>
        <w:t>1.2 Trade and the Environment</w:t>
      </w:r>
    </w:p>
    <w:p w14:paraId="1C6EFACE" w14:textId="716482D5"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The </w:t>
      </w:r>
      <w:r w:rsidR="00C35F9B" w:rsidRPr="00F403DA">
        <w:rPr>
          <w:rFonts w:ascii="Arial" w:hAnsi="Arial" w:cs="Arial"/>
          <w:sz w:val="20"/>
          <w:szCs w:val="20"/>
        </w:rPr>
        <w:t>association</w:t>
      </w:r>
      <w:r w:rsidRPr="00F403DA">
        <w:rPr>
          <w:rFonts w:ascii="Arial" w:hAnsi="Arial" w:cs="Arial"/>
          <w:sz w:val="20"/>
          <w:szCs w:val="20"/>
        </w:rPr>
        <w:t xml:space="preserve"> </w:t>
      </w:r>
      <w:r w:rsidR="00C35F9B" w:rsidRPr="00F403DA">
        <w:rPr>
          <w:rFonts w:ascii="Arial" w:hAnsi="Arial" w:cs="Arial"/>
          <w:sz w:val="20"/>
          <w:szCs w:val="20"/>
        </w:rPr>
        <w:t>amid</w:t>
      </w:r>
      <w:r w:rsidRPr="00F403DA">
        <w:rPr>
          <w:rFonts w:ascii="Arial" w:hAnsi="Arial" w:cs="Arial"/>
          <w:sz w:val="20"/>
          <w:szCs w:val="20"/>
        </w:rPr>
        <w:t xml:space="preserve"> trade openness and quality</w:t>
      </w:r>
      <w:r w:rsidR="00C35F9B">
        <w:rPr>
          <w:rFonts w:ascii="Arial" w:hAnsi="Arial" w:cs="Arial"/>
          <w:sz w:val="20"/>
          <w:szCs w:val="20"/>
        </w:rPr>
        <w:t xml:space="preserve"> of environment</w:t>
      </w:r>
      <w:r w:rsidRPr="00F403DA">
        <w:rPr>
          <w:rFonts w:ascii="Arial" w:hAnsi="Arial" w:cs="Arial"/>
          <w:sz w:val="20"/>
          <w:szCs w:val="20"/>
        </w:rPr>
        <w:t xml:space="preserve"> is a subject of vigorous debate, with theoretical insights drawn from the seminal work of </w:t>
      </w:r>
      <w:proofErr w:type="spellStart"/>
      <w:r w:rsidRPr="00F403DA">
        <w:rPr>
          <w:rFonts w:ascii="Arial" w:hAnsi="Arial" w:cs="Arial"/>
          <w:sz w:val="20"/>
          <w:szCs w:val="20"/>
        </w:rPr>
        <w:t>Antweiler</w:t>
      </w:r>
      <w:proofErr w:type="spellEnd"/>
      <w:r w:rsidRPr="00F403DA">
        <w:rPr>
          <w:rFonts w:ascii="Arial" w:hAnsi="Arial" w:cs="Arial"/>
          <w:sz w:val="20"/>
          <w:szCs w:val="20"/>
        </w:rPr>
        <w:t xml:space="preserve"> et al. (2001). They proposed a tripartite framework to analyze trade’s environmental impact: the scale effect (increased economic activity raises emissions), the technique effect (trade facilitates cleaner technology adoption), and the composition effect (trade alters the industrial mix toward cleaner or dirtier sectors) (</w:t>
      </w:r>
      <w:proofErr w:type="spellStart"/>
      <w:r w:rsidRPr="00F403DA">
        <w:rPr>
          <w:rFonts w:ascii="Arial" w:hAnsi="Arial" w:cs="Arial"/>
          <w:sz w:val="20"/>
          <w:szCs w:val="20"/>
        </w:rPr>
        <w:t>Antweiler</w:t>
      </w:r>
      <w:proofErr w:type="spellEnd"/>
      <w:r w:rsidRPr="00F403DA">
        <w:rPr>
          <w:rFonts w:ascii="Arial" w:hAnsi="Arial" w:cs="Arial"/>
          <w:sz w:val="20"/>
          <w:szCs w:val="20"/>
        </w:rPr>
        <w:t xml:space="preserve"> et al., 2001). Their empirical analysis, based on a global dataset, suggested that trade could reduce emissions in countries with robust environmental policies, where the technique effect outweighs the scale effect. This finding has </w:t>
      </w:r>
      <w:r w:rsidR="00C35F9B" w:rsidRPr="00F403DA">
        <w:rPr>
          <w:rFonts w:ascii="Arial" w:hAnsi="Arial" w:cs="Arial"/>
          <w:sz w:val="20"/>
          <w:szCs w:val="20"/>
        </w:rPr>
        <w:t>substantial</w:t>
      </w:r>
      <w:r w:rsidRPr="00F403DA">
        <w:rPr>
          <w:rFonts w:ascii="Arial" w:hAnsi="Arial" w:cs="Arial"/>
          <w:sz w:val="20"/>
          <w:szCs w:val="20"/>
        </w:rPr>
        <w:t xml:space="preserve"> implications for BRICS, where energy usage (EU) amplifies the scale effect due to reliance on fossil fuels (IEA, 2022).</w:t>
      </w:r>
    </w:p>
    <w:p w14:paraId="68986CB4" w14:textId="7B9F19D1"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Empirical evidence on trade’s environmental impact varies by context. </w:t>
      </w:r>
      <w:proofErr w:type="spellStart"/>
      <w:r w:rsidRPr="00F403DA">
        <w:rPr>
          <w:rFonts w:ascii="Arial" w:hAnsi="Arial" w:cs="Arial"/>
          <w:sz w:val="20"/>
          <w:szCs w:val="20"/>
        </w:rPr>
        <w:t>Managi</w:t>
      </w:r>
      <w:proofErr w:type="spellEnd"/>
      <w:r w:rsidRPr="00F403DA">
        <w:rPr>
          <w:rFonts w:ascii="Arial" w:hAnsi="Arial" w:cs="Arial"/>
          <w:sz w:val="20"/>
          <w:szCs w:val="20"/>
        </w:rPr>
        <w:t xml:space="preserve"> et al. (2009) found that trade openness </w:t>
      </w:r>
      <w:r w:rsidR="00707909" w:rsidRPr="00F403DA">
        <w:rPr>
          <w:rFonts w:ascii="Arial" w:hAnsi="Arial" w:cs="Arial"/>
          <w:sz w:val="20"/>
          <w:szCs w:val="20"/>
        </w:rPr>
        <w:t>rises</w:t>
      </w:r>
      <w:r w:rsidRPr="00F403DA">
        <w:rPr>
          <w:rFonts w:ascii="Arial" w:hAnsi="Arial" w:cs="Arial"/>
          <w:sz w:val="20"/>
          <w:szCs w:val="20"/>
        </w:rPr>
        <w:t xml:space="preserve"> CO</w:t>
      </w:r>
      <w:r w:rsidRPr="00F403DA">
        <w:rPr>
          <w:rFonts w:ascii="Arial" w:hAnsi="Arial" w:cs="Arial"/>
          <w:sz w:val="20"/>
          <w:szCs w:val="20"/>
          <w:vertAlign w:val="subscript"/>
        </w:rPr>
        <w:t>2</w:t>
      </w:r>
      <w:r w:rsidRPr="00F403DA">
        <w:rPr>
          <w:rFonts w:ascii="Arial" w:hAnsi="Arial" w:cs="Arial"/>
          <w:sz w:val="20"/>
          <w:szCs w:val="20"/>
        </w:rPr>
        <w:t xml:space="preserve"> emissions in non-OECD countries, including many developing nations, suggesting that the scale effect dominates in the absence of advanced pollution controls (</w:t>
      </w:r>
      <w:proofErr w:type="spellStart"/>
      <w:r w:rsidRPr="00F403DA">
        <w:rPr>
          <w:rFonts w:ascii="Arial" w:hAnsi="Arial" w:cs="Arial"/>
          <w:sz w:val="20"/>
          <w:szCs w:val="20"/>
        </w:rPr>
        <w:t>Managi</w:t>
      </w:r>
      <w:proofErr w:type="spellEnd"/>
      <w:r w:rsidRPr="00F403DA">
        <w:rPr>
          <w:rFonts w:ascii="Arial" w:hAnsi="Arial" w:cs="Arial"/>
          <w:sz w:val="20"/>
          <w:szCs w:val="20"/>
        </w:rPr>
        <w:t xml:space="preserve"> et al., 2009). Conversely, Shahbaz et al. (2017) reported a nuanced picture: openness</w:t>
      </w:r>
      <w:r w:rsidR="00707909">
        <w:rPr>
          <w:rFonts w:ascii="Arial" w:hAnsi="Arial" w:cs="Arial"/>
          <w:sz w:val="20"/>
          <w:szCs w:val="20"/>
        </w:rPr>
        <w:t xml:space="preserve"> to trade</w:t>
      </w:r>
      <w:r w:rsidRPr="00F403DA">
        <w:rPr>
          <w:rFonts w:ascii="Arial" w:hAnsi="Arial" w:cs="Arial"/>
          <w:sz w:val="20"/>
          <w:szCs w:val="20"/>
        </w:rPr>
        <w:t xml:space="preserve"> </w:t>
      </w:r>
      <w:r w:rsidR="00707909" w:rsidRPr="00F403DA">
        <w:rPr>
          <w:rFonts w:ascii="Arial" w:hAnsi="Arial" w:cs="Arial"/>
          <w:sz w:val="20"/>
          <w:szCs w:val="20"/>
        </w:rPr>
        <w:t>decreases</w:t>
      </w:r>
      <w:r w:rsidRPr="00F403DA">
        <w:rPr>
          <w:rFonts w:ascii="Arial" w:hAnsi="Arial" w:cs="Arial"/>
          <w:sz w:val="20"/>
          <w:szCs w:val="20"/>
        </w:rPr>
        <w:t xml:space="preserve"> emissions in high-income countries but increases them in low-income ones, highlighting the role of institutional quality and technological capacity (Shahbaz et al., 2017). For BRICS, where energy-intensive exports (e.g., Russian oil, Brazilian commodities) are prevalent, the inclusion of EU as a control variable is essential to disentangle trade’s direct effects from its energy-driven consequences (World Bank, 2023).</w:t>
      </w:r>
    </w:p>
    <w:p w14:paraId="3A8F1440" w14:textId="596BBC33" w:rsidR="00DE3B94" w:rsidRPr="00DE3B94" w:rsidRDefault="00DE3B94" w:rsidP="00F403DA">
      <w:pPr>
        <w:spacing w:before="120" w:after="120" w:line="360" w:lineRule="auto"/>
        <w:rPr>
          <w:rFonts w:ascii="Arial" w:hAnsi="Arial" w:cs="Arial"/>
          <w:b/>
          <w:bCs/>
        </w:rPr>
      </w:pPr>
      <w:r w:rsidRPr="00DE3B94">
        <w:rPr>
          <w:rFonts w:ascii="Arial" w:hAnsi="Arial" w:cs="Arial"/>
          <w:b/>
          <w:bCs/>
        </w:rPr>
        <w:t>1.3 BRICS-Specific Studies</w:t>
      </w:r>
    </w:p>
    <w:p w14:paraId="1E08B371" w14:textId="17AFE461"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A growing body of research has </w:t>
      </w:r>
      <w:r w:rsidR="00C16E13" w:rsidRPr="00F403DA">
        <w:rPr>
          <w:rFonts w:ascii="Arial" w:hAnsi="Arial" w:cs="Arial"/>
          <w:sz w:val="20"/>
          <w:szCs w:val="20"/>
        </w:rPr>
        <w:t>fixated</w:t>
      </w:r>
      <w:r w:rsidRPr="00F403DA">
        <w:rPr>
          <w:rFonts w:ascii="Arial" w:hAnsi="Arial" w:cs="Arial"/>
          <w:sz w:val="20"/>
          <w:szCs w:val="20"/>
        </w:rPr>
        <w:t xml:space="preserve"> </w:t>
      </w:r>
      <w:r w:rsidR="00C16E13">
        <w:rPr>
          <w:rFonts w:ascii="Arial" w:hAnsi="Arial" w:cs="Arial"/>
          <w:sz w:val="20"/>
          <w:szCs w:val="20"/>
        </w:rPr>
        <w:t>up</w:t>
      </w:r>
      <w:r w:rsidRPr="00F403DA">
        <w:rPr>
          <w:rFonts w:ascii="Arial" w:hAnsi="Arial" w:cs="Arial"/>
          <w:sz w:val="20"/>
          <w:szCs w:val="20"/>
        </w:rPr>
        <w:t xml:space="preserve">on the development-environment-trade nexus within BRICS, often employing time-series or panel data methods. Pao and Tsai (2011) </w:t>
      </w:r>
      <w:r w:rsidR="00C16E13" w:rsidRPr="00F403DA">
        <w:rPr>
          <w:rFonts w:ascii="Arial" w:hAnsi="Arial" w:cs="Arial"/>
          <w:sz w:val="20"/>
          <w:szCs w:val="20"/>
        </w:rPr>
        <w:t>observed</w:t>
      </w:r>
      <w:r w:rsidRPr="00F403DA">
        <w:rPr>
          <w:rFonts w:ascii="Arial" w:hAnsi="Arial" w:cs="Arial"/>
          <w:sz w:val="20"/>
          <w:szCs w:val="20"/>
        </w:rPr>
        <w:t xml:space="preserve"> the relationship between CO</w:t>
      </w:r>
      <w:r w:rsidRPr="00F403DA">
        <w:rPr>
          <w:rFonts w:ascii="Arial" w:hAnsi="Arial" w:cs="Arial"/>
          <w:sz w:val="20"/>
          <w:szCs w:val="20"/>
          <w:vertAlign w:val="subscript"/>
        </w:rPr>
        <w:t>2</w:t>
      </w:r>
      <w:r w:rsidRPr="00F403DA">
        <w:rPr>
          <w:rFonts w:ascii="Arial" w:hAnsi="Arial" w:cs="Arial"/>
          <w:sz w:val="20"/>
          <w:szCs w:val="20"/>
        </w:rPr>
        <w:t xml:space="preserve"> emissions, energy consumption, and GDP in Brazil, Russia, India, and China, finding long-run cointegration and bidirectional </w:t>
      </w:r>
      <w:r w:rsidR="00C16E13" w:rsidRPr="00F403DA">
        <w:rPr>
          <w:rFonts w:ascii="Arial" w:hAnsi="Arial" w:cs="Arial"/>
          <w:sz w:val="20"/>
          <w:szCs w:val="20"/>
        </w:rPr>
        <w:t>connectedness</w:t>
      </w:r>
      <w:r w:rsidRPr="00F403DA">
        <w:rPr>
          <w:rFonts w:ascii="Arial" w:hAnsi="Arial" w:cs="Arial"/>
          <w:sz w:val="20"/>
          <w:szCs w:val="20"/>
        </w:rPr>
        <w:t xml:space="preserve"> between energy use and emissions (Pao &amp; Tsai, 2011). Their study underscored the pivotal role of energy usage (EU), a finding we extend by incorporating trade openness (TO) into the analysis. Similarly, </w:t>
      </w:r>
      <w:proofErr w:type="spellStart"/>
      <w:r w:rsidRPr="00F403DA">
        <w:rPr>
          <w:rFonts w:ascii="Arial" w:hAnsi="Arial" w:cs="Arial"/>
          <w:sz w:val="20"/>
          <w:szCs w:val="20"/>
        </w:rPr>
        <w:t>Sebri</w:t>
      </w:r>
      <w:proofErr w:type="spellEnd"/>
      <w:r w:rsidRPr="00F403DA">
        <w:rPr>
          <w:rFonts w:ascii="Arial" w:hAnsi="Arial" w:cs="Arial"/>
          <w:sz w:val="20"/>
          <w:szCs w:val="20"/>
        </w:rPr>
        <w:t xml:space="preserve"> and Ben-</w:t>
      </w:r>
      <w:proofErr w:type="spellStart"/>
      <w:r w:rsidRPr="00F403DA">
        <w:rPr>
          <w:rFonts w:ascii="Arial" w:hAnsi="Arial" w:cs="Arial"/>
          <w:sz w:val="20"/>
          <w:szCs w:val="20"/>
        </w:rPr>
        <w:t>Salha</w:t>
      </w:r>
      <w:proofErr w:type="spellEnd"/>
      <w:r w:rsidRPr="00F403DA">
        <w:rPr>
          <w:rFonts w:ascii="Arial" w:hAnsi="Arial" w:cs="Arial"/>
          <w:sz w:val="20"/>
          <w:szCs w:val="20"/>
        </w:rPr>
        <w:t xml:space="preserve"> (2014) investigated the </w:t>
      </w:r>
      <w:r w:rsidR="00C16E13" w:rsidRPr="00F403DA">
        <w:rPr>
          <w:rFonts w:ascii="Arial" w:hAnsi="Arial" w:cs="Arial"/>
          <w:sz w:val="20"/>
          <w:szCs w:val="20"/>
        </w:rPr>
        <w:t>underlying</w:t>
      </w:r>
      <w:r w:rsidRPr="00F403DA">
        <w:rPr>
          <w:rFonts w:ascii="Arial" w:hAnsi="Arial" w:cs="Arial"/>
          <w:sz w:val="20"/>
          <w:szCs w:val="20"/>
        </w:rPr>
        <w:t xml:space="preserve"> </w:t>
      </w:r>
      <w:r w:rsidR="00C16E13" w:rsidRPr="00F403DA">
        <w:rPr>
          <w:rFonts w:ascii="Arial" w:hAnsi="Arial" w:cs="Arial"/>
          <w:sz w:val="20"/>
          <w:szCs w:val="20"/>
        </w:rPr>
        <w:t>subtleties</w:t>
      </w:r>
      <w:r w:rsidRPr="00F403DA">
        <w:rPr>
          <w:rFonts w:ascii="Arial" w:hAnsi="Arial" w:cs="Arial"/>
          <w:sz w:val="20"/>
          <w:szCs w:val="20"/>
        </w:rPr>
        <w:t xml:space="preserve"> among economic growth, renewable energy consumption, CO</w:t>
      </w:r>
      <w:r w:rsidRPr="00F403DA">
        <w:rPr>
          <w:rFonts w:ascii="Arial" w:hAnsi="Arial" w:cs="Arial"/>
          <w:sz w:val="20"/>
          <w:szCs w:val="20"/>
          <w:vertAlign w:val="subscript"/>
        </w:rPr>
        <w:t>2</w:t>
      </w:r>
      <w:r w:rsidRPr="00F403DA">
        <w:rPr>
          <w:rFonts w:ascii="Arial" w:hAnsi="Arial" w:cs="Arial"/>
          <w:sz w:val="20"/>
          <w:szCs w:val="20"/>
        </w:rPr>
        <w:t xml:space="preserve"> emissions, and openness</w:t>
      </w:r>
      <w:r w:rsidR="00C16E13">
        <w:rPr>
          <w:rFonts w:ascii="Arial" w:hAnsi="Arial" w:cs="Arial"/>
          <w:sz w:val="20"/>
          <w:szCs w:val="20"/>
        </w:rPr>
        <w:t xml:space="preserve"> to trade</w:t>
      </w:r>
      <w:r w:rsidRPr="00F403DA">
        <w:rPr>
          <w:rFonts w:ascii="Arial" w:hAnsi="Arial" w:cs="Arial"/>
          <w:sz w:val="20"/>
          <w:szCs w:val="20"/>
        </w:rPr>
        <w:t xml:space="preserve"> in BRICS, reporting that openness </w:t>
      </w:r>
      <w:r w:rsidR="00A056C2">
        <w:rPr>
          <w:rFonts w:ascii="Arial" w:hAnsi="Arial" w:cs="Arial"/>
          <w:sz w:val="20"/>
          <w:szCs w:val="20"/>
        </w:rPr>
        <w:t xml:space="preserve">to trade </w:t>
      </w:r>
      <w:r w:rsidRPr="00F403DA">
        <w:rPr>
          <w:rFonts w:ascii="Arial" w:hAnsi="Arial" w:cs="Arial"/>
          <w:sz w:val="20"/>
          <w:szCs w:val="20"/>
        </w:rPr>
        <w:t>(TO) Granger causes CO</w:t>
      </w:r>
      <w:r w:rsidRPr="00F403DA">
        <w:rPr>
          <w:rFonts w:ascii="Arial" w:hAnsi="Arial" w:cs="Arial"/>
          <w:sz w:val="20"/>
          <w:szCs w:val="20"/>
          <w:vertAlign w:val="subscript"/>
        </w:rPr>
        <w:t>2</w:t>
      </w:r>
      <w:r w:rsidRPr="00F403DA">
        <w:rPr>
          <w:rFonts w:ascii="Arial" w:hAnsi="Arial" w:cs="Arial"/>
          <w:sz w:val="20"/>
          <w:szCs w:val="20"/>
        </w:rPr>
        <w:t xml:space="preserve"> emissions, a relationship mediated by energy intensity (</w:t>
      </w:r>
      <w:proofErr w:type="spellStart"/>
      <w:r w:rsidRPr="00F403DA">
        <w:rPr>
          <w:rFonts w:ascii="Arial" w:hAnsi="Arial" w:cs="Arial"/>
          <w:sz w:val="20"/>
          <w:szCs w:val="20"/>
        </w:rPr>
        <w:t>Sebri</w:t>
      </w:r>
      <w:proofErr w:type="spellEnd"/>
      <w:r w:rsidRPr="00F403DA">
        <w:rPr>
          <w:rFonts w:ascii="Arial" w:hAnsi="Arial" w:cs="Arial"/>
          <w:sz w:val="20"/>
          <w:szCs w:val="20"/>
        </w:rPr>
        <w:t xml:space="preserve"> &amp; Ben-</w:t>
      </w:r>
      <w:proofErr w:type="spellStart"/>
      <w:r w:rsidRPr="00F403DA">
        <w:rPr>
          <w:rFonts w:ascii="Arial" w:hAnsi="Arial" w:cs="Arial"/>
          <w:sz w:val="20"/>
          <w:szCs w:val="20"/>
        </w:rPr>
        <w:t>Salha</w:t>
      </w:r>
      <w:proofErr w:type="spellEnd"/>
      <w:r w:rsidRPr="00F403DA">
        <w:rPr>
          <w:rFonts w:ascii="Arial" w:hAnsi="Arial" w:cs="Arial"/>
          <w:sz w:val="20"/>
          <w:szCs w:val="20"/>
        </w:rPr>
        <w:t>, 2014).</w:t>
      </w:r>
    </w:p>
    <w:p w14:paraId="4ED8C7DF" w14:textId="7F9A31D8" w:rsidR="00DE3B94" w:rsidRPr="00F403DA" w:rsidRDefault="00DE3B94" w:rsidP="00F403DA">
      <w:pPr>
        <w:jc w:val="both"/>
        <w:rPr>
          <w:rFonts w:ascii="Arial" w:hAnsi="Arial" w:cs="Arial"/>
          <w:sz w:val="20"/>
          <w:szCs w:val="20"/>
        </w:rPr>
      </w:pPr>
      <w:r w:rsidRPr="00F403DA">
        <w:rPr>
          <w:rFonts w:ascii="Arial" w:hAnsi="Arial" w:cs="Arial"/>
          <w:sz w:val="20"/>
          <w:szCs w:val="20"/>
        </w:rPr>
        <w:t xml:space="preserve">Despite these contributions, </w:t>
      </w:r>
      <w:r w:rsidR="009456B4" w:rsidRPr="00F403DA">
        <w:rPr>
          <w:rFonts w:ascii="Arial" w:hAnsi="Arial" w:cs="Arial"/>
          <w:sz w:val="20"/>
          <w:szCs w:val="20"/>
        </w:rPr>
        <w:t>limited</w:t>
      </w:r>
      <w:r w:rsidRPr="00F403DA">
        <w:rPr>
          <w:rFonts w:ascii="Arial" w:hAnsi="Arial" w:cs="Arial"/>
          <w:sz w:val="20"/>
          <w:szCs w:val="20"/>
        </w:rPr>
        <w:t xml:space="preserve"> studies have adopted a panel VAR approach to </w:t>
      </w:r>
      <w:r w:rsidR="009456B4" w:rsidRPr="00F403DA">
        <w:rPr>
          <w:rFonts w:ascii="Arial" w:hAnsi="Arial" w:cs="Arial"/>
          <w:sz w:val="20"/>
          <w:szCs w:val="20"/>
        </w:rPr>
        <w:t>apprehen</w:t>
      </w:r>
      <w:r w:rsidR="009456B4">
        <w:rPr>
          <w:rFonts w:ascii="Arial" w:hAnsi="Arial" w:cs="Arial"/>
          <w:sz w:val="20"/>
          <w:szCs w:val="20"/>
        </w:rPr>
        <w:t>d</w:t>
      </w:r>
      <w:r w:rsidRPr="00F403DA">
        <w:rPr>
          <w:rFonts w:ascii="Arial" w:hAnsi="Arial" w:cs="Arial"/>
          <w:sz w:val="20"/>
          <w:szCs w:val="20"/>
        </w:rPr>
        <w:t xml:space="preserve"> the dynamic, short-term interactions among GDPPC, CO</w:t>
      </w:r>
      <w:r w:rsidRPr="00F403DA">
        <w:rPr>
          <w:rFonts w:ascii="Arial" w:hAnsi="Arial" w:cs="Arial"/>
          <w:sz w:val="20"/>
          <w:szCs w:val="20"/>
          <w:vertAlign w:val="subscript"/>
        </w:rPr>
        <w:t>2</w:t>
      </w:r>
      <w:r w:rsidRPr="00F403DA">
        <w:rPr>
          <w:rFonts w:ascii="Arial" w:hAnsi="Arial" w:cs="Arial"/>
          <w:sz w:val="20"/>
          <w:szCs w:val="20"/>
        </w:rPr>
        <w:t xml:space="preserve">, TO, and EU in BRICS. </w:t>
      </w:r>
      <w:proofErr w:type="spellStart"/>
      <w:r w:rsidRPr="00F403DA">
        <w:rPr>
          <w:rFonts w:ascii="Arial" w:hAnsi="Arial" w:cs="Arial"/>
          <w:sz w:val="20"/>
          <w:szCs w:val="20"/>
        </w:rPr>
        <w:t>Tamazian</w:t>
      </w:r>
      <w:proofErr w:type="spellEnd"/>
      <w:r w:rsidRPr="00F403DA">
        <w:rPr>
          <w:rFonts w:ascii="Arial" w:hAnsi="Arial" w:cs="Arial"/>
          <w:sz w:val="20"/>
          <w:szCs w:val="20"/>
        </w:rPr>
        <w:t xml:space="preserve"> et al. (2009) explored the </w:t>
      </w:r>
      <w:r w:rsidR="009456B4" w:rsidRPr="00F403DA">
        <w:rPr>
          <w:rFonts w:ascii="Arial" w:hAnsi="Arial" w:cs="Arial"/>
          <w:sz w:val="20"/>
          <w:szCs w:val="20"/>
        </w:rPr>
        <w:t>effect</w:t>
      </w:r>
      <w:r w:rsidRPr="00F403DA">
        <w:rPr>
          <w:rFonts w:ascii="Arial" w:hAnsi="Arial" w:cs="Arial"/>
          <w:sz w:val="20"/>
          <w:szCs w:val="20"/>
        </w:rPr>
        <w:t xml:space="preserve"> of financial development and economic </w:t>
      </w:r>
      <w:r w:rsidR="009456B4" w:rsidRPr="00F403DA">
        <w:rPr>
          <w:rFonts w:ascii="Arial" w:hAnsi="Arial" w:cs="Arial"/>
          <w:sz w:val="20"/>
          <w:szCs w:val="20"/>
        </w:rPr>
        <w:t>progress</w:t>
      </w:r>
      <w:r w:rsidRPr="00F403DA">
        <w:rPr>
          <w:rFonts w:ascii="Arial" w:hAnsi="Arial" w:cs="Arial"/>
          <w:sz w:val="20"/>
          <w:szCs w:val="20"/>
        </w:rPr>
        <w:t xml:space="preserve"> on CO</w:t>
      </w:r>
      <w:r w:rsidRPr="00F403DA">
        <w:rPr>
          <w:rFonts w:ascii="Arial" w:hAnsi="Arial" w:cs="Arial"/>
          <w:sz w:val="20"/>
          <w:szCs w:val="20"/>
          <w:vertAlign w:val="subscript"/>
        </w:rPr>
        <w:t>2</w:t>
      </w:r>
      <w:r w:rsidRPr="00F403DA">
        <w:rPr>
          <w:rFonts w:ascii="Arial" w:hAnsi="Arial" w:cs="Arial"/>
          <w:sz w:val="20"/>
          <w:szCs w:val="20"/>
        </w:rPr>
        <w:t xml:space="preserve"> emissions in BRICS, finding that higher per capita GDP increases emissions, but they did not </w:t>
      </w:r>
      <w:r w:rsidR="009456B4" w:rsidRPr="00F403DA">
        <w:rPr>
          <w:rFonts w:ascii="Arial" w:hAnsi="Arial" w:cs="Arial"/>
          <w:sz w:val="20"/>
          <w:szCs w:val="20"/>
        </w:rPr>
        <w:t>embrace</w:t>
      </w:r>
      <w:r w:rsidRPr="00F403DA">
        <w:rPr>
          <w:rFonts w:ascii="Arial" w:hAnsi="Arial" w:cs="Arial"/>
          <w:sz w:val="20"/>
          <w:szCs w:val="20"/>
        </w:rPr>
        <w:t xml:space="preserve"> trade openness or explicitly control for energy usage (</w:t>
      </w:r>
      <w:proofErr w:type="spellStart"/>
      <w:r w:rsidRPr="00F403DA">
        <w:rPr>
          <w:rFonts w:ascii="Arial" w:hAnsi="Arial" w:cs="Arial"/>
          <w:sz w:val="20"/>
          <w:szCs w:val="20"/>
        </w:rPr>
        <w:t>Tamazian</w:t>
      </w:r>
      <w:proofErr w:type="spellEnd"/>
      <w:r w:rsidRPr="00F403DA">
        <w:rPr>
          <w:rFonts w:ascii="Arial" w:hAnsi="Arial" w:cs="Arial"/>
          <w:sz w:val="20"/>
          <w:szCs w:val="20"/>
        </w:rPr>
        <w:t xml:space="preserve"> et al., 2009). Our </w:t>
      </w:r>
      <w:r w:rsidR="009456B4">
        <w:rPr>
          <w:rFonts w:ascii="Arial" w:hAnsi="Arial" w:cs="Arial"/>
          <w:sz w:val="20"/>
          <w:szCs w:val="20"/>
        </w:rPr>
        <w:t>research work</w:t>
      </w:r>
      <w:r w:rsidRPr="00F403DA">
        <w:rPr>
          <w:rFonts w:ascii="Arial" w:hAnsi="Arial" w:cs="Arial"/>
          <w:sz w:val="20"/>
          <w:szCs w:val="20"/>
        </w:rPr>
        <w:t xml:space="preserve"> </w:t>
      </w:r>
      <w:r w:rsidR="009456B4" w:rsidRPr="00F403DA">
        <w:rPr>
          <w:rFonts w:ascii="Arial" w:hAnsi="Arial" w:cs="Arial"/>
          <w:sz w:val="20"/>
          <w:szCs w:val="20"/>
        </w:rPr>
        <w:t>reports</w:t>
      </w:r>
      <w:r w:rsidRPr="00F403DA">
        <w:rPr>
          <w:rFonts w:ascii="Arial" w:hAnsi="Arial" w:cs="Arial"/>
          <w:sz w:val="20"/>
          <w:szCs w:val="20"/>
        </w:rPr>
        <w:t xml:space="preserve"> this gap by integrating EU as a control variable and employing a panel VAR framework, which </w:t>
      </w:r>
      <w:r w:rsidR="009456B4" w:rsidRPr="00F403DA">
        <w:rPr>
          <w:rFonts w:ascii="Arial" w:hAnsi="Arial" w:cs="Arial"/>
          <w:sz w:val="20"/>
          <w:szCs w:val="20"/>
        </w:rPr>
        <w:t>permits</w:t>
      </w:r>
      <w:r w:rsidRPr="00F403DA">
        <w:rPr>
          <w:rFonts w:ascii="Arial" w:hAnsi="Arial" w:cs="Arial"/>
          <w:sz w:val="20"/>
          <w:szCs w:val="20"/>
        </w:rPr>
        <w:t xml:space="preserve"> the estimation of impulse response functions, offering a richer </w:t>
      </w:r>
      <w:r w:rsidR="009456B4" w:rsidRPr="00F403DA">
        <w:rPr>
          <w:rFonts w:ascii="Arial" w:hAnsi="Arial" w:cs="Arial"/>
          <w:sz w:val="20"/>
          <w:szCs w:val="20"/>
        </w:rPr>
        <w:t>examination</w:t>
      </w:r>
      <w:r w:rsidRPr="00F403DA">
        <w:rPr>
          <w:rFonts w:ascii="Arial" w:hAnsi="Arial" w:cs="Arial"/>
          <w:sz w:val="20"/>
          <w:szCs w:val="20"/>
        </w:rPr>
        <w:t xml:space="preserve"> of the nexus (Love &amp; </w:t>
      </w:r>
      <w:proofErr w:type="spellStart"/>
      <w:r w:rsidRPr="00F403DA">
        <w:rPr>
          <w:rFonts w:ascii="Arial" w:hAnsi="Arial" w:cs="Arial"/>
          <w:sz w:val="20"/>
          <w:szCs w:val="20"/>
        </w:rPr>
        <w:t>Zicchino</w:t>
      </w:r>
      <w:proofErr w:type="spellEnd"/>
      <w:r w:rsidRPr="00F403DA">
        <w:rPr>
          <w:rFonts w:ascii="Arial" w:hAnsi="Arial" w:cs="Arial"/>
          <w:sz w:val="20"/>
          <w:szCs w:val="20"/>
        </w:rPr>
        <w:t>, 2006).</w:t>
      </w:r>
    </w:p>
    <w:p w14:paraId="6D789D56" w14:textId="02A2C74B" w:rsidR="00DE3B94" w:rsidRPr="00DE3B94" w:rsidRDefault="00DE3B94" w:rsidP="00DE3B94">
      <w:pPr>
        <w:spacing w:line="360" w:lineRule="auto"/>
        <w:rPr>
          <w:rFonts w:ascii="Arial" w:hAnsi="Arial" w:cs="Arial"/>
          <w:b/>
          <w:bCs/>
        </w:rPr>
      </w:pPr>
      <w:r w:rsidRPr="00DE3B94">
        <w:rPr>
          <w:rFonts w:ascii="Arial" w:hAnsi="Arial" w:cs="Arial"/>
          <w:b/>
          <w:bCs/>
        </w:rPr>
        <w:t>1.4 Energy Usage as a Control Variable</w:t>
      </w:r>
    </w:p>
    <w:p w14:paraId="4738D897" w14:textId="3ED5C575" w:rsidR="00DE3B94" w:rsidRPr="00854999" w:rsidRDefault="00DE3B94" w:rsidP="00854999">
      <w:pPr>
        <w:jc w:val="both"/>
        <w:rPr>
          <w:rFonts w:ascii="Arial" w:hAnsi="Arial" w:cs="Arial"/>
          <w:sz w:val="20"/>
          <w:szCs w:val="20"/>
        </w:rPr>
      </w:pPr>
      <w:r w:rsidRPr="00854999">
        <w:rPr>
          <w:rFonts w:ascii="Arial" w:hAnsi="Arial" w:cs="Arial"/>
          <w:sz w:val="20"/>
          <w:szCs w:val="20"/>
        </w:rPr>
        <w:t>Energy usage (EU) is a linchpin in the development-environment-trade nexus, particularly in BRICS, where industrialization and trade expansion have been fueled by fossil fuel consumption. As a control variable, EU accounts for the energy intensity of economic activities, enabling us to isolate the independent effects of GDPPC and TO on CO</w:t>
      </w:r>
      <w:r w:rsidRPr="00854999">
        <w:rPr>
          <w:rFonts w:ascii="Arial" w:hAnsi="Arial" w:cs="Arial"/>
          <w:sz w:val="20"/>
          <w:szCs w:val="20"/>
          <w:vertAlign w:val="subscript"/>
        </w:rPr>
        <w:t>2</w:t>
      </w:r>
      <w:r w:rsidRPr="00854999">
        <w:rPr>
          <w:rFonts w:ascii="Arial" w:hAnsi="Arial" w:cs="Arial"/>
          <w:sz w:val="20"/>
          <w:szCs w:val="20"/>
        </w:rPr>
        <w:t xml:space="preserve"> emissions (Stern, 2018). The BRICS countries have </w:t>
      </w:r>
      <w:r w:rsidR="00AC3474" w:rsidRPr="00854999">
        <w:rPr>
          <w:rFonts w:ascii="Arial" w:hAnsi="Arial" w:cs="Arial"/>
          <w:sz w:val="20"/>
          <w:szCs w:val="20"/>
        </w:rPr>
        <w:t>realized</w:t>
      </w:r>
      <w:r w:rsidRPr="00854999">
        <w:rPr>
          <w:rFonts w:ascii="Arial" w:hAnsi="Arial" w:cs="Arial"/>
          <w:sz w:val="20"/>
          <w:szCs w:val="20"/>
        </w:rPr>
        <w:t xml:space="preserve"> dramatic </w:t>
      </w:r>
      <w:r w:rsidR="00AC3474" w:rsidRPr="00854999">
        <w:rPr>
          <w:rFonts w:ascii="Arial" w:hAnsi="Arial" w:cs="Arial"/>
          <w:sz w:val="20"/>
          <w:szCs w:val="20"/>
        </w:rPr>
        <w:t>growth</w:t>
      </w:r>
      <w:r w:rsidR="00AC3474">
        <w:rPr>
          <w:rFonts w:ascii="Arial" w:hAnsi="Arial" w:cs="Arial"/>
          <w:sz w:val="20"/>
          <w:szCs w:val="20"/>
        </w:rPr>
        <w:t xml:space="preserve"> </w:t>
      </w:r>
      <w:r w:rsidRPr="00854999">
        <w:rPr>
          <w:rFonts w:ascii="Arial" w:hAnsi="Arial" w:cs="Arial"/>
          <w:sz w:val="20"/>
          <w:szCs w:val="20"/>
        </w:rPr>
        <w:t xml:space="preserve">in energy consumption over the past decades, with China and India leading global demand growth, Russia </w:t>
      </w:r>
      <w:r w:rsidRPr="00854999">
        <w:rPr>
          <w:rFonts w:ascii="Arial" w:hAnsi="Arial" w:cs="Arial"/>
          <w:sz w:val="20"/>
          <w:szCs w:val="20"/>
        </w:rPr>
        <w:lastRenderedPageBreak/>
        <w:t>exporting vast quantities of oil and gas, and South Africa relying heavily on coal (IEA, 2022). This energy profile amplifies CO</w:t>
      </w:r>
      <w:r w:rsidRPr="00854999">
        <w:rPr>
          <w:rFonts w:ascii="Arial" w:hAnsi="Arial" w:cs="Arial"/>
          <w:sz w:val="20"/>
          <w:szCs w:val="20"/>
          <w:vertAlign w:val="subscript"/>
        </w:rPr>
        <w:t>2</w:t>
      </w:r>
      <w:r w:rsidRPr="00854999">
        <w:rPr>
          <w:rFonts w:ascii="Arial" w:hAnsi="Arial" w:cs="Arial"/>
          <w:sz w:val="20"/>
          <w:szCs w:val="20"/>
        </w:rPr>
        <w:t xml:space="preserve"> emissions, making EU a critical factor in our models (World Bank, 2023).</w:t>
      </w:r>
    </w:p>
    <w:p w14:paraId="6AD9E581" w14:textId="139E6948" w:rsidR="00DE3B94" w:rsidRPr="00854999" w:rsidRDefault="00DE3B94" w:rsidP="00854999">
      <w:pPr>
        <w:jc w:val="both"/>
        <w:rPr>
          <w:rFonts w:ascii="Arial" w:hAnsi="Arial" w:cs="Arial"/>
          <w:sz w:val="20"/>
          <w:szCs w:val="20"/>
        </w:rPr>
      </w:pPr>
      <w:r w:rsidRPr="00854999">
        <w:rPr>
          <w:rFonts w:ascii="Arial" w:hAnsi="Arial" w:cs="Arial"/>
          <w:sz w:val="20"/>
          <w:szCs w:val="20"/>
        </w:rPr>
        <w:t>Theoretically, energy usage mediates the relationships among development, trade, and environment by linking economic output to emissions through production processes. For instance, higher GDPPC often requires greater energy inputs, which in BRICS are predominantly carbon-intensive, while trade openness may increase energy demand via export-led growth (Grossman &amp; Krueger, 1995). Empirical studies, such as Pao and Tsai (2011), confirm that energy consumption is a significant driver of CO</w:t>
      </w:r>
      <w:r w:rsidRPr="00854999">
        <w:rPr>
          <w:rFonts w:ascii="Arial" w:hAnsi="Arial" w:cs="Arial"/>
          <w:sz w:val="20"/>
          <w:szCs w:val="20"/>
          <w:vertAlign w:val="subscript"/>
        </w:rPr>
        <w:t>2</w:t>
      </w:r>
      <w:r w:rsidRPr="00854999">
        <w:rPr>
          <w:rFonts w:ascii="Arial" w:hAnsi="Arial" w:cs="Arial"/>
          <w:sz w:val="20"/>
          <w:szCs w:val="20"/>
        </w:rPr>
        <w:t xml:space="preserve"> emissions in BRICS, reinforcing the need to control for EU to avoid omitted variable bias in our analysis (Pao &amp; Tsai, 2011). By explicitly including EU, we enhance the robustness of our findings and provide a </w:t>
      </w:r>
      <w:r w:rsidR="00AC3474">
        <w:rPr>
          <w:rFonts w:ascii="Arial" w:hAnsi="Arial" w:cs="Arial"/>
          <w:sz w:val="20"/>
          <w:szCs w:val="20"/>
        </w:rPr>
        <w:t>richer</w:t>
      </w:r>
      <w:r w:rsidRPr="00854999">
        <w:rPr>
          <w:rFonts w:ascii="Arial" w:hAnsi="Arial" w:cs="Arial"/>
          <w:sz w:val="20"/>
          <w:szCs w:val="20"/>
        </w:rPr>
        <w:t xml:space="preserve"> </w:t>
      </w:r>
      <w:r w:rsidR="00AC3474" w:rsidRPr="00854999">
        <w:rPr>
          <w:rFonts w:ascii="Arial" w:hAnsi="Arial" w:cs="Arial"/>
          <w:sz w:val="20"/>
          <w:szCs w:val="20"/>
        </w:rPr>
        <w:t>depiction</w:t>
      </w:r>
      <w:r w:rsidRPr="00854999">
        <w:rPr>
          <w:rFonts w:ascii="Arial" w:hAnsi="Arial" w:cs="Arial"/>
          <w:sz w:val="20"/>
          <w:szCs w:val="20"/>
        </w:rPr>
        <w:t xml:space="preserve"> of the nexus.</w:t>
      </w:r>
    </w:p>
    <w:p w14:paraId="27472936" w14:textId="34659659" w:rsidR="00DE3B94" w:rsidRPr="00DE3B94" w:rsidRDefault="00DE3B94" w:rsidP="00DE3B94">
      <w:pPr>
        <w:tabs>
          <w:tab w:val="left" w:pos="990"/>
        </w:tabs>
        <w:rPr>
          <w:rFonts w:ascii="Arial" w:hAnsi="Arial" w:cs="Arial"/>
          <w:b/>
          <w:bCs/>
        </w:rPr>
      </w:pPr>
      <w:r w:rsidRPr="00DE3B94">
        <w:rPr>
          <w:rFonts w:ascii="Arial" w:hAnsi="Arial" w:cs="Arial"/>
          <w:b/>
          <w:bCs/>
        </w:rPr>
        <w:t>1.5 Motivation of the study</w:t>
      </w:r>
    </w:p>
    <w:p w14:paraId="7775813C" w14:textId="0211CD1C" w:rsidR="00F53B12" w:rsidRPr="00F53B12" w:rsidRDefault="00F53B12" w:rsidP="00F53B12">
      <w:pPr>
        <w:jc w:val="both"/>
        <w:rPr>
          <w:rFonts w:ascii="Arial" w:hAnsi="Arial" w:cs="Arial"/>
          <w:sz w:val="20"/>
          <w:szCs w:val="20"/>
        </w:rPr>
      </w:pPr>
      <w:r w:rsidRPr="00F53B12">
        <w:rPr>
          <w:rFonts w:ascii="Arial" w:hAnsi="Arial" w:cs="Arial"/>
          <w:sz w:val="20"/>
          <w:szCs w:val="20"/>
        </w:rPr>
        <w:t>The BRICS countries—Brazil, Russia, India, China, and South Africa—have emerged as key players in the global economy over recent decades, fueled by rapid industrialization, expanding trade networks, and substantial population size. Together, they contribute about 25% of global GDP and over 40% of the world’s population, serving as vital growth engines in the developing world (World Bank, 2023). However, this economic rise has brought significant environmental challenges, with BRICS nations responsible for nearly 40% of global CO</w:t>
      </w:r>
      <w:r w:rsidRPr="00FC2151">
        <w:rPr>
          <w:rFonts w:ascii="Arial" w:hAnsi="Arial" w:cs="Arial"/>
          <w:sz w:val="20"/>
          <w:szCs w:val="20"/>
          <w:vertAlign w:val="subscript"/>
        </w:rPr>
        <w:t>2</w:t>
      </w:r>
      <w:r w:rsidRPr="00F53B12">
        <w:rPr>
          <w:rFonts w:ascii="Arial" w:hAnsi="Arial" w:cs="Arial"/>
          <w:sz w:val="20"/>
          <w:szCs w:val="20"/>
        </w:rPr>
        <w:t xml:space="preserve"> emissions, driven by their heavy reliance on fossil fuel-based energy systems to support industrial and trade activities (IEA, 2022). This tension between economic dynamism and environmental degradation motivates our study to unravel the complex interplay among economic development, environmental impact, and trade openness, with energy usage (EU) as a </w:t>
      </w:r>
      <w:r w:rsidR="00377777" w:rsidRPr="00F53B12">
        <w:rPr>
          <w:rFonts w:ascii="Arial" w:hAnsi="Arial" w:cs="Arial"/>
          <w:sz w:val="20"/>
          <w:szCs w:val="20"/>
        </w:rPr>
        <w:t>critical</w:t>
      </w:r>
      <w:r w:rsidRPr="00F53B12">
        <w:rPr>
          <w:rFonts w:ascii="Arial" w:hAnsi="Arial" w:cs="Arial"/>
          <w:sz w:val="20"/>
          <w:szCs w:val="20"/>
        </w:rPr>
        <w:t xml:space="preserve"> control variable.</w:t>
      </w:r>
    </w:p>
    <w:p w14:paraId="71EBC20C" w14:textId="43DE203A" w:rsidR="00F53B12" w:rsidRPr="00F53B12" w:rsidRDefault="00F53B12" w:rsidP="00F53B12">
      <w:pPr>
        <w:jc w:val="both"/>
        <w:rPr>
          <w:rFonts w:ascii="Arial" w:hAnsi="Arial" w:cs="Arial"/>
          <w:sz w:val="20"/>
          <w:szCs w:val="20"/>
        </w:rPr>
      </w:pPr>
      <w:r w:rsidRPr="00F53B12">
        <w:rPr>
          <w:rFonts w:ascii="Arial" w:hAnsi="Arial" w:cs="Arial"/>
          <w:sz w:val="20"/>
          <w:szCs w:val="20"/>
        </w:rPr>
        <w:t xml:space="preserve">The </w:t>
      </w:r>
      <w:r w:rsidR="00377777" w:rsidRPr="00F53B12">
        <w:rPr>
          <w:rFonts w:ascii="Arial" w:hAnsi="Arial" w:cs="Arial"/>
          <w:sz w:val="20"/>
          <w:szCs w:val="20"/>
        </w:rPr>
        <w:t>earnestness</w:t>
      </w:r>
      <w:r w:rsidRPr="00F53B12">
        <w:rPr>
          <w:rFonts w:ascii="Arial" w:hAnsi="Arial" w:cs="Arial"/>
          <w:sz w:val="20"/>
          <w:szCs w:val="20"/>
        </w:rPr>
        <w:t xml:space="preserve"> of this research is amplified by the </w:t>
      </w:r>
      <w:r w:rsidR="00377777" w:rsidRPr="00F53B12">
        <w:rPr>
          <w:rFonts w:ascii="Arial" w:hAnsi="Arial" w:cs="Arial"/>
          <w:sz w:val="20"/>
          <w:szCs w:val="20"/>
        </w:rPr>
        <w:t>universal</w:t>
      </w:r>
      <w:r w:rsidRPr="00F53B12">
        <w:rPr>
          <w:rFonts w:ascii="Arial" w:hAnsi="Arial" w:cs="Arial"/>
          <w:sz w:val="20"/>
          <w:szCs w:val="20"/>
        </w:rPr>
        <w:t xml:space="preserve"> </w:t>
      </w:r>
      <w:r w:rsidR="00377777" w:rsidRPr="00F53B12">
        <w:rPr>
          <w:rFonts w:ascii="Arial" w:hAnsi="Arial" w:cs="Arial"/>
          <w:sz w:val="20"/>
          <w:szCs w:val="20"/>
        </w:rPr>
        <w:t>drive</w:t>
      </w:r>
      <w:r w:rsidRPr="00F53B12">
        <w:rPr>
          <w:rFonts w:ascii="Arial" w:hAnsi="Arial" w:cs="Arial"/>
          <w:sz w:val="20"/>
          <w:szCs w:val="20"/>
        </w:rPr>
        <w:t xml:space="preserve"> for climate action and sustainable development. As signatories to the Paris Climate Accord, the BRICS countries have committed to reducing </w:t>
      </w:r>
      <w:r w:rsidR="00377777">
        <w:rPr>
          <w:rFonts w:ascii="Arial" w:hAnsi="Arial" w:cs="Arial"/>
          <w:sz w:val="20"/>
          <w:szCs w:val="20"/>
        </w:rPr>
        <w:t>GHG</w:t>
      </w:r>
      <w:r w:rsidRPr="00F53B12">
        <w:rPr>
          <w:rFonts w:ascii="Arial" w:hAnsi="Arial" w:cs="Arial"/>
          <w:sz w:val="20"/>
          <w:szCs w:val="20"/>
        </w:rPr>
        <w:t xml:space="preserve"> emissions and transitioning to low-carbon economies (UNFCCC, 2015). Yet, unlike developed nations where economic growth has plateaued and environmental regulations are stringent, BRICS face the dual challenge of maintaining high growth rates, boosting trade, and mitigating environmental harm. For instance, China’s export-driven growth has elevated it to the world’s second-largest economy but also the top CO</w:t>
      </w:r>
      <w:r w:rsidRPr="00FC2151">
        <w:rPr>
          <w:rFonts w:ascii="Arial" w:hAnsi="Arial" w:cs="Arial"/>
          <w:sz w:val="20"/>
          <w:szCs w:val="20"/>
          <w:vertAlign w:val="subscript"/>
        </w:rPr>
        <w:t>2</w:t>
      </w:r>
      <w:r w:rsidRPr="00F53B12">
        <w:rPr>
          <w:rFonts w:ascii="Arial" w:hAnsi="Arial" w:cs="Arial"/>
          <w:sz w:val="20"/>
          <w:szCs w:val="20"/>
        </w:rPr>
        <w:t xml:space="preserve"> emitter (World Bank, 2023). India’s rapid industrialization and population growth have escalated energy demand and emissions, while Brazil’s deforestation and agricultural exports present unique ecological risks (FAO, 2021). Russia’s oil and gas export dependency and South Africa’s coal-reliant energy sector further complicate sustainability efforts (IEA, 2022).</w:t>
      </w:r>
    </w:p>
    <w:p w14:paraId="7C802BE2" w14:textId="77777777" w:rsidR="00F53B12" w:rsidRPr="00F53B12" w:rsidRDefault="00F53B12" w:rsidP="00F53B12">
      <w:pPr>
        <w:jc w:val="both"/>
        <w:rPr>
          <w:rFonts w:ascii="Arial" w:hAnsi="Arial" w:cs="Arial"/>
          <w:sz w:val="20"/>
          <w:szCs w:val="20"/>
        </w:rPr>
      </w:pPr>
      <w:r w:rsidRPr="00F53B12">
        <w:rPr>
          <w:rFonts w:ascii="Arial" w:hAnsi="Arial" w:cs="Arial"/>
          <w:sz w:val="20"/>
          <w:szCs w:val="20"/>
        </w:rPr>
        <w:t>This study seeks to explore the trade-offs and synergies among these factors within the BRICS context. Economic development, proxied by GDP per capita (GDPPC), increases demand for energy and resources, often elevating CO</w:t>
      </w:r>
      <w:r w:rsidRPr="00FC2151">
        <w:rPr>
          <w:rFonts w:ascii="Arial" w:hAnsi="Arial" w:cs="Arial"/>
          <w:sz w:val="20"/>
          <w:szCs w:val="20"/>
          <w:vertAlign w:val="subscript"/>
        </w:rPr>
        <w:t>2</w:t>
      </w:r>
      <w:r w:rsidRPr="00F53B12">
        <w:rPr>
          <w:rFonts w:ascii="Arial" w:hAnsi="Arial" w:cs="Arial"/>
          <w:sz w:val="20"/>
          <w:szCs w:val="20"/>
        </w:rPr>
        <w:t xml:space="preserve"> emissions (Stern, 2004). Trade openness (TO), measured as the ratio of total trade to GDP, can exacerbate this through heightened economic activity (scale effect) or alleviate it via technology transfers (technique effect) and production shifts (composition effect) (</w:t>
      </w:r>
      <w:proofErr w:type="spellStart"/>
      <w:r w:rsidRPr="00F53B12">
        <w:rPr>
          <w:rFonts w:ascii="Arial" w:hAnsi="Arial" w:cs="Arial"/>
          <w:sz w:val="20"/>
          <w:szCs w:val="20"/>
        </w:rPr>
        <w:t>Antweiler</w:t>
      </w:r>
      <w:proofErr w:type="spellEnd"/>
      <w:r w:rsidRPr="00F53B12">
        <w:rPr>
          <w:rFonts w:ascii="Arial" w:hAnsi="Arial" w:cs="Arial"/>
          <w:sz w:val="20"/>
          <w:szCs w:val="20"/>
        </w:rPr>
        <w:t xml:space="preserve"> et al., 2001). Energy usage (EU), predominantly fossil fuel-based in BRICS, links economic output and trade to environmental outcomes, making it a pivotal control variable (IEA, 2022).</w:t>
      </w:r>
    </w:p>
    <w:p w14:paraId="5C208219" w14:textId="77777777" w:rsidR="00F53B12" w:rsidRPr="00F53B12" w:rsidRDefault="00F53B12" w:rsidP="00F53B12">
      <w:pPr>
        <w:jc w:val="both"/>
        <w:rPr>
          <w:rFonts w:ascii="Arial" w:hAnsi="Arial" w:cs="Arial"/>
          <w:sz w:val="20"/>
          <w:szCs w:val="20"/>
        </w:rPr>
      </w:pPr>
      <w:r w:rsidRPr="00F53B12">
        <w:rPr>
          <w:rFonts w:ascii="Arial" w:hAnsi="Arial" w:cs="Arial"/>
          <w:sz w:val="20"/>
          <w:szCs w:val="20"/>
        </w:rPr>
        <w:t>The diversity among BRICS countries underscores the study’s relevance. China’s manufacturing strength contrasts with Brazil’s commodity exports, Russia’s energy exports differ from India’s service growth, and South Africa’s mining economy stands apart (UNCTAD, 2021). Yet, all rely on energy-intensive production and trade, amplifying EU’s role. For example, South Africa’s coal-based electricity and Russia’s fossil fuel exports tie their economies to environmental pressures (World Bank, 2023). Understanding these dynamics is vital for crafting tailored policies within a unified framework.</w:t>
      </w:r>
    </w:p>
    <w:p w14:paraId="662BE2CE" w14:textId="062697EB" w:rsidR="00F53B12" w:rsidRPr="00F53B12" w:rsidRDefault="00F53B12" w:rsidP="00F53B12">
      <w:pPr>
        <w:jc w:val="both"/>
        <w:rPr>
          <w:rFonts w:ascii="Arial" w:hAnsi="Arial" w:cs="Arial"/>
          <w:sz w:val="20"/>
          <w:szCs w:val="20"/>
        </w:rPr>
      </w:pPr>
      <w:r w:rsidRPr="00F53B12">
        <w:rPr>
          <w:rFonts w:ascii="Arial" w:hAnsi="Arial" w:cs="Arial"/>
          <w:sz w:val="20"/>
          <w:szCs w:val="20"/>
        </w:rPr>
        <w:t xml:space="preserve">Existing literature highlights gaps this study addresses. While the development-environment-trade nexus has been studied in developed economies or broader developing groups, few </w:t>
      </w:r>
      <w:proofErr w:type="gramStart"/>
      <w:r w:rsidRPr="00F53B12">
        <w:rPr>
          <w:rFonts w:ascii="Arial" w:hAnsi="Arial" w:cs="Arial"/>
          <w:sz w:val="20"/>
          <w:szCs w:val="20"/>
        </w:rPr>
        <w:t>focus</w:t>
      </w:r>
      <w:proofErr w:type="gramEnd"/>
      <w:r w:rsidRPr="00F53B12">
        <w:rPr>
          <w:rFonts w:ascii="Arial" w:hAnsi="Arial" w:cs="Arial"/>
          <w:sz w:val="20"/>
          <w:szCs w:val="20"/>
        </w:rPr>
        <w:t xml:space="preserve"> solely on BRICS (Pao &amp; Tsai, 2011). The limited use of dynamic panel techniques like panel VAR and Granger causality tests offers a chance to uncover new insights into causal and short-term relationships (</w:t>
      </w:r>
      <w:proofErr w:type="spellStart"/>
      <w:r w:rsidRPr="00F53B12">
        <w:rPr>
          <w:rFonts w:ascii="Arial" w:hAnsi="Arial" w:cs="Arial"/>
          <w:sz w:val="20"/>
          <w:szCs w:val="20"/>
        </w:rPr>
        <w:t>Sebri</w:t>
      </w:r>
      <w:proofErr w:type="spellEnd"/>
      <w:r w:rsidRPr="00F53B12">
        <w:rPr>
          <w:rFonts w:ascii="Arial" w:hAnsi="Arial" w:cs="Arial"/>
          <w:sz w:val="20"/>
          <w:szCs w:val="20"/>
        </w:rPr>
        <w:t xml:space="preserve"> &amp; Ben-</w:t>
      </w:r>
      <w:proofErr w:type="spellStart"/>
      <w:r w:rsidRPr="00F53B12">
        <w:rPr>
          <w:rFonts w:ascii="Arial" w:hAnsi="Arial" w:cs="Arial"/>
          <w:sz w:val="20"/>
          <w:szCs w:val="20"/>
        </w:rPr>
        <w:t>Salha</w:t>
      </w:r>
      <w:proofErr w:type="spellEnd"/>
      <w:r w:rsidRPr="00F53B12">
        <w:rPr>
          <w:rFonts w:ascii="Arial" w:hAnsi="Arial" w:cs="Arial"/>
          <w:sz w:val="20"/>
          <w:szCs w:val="20"/>
        </w:rPr>
        <w:t xml:space="preserve">, 2014). </w:t>
      </w:r>
      <w:r w:rsidRPr="00F53B12">
        <w:rPr>
          <w:rFonts w:ascii="Arial" w:hAnsi="Arial" w:cs="Arial"/>
          <w:sz w:val="20"/>
          <w:szCs w:val="20"/>
        </w:rPr>
        <w:lastRenderedPageBreak/>
        <w:t xml:space="preserve">This research aims to </w:t>
      </w:r>
      <w:r w:rsidR="00377777" w:rsidRPr="00F53B12">
        <w:rPr>
          <w:rFonts w:ascii="Arial" w:hAnsi="Arial" w:cs="Arial"/>
          <w:sz w:val="20"/>
          <w:szCs w:val="20"/>
        </w:rPr>
        <w:t>deliver</w:t>
      </w:r>
      <w:r w:rsidRPr="00F53B12">
        <w:rPr>
          <w:rFonts w:ascii="Arial" w:hAnsi="Arial" w:cs="Arial"/>
          <w:sz w:val="20"/>
          <w:szCs w:val="20"/>
        </w:rPr>
        <w:t xml:space="preserve"> policymakers with </w:t>
      </w:r>
      <w:r w:rsidR="00377777" w:rsidRPr="00F53B12">
        <w:rPr>
          <w:rFonts w:ascii="Arial" w:hAnsi="Arial" w:cs="Arial"/>
          <w:sz w:val="20"/>
          <w:szCs w:val="20"/>
        </w:rPr>
        <w:t>suggestion</w:t>
      </w:r>
      <w:r w:rsidR="00377777">
        <w:rPr>
          <w:rFonts w:ascii="Arial" w:hAnsi="Arial" w:cs="Arial"/>
          <w:sz w:val="20"/>
          <w:szCs w:val="20"/>
        </w:rPr>
        <w:t>s</w:t>
      </w:r>
      <w:r w:rsidRPr="00F53B12">
        <w:rPr>
          <w:rFonts w:ascii="Arial" w:hAnsi="Arial" w:cs="Arial"/>
          <w:sz w:val="20"/>
          <w:szCs w:val="20"/>
        </w:rPr>
        <w:t xml:space="preserve"> for integrated strategies aligning economic growth with sustainability, supporting the SDGs and global climate goals.</w:t>
      </w:r>
    </w:p>
    <w:p w14:paraId="3CA8DDFD" w14:textId="77777777" w:rsidR="00F53B12" w:rsidRPr="00F53B12" w:rsidRDefault="00F53B12" w:rsidP="00D36025">
      <w:pPr>
        <w:spacing w:before="120" w:after="120"/>
        <w:jc w:val="both"/>
        <w:rPr>
          <w:rFonts w:ascii="Arial" w:hAnsi="Arial" w:cs="Arial"/>
          <w:sz w:val="20"/>
          <w:szCs w:val="20"/>
        </w:rPr>
      </w:pPr>
      <w:r w:rsidRPr="00F53B12">
        <w:rPr>
          <w:rFonts w:ascii="Arial" w:hAnsi="Arial" w:cs="Arial"/>
          <w:sz w:val="20"/>
          <w:szCs w:val="20"/>
        </w:rPr>
        <w:t>Key research questions include:</w:t>
      </w:r>
    </w:p>
    <w:p w14:paraId="355914FE" w14:textId="0F4470CF" w:rsidR="00F53B12" w:rsidRPr="00D15749" w:rsidRDefault="00F53B12" w:rsidP="001D282B">
      <w:pPr>
        <w:pStyle w:val="ListParagraph"/>
        <w:numPr>
          <w:ilvl w:val="0"/>
          <w:numId w:val="8"/>
        </w:numPr>
        <w:ind w:left="360"/>
        <w:jc w:val="both"/>
        <w:rPr>
          <w:rFonts w:ascii="Arial" w:hAnsi="Arial" w:cs="Arial"/>
          <w:sz w:val="20"/>
          <w:szCs w:val="20"/>
        </w:rPr>
      </w:pPr>
      <w:r w:rsidRPr="00D15749">
        <w:rPr>
          <w:rFonts w:ascii="Arial" w:hAnsi="Arial" w:cs="Arial"/>
          <w:sz w:val="20"/>
          <w:szCs w:val="20"/>
        </w:rPr>
        <w:t>How do GDPPC, CO</w:t>
      </w:r>
      <w:r w:rsidRPr="00FC2151">
        <w:rPr>
          <w:rFonts w:ascii="Arial" w:hAnsi="Arial" w:cs="Arial"/>
          <w:sz w:val="20"/>
          <w:szCs w:val="20"/>
          <w:vertAlign w:val="subscript"/>
        </w:rPr>
        <w:t xml:space="preserve">2 </w:t>
      </w:r>
      <w:r w:rsidRPr="00D15749">
        <w:rPr>
          <w:rFonts w:ascii="Arial" w:hAnsi="Arial" w:cs="Arial"/>
          <w:sz w:val="20"/>
          <w:szCs w:val="20"/>
        </w:rPr>
        <w:t>emissions, and TO interact dynamically in BRICS, and what role does EU play?</w:t>
      </w:r>
    </w:p>
    <w:p w14:paraId="422DB54C" w14:textId="77777777" w:rsidR="00D15749" w:rsidRDefault="00F53B12" w:rsidP="001D282B">
      <w:pPr>
        <w:pStyle w:val="ListParagraph"/>
        <w:numPr>
          <w:ilvl w:val="0"/>
          <w:numId w:val="8"/>
        </w:numPr>
        <w:ind w:left="360"/>
        <w:jc w:val="both"/>
        <w:rPr>
          <w:rFonts w:ascii="Arial" w:hAnsi="Arial" w:cs="Arial"/>
          <w:sz w:val="20"/>
          <w:szCs w:val="20"/>
        </w:rPr>
      </w:pPr>
      <w:r w:rsidRPr="00D15749">
        <w:rPr>
          <w:rFonts w:ascii="Arial" w:hAnsi="Arial" w:cs="Arial"/>
          <w:sz w:val="20"/>
          <w:szCs w:val="20"/>
        </w:rPr>
        <w:t>Is there a long-run equilibrium among these variables?</w:t>
      </w:r>
    </w:p>
    <w:p w14:paraId="1CAACF99" w14:textId="2AACCC7E" w:rsidR="00F53B12" w:rsidRPr="00D15749" w:rsidRDefault="00F53B12" w:rsidP="001D282B">
      <w:pPr>
        <w:pStyle w:val="ListParagraph"/>
        <w:numPr>
          <w:ilvl w:val="0"/>
          <w:numId w:val="8"/>
        </w:numPr>
        <w:ind w:left="360"/>
        <w:jc w:val="both"/>
        <w:rPr>
          <w:rFonts w:ascii="Arial" w:hAnsi="Arial" w:cs="Arial"/>
          <w:sz w:val="20"/>
          <w:szCs w:val="20"/>
        </w:rPr>
      </w:pPr>
      <w:r w:rsidRPr="00D15749">
        <w:rPr>
          <w:rFonts w:ascii="Arial" w:hAnsi="Arial" w:cs="Arial"/>
          <w:sz w:val="20"/>
          <w:szCs w:val="20"/>
        </w:rPr>
        <w:t>What are the causal directions, and how can they inform sustainable policies?</w:t>
      </w:r>
    </w:p>
    <w:p w14:paraId="00A3F858" w14:textId="14A4347C" w:rsidR="00DE3B94" w:rsidRDefault="008F44EA" w:rsidP="00F53B12">
      <w:pPr>
        <w:spacing w:before="240" w:after="120" w:line="360" w:lineRule="auto"/>
        <w:rPr>
          <w:rFonts w:ascii="Arial" w:hAnsi="Arial" w:cs="Arial"/>
          <w:b/>
          <w:bCs/>
        </w:rPr>
      </w:pPr>
      <w:r w:rsidRPr="008F44EA">
        <w:rPr>
          <w:rFonts w:ascii="Arial" w:hAnsi="Arial" w:cs="Arial"/>
          <w:b/>
          <w:bCs/>
        </w:rPr>
        <w:t>2. MATERIALS AND METHODS</w:t>
      </w:r>
    </w:p>
    <w:p w14:paraId="5561B78A" w14:textId="6458E3A0" w:rsidR="008F44EA" w:rsidRPr="008F44EA" w:rsidRDefault="008F44EA" w:rsidP="008F44EA">
      <w:pPr>
        <w:spacing w:line="360" w:lineRule="auto"/>
        <w:rPr>
          <w:rFonts w:ascii="Arial" w:hAnsi="Arial" w:cs="Arial"/>
          <w:b/>
          <w:bCs/>
          <w:sz w:val="24"/>
          <w:szCs w:val="24"/>
        </w:rPr>
      </w:pPr>
      <w:r w:rsidRPr="008F44EA">
        <w:rPr>
          <w:rFonts w:ascii="Arial" w:hAnsi="Arial" w:cs="Arial"/>
          <w:b/>
          <w:bCs/>
        </w:rPr>
        <w:t>2.1 Data</w:t>
      </w:r>
    </w:p>
    <w:p w14:paraId="20CB024D" w14:textId="3EF19303" w:rsidR="008F44EA" w:rsidRPr="00854999" w:rsidRDefault="008F44EA" w:rsidP="00854999">
      <w:pPr>
        <w:jc w:val="both"/>
        <w:rPr>
          <w:rFonts w:ascii="Arial" w:hAnsi="Arial" w:cs="Arial"/>
          <w:sz w:val="20"/>
          <w:szCs w:val="20"/>
        </w:rPr>
      </w:pPr>
      <w:r w:rsidRPr="00854999">
        <w:rPr>
          <w:rFonts w:ascii="Arial" w:hAnsi="Arial" w:cs="Arial"/>
          <w:sz w:val="20"/>
          <w:szCs w:val="20"/>
        </w:rPr>
        <w:t xml:space="preserve">This study utilizes a balanced panel dataset covering the five BRICS countries—Brazil, Russia, India, China, and South Africa—over a 53-year period from 1970-2023 yielding 265 total observations (53 per country). The variables are carefully selected to represent the development-environment-trade nexus, with energy usage (EU) included as a control variable. Data sources are internationally recognized, ensuring reliability and cross-country comparability (World Bank, 2023). The nomenclature, description and sources of the selected data variables is provided in table </w:t>
      </w:r>
      <w:r w:rsidR="00750151">
        <w:rPr>
          <w:rFonts w:ascii="Arial" w:hAnsi="Arial" w:cs="Arial"/>
          <w:sz w:val="20"/>
          <w:szCs w:val="20"/>
        </w:rPr>
        <w:t>(</w:t>
      </w:r>
      <w:r w:rsidRPr="00854999">
        <w:rPr>
          <w:rFonts w:ascii="Arial" w:hAnsi="Arial" w:cs="Arial"/>
          <w:sz w:val="20"/>
          <w:szCs w:val="20"/>
        </w:rPr>
        <w:t>1</w:t>
      </w:r>
      <w:r w:rsidR="00750151">
        <w:rPr>
          <w:rFonts w:ascii="Arial" w:hAnsi="Arial" w:cs="Arial"/>
          <w:sz w:val="20"/>
          <w:szCs w:val="20"/>
        </w:rPr>
        <w:t>)</w:t>
      </w:r>
      <w:r w:rsidRPr="00854999">
        <w:rPr>
          <w:rFonts w:ascii="Arial" w:hAnsi="Arial" w:cs="Arial"/>
          <w:sz w:val="20"/>
          <w:szCs w:val="20"/>
        </w:rPr>
        <w:t xml:space="preserve">.  </w:t>
      </w:r>
    </w:p>
    <w:p w14:paraId="2723FD4B" w14:textId="7E195E32" w:rsidR="008F44EA" w:rsidRPr="0064042B" w:rsidRDefault="008F44EA" w:rsidP="0064042B">
      <w:pPr>
        <w:spacing w:after="0" w:line="480" w:lineRule="auto"/>
        <w:jc w:val="center"/>
        <w:rPr>
          <w:rFonts w:ascii="Arial" w:hAnsi="Arial" w:cs="Arial"/>
          <w:b/>
          <w:bCs/>
          <w:sz w:val="20"/>
          <w:szCs w:val="20"/>
        </w:rPr>
      </w:pPr>
      <w:r w:rsidRPr="0064042B">
        <w:rPr>
          <w:rFonts w:ascii="Arial" w:hAnsi="Arial" w:cs="Arial"/>
          <w:b/>
          <w:bCs/>
          <w:sz w:val="20"/>
          <w:szCs w:val="20"/>
        </w:rPr>
        <w:t>Table</w:t>
      </w:r>
      <w:r w:rsidR="0064042B" w:rsidRPr="0064042B">
        <w:rPr>
          <w:rFonts w:ascii="Arial" w:hAnsi="Arial" w:cs="Arial"/>
          <w:b/>
          <w:bCs/>
          <w:sz w:val="20"/>
          <w:szCs w:val="20"/>
        </w:rPr>
        <w:t xml:space="preserve"> 1.</w:t>
      </w:r>
      <w:r w:rsidRPr="0064042B">
        <w:rPr>
          <w:rFonts w:ascii="Arial" w:hAnsi="Arial" w:cs="Arial"/>
          <w:b/>
          <w:bCs/>
          <w:sz w:val="20"/>
          <w:szCs w:val="20"/>
        </w:rPr>
        <w:t xml:space="preserve"> Data nomenclature, description and sources</w:t>
      </w:r>
    </w:p>
    <w:tbl>
      <w:tblPr>
        <w:tblStyle w:val="PlainTable2"/>
        <w:tblW w:w="5000" w:type="pct"/>
        <w:tblLook w:val="04A0" w:firstRow="1" w:lastRow="0" w:firstColumn="1" w:lastColumn="0" w:noHBand="0" w:noVBand="1"/>
      </w:tblPr>
      <w:tblGrid>
        <w:gridCol w:w="1658"/>
        <w:gridCol w:w="2794"/>
        <w:gridCol w:w="4908"/>
      </w:tblGrid>
      <w:tr w:rsidR="008F44EA" w:rsidRPr="00854999" w14:paraId="0222375F" w14:textId="77777777" w:rsidTr="008549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single" w:sz="12" w:space="0" w:color="000000" w:themeColor="text1"/>
              <w:bottom w:val="single" w:sz="12" w:space="0" w:color="000000" w:themeColor="text1"/>
            </w:tcBorders>
            <w:noWrap/>
            <w:vAlign w:val="center"/>
            <w:hideMark/>
          </w:tcPr>
          <w:p w14:paraId="2AB8FE5D"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Nomenclature of Variables</w:t>
            </w:r>
          </w:p>
        </w:tc>
        <w:tc>
          <w:tcPr>
            <w:tcW w:w="1510" w:type="pct"/>
            <w:tcBorders>
              <w:top w:val="single" w:sz="12" w:space="0" w:color="000000" w:themeColor="text1"/>
              <w:bottom w:val="single" w:sz="12" w:space="0" w:color="000000" w:themeColor="text1"/>
            </w:tcBorders>
            <w:noWrap/>
            <w:vAlign w:val="center"/>
            <w:hideMark/>
          </w:tcPr>
          <w:p w14:paraId="160300A4" w14:textId="77777777" w:rsidR="008F44EA" w:rsidRPr="00854999" w:rsidRDefault="008F44EA" w:rsidP="008549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Description</w:t>
            </w:r>
          </w:p>
        </w:tc>
        <w:tc>
          <w:tcPr>
            <w:tcW w:w="2640" w:type="pct"/>
            <w:tcBorders>
              <w:top w:val="single" w:sz="12" w:space="0" w:color="000000" w:themeColor="text1"/>
              <w:bottom w:val="single" w:sz="12" w:space="0" w:color="000000" w:themeColor="text1"/>
            </w:tcBorders>
            <w:noWrap/>
            <w:vAlign w:val="center"/>
            <w:hideMark/>
          </w:tcPr>
          <w:p w14:paraId="0C3C58AA" w14:textId="77777777" w:rsidR="008F44EA" w:rsidRPr="00854999" w:rsidRDefault="008F44EA" w:rsidP="008549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Data Sources</w:t>
            </w:r>
          </w:p>
        </w:tc>
      </w:tr>
      <w:tr w:rsidR="008F44EA" w:rsidRPr="00854999" w14:paraId="2434B959" w14:textId="77777777" w:rsidTr="008549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single" w:sz="12" w:space="0" w:color="000000" w:themeColor="text1"/>
              <w:bottom w:val="nil"/>
            </w:tcBorders>
            <w:noWrap/>
            <w:vAlign w:val="center"/>
            <w:hideMark/>
          </w:tcPr>
          <w:p w14:paraId="75B2E12B"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hAnsi="Arial" w:cs="Arial"/>
                <w:sz w:val="20"/>
                <w:szCs w:val="20"/>
              </w:rPr>
              <w:t>CO</w:t>
            </w:r>
            <w:r w:rsidRPr="00854999">
              <w:rPr>
                <w:rFonts w:ascii="Arial" w:hAnsi="Arial" w:cs="Arial"/>
                <w:sz w:val="20"/>
                <w:szCs w:val="20"/>
                <w:vertAlign w:val="subscript"/>
              </w:rPr>
              <w:t>2</w:t>
            </w:r>
          </w:p>
        </w:tc>
        <w:tc>
          <w:tcPr>
            <w:tcW w:w="1510" w:type="pct"/>
            <w:tcBorders>
              <w:top w:val="single" w:sz="12" w:space="0" w:color="000000" w:themeColor="text1"/>
              <w:bottom w:val="nil"/>
            </w:tcBorders>
            <w:noWrap/>
            <w:vAlign w:val="center"/>
            <w:hideMark/>
          </w:tcPr>
          <w:p w14:paraId="6A752E86"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val="en-IN"/>
                <w14:ligatures w14:val="none"/>
              </w:rPr>
            </w:pPr>
            <w:r w:rsidRPr="00854999">
              <w:rPr>
                <w:rFonts w:ascii="Arial" w:eastAsia="Times New Roman" w:hAnsi="Arial" w:cs="Arial"/>
                <w:color w:val="000000"/>
                <w:kern w:val="0"/>
                <w:sz w:val="20"/>
                <w:szCs w:val="20"/>
                <w:lang w:val="en-IN"/>
                <w14:ligatures w14:val="none"/>
              </w:rPr>
              <w:t>Carbon emissions</w:t>
            </w:r>
          </w:p>
          <w:p w14:paraId="2C86BDD9"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 xml:space="preserve">(t </w:t>
            </w:r>
            <w:r w:rsidRPr="00854999">
              <w:rPr>
                <w:rFonts w:ascii="Arial" w:hAnsi="Arial" w:cs="Arial"/>
                <w:sz w:val="20"/>
                <w:szCs w:val="20"/>
              </w:rPr>
              <w:t>CO</w:t>
            </w:r>
            <w:r w:rsidRPr="00854999">
              <w:rPr>
                <w:rFonts w:ascii="Arial" w:hAnsi="Arial" w:cs="Arial"/>
                <w:sz w:val="20"/>
                <w:szCs w:val="20"/>
                <w:vertAlign w:val="subscript"/>
              </w:rPr>
              <w:t>2</w:t>
            </w:r>
            <w:r w:rsidRPr="00854999">
              <w:rPr>
                <w:rFonts w:ascii="Arial" w:eastAsia="Times New Roman" w:hAnsi="Arial" w:cs="Arial"/>
                <w:color w:val="000000"/>
                <w:kern w:val="0"/>
                <w:sz w:val="20"/>
                <w:szCs w:val="20"/>
                <w:lang w:val="en-IN"/>
                <w14:ligatures w14:val="none"/>
              </w:rPr>
              <w:t>e/capita)</w:t>
            </w:r>
          </w:p>
        </w:tc>
        <w:tc>
          <w:tcPr>
            <w:tcW w:w="2640" w:type="pct"/>
            <w:tcBorders>
              <w:top w:val="single" w:sz="12" w:space="0" w:color="000000" w:themeColor="text1"/>
              <w:bottom w:val="nil"/>
            </w:tcBorders>
            <w:noWrap/>
            <w:vAlign w:val="center"/>
            <w:hideMark/>
          </w:tcPr>
          <w:p w14:paraId="482DE847"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EDGAR (Emissions Database for Global Atmospheric Research) Community GHG Database</w:t>
            </w:r>
          </w:p>
        </w:tc>
      </w:tr>
      <w:tr w:rsidR="008F44EA" w:rsidRPr="00854999" w14:paraId="37F30753" w14:textId="77777777" w:rsidTr="00854999">
        <w:trPr>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nil"/>
              <w:bottom w:val="nil"/>
            </w:tcBorders>
            <w:noWrap/>
            <w:vAlign w:val="center"/>
            <w:hideMark/>
          </w:tcPr>
          <w:p w14:paraId="15B73EBC"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GDPPC</w:t>
            </w:r>
          </w:p>
        </w:tc>
        <w:tc>
          <w:tcPr>
            <w:tcW w:w="1510" w:type="pct"/>
            <w:tcBorders>
              <w:top w:val="nil"/>
              <w:bottom w:val="nil"/>
            </w:tcBorders>
            <w:noWrap/>
            <w:vAlign w:val="center"/>
            <w:hideMark/>
          </w:tcPr>
          <w:p w14:paraId="31EE7D00"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GDP per capita</w:t>
            </w:r>
          </w:p>
          <w:p w14:paraId="253E4683"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(current US$)</w:t>
            </w:r>
          </w:p>
        </w:tc>
        <w:tc>
          <w:tcPr>
            <w:tcW w:w="2640" w:type="pct"/>
            <w:tcBorders>
              <w:top w:val="nil"/>
              <w:bottom w:val="nil"/>
            </w:tcBorders>
            <w:noWrap/>
            <w:vAlign w:val="center"/>
            <w:hideMark/>
          </w:tcPr>
          <w:p w14:paraId="6123DD70"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World Bank and OECD National Accounts</w:t>
            </w:r>
          </w:p>
        </w:tc>
      </w:tr>
      <w:tr w:rsidR="008F44EA" w:rsidRPr="00854999" w14:paraId="01E21247" w14:textId="77777777" w:rsidTr="008549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nil"/>
              <w:bottom w:val="nil"/>
            </w:tcBorders>
            <w:noWrap/>
            <w:vAlign w:val="center"/>
            <w:hideMark/>
          </w:tcPr>
          <w:p w14:paraId="016CDBBD"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TO</w:t>
            </w:r>
          </w:p>
        </w:tc>
        <w:tc>
          <w:tcPr>
            <w:tcW w:w="1510" w:type="pct"/>
            <w:tcBorders>
              <w:top w:val="nil"/>
              <w:bottom w:val="nil"/>
            </w:tcBorders>
            <w:noWrap/>
            <w:vAlign w:val="center"/>
            <w:hideMark/>
          </w:tcPr>
          <w:p w14:paraId="48369A4E"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val="en-IN"/>
                <w14:ligatures w14:val="none"/>
              </w:rPr>
            </w:pPr>
            <w:r w:rsidRPr="00854999">
              <w:rPr>
                <w:rFonts w:ascii="Arial" w:eastAsia="Times New Roman" w:hAnsi="Arial" w:cs="Arial"/>
                <w:color w:val="000000"/>
                <w:kern w:val="0"/>
                <w:sz w:val="20"/>
                <w:szCs w:val="20"/>
                <w:lang w:val="en-IN"/>
                <w14:ligatures w14:val="none"/>
              </w:rPr>
              <w:t>Trade openness (Total Trade as a fraction of GDP)</w:t>
            </w:r>
          </w:p>
        </w:tc>
        <w:tc>
          <w:tcPr>
            <w:tcW w:w="2640" w:type="pct"/>
            <w:tcBorders>
              <w:top w:val="nil"/>
              <w:bottom w:val="nil"/>
            </w:tcBorders>
            <w:noWrap/>
            <w:vAlign w:val="center"/>
            <w:hideMark/>
          </w:tcPr>
          <w:p w14:paraId="71CA8876" w14:textId="77777777" w:rsidR="008F44EA" w:rsidRPr="00854999" w:rsidRDefault="008F44EA" w:rsidP="008549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World Bank and OECD National Accounts</w:t>
            </w:r>
          </w:p>
        </w:tc>
      </w:tr>
      <w:tr w:rsidR="008F44EA" w:rsidRPr="00854999" w14:paraId="1AFA5348" w14:textId="77777777" w:rsidTr="00854999">
        <w:trPr>
          <w:trHeight w:val="300"/>
        </w:trPr>
        <w:tc>
          <w:tcPr>
            <w:cnfStyle w:val="001000000000" w:firstRow="0" w:lastRow="0" w:firstColumn="1" w:lastColumn="0" w:oddVBand="0" w:evenVBand="0" w:oddHBand="0" w:evenHBand="0" w:firstRowFirstColumn="0" w:firstRowLastColumn="0" w:lastRowFirstColumn="0" w:lastRowLastColumn="0"/>
            <w:tcW w:w="850" w:type="pct"/>
            <w:tcBorders>
              <w:top w:val="nil"/>
              <w:bottom w:val="single" w:sz="12" w:space="0" w:color="000000" w:themeColor="text1"/>
            </w:tcBorders>
            <w:noWrap/>
            <w:vAlign w:val="center"/>
            <w:hideMark/>
          </w:tcPr>
          <w:p w14:paraId="58E3E790" w14:textId="77777777" w:rsidR="008F44EA" w:rsidRPr="00854999" w:rsidRDefault="008F44EA" w:rsidP="00854999">
            <w:pPr>
              <w:jc w:val="center"/>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lang w:val="en-IN"/>
                <w14:ligatures w14:val="none"/>
              </w:rPr>
              <w:t>EU</w:t>
            </w:r>
          </w:p>
        </w:tc>
        <w:tc>
          <w:tcPr>
            <w:tcW w:w="1510" w:type="pct"/>
            <w:tcBorders>
              <w:top w:val="nil"/>
              <w:bottom w:val="single" w:sz="12" w:space="0" w:color="000000" w:themeColor="text1"/>
            </w:tcBorders>
            <w:noWrap/>
            <w:vAlign w:val="center"/>
            <w:hideMark/>
          </w:tcPr>
          <w:p w14:paraId="3A375AE1"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Energy use (kg of oil equivalent per capita)</w:t>
            </w:r>
          </w:p>
        </w:tc>
        <w:tc>
          <w:tcPr>
            <w:tcW w:w="2640" w:type="pct"/>
            <w:tcBorders>
              <w:top w:val="nil"/>
              <w:bottom w:val="single" w:sz="12" w:space="0" w:color="000000" w:themeColor="text1"/>
            </w:tcBorders>
            <w:noWrap/>
            <w:vAlign w:val="center"/>
            <w:hideMark/>
          </w:tcPr>
          <w:p w14:paraId="78A632DD" w14:textId="77777777" w:rsidR="008F44EA" w:rsidRPr="00854999" w:rsidRDefault="008F44EA" w:rsidP="008549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54999">
              <w:rPr>
                <w:rFonts w:ascii="Arial" w:eastAsia="Times New Roman" w:hAnsi="Arial" w:cs="Arial"/>
                <w:color w:val="000000"/>
                <w:kern w:val="0"/>
                <w:sz w:val="20"/>
                <w:szCs w:val="20"/>
                <w14:ligatures w14:val="none"/>
              </w:rPr>
              <w:t>IEA Statistics</w:t>
            </w:r>
          </w:p>
        </w:tc>
      </w:tr>
    </w:tbl>
    <w:p w14:paraId="59BD3025" w14:textId="0744A5DB" w:rsidR="008F44EA" w:rsidRPr="00971C4D" w:rsidRDefault="008F44EA" w:rsidP="0064042B">
      <w:pPr>
        <w:spacing w:before="240" w:after="0" w:line="240" w:lineRule="auto"/>
        <w:jc w:val="both"/>
        <w:rPr>
          <w:rFonts w:ascii="Arial" w:hAnsi="Arial" w:cs="Arial"/>
          <w:sz w:val="20"/>
          <w:szCs w:val="20"/>
        </w:rPr>
      </w:pPr>
      <w:r w:rsidRPr="00971C4D">
        <w:rPr>
          <w:rFonts w:ascii="Arial" w:hAnsi="Arial" w:cs="Arial"/>
          <w:sz w:val="20"/>
          <w:szCs w:val="20"/>
        </w:rPr>
        <w:t>The dataset’s consistency and breadth enable robust panel analysis, capturing both temporal trends and cross-sectional variations across BRICS (Levin et al., 2002).</w:t>
      </w:r>
    </w:p>
    <w:p w14:paraId="49ECD521" w14:textId="392E0A66" w:rsidR="008F44EA" w:rsidRPr="008F44EA" w:rsidRDefault="008F44EA" w:rsidP="00400D61">
      <w:pPr>
        <w:spacing w:before="240" w:after="120" w:line="360" w:lineRule="auto"/>
        <w:rPr>
          <w:rFonts w:ascii="Arial" w:hAnsi="Arial" w:cs="Arial"/>
          <w:b/>
          <w:bCs/>
        </w:rPr>
      </w:pPr>
      <w:r w:rsidRPr="008F44EA">
        <w:rPr>
          <w:rFonts w:ascii="Arial" w:hAnsi="Arial" w:cs="Arial"/>
          <w:b/>
          <w:bCs/>
        </w:rPr>
        <w:t>2.2 Methodology</w:t>
      </w:r>
    </w:p>
    <w:p w14:paraId="1DB93D17" w14:textId="0CD3479F" w:rsidR="008F44EA" w:rsidRPr="00971C4D" w:rsidRDefault="008F44EA" w:rsidP="00971C4D">
      <w:pPr>
        <w:jc w:val="both"/>
        <w:rPr>
          <w:rFonts w:ascii="Arial" w:hAnsi="Arial" w:cs="Arial"/>
          <w:sz w:val="20"/>
          <w:szCs w:val="20"/>
        </w:rPr>
      </w:pPr>
      <w:r w:rsidRPr="00971C4D">
        <w:rPr>
          <w:rFonts w:ascii="Arial" w:hAnsi="Arial" w:cs="Arial"/>
          <w:sz w:val="20"/>
          <w:szCs w:val="20"/>
        </w:rPr>
        <w:t>Our methodological framework is designed to rigorously analyze the dynamic relationships among CO</w:t>
      </w:r>
      <w:r w:rsidRPr="00971C4D">
        <w:rPr>
          <w:rFonts w:ascii="Arial" w:hAnsi="Arial" w:cs="Arial"/>
          <w:sz w:val="20"/>
          <w:szCs w:val="20"/>
          <w:vertAlign w:val="subscript"/>
        </w:rPr>
        <w:t>2</w:t>
      </w:r>
      <w:r w:rsidRPr="00971C4D">
        <w:rPr>
          <w:rFonts w:ascii="Arial" w:hAnsi="Arial" w:cs="Arial"/>
          <w:sz w:val="20"/>
          <w:szCs w:val="20"/>
        </w:rPr>
        <w:t>, GDPPC, TO, and EU, employing a multi-step econometric approach. Each step is grounded in established panel data techniques</w:t>
      </w:r>
      <w:r w:rsidR="00F91C73">
        <w:rPr>
          <w:rFonts w:ascii="Arial" w:hAnsi="Arial" w:cs="Arial"/>
          <w:sz w:val="20"/>
          <w:szCs w:val="20"/>
        </w:rPr>
        <w:t xml:space="preserve"> along with</w:t>
      </w:r>
      <w:r w:rsidRPr="00971C4D">
        <w:rPr>
          <w:rFonts w:ascii="Arial" w:hAnsi="Arial" w:cs="Arial"/>
          <w:sz w:val="20"/>
          <w:szCs w:val="20"/>
        </w:rPr>
        <w:t xml:space="preserve"> methodological justification.</w:t>
      </w:r>
    </w:p>
    <w:p w14:paraId="6669569F" w14:textId="77B6B0FC" w:rsidR="008F44EA" w:rsidRPr="008F44EA" w:rsidRDefault="008F44EA" w:rsidP="008F44EA">
      <w:pPr>
        <w:spacing w:line="360" w:lineRule="auto"/>
        <w:rPr>
          <w:rFonts w:ascii="Arial" w:hAnsi="Arial" w:cs="Arial"/>
          <w:b/>
          <w:bCs/>
          <w:sz w:val="20"/>
          <w:szCs w:val="20"/>
          <w:u w:val="single"/>
        </w:rPr>
      </w:pPr>
      <w:r w:rsidRPr="008F44EA">
        <w:rPr>
          <w:rFonts w:ascii="Arial" w:hAnsi="Arial" w:cs="Arial"/>
          <w:b/>
          <w:bCs/>
          <w:sz w:val="20"/>
          <w:szCs w:val="20"/>
          <w:u w:val="single"/>
        </w:rPr>
        <w:t>2.2.1 Panel Unit Root Tests</w:t>
      </w:r>
    </w:p>
    <w:p w14:paraId="722D0599" w14:textId="77777777" w:rsidR="008F44EA" w:rsidRPr="00971C4D" w:rsidRDefault="008F44EA" w:rsidP="00971C4D">
      <w:pPr>
        <w:jc w:val="both"/>
        <w:rPr>
          <w:rFonts w:ascii="Arial" w:hAnsi="Arial" w:cs="Arial"/>
          <w:sz w:val="20"/>
          <w:szCs w:val="20"/>
        </w:rPr>
      </w:pPr>
      <w:r w:rsidRPr="00971C4D">
        <w:rPr>
          <w:rFonts w:ascii="Arial" w:hAnsi="Arial" w:cs="Arial"/>
          <w:sz w:val="20"/>
          <w:szCs w:val="20"/>
        </w:rPr>
        <w:t xml:space="preserve">To ensure the stationarity properties of the variables, we conduct panel unit root tests using the Levin-Lin-Chu (LLC) and </w:t>
      </w:r>
      <w:proofErr w:type="spellStart"/>
      <w:r w:rsidRPr="00971C4D">
        <w:rPr>
          <w:rFonts w:ascii="Arial" w:hAnsi="Arial" w:cs="Arial"/>
          <w:sz w:val="20"/>
          <w:szCs w:val="20"/>
        </w:rPr>
        <w:t>Im</w:t>
      </w:r>
      <w:proofErr w:type="spellEnd"/>
      <w:r w:rsidRPr="00971C4D">
        <w:rPr>
          <w:rFonts w:ascii="Arial" w:hAnsi="Arial" w:cs="Arial"/>
          <w:sz w:val="20"/>
          <w:szCs w:val="20"/>
        </w:rPr>
        <w:t>-</w:t>
      </w:r>
      <w:proofErr w:type="spellStart"/>
      <w:r w:rsidRPr="00971C4D">
        <w:rPr>
          <w:rFonts w:ascii="Arial" w:hAnsi="Arial" w:cs="Arial"/>
          <w:sz w:val="20"/>
          <w:szCs w:val="20"/>
        </w:rPr>
        <w:t>Pesaran</w:t>
      </w:r>
      <w:proofErr w:type="spellEnd"/>
      <w:r w:rsidRPr="00971C4D">
        <w:rPr>
          <w:rFonts w:ascii="Arial" w:hAnsi="Arial" w:cs="Arial"/>
          <w:sz w:val="20"/>
          <w:szCs w:val="20"/>
        </w:rPr>
        <w:t xml:space="preserve">-Shin (IPS) methods. The LLC test assumes a common autoregressive parameter across countries, making it suitable for homogeneous panels, while the IPS test allows for heterogeneity by estimating individual unit root processes (Levin et al., 2002; </w:t>
      </w:r>
      <w:proofErr w:type="spellStart"/>
      <w:r w:rsidRPr="00971C4D">
        <w:rPr>
          <w:rFonts w:ascii="Arial" w:hAnsi="Arial" w:cs="Arial"/>
          <w:sz w:val="20"/>
          <w:szCs w:val="20"/>
        </w:rPr>
        <w:t>Im</w:t>
      </w:r>
      <w:proofErr w:type="spellEnd"/>
      <w:r w:rsidRPr="00971C4D">
        <w:rPr>
          <w:rFonts w:ascii="Arial" w:hAnsi="Arial" w:cs="Arial"/>
          <w:sz w:val="20"/>
          <w:szCs w:val="20"/>
        </w:rPr>
        <w:t xml:space="preserve"> et al., 2003). Both tests account for cross-sectional dependence, a potential issue in BRICS due to economic interdependence (</w:t>
      </w:r>
      <w:proofErr w:type="spellStart"/>
      <w:r w:rsidRPr="00971C4D">
        <w:rPr>
          <w:rFonts w:ascii="Arial" w:hAnsi="Arial" w:cs="Arial"/>
          <w:sz w:val="20"/>
          <w:szCs w:val="20"/>
        </w:rPr>
        <w:t>Pesaran</w:t>
      </w:r>
      <w:proofErr w:type="spellEnd"/>
      <w:r w:rsidRPr="00971C4D">
        <w:rPr>
          <w:rFonts w:ascii="Arial" w:hAnsi="Arial" w:cs="Arial"/>
          <w:sz w:val="20"/>
          <w:szCs w:val="20"/>
        </w:rPr>
        <w:t>, 2007). Stationarity is a prerequisite for cointegration and VAR analysis, as non-stationary data can lead to spurious regressions (Granger &amp; Newbold, 1974).</w:t>
      </w:r>
    </w:p>
    <w:p w14:paraId="443CB7BE" w14:textId="23EBDB26" w:rsidR="008F44EA" w:rsidRPr="008F44EA" w:rsidRDefault="008F44EA" w:rsidP="008F44EA">
      <w:pPr>
        <w:spacing w:line="360" w:lineRule="auto"/>
        <w:rPr>
          <w:rFonts w:ascii="Arial" w:hAnsi="Arial" w:cs="Arial"/>
          <w:b/>
          <w:bCs/>
          <w:sz w:val="20"/>
          <w:szCs w:val="20"/>
          <w:u w:val="single"/>
        </w:rPr>
      </w:pPr>
      <w:r w:rsidRPr="008F44EA">
        <w:rPr>
          <w:rFonts w:ascii="Arial" w:hAnsi="Arial" w:cs="Arial"/>
          <w:b/>
          <w:bCs/>
          <w:sz w:val="20"/>
          <w:szCs w:val="20"/>
          <w:u w:val="single"/>
        </w:rPr>
        <w:t>2.2.2 Panel Cointegration Tests</w:t>
      </w:r>
    </w:p>
    <w:p w14:paraId="6861C2EC" w14:textId="6942D17F" w:rsidR="008F44EA" w:rsidRPr="003B5C81" w:rsidRDefault="008F44EA" w:rsidP="003B5C81">
      <w:pPr>
        <w:jc w:val="both"/>
        <w:rPr>
          <w:rFonts w:ascii="Arial" w:hAnsi="Arial" w:cs="Arial"/>
          <w:sz w:val="20"/>
          <w:szCs w:val="20"/>
        </w:rPr>
      </w:pPr>
      <w:r w:rsidRPr="003B5C81">
        <w:rPr>
          <w:rFonts w:ascii="Arial" w:hAnsi="Arial" w:cs="Arial"/>
          <w:sz w:val="20"/>
          <w:szCs w:val="20"/>
        </w:rPr>
        <w:lastRenderedPageBreak/>
        <w:t xml:space="preserve">To </w:t>
      </w:r>
      <w:r w:rsidR="00FC01EF" w:rsidRPr="003B5C81">
        <w:rPr>
          <w:rFonts w:ascii="Arial" w:hAnsi="Arial" w:cs="Arial"/>
          <w:sz w:val="20"/>
          <w:szCs w:val="20"/>
        </w:rPr>
        <w:t>explore</w:t>
      </w:r>
      <w:r w:rsidRPr="003B5C81">
        <w:rPr>
          <w:rFonts w:ascii="Arial" w:hAnsi="Arial" w:cs="Arial"/>
          <w:sz w:val="20"/>
          <w:szCs w:val="20"/>
        </w:rPr>
        <w:t xml:space="preserve"> the </w:t>
      </w:r>
      <w:r w:rsidR="00FC01EF" w:rsidRPr="003B5C81">
        <w:rPr>
          <w:rFonts w:ascii="Arial" w:hAnsi="Arial" w:cs="Arial"/>
          <w:sz w:val="20"/>
          <w:szCs w:val="20"/>
        </w:rPr>
        <w:t>existence</w:t>
      </w:r>
      <w:r w:rsidRPr="003B5C81">
        <w:rPr>
          <w:rFonts w:ascii="Arial" w:hAnsi="Arial" w:cs="Arial"/>
          <w:sz w:val="20"/>
          <w:szCs w:val="20"/>
        </w:rPr>
        <w:t xml:space="preserve"> of a long-run equilibrium </w:t>
      </w:r>
      <w:r w:rsidR="00FC01EF" w:rsidRPr="003B5C81">
        <w:rPr>
          <w:rFonts w:ascii="Arial" w:hAnsi="Arial" w:cs="Arial"/>
          <w:sz w:val="20"/>
          <w:szCs w:val="20"/>
        </w:rPr>
        <w:t>association</w:t>
      </w:r>
      <w:r w:rsidRPr="003B5C81">
        <w:rPr>
          <w:rFonts w:ascii="Arial" w:hAnsi="Arial" w:cs="Arial"/>
          <w:sz w:val="20"/>
          <w:szCs w:val="20"/>
        </w:rPr>
        <w:t xml:space="preserve"> among CO</w:t>
      </w:r>
      <w:r w:rsidRPr="003B5C81">
        <w:rPr>
          <w:rFonts w:ascii="Arial" w:hAnsi="Arial" w:cs="Arial"/>
          <w:sz w:val="20"/>
          <w:szCs w:val="20"/>
          <w:vertAlign w:val="subscript"/>
        </w:rPr>
        <w:t>2</w:t>
      </w:r>
      <w:r w:rsidRPr="003B5C81">
        <w:rPr>
          <w:rFonts w:ascii="Arial" w:hAnsi="Arial" w:cs="Arial"/>
          <w:sz w:val="20"/>
          <w:szCs w:val="20"/>
        </w:rPr>
        <w:t xml:space="preserve">, GDPPC, TO, and EU, we apply the </w:t>
      </w:r>
      <w:proofErr w:type="spellStart"/>
      <w:r w:rsidRPr="003B5C81">
        <w:rPr>
          <w:rFonts w:ascii="Arial" w:hAnsi="Arial" w:cs="Arial"/>
          <w:sz w:val="20"/>
          <w:szCs w:val="20"/>
        </w:rPr>
        <w:t>Pedroni</w:t>
      </w:r>
      <w:proofErr w:type="spellEnd"/>
      <w:r w:rsidRPr="003B5C81">
        <w:rPr>
          <w:rFonts w:ascii="Arial" w:hAnsi="Arial" w:cs="Arial"/>
          <w:sz w:val="20"/>
          <w:szCs w:val="20"/>
        </w:rPr>
        <w:t xml:space="preserve"> (1999) and Kao (1999) cointegration tests. The </w:t>
      </w:r>
      <w:proofErr w:type="spellStart"/>
      <w:r w:rsidRPr="003B5C81">
        <w:rPr>
          <w:rFonts w:ascii="Arial" w:hAnsi="Arial" w:cs="Arial"/>
          <w:sz w:val="20"/>
          <w:szCs w:val="20"/>
        </w:rPr>
        <w:t>Pedroni</w:t>
      </w:r>
      <w:proofErr w:type="spellEnd"/>
      <w:r w:rsidRPr="003B5C81">
        <w:rPr>
          <w:rFonts w:ascii="Arial" w:hAnsi="Arial" w:cs="Arial"/>
          <w:sz w:val="20"/>
          <w:szCs w:val="20"/>
        </w:rPr>
        <w:t xml:space="preserve"> test offers a suite of statistics (e.g., panel v, panel rho, group ADF) that accommodate heterogeneity in cointegrating vectors across countries, making it ideal for BRICS (</w:t>
      </w:r>
      <w:proofErr w:type="spellStart"/>
      <w:r w:rsidRPr="003B5C81">
        <w:rPr>
          <w:rFonts w:ascii="Arial" w:hAnsi="Arial" w:cs="Arial"/>
          <w:sz w:val="20"/>
          <w:szCs w:val="20"/>
        </w:rPr>
        <w:t>Pedroni</w:t>
      </w:r>
      <w:proofErr w:type="spellEnd"/>
      <w:r w:rsidRPr="003B5C81">
        <w:rPr>
          <w:rFonts w:ascii="Arial" w:hAnsi="Arial" w:cs="Arial"/>
          <w:sz w:val="20"/>
          <w:szCs w:val="20"/>
        </w:rPr>
        <w:t>, 1999). The Kao test, based on a residual approach, assumes a homogeneous cointegration relationship, providing a complementary perspective (Kao, 1999). These tests are critical for determining whether the variables share a stable long-run nexus, as suggested by some prior BRICS studies (Pao &amp; Tsai, 2011).</w:t>
      </w:r>
    </w:p>
    <w:p w14:paraId="097FBBD8" w14:textId="231B381B" w:rsidR="008F44EA" w:rsidRPr="008F44EA" w:rsidRDefault="008F44EA" w:rsidP="008F44EA">
      <w:pPr>
        <w:spacing w:line="360" w:lineRule="auto"/>
        <w:rPr>
          <w:rFonts w:ascii="Arial" w:hAnsi="Arial" w:cs="Arial"/>
          <w:b/>
          <w:bCs/>
          <w:sz w:val="20"/>
          <w:szCs w:val="20"/>
          <w:u w:val="single"/>
        </w:rPr>
      </w:pPr>
      <w:r>
        <w:rPr>
          <w:rFonts w:ascii="Arial" w:hAnsi="Arial" w:cs="Arial"/>
          <w:b/>
          <w:bCs/>
          <w:sz w:val="20"/>
          <w:szCs w:val="20"/>
          <w:u w:val="single"/>
        </w:rPr>
        <w:t>2</w:t>
      </w:r>
      <w:r w:rsidRPr="008F44EA">
        <w:rPr>
          <w:rFonts w:ascii="Arial" w:hAnsi="Arial" w:cs="Arial"/>
          <w:b/>
          <w:bCs/>
          <w:sz w:val="20"/>
          <w:szCs w:val="20"/>
          <w:u w:val="single"/>
        </w:rPr>
        <w:t>.2.3 Panel Vector Autoregression (VAR)</w:t>
      </w:r>
    </w:p>
    <w:p w14:paraId="0455F45C" w14:textId="01E4F23E" w:rsidR="008F44EA" w:rsidRPr="003B5C81" w:rsidRDefault="008F44EA" w:rsidP="003B5C81">
      <w:pPr>
        <w:jc w:val="both"/>
        <w:rPr>
          <w:rFonts w:ascii="Arial" w:hAnsi="Arial" w:cs="Arial"/>
          <w:sz w:val="20"/>
          <w:szCs w:val="20"/>
        </w:rPr>
      </w:pPr>
      <w:r w:rsidRPr="003B5C81">
        <w:rPr>
          <w:rFonts w:ascii="Arial" w:hAnsi="Arial" w:cs="Arial"/>
          <w:sz w:val="20"/>
          <w:szCs w:val="20"/>
        </w:rPr>
        <w:t xml:space="preserve">To model the dynamic interactions among the variables, we estimate a panel VAR, which treats all variables as endogenous and captures their interdependencies over time (Love &amp; </w:t>
      </w:r>
      <w:proofErr w:type="spellStart"/>
      <w:r w:rsidRPr="003B5C81">
        <w:rPr>
          <w:rFonts w:ascii="Arial" w:hAnsi="Arial" w:cs="Arial"/>
          <w:sz w:val="20"/>
          <w:szCs w:val="20"/>
        </w:rPr>
        <w:t>Zicchino</w:t>
      </w:r>
      <w:proofErr w:type="spellEnd"/>
      <w:r w:rsidRPr="003B5C81">
        <w:rPr>
          <w:rFonts w:ascii="Arial" w:hAnsi="Arial" w:cs="Arial"/>
          <w:sz w:val="20"/>
          <w:szCs w:val="20"/>
        </w:rPr>
        <w:t xml:space="preserve">, 2006). We employ both fixed effects (FE) and random effects (RE) specifications, using the Hausman test to select the appropriate model for each equation (Hausman, 1978). The panel VAR framework is particularly suited to this study, as it allows us to estimate short-term dynamics and, potentially, impulse response functions (IRFs) to trace the </w:t>
      </w:r>
      <w:r w:rsidR="00FC01EF" w:rsidRPr="003B5C81">
        <w:rPr>
          <w:rFonts w:ascii="Arial" w:hAnsi="Arial" w:cs="Arial"/>
          <w:sz w:val="20"/>
          <w:szCs w:val="20"/>
        </w:rPr>
        <w:t>paraphernalia</w:t>
      </w:r>
      <w:r w:rsidRPr="003B5C81">
        <w:rPr>
          <w:rFonts w:ascii="Arial" w:hAnsi="Arial" w:cs="Arial"/>
          <w:sz w:val="20"/>
          <w:szCs w:val="20"/>
        </w:rPr>
        <w:t xml:space="preserve"> of shocks (Holtz-Eakin et al., 1988). EU’s inclusion as a control variable ensures that energy-related effects are accounted for in these </w:t>
      </w:r>
      <w:r w:rsidR="00FC01EF" w:rsidRPr="003B5C81">
        <w:rPr>
          <w:rFonts w:ascii="Arial" w:hAnsi="Arial" w:cs="Arial"/>
          <w:sz w:val="20"/>
          <w:szCs w:val="20"/>
        </w:rPr>
        <w:t>subtleties</w:t>
      </w:r>
      <w:r w:rsidRPr="003B5C81">
        <w:rPr>
          <w:rFonts w:ascii="Arial" w:hAnsi="Arial" w:cs="Arial"/>
          <w:sz w:val="20"/>
          <w:szCs w:val="20"/>
        </w:rPr>
        <w:t xml:space="preserve"> (Stern, 2018).</w:t>
      </w:r>
    </w:p>
    <w:p w14:paraId="708C2B4F" w14:textId="6606DB4D" w:rsidR="008F44EA" w:rsidRPr="008F44EA" w:rsidRDefault="008F44EA" w:rsidP="008F44EA">
      <w:pPr>
        <w:spacing w:line="360" w:lineRule="auto"/>
        <w:rPr>
          <w:rFonts w:ascii="Arial" w:hAnsi="Arial" w:cs="Arial"/>
          <w:b/>
          <w:bCs/>
          <w:sz w:val="20"/>
          <w:szCs w:val="20"/>
          <w:u w:val="single"/>
        </w:rPr>
      </w:pPr>
      <w:r w:rsidRPr="008F44EA">
        <w:rPr>
          <w:rFonts w:ascii="Arial" w:hAnsi="Arial" w:cs="Arial"/>
          <w:b/>
          <w:bCs/>
          <w:sz w:val="20"/>
          <w:szCs w:val="20"/>
          <w:u w:val="single"/>
        </w:rPr>
        <w:t>2.2.4 Granger Causality Tests</w:t>
      </w:r>
    </w:p>
    <w:p w14:paraId="4C667740" w14:textId="4464199E" w:rsidR="008F44EA" w:rsidRPr="003B5C81" w:rsidRDefault="008F44EA" w:rsidP="003B5C81">
      <w:pPr>
        <w:jc w:val="both"/>
        <w:rPr>
          <w:rFonts w:ascii="Arial" w:hAnsi="Arial" w:cs="Arial"/>
          <w:sz w:val="20"/>
          <w:szCs w:val="20"/>
        </w:rPr>
      </w:pPr>
      <w:r w:rsidRPr="003B5C81">
        <w:rPr>
          <w:rFonts w:ascii="Arial" w:hAnsi="Arial" w:cs="Arial"/>
          <w:sz w:val="20"/>
          <w:szCs w:val="20"/>
        </w:rPr>
        <w:t xml:space="preserve">To </w:t>
      </w:r>
      <w:r w:rsidR="00FC01EF" w:rsidRPr="003B5C81">
        <w:rPr>
          <w:rFonts w:ascii="Arial" w:hAnsi="Arial" w:cs="Arial"/>
          <w:sz w:val="20"/>
          <w:szCs w:val="20"/>
        </w:rPr>
        <w:t>detect</w:t>
      </w:r>
      <w:r w:rsidRPr="003B5C81">
        <w:rPr>
          <w:rFonts w:ascii="Arial" w:hAnsi="Arial" w:cs="Arial"/>
          <w:sz w:val="20"/>
          <w:szCs w:val="20"/>
        </w:rPr>
        <w:t xml:space="preserve"> the direction of causality among CO</w:t>
      </w:r>
      <w:r w:rsidRPr="003B5C81">
        <w:rPr>
          <w:rFonts w:ascii="Arial" w:hAnsi="Arial" w:cs="Arial"/>
          <w:sz w:val="20"/>
          <w:szCs w:val="20"/>
          <w:vertAlign w:val="subscript"/>
        </w:rPr>
        <w:t>2</w:t>
      </w:r>
      <w:r w:rsidRPr="003B5C81">
        <w:rPr>
          <w:rFonts w:ascii="Arial" w:hAnsi="Arial" w:cs="Arial"/>
          <w:sz w:val="20"/>
          <w:szCs w:val="20"/>
        </w:rPr>
        <w:t>, GDPPC, TO, and EU, we conduct pairwise Granger causality tests within the panel VAR framework. A variable X is said to Granger cause Y if past values of X improve the prediction of Y beyond what is possible with past values of Y alone (Granger, 1969). This approach is widely used in BRICS studies to uncover causal pathways, such as whether GDPPC drives CO</w:t>
      </w:r>
      <w:r w:rsidRPr="003B5C81">
        <w:rPr>
          <w:rFonts w:ascii="Arial" w:hAnsi="Arial" w:cs="Arial"/>
          <w:sz w:val="20"/>
          <w:szCs w:val="20"/>
          <w:vertAlign w:val="subscript"/>
        </w:rPr>
        <w:t>2</w:t>
      </w:r>
      <w:r w:rsidRPr="003B5C81">
        <w:rPr>
          <w:rFonts w:ascii="Arial" w:hAnsi="Arial" w:cs="Arial"/>
          <w:sz w:val="20"/>
          <w:szCs w:val="20"/>
        </w:rPr>
        <w:t xml:space="preserve"> or TO influences GDPPC (</w:t>
      </w:r>
      <w:proofErr w:type="spellStart"/>
      <w:r w:rsidRPr="003B5C81">
        <w:rPr>
          <w:rFonts w:ascii="Arial" w:hAnsi="Arial" w:cs="Arial"/>
          <w:sz w:val="20"/>
          <w:szCs w:val="20"/>
        </w:rPr>
        <w:t>Sebri</w:t>
      </w:r>
      <w:proofErr w:type="spellEnd"/>
      <w:r w:rsidRPr="003B5C81">
        <w:rPr>
          <w:rFonts w:ascii="Arial" w:hAnsi="Arial" w:cs="Arial"/>
          <w:sz w:val="20"/>
          <w:szCs w:val="20"/>
        </w:rPr>
        <w:t xml:space="preserve"> &amp; Ben-</w:t>
      </w:r>
      <w:proofErr w:type="spellStart"/>
      <w:r w:rsidRPr="003B5C81">
        <w:rPr>
          <w:rFonts w:ascii="Arial" w:hAnsi="Arial" w:cs="Arial"/>
          <w:sz w:val="20"/>
          <w:szCs w:val="20"/>
        </w:rPr>
        <w:t>Salha</w:t>
      </w:r>
      <w:proofErr w:type="spellEnd"/>
      <w:r w:rsidRPr="003B5C81">
        <w:rPr>
          <w:rFonts w:ascii="Arial" w:hAnsi="Arial" w:cs="Arial"/>
          <w:sz w:val="20"/>
          <w:szCs w:val="20"/>
        </w:rPr>
        <w:t>, 2014).</w:t>
      </w:r>
    </w:p>
    <w:p w14:paraId="11F9AE57" w14:textId="5FA82162" w:rsidR="008F44EA" w:rsidRPr="008F44EA" w:rsidRDefault="008F44EA" w:rsidP="008F44EA">
      <w:pPr>
        <w:spacing w:line="360" w:lineRule="auto"/>
        <w:rPr>
          <w:rFonts w:ascii="Arial" w:hAnsi="Arial" w:cs="Arial"/>
          <w:b/>
          <w:bCs/>
          <w:sz w:val="20"/>
          <w:szCs w:val="20"/>
          <w:u w:val="single"/>
        </w:rPr>
      </w:pPr>
      <w:r>
        <w:rPr>
          <w:rFonts w:ascii="Arial" w:hAnsi="Arial" w:cs="Arial"/>
          <w:b/>
          <w:bCs/>
          <w:sz w:val="20"/>
          <w:szCs w:val="20"/>
          <w:u w:val="single"/>
        </w:rPr>
        <w:t>2</w:t>
      </w:r>
      <w:r w:rsidRPr="008F44EA">
        <w:rPr>
          <w:rFonts w:ascii="Arial" w:hAnsi="Arial" w:cs="Arial"/>
          <w:b/>
          <w:bCs/>
          <w:sz w:val="20"/>
          <w:szCs w:val="20"/>
          <w:u w:val="single"/>
        </w:rPr>
        <w:t>.2.5 Impulse Response Functions (IRF)</w:t>
      </w:r>
    </w:p>
    <w:p w14:paraId="32A1FC26" w14:textId="4DC057F4" w:rsidR="008F44EA" w:rsidRPr="003B5C81" w:rsidRDefault="008F44EA" w:rsidP="003B5C81">
      <w:pPr>
        <w:jc w:val="both"/>
        <w:rPr>
          <w:rFonts w:ascii="Arial" w:hAnsi="Arial" w:cs="Arial"/>
          <w:sz w:val="20"/>
          <w:szCs w:val="20"/>
        </w:rPr>
      </w:pPr>
      <w:r w:rsidRPr="003B5C81">
        <w:rPr>
          <w:rFonts w:ascii="Arial" w:hAnsi="Arial" w:cs="Arial"/>
          <w:sz w:val="20"/>
          <w:szCs w:val="20"/>
        </w:rPr>
        <w:t>IRFs trace the response of each variable to a one-standard-deviation shock in another, providing insights into the transmission mechanisms within the nexus (Sims, 1980). For example, a shock to GDPPC might increase CO</w:t>
      </w:r>
      <w:r w:rsidRPr="003B5C81">
        <w:rPr>
          <w:rFonts w:ascii="Arial" w:hAnsi="Arial" w:cs="Arial"/>
          <w:sz w:val="20"/>
          <w:szCs w:val="20"/>
          <w:vertAlign w:val="subscript"/>
        </w:rPr>
        <w:t>2</w:t>
      </w:r>
      <w:r w:rsidRPr="003B5C81">
        <w:rPr>
          <w:rFonts w:ascii="Arial" w:hAnsi="Arial" w:cs="Arial"/>
          <w:sz w:val="20"/>
          <w:szCs w:val="20"/>
        </w:rPr>
        <w:t xml:space="preserve"> emissions via higher energy usage, a dynamic we aim to explore (Love &amp; </w:t>
      </w:r>
      <w:proofErr w:type="spellStart"/>
      <w:r w:rsidRPr="003B5C81">
        <w:rPr>
          <w:rFonts w:ascii="Arial" w:hAnsi="Arial" w:cs="Arial"/>
          <w:sz w:val="20"/>
          <w:szCs w:val="20"/>
        </w:rPr>
        <w:t>Zicchino</w:t>
      </w:r>
      <w:proofErr w:type="spellEnd"/>
      <w:r w:rsidRPr="003B5C81">
        <w:rPr>
          <w:rFonts w:ascii="Arial" w:hAnsi="Arial" w:cs="Arial"/>
          <w:sz w:val="20"/>
          <w:szCs w:val="20"/>
        </w:rPr>
        <w:t>, 2006).</w:t>
      </w:r>
    </w:p>
    <w:p w14:paraId="0B530EA8" w14:textId="77777777" w:rsidR="008F44EA" w:rsidRPr="003B5C81" w:rsidRDefault="008F44EA" w:rsidP="003B5C81">
      <w:pPr>
        <w:jc w:val="both"/>
        <w:rPr>
          <w:rFonts w:ascii="Arial" w:hAnsi="Arial" w:cs="Arial"/>
          <w:sz w:val="20"/>
          <w:szCs w:val="20"/>
        </w:rPr>
      </w:pPr>
      <w:r w:rsidRPr="003B5C81">
        <w:rPr>
          <w:rFonts w:ascii="Arial" w:hAnsi="Arial" w:cs="Arial"/>
          <w:sz w:val="20"/>
          <w:szCs w:val="20"/>
        </w:rPr>
        <w:t xml:space="preserve">All variables are assumed to be integrated of order one, </w:t>
      </w:r>
      <w:proofErr w:type="gramStart"/>
      <w:r w:rsidRPr="003B5C81">
        <w:rPr>
          <w:rFonts w:ascii="Arial" w:hAnsi="Arial" w:cs="Arial"/>
          <w:sz w:val="20"/>
          <w:szCs w:val="20"/>
        </w:rPr>
        <w:t>I(</w:t>
      </w:r>
      <w:proofErr w:type="gramEnd"/>
      <w:r w:rsidRPr="003B5C81">
        <w:rPr>
          <w:rFonts w:ascii="Arial" w:hAnsi="Arial" w:cs="Arial"/>
          <w:sz w:val="20"/>
          <w:szCs w:val="20"/>
        </w:rPr>
        <w:t>1), based on preliminary unit root test results, justifying the use of cointegration and VAR techniques (Engle &amp; Granger, 1987).</w:t>
      </w:r>
    </w:p>
    <w:p w14:paraId="35397A45" w14:textId="77777777" w:rsidR="0062062F" w:rsidRDefault="0062062F" w:rsidP="00C44914">
      <w:pPr>
        <w:pStyle w:val="Head1"/>
        <w:spacing w:before="240" w:after="120" w:line="360" w:lineRule="auto"/>
        <w:rPr>
          <w:rFonts w:ascii="Arial" w:hAnsi="Arial" w:cs="Arial"/>
        </w:rPr>
      </w:pPr>
      <w:r>
        <w:rPr>
          <w:rFonts w:ascii="Arial" w:hAnsi="Arial" w:cs="Arial"/>
        </w:rPr>
        <w:t>3. results and discussion</w:t>
      </w:r>
    </w:p>
    <w:p w14:paraId="18D6A04C" w14:textId="08D265EA" w:rsidR="0062062F" w:rsidRPr="0062062F" w:rsidRDefault="0062062F" w:rsidP="003B5C81">
      <w:pPr>
        <w:spacing w:before="120" w:after="120" w:line="360" w:lineRule="auto"/>
        <w:rPr>
          <w:rFonts w:ascii="Arial" w:hAnsi="Arial" w:cs="Arial"/>
          <w:b/>
          <w:bCs/>
        </w:rPr>
      </w:pPr>
      <w:r>
        <w:rPr>
          <w:rFonts w:ascii="Arial" w:hAnsi="Arial" w:cs="Arial"/>
          <w:b/>
          <w:bCs/>
        </w:rPr>
        <w:t>3</w:t>
      </w:r>
      <w:r w:rsidRPr="0062062F">
        <w:rPr>
          <w:rFonts w:ascii="Arial" w:hAnsi="Arial" w:cs="Arial"/>
          <w:b/>
          <w:bCs/>
        </w:rPr>
        <w:t>.1 Summary Statistics</w:t>
      </w:r>
    </w:p>
    <w:p w14:paraId="7CD049D0" w14:textId="5B8A2F36" w:rsidR="0062062F" w:rsidRPr="003B5C81" w:rsidRDefault="0062062F" w:rsidP="003B5C81">
      <w:pPr>
        <w:jc w:val="both"/>
        <w:rPr>
          <w:rFonts w:ascii="Arial" w:hAnsi="Arial" w:cs="Arial"/>
          <w:sz w:val="20"/>
          <w:szCs w:val="20"/>
        </w:rPr>
      </w:pPr>
      <w:r w:rsidRPr="003B5C81">
        <w:rPr>
          <w:rFonts w:ascii="Arial" w:hAnsi="Arial" w:cs="Arial"/>
          <w:sz w:val="20"/>
          <w:szCs w:val="20"/>
        </w:rPr>
        <w:t xml:space="preserve">The summary statistics in Table </w:t>
      </w:r>
      <w:r w:rsidR="004E289F">
        <w:rPr>
          <w:rFonts w:ascii="Arial" w:hAnsi="Arial" w:cs="Arial"/>
          <w:sz w:val="20"/>
          <w:szCs w:val="20"/>
        </w:rPr>
        <w:t>(</w:t>
      </w:r>
      <w:r w:rsidRPr="003B5C81">
        <w:rPr>
          <w:rFonts w:ascii="Arial" w:hAnsi="Arial" w:cs="Arial"/>
          <w:sz w:val="20"/>
          <w:szCs w:val="20"/>
        </w:rPr>
        <w:t>2</w:t>
      </w:r>
      <w:r w:rsidR="004E289F">
        <w:rPr>
          <w:rFonts w:ascii="Arial" w:hAnsi="Arial" w:cs="Arial"/>
          <w:sz w:val="20"/>
          <w:szCs w:val="20"/>
        </w:rPr>
        <w:t>)</w:t>
      </w:r>
      <w:r w:rsidRPr="003B5C81">
        <w:rPr>
          <w:rFonts w:ascii="Arial" w:hAnsi="Arial" w:cs="Arial"/>
          <w:sz w:val="20"/>
          <w:szCs w:val="20"/>
        </w:rPr>
        <w:t xml:space="preserve"> provide a detailed snapshot of the variables across BRICS, revealing significant heterogeneity. Russia records the highest mean CO</w:t>
      </w:r>
      <w:r w:rsidRPr="003B5C81">
        <w:rPr>
          <w:rFonts w:ascii="Arial" w:hAnsi="Arial" w:cs="Arial"/>
          <w:sz w:val="20"/>
          <w:szCs w:val="20"/>
          <w:vertAlign w:val="subscript"/>
        </w:rPr>
        <w:t>2</w:t>
      </w:r>
      <w:r w:rsidRPr="003B5C81">
        <w:rPr>
          <w:rFonts w:ascii="Arial" w:hAnsi="Arial" w:cs="Arial"/>
          <w:sz w:val="20"/>
          <w:szCs w:val="20"/>
        </w:rPr>
        <w:t xml:space="preserve"> emissions (12.82 t CO</w:t>
      </w:r>
      <w:r w:rsidRPr="003B5C81">
        <w:rPr>
          <w:rFonts w:ascii="Arial" w:hAnsi="Arial" w:cs="Arial"/>
          <w:sz w:val="20"/>
          <w:szCs w:val="20"/>
          <w:vertAlign w:val="subscript"/>
        </w:rPr>
        <w:t>2</w:t>
      </w:r>
      <w:r w:rsidRPr="003B5C81">
        <w:rPr>
          <w:rFonts w:ascii="Arial" w:hAnsi="Arial" w:cs="Arial"/>
          <w:sz w:val="20"/>
          <w:szCs w:val="20"/>
        </w:rPr>
        <w:t>e/capita) and energy usage (4724.72 kg oil equivalent/capita), reflecting its energy-intensive economy (IEA, 2022). India, conversely, has the lowest means (0.98 t CO</w:t>
      </w:r>
      <w:r w:rsidRPr="003B5C81">
        <w:rPr>
          <w:rFonts w:ascii="Arial" w:hAnsi="Arial" w:cs="Arial"/>
          <w:sz w:val="20"/>
          <w:szCs w:val="20"/>
          <w:vertAlign w:val="subscript"/>
        </w:rPr>
        <w:t>2</w:t>
      </w:r>
      <w:r w:rsidRPr="003B5C81">
        <w:rPr>
          <w:rFonts w:ascii="Arial" w:hAnsi="Arial" w:cs="Arial"/>
          <w:sz w:val="20"/>
          <w:szCs w:val="20"/>
        </w:rPr>
        <w:t>e/capita and 450.59 kg), consistent with its lower per capita income and energy access (World Bank, 2023). China exhibits the highest GDPPC growth (compound annual growth rate of 9.20%), underscoring its rapid industrialization, while South Africa’s high emissions relative to GDPPC highlight its coal dependency (OECD, 2023). The coefficients of variation (C.V.) indicate greater dispersion in GDPPC and CO</w:t>
      </w:r>
      <w:r w:rsidRPr="003B5C81">
        <w:rPr>
          <w:rFonts w:ascii="Arial" w:hAnsi="Arial" w:cs="Arial"/>
          <w:sz w:val="20"/>
          <w:szCs w:val="20"/>
          <w:vertAlign w:val="subscript"/>
        </w:rPr>
        <w:t>2</w:t>
      </w:r>
      <w:r w:rsidRPr="003B5C81">
        <w:rPr>
          <w:rFonts w:ascii="Arial" w:hAnsi="Arial" w:cs="Arial"/>
          <w:sz w:val="20"/>
          <w:szCs w:val="20"/>
        </w:rPr>
        <w:t>, reflecting diverse development and environmental profiles (Levin et al., 2002).</w:t>
      </w:r>
    </w:p>
    <w:p w14:paraId="5DACB855" w14:textId="6C95F774" w:rsidR="0062062F" w:rsidRPr="00C44914" w:rsidRDefault="0062062F" w:rsidP="00C44914">
      <w:pPr>
        <w:spacing w:after="0" w:line="480" w:lineRule="auto"/>
        <w:jc w:val="center"/>
        <w:rPr>
          <w:rFonts w:ascii="Arial" w:hAnsi="Arial" w:cs="Arial"/>
          <w:b/>
          <w:bCs/>
          <w:sz w:val="20"/>
          <w:szCs w:val="20"/>
        </w:rPr>
      </w:pPr>
      <w:r w:rsidRPr="00C44914">
        <w:rPr>
          <w:rFonts w:ascii="Arial" w:hAnsi="Arial" w:cs="Arial"/>
          <w:b/>
          <w:bCs/>
          <w:sz w:val="20"/>
          <w:szCs w:val="20"/>
        </w:rPr>
        <w:t>Table 2</w:t>
      </w:r>
      <w:r w:rsidR="00AD1588">
        <w:rPr>
          <w:rFonts w:ascii="Arial" w:hAnsi="Arial" w:cs="Arial"/>
          <w:b/>
          <w:bCs/>
          <w:sz w:val="20"/>
          <w:szCs w:val="20"/>
        </w:rPr>
        <w:t>.</w:t>
      </w:r>
      <w:r w:rsidRPr="00C44914">
        <w:rPr>
          <w:rFonts w:ascii="Arial" w:hAnsi="Arial" w:cs="Arial"/>
          <w:b/>
          <w:bCs/>
          <w:sz w:val="20"/>
          <w:szCs w:val="20"/>
        </w:rPr>
        <w:t xml:space="preserve"> Summary Statistics of the variables</w:t>
      </w:r>
    </w:p>
    <w:tbl>
      <w:tblPr>
        <w:tblW w:w="5000" w:type="pct"/>
        <w:jc w:val="center"/>
        <w:tblLook w:val="0000" w:firstRow="0" w:lastRow="0" w:firstColumn="0" w:lastColumn="0" w:noHBand="0" w:noVBand="0"/>
      </w:tblPr>
      <w:tblGrid>
        <w:gridCol w:w="1872"/>
        <w:gridCol w:w="1872"/>
        <w:gridCol w:w="1872"/>
        <w:gridCol w:w="1872"/>
        <w:gridCol w:w="1872"/>
      </w:tblGrid>
      <w:tr w:rsidR="0062062F" w:rsidRPr="006D0248" w14:paraId="36535AFD" w14:textId="77777777" w:rsidTr="006D0248">
        <w:trPr>
          <w:trHeight w:val="348"/>
          <w:jc w:val="center"/>
        </w:trPr>
        <w:tc>
          <w:tcPr>
            <w:tcW w:w="1000" w:type="pct"/>
            <w:tcBorders>
              <w:top w:val="single" w:sz="12" w:space="0" w:color="000000" w:themeColor="text1"/>
              <w:bottom w:val="single" w:sz="12" w:space="0" w:color="000000" w:themeColor="text1"/>
            </w:tcBorders>
            <w:vAlign w:val="center"/>
          </w:tcPr>
          <w:p w14:paraId="462873D0"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Statistics</w:t>
            </w:r>
          </w:p>
        </w:tc>
        <w:tc>
          <w:tcPr>
            <w:tcW w:w="1000" w:type="pct"/>
            <w:tcBorders>
              <w:top w:val="single" w:sz="12" w:space="0" w:color="000000" w:themeColor="text1"/>
              <w:bottom w:val="single" w:sz="12" w:space="0" w:color="000000" w:themeColor="text1"/>
            </w:tcBorders>
            <w:vAlign w:val="center"/>
          </w:tcPr>
          <w:p w14:paraId="18EFD1B9"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CO</w:t>
            </w:r>
            <w:r w:rsidRPr="006D0248">
              <w:rPr>
                <w:rFonts w:ascii="Arial" w:hAnsi="Arial" w:cs="Arial"/>
                <w:b/>
                <w:bCs/>
                <w:sz w:val="20"/>
                <w:szCs w:val="20"/>
                <w:vertAlign w:val="subscript"/>
              </w:rPr>
              <w:t>2</w:t>
            </w:r>
          </w:p>
        </w:tc>
        <w:tc>
          <w:tcPr>
            <w:tcW w:w="1000" w:type="pct"/>
            <w:tcBorders>
              <w:top w:val="single" w:sz="12" w:space="0" w:color="000000" w:themeColor="text1"/>
              <w:bottom w:val="single" w:sz="12" w:space="0" w:color="000000" w:themeColor="text1"/>
            </w:tcBorders>
            <w:vAlign w:val="center"/>
          </w:tcPr>
          <w:p w14:paraId="434D73E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GDPPC</w:t>
            </w:r>
          </w:p>
        </w:tc>
        <w:tc>
          <w:tcPr>
            <w:tcW w:w="1000" w:type="pct"/>
            <w:tcBorders>
              <w:top w:val="single" w:sz="12" w:space="0" w:color="000000" w:themeColor="text1"/>
              <w:bottom w:val="single" w:sz="12" w:space="0" w:color="000000" w:themeColor="text1"/>
            </w:tcBorders>
            <w:vAlign w:val="center"/>
          </w:tcPr>
          <w:p w14:paraId="0D6472FC"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TO</w:t>
            </w:r>
          </w:p>
        </w:tc>
        <w:tc>
          <w:tcPr>
            <w:tcW w:w="1000" w:type="pct"/>
            <w:tcBorders>
              <w:top w:val="single" w:sz="12" w:space="0" w:color="000000" w:themeColor="text1"/>
              <w:bottom w:val="single" w:sz="12" w:space="0" w:color="000000" w:themeColor="text1"/>
            </w:tcBorders>
            <w:vAlign w:val="center"/>
          </w:tcPr>
          <w:p w14:paraId="619BF002"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EU</w:t>
            </w:r>
          </w:p>
        </w:tc>
      </w:tr>
      <w:tr w:rsidR="0062062F" w:rsidRPr="006D0248" w14:paraId="5995F945"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36D662B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Brazil (53 observations)</w:t>
            </w:r>
          </w:p>
        </w:tc>
      </w:tr>
      <w:tr w:rsidR="0062062F" w:rsidRPr="006D0248" w14:paraId="2E5083B0" w14:textId="77777777" w:rsidTr="0027769C">
        <w:trPr>
          <w:trHeight w:val="290"/>
          <w:jc w:val="center"/>
        </w:trPr>
        <w:tc>
          <w:tcPr>
            <w:tcW w:w="1000" w:type="pct"/>
            <w:tcBorders>
              <w:top w:val="single" w:sz="12" w:space="0" w:color="000000" w:themeColor="text1"/>
            </w:tcBorders>
            <w:vAlign w:val="center"/>
          </w:tcPr>
          <w:p w14:paraId="6988B065"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lastRenderedPageBreak/>
              <w:t>Mean</w:t>
            </w:r>
          </w:p>
        </w:tc>
        <w:tc>
          <w:tcPr>
            <w:tcW w:w="1000" w:type="pct"/>
            <w:tcBorders>
              <w:top w:val="single" w:sz="12" w:space="0" w:color="000000" w:themeColor="text1"/>
            </w:tcBorders>
            <w:vAlign w:val="center"/>
          </w:tcPr>
          <w:p w14:paraId="3BE3F4D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1.87</w:t>
            </w:r>
          </w:p>
        </w:tc>
        <w:tc>
          <w:tcPr>
            <w:tcW w:w="1000" w:type="pct"/>
            <w:tcBorders>
              <w:top w:val="single" w:sz="12" w:space="0" w:color="000000" w:themeColor="text1"/>
            </w:tcBorders>
            <w:vAlign w:val="center"/>
          </w:tcPr>
          <w:p w14:paraId="333500B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4948.85</w:t>
            </w:r>
          </w:p>
        </w:tc>
        <w:tc>
          <w:tcPr>
            <w:tcW w:w="1000" w:type="pct"/>
            <w:tcBorders>
              <w:top w:val="single" w:sz="12" w:space="0" w:color="000000" w:themeColor="text1"/>
            </w:tcBorders>
            <w:vAlign w:val="center"/>
          </w:tcPr>
          <w:p w14:paraId="1369958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0.22</w:t>
            </w:r>
          </w:p>
        </w:tc>
        <w:tc>
          <w:tcPr>
            <w:tcW w:w="1000" w:type="pct"/>
            <w:tcBorders>
              <w:top w:val="single" w:sz="12" w:space="0" w:color="000000" w:themeColor="text1"/>
            </w:tcBorders>
            <w:vAlign w:val="center"/>
          </w:tcPr>
          <w:p w14:paraId="5499E0C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1155.13</w:t>
            </w:r>
          </w:p>
        </w:tc>
      </w:tr>
      <w:tr w:rsidR="0062062F" w:rsidRPr="006D0248" w14:paraId="6EA7FE4C" w14:textId="77777777" w:rsidTr="0027769C">
        <w:trPr>
          <w:trHeight w:val="290"/>
          <w:jc w:val="center"/>
        </w:trPr>
        <w:tc>
          <w:tcPr>
            <w:tcW w:w="1000" w:type="pct"/>
            <w:vAlign w:val="center"/>
          </w:tcPr>
          <w:p w14:paraId="61D8D186"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55EAF2A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0.40</w:t>
            </w:r>
          </w:p>
        </w:tc>
        <w:tc>
          <w:tcPr>
            <w:tcW w:w="1000" w:type="pct"/>
            <w:vAlign w:val="center"/>
          </w:tcPr>
          <w:p w14:paraId="316C870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3763.44</w:t>
            </w:r>
          </w:p>
        </w:tc>
        <w:tc>
          <w:tcPr>
            <w:tcW w:w="1000" w:type="pct"/>
            <w:vAlign w:val="center"/>
          </w:tcPr>
          <w:p w14:paraId="2B84E98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0.06</w:t>
            </w:r>
          </w:p>
        </w:tc>
        <w:tc>
          <w:tcPr>
            <w:tcW w:w="1000" w:type="pct"/>
            <w:vAlign w:val="center"/>
          </w:tcPr>
          <w:p w14:paraId="24FF3BD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313.01</w:t>
            </w:r>
          </w:p>
        </w:tc>
      </w:tr>
      <w:tr w:rsidR="0062062F" w:rsidRPr="006D0248" w14:paraId="2676AD70" w14:textId="77777777" w:rsidTr="0027769C">
        <w:trPr>
          <w:trHeight w:val="290"/>
          <w:jc w:val="center"/>
        </w:trPr>
        <w:tc>
          <w:tcPr>
            <w:tcW w:w="1000" w:type="pct"/>
            <w:vAlign w:val="center"/>
          </w:tcPr>
          <w:p w14:paraId="3DD39D39"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7A43780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21.30</w:t>
            </w:r>
          </w:p>
        </w:tc>
        <w:tc>
          <w:tcPr>
            <w:tcW w:w="1000" w:type="pct"/>
            <w:vAlign w:val="center"/>
          </w:tcPr>
          <w:p w14:paraId="0960D36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76.05</w:t>
            </w:r>
          </w:p>
        </w:tc>
        <w:tc>
          <w:tcPr>
            <w:tcW w:w="1000" w:type="pct"/>
            <w:vAlign w:val="center"/>
          </w:tcPr>
          <w:p w14:paraId="629BD4A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27.20</w:t>
            </w:r>
          </w:p>
        </w:tc>
        <w:tc>
          <w:tcPr>
            <w:tcW w:w="1000" w:type="pct"/>
            <w:vAlign w:val="center"/>
          </w:tcPr>
          <w:p w14:paraId="0F395B7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27.10</w:t>
            </w:r>
          </w:p>
        </w:tc>
      </w:tr>
      <w:tr w:rsidR="0062062F" w:rsidRPr="006D0248" w14:paraId="43387596" w14:textId="77777777" w:rsidTr="0027769C">
        <w:trPr>
          <w:trHeight w:val="290"/>
          <w:jc w:val="center"/>
        </w:trPr>
        <w:tc>
          <w:tcPr>
            <w:tcW w:w="1000" w:type="pct"/>
            <w:tcBorders>
              <w:bottom w:val="single" w:sz="12" w:space="0" w:color="000000" w:themeColor="text1"/>
            </w:tcBorders>
            <w:vAlign w:val="center"/>
          </w:tcPr>
          <w:p w14:paraId="31E866EC"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3BC13F4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1.39</w:t>
            </w:r>
          </w:p>
        </w:tc>
        <w:tc>
          <w:tcPr>
            <w:tcW w:w="1000" w:type="pct"/>
            <w:tcBorders>
              <w:bottom w:val="single" w:sz="12" w:space="0" w:color="000000" w:themeColor="text1"/>
            </w:tcBorders>
            <w:vAlign w:val="center"/>
          </w:tcPr>
          <w:p w14:paraId="7FA574E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5.87</w:t>
            </w:r>
          </w:p>
        </w:tc>
        <w:tc>
          <w:tcPr>
            <w:tcW w:w="1000" w:type="pct"/>
            <w:tcBorders>
              <w:bottom w:val="single" w:sz="12" w:space="0" w:color="000000" w:themeColor="text1"/>
            </w:tcBorders>
            <w:vAlign w:val="center"/>
          </w:tcPr>
          <w:p w14:paraId="0983F57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1.59</w:t>
            </w:r>
          </w:p>
        </w:tc>
        <w:tc>
          <w:tcPr>
            <w:tcW w:w="1000" w:type="pct"/>
            <w:tcBorders>
              <w:bottom w:val="single" w:sz="12" w:space="0" w:color="000000" w:themeColor="text1"/>
            </w:tcBorders>
            <w:vAlign w:val="center"/>
          </w:tcPr>
          <w:p w14:paraId="266D1E8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1.84</w:t>
            </w:r>
          </w:p>
        </w:tc>
      </w:tr>
      <w:tr w:rsidR="0062062F" w:rsidRPr="006D0248" w14:paraId="741686D4"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6803C7D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Russian Federation (53 observations)</w:t>
            </w:r>
          </w:p>
        </w:tc>
      </w:tr>
      <w:tr w:rsidR="0062062F" w:rsidRPr="006D0248" w14:paraId="18312997" w14:textId="77777777" w:rsidTr="0027769C">
        <w:trPr>
          <w:trHeight w:val="290"/>
          <w:jc w:val="center"/>
        </w:trPr>
        <w:tc>
          <w:tcPr>
            <w:tcW w:w="1000" w:type="pct"/>
            <w:tcBorders>
              <w:top w:val="single" w:sz="12" w:space="0" w:color="000000" w:themeColor="text1"/>
            </w:tcBorders>
            <w:vAlign w:val="center"/>
          </w:tcPr>
          <w:p w14:paraId="1F3F594C"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5C5169D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12.82</w:t>
            </w:r>
          </w:p>
        </w:tc>
        <w:tc>
          <w:tcPr>
            <w:tcW w:w="1000" w:type="pct"/>
            <w:tcBorders>
              <w:top w:val="single" w:sz="12" w:space="0" w:color="000000" w:themeColor="text1"/>
            </w:tcBorders>
            <w:vAlign w:val="center"/>
          </w:tcPr>
          <w:p w14:paraId="3A561D8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5314.20</w:t>
            </w:r>
          </w:p>
        </w:tc>
        <w:tc>
          <w:tcPr>
            <w:tcW w:w="1000" w:type="pct"/>
            <w:tcBorders>
              <w:top w:val="single" w:sz="12" w:space="0" w:color="000000" w:themeColor="text1"/>
            </w:tcBorders>
            <w:vAlign w:val="center"/>
          </w:tcPr>
          <w:p w14:paraId="14B83F6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0.56</w:t>
            </w:r>
          </w:p>
        </w:tc>
        <w:tc>
          <w:tcPr>
            <w:tcW w:w="1000" w:type="pct"/>
            <w:tcBorders>
              <w:top w:val="single" w:sz="12" w:space="0" w:color="000000" w:themeColor="text1"/>
            </w:tcBorders>
            <w:vAlign w:val="center"/>
          </w:tcPr>
          <w:p w14:paraId="7B6621F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4724.72</w:t>
            </w:r>
          </w:p>
        </w:tc>
      </w:tr>
      <w:tr w:rsidR="0062062F" w:rsidRPr="006D0248" w14:paraId="1B135696" w14:textId="77777777" w:rsidTr="0027769C">
        <w:trPr>
          <w:trHeight w:val="290"/>
          <w:jc w:val="center"/>
        </w:trPr>
        <w:tc>
          <w:tcPr>
            <w:tcW w:w="1000" w:type="pct"/>
            <w:vAlign w:val="center"/>
          </w:tcPr>
          <w:p w14:paraId="31155641"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1A9AD1A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2.20</w:t>
            </w:r>
          </w:p>
        </w:tc>
        <w:tc>
          <w:tcPr>
            <w:tcW w:w="1000" w:type="pct"/>
            <w:vAlign w:val="center"/>
          </w:tcPr>
          <w:p w14:paraId="4068FB6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4965.72</w:t>
            </w:r>
          </w:p>
        </w:tc>
        <w:tc>
          <w:tcPr>
            <w:tcW w:w="1000" w:type="pct"/>
            <w:vAlign w:val="center"/>
          </w:tcPr>
          <w:p w14:paraId="1681B08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0.13</w:t>
            </w:r>
          </w:p>
        </w:tc>
        <w:tc>
          <w:tcPr>
            <w:tcW w:w="1000" w:type="pct"/>
            <w:vAlign w:val="center"/>
          </w:tcPr>
          <w:p w14:paraId="085E0C8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708.90</w:t>
            </w:r>
          </w:p>
        </w:tc>
      </w:tr>
      <w:tr w:rsidR="0062062F" w:rsidRPr="006D0248" w14:paraId="1867381B" w14:textId="77777777" w:rsidTr="0027769C">
        <w:trPr>
          <w:trHeight w:val="290"/>
          <w:jc w:val="center"/>
        </w:trPr>
        <w:tc>
          <w:tcPr>
            <w:tcW w:w="1000" w:type="pct"/>
            <w:vAlign w:val="center"/>
          </w:tcPr>
          <w:p w14:paraId="4FED6D2B"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6281D8B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17.15</w:t>
            </w:r>
          </w:p>
        </w:tc>
        <w:tc>
          <w:tcPr>
            <w:tcW w:w="1000" w:type="pct"/>
            <w:vAlign w:val="center"/>
          </w:tcPr>
          <w:p w14:paraId="2A6308D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93.44</w:t>
            </w:r>
          </w:p>
        </w:tc>
        <w:tc>
          <w:tcPr>
            <w:tcW w:w="1000" w:type="pct"/>
            <w:vAlign w:val="center"/>
          </w:tcPr>
          <w:p w14:paraId="34571AB0"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23.87</w:t>
            </w:r>
          </w:p>
        </w:tc>
        <w:tc>
          <w:tcPr>
            <w:tcW w:w="1000" w:type="pct"/>
            <w:vAlign w:val="center"/>
          </w:tcPr>
          <w:p w14:paraId="0CA7B21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15.00</w:t>
            </w:r>
          </w:p>
        </w:tc>
      </w:tr>
      <w:tr w:rsidR="0062062F" w:rsidRPr="006D0248" w14:paraId="05586B46" w14:textId="77777777" w:rsidTr="0027769C">
        <w:trPr>
          <w:trHeight w:val="290"/>
          <w:jc w:val="center"/>
        </w:trPr>
        <w:tc>
          <w:tcPr>
            <w:tcW w:w="1000" w:type="pct"/>
            <w:tcBorders>
              <w:bottom w:val="single" w:sz="12" w:space="0" w:color="000000" w:themeColor="text1"/>
            </w:tcBorders>
            <w:vAlign w:val="center"/>
          </w:tcPr>
          <w:p w14:paraId="4AE015EF"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11B65F8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0.69</w:t>
            </w:r>
          </w:p>
        </w:tc>
        <w:tc>
          <w:tcPr>
            <w:tcW w:w="1000" w:type="pct"/>
            <w:tcBorders>
              <w:bottom w:val="single" w:sz="12" w:space="0" w:color="000000" w:themeColor="text1"/>
            </w:tcBorders>
            <w:vAlign w:val="center"/>
          </w:tcPr>
          <w:p w14:paraId="1C7B482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7.42</w:t>
            </w:r>
          </w:p>
        </w:tc>
        <w:tc>
          <w:tcPr>
            <w:tcW w:w="1000" w:type="pct"/>
            <w:tcBorders>
              <w:bottom w:val="single" w:sz="12" w:space="0" w:color="000000" w:themeColor="text1"/>
            </w:tcBorders>
            <w:vAlign w:val="center"/>
          </w:tcPr>
          <w:p w14:paraId="408C1460"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-0.84</w:t>
            </w:r>
          </w:p>
        </w:tc>
        <w:tc>
          <w:tcPr>
            <w:tcW w:w="1000" w:type="pct"/>
            <w:tcBorders>
              <w:bottom w:val="single" w:sz="12" w:space="0" w:color="000000" w:themeColor="text1"/>
            </w:tcBorders>
            <w:vAlign w:val="center"/>
          </w:tcPr>
          <w:p w14:paraId="58F68BA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-0.11</w:t>
            </w:r>
          </w:p>
        </w:tc>
      </w:tr>
      <w:tr w:rsidR="0062062F" w:rsidRPr="006D0248" w14:paraId="33E774C8"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2C181B99"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India (53 observations)</w:t>
            </w:r>
          </w:p>
        </w:tc>
      </w:tr>
      <w:tr w:rsidR="0062062F" w:rsidRPr="006D0248" w14:paraId="2CA5DD55" w14:textId="77777777" w:rsidTr="0027769C">
        <w:trPr>
          <w:trHeight w:val="290"/>
          <w:jc w:val="center"/>
        </w:trPr>
        <w:tc>
          <w:tcPr>
            <w:tcW w:w="1000" w:type="pct"/>
            <w:tcBorders>
              <w:top w:val="single" w:sz="12" w:space="0" w:color="000000" w:themeColor="text1"/>
            </w:tcBorders>
            <w:vAlign w:val="center"/>
          </w:tcPr>
          <w:p w14:paraId="5177D8F9"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7DCBAAC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0.98</w:t>
            </w:r>
          </w:p>
        </w:tc>
        <w:tc>
          <w:tcPr>
            <w:tcW w:w="1000" w:type="pct"/>
            <w:tcBorders>
              <w:top w:val="single" w:sz="12" w:space="0" w:color="000000" w:themeColor="text1"/>
            </w:tcBorders>
            <w:vAlign w:val="center"/>
          </w:tcPr>
          <w:p w14:paraId="0962E0A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771.08</w:t>
            </w:r>
          </w:p>
        </w:tc>
        <w:tc>
          <w:tcPr>
            <w:tcW w:w="1000" w:type="pct"/>
            <w:tcBorders>
              <w:top w:val="single" w:sz="12" w:space="0" w:color="000000" w:themeColor="text1"/>
            </w:tcBorders>
            <w:vAlign w:val="center"/>
          </w:tcPr>
          <w:p w14:paraId="3151D44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0.28</w:t>
            </w:r>
          </w:p>
        </w:tc>
        <w:tc>
          <w:tcPr>
            <w:tcW w:w="1000" w:type="pct"/>
            <w:tcBorders>
              <w:top w:val="single" w:sz="12" w:space="0" w:color="000000" w:themeColor="text1"/>
            </w:tcBorders>
            <w:vAlign w:val="center"/>
          </w:tcPr>
          <w:p w14:paraId="2B490DD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450.59</w:t>
            </w:r>
          </w:p>
        </w:tc>
      </w:tr>
      <w:tr w:rsidR="0062062F" w:rsidRPr="006D0248" w14:paraId="5AAA7FB4" w14:textId="77777777" w:rsidTr="0027769C">
        <w:trPr>
          <w:trHeight w:val="290"/>
          <w:jc w:val="center"/>
        </w:trPr>
        <w:tc>
          <w:tcPr>
            <w:tcW w:w="1000" w:type="pct"/>
            <w:vAlign w:val="center"/>
          </w:tcPr>
          <w:p w14:paraId="7228DDFE"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24D94A7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0.50</w:t>
            </w:r>
          </w:p>
        </w:tc>
        <w:tc>
          <w:tcPr>
            <w:tcW w:w="1000" w:type="pct"/>
            <w:vAlign w:val="center"/>
          </w:tcPr>
          <w:p w14:paraId="3F0B88E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690.51</w:t>
            </w:r>
          </w:p>
        </w:tc>
        <w:tc>
          <w:tcPr>
            <w:tcW w:w="1000" w:type="pct"/>
            <w:vAlign w:val="center"/>
          </w:tcPr>
          <w:p w14:paraId="3891056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0.15</w:t>
            </w:r>
          </w:p>
        </w:tc>
        <w:tc>
          <w:tcPr>
            <w:tcW w:w="1000" w:type="pct"/>
            <w:vAlign w:val="center"/>
          </w:tcPr>
          <w:p w14:paraId="2E890C5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170.75</w:t>
            </w:r>
          </w:p>
        </w:tc>
      </w:tr>
      <w:tr w:rsidR="0062062F" w:rsidRPr="006D0248" w14:paraId="23E60F20" w14:textId="77777777" w:rsidTr="0027769C">
        <w:trPr>
          <w:trHeight w:val="290"/>
          <w:jc w:val="center"/>
        </w:trPr>
        <w:tc>
          <w:tcPr>
            <w:tcW w:w="1000" w:type="pct"/>
            <w:vAlign w:val="center"/>
          </w:tcPr>
          <w:p w14:paraId="59F1F508"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3252092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51.11</w:t>
            </w:r>
          </w:p>
        </w:tc>
        <w:tc>
          <w:tcPr>
            <w:tcW w:w="1000" w:type="pct"/>
            <w:vAlign w:val="center"/>
          </w:tcPr>
          <w:p w14:paraId="1036D1F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89.55</w:t>
            </w:r>
          </w:p>
        </w:tc>
        <w:tc>
          <w:tcPr>
            <w:tcW w:w="1000" w:type="pct"/>
            <w:vAlign w:val="center"/>
          </w:tcPr>
          <w:p w14:paraId="22211F8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55.48</w:t>
            </w:r>
          </w:p>
        </w:tc>
        <w:tc>
          <w:tcPr>
            <w:tcW w:w="1000" w:type="pct"/>
            <w:vAlign w:val="center"/>
          </w:tcPr>
          <w:p w14:paraId="6BC29BF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37.89</w:t>
            </w:r>
          </w:p>
        </w:tc>
      </w:tr>
      <w:tr w:rsidR="0062062F" w:rsidRPr="006D0248" w14:paraId="4F4F8BB0" w14:textId="77777777" w:rsidTr="0027769C">
        <w:trPr>
          <w:trHeight w:val="290"/>
          <w:jc w:val="center"/>
        </w:trPr>
        <w:tc>
          <w:tcPr>
            <w:tcW w:w="1000" w:type="pct"/>
            <w:tcBorders>
              <w:bottom w:val="single" w:sz="12" w:space="0" w:color="000000" w:themeColor="text1"/>
            </w:tcBorders>
            <w:vAlign w:val="center"/>
          </w:tcPr>
          <w:p w14:paraId="4BDF01AF"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4550863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3.21</w:t>
            </w:r>
          </w:p>
        </w:tc>
        <w:tc>
          <w:tcPr>
            <w:tcW w:w="1000" w:type="pct"/>
            <w:tcBorders>
              <w:bottom w:val="single" w:sz="12" w:space="0" w:color="000000" w:themeColor="text1"/>
            </w:tcBorders>
            <w:vAlign w:val="center"/>
          </w:tcPr>
          <w:p w14:paraId="3D39DE8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5.87</w:t>
            </w:r>
          </w:p>
        </w:tc>
        <w:tc>
          <w:tcPr>
            <w:tcW w:w="1000" w:type="pct"/>
            <w:tcBorders>
              <w:bottom w:val="single" w:sz="12" w:space="0" w:color="000000" w:themeColor="text1"/>
            </w:tcBorders>
            <w:vAlign w:val="center"/>
          </w:tcPr>
          <w:p w14:paraId="701B704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3.43</w:t>
            </w:r>
          </w:p>
        </w:tc>
        <w:tc>
          <w:tcPr>
            <w:tcW w:w="1000" w:type="pct"/>
            <w:tcBorders>
              <w:bottom w:val="single" w:sz="12" w:space="0" w:color="000000" w:themeColor="text1"/>
            </w:tcBorders>
            <w:vAlign w:val="center"/>
          </w:tcPr>
          <w:p w14:paraId="67AF68A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2.23</w:t>
            </w:r>
          </w:p>
        </w:tc>
      </w:tr>
      <w:tr w:rsidR="0062062F" w:rsidRPr="006D0248" w14:paraId="01F2F970"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39AECCC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China (53 observations)</w:t>
            </w:r>
          </w:p>
        </w:tc>
      </w:tr>
      <w:tr w:rsidR="0062062F" w:rsidRPr="006D0248" w14:paraId="00A84774" w14:textId="77777777" w:rsidTr="0027769C">
        <w:trPr>
          <w:trHeight w:val="290"/>
          <w:jc w:val="center"/>
        </w:trPr>
        <w:tc>
          <w:tcPr>
            <w:tcW w:w="1000" w:type="pct"/>
            <w:tcBorders>
              <w:top w:val="single" w:sz="12" w:space="0" w:color="000000" w:themeColor="text1"/>
            </w:tcBorders>
            <w:vAlign w:val="center"/>
          </w:tcPr>
          <w:p w14:paraId="6157FCED"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078EF5A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4.04</w:t>
            </w:r>
          </w:p>
        </w:tc>
        <w:tc>
          <w:tcPr>
            <w:tcW w:w="1000" w:type="pct"/>
            <w:tcBorders>
              <w:top w:val="single" w:sz="12" w:space="0" w:color="000000" w:themeColor="text1"/>
            </w:tcBorders>
            <w:vAlign w:val="center"/>
          </w:tcPr>
          <w:p w14:paraId="1271F0B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2902.07</w:t>
            </w:r>
          </w:p>
        </w:tc>
        <w:tc>
          <w:tcPr>
            <w:tcW w:w="1000" w:type="pct"/>
            <w:tcBorders>
              <w:top w:val="single" w:sz="12" w:space="0" w:color="000000" w:themeColor="text1"/>
            </w:tcBorders>
            <w:vAlign w:val="center"/>
          </w:tcPr>
          <w:p w14:paraId="382B698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0.33</w:t>
            </w:r>
          </w:p>
        </w:tc>
        <w:tc>
          <w:tcPr>
            <w:tcW w:w="1000" w:type="pct"/>
            <w:tcBorders>
              <w:top w:val="single" w:sz="12" w:space="0" w:color="000000" w:themeColor="text1"/>
            </w:tcBorders>
            <w:vAlign w:val="center"/>
          </w:tcPr>
          <w:p w14:paraId="747D295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1237.31</w:t>
            </w:r>
          </w:p>
        </w:tc>
      </w:tr>
      <w:tr w:rsidR="0062062F" w:rsidRPr="006D0248" w14:paraId="0218F606" w14:textId="77777777" w:rsidTr="0027769C">
        <w:trPr>
          <w:trHeight w:val="290"/>
          <w:jc w:val="center"/>
        </w:trPr>
        <w:tc>
          <w:tcPr>
            <w:tcW w:w="1000" w:type="pct"/>
            <w:vAlign w:val="center"/>
          </w:tcPr>
          <w:p w14:paraId="52C9D407"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23D7F4C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2.78</w:t>
            </w:r>
          </w:p>
        </w:tc>
        <w:tc>
          <w:tcPr>
            <w:tcW w:w="1000" w:type="pct"/>
            <w:vAlign w:val="center"/>
          </w:tcPr>
          <w:p w14:paraId="2ED71CC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3916.75</w:t>
            </w:r>
          </w:p>
        </w:tc>
        <w:tc>
          <w:tcPr>
            <w:tcW w:w="1000" w:type="pct"/>
            <w:vAlign w:val="center"/>
          </w:tcPr>
          <w:p w14:paraId="0D7738D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0.15</w:t>
            </w:r>
          </w:p>
        </w:tc>
        <w:tc>
          <w:tcPr>
            <w:tcW w:w="1000" w:type="pct"/>
            <w:vAlign w:val="center"/>
          </w:tcPr>
          <w:p w14:paraId="31CC34F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737.77</w:t>
            </w:r>
          </w:p>
        </w:tc>
      </w:tr>
      <w:tr w:rsidR="0062062F" w:rsidRPr="006D0248" w14:paraId="67A029DF" w14:textId="77777777" w:rsidTr="0027769C">
        <w:trPr>
          <w:trHeight w:val="290"/>
          <w:jc w:val="center"/>
        </w:trPr>
        <w:tc>
          <w:tcPr>
            <w:tcW w:w="1000" w:type="pct"/>
            <w:vAlign w:val="center"/>
          </w:tcPr>
          <w:p w14:paraId="12A2F530"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10A4DDF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68.73</w:t>
            </w:r>
          </w:p>
        </w:tc>
        <w:tc>
          <w:tcPr>
            <w:tcW w:w="1000" w:type="pct"/>
            <w:vAlign w:val="center"/>
          </w:tcPr>
          <w:p w14:paraId="1FE47865"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134.96</w:t>
            </w:r>
          </w:p>
        </w:tc>
        <w:tc>
          <w:tcPr>
            <w:tcW w:w="1000" w:type="pct"/>
            <w:vAlign w:val="center"/>
          </w:tcPr>
          <w:p w14:paraId="1AEB737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45.70</w:t>
            </w:r>
          </w:p>
        </w:tc>
        <w:tc>
          <w:tcPr>
            <w:tcW w:w="1000" w:type="pct"/>
            <w:vAlign w:val="center"/>
          </w:tcPr>
          <w:p w14:paraId="55BA501C"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59.63</w:t>
            </w:r>
          </w:p>
        </w:tc>
      </w:tr>
      <w:tr w:rsidR="0062062F" w:rsidRPr="006D0248" w14:paraId="44C6111D" w14:textId="77777777" w:rsidTr="0027769C">
        <w:trPr>
          <w:trHeight w:val="290"/>
          <w:jc w:val="center"/>
        </w:trPr>
        <w:tc>
          <w:tcPr>
            <w:tcW w:w="1000" w:type="pct"/>
            <w:tcBorders>
              <w:bottom w:val="single" w:sz="12" w:space="0" w:color="000000" w:themeColor="text1"/>
            </w:tcBorders>
            <w:vAlign w:val="center"/>
          </w:tcPr>
          <w:p w14:paraId="067338D7"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0D58480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4.16</w:t>
            </w:r>
          </w:p>
        </w:tc>
        <w:tc>
          <w:tcPr>
            <w:tcW w:w="1000" w:type="pct"/>
            <w:tcBorders>
              <w:bottom w:val="single" w:sz="12" w:space="0" w:color="000000" w:themeColor="text1"/>
            </w:tcBorders>
            <w:vAlign w:val="center"/>
          </w:tcPr>
          <w:p w14:paraId="0ECF152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9.20</w:t>
            </w:r>
          </w:p>
        </w:tc>
        <w:tc>
          <w:tcPr>
            <w:tcW w:w="1000" w:type="pct"/>
            <w:tcBorders>
              <w:bottom w:val="single" w:sz="12" w:space="0" w:color="000000" w:themeColor="text1"/>
            </w:tcBorders>
            <w:vAlign w:val="center"/>
          </w:tcPr>
          <w:p w14:paraId="396C0569"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3.88</w:t>
            </w:r>
          </w:p>
        </w:tc>
        <w:tc>
          <w:tcPr>
            <w:tcW w:w="1000" w:type="pct"/>
            <w:tcBorders>
              <w:bottom w:val="single" w:sz="12" w:space="0" w:color="000000" w:themeColor="text1"/>
            </w:tcBorders>
            <w:vAlign w:val="center"/>
          </w:tcPr>
          <w:p w14:paraId="0018717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3.35</w:t>
            </w:r>
          </w:p>
        </w:tc>
      </w:tr>
      <w:tr w:rsidR="0062062F" w:rsidRPr="006D0248" w14:paraId="668C088B"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7D8B5D6D"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South Africa (53 observations)</w:t>
            </w:r>
          </w:p>
        </w:tc>
      </w:tr>
      <w:tr w:rsidR="0062062F" w:rsidRPr="006D0248" w14:paraId="2AC33235" w14:textId="77777777" w:rsidTr="0027769C">
        <w:trPr>
          <w:trHeight w:val="290"/>
          <w:jc w:val="center"/>
        </w:trPr>
        <w:tc>
          <w:tcPr>
            <w:tcW w:w="1000" w:type="pct"/>
            <w:tcBorders>
              <w:top w:val="single" w:sz="12" w:space="0" w:color="000000" w:themeColor="text1"/>
            </w:tcBorders>
            <w:vAlign w:val="center"/>
          </w:tcPr>
          <w:p w14:paraId="2530B6B5"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58DDFB0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8.04</w:t>
            </w:r>
          </w:p>
        </w:tc>
        <w:tc>
          <w:tcPr>
            <w:tcW w:w="1000" w:type="pct"/>
            <w:tcBorders>
              <w:top w:val="single" w:sz="12" w:space="0" w:color="000000" w:themeColor="text1"/>
            </w:tcBorders>
            <w:vAlign w:val="center"/>
          </w:tcPr>
          <w:p w14:paraId="56F4C52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4138.84</w:t>
            </w:r>
          </w:p>
        </w:tc>
        <w:tc>
          <w:tcPr>
            <w:tcW w:w="1000" w:type="pct"/>
            <w:tcBorders>
              <w:top w:val="single" w:sz="12" w:space="0" w:color="000000" w:themeColor="text1"/>
            </w:tcBorders>
            <w:vAlign w:val="center"/>
          </w:tcPr>
          <w:p w14:paraId="073CB2E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0.49</w:t>
            </w:r>
          </w:p>
        </w:tc>
        <w:tc>
          <w:tcPr>
            <w:tcW w:w="1000" w:type="pct"/>
            <w:tcBorders>
              <w:top w:val="single" w:sz="12" w:space="0" w:color="000000" w:themeColor="text1"/>
            </w:tcBorders>
            <w:vAlign w:val="center"/>
          </w:tcPr>
          <w:p w14:paraId="3EA7145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2429.41</w:t>
            </w:r>
          </w:p>
        </w:tc>
      </w:tr>
      <w:tr w:rsidR="0062062F" w:rsidRPr="006D0248" w14:paraId="74AE04FC" w14:textId="77777777" w:rsidTr="0027769C">
        <w:trPr>
          <w:trHeight w:val="290"/>
          <w:jc w:val="center"/>
        </w:trPr>
        <w:tc>
          <w:tcPr>
            <w:tcW w:w="1000" w:type="pct"/>
            <w:vAlign w:val="center"/>
          </w:tcPr>
          <w:p w14:paraId="1D69D95F"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00C4DB3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0.72</w:t>
            </w:r>
          </w:p>
        </w:tc>
        <w:tc>
          <w:tcPr>
            <w:tcW w:w="1000" w:type="pct"/>
            <w:vAlign w:val="center"/>
          </w:tcPr>
          <w:p w14:paraId="1B1BA92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2083.33</w:t>
            </w:r>
          </w:p>
        </w:tc>
        <w:tc>
          <w:tcPr>
            <w:tcW w:w="1000" w:type="pct"/>
            <w:vAlign w:val="center"/>
          </w:tcPr>
          <w:p w14:paraId="0F35DA0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0.08</w:t>
            </w:r>
          </w:p>
        </w:tc>
        <w:tc>
          <w:tcPr>
            <w:tcW w:w="1000" w:type="pct"/>
            <w:vAlign w:val="center"/>
          </w:tcPr>
          <w:p w14:paraId="1FFAD44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235.27</w:t>
            </w:r>
          </w:p>
        </w:tc>
      </w:tr>
      <w:tr w:rsidR="0062062F" w:rsidRPr="006D0248" w14:paraId="0BF5F32F" w14:textId="77777777" w:rsidTr="0027769C">
        <w:trPr>
          <w:trHeight w:val="290"/>
          <w:jc w:val="center"/>
        </w:trPr>
        <w:tc>
          <w:tcPr>
            <w:tcW w:w="1000" w:type="pct"/>
            <w:vAlign w:val="center"/>
          </w:tcPr>
          <w:p w14:paraId="53023CA8"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17DDDA11"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8.91</w:t>
            </w:r>
          </w:p>
        </w:tc>
        <w:tc>
          <w:tcPr>
            <w:tcW w:w="1000" w:type="pct"/>
            <w:vAlign w:val="center"/>
          </w:tcPr>
          <w:p w14:paraId="35037A45"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50.34</w:t>
            </w:r>
          </w:p>
        </w:tc>
        <w:tc>
          <w:tcPr>
            <w:tcW w:w="1000" w:type="pct"/>
            <w:vAlign w:val="center"/>
          </w:tcPr>
          <w:p w14:paraId="6176767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15.65</w:t>
            </w:r>
          </w:p>
        </w:tc>
        <w:tc>
          <w:tcPr>
            <w:tcW w:w="1000" w:type="pct"/>
            <w:vAlign w:val="center"/>
          </w:tcPr>
          <w:p w14:paraId="18ABA56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9.68</w:t>
            </w:r>
          </w:p>
        </w:tc>
      </w:tr>
      <w:tr w:rsidR="0062062F" w:rsidRPr="006D0248" w14:paraId="09BE2619" w14:textId="77777777" w:rsidTr="0027769C">
        <w:trPr>
          <w:trHeight w:val="290"/>
          <w:jc w:val="center"/>
        </w:trPr>
        <w:tc>
          <w:tcPr>
            <w:tcW w:w="1000" w:type="pct"/>
            <w:tcBorders>
              <w:bottom w:val="single" w:sz="12" w:space="0" w:color="000000" w:themeColor="text1"/>
            </w:tcBorders>
            <w:vAlign w:val="center"/>
          </w:tcPr>
          <w:p w14:paraId="757F0878"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2574DEDA"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-0.46</w:t>
            </w:r>
          </w:p>
        </w:tc>
        <w:tc>
          <w:tcPr>
            <w:tcW w:w="1000" w:type="pct"/>
            <w:tcBorders>
              <w:bottom w:val="single" w:sz="12" w:space="0" w:color="000000" w:themeColor="text1"/>
            </w:tcBorders>
            <w:vAlign w:val="center"/>
          </w:tcPr>
          <w:p w14:paraId="0F962365"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3.41</w:t>
            </w:r>
          </w:p>
        </w:tc>
        <w:tc>
          <w:tcPr>
            <w:tcW w:w="1000" w:type="pct"/>
            <w:tcBorders>
              <w:bottom w:val="single" w:sz="12" w:space="0" w:color="000000" w:themeColor="text1"/>
            </w:tcBorders>
            <w:vAlign w:val="center"/>
          </w:tcPr>
          <w:p w14:paraId="0DD8972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0.90</w:t>
            </w:r>
          </w:p>
        </w:tc>
        <w:tc>
          <w:tcPr>
            <w:tcW w:w="1000" w:type="pct"/>
            <w:tcBorders>
              <w:bottom w:val="single" w:sz="12" w:space="0" w:color="000000" w:themeColor="text1"/>
            </w:tcBorders>
            <w:vAlign w:val="center"/>
          </w:tcPr>
          <w:p w14:paraId="492ACB1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0.63</w:t>
            </w:r>
          </w:p>
        </w:tc>
      </w:tr>
      <w:tr w:rsidR="0062062F" w:rsidRPr="006D0248" w14:paraId="435BBFE1" w14:textId="77777777" w:rsidTr="006D0248">
        <w:trPr>
          <w:trHeight w:val="290"/>
          <w:jc w:val="center"/>
        </w:trPr>
        <w:tc>
          <w:tcPr>
            <w:tcW w:w="5000" w:type="pct"/>
            <w:gridSpan w:val="5"/>
            <w:tcBorders>
              <w:top w:val="single" w:sz="12" w:space="0" w:color="000000" w:themeColor="text1"/>
              <w:bottom w:val="single" w:sz="12" w:space="0" w:color="000000" w:themeColor="text1"/>
            </w:tcBorders>
            <w:vAlign w:val="center"/>
          </w:tcPr>
          <w:p w14:paraId="5EC84068" w14:textId="77777777" w:rsidR="0062062F" w:rsidRPr="006D0248" w:rsidRDefault="0062062F" w:rsidP="006D0248">
            <w:pPr>
              <w:spacing w:after="0"/>
              <w:jc w:val="center"/>
              <w:rPr>
                <w:rFonts w:ascii="Arial" w:hAnsi="Arial" w:cs="Arial"/>
                <w:b/>
                <w:bCs/>
                <w:sz w:val="20"/>
                <w:szCs w:val="20"/>
              </w:rPr>
            </w:pPr>
            <w:r w:rsidRPr="006D0248">
              <w:rPr>
                <w:rFonts w:ascii="Arial" w:hAnsi="Arial" w:cs="Arial"/>
                <w:b/>
                <w:bCs/>
                <w:sz w:val="20"/>
                <w:szCs w:val="20"/>
              </w:rPr>
              <w:t>ALL (265 observations)</w:t>
            </w:r>
          </w:p>
        </w:tc>
      </w:tr>
      <w:tr w:rsidR="0062062F" w:rsidRPr="006D0248" w14:paraId="04AA404B" w14:textId="77777777" w:rsidTr="0027769C">
        <w:trPr>
          <w:trHeight w:val="290"/>
          <w:jc w:val="center"/>
        </w:trPr>
        <w:tc>
          <w:tcPr>
            <w:tcW w:w="1000" w:type="pct"/>
            <w:tcBorders>
              <w:top w:val="single" w:sz="12" w:space="0" w:color="000000" w:themeColor="text1"/>
            </w:tcBorders>
            <w:vAlign w:val="center"/>
          </w:tcPr>
          <w:p w14:paraId="31DCFC5F"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Mean</w:t>
            </w:r>
          </w:p>
        </w:tc>
        <w:tc>
          <w:tcPr>
            <w:tcW w:w="1000" w:type="pct"/>
            <w:tcBorders>
              <w:top w:val="single" w:sz="12" w:space="0" w:color="000000" w:themeColor="text1"/>
            </w:tcBorders>
            <w:vAlign w:val="center"/>
          </w:tcPr>
          <w:p w14:paraId="05CA95F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5.55</w:t>
            </w:r>
          </w:p>
        </w:tc>
        <w:tc>
          <w:tcPr>
            <w:tcW w:w="1000" w:type="pct"/>
            <w:tcBorders>
              <w:top w:val="single" w:sz="12" w:space="0" w:color="000000" w:themeColor="text1"/>
            </w:tcBorders>
            <w:vAlign w:val="center"/>
          </w:tcPr>
          <w:p w14:paraId="47E8DDB5"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3615.01</w:t>
            </w:r>
          </w:p>
        </w:tc>
        <w:tc>
          <w:tcPr>
            <w:tcW w:w="1000" w:type="pct"/>
            <w:tcBorders>
              <w:top w:val="single" w:sz="12" w:space="0" w:color="000000" w:themeColor="text1"/>
            </w:tcBorders>
            <w:vAlign w:val="center"/>
          </w:tcPr>
          <w:p w14:paraId="4B8E3794"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0.37</w:t>
            </w:r>
          </w:p>
        </w:tc>
        <w:tc>
          <w:tcPr>
            <w:tcW w:w="1000" w:type="pct"/>
            <w:tcBorders>
              <w:top w:val="single" w:sz="12" w:space="0" w:color="000000" w:themeColor="text1"/>
            </w:tcBorders>
            <w:vAlign w:val="center"/>
          </w:tcPr>
          <w:p w14:paraId="29F705E7"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1999.43</w:t>
            </w:r>
          </w:p>
        </w:tc>
      </w:tr>
      <w:tr w:rsidR="0062062F" w:rsidRPr="006D0248" w14:paraId="0C32F1BE" w14:textId="77777777" w:rsidTr="0027769C">
        <w:trPr>
          <w:trHeight w:val="290"/>
          <w:jc w:val="center"/>
        </w:trPr>
        <w:tc>
          <w:tcPr>
            <w:tcW w:w="1000" w:type="pct"/>
            <w:vAlign w:val="center"/>
          </w:tcPr>
          <w:p w14:paraId="12713AC4"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Std. Dev.</w:t>
            </w:r>
          </w:p>
        </w:tc>
        <w:tc>
          <w:tcPr>
            <w:tcW w:w="1000" w:type="pct"/>
            <w:vAlign w:val="center"/>
          </w:tcPr>
          <w:p w14:paraId="1CE8298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4.61</w:t>
            </w:r>
          </w:p>
        </w:tc>
        <w:tc>
          <w:tcPr>
            <w:tcW w:w="1000" w:type="pct"/>
            <w:vAlign w:val="center"/>
          </w:tcPr>
          <w:p w14:paraId="118ED07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3790.07</w:t>
            </w:r>
          </w:p>
        </w:tc>
        <w:tc>
          <w:tcPr>
            <w:tcW w:w="1000" w:type="pct"/>
            <w:vAlign w:val="center"/>
          </w:tcPr>
          <w:p w14:paraId="2EE0B263"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0.17</w:t>
            </w:r>
          </w:p>
        </w:tc>
        <w:tc>
          <w:tcPr>
            <w:tcW w:w="1000" w:type="pct"/>
            <w:vAlign w:val="center"/>
          </w:tcPr>
          <w:p w14:paraId="7D28402D"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1561.78</w:t>
            </w:r>
          </w:p>
        </w:tc>
      </w:tr>
      <w:tr w:rsidR="0062062F" w:rsidRPr="006D0248" w14:paraId="300519AE" w14:textId="77777777" w:rsidTr="0027769C">
        <w:trPr>
          <w:trHeight w:val="290"/>
          <w:jc w:val="center"/>
        </w:trPr>
        <w:tc>
          <w:tcPr>
            <w:tcW w:w="1000" w:type="pct"/>
            <w:vAlign w:val="center"/>
          </w:tcPr>
          <w:p w14:paraId="1970AF03"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C.V. (in %)</w:t>
            </w:r>
          </w:p>
        </w:tc>
        <w:tc>
          <w:tcPr>
            <w:tcW w:w="1000" w:type="pct"/>
            <w:vAlign w:val="center"/>
          </w:tcPr>
          <w:p w14:paraId="12F6C748"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83.11</w:t>
            </w:r>
          </w:p>
        </w:tc>
        <w:tc>
          <w:tcPr>
            <w:tcW w:w="1000" w:type="pct"/>
            <w:vAlign w:val="center"/>
          </w:tcPr>
          <w:p w14:paraId="2047C9A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104.84</w:t>
            </w:r>
          </w:p>
        </w:tc>
        <w:tc>
          <w:tcPr>
            <w:tcW w:w="1000" w:type="pct"/>
            <w:vAlign w:val="center"/>
          </w:tcPr>
          <w:p w14:paraId="7D10FEB6"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46.46</w:t>
            </w:r>
          </w:p>
        </w:tc>
        <w:tc>
          <w:tcPr>
            <w:tcW w:w="1000" w:type="pct"/>
            <w:vAlign w:val="center"/>
          </w:tcPr>
          <w:p w14:paraId="1008788B"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78.11</w:t>
            </w:r>
          </w:p>
        </w:tc>
      </w:tr>
      <w:tr w:rsidR="0062062F" w:rsidRPr="006D0248" w14:paraId="2BDB6A97" w14:textId="77777777" w:rsidTr="0027769C">
        <w:trPr>
          <w:trHeight w:val="290"/>
          <w:jc w:val="center"/>
        </w:trPr>
        <w:tc>
          <w:tcPr>
            <w:tcW w:w="1000" w:type="pct"/>
            <w:tcBorders>
              <w:bottom w:val="single" w:sz="12" w:space="0" w:color="000000" w:themeColor="text1"/>
            </w:tcBorders>
            <w:vAlign w:val="center"/>
          </w:tcPr>
          <w:p w14:paraId="4EB6EFFE" w14:textId="77777777" w:rsidR="0062062F" w:rsidRPr="006D0248" w:rsidRDefault="0062062F" w:rsidP="0027769C">
            <w:pPr>
              <w:spacing w:after="0"/>
              <w:rPr>
                <w:rFonts w:ascii="Arial" w:hAnsi="Arial" w:cs="Arial"/>
                <w:sz w:val="20"/>
                <w:szCs w:val="20"/>
              </w:rPr>
            </w:pPr>
            <w:r w:rsidRPr="006D0248">
              <w:rPr>
                <w:rFonts w:ascii="Arial" w:hAnsi="Arial" w:cs="Arial"/>
                <w:sz w:val="20"/>
                <w:szCs w:val="20"/>
              </w:rPr>
              <w:t>CAGR</w:t>
            </w:r>
          </w:p>
        </w:tc>
        <w:tc>
          <w:tcPr>
            <w:tcW w:w="1000" w:type="pct"/>
            <w:tcBorders>
              <w:bottom w:val="single" w:sz="12" w:space="0" w:color="000000" w:themeColor="text1"/>
            </w:tcBorders>
            <w:vAlign w:val="center"/>
          </w:tcPr>
          <w:p w14:paraId="5B21BD90"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1.80</w:t>
            </w:r>
          </w:p>
        </w:tc>
        <w:tc>
          <w:tcPr>
            <w:tcW w:w="1000" w:type="pct"/>
            <w:tcBorders>
              <w:bottom w:val="single" w:sz="12" w:space="0" w:color="000000" w:themeColor="text1"/>
            </w:tcBorders>
            <w:vAlign w:val="center"/>
          </w:tcPr>
          <w:p w14:paraId="3872126F"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6.35</w:t>
            </w:r>
          </w:p>
        </w:tc>
        <w:tc>
          <w:tcPr>
            <w:tcW w:w="1000" w:type="pct"/>
            <w:tcBorders>
              <w:bottom w:val="single" w:sz="12" w:space="0" w:color="000000" w:themeColor="text1"/>
            </w:tcBorders>
            <w:vAlign w:val="center"/>
          </w:tcPr>
          <w:p w14:paraId="0B39ECFE"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1.80</w:t>
            </w:r>
          </w:p>
        </w:tc>
        <w:tc>
          <w:tcPr>
            <w:tcW w:w="1000" w:type="pct"/>
            <w:tcBorders>
              <w:bottom w:val="single" w:sz="12" w:space="0" w:color="000000" w:themeColor="text1"/>
            </w:tcBorders>
            <w:vAlign w:val="center"/>
          </w:tcPr>
          <w:p w14:paraId="48457662" w14:textId="77777777" w:rsidR="0062062F" w:rsidRPr="006D0248" w:rsidRDefault="0062062F" w:rsidP="006D0248">
            <w:pPr>
              <w:spacing w:after="0"/>
              <w:jc w:val="center"/>
              <w:rPr>
                <w:rFonts w:ascii="Arial" w:hAnsi="Arial" w:cs="Arial"/>
                <w:sz w:val="20"/>
                <w:szCs w:val="20"/>
              </w:rPr>
            </w:pPr>
            <w:r w:rsidRPr="006D0248">
              <w:rPr>
                <w:rFonts w:ascii="Arial" w:hAnsi="Arial" w:cs="Arial"/>
                <w:sz w:val="20"/>
                <w:szCs w:val="20"/>
              </w:rPr>
              <w:t>1.59</w:t>
            </w:r>
          </w:p>
        </w:tc>
      </w:tr>
    </w:tbl>
    <w:p w14:paraId="3A539101" w14:textId="2E84F108" w:rsidR="0062062F" w:rsidRPr="0062062F" w:rsidRDefault="0062062F" w:rsidP="00481A33">
      <w:pPr>
        <w:spacing w:before="240" w:after="120" w:line="360" w:lineRule="auto"/>
        <w:rPr>
          <w:rFonts w:ascii="Arial" w:hAnsi="Arial" w:cs="Arial"/>
          <w:b/>
          <w:bCs/>
        </w:rPr>
      </w:pPr>
      <w:r w:rsidRPr="0062062F">
        <w:rPr>
          <w:rFonts w:ascii="Arial" w:hAnsi="Arial" w:cs="Arial"/>
          <w:b/>
          <w:bCs/>
        </w:rPr>
        <w:t>3.2 Correlation Analysis</w:t>
      </w:r>
    </w:p>
    <w:p w14:paraId="32EEB153" w14:textId="04CE35DE" w:rsidR="0062062F" w:rsidRPr="003B5C81" w:rsidRDefault="0062062F" w:rsidP="003B5C81">
      <w:pPr>
        <w:jc w:val="both"/>
        <w:rPr>
          <w:rFonts w:ascii="Arial" w:hAnsi="Arial" w:cs="Arial"/>
          <w:sz w:val="20"/>
          <w:szCs w:val="20"/>
        </w:rPr>
      </w:pPr>
      <w:r w:rsidRPr="003B5C81">
        <w:rPr>
          <w:rFonts w:ascii="Arial" w:hAnsi="Arial" w:cs="Arial"/>
          <w:sz w:val="20"/>
          <w:szCs w:val="20"/>
        </w:rPr>
        <w:t xml:space="preserve">The correlation matrix in Table </w:t>
      </w:r>
      <w:r w:rsidR="004E289F">
        <w:rPr>
          <w:rFonts w:ascii="Arial" w:hAnsi="Arial" w:cs="Arial"/>
          <w:sz w:val="20"/>
          <w:szCs w:val="20"/>
        </w:rPr>
        <w:t>(</w:t>
      </w:r>
      <w:r w:rsidRPr="003B5C81">
        <w:rPr>
          <w:rFonts w:ascii="Arial" w:hAnsi="Arial" w:cs="Arial"/>
          <w:sz w:val="20"/>
          <w:szCs w:val="20"/>
        </w:rPr>
        <w:t>3</w:t>
      </w:r>
      <w:r w:rsidR="004E289F">
        <w:rPr>
          <w:rFonts w:ascii="Arial" w:hAnsi="Arial" w:cs="Arial"/>
          <w:sz w:val="20"/>
          <w:szCs w:val="20"/>
        </w:rPr>
        <w:t>)</w:t>
      </w:r>
      <w:r w:rsidRPr="003B5C81">
        <w:rPr>
          <w:rFonts w:ascii="Arial" w:hAnsi="Arial" w:cs="Arial"/>
          <w:sz w:val="20"/>
          <w:szCs w:val="20"/>
        </w:rPr>
        <w:t xml:space="preserve"> reveals strong positive relationships among all variables, with GDPPC and EU showing the highest correlation (0.99), followed by TO and EU (0.94) (World Bank, 2023). CO</w:t>
      </w:r>
      <w:r w:rsidRPr="003B5C81">
        <w:rPr>
          <w:rFonts w:ascii="Arial" w:hAnsi="Arial" w:cs="Arial"/>
          <w:sz w:val="20"/>
          <w:szCs w:val="20"/>
          <w:vertAlign w:val="subscript"/>
        </w:rPr>
        <w:t>2</w:t>
      </w:r>
      <w:r w:rsidRPr="003B5C81">
        <w:rPr>
          <w:rFonts w:ascii="Arial" w:hAnsi="Arial" w:cs="Arial"/>
          <w:sz w:val="20"/>
          <w:szCs w:val="20"/>
        </w:rPr>
        <w:t xml:space="preserve"> emissions correlate strongly with EU (0.83), suggesting that energy usage is a primary driver of environmental degradation in BRICS (IEA, 2022). All correlations are statistically significant</w:t>
      </w:r>
      <w:r w:rsidR="00B64E78">
        <w:rPr>
          <w:rFonts w:ascii="Arial" w:hAnsi="Arial" w:cs="Arial"/>
          <w:sz w:val="20"/>
          <w:szCs w:val="20"/>
        </w:rPr>
        <w:t xml:space="preserve"> meaning that the </w:t>
      </w:r>
      <w:r w:rsidR="00B64E78" w:rsidRPr="00B64E78">
        <w:rPr>
          <w:rFonts w:ascii="Arial" w:hAnsi="Arial" w:cs="Arial"/>
          <w:i/>
          <w:iCs/>
          <w:sz w:val="20"/>
          <w:szCs w:val="20"/>
        </w:rPr>
        <w:t>P</w:t>
      </w:r>
      <w:r w:rsidR="00B64E78" w:rsidRPr="00B64E78">
        <w:rPr>
          <w:rFonts w:ascii="Arial" w:hAnsi="Arial" w:cs="Arial"/>
          <w:sz w:val="20"/>
          <w:szCs w:val="20"/>
        </w:rPr>
        <w:t xml:space="preserve"> </w:t>
      </w:r>
      <w:r w:rsidR="00B64E78">
        <w:rPr>
          <w:rFonts w:ascii="Arial" w:hAnsi="Arial" w:cs="Arial"/>
          <w:sz w:val="20"/>
          <w:szCs w:val="20"/>
        </w:rPr>
        <w:t>values are less than 1% significance level</w:t>
      </w:r>
      <w:r w:rsidRPr="003B5C81">
        <w:rPr>
          <w:rFonts w:ascii="Arial" w:hAnsi="Arial" w:cs="Arial"/>
          <w:sz w:val="20"/>
          <w:szCs w:val="20"/>
        </w:rPr>
        <w:t>, highlighting the interdependence of economic growth, trade, energy consumption, and emissions, which motivates our multivariate approach (Pearson, 1896).</w:t>
      </w:r>
    </w:p>
    <w:p w14:paraId="0A158E74" w14:textId="357F7C1E" w:rsidR="0062062F" w:rsidRPr="00965052" w:rsidRDefault="0062062F" w:rsidP="00965052">
      <w:pPr>
        <w:spacing w:after="0" w:line="480" w:lineRule="auto"/>
        <w:jc w:val="center"/>
        <w:rPr>
          <w:rFonts w:ascii="Arial" w:hAnsi="Arial" w:cs="Arial"/>
          <w:b/>
          <w:bCs/>
          <w:sz w:val="20"/>
          <w:szCs w:val="20"/>
        </w:rPr>
      </w:pPr>
      <w:r w:rsidRPr="00965052">
        <w:rPr>
          <w:rFonts w:ascii="Arial" w:hAnsi="Arial" w:cs="Arial"/>
          <w:b/>
          <w:bCs/>
          <w:sz w:val="20"/>
          <w:szCs w:val="20"/>
        </w:rPr>
        <w:t>Table 3</w:t>
      </w:r>
      <w:r w:rsidR="00AD1588">
        <w:rPr>
          <w:rFonts w:ascii="Arial" w:hAnsi="Arial" w:cs="Arial"/>
          <w:b/>
          <w:bCs/>
          <w:sz w:val="20"/>
          <w:szCs w:val="20"/>
        </w:rPr>
        <w:t>.</w:t>
      </w:r>
      <w:r w:rsidRPr="00965052">
        <w:rPr>
          <w:rFonts w:ascii="Arial" w:hAnsi="Arial" w:cs="Arial"/>
          <w:b/>
          <w:bCs/>
          <w:sz w:val="20"/>
          <w:szCs w:val="20"/>
        </w:rPr>
        <w:t xml:space="preserve"> Correlation estimations</w:t>
      </w:r>
    </w:p>
    <w:tbl>
      <w:tblPr>
        <w:tblStyle w:val="PlainTable2"/>
        <w:tblW w:w="5000" w:type="pct"/>
        <w:tblLook w:val="04A0" w:firstRow="1" w:lastRow="0" w:firstColumn="1" w:lastColumn="0" w:noHBand="0" w:noVBand="1"/>
      </w:tblPr>
      <w:tblGrid>
        <w:gridCol w:w="2213"/>
        <w:gridCol w:w="1842"/>
        <w:gridCol w:w="1842"/>
        <w:gridCol w:w="1842"/>
        <w:gridCol w:w="1621"/>
      </w:tblGrid>
      <w:tr w:rsidR="0062062F" w:rsidRPr="003B5C81" w14:paraId="40A1E5A5" w14:textId="77777777" w:rsidTr="008F5BD4">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182" w:type="pct"/>
            <w:tcBorders>
              <w:top w:val="single" w:sz="12" w:space="0" w:color="auto"/>
              <w:bottom w:val="single" w:sz="12" w:space="0" w:color="auto"/>
            </w:tcBorders>
            <w:vAlign w:val="center"/>
            <w:hideMark/>
          </w:tcPr>
          <w:p w14:paraId="7806AEAF" w14:textId="4EABEC6B"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Correlation Coefficient</w:t>
            </w:r>
            <w:r w:rsidRPr="003B5C81">
              <w:rPr>
                <w:rFonts w:ascii="Arial" w:eastAsia="Times New Roman" w:hAnsi="Arial" w:cs="Arial"/>
                <w:color w:val="000000"/>
                <w:kern w:val="0"/>
                <w:sz w:val="20"/>
                <w:szCs w:val="20"/>
                <w14:ligatures w14:val="none"/>
              </w:rPr>
              <w:br/>
              <w:t>(</w:t>
            </w:r>
            <w:r w:rsidR="00D00F38" w:rsidRPr="00D00F38">
              <w:rPr>
                <w:rFonts w:ascii="Arial" w:eastAsia="Times New Roman" w:hAnsi="Arial" w:cs="Arial"/>
                <w:i/>
                <w:iCs/>
                <w:color w:val="000000"/>
                <w:kern w:val="0"/>
                <w:sz w:val="20"/>
                <w:szCs w:val="20"/>
                <w14:ligatures w14:val="none"/>
              </w:rPr>
              <w:t>P</w:t>
            </w:r>
            <w:r w:rsidR="00D00F38">
              <w:rPr>
                <w:rFonts w:ascii="Arial" w:eastAsia="Times New Roman" w:hAnsi="Arial" w:cs="Arial"/>
                <w:color w:val="000000"/>
                <w:kern w:val="0"/>
                <w:sz w:val="20"/>
                <w:szCs w:val="20"/>
                <w14:ligatures w14:val="none"/>
              </w:rPr>
              <w:t xml:space="preserve"> </w:t>
            </w:r>
            <w:r w:rsidRPr="003B5C81">
              <w:rPr>
                <w:rFonts w:ascii="Arial" w:eastAsia="Times New Roman" w:hAnsi="Arial" w:cs="Arial"/>
                <w:color w:val="000000"/>
                <w:kern w:val="0"/>
                <w:sz w:val="20"/>
                <w:szCs w:val="20"/>
                <w14:ligatures w14:val="none"/>
              </w:rPr>
              <w:t>value)</w:t>
            </w:r>
          </w:p>
        </w:tc>
        <w:tc>
          <w:tcPr>
            <w:tcW w:w="984" w:type="pct"/>
            <w:tcBorders>
              <w:top w:val="single" w:sz="12" w:space="0" w:color="auto"/>
              <w:bottom w:val="single" w:sz="12" w:space="0" w:color="auto"/>
            </w:tcBorders>
            <w:noWrap/>
            <w:vAlign w:val="center"/>
            <w:hideMark/>
          </w:tcPr>
          <w:p w14:paraId="336878C5" w14:textId="77777777" w:rsidR="0062062F" w:rsidRPr="003B5C81"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hAnsi="Arial" w:cs="Arial"/>
                <w:sz w:val="20"/>
                <w:szCs w:val="20"/>
              </w:rPr>
              <w:t>CO</w:t>
            </w:r>
            <w:r w:rsidRPr="003B5C81">
              <w:rPr>
                <w:rFonts w:ascii="Arial" w:hAnsi="Arial" w:cs="Arial"/>
                <w:sz w:val="20"/>
                <w:szCs w:val="20"/>
                <w:vertAlign w:val="subscript"/>
              </w:rPr>
              <w:t>2</w:t>
            </w:r>
          </w:p>
        </w:tc>
        <w:tc>
          <w:tcPr>
            <w:tcW w:w="984" w:type="pct"/>
            <w:tcBorders>
              <w:top w:val="single" w:sz="12" w:space="0" w:color="auto"/>
              <w:bottom w:val="single" w:sz="12" w:space="0" w:color="auto"/>
            </w:tcBorders>
            <w:noWrap/>
            <w:vAlign w:val="center"/>
            <w:hideMark/>
          </w:tcPr>
          <w:p w14:paraId="49EDE785" w14:textId="77777777" w:rsidR="0062062F" w:rsidRPr="003B5C81"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GDPPC</w:t>
            </w:r>
          </w:p>
        </w:tc>
        <w:tc>
          <w:tcPr>
            <w:tcW w:w="984" w:type="pct"/>
            <w:tcBorders>
              <w:top w:val="single" w:sz="12" w:space="0" w:color="auto"/>
              <w:bottom w:val="single" w:sz="12" w:space="0" w:color="auto"/>
            </w:tcBorders>
            <w:noWrap/>
            <w:vAlign w:val="center"/>
            <w:hideMark/>
          </w:tcPr>
          <w:p w14:paraId="46D7BDDF" w14:textId="77777777" w:rsidR="0062062F" w:rsidRPr="003B5C81"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TO</w:t>
            </w:r>
          </w:p>
        </w:tc>
        <w:tc>
          <w:tcPr>
            <w:tcW w:w="866" w:type="pct"/>
            <w:tcBorders>
              <w:top w:val="single" w:sz="12" w:space="0" w:color="auto"/>
              <w:bottom w:val="single" w:sz="12" w:space="0" w:color="auto"/>
            </w:tcBorders>
            <w:noWrap/>
            <w:vAlign w:val="center"/>
            <w:hideMark/>
          </w:tcPr>
          <w:p w14:paraId="5D9BE4B5" w14:textId="77777777" w:rsidR="0062062F" w:rsidRPr="003B5C81"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EU</w:t>
            </w:r>
          </w:p>
        </w:tc>
      </w:tr>
      <w:tr w:rsidR="0062062F" w:rsidRPr="003B5C81" w14:paraId="37A88DAC" w14:textId="77777777" w:rsidTr="008F5B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2" w:type="pct"/>
            <w:tcBorders>
              <w:top w:val="single" w:sz="12" w:space="0" w:color="auto"/>
              <w:bottom w:val="nil"/>
            </w:tcBorders>
            <w:noWrap/>
            <w:vAlign w:val="center"/>
            <w:hideMark/>
          </w:tcPr>
          <w:p w14:paraId="1DF3C861" w14:textId="77777777"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hAnsi="Arial" w:cs="Arial"/>
                <w:sz w:val="20"/>
                <w:szCs w:val="20"/>
              </w:rPr>
              <w:t>CO</w:t>
            </w:r>
            <w:r w:rsidRPr="003B5C81">
              <w:rPr>
                <w:rFonts w:ascii="Arial" w:hAnsi="Arial" w:cs="Arial"/>
                <w:sz w:val="20"/>
                <w:szCs w:val="20"/>
                <w:vertAlign w:val="subscript"/>
              </w:rPr>
              <w:t>2</w:t>
            </w:r>
          </w:p>
        </w:tc>
        <w:tc>
          <w:tcPr>
            <w:tcW w:w="984" w:type="pct"/>
            <w:tcBorders>
              <w:top w:val="single" w:sz="12" w:space="0" w:color="auto"/>
              <w:bottom w:val="nil"/>
            </w:tcBorders>
            <w:noWrap/>
            <w:vAlign w:val="center"/>
            <w:hideMark/>
          </w:tcPr>
          <w:p w14:paraId="2C5AF81F"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1</w:t>
            </w:r>
          </w:p>
        </w:tc>
        <w:tc>
          <w:tcPr>
            <w:tcW w:w="984" w:type="pct"/>
            <w:tcBorders>
              <w:top w:val="single" w:sz="12" w:space="0" w:color="auto"/>
              <w:bottom w:val="nil"/>
            </w:tcBorders>
            <w:noWrap/>
            <w:vAlign w:val="center"/>
            <w:hideMark/>
          </w:tcPr>
          <w:p w14:paraId="38ED90A8"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c>
          <w:tcPr>
            <w:tcW w:w="984" w:type="pct"/>
            <w:tcBorders>
              <w:top w:val="single" w:sz="12" w:space="0" w:color="auto"/>
              <w:bottom w:val="nil"/>
            </w:tcBorders>
            <w:noWrap/>
            <w:vAlign w:val="center"/>
            <w:hideMark/>
          </w:tcPr>
          <w:p w14:paraId="0CD35D3E"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c>
          <w:tcPr>
            <w:tcW w:w="866" w:type="pct"/>
            <w:tcBorders>
              <w:top w:val="single" w:sz="12" w:space="0" w:color="auto"/>
              <w:bottom w:val="nil"/>
            </w:tcBorders>
            <w:noWrap/>
            <w:vAlign w:val="center"/>
            <w:hideMark/>
          </w:tcPr>
          <w:p w14:paraId="23ACCFB1"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r>
      <w:tr w:rsidR="0062062F" w:rsidRPr="003B5C81" w14:paraId="5EB40BF9" w14:textId="77777777" w:rsidTr="008F5BD4">
        <w:trPr>
          <w:trHeight w:val="288"/>
        </w:trPr>
        <w:tc>
          <w:tcPr>
            <w:cnfStyle w:val="001000000000" w:firstRow="0" w:lastRow="0" w:firstColumn="1" w:lastColumn="0" w:oddVBand="0" w:evenVBand="0" w:oddHBand="0" w:evenHBand="0" w:firstRowFirstColumn="0" w:firstRowLastColumn="0" w:lastRowFirstColumn="0" w:lastRowLastColumn="0"/>
            <w:tcW w:w="1182" w:type="pct"/>
            <w:tcBorders>
              <w:top w:val="nil"/>
              <w:bottom w:val="nil"/>
            </w:tcBorders>
            <w:noWrap/>
            <w:vAlign w:val="center"/>
            <w:hideMark/>
          </w:tcPr>
          <w:p w14:paraId="584FC731" w14:textId="77777777"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lastRenderedPageBreak/>
              <w:t>GDPPC</w:t>
            </w:r>
          </w:p>
        </w:tc>
        <w:tc>
          <w:tcPr>
            <w:tcW w:w="984" w:type="pct"/>
            <w:tcBorders>
              <w:top w:val="nil"/>
              <w:bottom w:val="nil"/>
            </w:tcBorders>
            <w:noWrap/>
            <w:vAlign w:val="center"/>
            <w:hideMark/>
          </w:tcPr>
          <w:p w14:paraId="07997620"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0.82</w:t>
            </w:r>
          </w:p>
          <w:p w14:paraId="25555C81" w14:textId="4B83A4A1"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nil"/>
            </w:tcBorders>
            <w:noWrap/>
            <w:vAlign w:val="center"/>
            <w:hideMark/>
          </w:tcPr>
          <w:p w14:paraId="56CA8127"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1</w:t>
            </w:r>
          </w:p>
        </w:tc>
        <w:tc>
          <w:tcPr>
            <w:tcW w:w="984" w:type="pct"/>
            <w:tcBorders>
              <w:top w:val="nil"/>
              <w:bottom w:val="nil"/>
            </w:tcBorders>
            <w:noWrap/>
            <w:vAlign w:val="center"/>
            <w:hideMark/>
          </w:tcPr>
          <w:p w14:paraId="31C9892A"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c>
          <w:tcPr>
            <w:tcW w:w="866" w:type="pct"/>
            <w:tcBorders>
              <w:top w:val="nil"/>
              <w:bottom w:val="nil"/>
            </w:tcBorders>
            <w:noWrap/>
            <w:vAlign w:val="center"/>
            <w:hideMark/>
          </w:tcPr>
          <w:p w14:paraId="1B9FDB7D"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r>
      <w:tr w:rsidR="0062062F" w:rsidRPr="003B5C81" w14:paraId="0098BA2F" w14:textId="77777777" w:rsidTr="0096505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82" w:type="pct"/>
            <w:tcBorders>
              <w:top w:val="nil"/>
              <w:bottom w:val="nil"/>
            </w:tcBorders>
            <w:noWrap/>
            <w:vAlign w:val="center"/>
            <w:hideMark/>
          </w:tcPr>
          <w:p w14:paraId="3C3C26D3" w14:textId="77777777"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TO</w:t>
            </w:r>
          </w:p>
        </w:tc>
        <w:tc>
          <w:tcPr>
            <w:tcW w:w="984" w:type="pct"/>
            <w:tcBorders>
              <w:top w:val="nil"/>
              <w:bottom w:val="nil"/>
            </w:tcBorders>
            <w:noWrap/>
            <w:vAlign w:val="center"/>
            <w:hideMark/>
          </w:tcPr>
          <w:p w14:paraId="6AAA3E8C"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0.91</w:t>
            </w:r>
          </w:p>
          <w:p w14:paraId="202E6F28" w14:textId="144F9E84"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nil"/>
            </w:tcBorders>
            <w:noWrap/>
            <w:vAlign w:val="center"/>
            <w:hideMark/>
          </w:tcPr>
          <w:p w14:paraId="306B1365"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0.92</w:t>
            </w:r>
          </w:p>
          <w:p w14:paraId="16D3D692" w14:textId="4D80E241"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nil"/>
            </w:tcBorders>
            <w:noWrap/>
            <w:vAlign w:val="center"/>
            <w:hideMark/>
          </w:tcPr>
          <w:p w14:paraId="57DB6073"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1</w:t>
            </w:r>
          </w:p>
        </w:tc>
        <w:tc>
          <w:tcPr>
            <w:tcW w:w="866" w:type="pct"/>
            <w:tcBorders>
              <w:top w:val="nil"/>
              <w:bottom w:val="nil"/>
            </w:tcBorders>
            <w:noWrap/>
            <w:vAlign w:val="center"/>
            <w:hideMark/>
          </w:tcPr>
          <w:p w14:paraId="16100B93" w14:textId="77777777" w:rsidR="0062062F" w:rsidRPr="003B5C81"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w:t>
            </w:r>
          </w:p>
        </w:tc>
      </w:tr>
      <w:tr w:rsidR="0062062F" w:rsidRPr="003B5C81" w14:paraId="394DA237" w14:textId="77777777" w:rsidTr="00965052">
        <w:trPr>
          <w:trHeight w:val="288"/>
        </w:trPr>
        <w:tc>
          <w:tcPr>
            <w:cnfStyle w:val="001000000000" w:firstRow="0" w:lastRow="0" w:firstColumn="1" w:lastColumn="0" w:oddVBand="0" w:evenVBand="0" w:oddHBand="0" w:evenHBand="0" w:firstRowFirstColumn="0" w:firstRowLastColumn="0" w:lastRowFirstColumn="0" w:lastRowLastColumn="0"/>
            <w:tcW w:w="1182" w:type="pct"/>
            <w:tcBorders>
              <w:top w:val="nil"/>
              <w:bottom w:val="single" w:sz="18" w:space="0" w:color="000000" w:themeColor="text1"/>
            </w:tcBorders>
            <w:noWrap/>
            <w:vAlign w:val="center"/>
            <w:hideMark/>
          </w:tcPr>
          <w:p w14:paraId="7E2B3DE4" w14:textId="77777777" w:rsidR="0062062F" w:rsidRPr="003B5C81" w:rsidRDefault="0062062F" w:rsidP="008F5BD4">
            <w:pPr>
              <w:jc w:val="center"/>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EU</w:t>
            </w:r>
          </w:p>
        </w:tc>
        <w:tc>
          <w:tcPr>
            <w:tcW w:w="984" w:type="pct"/>
            <w:tcBorders>
              <w:top w:val="nil"/>
              <w:bottom w:val="single" w:sz="18" w:space="0" w:color="000000" w:themeColor="text1"/>
            </w:tcBorders>
            <w:noWrap/>
            <w:vAlign w:val="center"/>
            <w:hideMark/>
          </w:tcPr>
          <w:p w14:paraId="5BF24319"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0.83</w:t>
            </w:r>
          </w:p>
          <w:p w14:paraId="7804F16B" w14:textId="6474A935"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single" w:sz="18" w:space="0" w:color="000000" w:themeColor="text1"/>
            </w:tcBorders>
            <w:noWrap/>
            <w:vAlign w:val="center"/>
            <w:hideMark/>
          </w:tcPr>
          <w:p w14:paraId="70AE7FD1"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0.99</w:t>
            </w:r>
          </w:p>
          <w:p w14:paraId="716A6F22" w14:textId="6A8C4F09"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984" w:type="pct"/>
            <w:tcBorders>
              <w:top w:val="nil"/>
              <w:bottom w:val="single" w:sz="18" w:space="0" w:color="000000" w:themeColor="text1"/>
            </w:tcBorders>
            <w:noWrap/>
            <w:vAlign w:val="center"/>
            <w:hideMark/>
          </w:tcPr>
          <w:p w14:paraId="1B364F15"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0.94</w:t>
            </w:r>
          </w:p>
          <w:p w14:paraId="0D84A97B" w14:textId="23C104FB"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(.00)</w:t>
            </w:r>
          </w:p>
        </w:tc>
        <w:tc>
          <w:tcPr>
            <w:tcW w:w="866" w:type="pct"/>
            <w:tcBorders>
              <w:top w:val="nil"/>
              <w:bottom w:val="single" w:sz="18" w:space="0" w:color="000000" w:themeColor="text1"/>
            </w:tcBorders>
            <w:noWrap/>
            <w:vAlign w:val="center"/>
            <w:hideMark/>
          </w:tcPr>
          <w:p w14:paraId="356686C9" w14:textId="77777777" w:rsidR="0062062F" w:rsidRPr="003B5C81"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3B5C81">
              <w:rPr>
                <w:rFonts w:ascii="Arial" w:eastAsia="Times New Roman" w:hAnsi="Arial" w:cs="Arial"/>
                <w:color w:val="000000"/>
                <w:kern w:val="0"/>
                <w:sz w:val="20"/>
                <w:szCs w:val="20"/>
                <w14:ligatures w14:val="none"/>
              </w:rPr>
              <w:t>1</w:t>
            </w:r>
          </w:p>
        </w:tc>
      </w:tr>
    </w:tbl>
    <w:p w14:paraId="06624FD1" w14:textId="1449B7BC" w:rsidR="00D00F38" w:rsidRDefault="00D00F38" w:rsidP="00D00F38">
      <w:pPr>
        <w:spacing w:before="120" w:after="0" w:line="480" w:lineRule="auto"/>
        <w:rPr>
          <w:rFonts w:ascii="Arial" w:hAnsi="Arial" w:cs="Arial"/>
          <w:b/>
          <w:bCs/>
        </w:rPr>
      </w:pPr>
      <w:r>
        <w:rPr>
          <w:rFonts w:ascii="Arial" w:hAnsi="Arial" w:cs="Arial"/>
          <w:b/>
          <w:bCs/>
        </w:rPr>
        <w:t xml:space="preserve">Note: </w:t>
      </w:r>
      <w:r w:rsidRPr="00D00F38">
        <w:rPr>
          <w:rFonts w:ascii="Arial" w:hAnsi="Arial" w:cs="Arial"/>
          <w:b/>
          <w:bCs/>
          <w:i/>
          <w:iCs/>
        </w:rPr>
        <w:t>P</w:t>
      </w:r>
      <w:r>
        <w:rPr>
          <w:rFonts w:ascii="Arial" w:hAnsi="Arial" w:cs="Arial"/>
          <w:b/>
          <w:bCs/>
        </w:rPr>
        <w:t xml:space="preserve"> values in parentheses</w:t>
      </w:r>
    </w:p>
    <w:p w14:paraId="3D135663" w14:textId="3EE8DC90" w:rsidR="0062062F" w:rsidRPr="0062062F" w:rsidRDefault="0062062F" w:rsidP="00D00F38">
      <w:pPr>
        <w:spacing w:after="120" w:line="360" w:lineRule="auto"/>
        <w:rPr>
          <w:rFonts w:ascii="Arial" w:hAnsi="Arial" w:cs="Arial"/>
          <w:b/>
          <w:bCs/>
        </w:rPr>
      </w:pPr>
      <w:r w:rsidRPr="0062062F">
        <w:rPr>
          <w:rFonts w:ascii="Arial" w:hAnsi="Arial" w:cs="Arial"/>
          <w:b/>
          <w:bCs/>
        </w:rPr>
        <w:t>5.3 Panel Unit Root Tests</w:t>
      </w:r>
    </w:p>
    <w:p w14:paraId="29E5F167" w14:textId="2423D9D1" w:rsidR="0062062F" w:rsidRPr="00236EE3" w:rsidRDefault="0062062F" w:rsidP="00236EE3">
      <w:pPr>
        <w:jc w:val="both"/>
        <w:rPr>
          <w:rFonts w:ascii="Arial" w:hAnsi="Arial" w:cs="Arial"/>
          <w:sz w:val="20"/>
          <w:szCs w:val="20"/>
        </w:rPr>
      </w:pPr>
      <w:r w:rsidRPr="00236EE3">
        <w:rPr>
          <w:rFonts w:ascii="Arial" w:hAnsi="Arial" w:cs="Arial"/>
          <w:sz w:val="20"/>
          <w:szCs w:val="20"/>
        </w:rPr>
        <w:t xml:space="preserve">The LLC and IPS tests results in Table </w:t>
      </w:r>
      <w:r w:rsidR="004E289F">
        <w:rPr>
          <w:rFonts w:ascii="Arial" w:hAnsi="Arial" w:cs="Arial"/>
          <w:sz w:val="20"/>
          <w:szCs w:val="20"/>
        </w:rPr>
        <w:t>(</w:t>
      </w:r>
      <w:r w:rsidRPr="00236EE3">
        <w:rPr>
          <w:rFonts w:ascii="Arial" w:hAnsi="Arial" w:cs="Arial"/>
          <w:sz w:val="20"/>
          <w:szCs w:val="20"/>
        </w:rPr>
        <w:t>4</w:t>
      </w:r>
      <w:r w:rsidR="004E289F">
        <w:rPr>
          <w:rFonts w:ascii="Arial" w:hAnsi="Arial" w:cs="Arial"/>
          <w:sz w:val="20"/>
          <w:szCs w:val="20"/>
        </w:rPr>
        <w:t>)</w:t>
      </w:r>
      <w:r w:rsidRPr="00236EE3">
        <w:rPr>
          <w:rFonts w:ascii="Arial" w:hAnsi="Arial" w:cs="Arial"/>
          <w:sz w:val="20"/>
          <w:szCs w:val="20"/>
        </w:rPr>
        <w:t xml:space="preserve"> confirm that CO</w:t>
      </w:r>
      <w:r w:rsidRPr="00236EE3">
        <w:rPr>
          <w:rFonts w:ascii="Arial" w:hAnsi="Arial" w:cs="Arial"/>
          <w:sz w:val="20"/>
          <w:szCs w:val="20"/>
          <w:vertAlign w:val="subscript"/>
        </w:rPr>
        <w:t>2</w:t>
      </w:r>
      <w:r w:rsidRPr="00236EE3">
        <w:rPr>
          <w:rFonts w:ascii="Arial" w:hAnsi="Arial" w:cs="Arial"/>
          <w:sz w:val="20"/>
          <w:szCs w:val="20"/>
        </w:rPr>
        <w:t xml:space="preserve">, GDPPC, TO, and EU are non-stationary at level </w:t>
      </w:r>
      <w:proofErr w:type="gramStart"/>
      <w:r w:rsidRPr="00236EE3">
        <w:rPr>
          <w:rFonts w:ascii="Arial" w:hAnsi="Arial" w:cs="Arial"/>
          <w:sz w:val="20"/>
          <w:szCs w:val="20"/>
        </w:rPr>
        <w:t>I(</w:t>
      </w:r>
      <w:proofErr w:type="gramEnd"/>
      <w:r w:rsidRPr="00236EE3">
        <w:rPr>
          <w:rFonts w:ascii="Arial" w:hAnsi="Arial" w:cs="Arial"/>
          <w:sz w:val="20"/>
          <w:szCs w:val="20"/>
        </w:rPr>
        <w:t xml:space="preserve">0) </w:t>
      </w:r>
      <w:r w:rsidR="00EA146C">
        <w:rPr>
          <w:rFonts w:ascii="Arial" w:hAnsi="Arial" w:cs="Arial"/>
          <w:sz w:val="20"/>
          <w:szCs w:val="20"/>
        </w:rPr>
        <w:t xml:space="preserve">as </w:t>
      </w:r>
      <w:r w:rsidR="00EA146C" w:rsidRPr="00EA146C">
        <w:rPr>
          <w:rFonts w:ascii="Arial" w:hAnsi="Arial" w:cs="Arial"/>
          <w:i/>
          <w:iCs/>
          <w:sz w:val="20"/>
          <w:szCs w:val="20"/>
        </w:rPr>
        <w:t>P</w:t>
      </w:r>
      <w:r w:rsidR="00EA146C">
        <w:rPr>
          <w:rFonts w:ascii="Arial" w:hAnsi="Arial" w:cs="Arial"/>
          <w:sz w:val="20"/>
          <w:szCs w:val="20"/>
        </w:rPr>
        <w:t xml:space="preserve"> value is greater than 5% significance level,</w:t>
      </w:r>
      <w:r w:rsidRPr="00236EE3">
        <w:rPr>
          <w:rFonts w:ascii="Arial" w:hAnsi="Arial" w:cs="Arial"/>
          <w:sz w:val="20"/>
          <w:szCs w:val="20"/>
        </w:rPr>
        <w:t xml:space="preserve"> but stationary after first differencing I(1) </w:t>
      </w:r>
      <w:r w:rsidR="00EA146C">
        <w:rPr>
          <w:rFonts w:ascii="Arial" w:hAnsi="Arial" w:cs="Arial"/>
          <w:sz w:val="20"/>
          <w:szCs w:val="20"/>
        </w:rPr>
        <w:t xml:space="preserve">because </w:t>
      </w:r>
      <w:r w:rsidR="00EA146C" w:rsidRPr="00EA146C">
        <w:rPr>
          <w:rFonts w:ascii="Arial" w:hAnsi="Arial" w:cs="Arial"/>
          <w:i/>
          <w:iCs/>
          <w:sz w:val="20"/>
          <w:szCs w:val="20"/>
        </w:rPr>
        <w:t xml:space="preserve">P </w:t>
      </w:r>
      <w:r w:rsidR="00EA146C">
        <w:rPr>
          <w:rFonts w:ascii="Arial" w:hAnsi="Arial" w:cs="Arial"/>
          <w:sz w:val="20"/>
          <w:szCs w:val="20"/>
        </w:rPr>
        <w:t>value is less than 1% significance level</w:t>
      </w:r>
      <w:r w:rsidRPr="00236EE3">
        <w:rPr>
          <w:rFonts w:ascii="Arial" w:hAnsi="Arial" w:cs="Arial"/>
          <w:sz w:val="20"/>
          <w:szCs w:val="20"/>
        </w:rPr>
        <w:t xml:space="preserve"> (Levin et al., 2002; </w:t>
      </w:r>
      <w:proofErr w:type="spellStart"/>
      <w:r w:rsidRPr="00236EE3">
        <w:rPr>
          <w:rFonts w:ascii="Arial" w:hAnsi="Arial" w:cs="Arial"/>
          <w:sz w:val="20"/>
          <w:szCs w:val="20"/>
        </w:rPr>
        <w:t>Im</w:t>
      </w:r>
      <w:proofErr w:type="spellEnd"/>
      <w:r w:rsidRPr="00236EE3">
        <w:rPr>
          <w:rFonts w:ascii="Arial" w:hAnsi="Arial" w:cs="Arial"/>
          <w:sz w:val="20"/>
          <w:szCs w:val="20"/>
        </w:rPr>
        <w:t xml:space="preserve"> et al., 2003). This indicates that the variables are integrated of order one, a prerequisite for cointegration analysis, and aligns with economic time-series properties in </w:t>
      </w:r>
      <w:r w:rsidR="00FC01EF" w:rsidRPr="00236EE3">
        <w:rPr>
          <w:rFonts w:ascii="Arial" w:hAnsi="Arial" w:cs="Arial"/>
          <w:sz w:val="20"/>
          <w:szCs w:val="20"/>
        </w:rPr>
        <w:t>emerging</w:t>
      </w:r>
      <w:r w:rsidRPr="00236EE3">
        <w:rPr>
          <w:rFonts w:ascii="Arial" w:hAnsi="Arial" w:cs="Arial"/>
          <w:sz w:val="20"/>
          <w:szCs w:val="20"/>
        </w:rPr>
        <w:t xml:space="preserve"> countries (Engle &amp; Granger, 1987).</w:t>
      </w:r>
    </w:p>
    <w:p w14:paraId="756AC34C" w14:textId="3CE6A074" w:rsidR="0062062F" w:rsidRPr="00BC219C" w:rsidRDefault="0062062F" w:rsidP="00BC219C">
      <w:pPr>
        <w:spacing w:after="0" w:line="480" w:lineRule="auto"/>
        <w:jc w:val="center"/>
        <w:rPr>
          <w:rFonts w:ascii="Arial" w:hAnsi="Arial" w:cs="Arial"/>
          <w:b/>
          <w:bCs/>
          <w:sz w:val="20"/>
          <w:szCs w:val="20"/>
        </w:rPr>
      </w:pPr>
      <w:r w:rsidRPr="00BC219C">
        <w:rPr>
          <w:rFonts w:ascii="Arial" w:hAnsi="Arial" w:cs="Arial"/>
          <w:b/>
          <w:bCs/>
          <w:sz w:val="20"/>
          <w:szCs w:val="20"/>
        </w:rPr>
        <w:t>Table 4</w:t>
      </w:r>
      <w:r w:rsidR="00AD1588">
        <w:rPr>
          <w:rFonts w:ascii="Arial" w:hAnsi="Arial" w:cs="Arial"/>
          <w:b/>
          <w:bCs/>
          <w:sz w:val="20"/>
          <w:szCs w:val="20"/>
        </w:rPr>
        <w:t>.</w:t>
      </w:r>
      <w:r w:rsidRPr="00BC219C">
        <w:rPr>
          <w:rFonts w:ascii="Arial" w:hAnsi="Arial" w:cs="Arial"/>
          <w:b/>
          <w:bCs/>
          <w:sz w:val="20"/>
          <w:szCs w:val="20"/>
        </w:rPr>
        <w:t xml:space="preserve"> Panel LLC and IPS unit root tests</w:t>
      </w:r>
    </w:p>
    <w:tbl>
      <w:tblPr>
        <w:tblStyle w:val="PlainTable2"/>
        <w:tblW w:w="5000" w:type="pct"/>
        <w:tblLook w:val="04A0" w:firstRow="1" w:lastRow="0" w:firstColumn="1" w:lastColumn="0" w:noHBand="0" w:noVBand="1"/>
      </w:tblPr>
      <w:tblGrid>
        <w:gridCol w:w="3270"/>
        <w:gridCol w:w="3044"/>
        <w:gridCol w:w="3046"/>
      </w:tblGrid>
      <w:tr w:rsidR="0062062F" w:rsidRPr="00236EE3" w14:paraId="73535A1D" w14:textId="77777777" w:rsidTr="00236EE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47" w:type="pct"/>
            <w:vMerge w:val="restart"/>
            <w:tcBorders>
              <w:top w:val="single" w:sz="12" w:space="0" w:color="000000" w:themeColor="text1"/>
              <w:bottom w:val="single" w:sz="4" w:space="0" w:color="auto"/>
            </w:tcBorders>
            <w:vAlign w:val="center"/>
          </w:tcPr>
          <w:p w14:paraId="1BD3345F" w14:textId="77777777" w:rsidR="0062062F" w:rsidRPr="00236EE3" w:rsidRDefault="0062062F" w:rsidP="00236EE3">
            <w:pPr>
              <w:jc w:val="center"/>
              <w:rPr>
                <w:rFonts w:ascii="Arial" w:hAnsi="Arial" w:cs="Arial"/>
                <w:sz w:val="20"/>
                <w:szCs w:val="20"/>
              </w:rPr>
            </w:pPr>
            <w:r w:rsidRPr="00236EE3">
              <w:rPr>
                <w:rFonts w:ascii="Arial" w:hAnsi="Arial" w:cs="Arial"/>
                <w:sz w:val="20"/>
                <w:szCs w:val="20"/>
              </w:rPr>
              <w:t>Variables</w:t>
            </w:r>
          </w:p>
        </w:tc>
        <w:tc>
          <w:tcPr>
            <w:tcW w:w="1626" w:type="pct"/>
            <w:tcBorders>
              <w:top w:val="single" w:sz="12" w:space="0" w:color="000000" w:themeColor="text1"/>
              <w:bottom w:val="single" w:sz="12" w:space="0" w:color="000000" w:themeColor="text1"/>
            </w:tcBorders>
            <w:vAlign w:val="center"/>
          </w:tcPr>
          <w:p w14:paraId="108CDA6F" w14:textId="77777777" w:rsidR="0062062F" w:rsidRPr="00236EE3" w:rsidRDefault="0062062F" w:rsidP="00236E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LLC</w:t>
            </w:r>
          </w:p>
        </w:tc>
        <w:tc>
          <w:tcPr>
            <w:tcW w:w="1627" w:type="pct"/>
            <w:tcBorders>
              <w:top w:val="single" w:sz="12" w:space="0" w:color="000000" w:themeColor="text1"/>
              <w:bottom w:val="single" w:sz="12" w:space="0" w:color="000000" w:themeColor="text1"/>
            </w:tcBorders>
            <w:vAlign w:val="center"/>
          </w:tcPr>
          <w:p w14:paraId="06A49777" w14:textId="77777777" w:rsidR="0062062F" w:rsidRPr="00236EE3" w:rsidRDefault="0062062F" w:rsidP="00236E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IPS</w:t>
            </w:r>
          </w:p>
        </w:tc>
      </w:tr>
      <w:tr w:rsidR="0062062F" w:rsidRPr="00236EE3" w14:paraId="29C7AD05" w14:textId="77777777" w:rsidTr="00236E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47" w:type="pct"/>
            <w:vMerge/>
            <w:tcBorders>
              <w:top w:val="single" w:sz="4" w:space="0" w:color="auto"/>
              <w:bottom w:val="single" w:sz="12" w:space="0" w:color="000000" w:themeColor="text1"/>
            </w:tcBorders>
            <w:vAlign w:val="center"/>
          </w:tcPr>
          <w:p w14:paraId="5FB4F8FA" w14:textId="77777777" w:rsidR="0062062F" w:rsidRPr="00236EE3" w:rsidRDefault="0062062F" w:rsidP="00236EE3">
            <w:pPr>
              <w:jc w:val="center"/>
              <w:rPr>
                <w:rFonts w:ascii="Arial" w:hAnsi="Arial" w:cs="Arial"/>
                <w:sz w:val="20"/>
                <w:szCs w:val="20"/>
              </w:rPr>
            </w:pPr>
          </w:p>
        </w:tc>
        <w:tc>
          <w:tcPr>
            <w:tcW w:w="1626" w:type="pct"/>
            <w:tcBorders>
              <w:top w:val="single" w:sz="12" w:space="0" w:color="000000" w:themeColor="text1"/>
              <w:bottom w:val="single" w:sz="12" w:space="0" w:color="000000" w:themeColor="text1"/>
            </w:tcBorders>
            <w:vAlign w:val="center"/>
          </w:tcPr>
          <w:p w14:paraId="3CC08522" w14:textId="77777777"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 xml:space="preserve">Level </w:t>
            </w:r>
            <w:proofErr w:type="gramStart"/>
            <w:r w:rsidRPr="00236EE3">
              <w:rPr>
                <w:rFonts w:ascii="Arial" w:hAnsi="Arial" w:cs="Arial"/>
                <w:sz w:val="20"/>
                <w:szCs w:val="20"/>
              </w:rPr>
              <w:t>I(</w:t>
            </w:r>
            <w:proofErr w:type="gramEnd"/>
            <w:r w:rsidRPr="00236EE3">
              <w:rPr>
                <w:rFonts w:ascii="Arial" w:hAnsi="Arial" w:cs="Arial"/>
                <w:sz w:val="20"/>
                <w:szCs w:val="20"/>
              </w:rPr>
              <w:t>0)</w:t>
            </w:r>
          </w:p>
        </w:tc>
        <w:tc>
          <w:tcPr>
            <w:tcW w:w="1627" w:type="pct"/>
            <w:tcBorders>
              <w:top w:val="single" w:sz="12" w:space="0" w:color="000000" w:themeColor="text1"/>
              <w:bottom w:val="single" w:sz="12" w:space="0" w:color="000000" w:themeColor="text1"/>
            </w:tcBorders>
            <w:vAlign w:val="center"/>
          </w:tcPr>
          <w:p w14:paraId="40C03BEC" w14:textId="77777777"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2062F" w:rsidRPr="00236EE3" w14:paraId="2E43AB51" w14:textId="77777777" w:rsidTr="00236EE3">
        <w:tc>
          <w:tcPr>
            <w:cnfStyle w:val="001000000000" w:firstRow="0" w:lastRow="0" w:firstColumn="1" w:lastColumn="0" w:oddVBand="0" w:evenVBand="0" w:oddHBand="0" w:evenHBand="0" w:firstRowFirstColumn="0" w:firstRowLastColumn="0" w:lastRowFirstColumn="0" w:lastRowLastColumn="0"/>
            <w:tcW w:w="1747" w:type="pct"/>
            <w:tcBorders>
              <w:top w:val="single" w:sz="12" w:space="0" w:color="000000" w:themeColor="text1"/>
              <w:bottom w:val="nil"/>
            </w:tcBorders>
            <w:vAlign w:val="center"/>
          </w:tcPr>
          <w:p w14:paraId="6C455BF3"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CO</w:t>
            </w:r>
            <w:r w:rsidRPr="00236EE3">
              <w:rPr>
                <w:rFonts w:ascii="Arial" w:hAnsi="Arial" w:cs="Arial"/>
                <w:b w:val="0"/>
                <w:bCs w:val="0"/>
                <w:sz w:val="20"/>
                <w:szCs w:val="20"/>
                <w:vertAlign w:val="subscript"/>
              </w:rPr>
              <w:t>2</w:t>
            </w:r>
          </w:p>
        </w:tc>
        <w:tc>
          <w:tcPr>
            <w:tcW w:w="1626" w:type="pct"/>
            <w:tcBorders>
              <w:top w:val="single" w:sz="12" w:space="0" w:color="000000" w:themeColor="text1"/>
              <w:bottom w:val="nil"/>
            </w:tcBorders>
            <w:vAlign w:val="center"/>
          </w:tcPr>
          <w:p w14:paraId="3BE56FE4" w14:textId="18F8E5FE"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0.0</w:t>
            </w:r>
            <w:r w:rsidR="00A90EEE">
              <w:rPr>
                <w:rFonts w:ascii="Arial" w:hAnsi="Arial" w:cs="Arial"/>
                <w:sz w:val="20"/>
                <w:szCs w:val="20"/>
              </w:rPr>
              <w:t>4</w:t>
            </w:r>
          </w:p>
        </w:tc>
        <w:tc>
          <w:tcPr>
            <w:tcW w:w="1627" w:type="pct"/>
            <w:tcBorders>
              <w:top w:val="single" w:sz="12" w:space="0" w:color="000000" w:themeColor="text1"/>
              <w:bottom w:val="nil"/>
            </w:tcBorders>
            <w:vAlign w:val="center"/>
          </w:tcPr>
          <w:p w14:paraId="6C0245FB" w14:textId="13F23BCF"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1.5</w:t>
            </w:r>
            <w:r w:rsidR="00A90EEE">
              <w:rPr>
                <w:rFonts w:ascii="Arial" w:hAnsi="Arial" w:cs="Arial"/>
                <w:sz w:val="20"/>
                <w:szCs w:val="20"/>
              </w:rPr>
              <w:t>5</w:t>
            </w:r>
          </w:p>
        </w:tc>
      </w:tr>
      <w:tr w:rsidR="0062062F" w:rsidRPr="00236EE3" w14:paraId="5D7B648A" w14:textId="77777777" w:rsidTr="0023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tcBorders>
              <w:top w:val="nil"/>
              <w:bottom w:val="nil"/>
            </w:tcBorders>
            <w:vAlign w:val="center"/>
          </w:tcPr>
          <w:p w14:paraId="75100316"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GDPPC</w:t>
            </w:r>
          </w:p>
        </w:tc>
        <w:tc>
          <w:tcPr>
            <w:tcW w:w="1626" w:type="pct"/>
            <w:tcBorders>
              <w:top w:val="nil"/>
              <w:bottom w:val="nil"/>
            </w:tcBorders>
            <w:vAlign w:val="center"/>
          </w:tcPr>
          <w:p w14:paraId="025359D5" w14:textId="63D7F5C2"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0.0</w:t>
            </w:r>
            <w:r w:rsidR="00A90EEE">
              <w:rPr>
                <w:rFonts w:ascii="Arial" w:hAnsi="Arial" w:cs="Arial"/>
                <w:sz w:val="20"/>
                <w:szCs w:val="20"/>
              </w:rPr>
              <w:t>2</w:t>
            </w:r>
          </w:p>
        </w:tc>
        <w:tc>
          <w:tcPr>
            <w:tcW w:w="1627" w:type="pct"/>
            <w:tcBorders>
              <w:top w:val="nil"/>
              <w:bottom w:val="nil"/>
            </w:tcBorders>
            <w:vAlign w:val="center"/>
          </w:tcPr>
          <w:p w14:paraId="52A9F727" w14:textId="6624291F"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1</w:t>
            </w:r>
            <w:r w:rsidR="00A90EEE">
              <w:rPr>
                <w:rFonts w:ascii="Arial" w:hAnsi="Arial" w:cs="Arial"/>
                <w:sz w:val="20"/>
                <w:szCs w:val="20"/>
              </w:rPr>
              <w:t>.</w:t>
            </w:r>
            <w:r w:rsidRPr="00236EE3">
              <w:rPr>
                <w:rFonts w:ascii="Arial" w:hAnsi="Arial" w:cs="Arial"/>
                <w:sz w:val="20"/>
                <w:szCs w:val="20"/>
              </w:rPr>
              <w:t>02</w:t>
            </w:r>
          </w:p>
        </w:tc>
      </w:tr>
      <w:tr w:rsidR="0062062F" w:rsidRPr="00236EE3" w14:paraId="73B938E1" w14:textId="77777777" w:rsidTr="00236EE3">
        <w:tc>
          <w:tcPr>
            <w:cnfStyle w:val="001000000000" w:firstRow="0" w:lastRow="0" w:firstColumn="1" w:lastColumn="0" w:oddVBand="0" w:evenVBand="0" w:oddHBand="0" w:evenHBand="0" w:firstRowFirstColumn="0" w:firstRowLastColumn="0" w:lastRowFirstColumn="0" w:lastRowLastColumn="0"/>
            <w:tcW w:w="1747" w:type="pct"/>
            <w:tcBorders>
              <w:top w:val="nil"/>
              <w:bottom w:val="nil"/>
            </w:tcBorders>
            <w:vAlign w:val="center"/>
          </w:tcPr>
          <w:p w14:paraId="61CCFD03"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TO</w:t>
            </w:r>
          </w:p>
        </w:tc>
        <w:tc>
          <w:tcPr>
            <w:tcW w:w="1626" w:type="pct"/>
            <w:tcBorders>
              <w:top w:val="nil"/>
              <w:bottom w:val="nil"/>
            </w:tcBorders>
            <w:vAlign w:val="center"/>
          </w:tcPr>
          <w:p w14:paraId="10135819" w14:textId="12874391"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-0.8</w:t>
            </w:r>
            <w:r w:rsidR="00A90EEE">
              <w:rPr>
                <w:rFonts w:ascii="Arial" w:hAnsi="Arial" w:cs="Arial"/>
                <w:sz w:val="20"/>
                <w:szCs w:val="20"/>
              </w:rPr>
              <w:t>7</w:t>
            </w:r>
          </w:p>
        </w:tc>
        <w:tc>
          <w:tcPr>
            <w:tcW w:w="1627" w:type="pct"/>
            <w:tcBorders>
              <w:top w:val="nil"/>
              <w:bottom w:val="nil"/>
            </w:tcBorders>
            <w:vAlign w:val="center"/>
          </w:tcPr>
          <w:p w14:paraId="51278229" w14:textId="3FBFD4EB"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-1.07</w:t>
            </w:r>
          </w:p>
        </w:tc>
      </w:tr>
      <w:tr w:rsidR="0062062F" w:rsidRPr="00236EE3" w14:paraId="4320F2EC" w14:textId="77777777" w:rsidTr="0023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tcBorders>
              <w:top w:val="nil"/>
              <w:bottom w:val="single" w:sz="12" w:space="0" w:color="000000" w:themeColor="text1"/>
            </w:tcBorders>
            <w:vAlign w:val="center"/>
          </w:tcPr>
          <w:p w14:paraId="23C815B6"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EU</w:t>
            </w:r>
          </w:p>
        </w:tc>
        <w:tc>
          <w:tcPr>
            <w:tcW w:w="1626" w:type="pct"/>
            <w:tcBorders>
              <w:top w:val="nil"/>
              <w:bottom w:val="single" w:sz="12" w:space="0" w:color="000000" w:themeColor="text1"/>
            </w:tcBorders>
            <w:vAlign w:val="center"/>
          </w:tcPr>
          <w:p w14:paraId="4DF5B844" w14:textId="140B4793"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5.65</w:t>
            </w:r>
          </w:p>
        </w:tc>
        <w:tc>
          <w:tcPr>
            <w:tcW w:w="1627" w:type="pct"/>
            <w:tcBorders>
              <w:top w:val="nil"/>
              <w:bottom w:val="single" w:sz="12" w:space="0" w:color="000000" w:themeColor="text1"/>
            </w:tcBorders>
            <w:vAlign w:val="center"/>
          </w:tcPr>
          <w:p w14:paraId="66AAD7AD" w14:textId="723DA46F"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4.8</w:t>
            </w:r>
            <w:r w:rsidR="00A90EEE">
              <w:rPr>
                <w:rFonts w:ascii="Arial" w:hAnsi="Arial" w:cs="Arial"/>
                <w:sz w:val="20"/>
                <w:szCs w:val="20"/>
              </w:rPr>
              <w:t>7</w:t>
            </w:r>
          </w:p>
        </w:tc>
      </w:tr>
      <w:tr w:rsidR="0062062F" w:rsidRPr="00236EE3" w14:paraId="2B7BDE42" w14:textId="77777777" w:rsidTr="00236EE3">
        <w:trPr>
          <w:trHeight w:val="321"/>
        </w:trPr>
        <w:tc>
          <w:tcPr>
            <w:cnfStyle w:val="001000000000" w:firstRow="0" w:lastRow="0" w:firstColumn="1" w:lastColumn="0" w:oddVBand="0" w:evenVBand="0" w:oddHBand="0" w:evenHBand="0" w:firstRowFirstColumn="0" w:firstRowLastColumn="0" w:lastRowFirstColumn="0" w:lastRowLastColumn="0"/>
            <w:tcW w:w="1747" w:type="pct"/>
            <w:tcBorders>
              <w:top w:val="single" w:sz="12" w:space="0" w:color="000000" w:themeColor="text1"/>
              <w:bottom w:val="single" w:sz="12" w:space="0" w:color="000000" w:themeColor="text1"/>
            </w:tcBorders>
            <w:vAlign w:val="center"/>
          </w:tcPr>
          <w:p w14:paraId="621410DD" w14:textId="77777777" w:rsidR="0062062F" w:rsidRPr="00236EE3" w:rsidRDefault="0062062F" w:rsidP="00236EE3">
            <w:pPr>
              <w:jc w:val="center"/>
              <w:rPr>
                <w:rFonts w:ascii="Arial" w:hAnsi="Arial" w:cs="Arial"/>
                <w:sz w:val="20"/>
                <w:szCs w:val="20"/>
              </w:rPr>
            </w:pPr>
          </w:p>
        </w:tc>
        <w:tc>
          <w:tcPr>
            <w:tcW w:w="1626" w:type="pct"/>
            <w:tcBorders>
              <w:top w:val="single" w:sz="12" w:space="0" w:color="000000" w:themeColor="text1"/>
              <w:bottom w:val="single" w:sz="12" w:space="0" w:color="000000" w:themeColor="text1"/>
            </w:tcBorders>
            <w:vAlign w:val="center"/>
          </w:tcPr>
          <w:p w14:paraId="36D7D2EA" w14:textId="77777777"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 xml:space="preserve">First Difference </w:t>
            </w:r>
            <w:proofErr w:type="gramStart"/>
            <w:r w:rsidRPr="00236EE3">
              <w:rPr>
                <w:rFonts w:ascii="Arial" w:hAnsi="Arial" w:cs="Arial"/>
                <w:sz w:val="20"/>
                <w:szCs w:val="20"/>
              </w:rPr>
              <w:t>I(</w:t>
            </w:r>
            <w:proofErr w:type="gramEnd"/>
            <w:r w:rsidRPr="00236EE3">
              <w:rPr>
                <w:rFonts w:ascii="Arial" w:hAnsi="Arial" w:cs="Arial"/>
                <w:sz w:val="20"/>
                <w:szCs w:val="20"/>
              </w:rPr>
              <w:t>1)</w:t>
            </w:r>
          </w:p>
        </w:tc>
        <w:tc>
          <w:tcPr>
            <w:tcW w:w="1627" w:type="pct"/>
            <w:tcBorders>
              <w:top w:val="single" w:sz="12" w:space="0" w:color="000000" w:themeColor="text1"/>
              <w:bottom w:val="single" w:sz="12" w:space="0" w:color="000000" w:themeColor="text1"/>
            </w:tcBorders>
            <w:vAlign w:val="center"/>
          </w:tcPr>
          <w:p w14:paraId="10C332AD" w14:textId="77777777"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2062F" w:rsidRPr="00236EE3" w14:paraId="0DCBA99E" w14:textId="77777777" w:rsidTr="0023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tcBorders>
              <w:top w:val="single" w:sz="12" w:space="0" w:color="000000" w:themeColor="text1"/>
              <w:bottom w:val="nil"/>
            </w:tcBorders>
            <w:vAlign w:val="center"/>
          </w:tcPr>
          <w:p w14:paraId="4A0A416C"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CO</w:t>
            </w:r>
            <w:r w:rsidRPr="00236EE3">
              <w:rPr>
                <w:rFonts w:ascii="Arial" w:hAnsi="Arial" w:cs="Arial"/>
                <w:b w:val="0"/>
                <w:bCs w:val="0"/>
                <w:sz w:val="20"/>
                <w:szCs w:val="20"/>
                <w:vertAlign w:val="subscript"/>
              </w:rPr>
              <w:t>2</w:t>
            </w:r>
          </w:p>
        </w:tc>
        <w:tc>
          <w:tcPr>
            <w:tcW w:w="1626" w:type="pct"/>
            <w:tcBorders>
              <w:top w:val="single" w:sz="12" w:space="0" w:color="000000" w:themeColor="text1"/>
              <w:bottom w:val="nil"/>
            </w:tcBorders>
            <w:vAlign w:val="center"/>
          </w:tcPr>
          <w:p w14:paraId="067CB5F6" w14:textId="1BE12F38"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-7.91</w:t>
            </w:r>
            <w:r w:rsidRPr="00236EE3">
              <w:rPr>
                <w:rFonts w:ascii="Arial" w:hAnsi="Arial" w:cs="Arial"/>
                <w:sz w:val="20"/>
                <w:szCs w:val="20"/>
                <w:vertAlign w:val="superscript"/>
              </w:rPr>
              <w:t>c</w:t>
            </w:r>
          </w:p>
        </w:tc>
        <w:tc>
          <w:tcPr>
            <w:tcW w:w="1627" w:type="pct"/>
            <w:tcBorders>
              <w:top w:val="single" w:sz="12" w:space="0" w:color="000000" w:themeColor="text1"/>
              <w:bottom w:val="nil"/>
            </w:tcBorders>
            <w:vAlign w:val="center"/>
          </w:tcPr>
          <w:p w14:paraId="795D5D27" w14:textId="5A3750D5"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-6.78</w:t>
            </w:r>
            <w:r w:rsidRPr="00236EE3">
              <w:rPr>
                <w:rFonts w:ascii="Arial" w:hAnsi="Arial" w:cs="Arial"/>
                <w:sz w:val="20"/>
                <w:szCs w:val="20"/>
                <w:vertAlign w:val="superscript"/>
              </w:rPr>
              <w:t>c</w:t>
            </w:r>
          </w:p>
        </w:tc>
      </w:tr>
      <w:tr w:rsidR="0062062F" w:rsidRPr="00236EE3" w14:paraId="7149210C" w14:textId="77777777" w:rsidTr="00236EE3">
        <w:tc>
          <w:tcPr>
            <w:cnfStyle w:val="001000000000" w:firstRow="0" w:lastRow="0" w:firstColumn="1" w:lastColumn="0" w:oddVBand="0" w:evenVBand="0" w:oddHBand="0" w:evenHBand="0" w:firstRowFirstColumn="0" w:firstRowLastColumn="0" w:lastRowFirstColumn="0" w:lastRowLastColumn="0"/>
            <w:tcW w:w="1747" w:type="pct"/>
            <w:tcBorders>
              <w:top w:val="nil"/>
              <w:bottom w:val="nil"/>
            </w:tcBorders>
            <w:vAlign w:val="center"/>
          </w:tcPr>
          <w:p w14:paraId="5936BD08"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GDPPC</w:t>
            </w:r>
          </w:p>
        </w:tc>
        <w:tc>
          <w:tcPr>
            <w:tcW w:w="1626" w:type="pct"/>
            <w:tcBorders>
              <w:top w:val="nil"/>
              <w:bottom w:val="nil"/>
            </w:tcBorders>
            <w:vAlign w:val="center"/>
          </w:tcPr>
          <w:p w14:paraId="23FEC34F" w14:textId="701F2EC9"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-9.22</w:t>
            </w:r>
            <w:r w:rsidRPr="00236EE3">
              <w:rPr>
                <w:rFonts w:ascii="Arial" w:hAnsi="Arial" w:cs="Arial"/>
                <w:sz w:val="20"/>
                <w:szCs w:val="20"/>
                <w:vertAlign w:val="superscript"/>
              </w:rPr>
              <w:t>c</w:t>
            </w:r>
          </w:p>
        </w:tc>
        <w:tc>
          <w:tcPr>
            <w:tcW w:w="1627" w:type="pct"/>
            <w:tcBorders>
              <w:top w:val="nil"/>
              <w:bottom w:val="nil"/>
            </w:tcBorders>
            <w:vAlign w:val="center"/>
          </w:tcPr>
          <w:p w14:paraId="7F977AA6" w14:textId="4FA4C6B9"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-7.</w:t>
            </w:r>
            <w:r w:rsidR="00A90EEE">
              <w:rPr>
                <w:rFonts w:ascii="Arial" w:hAnsi="Arial" w:cs="Arial"/>
                <w:sz w:val="20"/>
                <w:szCs w:val="20"/>
              </w:rPr>
              <w:t>90</w:t>
            </w:r>
            <w:r w:rsidRPr="00236EE3">
              <w:rPr>
                <w:rFonts w:ascii="Arial" w:hAnsi="Arial" w:cs="Arial"/>
                <w:sz w:val="20"/>
                <w:szCs w:val="20"/>
                <w:vertAlign w:val="superscript"/>
              </w:rPr>
              <w:t>c</w:t>
            </w:r>
          </w:p>
        </w:tc>
      </w:tr>
      <w:tr w:rsidR="0062062F" w:rsidRPr="00236EE3" w14:paraId="3E23DE27" w14:textId="77777777" w:rsidTr="00236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pct"/>
            <w:tcBorders>
              <w:top w:val="nil"/>
              <w:bottom w:val="nil"/>
            </w:tcBorders>
            <w:vAlign w:val="center"/>
          </w:tcPr>
          <w:p w14:paraId="1D85B52F"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TO</w:t>
            </w:r>
          </w:p>
        </w:tc>
        <w:tc>
          <w:tcPr>
            <w:tcW w:w="1626" w:type="pct"/>
            <w:tcBorders>
              <w:top w:val="nil"/>
              <w:bottom w:val="nil"/>
            </w:tcBorders>
            <w:vAlign w:val="center"/>
          </w:tcPr>
          <w:p w14:paraId="2D848E3D" w14:textId="77597676"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-9.6</w:t>
            </w:r>
            <w:r w:rsidR="00A90EEE">
              <w:rPr>
                <w:rFonts w:ascii="Arial" w:hAnsi="Arial" w:cs="Arial"/>
                <w:sz w:val="20"/>
                <w:szCs w:val="20"/>
              </w:rPr>
              <w:t>1</w:t>
            </w:r>
            <w:r w:rsidRPr="00236EE3">
              <w:rPr>
                <w:rFonts w:ascii="Arial" w:hAnsi="Arial" w:cs="Arial"/>
                <w:sz w:val="20"/>
                <w:szCs w:val="20"/>
                <w:vertAlign w:val="superscript"/>
              </w:rPr>
              <w:t>c</w:t>
            </w:r>
          </w:p>
        </w:tc>
        <w:tc>
          <w:tcPr>
            <w:tcW w:w="1627" w:type="pct"/>
            <w:tcBorders>
              <w:top w:val="nil"/>
              <w:bottom w:val="nil"/>
            </w:tcBorders>
            <w:vAlign w:val="center"/>
          </w:tcPr>
          <w:p w14:paraId="51517C8C" w14:textId="552D3341" w:rsidR="0062062F" w:rsidRPr="00236EE3" w:rsidRDefault="0062062F" w:rsidP="00236E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6EE3">
              <w:rPr>
                <w:rFonts w:ascii="Arial" w:hAnsi="Arial" w:cs="Arial"/>
                <w:sz w:val="20"/>
                <w:szCs w:val="20"/>
              </w:rPr>
              <w:t>-9.43</w:t>
            </w:r>
            <w:r w:rsidRPr="00236EE3">
              <w:rPr>
                <w:rFonts w:ascii="Arial" w:hAnsi="Arial" w:cs="Arial"/>
                <w:sz w:val="20"/>
                <w:szCs w:val="20"/>
                <w:vertAlign w:val="superscript"/>
              </w:rPr>
              <w:t>c</w:t>
            </w:r>
          </w:p>
        </w:tc>
      </w:tr>
      <w:tr w:rsidR="0062062F" w:rsidRPr="00236EE3" w14:paraId="218A36CB" w14:textId="77777777" w:rsidTr="00236EE3">
        <w:tc>
          <w:tcPr>
            <w:cnfStyle w:val="001000000000" w:firstRow="0" w:lastRow="0" w:firstColumn="1" w:lastColumn="0" w:oddVBand="0" w:evenVBand="0" w:oddHBand="0" w:evenHBand="0" w:firstRowFirstColumn="0" w:firstRowLastColumn="0" w:lastRowFirstColumn="0" w:lastRowLastColumn="0"/>
            <w:tcW w:w="1747" w:type="pct"/>
            <w:tcBorders>
              <w:top w:val="nil"/>
              <w:bottom w:val="single" w:sz="12" w:space="0" w:color="000000" w:themeColor="text1"/>
            </w:tcBorders>
            <w:vAlign w:val="center"/>
          </w:tcPr>
          <w:p w14:paraId="010E491A" w14:textId="77777777" w:rsidR="0062062F" w:rsidRPr="00236EE3" w:rsidRDefault="0062062F" w:rsidP="00236EE3">
            <w:pPr>
              <w:jc w:val="center"/>
              <w:rPr>
                <w:rFonts w:ascii="Arial" w:hAnsi="Arial" w:cs="Arial"/>
                <w:b w:val="0"/>
                <w:bCs w:val="0"/>
                <w:sz w:val="20"/>
                <w:szCs w:val="20"/>
              </w:rPr>
            </w:pPr>
            <w:r w:rsidRPr="00236EE3">
              <w:rPr>
                <w:rFonts w:ascii="Arial" w:hAnsi="Arial" w:cs="Arial"/>
                <w:b w:val="0"/>
                <w:bCs w:val="0"/>
                <w:sz w:val="20"/>
                <w:szCs w:val="20"/>
              </w:rPr>
              <w:t>EU</w:t>
            </w:r>
          </w:p>
        </w:tc>
        <w:tc>
          <w:tcPr>
            <w:tcW w:w="1626" w:type="pct"/>
            <w:tcBorders>
              <w:top w:val="nil"/>
              <w:bottom w:val="single" w:sz="12" w:space="0" w:color="000000" w:themeColor="text1"/>
            </w:tcBorders>
            <w:vAlign w:val="center"/>
          </w:tcPr>
          <w:p w14:paraId="1C171023" w14:textId="73983EFE"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-7.4</w:t>
            </w:r>
            <w:r w:rsidR="00A90EEE">
              <w:rPr>
                <w:rFonts w:ascii="Arial" w:hAnsi="Arial" w:cs="Arial"/>
                <w:sz w:val="20"/>
                <w:szCs w:val="20"/>
              </w:rPr>
              <w:t>1</w:t>
            </w:r>
            <w:r w:rsidRPr="00236EE3">
              <w:rPr>
                <w:rFonts w:ascii="Arial" w:hAnsi="Arial" w:cs="Arial"/>
                <w:sz w:val="20"/>
                <w:szCs w:val="20"/>
                <w:vertAlign w:val="superscript"/>
              </w:rPr>
              <w:t>c</w:t>
            </w:r>
          </w:p>
        </w:tc>
        <w:tc>
          <w:tcPr>
            <w:tcW w:w="1627" w:type="pct"/>
            <w:tcBorders>
              <w:top w:val="nil"/>
              <w:bottom w:val="single" w:sz="12" w:space="0" w:color="000000" w:themeColor="text1"/>
            </w:tcBorders>
            <w:vAlign w:val="center"/>
          </w:tcPr>
          <w:p w14:paraId="3BD2D034" w14:textId="6A995C32" w:rsidR="0062062F" w:rsidRPr="00236EE3" w:rsidRDefault="0062062F" w:rsidP="00236E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6EE3">
              <w:rPr>
                <w:rFonts w:ascii="Arial" w:hAnsi="Arial" w:cs="Arial"/>
                <w:sz w:val="20"/>
                <w:szCs w:val="20"/>
              </w:rPr>
              <w:t>-8.02</w:t>
            </w:r>
            <w:r w:rsidRPr="00236EE3">
              <w:rPr>
                <w:rFonts w:ascii="Arial" w:hAnsi="Arial" w:cs="Arial"/>
                <w:sz w:val="20"/>
                <w:szCs w:val="20"/>
                <w:vertAlign w:val="superscript"/>
              </w:rPr>
              <w:t>c</w:t>
            </w:r>
          </w:p>
        </w:tc>
      </w:tr>
    </w:tbl>
    <w:p w14:paraId="1D4131D9" w14:textId="2CA2B873" w:rsidR="00DE2056" w:rsidRPr="00DE2056" w:rsidRDefault="00DE2056" w:rsidP="00DE2056">
      <w:pPr>
        <w:spacing w:before="120" w:after="120" w:line="480" w:lineRule="auto"/>
        <w:jc w:val="both"/>
        <w:rPr>
          <w:rFonts w:ascii="Arial" w:hAnsi="Arial" w:cs="Arial"/>
          <w:i/>
          <w:iCs/>
          <w:sz w:val="20"/>
          <w:szCs w:val="20"/>
        </w:rPr>
      </w:pPr>
      <w:r w:rsidRPr="00DE2056">
        <w:rPr>
          <w:rFonts w:ascii="Arial" w:hAnsi="Arial" w:cs="Arial"/>
          <w:i/>
          <w:iCs/>
          <w:sz w:val="20"/>
          <w:szCs w:val="20"/>
        </w:rPr>
        <w:t>Note: ‘a’, ‘b’ and ‘c’ represent significance at 10%, 5% and 1% respectively.</w:t>
      </w:r>
      <w:r w:rsidR="00C57EAE" w:rsidRPr="00C57EAE">
        <w:rPr>
          <w:rFonts w:ascii="Arial" w:hAnsi="Arial" w:cs="Arial"/>
          <w:i/>
          <w:iCs/>
          <w:sz w:val="20"/>
          <w:szCs w:val="20"/>
        </w:rPr>
        <w:t xml:space="preserve"> </w:t>
      </w:r>
      <w:r w:rsidR="00C57EAE">
        <w:rPr>
          <w:rFonts w:ascii="Arial" w:hAnsi="Arial" w:cs="Arial"/>
          <w:i/>
          <w:iCs/>
          <w:sz w:val="20"/>
          <w:szCs w:val="20"/>
        </w:rPr>
        <w:t>H</w:t>
      </w:r>
      <w:r w:rsidR="00C57EAE" w:rsidRPr="00247BD1">
        <w:rPr>
          <w:rFonts w:ascii="Arial" w:hAnsi="Arial" w:cs="Arial"/>
          <w:i/>
          <w:iCs/>
          <w:sz w:val="20"/>
          <w:szCs w:val="20"/>
          <w:vertAlign w:val="subscript"/>
        </w:rPr>
        <w:t>0</w:t>
      </w:r>
      <w:r w:rsidR="00C57EAE">
        <w:rPr>
          <w:rFonts w:ascii="Arial" w:hAnsi="Arial" w:cs="Arial"/>
          <w:i/>
          <w:iCs/>
          <w:sz w:val="20"/>
          <w:szCs w:val="20"/>
        </w:rPr>
        <w:t>: Data is stationary</w:t>
      </w:r>
      <w:r w:rsidR="00005F81">
        <w:rPr>
          <w:rFonts w:ascii="Arial" w:hAnsi="Arial" w:cs="Arial"/>
          <w:i/>
          <w:iCs/>
          <w:sz w:val="20"/>
          <w:szCs w:val="20"/>
        </w:rPr>
        <w:t xml:space="preserve"> with no unit root</w:t>
      </w:r>
      <w:r w:rsidR="00C57EAE">
        <w:rPr>
          <w:rFonts w:ascii="Arial" w:hAnsi="Arial" w:cs="Arial"/>
          <w:i/>
          <w:iCs/>
          <w:sz w:val="20"/>
          <w:szCs w:val="20"/>
        </w:rPr>
        <w:t>.</w:t>
      </w:r>
    </w:p>
    <w:p w14:paraId="0B5CD2A1" w14:textId="39D78CCC" w:rsidR="0062062F" w:rsidRPr="00E6111F" w:rsidRDefault="0062062F" w:rsidP="00DE2056">
      <w:pPr>
        <w:spacing w:before="120" w:after="120" w:line="360" w:lineRule="auto"/>
        <w:rPr>
          <w:rFonts w:ascii="Arial" w:hAnsi="Arial" w:cs="Arial"/>
          <w:b/>
          <w:bCs/>
        </w:rPr>
      </w:pPr>
      <w:r w:rsidRPr="00E6111F">
        <w:rPr>
          <w:rFonts w:ascii="Arial" w:hAnsi="Arial" w:cs="Arial"/>
          <w:b/>
          <w:bCs/>
        </w:rPr>
        <w:t>5.4 Panel Cointegration Tests</w:t>
      </w:r>
    </w:p>
    <w:p w14:paraId="03092DC7" w14:textId="37139479" w:rsidR="0062062F" w:rsidRPr="0027769C" w:rsidRDefault="0062062F" w:rsidP="0027769C">
      <w:pPr>
        <w:jc w:val="both"/>
        <w:rPr>
          <w:rFonts w:ascii="Arial" w:hAnsi="Arial" w:cs="Arial"/>
          <w:sz w:val="20"/>
          <w:szCs w:val="20"/>
        </w:rPr>
      </w:pPr>
      <w:r w:rsidRPr="0027769C">
        <w:rPr>
          <w:rFonts w:ascii="Arial" w:hAnsi="Arial" w:cs="Arial"/>
          <w:sz w:val="20"/>
          <w:szCs w:val="20"/>
        </w:rPr>
        <w:t xml:space="preserve">The </w:t>
      </w:r>
      <w:proofErr w:type="spellStart"/>
      <w:r w:rsidRPr="0027769C">
        <w:rPr>
          <w:rFonts w:ascii="Arial" w:hAnsi="Arial" w:cs="Arial"/>
          <w:sz w:val="20"/>
          <w:szCs w:val="20"/>
        </w:rPr>
        <w:t>Pedroni</w:t>
      </w:r>
      <w:proofErr w:type="spellEnd"/>
      <w:r w:rsidRPr="0027769C">
        <w:rPr>
          <w:rFonts w:ascii="Arial" w:hAnsi="Arial" w:cs="Arial"/>
          <w:sz w:val="20"/>
          <w:szCs w:val="20"/>
        </w:rPr>
        <w:t xml:space="preserve"> and Kao tests</w:t>
      </w:r>
      <w:r w:rsidR="00EB0A54">
        <w:rPr>
          <w:rFonts w:ascii="Arial" w:hAnsi="Arial" w:cs="Arial"/>
          <w:sz w:val="20"/>
          <w:szCs w:val="20"/>
        </w:rPr>
        <w:t xml:space="preserve"> results</w:t>
      </w:r>
      <w:r w:rsidRPr="0027769C">
        <w:rPr>
          <w:rFonts w:ascii="Arial" w:hAnsi="Arial" w:cs="Arial"/>
          <w:sz w:val="20"/>
          <w:szCs w:val="20"/>
        </w:rPr>
        <w:t xml:space="preserve"> in Tables </w:t>
      </w:r>
      <w:r w:rsidR="004E289F">
        <w:rPr>
          <w:rFonts w:ascii="Arial" w:hAnsi="Arial" w:cs="Arial"/>
          <w:sz w:val="20"/>
          <w:szCs w:val="20"/>
        </w:rPr>
        <w:t>(</w:t>
      </w:r>
      <w:r w:rsidRPr="0027769C">
        <w:rPr>
          <w:rFonts w:ascii="Arial" w:hAnsi="Arial" w:cs="Arial"/>
          <w:sz w:val="20"/>
          <w:szCs w:val="20"/>
        </w:rPr>
        <w:t>5</w:t>
      </w:r>
      <w:r w:rsidR="004E289F">
        <w:rPr>
          <w:rFonts w:ascii="Arial" w:hAnsi="Arial" w:cs="Arial"/>
          <w:sz w:val="20"/>
          <w:szCs w:val="20"/>
        </w:rPr>
        <w:t>)</w:t>
      </w:r>
      <w:r w:rsidRPr="0027769C">
        <w:rPr>
          <w:rFonts w:ascii="Arial" w:hAnsi="Arial" w:cs="Arial"/>
          <w:sz w:val="20"/>
          <w:szCs w:val="20"/>
        </w:rPr>
        <w:t xml:space="preserve"> and </w:t>
      </w:r>
      <w:r w:rsidR="004E289F">
        <w:rPr>
          <w:rFonts w:ascii="Arial" w:hAnsi="Arial" w:cs="Arial"/>
          <w:sz w:val="20"/>
          <w:szCs w:val="20"/>
        </w:rPr>
        <w:t>(</w:t>
      </w:r>
      <w:r w:rsidRPr="0027769C">
        <w:rPr>
          <w:rFonts w:ascii="Arial" w:hAnsi="Arial" w:cs="Arial"/>
          <w:sz w:val="20"/>
          <w:szCs w:val="20"/>
        </w:rPr>
        <w:t>6</w:t>
      </w:r>
      <w:r w:rsidR="004E289F">
        <w:rPr>
          <w:rFonts w:ascii="Arial" w:hAnsi="Arial" w:cs="Arial"/>
          <w:sz w:val="20"/>
          <w:szCs w:val="20"/>
        </w:rPr>
        <w:t>)</w:t>
      </w:r>
      <w:r w:rsidRPr="0027769C">
        <w:rPr>
          <w:rFonts w:ascii="Arial" w:hAnsi="Arial" w:cs="Arial"/>
          <w:sz w:val="20"/>
          <w:szCs w:val="20"/>
        </w:rPr>
        <w:t xml:space="preserve"> yield </w:t>
      </w:r>
      <w:r w:rsidR="00EB0A54">
        <w:rPr>
          <w:rFonts w:ascii="Arial" w:hAnsi="Arial" w:cs="Arial"/>
          <w:sz w:val="20"/>
          <w:szCs w:val="20"/>
        </w:rPr>
        <w:t>no</w:t>
      </w:r>
      <w:r w:rsidRPr="0027769C">
        <w:rPr>
          <w:rFonts w:ascii="Arial" w:hAnsi="Arial" w:cs="Arial"/>
          <w:sz w:val="20"/>
          <w:szCs w:val="20"/>
        </w:rPr>
        <w:t xml:space="preserve"> long-run cointegration. Most </w:t>
      </w:r>
      <w:proofErr w:type="spellStart"/>
      <w:r w:rsidRPr="0027769C">
        <w:rPr>
          <w:rFonts w:ascii="Arial" w:hAnsi="Arial" w:cs="Arial"/>
          <w:sz w:val="20"/>
          <w:szCs w:val="20"/>
        </w:rPr>
        <w:t>Pedroni</w:t>
      </w:r>
      <w:proofErr w:type="spellEnd"/>
      <w:r w:rsidRPr="0027769C">
        <w:rPr>
          <w:rFonts w:ascii="Arial" w:hAnsi="Arial" w:cs="Arial"/>
          <w:sz w:val="20"/>
          <w:szCs w:val="20"/>
        </w:rPr>
        <w:t xml:space="preserve"> statistics (e.g., panel rho, group ADF) have </w:t>
      </w:r>
      <w:r w:rsidR="003B78DB" w:rsidRPr="003B78DB">
        <w:rPr>
          <w:rFonts w:ascii="Arial" w:hAnsi="Arial" w:cs="Arial"/>
          <w:i/>
          <w:iCs/>
          <w:sz w:val="20"/>
          <w:szCs w:val="20"/>
        </w:rPr>
        <w:t>P</w:t>
      </w:r>
      <w:r w:rsidR="003B78DB">
        <w:rPr>
          <w:rFonts w:ascii="Arial" w:hAnsi="Arial" w:cs="Arial"/>
          <w:sz w:val="20"/>
          <w:szCs w:val="20"/>
        </w:rPr>
        <w:t xml:space="preserve"> </w:t>
      </w:r>
      <w:r w:rsidRPr="0027769C">
        <w:rPr>
          <w:rFonts w:ascii="Arial" w:hAnsi="Arial" w:cs="Arial"/>
          <w:sz w:val="20"/>
          <w:szCs w:val="20"/>
        </w:rPr>
        <w:t xml:space="preserve">values </w:t>
      </w:r>
      <w:r w:rsidR="003B78DB">
        <w:rPr>
          <w:rFonts w:ascii="Arial" w:hAnsi="Arial" w:cs="Arial"/>
          <w:sz w:val="20"/>
          <w:szCs w:val="20"/>
        </w:rPr>
        <w:t>greater than</w:t>
      </w:r>
      <w:r w:rsidRPr="0027769C">
        <w:rPr>
          <w:rFonts w:ascii="Arial" w:hAnsi="Arial" w:cs="Arial"/>
          <w:sz w:val="20"/>
          <w:szCs w:val="20"/>
        </w:rPr>
        <w:t xml:space="preserve"> .05, and the </w:t>
      </w:r>
      <w:r w:rsidR="00FC01EF">
        <w:rPr>
          <w:rFonts w:ascii="Arial" w:hAnsi="Arial" w:cs="Arial"/>
          <w:sz w:val="20"/>
          <w:szCs w:val="20"/>
        </w:rPr>
        <w:t xml:space="preserve">cointegration test of </w:t>
      </w:r>
      <w:r w:rsidRPr="0027769C">
        <w:rPr>
          <w:rFonts w:ascii="Arial" w:hAnsi="Arial" w:cs="Arial"/>
          <w:sz w:val="20"/>
          <w:szCs w:val="20"/>
        </w:rPr>
        <w:t xml:space="preserve">Kao (p = .12) </w:t>
      </w:r>
      <w:r w:rsidR="00EB0A54">
        <w:rPr>
          <w:rFonts w:ascii="Arial" w:hAnsi="Arial" w:cs="Arial"/>
          <w:sz w:val="20"/>
          <w:szCs w:val="20"/>
        </w:rPr>
        <w:t xml:space="preserve">also </w:t>
      </w:r>
      <w:r w:rsidRPr="0027769C">
        <w:rPr>
          <w:rFonts w:ascii="Arial" w:hAnsi="Arial" w:cs="Arial"/>
          <w:sz w:val="20"/>
          <w:szCs w:val="20"/>
        </w:rPr>
        <w:t>fails to reject the null</w:t>
      </w:r>
      <w:r w:rsidR="00FC01EF">
        <w:rPr>
          <w:rFonts w:ascii="Arial" w:hAnsi="Arial" w:cs="Arial"/>
          <w:sz w:val="20"/>
          <w:szCs w:val="20"/>
        </w:rPr>
        <w:t xml:space="preserve"> hypothesis</w:t>
      </w:r>
      <w:r w:rsidRPr="0027769C">
        <w:rPr>
          <w:rFonts w:ascii="Arial" w:hAnsi="Arial" w:cs="Arial"/>
          <w:sz w:val="20"/>
          <w:szCs w:val="20"/>
        </w:rPr>
        <w:t xml:space="preserve"> of no cointegration (</w:t>
      </w:r>
      <w:proofErr w:type="spellStart"/>
      <w:r w:rsidRPr="0027769C">
        <w:rPr>
          <w:rFonts w:ascii="Arial" w:hAnsi="Arial" w:cs="Arial"/>
          <w:sz w:val="20"/>
          <w:szCs w:val="20"/>
        </w:rPr>
        <w:t>Pedroni</w:t>
      </w:r>
      <w:proofErr w:type="spellEnd"/>
      <w:r w:rsidRPr="0027769C">
        <w:rPr>
          <w:rFonts w:ascii="Arial" w:hAnsi="Arial" w:cs="Arial"/>
          <w:sz w:val="20"/>
          <w:szCs w:val="20"/>
        </w:rPr>
        <w:t>, 1999; Kao, 1999). This contrasts with Pao and Tsai (2011), who found cointegration, possibly due to our inclusion of TO or a different time frame (Pao &amp; Tsai, 2011). The absence of a stable long-run relationship suggests that short-term dynamics dominate in BRICS.</w:t>
      </w:r>
    </w:p>
    <w:p w14:paraId="122DE31E" w14:textId="2D4E17E1" w:rsidR="0062062F" w:rsidRPr="00DF7195" w:rsidRDefault="0062062F" w:rsidP="00DF7195">
      <w:pPr>
        <w:spacing w:after="0" w:line="480" w:lineRule="auto"/>
        <w:jc w:val="center"/>
        <w:rPr>
          <w:rFonts w:ascii="Arial" w:hAnsi="Arial" w:cs="Arial"/>
          <w:b/>
          <w:bCs/>
          <w:sz w:val="20"/>
          <w:szCs w:val="20"/>
        </w:rPr>
      </w:pPr>
      <w:r w:rsidRPr="00DF7195">
        <w:rPr>
          <w:rFonts w:ascii="Arial" w:hAnsi="Arial" w:cs="Arial"/>
          <w:b/>
          <w:bCs/>
          <w:sz w:val="20"/>
          <w:szCs w:val="20"/>
        </w:rPr>
        <w:t>Table 5</w:t>
      </w:r>
      <w:r w:rsidR="00A04DC0">
        <w:rPr>
          <w:rFonts w:ascii="Arial" w:hAnsi="Arial" w:cs="Arial"/>
          <w:b/>
          <w:bCs/>
          <w:sz w:val="20"/>
          <w:szCs w:val="20"/>
        </w:rPr>
        <w:t>.</w:t>
      </w:r>
      <w:r w:rsidRPr="00DF7195">
        <w:rPr>
          <w:rFonts w:ascii="Arial" w:hAnsi="Arial" w:cs="Arial"/>
          <w:b/>
          <w:bCs/>
          <w:sz w:val="20"/>
          <w:szCs w:val="20"/>
        </w:rPr>
        <w:t xml:space="preserve"> Panel Cointegration Analysis</w:t>
      </w:r>
    </w:p>
    <w:tbl>
      <w:tblPr>
        <w:tblW w:w="9398" w:type="dxa"/>
        <w:tblInd w:w="-38" w:type="dxa"/>
        <w:tblLayout w:type="fixed"/>
        <w:tblLook w:val="0000" w:firstRow="0" w:lastRow="0" w:firstColumn="0" w:lastColumn="0" w:noHBand="0" w:noVBand="0"/>
      </w:tblPr>
      <w:tblGrid>
        <w:gridCol w:w="1838"/>
        <w:gridCol w:w="990"/>
        <w:gridCol w:w="720"/>
        <w:gridCol w:w="1080"/>
        <w:gridCol w:w="810"/>
        <w:gridCol w:w="990"/>
        <w:gridCol w:w="900"/>
        <w:gridCol w:w="1080"/>
        <w:gridCol w:w="990"/>
      </w:tblGrid>
      <w:tr w:rsidR="0062062F" w:rsidRPr="0027769C" w14:paraId="5E6A385E" w14:textId="77777777" w:rsidTr="00BA0CC3">
        <w:trPr>
          <w:trHeight w:val="290"/>
        </w:trPr>
        <w:tc>
          <w:tcPr>
            <w:tcW w:w="1838" w:type="dxa"/>
            <w:vMerge w:val="restart"/>
            <w:tcBorders>
              <w:top w:val="single" w:sz="12" w:space="0" w:color="000000" w:themeColor="text1"/>
            </w:tcBorders>
            <w:vAlign w:val="center"/>
          </w:tcPr>
          <w:p w14:paraId="056EB5BE"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Test-Statistic</w:t>
            </w:r>
          </w:p>
        </w:tc>
        <w:tc>
          <w:tcPr>
            <w:tcW w:w="3600" w:type="dxa"/>
            <w:gridSpan w:val="4"/>
            <w:tcBorders>
              <w:top w:val="single" w:sz="12" w:space="0" w:color="000000" w:themeColor="text1"/>
              <w:bottom w:val="single" w:sz="12" w:space="0" w:color="000000" w:themeColor="text1"/>
            </w:tcBorders>
            <w:vAlign w:val="center"/>
          </w:tcPr>
          <w:p w14:paraId="033EFB37"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No Deterministic Trend</w:t>
            </w:r>
          </w:p>
        </w:tc>
        <w:tc>
          <w:tcPr>
            <w:tcW w:w="3960" w:type="dxa"/>
            <w:gridSpan w:val="4"/>
            <w:tcBorders>
              <w:top w:val="single" w:sz="12" w:space="0" w:color="000000" w:themeColor="text1"/>
              <w:bottom w:val="single" w:sz="12" w:space="0" w:color="000000" w:themeColor="text1"/>
            </w:tcBorders>
            <w:vAlign w:val="center"/>
          </w:tcPr>
          <w:p w14:paraId="22382182"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Deterministic Trend</w:t>
            </w:r>
          </w:p>
        </w:tc>
      </w:tr>
      <w:tr w:rsidR="0062062F" w:rsidRPr="0027769C" w14:paraId="5AC89A7A" w14:textId="77777777" w:rsidTr="00BA0CC3">
        <w:trPr>
          <w:trHeight w:val="290"/>
        </w:trPr>
        <w:tc>
          <w:tcPr>
            <w:tcW w:w="1838" w:type="dxa"/>
            <w:vMerge/>
            <w:tcBorders>
              <w:bottom w:val="single" w:sz="12" w:space="0" w:color="000000" w:themeColor="text1"/>
            </w:tcBorders>
            <w:vAlign w:val="center"/>
          </w:tcPr>
          <w:p w14:paraId="2C014B36"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p>
        </w:tc>
        <w:tc>
          <w:tcPr>
            <w:tcW w:w="990" w:type="dxa"/>
            <w:tcBorders>
              <w:top w:val="single" w:sz="12" w:space="0" w:color="000000" w:themeColor="text1"/>
              <w:bottom w:val="single" w:sz="12" w:space="0" w:color="000000" w:themeColor="text1"/>
            </w:tcBorders>
            <w:vAlign w:val="center"/>
          </w:tcPr>
          <w:p w14:paraId="48AF2105"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Statistic</w:t>
            </w:r>
          </w:p>
        </w:tc>
        <w:tc>
          <w:tcPr>
            <w:tcW w:w="720" w:type="dxa"/>
            <w:tcBorders>
              <w:top w:val="single" w:sz="12" w:space="0" w:color="000000" w:themeColor="text1"/>
              <w:bottom w:val="single" w:sz="12" w:space="0" w:color="000000" w:themeColor="text1"/>
            </w:tcBorders>
            <w:vAlign w:val="center"/>
          </w:tcPr>
          <w:p w14:paraId="0192A4D2" w14:textId="1DEDE367" w:rsidR="0062062F" w:rsidRPr="0027769C"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sidRPr="00652902">
              <w:rPr>
                <w:rFonts w:ascii="Arial" w:hAnsi="Arial" w:cs="Arial"/>
                <w:b/>
                <w:bCs/>
                <w:i/>
                <w:iCs/>
                <w:color w:val="000000"/>
                <w:kern w:val="0"/>
                <w:sz w:val="18"/>
                <w:szCs w:val="18"/>
              </w:rPr>
              <w:t>P</w:t>
            </w:r>
            <w:r>
              <w:rPr>
                <w:rFonts w:ascii="Arial" w:hAnsi="Arial" w:cs="Arial"/>
                <w:b/>
                <w:bCs/>
                <w:color w:val="000000"/>
                <w:kern w:val="0"/>
                <w:sz w:val="18"/>
                <w:szCs w:val="18"/>
              </w:rPr>
              <w:t xml:space="preserve"> value</w:t>
            </w:r>
          </w:p>
        </w:tc>
        <w:tc>
          <w:tcPr>
            <w:tcW w:w="1080" w:type="dxa"/>
            <w:tcBorders>
              <w:top w:val="single" w:sz="12" w:space="0" w:color="000000" w:themeColor="text1"/>
              <w:bottom w:val="single" w:sz="12" w:space="0" w:color="000000" w:themeColor="text1"/>
            </w:tcBorders>
            <w:vAlign w:val="center"/>
          </w:tcPr>
          <w:p w14:paraId="71C9C442"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Weighted Statistic</w:t>
            </w:r>
          </w:p>
        </w:tc>
        <w:tc>
          <w:tcPr>
            <w:tcW w:w="810" w:type="dxa"/>
            <w:tcBorders>
              <w:top w:val="single" w:sz="12" w:space="0" w:color="000000" w:themeColor="text1"/>
              <w:bottom w:val="single" w:sz="12" w:space="0" w:color="000000" w:themeColor="text1"/>
            </w:tcBorders>
            <w:vAlign w:val="center"/>
          </w:tcPr>
          <w:p w14:paraId="647B0C1D" w14:textId="17695339" w:rsidR="0062062F" w:rsidRPr="0027769C"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sidRPr="00652902">
              <w:rPr>
                <w:rFonts w:ascii="Arial" w:hAnsi="Arial" w:cs="Arial"/>
                <w:b/>
                <w:bCs/>
                <w:i/>
                <w:iCs/>
                <w:color w:val="000000"/>
                <w:kern w:val="0"/>
                <w:sz w:val="18"/>
                <w:szCs w:val="18"/>
              </w:rPr>
              <w:t>P</w:t>
            </w:r>
            <w:r>
              <w:rPr>
                <w:rFonts w:ascii="Arial" w:hAnsi="Arial" w:cs="Arial"/>
                <w:b/>
                <w:bCs/>
                <w:color w:val="000000"/>
                <w:kern w:val="0"/>
                <w:sz w:val="18"/>
                <w:szCs w:val="18"/>
              </w:rPr>
              <w:t xml:space="preserve"> value</w:t>
            </w:r>
          </w:p>
        </w:tc>
        <w:tc>
          <w:tcPr>
            <w:tcW w:w="990" w:type="dxa"/>
            <w:tcBorders>
              <w:top w:val="single" w:sz="12" w:space="0" w:color="000000" w:themeColor="text1"/>
              <w:bottom w:val="single" w:sz="12" w:space="0" w:color="000000" w:themeColor="text1"/>
            </w:tcBorders>
            <w:vAlign w:val="center"/>
          </w:tcPr>
          <w:p w14:paraId="5F8CAEBE"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Statistic</w:t>
            </w:r>
          </w:p>
        </w:tc>
        <w:tc>
          <w:tcPr>
            <w:tcW w:w="900" w:type="dxa"/>
            <w:tcBorders>
              <w:top w:val="single" w:sz="12" w:space="0" w:color="000000" w:themeColor="text1"/>
              <w:bottom w:val="single" w:sz="12" w:space="0" w:color="000000" w:themeColor="text1"/>
            </w:tcBorders>
            <w:vAlign w:val="center"/>
          </w:tcPr>
          <w:p w14:paraId="4A56CDE8" w14:textId="77777777" w:rsidR="00652902"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sidRPr="00652902">
              <w:rPr>
                <w:rFonts w:ascii="Arial" w:hAnsi="Arial" w:cs="Arial"/>
                <w:b/>
                <w:bCs/>
                <w:i/>
                <w:iCs/>
                <w:color w:val="000000"/>
                <w:kern w:val="0"/>
                <w:sz w:val="18"/>
                <w:szCs w:val="18"/>
              </w:rPr>
              <w:t>P</w:t>
            </w:r>
            <w:r>
              <w:rPr>
                <w:rFonts w:ascii="Arial" w:hAnsi="Arial" w:cs="Arial"/>
                <w:b/>
                <w:bCs/>
                <w:color w:val="000000"/>
                <w:kern w:val="0"/>
                <w:sz w:val="18"/>
                <w:szCs w:val="18"/>
              </w:rPr>
              <w:t xml:space="preserve"> </w:t>
            </w:r>
          </w:p>
          <w:p w14:paraId="331892AE" w14:textId="1434D833" w:rsidR="0062062F" w:rsidRPr="0027769C"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Pr>
                <w:rFonts w:ascii="Arial" w:hAnsi="Arial" w:cs="Arial"/>
                <w:b/>
                <w:bCs/>
                <w:color w:val="000000"/>
                <w:kern w:val="0"/>
                <w:sz w:val="18"/>
                <w:szCs w:val="18"/>
              </w:rPr>
              <w:t>value</w:t>
            </w:r>
          </w:p>
        </w:tc>
        <w:tc>
          <w:tcPr>
            <w:tcW w:w="1080" w:type="dxa"/>
            <w:tcBorders>
              <w:top w:val="single" w:sz="12" w:space="0" w:color="000000" w:themeColor="text1"/>
              <w:bottom w:val="single" w:sz="12" w:space="0" w:color="000000" w:themeColor="text1"/>
            </w:tcBorders>
            <w:vAlign w:val="center"/>
          </w:tcPr>
          <w:p w14:paraId="50BFE704" w14:textId="77777777" w:rsidR="0062062F" w:rsidRPr="0027769C" w:rsidRDefault="0062062F" w:rsidP="008F5BD4">
            <w:pPr>
              <w:autoSpaceDE w:val="0"/>
              <w:autoSpaceDN w:val="0"/>
              <w:adjustRightInd w:val="0"/>
              <w:spacing w:after="0" w:line="240" w:lineRule="auto"/>
              <w:jc w:val="center"/>
              <w:rPr>
                <w:rFonts w:ascii="Arial" w:hAnsi="Arial" w:cs="Arial"/>
                <w:b/>
                <w:bCs/>
                <w:color w:val="000000"/>
                <w:kern w:val="0"/>
                <w:sz w:val="18"/>
                <w:szCs w:val="18"/>
              </w:rPr>
            </w:pPr>
            <w:r w:rsidRPr="0027769C">
              <w:rPr>
                <w:rFonts w:ascii="Arial" w:hAnsi="Arial" w:cs="Arial"/>
                <w:b/>
                <w:bCs/>
                <w:color w:val="000000"/>
                <w:kern w:val="0"/>
                <w:sz w:val="18"/>
                <w:szCs w:val="18"/>
              </w:rPr>
              <w:t>Weighted Statistic</w:t>
            </w:r>
          </w:p>
        </w:tc>
        <w:tc>
          <w:tcPr>
            <w:tcW w:w="990" w:type="dxa"/>
            <w:tcBorders>
              <w:top w:val="single" w:sz="12" w:space="0" w:color="000000" w:themeColor="text1"/>
              <w:bottom w:val="single" w:sz="12" w:space="0" w:color="000000" w:themeColor="text1"/>
            </w:tcBorders>
            <w:vAlign w:val="center"/>
          </w:tcPr>
          <w:p w14:paraId="15433A50" w14:textId="77777777" w:rsidR="00652902"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sidRPr="00652902">
              <w:rPr>
                <w:rFonts w:ascii="Arial" w:hAnsi="Arial" w:cs="Arial"/>
                <w:b/>
                <w:bCs/>
                <w:i/>
                <w:iCs/>
                <w:color w:val="000000"/>
                <w:kern w:val="0"/>
                <w:sz w:val="18"/>
                <w:szCs w:val="18"/>
              </w:rPr>
              <w:t>P</w:t>
            </w:r>
            <w:r>
              <w:rPr>
                <w:rFonts w:ascii="Arial" w:hAnsi="Arial" w:cs="Arial"/>
                <w:b/>
                <w:bCs/>
                <w:color w:val="000000"/>
                <w:kern w:val="0"/>
                <w:sz w:val="18"/>
                <w:szCs w:val="18"/>
              </w:rPr>
              <w:t xml:space="preserve"> </w:t>
            </w:r>
          </w:p>
          <w:p w14:paraId="6D0E5B11" w14:textId="1DEFD821" w:rsidR="0062062F" w:rsidRPr="0027769C" w:rsidRDefault="00652902" w:rsidP="008F5BD4">
            <w:pPr>
              <w:autoSpaceDE w:val="0"/>
              <w:autoSpaceDN w:val="0"/>
              <w:adjustRightInd w:val="0"/>
              <w:spacing w:after="0" w:line="240" w:lineRule="auto"/>
              <w:jc w:val="center"/>
              <w:rPr>
                <w:rFonts w:ascii="Arial" w:hAnsi="Arial" w:cs="Arial"/>
                <w:b/>
                <w:bCs/>
                <w:color w:val="000000"/>
                <w:kern w:val="0"/>
                <w:sz w:val="18"/>
                <w:szCs w:val="18"/>
              </w:rPr>
            </w:pPr>
            <w:r>
              <w:rPr>
                <w:rFonts w:ascii="Arial" w:hAnsi="Arial" w:cs="Arial"/>
                <w:b/>
                <w:bCs/>
                <w:color w:val="000000"/>
                <w:kern w:val="0"/>
                <w:sz w:val="18"/>
                <w:szCs w:val="18"/>
              </w:rPr>
              <w:t>value</w:t>
            </w:r>
          </w:p>
        </w:tc>
      </w:tr>
      <w:tr w:rsidR="0062062F" w:rsidRPr="0027769C" w14:paraId="5F221237" w14:textId="77777777" w:rsidTr="008F5BD4">
        <w:trPr>
          <w:trHeight w:val="290"/>
        </w:trPr>
        <w:tc>
          <w:tcPr>
            <w:tcW w:w="9398" w:type="dxa"/>
            <w:gridSpan w:val="9"/>
            <w:tcBorders>
              <w:top w:val="single" w:sz="12" w:space="0" w:color="000000" w:themeColor="text1"/>
              <w:bottom w:val="single" w:sz="12" w:space="0" w:color="000000" w:themeColor="text1"/>
            </w:tcBorders>
            <w:vAlign w:val="center"/>
          </w:tcPr>
          <w:p w14:paraId="5CDB2B89" w14:textId="77777777" w:rsidR="0062062F" w:rsidRPr="0027769C" w:rsidRDefault="0062062F" w:rsidP="008F5BD4">
            <w:pPr>
              <w:autoSpaceDE w:val="0"/>
              <w:autoSpaceDN w:val="0"/>
              <w:adjustRightInd w:val="0"/>
              <w:spacing w:after="0" w:line="240" w:lineRule="auto"/>
              <w:jc w:val="center"/>
              <w:rPr>
                <w:rFonts w:ascii="Arial" w:hAnsi="Arial" w:cs="Arial"/>
                <w:b/>
                <w:bCs/>
                <w:i/>
                <w:iCs/>
                <w:color w:val="000000"/>
                <w:kern w:val="0"/>
                <w:sz w:val="18"/>
                <w:szCs w:val="18"/>
              </w:rPr>
            </w:pPr>
            <w:r w:rsidRPr="0027769C">
              <w:rPr>
                <w:rFonts w:ascii="Arial" w:hAnsi="Arial" w:cs="Arial"/>
                <w:b/>
                <w:bCs/>
                <w:i/>
                <w:iCs/>
                <w:color w:val="000000"/>
                <w:kern w:val="0"/>
                <w:sz w:val="18"/>
                <w:szCs w:val="18"/>
              </w:rPr>
              <w:t>Panel Cointegration Statistics (Within-Dimension)</w:t>
            </w:r>
          </w:p>
        </w:tc>
      </w:tr>
      <w:tr w:rsidR="0062062F" w:rsidRPr="0027769C" w14:paraId="04EC5345" w14:textId="77777777" w:rsidTr="00BA0CC3">
        <w:trPr>
          <w:trHeight w:val="290"/>
        </w:trPr>
        <w:tc>
          <w:tcPr>
            <w:tcW w:w="1838" w:type="dxa"/>
            <w:tcBorders>
              <w:top w:val="single" w:sz="12" w:space="0" w:color="000000" w:themeColor="text1"/>
            </w:tcBorders>
            <w:vAlign w:val="center"/>
          </w:tcPr>
          <w:p w14:paraId="3921B3F4"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Panel v-Statistic</w:t>
            </w:r>
          </w:p>
        </w:tc>
        <w:tc>
          <w:tcPr>
            <w:tcW w:w="990" w:type="dxa"/>
            <w:tcBorders>
              <w:top w:val="single" w:sz="12" w:space="0" w:color="000000" w:themeColor="text1"/>
            </w:tcBorders>
            <w:vAlign w:val="center"/>
          </w:tcPr>
          <w:p w14:paraId="5D0167AA" w14:textId="4E046B6A"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1.1</w:t>
            </w:r>
            <w:r w:rsidR="00EF4BDB">
              <w:rPr>
                <w:rFonts w:ascii="Arial" w:hAnsi="Arial" w:cs="Arial"/>
                <w:color w:val="000000"/>
                <w:kern w:val="0"/>
                <w:sz w:val="18"/>
                <w:szCs w:val="18"/>
              </w:rPr>
              <w:t>1</w:t>
            </w:r>
          </w:p>
        </w:tc>
        <w:tc>
          <w:tcPr>
            <w:tcW w:w="720" w:type="dxa"/>
            <w:tcBorders>
              <w:top w:val="single" w:sz="12" w:space="0" w:color="000000" w:themeColor="text1"/>
            </w:tcBorders>
            <w:vAlign w:val="center"/>
          </w:tcPr>
          <w:p w14:paraId="19F2BE4D" w14:textId="4E747FB0"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w:t>
            </w:r>
            <w:r w:rsidR="00EF4BDB">
              <w:rPr>
                <w:rFonts w:ascii="Arial" w:hAnsi="Arial" w:cs="Arial"/>
                <w:color w:val="000000"/>
                <w:kern w:val="0"/>
                <w:sz w:val="18"/>
                <w:szCs w:val="18"/>
              </w:rPr>
              <w:t>4</w:t>
            </w:r>
          </w:p>
        </w:tc>
        <w:tc>
          <w:tcPr>
            <w:tcW w:w="1080" w:type="dxa"/>
            <w:tcBorders>
              <w:top w:val="single" w:sz="12" w:space="0" w:color="000000" w:themeColor="text1"/>
            </w:tcBorders>
            <w:vAlign w:val="center"/>
          </w:tcPr>
          <w:p w14:paraId="107B45C6" w14:textId="665373DA"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1.23</w:t>
            </w:r>
          </w:p>
        </w:tc>
        <w:tc>
          <w:tcPr>
            <w:tcW w:w="810" w:type="dxa"/>
            <w:tcBorders>
              <w:top w:val="single" w:sz="12" w:space="0" w:color="000000" w:themeColor="text1"/>
            </w:tcBorders>
            <w:vAlign w:val="center"/>
          </w:tcPr>
          <w:p w14:paraId="64308070" w14:textId="2698B96C"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w:t>
            </w:r>
            <w:r w:rsidR="00EF4BDB">
              <w:rPr>
                <w:rFonts w:ascii="Arial" w:hAnsi="Arial" w:cs="Arial"/>
                <w:color w:val="000000"/>
                <w:kern w:val="0"/>
                <w:sz w:val="18"/>
                <w:szCs w:val="18"/>
              </w:rPr>
              <w:t>1</w:t>
            </w:r>
          </w:p>
        </w:tc>
        <w:tc>
          <w:tcPr>
            <w:tcW w:w="990" w:type="dxa"/>
            <w:tcBorders>
              <w:top w:val="single" w:sz="12" w:space="0" w:color="000000" w:themeColor="text1"/>
            </w:tcBorders>
            <w:vAlign w:val="center"/>
          </w:tcPr>
          <w:p w14:paraId="33BC3BC7" w14:textId="436AC3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1.4</w:t>
            </w:r>
            <w:r w:rsidR="00EF4BDB">
              <w:rPr>
                <w:rFonts w:ascii="Arial" w:hAnsi="Arial" w:cs="Arial"/>
                <w:color w:val="000000"/>
                <w:kern w:val="0"/>
                <w:sz w:val="18"/>
                <w:szCs w:val="18"/>
              </w:rPr>
              <w:t>7</w:t>
            </w:r>
          </w:p>
        </w:tc>
        <w:tc>
          <w:tcPr>
            <w:tcW w:w="900" w:type="dxa"/>
            <w:tcBorders>
              <w:top w:val="single" w:sz="12" w:space="0" w:color="000000" w:themeColor="text1"/>
            </w:tcBorders>
            <w:vAlign w:val="center"/>
          </w:tcPr>
          <w:p w14:paraId="574E1B22" w14:textId="4C0E382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.07</w:t>
            </w:r>
            <w:r w:rsidR="00EE6868" w:rsidRPr="00EE6868">
              <w:rPr>
                <w:rFonts w:ascii="Arial" w:hAnsi="Arial" w:cs="Arial"/>
                <w:color w:val="000000"/>
                <w:kern w:val="0"/>
                <w:sz w:val="18"/>
                <w:szCs w:val="18"/>
                <w:vertAlign w:val="superscript"/>
              </w:rPr>
              <w:t>a</w:t>
            </w:r>
          </w:p>
        </w:tc>
        <w:tc>
          <w:tcPr>
            <w:tcW w:w="1080" w:type="dxa"/>
            <w:tcBorders>
              <w:top w:val="single" w:sz="12" w:space="0" w:color="000000" w:themeColor="text1"/>
            </w:tcBorders>
            <w:vAlign w:val="center"/>
          </w:tcPr>
          <w:p w14:paraId="6A73B905" w14:textId="414F855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1.41</w:t>
            </w:r>
          </w:p>
        </w:tc>
        <w:tc>
          <w:tcPr>
            <w:tcW w:w="990" w:type="dxa"/>
            <w:tcBorders>
              <w:top w:val="single" w:sz="12" w:space="0" w:color="000000" w:themeColor="text1"/>
            </w:tcBorders>
            <w:vAlign w:val="center"/>
          </w:tcPr>
          <w:p w14:paraId="748DF491" w14:textId="588D1ACA"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w:t>
            </w:r>
            <w:r w:rsidR="00EF4BDB">
              <w:rPr>
                <w:rFonts w:ascii="Arial" w:hAnsi="Arial" w:cs="Arial"/>
                <w:color w:val="000000"/>
                <w:kern w:val="0"/>
                <w:sz w:val="18"/>
                <w:szCs w:val="18"/>
              </w:rPr>
              <w:t>8</w:t>
            </w:r>
            <w:r w:rsidR="00EE6868" w:rsidRPr="00EE6868">
              <w:rPr>
                <w:rFonts w:ascii="Arial" w:hAnsi="Arial" w:cs="Arial"/>
                <w:color w:val="000000"/>
                <w:kern w:val="0"/>
                <w:sz w:val="18"/>
                <w:szCs w:val="18"/>
                <w:vertAlign w:val="superscript"/>
              </w:rPr>
              <w:t>a</w:t>
            </w:r>
          </w:p>
        </w:tc>
      </w:tr>
      <w:tr w:rsidR="0062062F" w:rsidRPr="0027769C" w14:paraId="46463E05" w14:textId="77777777" w:rsidTr="00BA0CC3">
        <w:trPr>
          <w:trHeight w:val="290"/>
        </w:trPr>
        <w:tc>
          <w:tcPr>
            <w:tcW w:w="1838" w:type="dxa"/>
            <w:vAlign w:val="center"/>
          </w:tcPr>
          <w:p w14:paraId="79432374"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Panel rho-Statistic</w:t>
            </w:r>
          </w:p>
        </w:tc>
        <w:tc>
          <w:tcPr>
            <w:tcW w:w="990" w:type="dxa"/>
            <w:vAlign w:val="center"/>
          </w:tcPr>
          <w:p w14:paraId="1FB40B7C" w14:textId="18BBF3F4"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0.3</w:t>
            </w:r>
            <w:r w:rsidR="007B141E">
              <w:rPr>
                <w:rFonts w:ascii="Arial" w:hAnsi="Arial" w:cs="Arial"/>
                <w:color w:val="000000"/>
                <w:kern w:val="0"/>
                <w:sz w:val="18"/>
                <w:szCs w:val="18"/>
              </w:rPr>
              <w:t>1</w:t>
            </w:r>
          </w:p>
        </w:tc>
        <w:tc>
          <w:tcPr>
            <w:tcW w:w="720" w:type="dxa"/>
            <w:vAlign w:val="center"/>
          </w:tcPr>
          <w:p w14:paraId="59294EB7" w14:textId="7346F9BE"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.62</w:t>
            </w:r>
          </w:p>
        </w:tc>
        <w:tc>
          <w:tcPr>
            <w:tcW w:w="1080" w:type="dxa"/>
            <w:vAlign w:val="center"/>
          </w:tcPr>
          <w:p w14:paraId="20BDA4F0" w14:textId="588C982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0.3</w:t>
            </w:r>
            <w:r w:rsidR="007B141E">
              <w:rPr>
                <w:rFonts w:ascii="Arial" w:hAnsi="Arial" w:cs="Arial"/>
                <w:color w:val="000000"/>
                <w:kern w:val="0"/>
                <w:sz w:val="18"/>
                <w:szCs w:val="18"/>
              </w:rPr>
              <w:t>3</w:t>
            </w:r>
          </w:p>
        </w:tc>
        <w:tc>
          <w:tcPr>
            <w:tcW w:w="810" w:type="dxa"/>
            <w:vAlign w:val="center"/>
          </w:tcPr>
          <w:p w14:paraId="266D5897" w14:textId="7C5E97A4"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7B141E">
              <w:rPr>
                <w:rFonts w:ascii="Arial" w:hAnsi="Arial" w:cs="Arial"/>
                <w:color w:val="000000"/>
                <w:kern w:val="0"/>
                <w:sz w:val="18"/>
                <w:szCs w:val="18"/>
              </w:rPr>
              <w:t>3</w:t>
            </w:r>
          </w:p>
        </w:tc>
        <w:tc>
          <w:tcPr>
            <w:tcW w:w="990" w:type="dxa"/>
            <w:vAlign w:val="center"/>
          </w:tcPr>
          <w:p w14:paraId="4BEC64AF" w14:textId="238F4D34"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0.37</w:t>
            </w:r>
          </w:p>
        </w:tc>
        <w:tc>
          <w:tcPr>
            <w:tcW w:w="900" w:type="dxa"/>
            <w:vAlign w:val="center"/>
          </w:tcPr>
          <w:p w14:paraId="46DF6085" w14:textId="445DAA48"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A848C0">
              <w:rPr>
                <w:rFonts w:ascii="Arial" w:hAnsi="Arial" w:cs="Arial"/>
                <w:color w:val="000000"/>
                <w:kern w:val="0"/>
                <w:sz w:val="18"/>
                <w:szCs w:val="18"/>
              </w:rPr>
              <w:t>5</w:t>
            </w:r>
          </w:p>
        </w:tc>
        <w:tc>
          <w:tcPr>
            <w:tcW w:w="1080" w:type="dxa"/>
            <w:vAlign w:val="center"/>
          </w:tcPr>
          <w:p w14:paraId="0286AB15" w14:textId="32BDFD02"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0.4</w:t>
            </w:r>
            <w:r w:rsidR="00FA351D">
              <w:rPr>
                <w:rFonts w:ascii="Arial" w:hAnsi="Arial" w:cs="Arial"/>
                <w:color w:val="000000"/>
                <w:kern w:val="0"/>
                <w:sz w:val="18"/>
                <w:szCs w:val="18"/>
              </w:rPr>
              <w:t>2</w:t>
            </w:r>
          </w:p>
        </w:tc>
        <w:tc>
          <w:tcPr>
            <w:tcW w:w="990" w:type="dxa"/>
            <w:vAlign w:val="center"/>
          </w:tcPr>
          <w:p w14:paraId="035DF32A" w14:textId="7756CB10"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.66</w:t>
            </w:r>
          </w:p>
        </w:tc>
      </w:tr>
      <w:tr w:rsidR="0062062F" w:rsidRPr="0027769C" w14:paraId="0C966F89" w14:textId="77777777" w:rsidTr="00BA0CC3">
        <w:trPr>
          <w:trHeight w:val="290"/>
        </w:trPr>
        <w:tc>
          <w:tcPr>
            <w:tcW w:w="1838" w:type="dxa"/>
            <w:vAlign w:val="center"/>
          </w:tcPr>
          <w:p w14:paraId="0FC61349"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lastRenderedPageBreak/>
              <w:t>Panel PP-Statistic</w:t>
            </w:r>
          </w:p>
        </w:tc>
        <w:tc>
          <w:tcPr>
            <w:tcW w:w="990" w:type="dxa"/>
            <w:vAlign w:val="center"/>
          </w:tcPr>
          <w:p w14:paraId="3CDE9B08" w14:textId="7D8AA1AB"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0.35</w:t>
            </w:r>
          </w:p>
        </w:tc>
        <w:tc>
          <w:tcPr>
            <w:tcW w:w="720" w:type="dxa"/>
            <w:vAlign w:val="center"/>
          </w:tcPr>
          <w:p w14:paraId="42EE4EA2" w14:textId="04E7E670"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7B141E">
              <w:rPr>
                <w:rFonts w:ascii="Arial" w:hAnsi="Arial" w:cs="Arial"/>
                <w:color w:val="000000"/>
                <w:kern w:val="0"/>
                <w:sz w:val="18"/>
                <w:szCs w:val="18"/>
              </w:rPr>
              <w:t>4</w:t>
            </w:r>
          </w:p>
        </w:tc>
        <w:tc>
          <w:tcPr>
            <w:tcW w:w="1080" w:type="dxa"/>
            <w:vAlign w:val="center"/>
          </w:tcPr>
          <w:p w14:paraId="4B4B76B1" w14:textId="3C56D785"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0.4</w:t>
            </w:r>
            <w:r w:rsidR="007B141E">
              <w:rPr>
                <w:rFonts w:ascii="Arial" w:hAnsi="Arial" w:cs="Arial"/>
                <w:color w:val="000000"/>
                <w:kern w:val="0"/>
                <w:sz w:val="18"/>
                <w:szCs w:val="18"/>
              </w:rPr>
              <w:t>7</w:t>
            </w:r>
          </w:p>
        </w:tc>
        <w:tc>
          <w:tcPr>
            <w:tcW w:w="810" w:type="dxa"/>
            <w:vAlign w:val="center"/>
          </w:tcPr>
          <w:p w14:paraId="291535F9" w14:textId="2D7A41D3"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.68</w:t>
            </w:r>
          </w:p>
        </w:tc>
        <w:tc>
          <w:tcPr>
            <w:tcW w:w="990" w:type="dxa"/>
            <w:vAlign w:val="center"/>
          </w:tcPr>
          <w:p w14:paraId="2DC46AD9" w14:textId="2E09FBEC"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0.2</w:t>
            </w:r>
            <w:r w:rsidR="00A848C0">
              <w:rPr>
                <w:rFonts w:ascii="Arial" w:hAnsi="Arial" w:cs="Arial"/>
                <w:color w:val="000000"/>
                <w:kern w:val="0"/>
                <w:sz w:val="18"/>
                <w:szCs w:val="18"/>
              </w:rPr>
              <w:t>7</w:t>
            </w:r>
          </w:p>
        </w:tc>
        <w:tc>
          <w:tcPr>
            <w:tcW w:w="900" w:type="dxa"/>
            <w:vAlign w:val="center"/>
          </w:tcPr>
          <w:p w14:paraId="6343D50E" w14:textId="585A574F"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A848C0">
              <w:rPr>
                <w:rFonts w:ascii="Arial" w:hAnsi="Arial" w:cs="Arial"/>
                <w:color w:val="000000"/>
                <w:kern w:val="0"/>
                <w:sz w:val="18"/>
                <w:szCs w:val="18"/>
              </w:rPr>
              <w:t>1</w:t>
            </w:r>
          </w:p>
        </w:tc>
        <w:tc>
          <w:tcPr>
            <w:tcW w:w="1080" w:type="dxa"/>
            <w:vAlign w:val="center"/>
          </w:tcPr>
          <w:p w14:paraId="3C516C34" w14:textId="3DA0085F"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0.40</w:t>
            </w:r>
          </w:p>
        </w:tc>
        <w:tc>
          <w:tcPr>
            <w:tcW w:w="990" w:type="dxa"/>
            <w:vAlign w:val="center"/>
          </w:tcPr>
          <w:p w14:paraId="1AB0D2DF" w14:textId="57B90CA9"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.6</w:t>
            </w:r>
            <w:r w:rsidR="00FA351D">
              <w:rPr>
                <w:rFonts w:ascii="Arial" w:hAnsi="Arial" w:cs="Arial"/>
                <w:color w:val="000000"/>
                <w:kern w:val="0"/>
                <w:sz w:val="18"/>
                <w:szCs w:val="18"/>
              </w:rPr>
              <w:t>6</w:t>
            </w:r>
          </w:p>
        </w:tc>
      </w:tr>
      <w:tr w:rsidR="0062062F" w:rsidRPr="0027769C" w14:paraId="1DBE54FF" w14:textId="77777777" w:rsidTr="00BA0CC3">
        <w:trPr>
          <w:trHeight w:val="290"/>
        </w:trPr>
        <w:tc>
          <w:tcPr>
            <w:tcW w:w="1838" w:type="dxa"/>
            <w:tcBorders>
              <w:bottom w:val="single" w:sz="12" w:space="0" w:color="000000" w:themeColor="text1"/>
            </w:tcBorders>
            <w:vAlign w:val="center"/>
          </w:tcPr>
          <w:p w14:paraId="024188EE"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Panel ADF-Statistic</w:t>
            </w:r>
          </w:p>
        </w:tc>
        <w:tc>
          <w:tcPr>
            <w:tcW w:w="990" w:type="dxa"/>
            <w:tcBorders>
              <w:bottom w:val="single" w:sz="12" w:space="0" w:color="000000" w:themeColor="text1"/>
            </w:tcBorders>
            <w:vAlign w:val="center"/>
          </w:tcPr>
          <w:p w14:paraId="272EC1BE" w14:textId="4A6908A5"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-0.05</w:t>
            </w:r>
          </w:p>
        </w:tc>
        <w:tc>
          <w:tcPr>
            <w:tcW w:w="720" w:type="dxa"/>
            <w:tcBorders>
              <w:bottom w:val="single" w:sz="12" w:space="0" w:color="000000" w:themeColor="text1"/>
            </w:tcBorders>
            <w:vAlign w:val="center"/>
          </w:tcPr>
          <w:p w14:paraId="47CB611B" w14:textId="4F800644"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.4</w:t>
            </w:r>
            <w:r w:rsidR="007B141E">
              <w:rPr>
                <w:rFonts w:ascii="Arial" w:hAnsi="Arial" w:cs="Arial"/>
                <w:color w:val="000000"/>
                <w:kern w:val="0"/>
                <w:sz w:val="18"/>
                <w:szCs w:val="18"/>
              </w:rPr>
              <w:t>8</w:t>
            </w:r>
          </w:p>
        </w:tc>
        <w:tc>
          <w:tcPr>
            <w:tcW w:w="1080" w:type="dxa"/>
            <w:tcBorders>
              <w:bottom w:val="single" w:sz="12" w:space="0" w:color="000000" w:themeColor="text1"/>
            </w:tcBorders>
            <w:vAlign w:val="center"/>
          </w:tcPr>
          <w:p w14:paraId="6059136F" w14:textId="4EBD0D9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-0.0</w:t>
            </w:r>
            <w:r w:rsidR="007B141E">
              <w:rPr>
                <w:rFonts w:ascii="Arial" w:hAnsi="Arial" w:cs="Arial"/>
                <w:color w:val="000000"/>
                <w:kern w:val="0"/>
                <w:sz w:val="18"/>
                <w:szCs w:val="18"/>
              </w:rPr>
              <w:t>3</w:t>
            </w:r>
          </w:p>
        </w:tc>
        <w:tc>
          <w:tcPr>
            <w:tcW w:w="810" w:type="dxa"/>
            <w:tcBorders>
              <w:bottom w:val="single" w:sz="12" w:space="0" w:color="000000" w:themeColor="text1"/>
            </w:tcBorders>
            <w:vAlign w:val="center"/>
          </w:tcPr>
          <w:p w14:paraId="544B863B" w14:textId="08FA80FE"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.49</w:t>
            </w:r>
          </w:p>
        </w:tc>
        <w:tc>
          <w:tcPr>
            <w:tcW w:w="990" w:type="dxa"/>
            <w:tcBorders>
              <w:bottom w:val="single" w:sz="12" w:space="0" w:color="000000" w:themeColor="text1"/>
            </w:tcBorders>
            <w:vAlign w:val="center"/>
          </w:tcPr>
          <w:p w14:paraId="70695767" w14:textId="6E128168"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-0.6</w:t>
            </w:r>
            <w:r w:rsidR="00A848C0">
              <w:rPr>
                <w:rFonts w:ascii="Arial" w:hAnsi="Arial" w:cs="Arial"/>
                <w:color w:val="000000"/>
                <w:kern w:val="0"/>
                <w:sz w:val="18"/>
                <w:szCs w:val="18"/>
              </w:rPr>
              <w:t>2</w:t>
            </w:r>
          </w:p>
        </w:tc>
        <w:tc>
          <w:tcPr>
            <w:tcW w:w="900" w:type="dxa"/>
            <w:tcBorders>
              <w:bottom w:val="single" w:sz="12" w:space="0" w:color="000000" w:themeColor="text1"/>
            </w:tcBorders>
            <w:vAlign w:val="center"/>
          </w:tcPr>
          <w:p w14:paraId="144AFFAF" w14:textId="1CD452A9"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.27</w:t>
            </w:r>
          </w:p>
        </w:tc>
        <w:tc>
          <w:tcPr>
            <w:tcW w:w="1080" w:type="dxa"/>
            <w:tcBorders>
              <w:bottom w:val="single" w:sz="12" w:space="0" w:color="000000" w:themeColor="text1"/>
            </w:tcBorders>
            <w:vAlign w:val="center"/>
          </w:tcPr>
          <w:p w14:paraId="1C3F9A64" w14:textId="73972873"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-0.65</w:t>
            </w:r>
          </w:p>
        </w:tc>
        <w:tc>
          <w:tcPr>
            <w:tcW w:w="990" w:type="dxa"/>
            <w:tcBorders>
              <w:bottom w:val="single" w:sz="12" w:space="0" w:color="000000" w:themeColor="text1"/>
            </w:tcBorders>
            <w:vAlign w:val="center"/>
          </w:tcPr>
          <w:p w14:paraId="4F12C28C" w14:textId="7127A64E"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.2</w:t>
            </w:r>
            <w:r w:rsidR="00FA351D">
              <w:rPr>
                <w:rFonts w:ascii="Arial" w:hAnsi="Arial" w:cs="Arial"/>
                <w:color w:val="000000"/>
                <w:kern w:val="0"/>
                <w:sz w:val="18"/>
                <w:szCs w:val="18"/>
              </w:rPr>
              <w:t>6</w:t>
            </w:r>
          </w:p>
        </w:tc>
      </w:tr>
      <w:tr w:rsidR="0062062F" w:rsidRPr="0027769C" w14:paraId="16023D3C" w14:textId="77777777" w:rsidTr="008F5BD4">
        <w:trPr>
          <w:trHeight w:val="290"/>
        </w:trPr>
        <w:tc>
          <w:tcPr>
            <w:tcW w:w="9398" w:type="dxa"/>
            <w:gridSpan w:val="9"/>
            <w:tcBorders>
              <w:top w:val="single" w:sz="12" w:space="0" w:color="000000" w:themeColor="text1"/>
              <w:bottom w:val="single" w:sz="12" w:space="0" w:color="000000" w:themeColor="text1"/>
            </w:tcBorders>
            <w:vAlign w:val="center"/>
          </w:tcPr>
          <w:p w14:paraId="29CF6FD6" w14:textId="77777777" w:rsidR="0062062F" w:rsidRPr="0027769C" w:rsidRDefault="0062062F" w:rsidP="008F5BD4">
            <w:pPr>
              <w:autoSpaceDE w:val="0"/>
              <w:autoSpaceDN w:val="0"/>
              <w:adjustRightInd w:val="0"/>
              <w:spacing w:after="0" w:line="240" w:lineRule="auto"/>
              <w:jc w:val="center"/>
              <w:rPr>
                <w:rFonts w:ascii="Arial" w:hAnsi="Arial" w:cs="Arial"/>
                <w:b/>
                <w:bCs/>
                <w:i/>
                <w:iCs/>
                <w:color w:val="000000"/>
                <w:kern w:val="0"/>
                <w:sz w:val="18"/>
                <w:szCs w:val="18"/>
              </w:rPr>
            </w:pPr>
            <w:r w:rsidRPr="0027769C">
              <w:rPr>
                <w:rFonts w:ascii="Arial" w:hAnsi="Arial" w:cs="Arial"/>
                <w:b/>
                <w:bCs/>
                <w:i/>
                <w:iCs/>
                <w:color w:val="000000"/>
                <w:kern w:val="0"/>
                <w:sz w:val="18"/>
                <w:szCs w:val="18"/>
              </w:rPr>
              <w:t>Group Mean Panel Cointegration Statistics (Between-Dimension)</w:t>
            </w:r>
          </w:p>
        </w:tc>
      </w:tr>
      <w:tr w:rsidR="0062062F" w:rsidRPr="0027769C" w14:paraId="39E1CFC3" w14:textId="77777777" w:rsidTr="00BA0CC3">
        <w:trPr>
          <w:trHeight w:val="290"/>
        </w:trPr>
        <w:tc>
          <w:tcPr>
            <w:tcW w:w="1838" w:type="dxa"/>
            <w:tcBorders>
              <w:top w:val="single" w:sz="12" w:space="0" w:color="000000" w:themeColor="text1"/>
            </w:tcBorders>
            <w:vAlign w:val="center"/>
          </w:tcPr>
          <w:p w14:paraId="6EF3EE20"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Group rho-Statistic</w:t>
            </w:r>
          </w:p>
        </w:tc>
        <w:tc>
          <w:tcPr>
            <w:tcW w:w="990" w:type="dxa"/>
            <w:tcBorders>
              <w:top w:val="single" w:sz="12" w:space="0" w:color="000000" w:themeColor="text1"/>
            </w:tcBorders>
            <w:vAlign w:val="center"/>
          </w:tcPr>
          <w:p w14:paraId="1F033ED5" w14:textId="0D1119C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1.07</w:t>
            </w:r>
          </w:p>
        </w:tc>
        <w:tc>
          <w:tcPr>
            <w:tcW w:w="720" w:type="dxa"/>
            <w:tcBorders>
              <w:top w:val="single" w:sz="12" w:space="0" w:color="000000" w:themeColor="text1"/>
            </w:tcBorders>
            <w:vAlign w:val="center"/>
          </w:tcPr>
          <w:p w14:paraId="5A8E38EF" w14:textId="468AB4E8"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.8</w:t>
            </w:r>
            <w:r w:rsidR="00A56C1B">
              <w:rPr>
                <w:rFonts w:ascii="Arial" w:hAnsi="Arial" w:cs="Arial"/>
                <w:color w:val="000000"/>
                <w:kern w:val="0"/>
                <w:sz w:val="18"/>
                <w:szCs w:val="18"/>
              </w:rPr>
              <w:t>6</w:t>
            </w:r>
          </w:p>
        </w:tc>
        <w:tc>
          <w:tcPr>
            <w:tcW w:w="1080" w:type="dxa"/>
            <w:tcBorders>
              <w:top w:val="single" w:sz="12" w:space="0" w:color="000000" w:themeColor="text1"/>
            </w:tcBorders>
            <w:vAlign w:val="center"/>
          </w:tcPr>
          <w:p w14:paraId="1D2B1493"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810" w:type="dxa"/>
            <w:tcBorders>
              <w:top w:val="single" w:sz="12" w:space="0" w:color="000000" w:themeColor="text1"/>
            </w:tcBorders>
            <w:vAlign w:val="center"/>
          </w:tcPr>
          <w:p w14:paraId="18C10686"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tcBorders>
              <w:top w:val="single" w:sz="12" w:space="0" w:color="000000" w:themeColor="text1"/>
            </w:tcBorders>
            <w:vAlign w:val="center"/>
          </w:tcPr>
          <w:p w14:paraId="40240238" w14:textId="44DB00AC"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1.27</w:t>
            </w:r>
          </w:p>
        </w:tc>
        <w:tc>
          <w:tcPr>
            <w:tcW w:w="900" w:type="dxa"/>
            <w:tcBorders>
              <w:top w:val="single" w:sz="12" w:space="0" w:color="000000" w:themeColor="text1"/>
            </w:tcBorders>
            <w:vAlign w:val="center"/>
          </w:tcPr>
          <w:p w14:paraId="4075F962" w14:textId="0511EF1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r w:rsidR="00A56C1B">
              <w:rPr>
                <w:rFonts w:ascii="Arial" w:hAnsi="Arial" w:cs="Arial"/>
                <w:color w:val="000000"/>
                <w:kern w:val="0"/>
                <w:sz w:val="18"/>
                <w:szCs w:val="18"/>
              </w:rPr>
              <w:t>90</w:t>
            </w:r>
          </w:p>
        </w:tc>
        <w:tc>
          <w:tcPr>
            <w:tcW w:w="1080" w:type="dxa"/>
            <w:tcBorders>
              <w:top w:val="single" w:sz="12" w:space="0" w:color="000000" w:themeColor="text1"/>
            </w:tcBorders>
            <w:vAlign w:val="center"/>
          </w:tcPr>
          <w:p w14:paraId="08ECF2AE"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tcBorders>
              <w:top w:val="single" w:sz="12" w:space="0" w:color="000000" w:themeColor="text1"/>
            </w:tcBorders>
            <w:vAlign w:val="center"/>
          </w:tcPr>
          <w:p w14:paraId="0526BB08"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r>
      <w:tr w:rsidR="0062062F" w:rsidRPr="0027769C" w14:paraId="5B2D40D3" w14:textId="77777777" w:rsidTr="00BA0CC3">
        <w:trPr>
          <w:trHeight w:val="290"/>
        </w:trPr>
        <w:tc>
          <w:tcPr>
            <w:tcW w:w="1838" w:type="dxa"/>
            <w:vAlign w:val="center"/>
          </w:tcPr>
          <w:p w14:paraId="26EC4BFA"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Group PP-Statistic</w:t>
            </w:r>
          </w:p>
        </w:tc>
        <w:tc>
          <w:tcPr>
            <w:tcW w:w="990" w:type="dxa"/>
            <w:vAlign w:val="center"/>
          </w:tcPr>
          <w:p w14:paraId="522B6B05" w14:textId="7403A32A"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1.0</w:t>
            </w:r>
            <w:r w:rsidR="00A56C1B">
              <w:rPr>
                <w:rFonts w:ascii="Arial" w:hAnsi="Arial" w:cs="Arial"/>
                <w:color w:val="000000"/>
                <w:kern w:val="0"/>
                <w:sz w:val="18"/>
                <w:szCs w:val="18"/>
              </w:rPr>
              <w:t>3</w:t>
            </w:r>
          </w:p>
        </w:tc>
        <w:tc>
          <w:tcPr>
            <w:tcW w:w="720" w:type="dxa"/>
            <w:vAlign w:val="center"/>
          </w:tcPr>
          <w:p w14:paraId="66B5774E" w14:textId="524AEFFD"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.8</w:t>
            </w:r>
            <w:r w:rsidR="00A56C1B">
              <w:rPr>
                <w:rFonts w:ascii="Arial" w:hAnsi="Arial" w:cs="Arial"/>
                <w:color w:val="000000"/>
                <w:kern w:val="0"/>
                <w:sz w:val="18"/>
                <w:szCs w:val="18"/>
              </w:rPr>
              <w:t>5</w:t>
            </w:r>
          </w:p>
        </w:tc>
        <w:tc>
          <w:tcPr>
            <w:tcW w:w="1080" w:type="dxa"/>
            <w:vAlign w:val="center"/>
          </w:tcPr>
          <w:p w14:paraId="5AAED908"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810" w:type="dxa"/>
            <w:vAlign w:val="center"/>
          </w:tcPr>
          <w:p w14:paraId="00C8DEC1"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vAlign w:val="center"/>
          </w:tcPr>
          <w:p w14:paraId="3516333C" w14:textId="01C27059"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0.9</w:t>
            </w:r>
            <w:r w:rsidR="00A56C1B">
              <w:rPr>
                <w:rFonts w:ascii="Arial" w:hAnsi="Arial" w:cs="Arial"/>
                <w:color w:val="000000"/>
                <w:kern w:val="0"/>
                <w:sz w:val="18"/>
                <w:szCs w:val="18"/>
              </w:rPr>
              <w:t>5</w:t>
            </w:r>
          </w:p>
        </w:tc>
        <w:tc>
          <w:tcPr>
            <w:tcW w:w="900" w:type="dxa"/>
            <w:vAlign w:val="center"/>
          </w:tcPr>
          <w:p w14:paraId="2FB84337" w14:textId="1C0DE175"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.8</w:t>
            </w:r>
            <w:r w:rsidR="00A56C1B">
              <w:rPr>
                <w:rFonts w:ascii="Arial" w:hAnsi="Arial" w:cs="Arial"/>
                <w:color w:val="000000"/>
                <w:kern w:val="0"/>
                <w:sz w:val="18"/>
                <w:szCs w:val="18"/>
              </w:rPr>
              <w:t>3</w:t>
            </w:r>
          </w:p>
        </w:tc>
        <w:tc>
          <w:tcPr>
            <w:tcW w:w="1080" w:type="dxa"/>
            <w:vAlign w:val="center"/>
          </w:tcPr>
          <w:p w14:paraId="4AF75FB9"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vAlign w:val="center"/>
          </w:tcPr>
          <w:p w14:paraId="0F200A06"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r>
      <w:tr w:rsidR="0062062F" w:rsidRPr="0027769C" w14:paraId="5C879203" w14:textId="77777777" w:rsidTr="00BA0CC3">
        <w:trPr>
          <w:trHeight w:val="290"/>
        </w:trPr>
        <w:tc>
          <w:tcPr>
            <w:tcW w:w="1838" w:type="dxa"/>
            <w:tcBorders>
              <w:bottom w:val="single" w:sz="12" w:space="0" w:color="000000" w:themeColor="text1"/>
            </w:tcBorders>
            <w:vAlign w:val="center"/>
          </w:tcPr>
          <w:p w14:paraId="721CC4C7"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Group ADF-Statistic</w:t>
            </w:r>
          </w:p>
        </w:tc>
        <w:tc>
          <w:tcPr>
            <w:tcW w:w="990" w:type="dxa"/>
            <w:tcBorders>
              <w:bottom w:val="single" w:sz="12" w:space="0" w:color="000000" w:themeColor="text1"/>
            </w:tcBorders>
            <w:vAlign w:val="center"/>
          </w:tcPr>
          <w:p w14:paraId="54B5F63C" w14:textId="4A978AA1"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0.02</w:t>
            </w:r>
          </w:p>
        </w:tc>
        <w:tc>
          <w:tcPr>
            <w:tcW w:w="720" w:type="dxa"/>
            <w:tcBorders>
              <w:bottom w:val="single" w:sz="12" w:space="0" w:color="000000" w:themeColor="text1"/>
            </w:tcBorders>
            <w:vAlign w:val="center"/>
          </w:tcPr>
          <w:p w14:paraId="63B44405" w14:textId="1FE5903C"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.5</w:t>
            </w:r>
            <w:r w:rsidR="00A56C1B">
              <w:rPr>
                <w:rFonts w:ascii="Arial" w:hAnsi="Arial" w:cs="Arial"/>
                <w:color w:val="000000"/>
                <w:kern w:val="0"/>
                <w:sz w:val="18"/>
                <w:szCs w:val="18"/>
              </w:rPr>
              <w:t>1</w:t>
            </w:r>
          </w:p>
        </w:tc>
        <w:tc>
          <w:tcPr>
            <w:tcW w:w="1080" w:type="dxa"/>
            <w:tcBorders>
              <w:bottom w:val="single" w:sz="12" w:space="0" w:color="000000" w:themeColor="text1"/>
            </w:tcBorders>
            <w:vAlign w:val="center"/>
          </w:tcPr>
          <w:p w14:paraId="15A2670F"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810" w:type="dxa"/>
            <w:tcBorders>
              <w:bottom w:val="single" w:sz="12" w:space="0" w:color="000000" w:themeColor="text1"/>
            </w:tcBorders>
            <w:vAlign w:val="center"/>
          </w:tcPr>
          <w:p w14:paraId="12586BDD"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tcBorders>
              <w:bottom w:val="single" w:sz="12" w:space="0" w:color="000000" w:themeColor="text1"/>
            </w:tcBorders>
            <w:vAlign w:val="center"/>
          </w:tcPr>
          <w:p w14:paraId="652EC6B7" w14:textId="1B5CC7E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-0.13</w:t>
            </w:r>
          </w:p>
        </w:tc>
        <w:tc>
          <w:tcPr>
            <w:tcW w:w="900" w:type="dxa"/>
            <w:tcBorders>
              <w:bottom w:val="single" w:sz="12" w:space="0" w:color="000000" w:themeColor="text1"/>
            </w:tcBorders>
            <w:vAlign w:val="center"/>
          </w:tcPr>
          <w:p w14:paraId="4E8A349E" w14:textId="5B8EFD66"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.4</w:t>
            </w:r>
            <w:r w:rsidR="00A56C1B">
              <w:rPr>
                <w:rFonts w:ascii="Arial" w:hAnsi="Arial" w:cs="Arial"/>
                <w:color w:val="000000"/>
                <w:kern w:val="0"/>
                <w:sz w:val="18"/>
                <w:szCs w:val="18"/>
              </w:rPr>
              <w:t>5</w:t>
            </w:r>
          </w:p>
        </w:tc>
        <w:tc>
          <w:tcPr>
            <w:tcW w:w="1080" w:type="dxa"/>
            <w:tcBorders>
              <w:bottom w:val="single" w:sz="12" w:space="0" w:color="000000" w:themeColor="text1"/>
            </w:tcBorders>
            <w:vAlign w:val="center"/>
          </w:tcPr>
          <w:p w14:paraId="27117EF2"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c>
          <w:tcPr>
            <w:tcW w:w="990" w:type="dxa"/>
            <w:tcBorders>
              <w:bottom w:val="single" w:sz="12" w:space="0" w:color="000000" w:themeColor="text1"/>
            </w:tcBorders>
            <w:vAlign w:val="center"/>
          </w:tcPr>
          <w:p w14:paraId="653FD2D1" w14:textId="77777777" w:rsidR="0062062F" w:rsidRPr="0027769C" w:rsidRDefault="0062062F" w:rsidP="008F5BD4">
            <w:pPr>
              <w:autoSpaceDE w:val="0"/>
              <w:autoSpaceDN w:val="0"/>
              <w:adjustRightInd w:val="0"/>
              <w:spacing w:after="0" w:line="240" w:lineRule="auto"/>
              <w:jc w:val="center"/>
              <w:rPr>
                <w:rFonts w:ascii="Arial" w:hAnsi="Arial" w:cs="Arial"/>
                <w:color w:val="000000"/>
                <w:kern w:val="0"/>
                <w:sz w:val="18"/>
                <w:szCs w:val="18"/>
              </w:rPr>
            </w:pPr>
            <w:r w:rsidRPr="0027769C">
              <w:rPr>
                <w:rFonts w:ascii="Arial" w:hAnsi="Arial" w:cs="Arial"/>
                <w:color w:val="000000"/>
                <w:kern w:val="0"/>
                <w:sz w:val="18"/>
                <w:szCs w:val="18"/>
              </w:rPr>
              <w:t>-</w:t>
            </w:r>
          </w:p>
        </w:tc>
      </w:tr>
    </w:tbl>
    <w:p w14:paraId="0D94FBB0" w14:textId="798AD75C" w:rsidR="00BA0CC3" w:rsidRPr="00BA0CC3" w:rsidRDefault="00BA0CC3" w:rsidP="00BA0CC3">
      <w:pPr>
        <w:spacing w:before="120" w:after="0" w:line="480" w:lineRule="auto"/>
        <w:jc w:val="both"/>
        <w:rPr>
          <w:rFonts w:ascii="Arial" w:hAnsi="Arial" w:cs="Arial"/>
          <w:i/>
          <w:iCs/>
          <w:sz w:val="20"/>
          <w:szCs w:val="20"/>
        </w:rPr>
      </w:pPr>
      <w:r w:rsidRPr="00DE2056">
        <w:rPr>
          <w:rFonts w:ascii="Arial" w:hAnsi="Arial" w:cs="Arial"/>
          <w:i/>
          <w:iCs/>
          <w:sz w:val="20"/>
          <w:szCs w:val="20"/>
        </w:rPr>
        <w:t>Note: ‘a’, ‘b’ and ‘c’ represent significance at 10%, 5% and 1% respectively.</w:t>
      </w:r>
      <w:r w:rsidR="00247BD1">
        <w:rPr>
          <w:rFonts w:ascii="Arial" w:hAnsi="Arial" w:cs="Arial"/>
          <w:i/>
          <w:iCs/>
          <w:sz w:val="20"/>
          <w:szCs w:val="20"/>
        </w:rPr>
        <w:t xml:space="preserve"> H</w:t>
      </w:r>
      <w:r w:rsidR="00247BD1" w:rsidRPr="00247BD1">
        <w:rPr>
          <w:rFonts w:ascii="Arial" w:hAnsi="Arial" w:cs="Arial"/>
          <w:i/>
          <w:iCs/>
          <w:sz w:val="20"/>
          <w:szCs w:val="20"/>
          <w:vertAlign w:val="subscript"/>
        </w:rPr>
        <w:t>0</w:t>
      </w:r>
      <w:r w:rsidR="00247BD1">
        <w:rPr>
          <w:rFonts w:ascii="Arial" w:hAnsi="Arial" w:cs="Arial"/>
          <w:i/>
          <w:iCs/>
          <w:sz w:val="20"/>
          <w:szCs w:val="20"/>
        </w:rPr>
        <w:t xml:space="preserve">: </w:t>
      </w:r>
      <w:r w:rsidR="001F5214">
        <w:rPr>
          <w:rFonts w:ascii="Arial" w:hAnsi="Arial" w:cs="Arial"/>
          <w:i/>
          <w:iCs/>
          <w:sz w:val="20"/>
          <w:szCs w:val="20"/>
        </w:rPr>
        <w:t>No cointegration</w:t>
      </w:r>
      <w:r w:rsidR="00247BD1">
        <w:rPr>
          <w:rFonts w:ascii="Arial" w:hAnsi="Arial" w:cs="Arial"/>
          <w:i/>
          <w:iCs/>
          <w:sz w:val="20"/>
          <w:szCs w:val="20"/>
        </w:rPr>
        <w:t>.</w:t>
      </w:r>
    </w:p>
    <w:p w14:paraId="150FA88C" w14:textId="4812A01B" w:rsidR="0062062F" w:rsidRPr="00DF7195" w:rsidRDefault="0062062F" w:rsidP="00BA0CC3">
      <w:pPr>
        <w:spacing w:before="120" w:after="0" w:line="480" w:lineRule="auto"/>
        <w:jc w:val="center"/>
        <w:rPr>
          <w:rFonts w:ascii="Arial" w:hAnsi="Arial" w:cs="Arial"/>
          <w:b/>
          <w:bCs/>
          <w:sz w:val="20"/>
          <w:szCs w:val="20"/>
        </w:rPr>
      </w:pPr>
      <w:r w:rsidRPr="00DF7195">
        <w:rPr>
          <w:rFonts w:ascii="Arial" w:hAnsi="Arial" w:cs="Arial"/>
          <w:b/>
          <w:bCs/>
          <w:sz w:val="20"/>
          <w:szCs w:val="20"/>
        </w:rPr>
        <w:t>Table 6</w:t>
      </w:r>
      <w:r w:rsidR="00B576A6">
        <w:rPr>
          <w:rFonts w:ascii="Arial" w:hAnsi="Arial" w:cs="Arial"/>
          <w:b/>
          <w:bCs/>
          <w:sz w:val="20"/>
          <w:szCs w:val="20"/>
        </w:rPr>
        <w:t>.</w:t>
      </w:r>
      <w:r w:rsidRPr="00DF7195">
        <w:rPr>
          <w:rFonts w:ascii="Arial" w:hAnsi="Arial" w:cs="Arial"/>
          <w:b/>
          <w:bCs/>
          <w:sz w:val="20"/>
          <w:szCs w:val="20"/>
        </w:rPr>
        <w:t xml:space="preserve"> Kao Test of Residual Cointegration</w:t>
      </w:r>
    </w:p>
    <w:tbl>
      <w:tblPr>
        <w:tblW w:w="5000" w:type="pct"/>
        <w:tblLook w:val="0000" w:firstRow="0" w:lastRow="0" w:firstColumn="0" w:lastColumn="0" w:noHBand="0" w:noVBand="0"/>
      </w:tblPr>
      <w:tblGrid>
        <w:gridCol w:w="3121"/>
        <w:gridCol w:w="3122"/>
        <w:gridCol w:w="3117"/>
      </w:tblGrid>
      <w:tr w:rsidR="0062062F" w:rsidRPr="000C3263" w14:paraId="651FC29D" w14:textId="77777777" w:rsidTr="008F5BD4">
        <w:trPr>
          <w:trHeight w:val="290"/>
        </w:trPr>
        <w:tc>
          <w:tcPr>
            <w:tcW w:w="1667" w:type="pct"/>
            <w:tcBorders>
              <w:top w:val="single" w:sz="12" w:space="0" w:color="000000" w:themeColor="text1"/>
              <w:bottom w:val="single" w:sz="12" w:space="0" w:color="000000" w:themeColor="text1"/>
            </w:tcBorders>
            <w:vAlign w:val="center"/>
          </w:tcPr>
          <w:p w14:paraId="14C1C4E0" w14:textId="77777777" w:rsidR="0062062F" w:rsidRPr="000C3263" w:rsidRDefault="0062062F" w:rsidP="008F5BD4">
            <w:pPr>
              <w:autoSpaceDE w:val="0"/>
              <w:autoSpaceDN w:val="0"/>
              <w:adjustRightInd w:val="0"/>
              <w:spacing w:after="0" w:line="240" w:lineRule="auto"/>
              <w:jc w:val="center"/>
              <w:rPr>
                <w:rFonts w:ascii="Arial" w:hAnsi="Arial" w:cs="Arial"/>
                <w:b/>
                <w:bCs/>
                <w:color w:val="000000"/>
                <w:kern w:val="0"/>
                <w:sz w:val="20"/>
                <w:szCs w:val="20"/>
              </w:rPr>
            </w:pPr>
            <w:r w:rsidRPr="000C3263">
              <w:rPr>
                <w:rFonts w:ascii="Arial" w:hAnsi="Arial" w:cs="Arial"/>
                <w:b/>
                <w:bCs/>
                <w:color w:val="000000"/>
                <w:kern w:val="0"/>
                <w:sz w:val="20"/>
                <w:szCs w:val="20"/>
              </w:rPr>
              <w:t>Model Specification</w:t>
            </w:r>
          </w:p>
        </w:tc>
        <w:tc>
          <w:tcPr>
            <w:tcW w:w="1668" w:type="pct"/>
            <w:tcBorders>
              <w:top w:val="single" w:sz="12" w:space="0" w:color="000000" w:themeColor="text1"/>
              <w:bottom w:val="single" w:sz="12" w:space="0" w:color="000000" w:themeColor="text1"/>
            </w:tcBorders>
            <w:vAlign w:val="center"/>
          </w:tcPr>
          <w:p w14:paraId="68AA79D3" w14:textId="77777777" w:rsidR="0062062F" w:rsidRPr="000C3263" w:rsidRDefault="0062062F" w:rsidP="008F5BD4">
            <w:pPr>
              <w:autoSpaceDE w:val="0"/>
              <w:autoSpaceDN w:val="0"/>
              <w:adjustRightInd w:val="0"/>
              <w:spacing w:after="0" w:line="240" w:lineRule="auto"/>
              <w:jc w:val="center"/>
              <w:rPr>
                <w:rFonts w:ascii="Arial" w:hAnsi="Arial" w:cs="Arial"/>
                <w:b/>
                <w:bCs/>
                <w:color w:val="000000"/>
                <w:kern w:val="0"/>
                <w:sz w:val="20"/>
                <w:szCs w:val="20"/>
              </w:rPr>
            </w:pPr>
            <w:r w:rsidRPr="000C3263">
              <w:rPr>
                <w:rFonts w:ascii="Arial" w:hAnsi="Arial" w:cs="Arial"/>
                <w:b/>
                <w:bCs/>
                <w:color w:val="000000"/>
                <w:kern w:val="0"/>
                <w:sz w:val="20"/>
                <w:szCs w:val="20"/>
              </w:rPr>
              <w:t>ADF t-Statistic</w:t>
            </w:r>
          </w:p>
        </w:tc>
        <w:tc>
          <w:tcPr>
            <w:tcW w:w="1665" w:type="pct"/>
            <w:tcBorders>
              <w:top w:val="single" w:sz="12" w:space="0" w:color="000000" w:themeColor="text1"/>
              <w:bottom w:val="single" w:sz="12" w:space="0" w:color="000000" w:themeColor="text1"/>
            </w:tcBorders>
            <w:vAlign w:val="center"/>
          </w:tcPr>
          <w:p w14:paraId="6F10732F" w14:textId="01818349" w:rsidR="0062062F" w:rsidRPr="000C3263" w:rsidRDefault="0082765A" w:rsidP="008F5BD4">
            <w:pPr>
              <w:autoSpaceDE w:val="0"/>
              <w:autoSpaceDN w:val="0"/>
              <w:adjustRightInd w:val="0"/>
              <w:spacing w:after="0" w:line="240" w:lineRule="auto"/>
              <w:jc w:val="center"/>
              <w:rPr>
                <w:rFonts w:ascii="Arial" w:hAnsi="Arial" w:cs="Arial"/>
                <w:b/>
                <w:bCs/>
                <w:color w:val="000000"/>
                <w:kern w:val="0"/>
                <w:sz w:val="20"/>
                <w:szCs w:val="20"/>
              </w:rPr>
            </w:pPr>
            <w:r w:rsidRPr="0082765A">
              <w:rPr>
                <w:rFonts w:ascii="Arial" w:hAnsi="Arial" w:cs="Arial"/>
                <w:b/>
                <w:bCs/>
                <w:i/>
                <w:iCs/>
                <w:color w:val="000000"/>
                <w:kern w:val="0"/>
                <w:sz w:val="20"/>
                <w:szCs w:val="20"/>
              </w:rPr>
              <w:t>P</w:t>
            </w:r>
            <w:r>
              <w:rPr>
                <w:rFonts w:ascii="Arial" w:hAnsi="Arial" w:cs="Arial"/>
                <w:b/>
                <w:bCs/>
                <w:color w:val="000000"/>
                <w:kern w:val="0"/>
                <w:sz w:val="20"/>
                <w:szCs w:val="20"/>
              </w:rPr>
              <w:t xml:space="preserve"> value</w:t>
            </w:r>
          </w:p>
        </w:tc>
      </w:tr>
      <w:tr w:rsidR="0062062F" w:rsidRPr="000C3263" w14:paraId="2E925806" w14:textId="77777777" w:rsidTr="008F5BD4">
        <w:trPr>
          <w:trHeight w:val="290"/>
        </w:trPr>
        <w:tc>
          <w:tcPr>
            <w:tcW w:w="1667" w:type="pct"/>
            <w:tcBorders>
              <w:top w:val="single" w:sz="12" w:space="0" w:color="000000" w:themeColor="text1"/>
              <w:bottom w:val="single" w:sz="12" w:space="0" w:color="000000" w:themeColor="text1"/>
            </w:tcBorders>
            <w:vAlign w:val="center"/>
          </w:tcPr>
          <w:p w14:paraId="0E79FAA6" w14:textId="77777777" w:rsidR="0062062F" w:rsidRPr="000C3263" w:rsidRDefault="0062062F" w:rsidP="008F5BD4">
            <w:pPr>
              <w:autoSpaceDE w:val="0"/>
              <w:autoSpaceDN w:val="0"/>
              <w:adjustRightInd w:val="0"/>
              <w:spacing w:after="0" w:line="240" w:lineRule="auto"/>
              <w:jc w:val="center"/>
              <w:rPr>
                <w:rFonts w:ascii="Arial" w:hAnsi="Arial" w:cs="Arial"/>
                <w:color w:val="000000"/>
                <w:kern w:val="0"/>
                <w:sz w:val="20"/>
                <w:szCs w:val="20"/>
              </w:rPr>
            </w:pPr>
            <w:r w:rsidRPr="000C3263">
              <w:rPr>
                <w:rFonts w:ascii="Arial" w:hAnsi="Arial" w:cs="Arial"/>
                <w:color w:val="000000"/>
                <w:kern w:val="0"/>
                <w:sz w:val="20"/>
                <w:szCs w:val="20"/>
              </w:rPr>
              <w:t>No deterministic trend</w:t>
            </w:r>
          </w:p>
        </w:tc>
        <w:tc>
          <w:tcPr>
            <w:tcW w:w="1668" w:type="pct"/>
            <w:tcBorders>
              <w:top w:val="single" w:sz="12" w:space="0" w:color="000000" w:themeColor="text1"/>
              <w:bottom w:val="single" w:sz="12" w:space="0" w:color="000000" w:themeColor="text1"/>
            </w:tcBorders>
            <w:vAlign w:val="center"/>
          </w:tcPr>
          <w:p w14:paraId="78915E36" w14:textId="78497EDE" w:rsidR="0062062F" w:rsidRPr="000C3263" w:rsidRDefault="0062062F" w:rsidP="008F5BD4">
            <w:pPr>
              <w:autoSpaceDE w:val="0"/>
              <w:autoSpaceDN w:val="0"/>
              <w:adjustRightInd w:val="0"/>
              <w:spacing w:after="0" w:line="240" w:lineRule="auto"/>
              <w:jc w:val="center"/>
              <w:rPr>
                <w:rFonts w:ascii="Arial" w:hAnsi="Arial" w:cs="Arial"/>
                <w:color w:val="000000"/>
                <w:kern w:val="0"/>
                <w:sz w:val="20"/>
                <w:szCs w:val="20"/>
              </w:rPr>
            </w:pPr>
            <w:r w:rsidRPr="000C3263">
              <w:rPr>
                <w:rFonts w:ascii="Arial" w:hAnsi="Arial" w:cs="Arial"/>
                <w:color w:val="000000"/>
                <w:kern w:val="0"/>
                <w:sz w:val="20"/>
                <w:szCs w:val="20"/>
              </w:rPr>
              <w:t>-1.1</w:t>
            </w:r>
            <w:r w:rsidR="00545D2F">
              <w:rPr>
                <w:rFonts w:ascii="Arial" w:hAnsi="Arial" w:cs="Arial"/>
                <w:color w:val="000000"/>
                <w:kern w:val="0"/>
                <w:sz w:val="20"/>
                <w:szCs w:val="20"/>
              </w:rPr>
              <w:t>6</w:t>
            </w:r>
          </w:p>
        </w:tc>
        <w:tc>
          <w:tcPr>
            <w:tcW w:w="1665" w:type="pct"/>
            <w:tcBorders>
              <w:top w:val="single" w:sz="12" w:space="0" w:color="000000" w:themeColor="text1"/>
              <w:bottom w:val="single" w:sz="12" w:space="0" w:color="000000" w:themeColor="text1"/>
            </w:tcBorders>
            <w:vAlign w:val="center"/>
          </w:tcPr>
          <w:p w14:paraId="7BD82863" w14:textId="36B5185B" w:rsidR="0062062F" w:rsidRPr="000C3263" w:rsidRDefault="0062062F" w:rsidP="008F5BD4">
            <w:pPr>
              <w:autoSpaceDE w:val="0"/>
              <w:autoSpaceDN w:val="0"/>
              <w:adjustRightInd w:val="0"/>
              <w:spacing w:after="0" w:line="240" w:lineRule="auto"/>
              <w:jc w:val="center"/>
              <w:rPr>
                <w:rFonts w:ascii="Arial" w:hAnsi="Arial" w:cs="Arial"/>
                <w:color w:val="000000"/>
                <w:kern w:val="0"/>
                <w:sz w:val="20"/>
                <w:szCs w:val="20"/>
              </w:rPr>
            </w:pPr>
            <w:r w:rsidRPr="000C3263">
              <w:rPr>
                <w:rFonts w:ascii="Arial" w:hAnsi="Arial" w:cs="Arial"/>
                <w:color w:val="000000"/>
                <w:kern w:val="0"/>
                <w:sz w:val="20"/>
                <w:szCs w:val="20"/>
              </w:rPr>
              <w:t>.12</w:t>
            </w:r>
          </w:p>
        </w:tc>
      </w:tr>
    </w:tbl>
    <w:p w14:paraId="4A2E4A54" w14:textId="5E74DE7B" w:rsidR="00247BD1" w:rsidRPr="00247BD1" w:rsidRDefault="00247BD1" w:rsidP="00247BD1">
      <w:pPr>
        <w:spacing w:before="120" w:after="0" w:line="480" w:lineRule="auto"/>
        <w:jc w:val="both"/>
        <w:rPr>
          <w:rFonts w:ascii="Arial" w:hAnsi="Arial" w:cs="Arial"/>
          <w:i/>
          <w:iCs/>
          <w:sz w:val="20"/>
          <w:szCs w:val="20"/>
        </w:rPr>
      </w:pPr>
      <w:r w:rsidRPr="00DE2056">
        <w:rPr>
          <w:rFonts w:ascii="Arial" w:hAnsi="Arial" w:cs="Arial"/>
          <w:i/>
          <w:iCs/>
          <w:sz w:val="20"/>
          <w:szCs w:val="20"/>
        </w:rPr>
        <w:t>Note: ‘a’, ‘b’ and ‘c’ represent significance at 10%, 5% and 1% respectively.</w:t>
      </w:r>
      <w:r>
        <w:rPr>
          <w:rFonts w:ascii="Arial" w:hAnsi="Arial" w:cs="Arial"/>
          <w:i/>
          <w:iCs/>
          <w:sz w:val="20"/>
          <w:szCs w:val="20"/>
        </w:rPr>
        <w:t xml:space="preserve"> H</w:t>
      </w:r>
      <w:r w:rsidRPr="00247BD1">
        <w:rPr>
          <w:rFonts w:ascii="Arial" w:hAnsi="Arial" w:cs="Arial"/>
          <w:i/>
          <w:iCs/>
          <w:sz w:val="20"/>
          <w:szCs w:val="20"/>
          <w:vertAlign w:val="subscript"/>
        </w:rPr>
        <w:t>0</w:t>
      </w:r>
      <w:r>
        <w:rPr>
          <w:rFonts w:ascii="Arial" w:hAnsi="Arial" w:cs="Arial"/>
          <w:i/>
          <w:iCs/>
          <w:sz w:val="20"/>
          <w:szCs w:val="20"/>
        </w:rPr>
        <w:t xml:space="preserve">: </w:t>
      </w:r>
      <w:r w:rsidR="001F5214">
        <w:rPr>
          <w:rFonts w:ascii="Arial" w:hAnsi="Arial" w:cs="Arial"/>
          <w:i/>
          <w:iCs/>
          <w:sz w:val="20"/>
          <w:szCs w:val="20"/>
        </w:rPr>
        <w:t>No cointegration</w:t>
      </w:r>
      <w:r>
        <w:rPr>
          <w:rFonts w:ascii="Arial" w:hAnsi="Arial" w:cs="Arial"/>
          <w:i/>
          <w:iCs/>
          <w:sz w:val="20"/>
          <w:szCs w:val="20"/>
        </w:rPr>
        <w:t>.</w:t>
      </w:r>
    </w:p>
    <w:p w14:paraId="3CD03079" w14:textId="131FE8AF" w:rsidR="0062062F" w:rsidRPr="00E6111F" w:rsidRDefault="0062062F" w:rsidP="00247BD1">
      <w:pPr>
        <w:spacing w:before="120" w:after="120" w:line="360" w:lineRule="auto"/>
        <w:rPr>
          <w:rFonts w:ascii="Arial" w:hAnsi="Arial" w:cs="Arial"/>
          <w:b/>
          <w:bCs/>
        </w:rPr>
      </w:pPr>
      <w:r w:rsidRPr="00E6111F">
        <w:rPr>
          <w:rFonts w:ascii="Arial" w:hAnsi="Arial" w:cs="Arial"/>
          <w:b/>
          <w:bCs/>
        </w:rPr>
        <w:t>5.5 Panel VAR Results</w:t>
      </w:r>
    </w:p>
    <w:p w14:paraId="19E063B5" w14:textId="61F114D3" w:rsidR="0062062F" w:rsidRPr="000C3263" w:rsidRDefault="0062062F" w:rsidP="000C3263">
      <w:pPr>
        <w:jc w:val="both"/>
        <w:rPr>
          <w:rFonts w:ascii="Arial" w:hAnsi="Arial" w:cs="Arial"/>
          <w:sz w:val="20"/>
          <w:szCs w:val="20"/>
        </w:rPr>
      </w:pPr>
      <w:r w:rsidRPr="000C3263">
        <w:rPr>
          <w:rFonts w:ascii="Arial" w:hAnsi="Arial" w:cs="Arial"/>
          <w:sz w:val="20"/>
          <w:szCs w:val="20"/>
        </w:rPr>
        <w:t xml:space="preserve">The panel VAR estimations in Table </w:t>
      </w:r>
      <w:r w:rsidR="004E289F">
        <w:rPr>
          <w:rFonts w:ascii="Arial" w:hAnsi="Arial" w:cs="Arial"/>
          <w:sz w:val="20"/>
          <w:szCs w:val="20"/>
        </w:rPr>
        <w:t>(</w:t>
      </w:r>
      <w:r w:rsidRPr="000C3263">
        <w:rPr>
          <w:rFonts w:ascii="Arial" w:hAnsi="Arial" w:cs="Arial"/>
          <w:sz w:val="20"/>
          <w:szCs w:val="20"/>
        </w:rPr>
        <w:t>7</w:t>
      </w:r>
      <w:r w:rsidR="004E289F">
        <w:rPr>
          <w:rFonts w:ascii="Arial" w:hAnsi="Arial" w:cs="Arial"/>
          <w:sz w:val="20"/>
          <w:szCs w:val="20"/>
        </w:rPr>
        <w:t>)</w:t>
      </w:r>
      <w:r w:rsidRPr="000C3263">
        <w:rPr>
          <w:rFonts w:ascii="Arial" w:hAnsi="Arial" w:cs="Arial"/>
          <w:sz w:val="20"/>
          <w:szCs w:val="20"/>
        </w:rPr>
        <w:t xml:space="preserve"> reveal distinct dynamics such as in Model 1 where CO</w:t>
      </w:r>
      <w:r w:rsidRPr="000C3263">
        <w:rPr>
          <w:rFonts w:ascii="Arial" w:hAnsi="Arial" w:cs="Arial"/>
          <w:sz w:val="20"/>
          <w:szCs w:val="20"/>
          <w:vertAlign w:val="subscript"/>
        </w:rPr>
        <w:t>2</w:t>
      </w:r>
      <w:r w:rsidRPr="000C3263">
        <w:rPr>
          <w:rFonts w:ascii="Arial" w:hAnsi="Arial" w:cs="Arial"/>
          <w:sz w:val="20"/>
          <w:szCs w:val="20"/>
        </w:rPr>
        <w:t xml:space="preserve"> is the dependent variable, the RE model is preferred (Hausman p = .86) in contra</w:t>
      </w:r>
      <w:r w:rsidR="00D31B28">
        <w:rPr>
          <w:rFonts w:ascii="Arial" w:hAnsi="Arial" w:cs="Arial"/>
          <w:sz w:val="20"/>
          <w:szCs w:val="20"/>
        </w:rPr>
        <w:t>ry</w:t>
      </w:r>
      <w:r w:rsidRPr="000C3263">
        <w:rPr>
          <w:rFonts w:ascii="Arial" w:hAnsi="Arial" w:cs="Arial"/>
          <w:sz w:val="20"/>
          <w:szCs w:val="20"/>
        </w:rPr>
        <w:t xml:space="preserve"> to the FE model thereby meaning that across the BRICS </w:t>
      </w:r>
      <w:r w:rsidR="00D31B28" w:rsidRPr="000C3263">
        <w:rPr>
          <w:rFonts w:ascii="Arial" w:hAnsi="Arial" w:cs="Arial"/>
          <w:sz w:val="20"/>
          <w:szCs w:val="20"/>
        </w:rPr>
        <w:t>nations</w:t>
      </w:r>
      <w:r w:rsidRPr="000C3263">
        <w:rPr>
          <w:rFonts w:ascii="Arial" w:hAnsi="Arial" w:cs="Arial"/>
          <w:sz w:val="20"/>
          <w:szCs w:val="20"/>
        </w:rPr>
        <w:t xml:space="preserve"> there exists heterogeneity. GDPPC (0.39), TO (1.03), and EU (1.03) positively affect CO</w:t>
      </w:r>
      <w:r w:rsidRPr="000C3263">
        <w:rPr>
          <w:rFonts w:ascii="Arial" w:hAnsi="Arial" w:cs="Arial"/>
          <w:sz w:val="20"/>
          <w:szCs w:val="20"/>
          <w:vertAlign w:val="subscript"/>
        </w:rPr>
        <w:t>2</w:t>
      </w:r>
      <w:r w:rsidRPr="000C3263">
        <w:rPr>
          <w:rFonts w:ascii="Arial" w:hAnsi="Arial" w:cs="Arial"/>
          <w:sz w:val="20"/>
          <w:szCs w:val="20"/>
        </w:rPr>
        <w:t xml:space="preserve"> emissions, indicating that growth and trade increase environmental degradation, with EU amplifying this effect (Love &amp; </w:t>
      </w:r>
      <w:proofErr w:type="spellStart"/>
      <w:r w:rsidRPr="000C3263">
        <w:rPr>
          <w:rFonts w:ascii="Arial" w:hAnsi="Arial" w:cs="Arial"/>
          <w:sz w:val="20"/>
          <w:szCs w:val="20"/>
        </w:rPr>
        <w:t>Zicchino</w:t>
      </w:r>
      <w:proofErr w:type="spellEnd"/>
      <w:r w:rsidRPr="000C3263">
        <w:rPr>
          <w:rFonts w:ascii="Arial" w:hAnsi="Arial" w:cs="Arial"/>
          <w:sz w:val="20"/>
          <w:szCs w:val="20"/>
        </w:rPr>
        <w:t xml:space="preserve">, 2006).  </w:t>
      </w:r>
    </w:p>
    <w:p w14:paraId="505DD0BF" w14:textId="17DE18AD" w:rsidR="0062062F" w:rsidRPr="000C3263" w:rsidRDefault="0062062F" w:rsidP="000C3263">
      <w:pPr>
        <w:jc w:val="both"/>
        <w:rPr>
          <w:rFonts w:ascii="Arial" w:hAnsi="Arial" w:cs="Arial"/>
          <w:sz w:val="20"/>
          <w:szCs w:val="20"/>
        </w:rPr>
      </w:pPr>
      <w:r w:rsidRPr="000C3263">
        <w:rPr>
          <w:rFonts w:ascii="Arial" w:hAnsi="Arial" w:cs="Arial"/>
          <w:sz w:val="20"/>
          <w:szCs w:val="20"/>
        </w:rPr>
        <w:t>In Model 2 where GDPPC acts as the dependent indicator, the FE model is selected (Hausman p = .00) as against RE. CO</w:t>
      </w:r>
      <w:r w:rsidRPr="000C3263">
        <w:rPr>
          <w:rFonts w:ascii="Arial" w:hAnsi="Arial" w:cs="Arial"/>
          <w:sz w:val="20"/>
          <w:szCs w:val="20"/>
          <w:vertAlign w:val="subscript"/>
        </w:rPr>
        <w:t>2</w:t>
      </w:r>
      <w:r w:rsidRPr="000C3263">
        <w:rPr>
          <w:rFonts w:ascii="Arial" w:hAnsi="Arial" w:cs="Arial"/>
          <w:sz w:val="20"/>
          <w:szCs w:val="20"/>
        </w:rPr>
        <w:t xml:space="preserve"> (0.63) positively influences GDPPC, but TO (-2.0</w:t>
      </w:r>
      <w:r w:rsidR="00AE760D">
        <w:rPr>
          <w:rFonts w:ascii="Arial" w:hAnsi="Arial" w:cs="Arial"/>
          <w:sz w:val="20"/>
          <w:szCs w:val="20"/>
        </w:rPr>
        <w:t>4</w:t>
      </w:r>
      <w:r w:rsidRPr="000C3263">
        <w:rPr>
          <w:rFonts w:ascii="Arial" w:hAnsi="Arial" w:cs="Arial"/>
          <w:sz w:val="20"/>
          <w:szCs w:val="20"/>
        </w:rPr>
        <w:t xml:space="preserve">) has a negative effect, possibly due to trade composition (Hausman, 1978).  </w:t>
      </w:r>
    </w:p>
    <w:p w14:paraId="3A1E1FDB" w14:textId="2993934B" w:rsidR="0062062F" w:rsidRPr="000C3263" w:rsidRDefault="0062062F" w:rsidP="000C3263">
      <w:pPr>
        <w:jc w:val="both"/>
        <w:rPr>
          <w:rFonts w:ascii="Arial" w:hAnsi="Arial" w:cs="Arial"/>
          <w:sz w:val="20"/>
          <w:szCs w:val="20"/>
        </w:rPr>
      </w:pPr>
      <w:r w:rsidRPr="000C3263">
        <w:rPr>
          <w:rFonts w:ascii="Arial" w:hAnsi="Arial" w:cs="Arial"/>
          <w:sz w:val="20"/>
          <w:szCs w:val="20"/>
        </w:rPr>
        <w:t>Finally, in Model 3 where trade openness (TO) acts as the dependent variable, the FE model fits (Hausman p = .01) the estimation as contrary to RE model. CO</w:t>
      </w:r>
      <w:r w:rsidRPr="000C3263">
        <w:rPr>
          <w:rFonts w:ascii="Arial" w:hAnsi="Arial" w:cs="Arial"/>
          <w:sz w:val="20"/>
          <w:szCs w:val="20"/>
          <w:vertAlign w:val="subscript"/>
        </w:rPr>
        <w:t>2</w:t>
      </w:r>
      <w:r w:rsidRPr="000C3263">
        <w:rPr>
          <w:rFonts w:ascii="Arial" w:hAnsi="Arial" w:cs="Arial"/>
          <w:sz w:val="20"/>
          <w:szCs w:val="20"/>
        </w:rPr>
        <w:t xml:space="preserve"> and EU positively affect TO, while GDPPC (-1.8</w:t>
      </w:r>
      <w:r w:rsidR="00AE760D">
        <w:rPr>
          <w:rFonts w:ascii="Arial" w:hAnsi="Arial" w:cs="Arial"/>
          <w:sz w:val="20"/>
          <w:szCs w:val="20"/>
        </w:rPr>
        <w:t>2</w:t>
      </w:r>
      <w:r w:rsidRPr="000C3263">
        <w:rPr>
          <w:rFonts w:ascii="Arial" w:hAnsi="Arial" w:cs="Arial"/>
          <w:sz w:val="20"/>
          <w:szCs w:val="20"/>
        </w:rPr>
        <w:t>) exerts a negative influence, suggesting complex trade dynamics (World Bank, 2023). Nonetheless, EU’s consistent positive coefficients underscore its role as a control variable mediating the nexus (Stern, 2018).</w:t>
      </w:r>
    </w:p>
    <w:p w14:paraId="30B8E0B0" w14:textId="6E27D692" w:rsidR="0062062F" w:rsidRPr="00FC1BC3" w:rsidRDefault="0062062F" w:rsidP="00FC1BC3">
      <w:pPr>
        <w:spacing w:after="0" w:line="480" w:lineRule="auto"/>
        <w:jc w:val="center"/>
        <w:rPr>
          <w:rFonts w:ascii="Arial" w:hAnsi="Arial" w:cs="Arial"/>
          <w:b/>
          <w:bCs/>
          <w:sz w:val="20"/>
          <w:szCs w:val="20"/>
        </w:rPr>
      </w:pPr>
      <w:r w:rsidRPr="00FC1BC3">
        <w:rPr>
          <w:rFonts w:ascii="Arial" w:hAnsi="Arial" w:cs="Arial"/>
          <w:b/>
          <w:bCs/>
          <w:sz w:val="20"/>
          <w:szCs w:val="20"/>
        </w:rPr>
        <w:t>Table 7</w:t>
      </w:r>
      <w:r w:rsidR="00E97BBB">
        <w:rPr>
          <w:rFonts w:ascii="Arial" w:hAnsi="Arial" w:cs="Arial"/>
          <w:b/>
          <w:bCs/>
          <w:sz w:val="20"/>
          <w:szCs w:val="20"/>
        </w:rPr>
        <w:t>.</w:t>
      </w:r>
      <w:r w:rsidRPr="00FC1BC3">
        <w:rPr>
          <w:rFonts w:ascii="Arial" w:hAnsi="Arial" w:cs="Arial"/>
          <w:b/>
          <w:bCs/>
          <w:sz w:val="20"/>
          <w:szCs w:val="20"/>
        </w:rPr>
        <w:t xml:space="preserve"> Panel VAR Results</w:t>
      </w:r>
    </w:p>
    <w:tbl>
      <w:tblPr>
        <w:tblStyle w:val="PlainTable2"/>
        <w:tblW w:w="9350" w:type="dxa"/>
        <w:tblLook w:val="04A0" w:firstRow="1" w:lastRow="0" w:firstColumn="1" w:lastColumn="0" w:noHBand="0" w:noVBand="1"/>
      </w:tblPr>
      <w:tblGrid>
        <w:gridCol w:w="1255"/>
        <w:gridCol w:w="1895"/>
        <w:gridCol w:w="811"/>
        <w:gridCol w:w="918"/>
        <w:gridCol w:w="943"/>
        <w:gridCol w:w="902"/>
        <w:gridCol w:w="2626"/>
      </w:tblGrid>
      <w:tr w:rsidR="0062062F" w:rsidRPr="008E37BB" w14:paraId="56BDD3F1" w14:textId="77777777" w:rsidTr="00C02D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bottom w:val="nil"/>
            </w:tcBorders>
            <w:noWrap/>
            <w:vAlign w:val="center"/>
            <w:hideMark/>
          </w:tcPr>
          <w:p w14:paraId="3F908865" w14:textId="77777777" w:rsidR="0062062F" w:rsidRPr="008E37BB" w:rsidRDefault="0062062F" w:rsidP="008F5BD4">
            <w:pPr>
              <w:jc w:val="center"/>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Model</w:t>
            </w:r>
          </w:p>
        </w:tc>
        <w:tc>
          <w:tcPr>
            <w:tcW w:w="1895" w:type="dxa"/>
            <w:vMerge w:val="restart"/>
            <w:tcBorders>
              <w:top w:val="single" w:sz="12" w:space="0" w:color="000000" w:themeColor="text1"/>
              <w:bottom w:val="nil"/>
            </w:tcBorders>
            <w:noWrap/>
            <w:vAlign w:val="center"/>
            <w:hideMark/>
          </w:tcPr>
          <w:p w14:paraId="26CD56F8" w14:textId="77777777" w:rsidR="0062062F" w:rsidRPr="008E37BB"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Variables</w:t>
            </w:r>
          </w:p>
        </w:tc>
        <w:tc>
          <w:tcPr>
            <w:tcW w:w="1729" w:type="dxa"/>
            <w:gridSpan w:val="2"/>
            <w:tcBorders>
              <w:top w:val="single" w:sz="12" w:space="0" w:color="000000" w:themeColor="text1"/>
              <w:bottom w:val="single" w:sz="12" w:space="0" w:color="000000" w:themeColor="text1"/>
            </w:tcBorders>
            <w:noWrap/>
            <w:vAlign w:val="center"/>
            <w:hideMark/>
          </w:tcPr>
          <w:p w14:paraId="2E8E3E7D" w14:textId="77777777" w:rsidR="0062062F" w:rsidRPr="008E37BB"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FE</w:t>
            </w:r>
          </w:p>
        </w:tc>
        <w:tc>
          <w:tcPr>
            <w:tcW w:w="1845" w:type="dxa"/>
            <w:gridSpan w:val="2"/>
            <w:tcBorders>
              <w:top w:val="single" w:sz="12" w:space="0" w:color="000000" w:themeColor="text1"/>
              <w:bottom w:val="single" w:sz="12" w:space="0" w:color="000000" w:themeColor="text1"/>
            </w:tcBorders>
            <w:noWrap/>
            <w:vAlign w:val="center"/>
            <w:hideMark/>
          </w:tcPr>
          <w:p w14:paraId="22000572" w14:textId="77777777" w:rsidR="0062062F" w:rsidRPr="008E37BB"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RE</w:t>
            </w:r>
          </w:p>
        </w:tc>
        <w:tc>
          <w:tcPr>
            <w:tcW w:w="2626" w:type="dxa"/>
            <w:vMerge w:val="restart"/>
            <w:tcBorders>
              <w:top w:val="single" w:sz="12" w:space="0" w:color="000000" w:themeColor="text1"/>
              <w:bottom w:val="single" w:sz="12" w:space="0" w:color="000000" w:themeColor="text1"/>
            </w:tcBorders>
            <w:noWrap/>
            <w:vAlign w:val="center"/>
            <w:hideMark/>
          </w:tcPr>
          <w:p w14:paraId="75DDBD8D" w14:textId="77777777" w:rsidR="0062062F" w:rsidRPr="008E37BB"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Inference</w:t>
            </w:r>
          </w:p>
        </w:tc>
      </w:tr>
      <w:tr w:rsidR="0062062F" w:rsidRPr="008E37BB" w14:paraId="63EE3CAA"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top w:val="nil"/>
              <w:bottom w:val="single" w:sz="12" w:space="0" w:color="000000" w:themeColor="text1"/>
            </w:tcBorders>
            <w:vAlign w:val="center"/>
            <w:hideMark/>
          </w:tcPr>
          <w:p w14:paraId="4B7898FF" w14:textId="77777777" w:rsidR="0062062F" w:rsidRPr="008E37BB" w:rsidRDefault="0062062F" w:rsidP="008F5BD4">
            <w:pPr>
              <w:jc w:val="center"/>
              <w:rPr>
                <w:rFonts w:ascii="Arial" w:eastAsia="Times New Roman" w:hAnsi="Arial" w:cs="Arial"/>
                <w:color w:val="000000"/>
                <w:kern w:val="0"/>
                <w:sz w:val="18"/>
                <w:szCs w:val="18"/>
                <w14:ligatures w14:val="none"/>
              </w:rPr>
            </w:pPr>
          </w:p>
        </w:tc>
        <w:tc>
          <w:tcPr>
            <w:tcW w:w="1895" w:type="dxa"/>
            <w:vMerge/>
            <w:tcBorders>
              <w:top w:val="nil"/>
              <w:bottom w:val="single" w:sz="12" w:space="0" w:color="000000" w:themeColor="text1"/>
            </w:tcBorders>
            <w:vAlign w:val="center"/>
            <w:hideMark/>
          </w:tcPr>
          <w:p w14:paraId="6C923D4F"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p>
        </w:tc>
        <w:tc>
          <w:tcPr>
            <w:tcW w:w="811" w:type="dxa"/>
            <w:tcBorders>
              <w:top w:val="single" w:sz="12" w:space="0" w:color="000000" w:themeColor="text1"/>
              <w:bottom w:val="single" w:sz="12" w:space="0" w:color="000000" w:themeColor="text1"/>
            </w:tcBorders>
            <w:noWrap/>
            <w:vAlign w:val="center"/>
            <w:hideMark/>
          </w:tcPr>
          <w:p w14:paraId="4146F543"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proofErr w:type="spellStart"/>
            <w:r w:rsidRPr="008E37BB">
              <w:rPr>
                <w:rFonts w:ascii="Arial" w:eastAsia="Times New Roman" w:hAnsi="Arial" w:cs="Arial"/>
                <w:b/>
                <w:bCs/>
                <w:color w:val="000000"/>
                <w:kern w:val="0"/>
                <w:sz w:val="18"/>
                <w:szCs w:val="18"/>
                <w14:ligatures w14:val="none"/>
              </w:rPr>
              <w:t>Coeff</w:t>
            </w:r>
            <w:proofErr w:type="spellEnd"/>
            <w:r w:rsidRPr="008E37BB">
              <w:rPr>
                <w:rFonts w:ascii="Arial" w:eastAsia="Times New Roman" w:hAnsi="Arial" w:cs="Arial"/>
                <w:b/>
                <w:bCs/>
                <w:color w:val="000000"/>
                <w:kern w:val="0"/>
                <w:sz w:val="18"/>
                <w:szCs w:val="18"/>
                <w14:ligatures w14:val="none"/>
              </w:rPr>
              <w:t>.</w:t>
            </w:r>
          </w:p>
        </w:tc>
        <w:tc>
          <w:tcPr>
            <w:tcW w:w="918" w:type="dxa"/>
            <w:tcBorders>
              <w:top w:val="single" w:sz="12" w:space="0" w:color="000000" w:themeColor="text1"/>
              <w:bottom w:val="single" w:sz="12" w:space="0" w:color="000000" w:themeColor="text1"/>
            </w:tcBorders>
            <w:noWrap/>
            <w:vAlign w:val="center"/>
            <w:hideMark/>
          </w:tcPr>
          <w:p w14:paraId="5A3BE50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r w:rsidRPr="008E37BB">
              <w:rPr>
                <w:rFonts w:ascii="Arial" w:eastAsia="Times New Roman" w:hAnsi="Arial" w:cs="Arial"/>
                <w:b/>
                <w:bCs/>
                <w:color w:val="000000"/>
                <w:kern w:val="0"/>
                <w:sz w:val="18"/>
                <w:szCs w:val="18"/>
                <w14:ligatures w14:val="none"/>
              </w:rPr>
              <w:t>t-stats</w:t>
            </w:r>
          </w:p>
        </w:tc>
        <w:tc>
          <w:tcPr>
            <w:tcW w:w="943" w:type="dxa"/>
            <w:tcBorders>
              <w:top w:val="single" w:sz="12" w:space="0" w:color="000000" w:themeColor="text1"/>
              <w:bottom w:val="single" w:sz="12" w:space="0" w:color="000000" w:themeColor="text1"/>
            </w:tcBorders>
            <w:noWrap/>
            <w:vAlign w:val="center"/>
            <w:hideMark/>
          </w:tcPr>
          <w:p w14:paraId="46CE27A4"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proofErr w:type="spellStart"/>
            <w:r w:rsidRPr="008E37BB">
              <w:rPr>
                <w:rFonts w:ascii="Arial" w:eastAsia="Times New Roman" w:hAnsi="Arial" w:cs="Arial"/>
                <w:b/>
                <w:bCs/>
                <w:color w:val="000000"/>
                <w:kern w:val="0"/>
                <w:sz w:val="18"/>
                <w:szCs w:val="18"/>
                <w14:ligatures w14:val="none"/>
              </w:rPr>
              <w:t>Coeff</w:t>
            </w:r>
            <w:proofErr w:type="spellEnd"/>
            <w:r w:rsidRPr="008E37BB">
              <w:rPr>
                <w:rFonts w:ascii="Arial" w:eastAsia="Times New Roman" w:hAnsi="Arial" w:cs="Arial"/>
                <w:b/>
                <w:bCs/>
                <w:color w:val="000000"/>
                <w:kern w:val="0"/>
                <w:sz w:val="18"/>
                <w:szCs w:val="18"/>
                <w14:ligatures w14:val="none"/>
              </w:rPr>
              <w:t>.</w:t>
            </w:r>
          </w:p>
        </w:tc>
        <w:tc>
          <w:tcPr>
            <w:tcW w:w="902" w:type="dxa"/>
            <w:tcBorders>
              <w:top w:val="single" w:sz="12" w:space="0" w:color="000000" w:themeColor="text1"/>
              <w:bottom w:val="single" w:sz="12" w:space="0" w:color="000000" w:themeColor="text1"/>
            </w:tcBorders>
            <w:noWrap/>
            <w:vAlign w:val="center"/>
            <w:hideMark/>
          </w:tcPr>
          <w:p w14:paraId="6DD3A035"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r w:rsidRPr="008E37BB">
              <w:rPr>
                <w:rFonts w:ascii="Arial" w:eastAsia="Times New Roman" w:hAnsi="Arial" w:cs="Arial"/>
                <w:b/>
                <w:bCs/>
                <w:color w:val="000000"/>
                <w:kern w:val="0"/>
                <w:sz w:val="18"/>
                <w:szCs w:val="18"/>
                <w14:ligatures w14:val="none"/>
              </w:rPr>
              <w:t>t-stats</w:t>
            </w:r>
          </w:p>
        </w:tc>
        <w:tc>
          <w:tcPr>
            <w:tcW w:w="2626" w:type="dxa"/>
            <w:vMerge/>
            <w:tcBorders>
              <w:top w:val="single" w:sz="12" w:space="0" w:color="000000" w:themeColor="text1"/>
              <w:bottom w:val="single" w:sz="12" w:space="0" w:color="000000" w:themeColor="text1"/>
            </w:tcBorders>
            <w:vAlign w:val="center"/>
            <w:hideMark/>
          </w:tcPr>
          <w:p w14:paraId="6AB6051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8"/>
                <w:szCs w:val="18"/>
                <w14:ligatures w14:val="none"/>
              </w:rPr>
            </w:pPr>
          </w:p>
        </w:tc>
      </w:tr>
      <w:tr w:rsidR="0062062F" w:rsidRPr="008E37BB" w14:paraId="5C3853F5" w14:textId="77777777" w:rsidTr="00C02D91">
        <w:trPr>
          <w:trHeight w:val="315"/>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bottom w:val="single" w:sz="4" w:space="0" w:color="7F7F7F" w:themeColor="text1" w:themeTint="80"/>
            </w:tcBorders>
            <w:vAlign w:val="center"/>
            <w:hideMark/>
          </w:tcPr>
          <w:p w14:paraId="459A2285"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 xml:space="preserve">1 </w:t>
            </w:r>
            <w:r w:rsidRPr="008E37BB">
              <w:rPr>
                <w:rFonts w:ascii="Arial" w:eastAsia="Times New Roman" w:hAnsi="Arial" w:cs="Arial"/>
                <w:b w:val="0"/>
                <w:bCs w:val="0"/>
                <w:color w:val="000000"/>
                <w:kern w:val="0"/>
                <w:sz w:val="18"/>
                <w:szCs w:val="18"/>
                <w14:ligatures w14:val="none"/>
              </w:rPr>
              <w:br/>
              <w:t xml:space="preserve">(Dep. Var: </w:t>
            </w:r>
            <w:r w:rsidRPr="008E37BB">
              <w:rPr>
                <w:rFonts w:ascii="Arial" w:hAnsi="Arial" w:cs="Arial"/>
                <w:b w:val="0"/>
                <w:bCs w:val="0"/>
                <w:sz w:val="18"/>
                <w:szCs w:val="18"/>
              </w:rPr>
              <w:t>CO</w:t>
            </w:r>
            <w:r w:rsidRPr="008E37BB">
              <w:rPr>
                <w:rFonts w:ascii="Arial" w:hAnsi="Arial" w:cs="Arial"/>
                <w:b w:val="0"/>
                <w:bCs w:val="0"/>
                <w:sz w:val="18"/>
                <w:szCs w:val="18"/>
                <w:vertAlign w:val="subscript"/>
              </w:rPr>
              <w:t>2</w:t>
            </w:r>
            <w:r w:rsidRPr="008E37BB">
              <w:rPr>
                <w:rFonts w:ascii="Arial" w:eastAsia="Times New Roman" w:hAnsi="Arial" w:cs="Arial"/>
                <w:b w:val="0"/>
                <w:bCs w:val="0"/>
                <w:color w:val="000000"/>
                <w:kern w:val="0"/>
                <w:sz w:val="18"/>
                <w:szCs w:val="18"/>
                <w14:ligatures w14:val="none"/>
              </w:rPr>
              <w:t>)</w:t>
            </w:r>
          </w:p>
        </w:tc>
        <w:tc>
          <w:tcPr>
            <w:tcW w:w="1895" w:type="dxa"/>
            <w:tcBorders>
              <w:top w:val="single" w:sz="12" w:space="0" w:color="000000" w:themeColor="text1"/>
              <w:bottom w:val="nil"/>
            </w:tcBorders>
            <w:noWrap/>
            <w:vAlign w:val="center"/>
            <w:hideMark/>
          </w:tcPr>
          <w:p w14:paraId="452B1D36"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C</w:t>
            </w:r>
          </w:p>
        </w:tc>
        <w:tc>
          <w:tcPr>
            <w:tcW w:w="811" w:type="dxa"/>
            <w:tcBorders>
              <w:top w:val="single" w:sz="12" w:space="0" w:color="000000" w:themeColor="text1"/>
              <w:bottom w:val="nil"/>
            </w:tcBorders>
            <w:noWrap/>
            <w:vAlign w:val="center"/>
            <w:hideMark/>
          </w:tcPr>
          <w:p w14:paraId="220C72BE" w14:textId="325CEEE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-6.55</w:t>
            </w:r>
          </w:p>
        </w:tc>
        <w:tc>
          <w:tcPr>
            <w:tcW w:w="918" w:type="dxa"/>
            <w:tcBorders>
              <w:top w:val="single" w:sz="12" w:space="0" w:color="000000" w:themeColor="text1"/>
              <w:bottom w:val="nil"/>
            </w:tcBorders>
            <w:noWrap/>
            <w:vAlign w:val="center"/>
            <w:hideMark/>
          </w:tcPr>
          <w:p w14:paraId="529A997F" w14:textId="15F7B359"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-24.33</w:t>
            </w:r>
            <w:r w:rsidR="008E37BB" w:rsidRPr="008E37BB">
              <w:rPr>
                <w:rFonts w:ascii="Arial" w:eastAsia="Times New Roman" w:hAnsi="Arial" w:cs="Arial"/>
                <w:color w:val="000000"/>
                <w:kern w:val="0"/>
                <w:sz w:val="18"/>
                <w:szCs w:val="18"/>
                <w:vertAlign w:val="superscript"/>
                <w14:ligatures w14:val="none"/>
              </w:rPr>
              <w:t>c</w:t>
            </w:r>
          </w:p>
        </w:tc>
        <w:tc>
          <w:tcPr>
            <w:tcW w:w="943" w:type="dxa"/>
            <w:tcBorders>
              <w:top w:val="single" w:sz="12" w:space="0" w:color="000000" w:themeColor="text1"/>
              <w:bottom w:val="nil"/>
            </w:tcBorders>
            <w:noWrap/>
            <w:vAlign w:val="center"/>
            <w:hideMark/>
          </w:tcPr>
          <w:p w14:paraId="0FFF7901" w14:textId="62AFEC1E"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0.02</w:t>
            </w:r>
          </w:p>
        </w:tc>
        <w:tc>
          <w:tcPr>
            <w:tcW w:w="902" w:type="dxa"/>
            <w:tcBorders>
              <w:top w:val="single" w:sz="12" w:space="0" w:color="000000" w:themeColor="text1"/>
              <w:bottom w:val="nil"/>
            </w:tcBorders>
            <w:noWrap/>
            <w:vAlign w:val="center"/>
            <w:hideMark/>
          </w:tcPr>
          <w:p w14:paraId="56D1C300" w14:textId="02E2565E"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1.9</w:t>
            </w:r>
            <w:r w:rsidR="00B153FC">
              <w:rPr>
                <w:rFonts w:ascii="Arial" w:eastAsia="Times New Roman" w:hAnsi="Arial" w:cs="Arial"/>
                <w:color w:val="000000"/>
                <w:kern w:val="0"/>
                <w:sz w:val="18"/>
                <w:szCs w:val="18"/>
                <w14:ligatures w14:val="none"/>
              </w:rPr>
              <w:t>8</w:t>
            </w:r>
            <w:r w:rsidR="00DC60F7" w:rsidRPr="00DC60F7">
              <w:rPr>
                <w:rFonts w:ascii="Arial" w:eastAsia="Times New Roman" w:hAnsi="Arial" w:cs="Arial"/>
                <w:color w:val="000000"/>
                <w:kern w:val="0"/>
                <w:sz w:val="18"/>
                <w:szCs w:val="18"/>
                <w:vertAlign w:val="superscript"/>
                <w14:ligatures w14:val="none"/>
              </w:rPr>
              <w:t>c</w:t>
            </w:r>
          </w:p>
        </w:tc>
        <w:tc>
          <w:tcPr>
            <w:tcW w:w="2626" w:type="dxa"/>
            <w:vMerge w:val="restart"/>
            <w:tcBorders>
              <w:top w:val="single" w:sz="12" w:space="0" w:color="000000" w:themeColor="text1"/>
              <w:bottom w:val="single" w:sz="4" w:space="0" w:color="7F7F7F" w:themeColor="text1" w:themeTint="80"/>
            </w:tcBorders>
            <w:noWrap/>
            <w:vAlign w:val="center"/>
            <w:hideMark/>
          </w:tcPr>
          <w:p w14:paraId="4832B436"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We fail to reject the Null hypothesis (H</w:t>
            </w:r>
            <w:r w:rsidRPr="008E37BB">
              <w:rPr>
                <w:rFonts w:ascii="Arial" w:eastAsia="Times New Roman" w:hAnsi="Arial" w:cs="Arial"/>
                <w:color w:val="000000"/>
                <w:kern w:val="0"/>
                <w:sz w:val="18"/>
                <w:szCs w:val="18"/>
                <w:vertAlign w:val="subscript"/>
                <w14:ligatures w14:val="none"/>
              </w:rPr>
              <w:t>0</w:t>
            </w:r>
            <w:r w:rsidRPr="008E37BB">
              <w:rPr>
                <w:rFonts w:ascii="Arial" w:eastAsia="Times New Roman" w:hAnsi="Arial" w:cs="Arial"/>
                <w:color w:val="000000"/>
                <w:kern w:val="0"/>
                <w:sz w:val="18"/>
                <w:szCs w:val="18"/>
                <w14:ligatures w14:val="none"/>
              </w:rPr>
              <w:t>)</w:t>
            </w:r>
            <w:r w:rsidRPr="008E37BB">
              <w:rPr>
                <w:rFonts w:ascii="Arial" w:eastAsia="Times New Roman" w:hAnsi="Arial" w:cs="Arial"/>
                <w:color w:val="000000"/>
                <w:kern w:val="0"/>
                <w:sz w:val="18"/>
                <w:szCs w:val="18"/>
                <w:vertAlign w:val="subscript"/>
                <w14:ligatures w14:val="none"/>
              </w:rPr>
              <w:t xml:space="preserve"> </w:t>
            </w:r>
            <w:r w:rsidRPr="008E37BB">
              <w:rPr>
                <w:rFonts w:ascii="Arial" w:eastAsia="Times New Roman" w:hAnsi="Arial" w:cs="Arial"/>
                <w:color w:val="000000"/>
                <w:kern w:val="0"/>
                <w:sz w:val="18"/>
                <w:szCs w:val="18"/>
                <w14:ligatures w14:val="none"/>
              </w:rPr>
              <w:t>at 5% significance level and infer that RE is appropriate.</w:t>
            </w:r>
          </w:p>
        </w:tc>
      </w:tr>
      <w:tr w:rsidR="0062062F" w:rsidRPr="008E37BB" w14:paraId="25AAF400"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77F9BDC2"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42F1C0ED"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GDPPC</w:t>
            </w:r>
          </w:p>
        </w:tc>
        <w:tc>
          <w:tcPr>
            <w:tcW w:w="811" w:type="dxa"/>
            <w:tcBorders>
              <w:top w:val="nil"/>
              <w:bottom w:val="nil"/>
            </w:tcBorders>
            <w:noWrap/>
            <w:vAlign w:val="center"/>
            <w:hideMark/>
          </w:tcPr>
          <w:p w14:paraId="4F830AE7" w14:textId="0FF071F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0.0</w:t>
            </w:r>
            <w:r w:rsidR="00545D2F">
              <w:rPr>
                <w:rFonts w:ascii="Arial" w:eastAsia="Times New Roman" w:hAnsi="Arial" w:cs="Arial"/>
                <w:color w:val="000000"/>
                <w:kern w:val="0"/>
                <w:sz w:val="18"/>
                <w:szCs w:val="18"/>
                <w14:ligatures w14:val="none"/>
              </w:rPr>
              <w:t>3</w:t>
            </w:r>
          </w:p>
        </w:tc>
        <w:tc>
          <w:tcPr>
            <w:tcW w:w="918" w:type="dxa"/>
            <w:tcBorders>
              <w:top w:val="nil"/>
              <w:bottom w:val="nil"/>
            </w:tcBorders>
            <w:noWrap/>
            <w:vAlign w:val="center"/>
            <w:hideMark/>
          </w:tcPr>
          <w:p w14:paraId="714632B5" w14:textId="7FACFA5C"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2.0</w:t>
            </w:r>
            <w:r w:rsidR="00B153FC">
              <w:rPr>
                <w:rFonts w:ascii="Arial" w:eastAsia="Times New Roman" w:hAnsi="Arial" w:cs="Arial"/>
                <w:color w:val="000000"/>
                <w:kern w:val="0"/>
                <w:sz w:val="18"/>
                <w:szCs w:val="18"/>
                <w14:ligatures w14:val="none"/>
              </w:rPr>
              <w:t>2</w:t>
            </w:r>
            <w:r w:rsidR="008E37BB" w:rsidRPr="008E37BB">
              <w:rPr>
                <w:rFonts w:ascii="Arial" w:eastAsia="Times New Roman" w:hAnsi="Arial" w:cs="Arial"/>
                <w:color w:val="000000"/>
                <w:kern w:val="0"/>
                <w:sz w:val="18"/>
                <w:szCs w:val="18"/>
                <w:vertAlign w:val="superscript"/>
                <w14:ligatures w14:val="none"/>
              </w:rPr>
              <w:t>b</w:t>
            </w:r>
          </w:p>
        </w:tc>
        <w:tc>
          <w:tcPr>
            <w:tcW w:w="943" w:type="dxa"/>
            <w:tcBorders>
              <w:top w:val="nil"/>
              <w:bottom w:val="nil"/>
            </w:tcBorders>
            <w:noWrap/>
            <w:vAlign w:val="center"/>
            <w:hideMark/>
          </w:tcPr>
          <w:p w14:paraId="2D142E16" w14:textId="12022B12"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0.39</w:t>
            </w:r>
          </w:p>
        </w:tc>
        <w:tc>
          <w:tcPr>
            <w:tcW w:w="902" w:type="dxa"/>
            <w:tcBorders>
              <w:top w:val="nil"/>
              <w:bottom w:val="nil"/>
            </w:tcBorders>
            <w:noWrap/>
            <w:vAlign w:val="center"/>
            <w:hideMark/>
          </w:tcPr>
          <w:p w14:paraId="7A38BDDB" w14:textId="113A931E"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4.4</w:t>
            </w:r>
            <w:r w:rsidR="00B153FC">
              <w:rPr>
                <w:rFonts w:ascii="Arial" w:eastAsia="Times New Roman" w:hAnsi="Arial" w:cs="Arial"/>
                <w:color w:val="000000"/>
                <w:kern w:val="0"/>
                <w:sz w:val="18"/>
                <w:szCs w:val="18"/>
                <w14:ligatures w14:val="none"/>
              </w:rPr>
              <w:t>7</w:t>
            </w:r>
            <w:r w:rsidR="00DC60F7" w:rsidRPr="00DC60F7">
              <w:rPr>
                <w:rFonts w:ascii="Arial" w:eastAsia="Times New Roman" w:hAnsi="Arial" w:cs="Arial"/>
                <w:color w:val="000000"/>
                <w:kern w:val="0"/>
                <w:sz w:val="18"/>
                <w:szCs w:val="18"/>
                <w:vertAlign w:val="superscript"/>
                <w14:ligatures w14:val="none"/>
              </w:rPr>
              <w:t>b</w:t>
            </w:r>
          </w:p>
        </w:tc>
        <w:tc>
          <w:tcPr>
            <w:tcW w:w="2626" w:type="dxa"/>
            <w:vMerge/>
            <w:vAlign w:val="center"/>
            <w:hideMark/>
          </w:tcPr>
          <w:p w14:paraId="6DD87FC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69ED7426"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2A5F5D79"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2791AAA6"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TO</w:t>
            </w:r>
          </w:p>
        </w:tc>
        <w:tc>
          <w:tcPr>
            <w:tcW w:w="811" w:type="dxa"/>
            <w:tcBorders>
              <w:top w:val="nil"/>
              <w:bottom w:val="nil"/>
            </w:tcBorders>
            <w:noWrap/>
            <w:vAlign w:val="center"/>
            <w:hideMark/>
          </w:tcPr>
          <w:p w14:paraId="1A4C64EB" w14:textId="1650C2EF"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0.39</w:t>
            </w:r>
          </w:p>
        </w:tc>
        <w:tc>
          <w:tcPr>
            <w:tcW w:w="918" w:type="dxa"/>
            <w:tcBorders>
              <w:top w:val="nil"/>
              <w:bottom w:val="nil"/>
            </w:tcBorders>
            <w:noWrap/>
            <w:vAlign w:val="center"/>
            <w:hideMark/>
          </w:tcPr>
          <w:p w14:paraId="7FC85133" w14:textId="2A0D9D9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4.45</w:t>
            </w:r>
            <w:r w:rsidR="008E37BB" w:rsidRPr="008E37BB">
              <w:rPr>
                <w:rFonts w:ascii="Arial" w:eastAsia="Times New Roman" w:hAnsi="Arial" w:cs="Arial"/>
                <w:color w:val="000000"/>
                <w:kern w:val="0"/>
                <w:sz w:val="18"/>
                <w:szCs w:val="18"/>
                <w:vertAlign w:val="superscript"/>
                <w14:ligatures w14:val="none"/>
              </w:rPr>
              <w:t>c</w:t>
            </w:r>
          </w:p>
        </w:tc>
        <w:tc>
          <w:tcPr>
            <w:tcW w:w="943" w:type="dxa"/>
            <w:tcBorders>
              <w:top w:val="nil"/>
              <w:bottom w:val="nil"/>
            </w:tcBorders>
            <w:noWrap/>
            <w:vAlign w:val="center"/>
            <w:hideMark/>
          </w:tcPr>
          <w:p w14:paraId="42E01CD2" w14:textId="783B01CA"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1.03</w:t>
            </w:r>
          </w:p>
        </w:tc>
        <w:tc>
          <w:tcPr>
            <w:tcW w:w="902" w:type="dxa"/>
            <w:tcBorders>
              <w:top w:val="nil"/>
              <w:bottom w:val="nil"/>
            </w:tcBorders>
            <w:noWrap/>
            <w:vAlign w:val="center"/>
            <w:hideMark/>
          </w:tcPr>
          <w:p w14:paraId="2ABE718B" w14:textId="0F2A906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21.39</w:t>
            </w:r>
            <w:r w:rsidR="00DC60F7" w:rsidRPr="00DC60F7">
              <w:rPr>
                <w:rFonts w:ascii="Arial" w:eastAsia="Times New Roman" w:hAnsi="Arial" w:cs="Arial"/>
                <w:color w:val="000000"/>
                <w:kern w:val="0"/>
                <w:sz w:val="18"/>
                <w:szCs w:val="18"/>
                <w:vertAlign w:val="superscript"/>
                <w14:ligatures w14:val="none"/>
              </w:rPr>
              <w:t>c</w:t>
            </w:r>
          </w:p>
        </w:tc>
        <w:tc>
          <w:tcPr>
            <w:tcW w:w="2626" w:type="dxa"/>
            <w:vMerge/>
            <w:vAlign w:val="center"/>
            <w:hideMark/>
          </w:tcPr>
          <w:p w14:paraId="67169F63"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7AB0408A"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558DD82E"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3DAB38A6"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EU (control var)</w:t>
            </w:r>
          </w:p>
        </w:tc>
        <w:tc>
          <w:tcPr>
            <w:tcW w:w="811" w:type="dxa"/>
            <w:tcBorders>
              <w:top w:val="nil"/>
              <w:bottom w:val="single" w:sz="12" w:space="0" w:color="000000" w:themeColor="text1"/>
            </w:tcBorders>
            <w:noWrap/>
            <w:vAlign w:val="center"/>
            <w:hideMark/>
          </w:tcPr>
          <w:p w14:paraId="6CA90D45" w14:textId="33531920"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1.03</w:t>
            </w:r>
          </w:p>
        </w:tc>
        <w:tc>
          <w:tcPr>
            <w:tcW w:w="918" w:type="dxa"/>
            <w:tcBorders>
              <w:top w:val="nil"/>
              <w:bottom w:val="single" w:sz="12" w:space="0" w:color="000000" w:themeColor="text1"/>
            </w:tcBorders>
            <w:noWrap/>
            <w:vAlign w:val="center"/>
            <w:hideMark/>
          </w:tcPr>
          <w:p w14:paraId="2C6F0F85" w14:textId="52ECD4E3"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21.0</w:t>
            </w:r>
            <w:r w:rsidR="00B153FC">
              <w:rPr>
                <w:rFonts w:ascii="Arial" w:eastAsia="Times New Roman" w:hAnsi="Arial" w:cs="Arial"/>
                <w:color w:val="000000"/>
                <w:kern w:val="0"/>
                <w:sz w:val="18"/>
                <w:szCs w:val="18"/>
                <w14:ligatures w14:val="none"/>
              </w:rPr>
              <w:t>4</w:t>
            </w:r>
            <w:r w:rsidR="008E37BB" w:rsidRPr="008E37BB">
              <w:rPr>
                <w:rFonts w:ascii="Arial" w:eastAsia="Times New Roman" w:hAnsi="Arial" w:cs="Arial"/>
                <w:color w:val="000000"/>
                <w:kern w:val="0"/>
                <w:sz w:val="18"/>
                <w:szCs w:val="18"/>
                <w:vertAlign w:val="superscript"/>
                <w14:ligatures w14:val="none"/>
              </w:rPr>
              <w:t>c</w:t>
            </w:r>
          </w:p>
        </w:tc>
        <w:tc>
          <w:tcPr>
            <w:tcW w:w="943" w:type="dxa"/>
            <w:tcBorders>
              <w:top w:val="nil"/>
              <w:bottom w:val="single" w:sz="12" w:space="0" w:color="000000" w:themeColor="text1"/>
            </w:tcBorders>
            <w:noWrap/>
            <w:vAlign w:val="center"/>
            <w:hideMark/>
          </w:tcPr>
          <w:p w14:paraId="3BB33A1B" w14:textId="0FBCDBD5"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-6.5</w:t>
            </w:r>
            <w:r w:rsidR="00B153FC">
              <w:rPr>
                <w:rFonts w:ascii="Arial" w:eastAsia="Times New Roman" w:hAnsi="Arial" w:cs="Arial"/>
                <w:color w:val="000000"/>
                <w:kern w:val="0"/>
                <w:sz w:val="18"/>
                <w:szCs w:val="18"/>
                <w14:ligatures w14:val="none"/>
              </w:rPr>
              <w:t>7</w:t>
            </w:r>
          </w:p>
        </w:tc>
        <w:tc>
          <w:tcPr>
            <w:tcW w:w="902" w:type="dxa"/>
            <w:tcBorders>
              <w:top w:val="nil"/>
              <w:bottom w:val="single" w:sz="12" w:space="0" w:color="000000" w:themeColor="text1"/>
            </w:tcBorders>
            <w:noWrap/>
            <w:vAlign w:val="center"/>
            <w:hideMark/>
          </w:tcPr>
          <w:p w14:paraId="65C90103" w14:textId="6EF1D910"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-20.87</w:t>
            </w:r>
            <w:r w:rsidR="00DC60F7" w:rsidRPr="00DC60F7">
              <w:rPr>
                <w:rFonts w:ascii="Arial" w:eastAsia="Times New Roman" w:hAnsi="Arial" w:cs="Arial"/>
                <w:color w:val="000000"/>
                <w:kern w:val="0"/>
                <w:sz w:val="18"/>
                <w:szCs w:val="18"/>
                <w:vertAlign w:val="superscript"/>
                <w14:ligatures w14:val="none"/>
              </w:rPr>
              <w:t>c</w:t>
            </w:r>
          </w:p>
        </w:tc>
        <w:tc>
          <w:tcPr>
            <w:tcW w:w="2626" w:type="dxa"/>
            <w:vMerge/>
            <w:vAlign w:val="center"/>
            <w:hideMark/>
          </w:tcPr>
          <w:p w14:paraId="6B38BCCF"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580E265A"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bottom w:val="nil"/>
            </w:tcBorders>
            <w:noWrap/>
            <w:vAlign w:val="center"/>
            <w:hideMark/>
          </w:tcPr>
          <w:p w14:paraId="56A8EB56"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Diagnostics</w:t>
            </w:r>
          </w:p>
        </w:tc>
        <w:tc>
          <w:tcPr>
            <w:tcW w:w="1895" w:type="dxa"/>
            <w:tcBorders>
              <w:top w:val="single" w:sz="12" w:space="0" w:color="000000" w:themeColor="text1"/>
              <w:bottom w:val="nil"/>
            </w:tcBorders>
            <w:noWrap/>
            <w:vAlign w:val="center"/>
            <w:hideMark/>
          </w:tcPr>
          <w:p w14:paraId="2959302A" w14:textId="3B910771"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 xml:space="preserve">H-stats (df;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value</w:t>
            </w:r>
            <w:r w:rsidRPr="008E37BB">
              <w:rPr>
                <w:rFonts w:ascii="Arial" w:eastAsia="Times New Roman" w:hAnsi="Arial" w:cs="Arial"/>
                <w:color w:val="000000"/>
                <w:kern w:val="0"/>
                <w:sz w:val="18"/>
                <w:szCs w:val="18"/>
                <w14:ligatures w14:val="none"/>
              </w:rPr>
              <w:t>)</w:t>
            </w:r>
          </w:p>
        </w:tc>
        <w:tc>
          <w:tcPr>
            <w:tcW w:w="3574" w:type="dxa"/>
            <w:gridSpan w:val="4"/>
            <w:tcBorders>
              <w:top w:val="single" w:sz="12" w:space="0" w:color="000000" w:themeColor="text1"/>
              <w:bottom w:val="nil"/>
            </w:tcBorders>
            <w:noWrap/>
            <w:vAlign w:val="center"/>
            <w:hideMark/>
          </w:tcPr>
          <w:p w14:paraId="5D9980A4" w14:textId="250B2AE1"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0.75 (3; .86)</w:t>
            </w:r>
          </w:p>
        </w:tc>
        <w:tc>
          <w:tcPr>
            <w:tcW w:w="2626" w:type="dxa"/>
            <w:vMerge/>
            <w:vAlign w:val="center"/>
            <w:hideMark/>
          </w:tcPr>
          <w:p w14:paraId="64E8F50F"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30E9257" w14:textId="77777777" w:rsidTr="00C02D9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5" w:type="dxa"/>
            <w:vMerge/>
            <w:tcBorders>
              <w:top w:val="nil"/>
            </w:tcBorders>
            <w:vAlign w:val="center"/>
            <w:hideMark/>
          </w:tcPr>
          <w:p w14:paraId="31E225BC"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4BCE6B5F"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48F9FFB1" w14:textId="16337C8B"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0.9</w:t>
            </w:r>
            <w:r w:rsidR="00AF6814">
              <w:rPr>
                <w:rFonts w:ascii="Arial" w:eastAsia="Times New Roman" w:hAnsi="Arial" w:cs="Arial"/>
                <w:color w:val="000000"/>
                <w:kern w:val="0"/>
                <w:sz w:val="18"/>
                <w:szCs w:val="18"/>
                <w14:ligatures w14:val="none"/>
              </w:rPr>
              <w:t>9</w:t>
            </w:r>
          </w:p>
        </w:tc>
        <w:tc>
          <w:tcPr>
            <w:tcW w:w="1845" w:type="dxa"/>
            <w:gridSpan w:val="2"/>
            <w:tcBorders>
              <w:top w:val="nil"/>
              <w:bottom w:val="nil"/>
            </w:tcBorders>
            <w:noWrap/>
            <w:vAlign w:val="center"/>
            <w:hideMark/>
          </w:tcPr>
          <w:p w14:paraId="39D2FD85" w14:textId="6EDAC313"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0.91</w:t>
            </w:r>
          </w:p>
        </w:tc>
        <w:tc>
          <w:tcPr>
            <w:tcW w:w="2626" w:type="dxa"/>
            <w:vMerge/>
            <w:vAlign w:val="center"/>
            <w:hideMark/>
          </w:tcPr>
          <w:p w14:paraId="6E54B772"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377F510B"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2110EC3F"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21440228"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Adj. 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49138721" w14:textId="35112C3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0.9</w:t>
            </w:r>
            <w:r w:rsidR="00AF6814">
              <w:rPr>
                <w:rFonts w:ascii="Arial" w:eastAsia="Times New Roman" w:hAnsi="Arial" w:cs="Arial"/>
                <w:color w:val="000000"/>
                <w:kern w:val="0"/>
                <w:sz w:val="18"/>
                <w:szCs w:val="18"/>
                <w14:ligatures w14:val="none"/>
              </w:rPr>
              <w:t>9</w:t>
            </w:r>
          </w:p>
        </w:tc>
        <w:tc>
          <w:tcPr>
            <w:tcW w:w="1845" w:type="dxa"/>
            <w:gridSpan w:val="2"/>
            <w:tcBorders>
              <w:top w:val="nil"/>
              <w:bottom w:val="nil"/>
            </w:tcBorders>
            <w:noWrap/>
            <w:vAlign w:val="center"/>
            <w:hideMark/>
          </w:tcPr>
          <w:p w14:paraId="0D33EB96" w14:textId="597AA2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0.91</w:t>
            </w:r>
          </w:p>
        </w:tc>
        <w:tc>
          <w:tcPr>
            <w:tcW w:w="2626" w:type="dxa"/>
            <w:vMerge/>
            <w:vAlign w:val="center"/>
            <w:hideMark/>
          </w:tcPr>
          <w:p w14:paraId="1BE190DE"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312065C1"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2A54D5E9"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139F06FE" w14:textId="2C00877D"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F-stats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value</w:t>
            </w:r>
            <w:r w:rsidRPr="008E37BB">
              <w:rPr>
                <w:rFonts w:ascii="Arial" w:eastAsia="Times New Roman" w:hAnsi="Arial" w:cs="Arial"/>
                <w:color w:val="000000"/>
                <w:kern w:val="0"/>
                <w:sz w:val="18"/>
                <w:szCs w:val="18"/>
                <w14:ligatures w14:val="none"/>
              </w:rPr>
              <w:t>)</w:t>
            </w:r>
          </w:p>
        </w:tc>
        <w:tc>
          <w:tcPr>
            <w:tcW w:w="1729" w:type="dxa"/>
            <w:gridSpan w:val="2"/>
            <w:tcBorders>
              <w:top w:val="nil"/>
              <w:bottom w:val="single" w:sz="12" w:space="0" w:color="000000" w:themeColor="text1"/>
            </w:tcBorders>
            <w:noWrap/>
            <w:vAlign w:val="center"/>
            <w:hideMark/>
          </w:tcPr>
          <w:p w14:paraId="56DBEC5A" w14:textId="6196917E"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2854.56 (.00)</w:t>
            </w:r>
          </w:p>
        </w:tc>
        <w:tc>
          <w:tcPr>
            <w:tcW w:w="1845" w:type="dxa"/>
            <w:gridSpan w:val="2"/>
            <w:tcBorders>
              <w:top w:val="nil"/>
              <w:bottom w:val="single" w:sz="12" w:space="0" w:color="000000" w:themeColor="text1"/>
            </w:tcBorders>
            <w:noWrap/>
            <w:vAlign w:val="center"/>
            <w:hideMark/>
          </w:tcPr>
          <w:p w14:paraId="4E072DBC" w14:textId="0AA6E014"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927.8</w:t>
            </w:r>
            <w:r w:rsidR="002B688B">
              <w:rPr>
                <w:rFonts w:ascii="Arial" w:eastAsia="Times New Roman" w:hAnsi="Arial" w:cs="Arial"/>
                <w:color w:val="000000"/>
                <w:kern w:val="0"/>
                <w:sz w:val="18"/>
                <w:szCs w:val="18"/>
                <w14:ligatures w14:val="none"/>
              </w:rPr>
              <w:t>8</w:t>
            </w:r>
            <w:r w:rsidRPr="008E37BB">
              <w:rPr>
                <w:rFonts w:ascii="Arial" w:eastAsia="Times New Roman" w:hAnsi="Arial" w:cs="Arial"/>
                <w:color w:val="000000"/>
                <w:kern w:val="0"/>
                <w:sz w:val="18"/>
                <w:szCs w:val="18"/>
                <w14:ligatures w14:val="none"/>
              </w:rPr>
              <w:t xml:space="preserve"> (.00)</w:t>
            </w:r>
          </w:p>
        </w:tc>
        <w:tc>
          <w:tcPr>
            <w:tcW w:w="2626" w:type="dxa"/>
            <w:vMerge/>
            <w:tcBorders>
              <w:bottom w:val="single" w:sz="12" w:space="0" w:color="000000" w:themeColor="text1"/>
            </w:tcBorders>
            <w:vAlign w:val="center"/>
            <w:hideMark/>
          </w:tcPr>
          <w:p w14:paraId="04725480"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13854C31"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tcBorders>
            <w:vAlign w:val="center"/>
            <w:hideMark/>
          </w:tcPr>
          <w:p w14:paraId="42EC59E1"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 xml:space="preserve">2 </w:t>
            </w:r>
            <w:r w:rsidRPr="008E37BB">
              <w:rPr>
                <w:rFonts w:ascii="Arial" w:eastAsia="Times New Roman" w:hAnsi="Arial" w:cs="Arial"/>
                <w:b w:val="0"/>
                <w:bCs w:val="0"/>
                <w:color w:val="000000"/>
                <w:kern w:val="0"/>
                <w:sz w:val="18"/>
                <w:szCs w:val="18"/>
                <w14:ligatures w14:val="none"/>
              </w:rPr>
              <w:br/>
              <w:t>(Dep. Var: GDPPC)</w:t>
            </w:r>
          </w:p>
        </w:tc>
        <w:tc>
          <w:tcPr>
            <w:tcW w:w="1895" w:type="dxa"/>
            <w:tcBorders>
              <w:top w:val="single" w:sz="12" w:space="0" w:color="000000" w:themeColor="text1"/>
              <w:bottom w:val="nil"/>
            </w:tcBorders>
            <w:noWrap/>
            <w:vAlign w:val="center"/>
            <w:hideMark/>
          </w:tcPr>
          <w:p w14:paraId="0040F27F"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C</w:t>
            </w:r>
          </w:p>
        </w:tc>
        <w:tc>
          <w:tcPr>
            <w:tcW w:w="811" w:type="dxa"/>
            <w:tcBorders>
              <w:top w:val="single" w:sz="12" w:space="0" w:color="000000" w:themeColor="text1"/>
              <w:bottom w:val="nil"/>
            </w:tcBorders>
            <w:noWrap/>
            <w:vAlign w:val="center"/>
            <w:hideMark/>
          </w:tcPr>
          <w:p w14:paraId="56A398E0" w14:textId="0A55D866"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-10.13</w:t>
            </w:r>
          </w:p>
        </w:tc>
        <w:tc>
          <w:tcPr>
            <w:tcW w:w="918" w:type="dxa"/>
            <w:tcBorders>
              <w:top w:val="single" w:sz="12" w:space="0" w:color="000000" w:themeColor="text1"/>
              <w:bottom w:val="nil"/>
            </w:tcBorders>
            <w:noWrap/>
            <w:vAlign w:val="center"/>
            <w:hideMark/>
          </w:tcPr>
          <w:p w14:paraId="5D2C9FB1" w14:textId="1A5B79DB"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-4.21</w:t>
            </w:r>
            <w:r w:rsidR="00452CA9">
              <w:rPr>
                <w:rFonts w:ascii="Arial" w:eastAsia="Times New Roman" w:hAnsi="Arial" w:cs="Arial"/>
                <w:color w:val="000000"/>
                <w:kern w:val="0"/>
                <w:sz w:val="18"/>
                <w:szCs w:val="18"/>
                <w:vertAlign w:val="superscript"/>
                <w14:ligatures w14:val="none"/>
              </w:rPr>
              <w:t>c</w:t>
            </w:r>
          </w:p>
        </w:tc>
        <w:tc>
          <w:tcPr>
            <w:tcW w:w="943" w:type="dxa"/>
            <w:tcBorders>
              <w:top w:val="single" w:sz="12" w:space="0" w:color="000000" w:themeColor="text1"/>
              <w:bottom w:val="nil"/>
            </w:tcBorders>
            <w:noWrap/>
            <w:vAlign w:val="center"/>
            <w:hideMark/>
          </w:tcPr>
          <w:p w14:paraId="13F73B1F" w14:textId="53EB8BC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-9.1</w:t>
            </w:r>
            <w:r w:rsidR="001F02E7">
              <w:rPr>
                <w:rFonts w:ascii="Arial" w:eastAsia="Times New Roman" w:hAnsi="Arial" w:cs="Arial"/>
                <w:color w:val="000000"/>
                <w:kern w:val="0"/>
                <w:sz w:val="18"/>
                <w:szCs w:val="18"/>
                <w14:ligatures w14:val="none"/>
              </w:rPr>
              <w:t>8</w:t>
            </w:r>
          </w:p>
        </w:tc>
        <w:tc>
          <w:tcPr>
            <w:tcW w:w="902" w:type="dxa"/>
            <w:tcBorders>
              <w:top w:val="single" w:sz="12" w:space="0" w:color="000000" w:themeColor="text1"/>
              <w:bottom w:val="nil"/>
            </w:tcBorders>
            <w:noWrap/>
            <w:vAlign w:val="center"/>
            <w:hideMark/>
          </w:tcPr>
          <w:p w14:paraId="0EA3C45E" w14:textId="639C9B3A"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-3.8</w:t>
            </w:r>
            <w:r w:rsidR="001F02E7">
              <w:rPr>
                <w:rFonts w:ascii="Arial" w:eastAsia="Times New Roman" w:hAnsi="Arial" w:cs="Arial"/>
                <w:color w:val="000000"/>
                <w:kern w:val="0"/>
                <w:sz w:val="18"/>
                <w:szCs w:val="18"/>
                <w14:ligatures w14:val="none"/>
              </w:rPr>
              <w:t>8</w:t>
            </w:r>
            <w:r w:rsidR="00181596" w:rsidRPr="00181596">
              <w:rPr>
                <w:rFonts w:ascii="Arial" w:eastAsia="Times New Roman" w:hAnsi="Arial" w:cs="Arial"/>
                <w:color w:val="000000"/>
                <w:kern w:val="0"/>
                <w:sz w:val="18"/>
                <w:szCs w:val="18"/>
                <w:vertAlign w:val="superscript"/>
                <w14:ligatures w14:val="none"/>
              </w:rPr>
              <w:t>c</w:t>
            </w:r>
          </w:p>
        </w:tc>
        <w:tc>
          <w:tcPr>
            <w:tcW w:w="2626" w:type="dxa"/>
            <w:vMerge w:val="restart"/>
            <w:tcBorders>
              <w:top w:val="single" w:sz="12" w:space="0" w:color="000000" w:themeColor="text1"/>
              <w:bottom w:val="single" w:sz="12" w:space="0" w:color="000000" w:themeColor="text1"/>
            </w:tcBorders>
            <w:noWrap/>
            <w:vAlign w:val="center"/>
            <w:hideMark/>
          </w:tcPr>
          <w:p w14:paraId="3BB11527"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Null hypothesis (H</w:t>
            </w:r>
            <w:r w:rsidRPr="008E37BB">
              <w:rPr>
                <w:rFonts w:ascii="Arial" w:eastAsia="Times New Roman" w:hAnsi="Arial" w:cs="Arial"/>
                <w:color w:val="000000"/>
                <w:kern w:val="0"/>
                <w:sz w:val="18"/>
                <w:szCs w:val="18"/>
                <w:vertAlign w:val="subscript"/>
                <w14:ligatures w14:val="none"/>
              </w:rPr>
              <w:t>0</w:t>
            </w:r>
            <w:r w:rsidRPr="008E37BB">
              <w:rPr>
                <w:rFonts w:ascii="Arial" w:eastAsia="Times New Roman" w:hAnsi="Arial" w:cs="Arial"/>
                <w:color w:val="000000"/>
                <w:kern w:val="0"/>
                <w:sz w:val="18"/>
                <w:szCs w:val="18"/>
                <w14:ligatures w14:val="none"/>
              </w:rPr>
              <w:t xml:space="preserve">) is rejected at 5% significance </w:t>
            </w:r>
            <w:r w:rsidRPr="008E37BB">
              <w:rPr>
                <w:rFonts w:ascii="Arial" w:eastAsia="Times New Roman" w:hAnsi="Arial" w:cs="Arial"/>
                <w:color w:val="000000"/>
                <w:kern w:val="0"/>
                <w:sz w:val="18"/>
                <w:szCs w:val="18"/>
                <w14:ligatures w14:val="none"/>
              </w:rPr>
              <w:lastRenderedPageBreak/>
              <w:t>level and we infer that FE is appropriate.</w:t>
            </w:r>
          </w:p>
        </w:tc>
      </w:tr>
      <w:tr w:rsidR="0062062F" w:rsidRPr="008E37BB" w14:paraId="34667EE5"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7BC8B12A"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5D418F64"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hAnsi="Arial" w:cs="Arial"/>
                <w:sz w:val="18"/>
                <w:szCs w:val="18"/>
              </w:rPr>
              <w:t>CO</w:t>
            </w:r>
            <w:r w:rsidRPr="008E37BB">
              <w:rPr>
                <w:rFonts w:ascii="Arial" w:hAnsi="Arial" w:cs="Arial"/>
                <w:sz w:val="18"/>
                <w:szCs w:val="18"/>
                <w:vertAlign w:val="subscript"/>
              </w:rPr>
              <w:t>2</w:t>
            </w:r>
          </w:p>
        </w:tc>
        <w:tc>
          <w:tcPr>
            <w:tcW w:w="811" w:type="dxa"/>
            <w:tcBorders>
              <w:top w:val="nil"/>
              <w:bottom w:val="nil"/>
            </w:tcBorders>
            <w:noWrap/>
            <w:vAlign w:val="center"/>
            <w:hideMark/>
          </w:tcPr>
          <w:p w14:paraId="3726E857" w14:textId="09FBDE2F"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0.63</w:t>
            </w:r>
          </w:p>
        </w:tc>
        <w:tc>
          <w:tcPr>
            <w:tcW w:w="918" w:type="dxa"/>
            <w:tcBorders>
              <w:top w:val="nil"/>
              <w:bottom w:val="nil"/>
            </w:tcBorders>
            <w:noWrap/>
            <w:vAlign w:val="center"/>
            <w:hideMark/>
          </w:tcPr>
          <w:p w14:paraId="6AAC127E" w14:textId="0D5F60B6"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2.0</w:t>
            </w:r>
            <w:r w:rsidR="001F02E7">
              <w:rPr>
                <w:rFonts w:ascii="Arial" w:eastAsia="Times New Roman" w:hAnsi="Arial" w:cs="Arial"/>
                <w:color w:val="000000"/>
                <w:kern w:val="0"/>
                <w:sz w:val="18"/>
                <w:szCs w:val="18"/>
                <w14:ligatures w14:val="none"/>
              </w:rPr>
              <w:t>2</w:t>
            </w:r>
            <w:r w:rsidR="00452CA9" w:rsidRPr="00452CA9">
              <w:rPr>
                <w:rFonts w:ascii="Arial" w:eastAsia="Times New Roman" w:hAnsi="Arial" w:cs="Arial"/>
                <w:color w:val="000000"/>
                <w:kern w:val="0"/>
                <w:sz w:val="18"/>
                <w:szCs w:val="18"/>
                <w:vertAlign w:val="superscript"/>
                <w14:ligatures w14:val="none"/>
              </w:rPr>
              <w:t>b</w:t>
            </w:r>
          </w:p>
        </w:tc>
        <w:tc>
          <w:tcPr>
            <w:tcW w:w="943" w:type="dxa"/>
            <w:tcBorders>
              <w:top w:val="nil"/>
              <w:bottom w:val="nil"/>
            </w:tcBorders>
            <w:noWrap/>
            <w:vAlign w:val="center"/>
            <w:hideMark/>
          </w:tcPr>
          <w:p w14:paraId="664E5126" w14:textId="102468CF"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0.5</w:t>
            </w:r>
            <w:r w:rsidR="001F02E7">
              <w:rPr>
                <w:rFonts w:ascii="Arial" w:eastAsia="Times New Roman" w:hAnsi="Arial" w:cs="Arial"/>
                <w:color w:val="000000"/>
                <w:kern w:val="0"/>
                <w:sz w:val="18"/>
                <w:szCs w:val="18"/>
                <w14:ligatures w14:val="none"/>
              </w:rPr>
              <w:t>7</w:t>
            </w:r>
          </w:p>
        </w:tc>
        <w:tc>
          <w:tcPr>
            <w:tcW w:w="902" w:type="dxa"/>
            <w:tcBorders>
              <w:top w:val="nil"/>
              <w:bottom w:val="nil"/>
            </w:tcBorders>
            <w:noWrap/>
            <w:vAlign w:val="center"/>
            <w:hideMark/>
          </w:tcPr>
          <w:p w14:paraId="658C15CA" w14:textId="1CBA6E54"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1.8</w:t>
            </w:r>
            <w:r w:rsidR="001F02E7">
              <w:rPr>
                <w:rFonts w:ascii="Arial" w:eastAsia="Times New Roman" w:hAnsi="Arial" w:cs="Arial"/>
                <w:color w:val="000000"/>
                <w:kern w:val="0"/>
                <w:sz w:val="18"/>
                <w:szCs w:val="18"/>
                <w14:ligatures w14:val="none"/>
              </w:rPr>
              <w:t>4</w:t>
            </w:r>
            <w:r w:rsidR="00181596" w:rsidRPr="00181596">
              <w:rPr>
                <w:rFonts w:ascii="Arial" w:eastAsia="Times New Roman" w:hAnsi="Arial" w:cs="Arial"/>
                <w:color w:val="000000"/>
                <w:kern w:val="0"/>
                <w:sz w:val="18"/>
                <w:szCs w:val="18"/>
                <w:vertAlign w:val="superscript"/>
                <w14:ligatures w14:val="none"/>
              </w:rPr>
              <w:t>a</w:t>
            </w:r>
          </w:p>
        </w:tc>
        <w:tc>
          <w:tcPr>
            <w:tcW w:w="2626" w:type="dxa"/>
            <w:vMerge/>
            <w:tcBorders>
              <w:bottom w:val="single" w:sz="12" w:space="0" w:color="000000" w:themeColor="text1"/>
            </w:tcBorders>
            <w:vAlign w:val="center"/>
            <w:hideMark/>
          </w:tcPr>
          <w:p w14:paraId="4A2CD14E"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07C86117"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5B1EDDB3"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4A2BF2F2"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TO</w:t>
            </w:r>
          </w:p>
        </w:tc>
        <w:tc>
          <w:tcPr>
            <w:tcW w:w="811" w:type="dxa"/>
            <w:tcBorders>
              <w:top w:val="nil"/>
              <w:bottom w:val="nil"/>
            </w:tcBorders>
            <w:noWrap/>
            <w:vAlign w:val="center"/>
            <w:hideMark/>
          </w:tcPr>
          <w:p w14:paraId="1313FC5E" w14:textId="4661676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-2.0</w:t>
            </w:r>
            <w:r w:rsidR="001F02E7">
              <w:rPr>
                <w:rFonts w:ascii="Arial" w:eastAsia="Times New Roman" w:hAnsi="Arial" w:cs="Arial"/>
                <w:color w:val="000000"/>
                <w:kern w:val="0"/>
                <w:sz w:val="18"/>
                <w:szCs w:val="18"/>
                <w14:ligatures w14:val="none"/>
              </w:rPr>
              <w:t>4</w:t>
            </w:r>
          </w:p>
        </w:tc>
        <w:tc>
          <w:tcPr>
            <w:tcW w:w="918" w:type="dxa"/>
            <w:tcBorders>
              <w:top w:val="nil"/>
              <w:bottom w:val="nil"/>
            </w:tcBorders>
            <w:noWrap/>
            <w:vAlign w:val="center"/>
            <w:hideMark/>
          </w:tcPr>
          <w:p w14:paraId="00C55C72" w14:textId="6C6C0BB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-4.5</w:t>
            </w:r>
            <w:r w:rsidR="001F02E7">
              <w:rPr>
                <w:rFonts w:ascii="Arial" w:eastAsia="Times New Roman" w:hAnsi="Arial" w:cs="Arial"/>
                <w:color w:val="000000"/>
                <w:kern w:val="0"/>
                <w:sz w:val="18"/>
                <w:szCs w:val="18"/>
                <w14:ligatures w14:val="none"/>
              </w:rPr>
              <w:t>9</w:t>
            </w:r>
            <w:r w:rsidR="00452CA9" w:rsidRPr="00452CA9">
              <w:rPr>
                <w:rFonts w:ascii="Arial" w:eastAsia="Times New Roman" w:hAnsi="Arial" w:cs="Arial"/>
                <w:color w:val="000000"/>
                <w:kern w:val="0"/>
                <w:sz w:val="18"/>
                <w:szCs w:val="18"/>
                <w:vertAlign w:val="superscript"/>
                <w14:ligatures w14:val="none"/>
              </w:rPr>
              <w:t>c</w:t>
            </w:r>
          </w:p>
        </w:tc>
        <w:tc>
          <w:tcPr>
            <w:tcW w:w="943" w:type="dxa"/>
            <w:tcBorders>
              <w:top w:val="nil"/>
              <w:bottom w:val="nil"/>
            </w:tcBorders>
            <w:noWrap/>
            <w:vAlign w:val="center"/>
            <w:hideMark/>
          </w:tcPr>
          <w:p w14:paraId="2E784108" w14:textId="2D60B0F2"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-1.8</w:t>
            </w:r>
            <w:r w:rsidR="001F02E7">
              <w:rPr>
                <w:rFonts w:ascii="Arial" w:eastAsia="Times New Roman" w:hAnsi="Arial" w:cs="Arial"/>
                <w:color w:val="000000"/>
                <w:kern w:val="0"/>
                <w:sz w:val="18"/>
                <w:szCs w:val="18"/>
                <w14:ligatures w14:val="none"/>
              </w:rPr>
              <w:t>2</w:t>
            </w:r>
          </w:p>
        </w:tc>
        <w:tc>
          <w:tcPr>
            <w:tcW w:w="902" w:type="dxa"/>
            <w:tcBorders>
              <w:top w:val="nil"/>
              <w:bottom w:val="nil"/>
            </w:tcBorders>
            <w:noWrap/>
            <w:vAlign w:val="center"/>
            <w:hideMark/>
          </w:tcPr>
          <w:p w14:paraId="56638B8D" w14:textId="5B93B83D"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-4.1</w:t>
            </w:r>
            <w:r w:rsidR="001F02E7">
              <w:rPr>
                <w:rFonts w:ascii="Arial" w:eastAsia="Times New Roman" w:hAnsi="Arial" w:cs="Arial"/>
                <w:color w:val="000000"/>
                <w:kern w:val="0"/>
                <w:sz w:val="18"/>
                <w:szCs w:val="18"/>
                <w14:ligatures w14:val="none"/>
              </w:rPr>
              <w:t>3</w:t>
            </w:r>
            <w:r w:rsidR="00181596" w:rsidRPr="00181596">
              <w:rPr>
                <w:rFonts w:ascii="Arial" w:eastAsia="Times New Roman" w:hAnsi="Arial" w:cs="Arial"/>
                <w:color w:val="000000"/>
                <w:kern w:val="0"/>
                <w:sz w:val="18"/>
                <w:szCs w:val="18"/>
                <w:vertAlign w:val="superscript"/>
                <w14:ligatures w14:val="none"/>
              </w:rPr>
              <w:t>c</w:t>
            </w:r>
          </w:p>
        </w:tc>
        <w:tc>
          <w:tcPr>
            <w:tcW w:w="2626" w:type="dxa"/>
            <w:vMerge/>
            <w:tcBorders>
              <w:bottom w:val="single" w:sz="12" w:space="0" w:color="000000" w:themeColor="text1"/>
            </w:tcBorders>
            <w:vAlign w:val="center"/>
            <w:hideMark/>
          </w:tcPr>
          <w:p w14:paraId="43ED75AE"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EB0A793"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2D4170C5"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428FFEFF"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EU (control var)</w:t>
            </w:r>
          </w:p>
        </w:tc>
        <w:tc>
          <w:tcPr>
            <w:tcW w:w="811" w:type="dxa"/>
            <w:tcBorders>
              <w:top w:val="nil"/>
              <w:bottom w:val="single" w:sz="12" w:space="0" w:color="000000" w:themeColor="text1"/>
            </w:tcBorders>
            <w:noWrap/>
            <w:vAlign w:val="center"/>
            <w:hideMark/>
          </w:tcPr>
          <w:p w14:paraId="293656C7" w14:textId="6916FF0D"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2.4</w:t>
            </w:r>
            <w:r w:rsidR="001F02E7">
              <w:rPr>
                <w:rFonts w:ascii="Arial" w:eastAsia="Times New Roman" w:hAnsi="Arial" w:cs="Arial"/>
                <w:color w:val="000000"/>
                <w:kern w:val="0"/>
                <w:sz w:val="18"/>
                <w:szCs w:val="18"/>
                <w14:ligatures w14:val="none"/>
              </w:rPr>
              <w:t>3</w:t>
            </w:r>
          </w:p>
        </w:tc>
        <w:tc>
          <w:tcPr>
            <w:tcW w:w="918" w:type="dxa"/>
            <w:tcBorders>
              <w:top w:val="nil"/>
              <w:bottom w:val="single" w:sz="12" w:space="0" w:color="000000" w:themeColor="text1"/>
            </w:tcBorders>
            <w:noWrap/>
            <w:vAlign w:val="center"/>
            <w:hideMark/>
          </w:tcPr>
          <w:p w14:paraId="24ABD77A" w14:textId="32437AA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6.36</w:t>
            </w:r>
            <w:r w:rsidR="00452CA9" w:rsidRPr="00452CA9">
              <w:rPr>
                <w:rFonts w:ascii="Arial" w:eastAsia="Times New Roman" w:hAnsi="Arial" w:cs="Arial"/>
                <w:color w:val="000000"/>
                <w:kern w:val="0"/>
                <w:sz w:val="18"/>
                <w:szCs w:val="18"/>
                <w:vertAlign w:val="superscript"/>
                <w14:ligatures w14:val="none"/>
              </w:rPr>
              <w:t>c</w:t>
            </w:r>
          </w:p>
        </w:tc>
        <w:tc>
          <w:tcPr>
            <w:tcW w:w="943" w:type="dxa"/>
            <w:tcBorders>
              <w:top w:val="nil"/>
              <w:bottom w:val="single" w:sz="12" w:space="0" w:color="000000" w:themeColor="text1"/>
            </w:tcBorders>
            <w:noWrap/>
            <w:vAlign w:val="center"/>
            <w:hideMark/>
          </w:tcPr>
          <w:p w14:paraId="6F762C39" w14:textId="2AB6AB79"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w:t>
            </w:r>
            <w:r w:rsidR="001F02E7">
              <w:rPr>
                <w:rFonts w:ascii="Arial" w:eastAsia="Times New Roman" w:hAnsi="Arial" w:cs="Arial"/>
                <w:color w:val="000000"/>
                <w:kern w:val="0"/>
                <w:sz w:val="18"/>
                <w:szCs w:val="18"/>
                <w14:ligatures w14:val="none"/>
              </w:rPr>
              <w:t>30</w:t>
            </w:r>
          </w:p>
        </w:tc>
        <w:tc>
          <w:tcPr>
            <w:tcW w:w="902" w:type="dxa"/>
            <w:tcBorders>
              <w:top w:val="nil"/>
              <w:bottom w:val="single" w:sz="12" w:space="0" w:color="000000" w:themeColor="text1"/>
            </w:tcBorders>
            <w:noWrap/>
            <w:vAlign w:val="center"/>
            <w:hideMark/>
          </w:tcPr>
          <w:p w14:paraId="238B7CCC" w14:textId="3CDD042B"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6.17</w:t>
            </w:r>
            <w:r w:rsidR="00181596" w:rsidRPr="00181596">
              <w:rPr>
                <w:rFonts w:ascii="Arial" w:eastAsia="Times New Roman" w:hAnsi="Arial" w:cs="Arial"/>
                <w:color w:val="000000"/>
                <w:kern w:val="0"/>
                <w:sz w:val="18"/>
                <w:szCs w:val="18"/>
                <w:vertAlign w:val="superscript"/>
                <w14:ligatures w14:val="none"/>
              </w:rPr>
              <w:t>c</w:t>
            </w:r>
          </w:p>
        </w:tc>
        <w:tc>
          <w:tcPr>
            <w:tcW w:w="2626" w:type="dxa"/>
            <w:vMerge/>
            <w:tcBorders>
              <w:bottom w:val="single" w:sz="12" w:space="0" w:color="000000" w:themeColor="text1"/>
            </w:tcBorders>
            <w:vAlign w:val="center"/>
            <w:hideMark/>
          </w:tcPr>
          <w:p w14:paraId="393F5BC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0342D4C6"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bottom w:val="nil"/>
            </w:tcBorders>
            <w:noWrap/>
            <w:vAlign w:val="center"/>
            <w:hideMark/>
          </w:tcPr>
          <w:p w14:paraId="6A199AC6"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Diagnostics</w:t>
            </w:r>
          </w:p>
        </w:tc>
        <w:tc>
          <w:tcPr>
            <w:tcW w:w="1895" w:type="dxa"/>
            <w:tcBorders>
              <w:top w:val="single" w:sz="12" w:space="0" w:color="000000" w:themeColor="text1"/>
              <w:bottom w:val="nil"/>
            </w:tcBorders>
            <w:noWrap/>
            <w:vAlign w:val="center"/>
            <w:hideMark/>
          </w:tcPr>
          <w:p w14:paraId="73539F1A" w14:textId="4DA5F5B9"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 xml:space="preserve">H-stats (df;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value</w:t>
            </w:r>
            <w:r w:rsidRPr="008E37BB">
              <w:rPr>
                <w:rFonts w:ascii="Arial" w:eastAsia="Times New Roman" w:hAnsi="Arial" w:cs="Arial"/>
                <w:color w:val="000000"/>
                <w:kern w:val="0"/>
                <w:sz w:val="18"/>
                <w:szCs w:val="18"/>
                <w14:ligatures w14:val="none"/>
              </w:rPr>
              <w:t>)</w:t>
            </w:r>
          </w:p>
        </w:tc>
        <w:tc>
          <w:tcPr>
            <w:tcW w:w="3574" w:type="dxa"/>
            <w:gridSpan w:val="4"/>
            <w:tcBorders>
              <w:top w:val="single" w:sz="12" w:space="0" w:color="000000" w:themeColor="text1"/>
              <w:bottom w:val="nil"/>
            </w:tcBorders>
            <w:noWrap/>
            <w:vAlign w:val="center"/>
            <w:hideMark/>
          </w:tcPr>
          <w:p w14:paraId="6A0BAE57" w14:textId="324FECA8"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26.3</w:t>
            </w:r>
            <w:r w:rsidR="00602FC0">
              <w:rPr>
                <w:rFonts w:ascii="Arial" w:eastAsia="Times New Roman" w:hAnsi="Arial" w:cs="Arial"/>
                <w:color w:val="000000"/>
                <w:kern w:val="0"/>
                <w:sz w:val="18"/>
                <w:szCs w:val="18"/>
                <w14:ligatures w14:val="none"/>
              </w:rPr>
              <w:t>7</w:t>
            </w:r>
            <w:r w:rsidRPr="008E37BB">
              <w:rPr>
                <w:rFonts w:ascii="Arial" w:eastAsia="Times New Roman" w:hAnsi="Arial" w:cs="Arial"/>
                <w:color w:val="000000"/>
                <w:kern w:val="0"/>
                <w:sz w:val="18"/>
                <w:szCs w:val="18"/>
                <w14:ligatures w14:val="none"/>
              </w:rPr>
              <w:t xml:space="preserve"> (3; .00)</w:t>
            </w:r>
          </w:p>
        </w:tc>
        <w:tc>
          <w:tcPr>
            <w:tcW w:w="2626" w:type="dxa"/>
            <w:vMerge/>
            <w:tcBorders>
              <w:bottom w:val="single" w:sz="12" w:space="0" w:color="000000" w:themeColor="text1"/>
            </w:tcBorders>
            <w:vAlign w:val="center"/>
            <w:hideMark/>
          </w:tcPr>
          <w:p w14:paraId="5D2C3039"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2C89F8A2"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top w:val="nil"/>
            </w:tcBorders>
            <w:vAlign w:val="center"/>
            <w:hideMark/>
          </w:tcPr>
          <w:p w14:paraId="35E97025"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57800878"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65D1C9F2" w14:textId="3F36A905"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0.79</w:t>
            </w:r>
          </w:p>
        </w:tc>
        <w:tc>
          <w:tcPr>
            <w:tcW w:w="1845" w:type="dxa"/>
            <w:gridSpan w:val="2"/>
            <w:tcBorders>
              <w:top w:val="nil"/>
              <w:bottom w:val="nil"/>
            </w:tcBorders>
            <w:noWrap/>
            <w:vAlign w:val="center"/>
            <w:hideMark/>
          </w:tcPr>
          <w:p w14:paraId="3C3D2766" w14:textId="2EFF034D"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0.65</w:t>
            </w:r>
          </w:p>
        </w:tc>
        <w:tc>
          <w:tcPr>
            <w:tcW w:w="2626" w:type="dxa"/>
            <w:vMerge/>
            <w:tcBorders>
              <w:top w:val="nil"/>
              <w:bottom w:val="single" w:sz="12" w:space="0" w:color="000000" w:themeColor="text1"/>
            </w:tcBorders>
            <w:vAlign w:val="center"/>
            <w:hideMark/>
          </w:tcPr>
          <w:p w14:paraId="111D4FC5"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0691F45"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44141DF1"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52CD7E24"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Adj. 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306D11E2" w14:textId="090EE175"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w:t>
            </w:r>
            <w:r w:rsidR="00602FC0">
              <w:rPr>
                <w:rFonts w:ascii="Arial" w:eastAsia="Times New Roman" w:hAnsi="Arial" w:cs="Arial"/>
                <w:color w:val="000000"/>
                <w:kern w:val="0"/>
                <w:sz w:val="18"/>
                <w:szCs w:val="18"/>
                <w14:ligatures w14:val="none"/>
              </w:rPr>
              <w:t>9</w:t>
            </w:r>
          </w:p>
        </w:tc>
        <w:tc>
          <w:tcPr>
            <w:tcW w:w="1845" w:type="dxa"/>
            <w:gridSpan w:val="2"/>
            <w:tcBorders>
              <w:top w:val="nil"/>
              <w:bottom w:val="nil"/>
            </w:tcBorders>
            <w:noWrap/>
            <w:vAlign w:val="center"/>
            <w:hideMark/>
          </w:tcPr>
          <w:p w14:paraId="6353C6AB" w14:textId="4A7DC402"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0.6</w:t>
            </w:r>
            <w:r w:rsidR="00602FC0">
              <w:rPr>
                <w:rFonts w:ascii="Arial" w:eastAsia="Times New Roman" w:hAnsi="Arial" w:cs="Arial"/>
                <w:color w:val="000000"/>
                <w:kern w:val="0"/>
                <w:sz w:val="18"/>
                <w:szCs w:val="18"/>
                <w14:ligatures w14:val="none"/>
              </w:rPr>
              <w:t>5</w:t>
            </w:r>
          </w:p>
        </w:tc>
        <w:tc>
          <w:tcPr>
            <w:tcW w:w="2626" w:type="dxa"/>
            <w:vMerge/>
            <w:tcBorders>
              <w:bottom w:val="single" w:sz="12" w:space="0" w:color="000000" w:themeColor="text1"/>
            </w:tcBorders>
            <w:vAlign w:val="center"/>
            <w:hideMark/>
          </w:tcPr>
          <w:p w14:paraId="1FF97779"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032A518B"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1BE16A64"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31BB4D61" w14:textId="4A6158C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F-stats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value</w:t>
            </w:r>
            <w:r w:rsidRPr="008E37BB">
              <w:rPr>
                <w:rFonts w:ascii="Arial" w:eastAsia="Times New Roman" w:hAnsi="Arial" w:cs="Arial"/>
                <w:color w:val="000000"/>
                <w:kern w:val="0"/>
                <w:sz w:val="18"/>
                <w:szCs w:val="18"/>
                <w14:ligatures w14:val="none"/>
              </w:rPr>
              <w:t>)</w:t>
            </w:r>
          </w:p>
        </w:tc>
        <w:tc>
          <w:tcPr>
            <w:tcW w:w="1729" w:type="dxa"/>
            <w:gridSpan w:val="2"/>
            <w:tcBorders>
              <w:top w:val="nil"/>
              <w:bottom w:val="single" w:sz="12" w:space="0" w:color="000000" w:themeColor="text1"/>
            </w:tcBorders>
            <w:noWrap/>
            <w:vAlign w:val="center"/>
            <w:hideMark/>
          </w:tcPr>
          <w:p w14:paraId="79944DEA" w14:textId="1D2CD3E0"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141.19 (.00)</w:t>
            </w:r>
          </w:p>
        </w:tc>
        <w:tc>
          <w:tcPr>
            <w:tcW w:w="1845" w:type="dxa"/>
            <w:gridSpan w:val="2"/>
            <w:tcBorders>
              <w:top w:val="nil"/>
              <w:bottom w:val="single" w:sz="12" w:space="0" w:color="000000" w:themeColor="text1"/>
            </w:tcBorders>
            <w:noWrap/>
            <w:vAlign w:val="center"/>
            <w:hideMark/>
          </w:tcPr>
          <w:p w14:paraId="497DF561" w14:textId="46FB7122"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163.7</w:t>
            </w:r>
            <w:r w:rsidR="00602FC0">
              <w:rPr>
                <w:rFonts w:ascii="Arial" w:eastAsia="Times New Roman" w:hAnsi="Arial" w:cs="Arial"/>
                <w:color w:val="000000"/>
                <w:kern w:val="0"/>
                <w:sz w:val="18"/>
                <w:szCs w:val="18"/>
                <w14:ligatures w14:val="none"/>
              </w:rPr>
              <w:t>6</w:t>
            </w:r>
            <w:r w:rsidRPr="008E37BB">
              <w:rPr>
                <w:rFonts w:ascii="Arial" w:eastAsia="Times New Roman" w:hAnsi="Arial" w:cs="Arial"/>
                <w:color w:val="000000"/>
                <w:kern w:val="0"/>
                <w:sz w:val="18"/>
                <w:szCs w:val="18"/>
                <w14:ligatures w14:val="none"/>
              </w:rPr>
              <w:t xml:space="preserve"> (.00)</w:t>
            </w:r>
          </w:p>
        </w:tc>
        <w:tc>
          <w:tcPr>
            <w:tcW w:w="2626" w:type="dxa"/>
            <w:vMerge/>
            <w:tcBorders>
              <w:bottom w:val="single" w:sz="12" w:space="0" w:color="000000" w:themeColor="text1"/>
            </w:tcBorders>
            <w:vAlign w:val="center"/>
            <w:hideMark/>
          </w:tcPr>
          <w:p w14:paraId="003B6F52"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6EF0E829"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tcBorders>
            <w:vAlign w:val="center"/>
            <w:hideMark/>
          </w:tcPr>
          <w:p w14:paraId="0986F02E"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 xml:space="preserve">3 </w:t>
            </w:r>
            <w:r w:rsidRPr="008E37BB">
              <w:rPr>
                <w:rFonts w:ascii="Arial" w:eastAsia="Times New Roman" w:hAnsi="Arial" w:cs="Arial"/>
                <w:b w:val="0"/>
                <w:bCs w:val="0"/>
                <w:color w:val="000000"/>
                <w:kern w:val="0"/>
                <w:sz w:val="18"/>
                <w:szCs w:val="18"/>
                <w14:ligatures w14:val="none"/>
              </w:rPr>
              <w:br/>
              <w:t>(Dep. Var: TO)</w:t>
            </w:r>
          </w:p>
        </w:tc>
        <w:tc>
          <w:tcPr>
            <w:tcW w:w="1895" w:type="dxa"/>
            <w:tcBorders>
              <w:top w:val="single" w:sz="12" w:space="0" w:color="000000" w:themeColor="text1"/>
              <w:bottom w:val="nil"/>
            </w:tcBorders>
            <w:noWrap/>
            <w:vAlign w:val="center"/>
            <w:hideMark/>
          </w:tcPr>
          <w:p w14:paraId="18B8DCC8"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C</w:t>
            </w:r>
          </w:p>
        </w:tc>
        <w:tc>
          <w:tcPr>
            <w:tcW w:w="811" w:type="dxa"/>
            <w:tcBorders>
              <w:top w:val="single" w:sz="12" w:space="0" w:color="000000" w:themeColor="text1"/>
              <w:bottom w:val="nil"/>
            </w:tcBorders>
            <w:noWrap/>
            <w:vAlign w:val="center"/>
            <w:hideMark/>
          </w:tcPr>
          <w:p w14:paraId="06FAB492" w14:textId="7B643994"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-9.1</w:t>
            </w:r>
            <w:r w:rsidR="00E60A0F">
              <w:rPr>
                <w:rFonts w:ascii="Arial" w:eastAsia="Times New Roman" w:hAnsi="Arial" w:cs="Arial"/>
                <w:color w:val="000000"/>
                <w:kern w:val="0"/>
                <w:sz w:val="18"/>
                <w:szCs w:val="18"/>
                <w14:ligatures w14:val="none"/>
              </w:rPr>
              <w:t>8</w:t>
            </w:r>
          </w:p>
        </w:tc>
        <w:tc>
          <w:tcPr>
            <w:tcW w:w="918" w:type="dxa"/>
            <w:tcBorders>
              <w:top w:val="single" w:sz="12" w:space="0" w:color="000000" w:themeColor="text1"/>
              <w:bottom w:val="nil"/>
            </w:tcBorders>
            <w:noWrap/>
            <w:vAlign w:val="center"/>
            <w:hideMark/>
          </w:tcPr>
          <w:p w14:paraId="5AEE00F1" w14:textId="335B9FED"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-3.8</w:t>
            </w:r>
            <w:r w:rsidR="00E60A0F">
              <w:rPr>
                <w:rFonts w:ascii="Arial" w:eastAsia="Times New Roman" w:hAnsi="Arial" w:cs="Arial"/>
                <w:color w:val="000000"/>
                <w:kern w:val="0"/>
                <w:sz w:val="18"/>
                <w:szCs w:val="18"/>
                <w14:ligatures w14:val="none"/>
              </w:rPr>
              <w:t>8</w:t>
            </w:r>
          </w:p>
        </w:tc>
        <w:tc>
          <w:tcPr>
            <w:tcW w:w="943" w:type="dxa"/>
            <w:tcBorders>
              <w:top w:val="single" w:sz="12" w:space="0" w:color="000000" w:themeColor="text1"/>
              <w:bottom w:val="nil"/>
            </w:tcBorders>
            <w:noWrap/>
            <w:vAlign w:val="center"/>
            <w:hideMark/>
          </w:tcPr>
          <w:p w14:paraId="77A71313" w14:textId="5D13034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-0.27</w:t>
            </w:r>
          </w:p>
        </w:tc>
        <w:tc>
          <w:tcPr>
            <w:tcW w:w="902" w:type="dxa"/>
            <w:tcBorders>
              <w:top w:val="single" w:sz="12" w:space="0" w:color="000000" w:themeColor="text1"/>
              <w:bottom w:val="nil"/>
            </w:tcBorders>
            <w:noWrap/>
            <w:vAlign w:val="center"/>
            <w:hideMark/>
          </w:tcPr>
          <w:p w14:paraId="5F93A940" w14:textId="3D711C1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-0.83</w:t>
            </w:r>
          </w:p>
        </w:tc>
        <w:tc>
          <w:tcPr>
            <w:tcW w:w="2626" w:type="dxa"/>
            <w:vMerge w:val="restart"/>
            <w:tcBorders>
              <w:top w:val="single" w:sz="12" w:space="0" w:color="000000" w:themeColor="text1"/>
              <w:bottom w:val="single" w:sz="12" w:space="0" w:color="000000" w:themeColor="text1"/>
            </w:tcBorders>
            <w:noWrap/>
            <w:vAlign w:val="center"/>
            <w:hideMark/>
          </w:tcPr>
          <w:p w14:paraId="3ED0E513"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Null hypothesis (H</w:t>
            </w:r>
            <w:r w:rsidRPr="008E37BB">
              <w:rPr>
                <w:rFonts w:ascii="Arial" w:eastAsia="Times New Roman" w:hAnsi="Arial" w:cs="Arial"/>
                <w:color w:val="000000"/>
                <w:kern w:val="0"/>
                <w:sz w:val="18"/>
                <w:szCs w:val="18"/>
                <w:vertAlign w:val="subscript"/>
                <w14:ligatures w14:val="none"/>
              </w:rPr>
              <w:t>0</w:t>
            </w:r>
            <w:r w:rsidRPr="008E37BB">
              <w:rPr>
                <w:rFonts w:ascii="Arial" w:eastAsia="Times New Roman" w:hAnsi="Arial" w:cs="Arial"/>
                <w:color w:val="000000"/>
                <w:kern w:val="0"/>
                <w:sz w:val="18"/>
                <w:szCs w:val="18"/>
                <w14:ligatures w14:val="none"/>
              </w:rPr>
              <w:t>) is rejected at 5% significance level and we infer that FE is appropriate.</w:t>
            </w:r>
          </w:p>
        </w:tc>
      </w:tr>
      <w:tr w:rsidR="0062062F" w:rsidRPr="008E37BB" w14:paraId="3B3E0525"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2B075A11"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54170AAD"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hAnsi="Arial" w:cs="Arial"/>
                <w:sz w:val="18"/>
                <w:szCs w:val="18"/>
              </w:rPr>
              <w:t>CO</w:t>
            </w:r>
            <w:r w:rsidRPr="008E37BB">
              <w:rPr>
                <w:rFonts w:ascii="Arial" w:hAnsi="Arial" w:cs="Arial"/>
                <w:sz w:val="18"/>
                <w:szCs w:val="18"/>
                <w:vertAlign w:val="subscript"/>
              </w:rPr>
              <w:t>2</w:t>
            </w:r>
          </w:p>
        </w:tc>
        <w:tc>
          <w:tcPr>
            <w:tcW w:w="811" w:type="dxa"/>
            <w:tcBorders>
              <w:top w:val="nil"/>
              <w:bottom w:val="nil"/>
            </w:tcBorders>
            <w:noWrap/>
            <w:vAlign w:val="center"/>
            <w:hideMark/>
          </w:tcPr>
          <w:p w14:paraId="13017A26" w14:textId="24659C84"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0.5</w:t>
            </w:r>
            <w:r w:rsidR="00E60A0F">
              <w:rPr>
                <w:rFonts w:ascii="Arial" w:eastAsia="Times New Roman" w:hAnsi="Arial" w:cs="Arial"/>
                <w:color w:val="000000"/>
                <w:kern w:val="0"/>
                <w:sz w:val="18"/>
                <w:szCs w:val="18"/>
                <w14:ligatures w14:val="none"/>
              </w:rPr>
              <w:t>7</w:t>
            </w:r>
          </w:p>
        </w:tc>
        <w:tc>
          <w:tcPr>
            <w:tcW w:w="918" w:type="dxa"/>
            <w:tcBorders>
              <w:top w:val="nil"/>
              <w:bottom w:val="nil"/>
            </w:tcBorders>
            <w:noWrap/>
            <w:vAlign w:val="center"/>
            <w:hideMark/>
          </w:tcPr>
          <w:p w14:paraId="3AB7BB7A" w14:textId="2F6C738C"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1.8</w:t>
            </w:r>
            <w:r w:rsidR="00E60A0F">
              <w:rPr>
                <w:rFonts w:ascii="Arial" w:eastAsia="Times New Roman" w:hAnsi="Arial" w:cs="Arial"/>
                <w:color w:val="000000"/>
                <w:kern w:val="0"/>
                <w:sz w:val="18"/>
                <w:szCs w:val="18"/>
                <w14:ligatures w14:val="none"/>
              </w:rPr>
              <w:t>4</w:t>
            </w:r>
            <w:r w:rsidR="00181596" w:rsidRPr="00181596">
              <w:rPr>
                <w:rFonts w:ascii="Arial" w:eastAsia="Times New Roman" w:hAnsi="Arial" w:cs="Arial"/>
                <w:color w:val="000000"/>
                <w:kern w:val="0"/>
                <w:sz w:val="18"/>
                <w:szCs w:val="18"/>
                <w:vertAlign w:val="superscript"/>
                <w14:ligatures w14:val="none"/>
              </w:rPr>
              <w:t>c</w:t>
            </w:r>
          </w:p>
        </w:tc>
        <w:tc>
          <w:tcPr>
            <w:tcW w:w="943" w:type="dxa"/>
            <w:tcBorders>
              <w:top w:val="nil"/>
              <w:bottom w:val="nil"/>
            </w:tcBorders>
            <w:noWrap/>
            <w:vAlign w:val="center"/>
            <w:hideMark/>
          </w:tcPr>
          <w:p w14:paraId="35A00F96" w14:textId="6E99836B"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0.18</w:t>
            </w:r>
          </w:p>
        </w:tc>
        <w:tc>
          <w:tcPr>
            <w:tcW w:w="902" w:type="dxa"/>
            <w:tcBorders>
              <w:top w:val="nil"/>
              <w:bottom w:val="nil"/>
            </w:tcBorders>
            <w:noWrap/>
            <w:vAlign w:val="center"/>
            <w:hideMark/>
          </w:tcPr>
          <w:p w14:paraId="5882C648" w14:textId="0CCA5C25"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4.5</w:t>
            </w:r>
            <w:r w:rsidR="00E60A0F">
              <w:rPr>
                <w:rFonts w:ascii="Arial" w:eastAsia="Times New Roman" w:hAnsi="Arial" w:cs="Arial"/>
                <w:color w:val="000000"/>
                <w:kern w:val="0"/>
                <w:sz w:val="18"/>
                <w:szCs w:val="18"/>
                <w14:ligatures w14:val="none"/>
              </w:rPr>
              <w:t>7</w:t>
            </w:r>
            <w:r w:rsidR="00181596" w:rsidRPr="00181596">
              <w:rPr>
                <w:rFonts w:ascii="Arial" w:eastAsia="Times New Roman" w:hAnsi="Arial" w:cs="Arial"/>
                <w:color w:val="000000"/>
                <w:kern w:val="0"/>
                <w:sz w:val="18"/>
                <w:szCs w:val="18"/>
                <w:vertAlign w:val="superscript"/>
                <w14:ligatures w14:val="none"/>
              </w:rPr>
              <w:t>c</w:t>
            </w:r>
          </w:p>
        </w:tc>
        <w:tc>
          <w:tcPr>
            <w:tcW w:w="2626" w:type="dxa"/>
            <w:vMerge/>
            <w:tcBorders>
              <w:bottom w:val="single" w:sz="12" w:space="0" w:color="000000" w:themeColor="text1"/>
            </w:tcBorders>
            <w:vAlign w:val="center"/>
            <w:hideMark/>
          </w:tcPr>
          <w:p w14:paraId="2BFD9B5D"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9722DD1"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5558256C"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31A076ED"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GDPPC</w:t>
            </w:r>
          </w:p>
        </w:tc>
        <w:tc>
          <w:tcPr>
            <w:tcW w:w="811" w:type="dxa"/>
            <w:tcBorders>
              <w:top w:val="nil"/>
              <w:bottom w:val="nil"/>
            </w:tcBorders>
            <w:noWrap/>
            <w:vAlign w:val="center"/>
            <w:hideMark/>
          </w:tcPr>
          <w:p w14:paraId="73FF4201" w14:textId="1652296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-1.8</w:t>
            </w:r>
            <w:r w:rsidR="00E60A0F">
              <w:rPr>
                <w:rFonts w:ascii="Arial" w:eastAsia="Times New Roman" w:hAnsi="Arial" w:cs="Arial"/>
                <w:color w:val="000000"/>
                <w:kern w:val="0"/>
                <w:sz w:val="18"/>
                <w:szCs w:val="18"/>
                <w14:ligatures w14:val="none"/>
              </w:rPr>
              <w:t>2</w:t>
            </w:r>
          </w:p>
        </w:tc>
        <w:tc>
          <w:tcPr>
            <w:tcW w:w="918" w:type="dxa"/>
            <w:tcBorders>
              <w:top w:val="nil"/>
              <w:bottom w:val="nil"/>
            </w:tcBorders>
            <w:noWrap/>
            <w:vAlign w:val="center"/>
            <w:hideMark/>
          </w:tcPr>
          <w:p w14:paraId="22940D63" w14:textId="697332E4"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-4.1</w:t>
            </w:r>
            <w:r w:rsidR="00E60A0F">
              <w:rPr>
                <w:rFonts w:ascii="Arial" w:eastAsia="Times New Roman" w:hAnsi="Arial" w:cs="Arial"/>
                <w:color w:val="000000"/>
                <w:kern w:val="0"/>
                <w:sz w:val="18"/>
                <w:szCs w:val="18"/>
                <w14:ligatures w14:val="none"/>
              </w:rPr>
              <w:t>3</w:t>
            </w:r>
            <w:r w:rsidR="00181596" w:rsidRPr="00181596">
              <w:rPr>
                <w:rFonts w:ascii="Arial" w:eastAsia="Times New Roman" w:hAnsi="Arial" w:cs="Arial"/>
                <w:color w:val="000000"/>
                <w:kern w:val="0"/>
                <w:sz w:val="18"/>
                <w:szCs w:val="18"/>
                <w:vertAlign w:val="superscript"/>
                <w14:ligatures w14:val="none"/>
              </w:rPr>
              <w:t>c</w:t>
            </w:r>
          </w:p>
        </w:tc>
        <w:tc>
          <w:tcPr>
            <w:tcW w:w="943" w:type="dxa"/>
            <w:tcBorders>
              <w:top w:val="nil"/>
              <w:bottom w:val="nil"/>
            </w:tcBorders>
            <w:noWrap/>
            <w:vAlign w:val="center"/>
            <w:hideMark/>
          </w:tcPr>
          <w:p w14:paraId="24D24D88" w14:textId="557E25A3"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-0.0</w:t>
            </w:r>
            <w:r w:rsidR="00E60A0F">
              <w:rPr>
                <w:rFonts w:ascii="Arial" w:eastAsia="Times New Roman" w:hAnsi="Arial" w:cs="Arial"/>
                <w:color w:val="000000"/>
                <w:kern w:val="0"/>
                <w:sz w:val="18"/>
                <w:szCs w:val="18"/>
                <w14:ligatures w14:val="none"/>
              </w:rPr>
              <w:t>3</w:t>
            </w:r>
          </w:p>
        </w:tc>
        <w:tc>
          <w:tcPr>
            <w:tcW w:w="902" w:type="dxa"/>
            <w:tcBorders>
              <w:top w:val="nil"/>
              <w:bottom w:val="nil"/>
            </w:tcBorders>
            <w:noWrap/>
            <w:vAlign w:val="center"/>
            <w:hideMark/>
          </w:tcPr>
          <w:p w14:paraId="32F52795" w14:textId="2BC3D455"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-3.8</w:t>
            </w:r>
            <w:r w:rsidR="00E60A0F">
              <w:rPr>
                <w:rFonts w:ascii="Arial" w:eastAsia="Times New Roman" w:hAnsi="Arial" w:cs="Arial"/>
                <w:color w:val="000000"/>
                <w:kern w:val="0"/>
                <w:sz w:val="18"/>
                <w:szCs w:val="18"/>
                <w14:ligatures w14:val="none"/>
              </w:rPr>
              <w:t>3</w:t>
            </w:r>
            <w:r w:rsidR="00181596" w:rsidRPr="00181596">
              <w:rPr>
                <w:rFonts w:ascii="Arial" w:eastAsia="Times New Roman" w:hAnsi="Arial" w:cs="Arial"/>
                <w:color w:val="000000"/>
                <w:kern w:val="0"/>
                <w:sz w:val="18"/>
                <w:szCs w:val="18"/>
                <w:vertAlign w:val="superscript"/>
                <w14:ligatures w14:val="none"/>
              </w:rPr>
              <w:t>c</w:t>
            </w:r>
          </w:p>
        </w:tc>
        <w:tc>
          <w:tcPr>
            <w:tcW w:w="2626" w:type="dxa"/>
            <w:vMerge/>
            <w:tcBorders>
              <w:bottom w:val="single" w:sz="12" w:space="0" w:color="000000" w:themeColor="text1"/>
            </w:tcBorders>
            <w:vAlign w:val="center"/>
            <w:hideMark/>
          </w:tcPr>
          <w:p w14:paraId="01FC5C6B"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B32330E"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3C548691"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11BB38C7"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EU (control var)</w:t>
            </w:r>
          </w:p>
        </w:tc>
        <w:tc>
          <w:tcPr>
            <w:tcW w:w="811" w:type="dxa"/>
            <w:tcBorders>
              <w:top w:val="nil"/>
              <w:bottom w:val="single" w:sz="12" w:space="0" w:color="000000" w:themeColor="text1"/>
            </w:tcBorders>
            <w:noWrap/>
            <w:vAlign w:val="center"/>
            <w:hideMark/>
          </w:tcPr>
          <w:p w14:paraId="567DE470" w14:textId="35602090"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2.</w:t>
            </w:r>
            <w:r w:rsidR="00E60A0F">
              <w:rPr>
                <w:rFonts w:ascii="Arial" w:eastAsia="Times New Roman" w:hAnsi="Arial" w:cs="Arial"/>
                <w:color w:val="000000"/>
                <w:kern w:val="0"/>
                <w:sz w:val="18"/>
                <w:szCs w:val="18"/>
                <w14:ligatures w14:val="none"/>
              </w:rPr>
              <w:t>30</w:t>
            </w:r>
          </w:p>
        </w:tc>
        <w:tc>
          <w:tcPr>
            <w:tcW w:w="918" w:type="dxa"/>
            <w:tcBorders>
              <w:top w:val="nil"/>
              <w:bottom w:val="single" w:sz="12" w:space="0" w:color="000000" w:themeColor="text1"/>
            </w:tcBorders>
            <w:noWrap/>
            <w:vAlign w:val="center"/>
            <w:hideMark/>
          </w:tcPr>
          <w:p w14:paraId="36B174BB" w14:textId="43CE1186"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6.17</w:t>
            </w:r>
            <w:r w:rsidR="00181596" w:rsidRPr="00181596">
              <w:rPr>
                <w:rFonts w:ascii="Arial" w:eastAsia="Times New Roman" w:hAnsi="Arial" w:cs="Arial"/>
                <w:color w:val="000000"/>
                <w:kern w:val="0"/>
                <w:sz w:val="18"/>
                <w:szCs w:val="18"/>
                <w:vertAlign w:val="superscript"/>
                <w14:ligatures w14:val="none"/>
              </w:rPr>
              <w:t>b</w:t>
            </w:r>
          </w:p>
        </w:tc>
        <w:tc>
          <w:tcPr>
            <w:tcW w:w="943" w:type="dxa"/>
            <w:tcBorders>
              <w:top w:val="nil"/>
              <w:bottom w:val="single" w:sz="12" w:space="0" w:color="000000" w:themeColor="text1"/>
            </w:tcBorders>
            <w:noWrap/>
            <w:vAlign w:val="center"/>
            <w:hideMark/>
          </w:tcPr>
          <w:p w14:paraId="50D7EDD1" w14:textId="36D1137D"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0.0</w:t>
            </w:r>
            <w:r w:rsidR="00E60A0F">
              <w:rPr>
                <w:rFonts w:ascii="Arial" w:eastAsia="Times New Roman" w:hAnsi="Arial" w:cs="Arial"/>
                <w:color w:val="000000"/>
                <w:kern w:val="0"/>
                <w:sz w:val="18"/>
                <w:szCs w:val="18"/>
                <w14:ligatures w14:val="none"/>
              </w:rPr>
              <w:t>9</w:t>
            </w:r>
          </w:p>
        </w:tc>
        <w:tc>
          <w:tcPr>
            <w:tcW w:w="902" w:type="dxa"/>
            <w:tcBorders>
              <w:top w:val="nil"/>
              <w:bottom w:val="single" w:sz="12" w:space="0" w:color="000000" w:themeColor="text1"/>
            </w:tcBorders>
            <w:noWrap/>
            <w:vAlign w:val="center"/>
            <w:hideMark/>
          </w:tcPr>
          <w:p w14:paraId="06CB5A7F" w14:textId="475AE101"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1.6</w:t>
            </w:r>
            <w:r w:rsidR="00E60A0F">
              <w:rPr>
                <w:rFonts w:ascii="Arial" w:eastAsia="Times New Roman" w:hAnsi="Arial" w:cs="Arial"/>
                <w:color w:val="000000"/>
                <w:kern w:val="0"/>
                <w:sz w:val="18"/>
                <w:szCs w:val="18"/>
                <w14:ligatures w14:val="none"/>
              </w:rPr>
              <w:t>7</w:t>
            </w:r>
            <w:r w:rsidR="00181596" w:rsidRPr="00181596">
              <w:rPr>
                <w:rFonts w:ascii="Arial" w:eastAsia="Times New Roman" w:hAnsi="Arial" w:cs="Arial"/>
                <w:color w:val="000000"/>
                <w:kern w:val="0"/>
                <w:sz w:val="18"/>
                <w:szCs w:val="18"/>
                <w:vertAlign w:val="superscript"/>
                <w14:ligatures w14:val="none"/>
              </w:rPr>
              <w:t>a</w:t>
            </w:r>
          </w:p>
        </w:tc>
        <w:tc>
          <w:tcPr>
            <w:tcW w:w="2626" w:type="dxa"/>
            <w:vMerge/>
            <w:tcBorders>
              <w:bottom w:val="single" w:sz="12" w:space="0" w:color="000000" w:themeColor="text1"/>
            </w:tcBorders>
            <w:vAlign w:val="center"/>
            <w:hideMark/>
          </w:tcPr>
          <w:p w14:paraId="425B7F5F"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70973142"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000000" w:themeColor="text1"/>
            </w:tcBorders>
            <w:noWrap/>
            <w:vAlign w:val="center"/>
            <w:hideMark/>
          </w:tcPr>
          <w:p w14:paraId="5FDD8E3B"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r w:rsidRPr="008E37BB">
              <w:rPr>
                <w:rFonts w:ascii="Arial" w:eastAsia="Times New Roman" w:hAnsi="Arial" w:cs="Arial"/>
                <w:b w:val="0"/>
                <w:bCs w:val="0"/>
                <w:color w:val="000000"/>
                <w:kern w:val="0"/>
                <w:sz w:val="18"/>
                <w:szCs w:val="18"/>
                <w14:ligatures w14:val="none"/>
              </w:rPr>
              <w:t>Diagnostics</w:t>
            </w:r>
          </w:p>
        </w:tc>
        <w:tc>
          <w:tcPr>
            <w:tcW w:w="1895" w:type="dxa"/>
            <w:tcBorders>
              <w:top w:val="single" w:sz="12" w:space="0" w:color="000000" w:themeColor="text1"/>
              <w:bottom w:val="nil"/>
            </w:tcBorders>
            <w:noWrap/>
            <w:vAlign w:val="center"/>
            <w:hideMark/>
          </w:tcPr>
          <w:p w14:paraId="51A647B9" w14:textId="39E85063"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 xml:space="preserve">H-stats (df;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value</w:t>
            </w:r>
            <w:r w:rsidRPr="008E37BB">
              <w:rPr>
                <w:rFonts w:ascii="Arial" w:eastAsia="Times New Roman" w:hAnsi="Arial" w:cs="Arial"/>
                <w:color w:val="000000"/>
                <w:kern w:val="0"/>
                <w:sz w:val="18"/>
                <w:szCs w:val="18"/>
                <w14:ligatures w14:val="none"/>
              </w:rPr>
              <w:t>)</w:t>
            </w:r>
          </w:p>
        </w:tc>
        <w:tc>
          <w:tcPr>
            <w:tcW w:w="3574" w:type="dxa"/>
            <w:gridSpan w:val="4"/>
            <w:tcBorders>
              <w:top w:val="single" w:sz="12" w:space="0" w:color="000000" w:themeColor="text1"/>
              <w:bottom w:val="nil"/>
            </w:tcBorders>
            <w:noWrap/>
            <w:vAlign w:val="center"/>
            <w:hideMark/>
          </w:tcPr>
          <w:p w14:paraId="731A5953" w14:textId="57B2571C"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11.03 (3; .01)</w:t>
            </w:r>
          </w:p>
        </w:tc>
        <w:tc>
          <w:tcPr>
            <w:tcW w:w="2626" w:type="dxa"/>
            <w:vMerge/>
            <w:tcBorders>
              <w:bottom w:val="single" w:sz="12" w:space="0" w:color="000000" w:themeColor="text1"/>
            </w:tcBorders>
            <w:vAlign w:val="center"/>
            <w:hideMark/>
          </w:tcPr>
          <w:p w14:paraId="54E1AC2E"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43F1FB8B"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734994EE"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68E35449" w14:textId="77777777"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74256F06" w14:textId="79EB024D"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w:t>
            </w:r>
            <w:r w:rsidR="00E60A0F">
              <w:rPr>
                <w:rFonts w:ascii="Arial" w:eastAsia="Times New Roman" w:hAnsi="Arial" w:cs="Arial"/>
                <w:color w:val="000000"/>
                <w:kern w:val="0"/>
                <w:sz w:val="18"/>
                <w:szCs w:val="18"/>
                <w14:ligatures w14:val="none"/>
              </w:rPr>
              <w:t>8</w:t>
            </w:r>
          </w:p>
        </w:tc>
        <w:tc>
          <w:tcPr>
            <w:tcW w:w="1845" w:type="dxa"/>
            <w:gridSpan w:val="2"/>
            <w:tcBorders>
              <w:top w:val="nil"/>
              <w:bottom w:val="nil"/>
            </w:tcBorders>
            <w:noWrap/>
            <w:vAlign w:val="center"/>
            <w:hideMark/>
          </w:tcPr>
          <w:p w14:paraId="5B2138B5" w14:textId="193318E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0.5</w:t>
            </w:r>
            <w:r w:rsidR="00E60A0F">
              <w:rPr>
                <w:rFonts w:ascii="Arial" w:eastAsia="Times New Roman" w:hAnsi="Arial" w:cs="Arial"/>
                <w:color w:val="000000"/>
                <w:kern w:val="0"/>
                <w:sz w:val="18"/>
                <w:szCs w:val="18"/>
                <w14:ligatures w14:val="none"/>
              </w:rPr>
              <w:t>1</w:t>
            </w:r>
          </w:p>
        </w:tc>
        <w:tc>
          <w:tcPr>
            <w:tcW w:w="2626" w:type="dxa"/>
            <w:vMerge/>
            <w:tcBorders>
              <w:bottom w:val="single" w:sz="12" w:space="0" w:color="000000" w:themeColor="text1"/>
            </w:tcBorders>
            <w:vAlign w:val="center"/>
            <w:hideMark/>
          </w:tcPr>
          <w:p w14:paraId="24895797"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5247D0B9" w14:textId="77777777" w:rsidTr="00C02D91">
        <w:trPr>
          <w:trHeight w:val="300"/>
        </w:trPr>
        <w:tc>
          <w:tcPr>
            <w:cnfStyle w:val="001000000000" w:firstRow="0" w:lastRow="0" w:firstColumn="1" w:lastColumn="0" w:oddVBand="0" w:evenVBand="0" w:oddHBand="0" w:evenHBand="0" w:firstRowFirstColumn="0" w:firstRowLastColumn="0" w:lastRowFirstColumn="0" w:lastRowLastColumn="0"/>
            <w:tcW w:w="1255" w:type="dxa"/>
            <w:vMerge/>
            <w:vAlign w:val="center"/>
            <w:hideMark/>
          </w:tcPr>
          <w:p w14:paraId="354BEC79"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nil"/>
            </w:tcBorders>
            <w:noWrap/>
            <w:vAlign w:val="center"/>
            <w:hideMark/>
          </w:tcPr>
          <w:p w14:paraId="3CBBA3CA" w14:textId="77777777" w:rsidR="0062062F" w:rsidRPr="008E37BB" w:rsidRDefault="0062062F" w:rsidP="008F5B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Adj. R</w:t>
            </w:r>
            <w:r w:rsidRPr="008E37BB">
              <w:rPr>
                <w:rFonts w:ascii="Arial" w:eastAsia="Times New Roman" w:hAnsi="Arial" w:cs="Arial"/>
                <w:color w:val="000000"/>
                <w:kern w:val="0"/>
                <w:sz w:val="18"/>
                <w:szCs w:val="18"/>
                <w:vertAlign w:val="superscript"/>
                <w14:ligatures w14:val="none"/>
              </w:rPr>
              <w:t>2</w:t>
            </w:r>
          </w:p>
        </w:tc>
        <w:tc>
          <w:tcPr>
            <w:tcW w:w="1729" w:type="dxa"/>
            <w:gridSpan w:val="2"/>
            <w:tcBorders>
              <w:top w:val="nil"/>
              <w:bottom w:val="nil"/>
            </w:tcBorders>
            <w:noWrap/>
            <w:vAlign w:val="center"/>
            <w:hideMark/>
          </w:tcPr>
          <w:p w14:paraId="05876151" w14:textId="584F18D4"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0.77</w:t>
            </w:r>
          </w:p>
        </w:tc>
        <w:tc>
          <w:tcPr>
            <w:tcW w:w="1845" w:type="dxa"/>
            <w:gridSpan w:val="2"/>
            <w:tcBorders>
              <w:top w:val="nil"/>
              <w:bottom w:val="nil"/>
            </w:tcBorders>
            <w:noWrap/>
            <w:vAlign w:val="center"/>
            <w:hideMark/>
          </w:tcPr>
          <w:p w14:paraId="35AD073D" w14:textId="6D785EB8"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0.5</w:t>
            </w:r>
            <w:r w:rsidR="00E60A0F">
              <w:rPr>
                <w:rFonts w:ascii="Arial" w:eastAsia="Times New Roman" w:hAnsi="Arial" w:cs="Arial"/>
                <w:color w:val="000000"/>
                <w:kern w:val="0"/>
                <w:sz w:val="18"/>
                <w:szCs w:val="18"/>
                <w14:ligatures w14:val="none"/>
              </w:rPr>
              <w:t>0</w:t>
            </w:r>
          </w:p>
        </w:tc>
        <w:tc>
          <w:tcPr>
            <w:tcW w:w="2626" w:type="dxa"/>
            <w:vMerge/>
            <w:tcBorders>
              <w:bottom w:val="single" w:sz="12" w:space="0" w:color="000000" w:themeColor="text1"/>
            </w:tcBorders>
            <w:vAlign w:val="center"/>
            <w:hideMark/>
          </w:tcPr>
          <w:p w14:paraId="49FB8C72" w14:textId="77777777" w:rsidR="0062062F" w:rsidRPr="008E37BB"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14:ligatures w14:val="none"/>
              </w:rPr>
            </w:pPr>
          </w:p>
        </w:tc>
      </w:tr>
      <w:tr w:rsidR="0062062F" w:rsidRPr="008E37BB" w14:paraId="07AA7CDF" w14:textId="77777777" w:rsidTr="00C02D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5" w:type="dxa"/>
            <w:vMerge/>
            <w:tcBorders>
              <w:bottom w:val="single" w:sz="12" w:space="0" w:color="000000" w:themeColor="text1"/>
            </w:tcBorders>
            <w:vAlign w:val="center"/>
            <w:hideMark/>
          </w:tcPr>
          <w:p w14:paraId="281F24D9" w14:textId="77777777" w:rsidR="0062062F" w:rsidRPr="008E37BB" w:rsidRDefault="0062062F" w:rsidP="008F5BD4">
            <w:pPr>
              <w:jc w:val="center"/>
              <w:rPr>
                <w:rFonts w:ascii="Arial" w:eastAsia="Times New Roman" w:hAnsi="Arial" w:cs="Arial"/>
                <w:b w:val="0"/>
                <w:bCs w:val="0"/>
                <w:color w:val="000000"/>
                <w:kern w:val="0"/>
                <w:sz w:val="18"/>
                <w:szCs w:val="18"/>
                <w14:ligatures w14:val="none"/>
              </w:rPr>
            </w:pPr>
          </w:p>
        </w:tc>
        <w:tc>
          <w:tcPr>
            <w:tcW w:w="1895" w:type="dxa"/>
            <w:tcBorders>
              <w:top w:val="nil"/>
              <w:bottom w:val="single" w:sz="12" w:space="0" w:color="000000" w:themeColor="text1"/>
            </w:tcBorders>
            <w:noWrap/>
            <w:vAlign w:val="center"/>
            <w:hideMark/>
          </w:tcPr>
          <w:p w14:paraId="4DD551ED" w14:textId="3C0F8379" w:rsidR="0062062F" w:rsidRPr="008E37BB" w:rsidRDefault="0062062F" w:rsidP="008F5B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F-stats (</w:t>
            </w:r>
            <w:r w:rsidR="00C02D91" w:rsidRPr="00C02D91">
              <w:rPr>
                <w:rFonts w:ascii="Arial" w:eastAsia="Times New Roman" w:hAnsi="Arial" w:cs="Arial"/>
                <w:i/>
                <w:iCs/>
                <w:color w:val="000000"/>
                <w:kern w:val="0"/>
                <w:sz w:val="18"/>
                <w:szCs w:val="18"/>
                <w14:ligatures w14:val="none"/>
              </w:rPr>
              <w:t>P</w:t>
            </w:r>
            <w:r w:rsidR="00C02D91">
              <w:rPr>
                <w:rFonts w:ascii="Arial" w:eastAsia="Times New Roman" w:hAnsi="Arial" w:cs="Arial"/>
                <w:color w:val="000000"/>
                <w:kern w:val="0"/>
                <w:sz w:val="18"/>
                <w:szCs w:val="18"/>
                <w14:ligatures w14:val="none"/>
              </w:rPr>
              <w:t xml:space="preserve"> value</w:t>
            </w:r>
            <w:r w:rsidRPr="008E37BB">
              <w:rPr>
                <w:rFonts w:ascii="Arial" w:eastAsia="Times New Roman" w:hAnsi="Arial" w:cs="Arial"/>
                <w:color w:val="000000"/>
                <w:kern w:val="0"/>
                <w:sz w:val="18"/>
                <w:szCs w:val="18"/>
                <w14:ligatures w14:val="none"/>
              </w:rPr>
              <w:t>)</w:t>
            </w:r>
          </w:p>
        </w:tc>
        <w:tc>
          <w:tcPr>
            <w:tcW w:w="1729" w:type="dxa"/>
            <w:gridSpan w:val="2"/>
            <w:tcBorders>
              <w:top w:val="nil"/>
              <w:bottom w:val="single" w:sz="12" w:space="0" w:color="000000" w:themeColor="text1"/>
            </w:tcBorders>
            <w:noWrap/>
            <w:vAlign w:val="center"/>
            <w:hideMark/>
          </w:tcPr>
          <w:p w14:paraId="0BB4DAAD" w14:textId="6EAAB2DE"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129.5</w:t>
            </w:r>
            <w:r w:rsidR="00E60A0F">
              <w:rPr>
                <w:rFonts w:ascii="Arial" w:eastAsia="Times New Roman" w:hAnsi="Arial" w:cs="Arial"/>
                <w:color w:val="000000"/>
                <w:kern w:val="0"/>
                <w:sz w:val="18"/>
                <w:szCs w:val="18"/>
                <w14:ligatures w14:val="none"/>
              </w:rPr>
              <w:t>4</w:t>
            </w:r>
            <w:r w:rsidRPr="008E37BB">
              <w:rPr>
                <w:rFonts w:ascii="Arial" w:eastAsia="Times New Roman" w:hAnsi="Arial" w:cs="Arial"/>
                <w:color w:val="000000"/>
                <w:kern w:val="0"/>
                <w:sz w:val="18"/>
                <w:szCs w:val="18"/>
                <w14:ligatures w14:val="none"/>
              </w:rPr>
              <w:t xml:space="preserve"> (.00)</w:t>
            </w:r>
          </w:p>
        </w:tc>
        <w:tc>
          <w:tcPr>
            <w:tcW w:w="1845" w:type="dxa"/>
            <w:gridSpan w:val="2"/>
            <w:tcBorders>
              <w:top w:val="nil"/>
              <w:bottom w:val="single" w:sz="12" w:space="0" w:color="000000" w:themeColor="text1"/>
            </w:tcBorders>
            <w:noWrap/>
            <w:vAlign w:val="center"/>
            <w:hideMark/>
          </w:tcPr>
          <w:p w14:paraId="3435CFB4" w14:textId="425B039E"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r w:rsidRPr="008E37BB">
              <w:rPr>
                <w:rFonts w:ascii="Arial" w:eastAsia="Times New Roman" w:hAnsi="Arial" w:cs="Arial"/>
                <w:color w:val="000000"/>
                <w:kern w:val="0"/>
                <w:sz w:val="18"/>
                <w:szCs w:val="18"/>
                <w14:ligatures w14:val="none"/>
              </w:rPr>
              <w:t>88.8</w:t>
            </w:r>
            <w:r w:rsidR="00E60A0F">
              <w:rPr>
                <w:rFonts w:ascii="Arial" w:eastAsia="Times New Roman" w:hAnsi="Arial" w:cs="Arial"/>
                <w:color w:val="000000"/>
                <w:kern w:val="0"/>
                <w:sz w:val="18"/>
                <w:szCs w:val="18"/>
                <w14:ligatures w14:val="none"/>
              </w:rPr>
              <w:t>6</w:t>
            </w:r>
            <w:r w:rsidRPr="008E37BB">
              <w:rPr>
                <w:rFonts w:ascii="Arial" w:eastAsia="Times New Roman" w:hAnsi="Arial" w:cs="Arial"/>
                <w:color w:val="000000"/>
                <w:kern w:val="0"/>
                <w:sz w:val="18"/>
                <w:szCs w:val="18"/>
                <w14:ligatures w14:val="none"/>
              </w:rPr>
              <w:t xml:space="preserve"> (.00)</w:t>
            </w:r>
          </w:p>
        </w:tc>
        <w:tc>
          <w:tcPr>
            <w:tcW w:w="2626" w:type="dxa"/>
            <w:vMerge/>
            <w:tcBorders>
              <w:bottom w:val="single" w:sz="12" w:space="0" w:color="000000" w:themeColor="text1"/>
            </w:tcBorders>
            <w:vAlign w:val="center"/>
            <w:hideMark/>
          </w:tcPr>
          <w:p w14:paraId="0F6DF05B" w14:textId="77777777" w:rsidR="0062062F" w:rsidRPr="008E37BB"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14:ligatures w14:val="none"/>
              </w:rPr>
            </w:pPr>
          </w:p>
        </w:tc>
      </w:tr>
    </w:tbl>
    <w:p w14:paraId="64C92D3D" w14:textId="4487EA7A" w:rsidR="001421C9" w:rsidRPr="001421C9" w:rsidRDefault="001421C9" w:rsidP="001421C9">
      <w:pPr>
        <w:spacing w:before="120" w:after="0" w:line="480" w:lineRule="auto"/>
        <w:jc w:val="both"/>
        <w:rPr>
          <w:rFonts w:ascii="Arial" w:hAnsi="Arial" w:cs="Arial"/>
          <w:i/>
          <w:iCs/>
          <w:sz w:val="20"/>
          <w:szCs w:val="20"/>
        </w:rPr>
      </w:pPr>
      <w:r w:rsidRPr="00DE2056">
        <w:rPr>
          <w:rFonts w:ascii="Arial" w:hAnsi="Arial" w:cs="Arial"/>
          <w:i/>
          <w:iCs/>
          <w:sz w:val="20"/>
          <w:szCs w:val="20"/>
        </w:rPr>
        <w:t>Note: ‘a’, ‘b’ and ‘c’ represent significance at 10%, 5% and 1% respectively.</w:t>
      </w:r>
    </w:p>
    <w:p w14:paraId="3BC6F78C" w14:textId="729DE825" w:rsidR="0062062F" w:rsidRPr="00E6111F" w:rsidRDefault="0062062F" w:rsidP="001421C9">
      <w:pPr>
        <w:spacing w:before="120" w:after="120" w:line="360" w:lineRule="auto"/>
        <w:rPr>
          <w:rFonts w:ascii="Arial" w:hAnsi="Arial" w:cs="Arial"/>
          <w:b/>
          <w:bCs/>
        </w:rPr>
      </w:pPr>
      <w:r w:rsidRPr="00E6111F">
        <w:rPr>
          <w:rFonts w:ascii="Arial" w:hAnsi="Arial" w:cs="Arial"/>
          <w:b/>
          <w:bCs/>
        </w:rPr>
        <w:t>5.6 Granger</w:t>
      </w:r>
      <w:r w:rsidR="00540D17">
        <w:rPr>
          <w:rFonts w:ascii="Arial" w:hAnsi="Arial" w:cs="Arial"/>
          <w:b/>
          <w:bCs/>
        </w:rPr>
        <w:t>-</w:t>
      </w:r>
      <w:r w:rsidRPr="00E6111F">
        <w:rPr>
          <w:rFonts w:ascii="Arial" w:hAnsi="Arial" w:cs="Arial"/>
          <w:b/>
          <w:bCs/>
        </w:rPr>
        <w:t>Causality Tests</w:t>
      </w:r>
    </w:p>
    <w:p w14:paraId="5B137A1E" w14:textId="523FD0F7" w:rsidR="0062062F" w:rsidRPr="000C3263" w:rsidRDefault="0062062F" w:rsidP="000C3263">
      <w:pPr>
        <w:jc w:val="both"/>
        <w:rPr>
          <w:rFonts w:ascii="Arial" w:hAnsi="Arial" w:cs="Arial"/>
          <w:sz w:val="20"/>
          <w:szCs w:val="20"/>
        </w:rPr>
      </w:pPr>
      <w:r w:rsidRPr="000C3263">
        <w:rPr>
          <w:rFonts w:ascii="Arial" w:hAnsi="Arial" w:cs="Arial"/>
          <w:sz w:val="20"/>
          <w:szCs w:val="20"/>
        </w:rPr>
        <w:t>The causality tests</w:t>
      </w:r>
      <w:r w:rsidR="004E289F">
        <w:rPr>
          <w:rFonts w:ascii="Arial" w:hAnsi="Arial" w:cs="Arial"/>
          <w:sz w:val="20"/>
          <w:szCs w:val="20"/>
        </w:rPr>
        <w:t xml:space="preserve"> </w:t>
      </w:r>
      <w:r w:rsidR="00D31B28">
        <w:rPr>
          <w:rFonts w:ascii="Arial" w:hAnsi="Arial" w:cs="Arial"/>
          <w:sz w:val="20"/>
          <w:szCs w:val="20"/>
        </w:rPr>
        <w:t>findings</w:t>
      </w:r>
      <w:r w:rsidR="004E289F">
        <w:rPr>
          <w:rFonts w:ascii="Arial" w:hAnsi="Arial" w:cs="Arial"/>
          <w:sz w:val="20"/>
          <w:szCs w:val="20"/>
        </w:rPr>
        <w:t xml:space="preserve"> in Table (8)</w:t>
      </w:r>
      <w:r w:rsidRPr="000C3263">
        <w:rPr>
          <w:rFonts w:ascii="Arial" w:hAnsi="Arial" w:cs="Arial"/>
          <w:sz w:val="20"/>
          <w:szCs w:val="20"/>
        </w:rPr>
        <w:t xml:space="preserve"> identify significant relationships: </w:t>
      </w:r>
      <w:r w:rsidR="004E289F">
        <w:rPr>
          <w:rFonts w:ascii="Arial" w:hAnsi="Arial" w:cs="Arial"/>
          <w:sz w:val="20"/>
          <w:szCs w:val="20"/>
        </w:rPr>
        <w:t xml:space="preserve">1) </w:t>
      </w:r>
      <w:r w:rsidRPr="000C3263">
        <w:rPr>
          <w:rFonts w:ascii="Arial" w:hAnsi="Arial" w:cs="Arial"/>
          <w:sz w:val="20"/>
          <w:szCs w:val="20"/>
        </w:rPr>
        <w:t>GDPPC Granger causes CO</w:t>
      </w:r>
      <w:r w:rsidRPr="000C3263">
        <w:rPr>
          <w:rFonts w:ascii="Arial" w:hAnsi="Arial" w:cs="Arial"/>
          <w:sz w:val="20"/>
          <w:szCs w:val="20"/>
          <w:vertAlign w:val="subscript"/>
        </w:rPr>
        <w:t>2</w:t>
      </w:r>
      <w:r w:rsidRPr="000C3263">
        <w:rPr>
          <w:rFonts w:ascii="Arial" w:hAnsi="Arial" w:cs="Arial"/>
          <w:sz w:val="20"/>
          <w:szCs w:val="20"/>
        </w:rPr>
        <w:t xml:space="preserve"> (p = .01), </w:t>
      </w:r>
      <w:r w:rsidR="004E289F">
        <w:rPr>
          <w:rFonts w:ascii="Arial" w:hAnsi="Arial" w:cs="Arial"/>
          <w:sz w:val="20"/>
          <w:szCs w:val="20"/>
        </w:rPr>
        <w:t xml:space="preserve">2) </w:t>
      </w:r>
      <w:r w:rsidRPr="000C3263">
        <w:rPr>
          <w:rFonts w:ascii="Arial" w:hAnsi="Arial" w:cs="Arial"/>
          <w:sz w:val="20"/>
          <w:szCs w:val="20"/>
        </w:rPr>
        <w:t>CO</w:t>
      </w:r>
      <w:r w:rsidRPr="000C3263">
        <w:rPr>
          <w:rFonts w:ascii="Arial" w:hAnsi="Arial" w:cs="Arial"/>
          <w:sz w:val="20"/>
          <w:szCs w:val="20"/>
          <w:vertAlign w:val="subscript"/>
        </w:rPr>
        <w:t>2</w:t>
      </w:r>
      <w:r w:rsidRPr="000C3263">
        <w:rPr>
          <w:rFonts w:ascii="Arial" w:hAnsi="Arial" w:cs="Arial"/>
          <w:sz w:val="20"/>
          <w:szCs w:val="20"/>
        </w:rPr>
        <w:t xml:space="preserve"> Granger causes TO (p = .00), and </w:t>
      </w:r>
      <w:r w:rsidR="004E289F">
        <w:rPr>
          <w:rFonts w:ascii="Arial" w:hAnsi="Arial" w:cs="Arial"/>
          <w:sz w:val="20"/>
          <w:szCs w:val="20"/>
        </w:rPr>
        <w:t xml:space="preserve">3) </w:t>
      </w:r>
      <w:r w:rsidRPr="000C3263">
        <w:rPr>
          <w:rFonts w:ascii="Arial" w:hAnsi="Arial" w:cs="Arial"/>
          <w:sz w:val="20"/>
          <w:szCs w:val="20"/>
        </w:rPr>
        <w:t>TO Granger causes GDPPC (p = .02) (Granger, 1969). This suggests a feedback loop where growth drives emissions, emissions boost trade, and trade fuels growth, with EU as a key intermediary (</w:t>
      </w:r>
      <w:proofErr w:type="spellStart"/>
      <w:r w:rsidRPr="000C3263">
        <w:rPr>
          <w:rFonts w:ascii="Arial" w:hAnsi="Arial" w:cs="Arial"/>
          <w:sz w:val="20"/>
          <w:szCs w:val="20"/>
        </w:rPr>
        <w:t>Sebri</w:t>
      </w:r>
      <w:proofErr w:type="spellEnd"/>
      <w:r w:rsidRPr="000C3263">
        <w:rPr>
          <w:rFonts w:ascii="Arial" w:hAnsi="Arial" w:cs="Arial"/>
          <w:sz w:val="20"/>
          <w:szCs w:val="20"/>
        </w:rPr>
        <w:t xml:space="preserve"> &amp; Ben-</w:t>
      </w:r>
      <w:proofErr w:type="spellStart"/>
      <w:r w:rsidRPr="000C3263">
        <w:rPr>
          <w:rFonts w:ascii="Arial" w:hAnsi="Arial" w:cs="Arial"/>
          <w:sz w:val="20"/>
          <w:szCs w:val="20"/>
        </w:rPr>
        <w:t>Salha</w:t>
      </w:r>
      <w:proofErr w:type="spellEnd"/>
      <w:r w:rsidRPr="000C3263">
        <w:rPr>
          <w:rFonts w:ascii="Arial" w:hAnsi="Arial" w:cs="Arial"/>
          <w:sz w:val="20"/>
          <w:szCs w:val="20"/>
        </w:rPr>
        <w:t>, 2014).</w:t>
      </w:r>
    </w:p>
    <w:p w14:paraId="1540BCF3" w14:textId="4755E211" w:rsidR="0062062F" w:rsidRPr="00E75B08" w:rsidRDefault="0062062F" w:rsidP="00E75B08">
      <w:pPr>
        <w:spacing w:after="0" w:line="480" w:lineRule="auto"/>
        <w:jc w:val="center"/>
        <w:rPr>
          <w:rFonts w:ascii="Arial" w:hAnsi="Arial" w:cs="Arial"/>
          <w:b/>
          <w:bCs/>
          <w:sz w:val="20"/>
          <w:szCs w:val="20"/>
        </w:rPr>
      </w:pPr>
      <w:r w:rsidRPr="00E75B08">
        <w:rPr>
          <w:rFonts w:ascii="Arial" w:hAnsi="Arial" w:cs="Arial"/>
          <w:b/>
          <w:bCs/>
          <w:sz w:val="20"/>
          <w:szCs w:val="20"/>
        </w:rPr>
        <w:t>Table 8</w:t>
      </w:r>
      <w:r w:rsidR="00E97BBB">
        <w:rPr>
          <w:rFonts w:ascii="Arial" w:hAnsi="Arial" w:cs="Arial"/>
          <w:b/>
          <w:bCs/>
          <w:sz w:val="20"/>
          <w:szCs w:val="20"/>
        </w:rPr>
        <w:t>.</w:t>
      </w:r>
      <w:r w:rsidRPr="00E75B08">
        <w:rPr>
          <w:rFonts w:ascii="Arial" w:hAnsi="Arial" w:cs="Arial"/>
          <w:b/>
          <w:bCs/>
          <w:sz w:val="20"/>
          <w:szCs w:val="20"/>
        </w:rPr>
        <w:t xml:space="preserve"> Pairwise Panel Granger</w:t>
      </w:r>
      <w:r w:rsidR="00D31B28">
        <w:rPr>
          <w:rFonts w:ascii="Arial" w:hAnsi="Arial" w:cs="Arial"/>
          <w:b/>
          <w:bCs/>
          <w:sz w:val="20"/>
          <w:szCs w:val="20"/>
        </w:rPr>
        <w:t>-</w:t>
      </w:r>
      <w:r w:rsidRPr="00E75B08">
        <w:rPr>
          <w:rFonts w:ascii="Arial" w:hAnsi="Arial" w:cs="Arial"/>
          <w:b/>
          <w:bCs/>
          <w:sz w:val="20"/>
          <w:szCs w:val="20"/>
        </w:rPr>
        <w:t>Causality Test Results</w:t>
      </w:r>
    </w:p>
    <w:tbl>
      <w:tblPr>
        <w:tblStyle w:val="PlainTable2"/>
        <w:tblW w:w="5000" w:type="pct"/>
        <w:tblLook w:val="04A0" w:firstRow="1" w:lastRow="0" w:firstColumn="1" w:lastColumn="0" w:noHBand="0" w:noVBand="1"/>
      </w:tblPr>
      <w:tblGrid>
        <w:gridCol w:w="3602"/>
        <w:gridCol w:w="1350"/>
        <w:gridCol w:w="1260"/>
        <w:gridCol w:w="1529"/>
        <w:gridCol w:w="1619"/>
      </w:tblGrid>
      <w:tr w:rsidR="0062062F" w:rsidRPr="000C3263" w14:paraId="6EC669F9" w14:textId="77777777" w:rsidTr="008F5BD4">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924" w:type="pct"/>
            <w:tcBorders>
              <w:top w:val="single" w:sz="12" w:space="0" w:color="000000" w:themeColor="text1"/>
              <w:bottom w:val="single" w:sz="12" w:space="0" w:color="000000" w:themeColor="text1"/>
            </w:tcBorders>
            <w:noWrap/>
            <w:vAlign w:val="center"/>
            <w:hideMark/>
          </w:tcPr>
          <w:p w14:paraId="6F9D66E7" w14:textId="77777777" w:rsidR="0062062F" w:rsidRPr="000C3263" w:rsidRDefault="0062062F" w:rsidP="008F5BD4">
            <w:pPr>
              <w:jc w:val="center"/>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Null (H</w:t>
            </w:r>
            <w:r w:rsidRPr="000C3263">
              <w:rPr>
                <w:rFonts w:ascii="Arial" w:eastAsia="Times New Roman" w:hAnsi="Arial" w:cs="Arial"/>
                <w:color w:val="000000"/>
                <w:kern w:val="0"/>
                <w:sz w:val="20"/>
                <w:szCs w:val="20"/>
                <w:vertAlign w:val="subscript"/>
                <w14:ligatures w14:val="none"/>
              </w:rPr>
              <w:t>0</w:t>
            </w:r>
            <w:r w:rsidRPr="000C3263">
              <w:rPr>
                <w:rFonts w:ascii="Arial" w:eastAsia="Times New Roman" w:hAnsi="Arial" w:cs="Arial"/>
                <w:color w:val="000000"/>
                <w:kern w:val="0"/>
                <w:sz w:val="20"/>
                <w:szCs w:val="20"/>
                <w14:ligatures w14:val="none"/>
              </w:rPr>
              <w:t>) Hypothesis:</w:t>
            </w:r>
          </w:p>
        </w:tc>
        <w:tc>
          <w:tcPr>
            <w:tcW w:w="721" w:type="pct"/>
            <w:tcBorders>
              <w:top w:val="single" w:sz="12" w:space="0" w:color="000000" w:themeColor="text1"/>
              <w:bottom w:val="single" w:sz="12" w:space="0" w:color="000000" w:themeColor="text1"/>
            </w:tcBorders>
            <w:noWrap/>
            <w:vAlign w:val="center"/>
            <w:hideMark/>
          </w:tcPr>
          <w:p w14:paraId="0481A7B4" w14:textId="77777777" w:rsidR="0062062F" w:rsidRPr="000C3263"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Obs.</w:t>
            </w:r>
          </w:p>
        </w:tc>
        <w:tc>
          <w:tcPr>
            <w:tcW w:w="673" w:type="pct"/>
            <w:tcBorders>
              <w:top w:val="single" w:sz="12" w:space="0" w:color="000000" w:themeColor="text1"/>
              <w:bottom w:val="single" w:sz="12" w:space="0" w:color="000000" w:themeColor="text1"/>
            </w:tcBorders>
            <w:noWrap/>
            <w:vAlign w:val="center"/>
            <w:hideMark/>
          </w:tcPr>
          <w:p w14:paraId="7D0B5A8F" w14:textId="77777777" w:rsidR="0062062F" w:rsidRPr="000C3263"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F-Stats</w:t>
            </w:r>
          </w:p>
        </w:tc>
        <w:tc>
          <w:tcPr>
            <w:tcW w:w="817" w:type="pct"/>
            <w:tcBorders>
              <w:top w:val="single" w:sz="12" w:space="0" w:color="000000" w:themeColor="text1"/>
              <w:bottom w:val="single" w:sz="12" w:space="0" w:color="000000" w:themeColor="text1"/>
            </w:tcBorders>
            <w:noWrap/>
            <w:vAlign w:val="center"/>
            <w:hideMark/>
          </w:tcPr>
          <w:p w14:paraId="379E2CAA" w14:textId="76D4E996" w:rsidR="0062062F" w:rsidRPr="000C3263" w:rsidRDefault="00E765CE"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E765CE">
              <w:rPr>
                <w:rFonts w:ascii="Arial" w:eastAsia="Times New Roman" w:hAnsi="Arial" w:cs="Arial"/>
                <w:i/>
                <w:iCs/>
                <w:color w:val="000000"/>
                <w:kern w:val="0"/>
                <w:sz w:val="20"/>
                <w:szCs w:val="20"/>
                <w14:ligatures w14:val="none"/>
              </w:rPr>
              <w:t xml:space="preserve">P </w:t>
            </w:r>
            <w:r>
              <w:rPr>
                <w:rFonts w:ascii="Arial" w:eastAsia="Times New Roman" w:hAnsi="Arial" w:cs="Arial"/>
                <w:color w:val="000000"/>
                <w:kern w:val="0"/>
                <w:sz w:val="20"/>
                <w:szCs w:val="20"/>
                <w14:ligatures w14:val="none"/>
              </w:rPr>
              <w:t>value</w:t>
            </w:r>
          </w:p>
        </w:tc>
        <w:tc>
          <w:tcPr>
            <w:tcW w:w="865" w:type="pct"/>
            <w:tcBorders>
              <w:top w:val="single" w:sz="12" w:space="0" w:color="000000" w:themeColor="text1"/>
              <w:bottom w:val="single" w:sz="12" w:space="0" w:color="000000" w:themeColor="text1"/>
            </w:tcBorders>
            <w:vAlign w:val="center"/>
          </w:tcPr>
          <w:p w14:paraId="4A245464" w14:textId="77777777" w:rsidR="0062062F" w:rsidRPr="000C3263" w:rsidRDefault="0062062F" w:rsidP="008F5B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Inference</w:t>
            </w:r>
          </w:p>
        </w:tc>
      </w:tr>
      <w:tr w:rsidR="0062062F" w:rsidRPr="000C3263" w14:paraId="3B86FE68" w14:textId="77777777" w:rsidTr="008F5B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single" w:sz="12" w:space="0" w:color="000000" w:themeColor="text1"/>
              <w:bottom w:val="nil"/>
            </w:tcBorders>
            <w:noWrap/>
            <w:vAlign w:val="center"/>
            <w:hideMark/>
          </w:tcPr>
          <w:p w14:paraId="4CDC7A01"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eastAsia="Times New Roman" w:hAnsi="Arial" w:cs="Arial"/>
                <w:b w:val="0"/>
                <w:bCs w:val="0"/>
                <w:color w:val="000000"/>
                <w:kern w:val="0"/>
                <w:sz w:val="20"/>
                <w:szCs w:val="20"/>
                <w14:ligatures w14:val="none"/>
              </w:rPr>
              <w:t xml:space="preserve">GDPPC does not Granger Cause </w:t>
            </w:r>
            <w:r w:rsidRPr="000C3263">
              <w:rPr>
                <w:rFonts w:ascii="Arial" w:hAnsi="Arial" w:cs="Arial"/>
                <w:b w:val="0"/>
                <w:bCs w:val="0"/>
                <w:sz w:val="20"/>
                <w:szCs w:val="20"/>
              </w:rPr>
              <w:t>CO</w:t>
            </w:r>
            <w:r w:rsidRPr="000C3263">
              <w:rPr>
                <w:rFonts w:ascii="Arial" w:hAnsi="Arial" w:cs="Arial"/>
                <w:b w:val="0"/>
                <w:bCs w:val="0"/>
                <w:sz w:val="20"/>
                <w:szCs w:val="20"/>
                <w:vertAlign w:val="subscript"/>
              </w:rPr>
              <w:t>2</w:t>
            </w:r>
          </w:p>
        </w:tc>
        <w:tc>
          <w:tcPr>
            <w:tcW w:w="721" w:type="pct"/>
            <w:vMerge w:val="restart"/>
            <w:tcBorders>
              <w:top w:val="single" w:sz="12" w:space="0" w:color="000000" w:themeColor="text1"/>
              <w:bottom w:val="nil"/>
            </w:tcBorders>
            <w:noWrap/>
            <w:vAlign w:val="center"/>
            <w:hideMark/>
          </w:tcPr>
          <w:p w14:paraId="41415EA4"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260</w:t>
            </w:r>
          </w:p>
        </w:tc>
        <w:tc>
          <w:tcPr>
            <w:tcW w:w="673" w:type="pct"/>
            <w:tcBorders>
              <w:top w:val="single" w:sz="12" w:space="0" w:color="000000" w:themeColor="text1"/>
              <w:bottom w:val="nil"/>
            </w:tcBorders>
            <w:noWrap/>
            <w:vAlign w:val="center"/>
            <w:hideMark/>
          </w:tcPr>
          <w:p w14:paraId="03D89119" w14:textId="5CC2A30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6.83</w:t>
            </w:r>
          </w:p>
        </w:tc>
        <w:tc>
          <w:tcPr>
            <w:tcW w:w="817" w:type="pct"/>
            <w:tcBorders>
              <w:top w:val="single" w:sz="12" w:space="0" w:color="000000" w:themeColor="text1"/>
              <w:bottom w:val="nil"/>
            </w:tcBorders>
            <w:noWrap/>
            <w:vAlign w:val="center"/>
            <w:hideMark/>
          </w:tcPr>
          <w:p w14:paraId="2643258E" w14:textId="0C0D22DE"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.01</w:t>
            </w:r>
          </w:p>
        </w:tc>
        <w:tc>
          <w:tcPr>
            <w:tcW w:w="865" w:type="pct"/>
            <w:tcBorders>
              <w:top w:val="single" w:sz="12" w:space="0" w:color="000000" w:themeColor="text1"/>
              <w:bottom w:val="nil"/>
            </w:tcBorders>
            <w:vAlign w:val="center"/>
          </w:tcPr>
          <w:p w14:paraId="79047846"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Reject H</w:t>
            </w:r>
            <w:r w:rsidRPr="00630F45">
              <w:rPr>
                <w:rFonts w:ascii="Arial" w:eastAsia="Times New Roman" w:hAnsi="Arial" w:cs="Arial"/>
                <w:color w:val="000000"/>
                <w:kern w:val="0"/>
                <w:sz w:val="20"/>
                <w:szCs w:val="20"/>
                <w:vertAlign w:val="subscript"/>
                <w14:ligatures w14:val="none"/>
              </w:rPr>
              <w:t>0</w:t>
            </w:r>
          </w:p>
        </w:tc>
      </w:tr>
      <w:tr w:rsidR="0062062F" w:rsidRPr="000C3263" w14:paraId="50075817" w14:textId="77777777" w:rsidTr="008F5BD4">
        <w:trPr>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nil"/>
              <w:bottom w:val="single" w:sz="4" w:space="0" w:color="auto"/>
            </w:tcBorders>
            <w:noWrap/>
            <w:vAlign w:val="center"/>
            <w:hideMark/>
          </w:tcPr>
          <w:p w14:paraId="44DAA1B0"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hAnsi="Arial" w:cs="Arial"/>
                <w:b w:val="0"/>
                <w:bCs w:val="0"/>
                <w:sz w:val="20"/>
                <w:szCs w:val="20"/>
              </w:rPr>
              <w:t>CO</w:t>
            </w:r>
            <w:r w:rsidRPr="000C3263">
              <w:rPr>
                <w:rFonts w:ascii="Arial" w:hAnsi="Arial" w:cs="Arial"/>
                <w:b w:val="0"/>
                <w:bCs w:val="0"/>
                <w:sz w:val="20"/>
                <w:szCs w:val="20"/>
                <w:vertAlign w:val="subscript"/>
              </w:rPr>
              <w:t>2</w:t>
            </w:r>
            <w:r w:rsidRPr="000C3263">
              <w:rPr>
                <w:rFonts w:ascii="Arial" w:hAnsi="Arial" w:cs="Arial"/>
                <w:b w:val="0"/>
                <w:bCs w:val="0"/>
                <w:sz w:val="20"/>
                <w:szCs w:val="20"/>
              </w:rPr>
              <w:t xml:space="preserve"> </w:t>
            </w:r>
            <w:r w:rsidRPr="000C3263">
              <w:rPr>
                <w:rFonts w:ascii="Arial" w:eastAsia="Times New Roman" w:hAnsi="Arial" w:cs="Arial"/>
                <w:b w:val="0"/>
                <w:bCs w:val="0"/>
                <w:color w:val="000000"/>
                <w:kern w:val="0"/>
                <w:sz w:val="20"/>
                <w:szCs w:val="20"/>
                <w14:ligatures w14:val="none"/>
              </w:rPr>
              <w:t>does not Granger Cause GDPPC</w:t>
            </w:r>
          </w:p>
        </w:tc>
        <w:tc>
          <w:tcPr>
            <w:tcW w:w="721" w:type="pct"/>
            <w:vMerge/>
            <w:tcBorders>
              <w:top w:val="nil"/>
              <w:bottom w:val="single" w:sz="4" w:space="0" w:color="auto"/>
            </w:tcBorders>
            <w:noWrap/>
            <w:vAlign w:val="center"/>
            <w:hideMark/>
          </w:tcPr>
          <w:p w14:paraId="1279C8D6"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673" w:type="pct"/>
            <w:tcBorders>
              <w:top w:val="nil"/>
              <w:bottom w:val="single" w:sz="4" w:space="0" w:color="auto"/>
            </w:tcBorders>
            <w:noWrap/>
            <w:vAlign w:val="center"/>
            <w:hideMark/>
          </w:tcPr>
          <w:p w14:paraId="651A82CC" w14:textId="31F53B21"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2.43</w:t>
            </w:r>
          </w:p>
        </w:tc>
        <w:tc>
          <w:tcPr>
            <w:tcW w:w="817" w:type="pct"/>
            <w:tcBorders>
              <w:top w:val="nil"/>
              <w:bottom w:val="single" w:sz="4" w:space="0" w:color="auto"/>
            </w:tcBorders>
            <w:noWrap/>
            <w:vAlign w:val="center"/>
            <w:hideMark/>
          </w:tcPr>
          <w:p w14:paraId="4518A9C5" w14:textId="529CD734"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.12</w:t>
            </w:r>
          </w:p>
        </w:tc>
        <w:tc>
          <w:tcPr>
            <w:tcW w:w="865" w:type="pct"/>
            <w:tcBorders>
              <w:top w:val="nil"/>
              <w:bottom w:val="single" w:sz="4" w:space="0" w:color="auto"/>
            </w:tcBorders>
            <w:vAlign w:val="center"/>
          </w:tcPr>
          <w:p w14:paraId="5E35C65A"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Fail to reject H</w:t>
            </w:r>
            <w:r w:rsidRPr="00630F45">
              <w:rPr>
                <w:rFonts w:ascii="Arial" w:eastAsia="Times New Roman" w:hAnsi="Arial" w:cs="Arial"/>
                <w:color w:val="000000"/>
                <w:kern w:val="0"/>
                <w:sz w:val="20"/>
                <w:szCs w:val="20"/>
                <w:vertAlign w:val="subscript"/>
                <w14:ligatures w14:val="none"/>
              </w:rPr>
              <w:t>0</w:t>
            </w:r>
          </w:p>
        </w:tc>
      </w:tr>
      <w:tr w:rsidR="0062062F" w:rsidRPr="000C3263" w14:paraId="278CF1F1" w14:textId="77777777" w:rsidTr="008F5B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single" w:sz="4" w:space="0" w:color="auto"/>
              <w:bottom w:val="nil"/>
            </w:tcBorders>
            <w:noWrap/>
            <w:vAlign w:val="center"/>
            <w:hideMark/>
          </w:tcPr>
          <w:p w14:paraId="44CB4BB0"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eastAsia="Times New Roman" w:hAnsi="Arial" w:cs="Arial"/>
                <w:b w:val="0"/>
                <w:bCs w:val="0"/>
                <w:color w:val="000000"/>
                <w:kern w:val="0"/>
                <w:sz w:val="20"/>
                <w:szCs w:val="20"/>
                <w14:ligatures w14:val="none"/>
              </w:rPr>
              <w:t xml:space="preserve">TO does not Granger Cause </w:t>
            </w:r>
            <w:r w:rsidRPr="000C3263">
              <w:rPr>
                <w:rFonts w:ascii="Arial" w:hAnsi="Arial" w:cs="Arial"/>
                <w:b w:val="0"/>
                <w:bCs w:val="0"/>
                <w:sz w:val="20"/>
                <w:szCs w:val="20"/>
              </w:rPr>
              <w:t>CO</w:t>
            </w:r>
            <w:r w:rsidRPr="000C3263">
              <w:rPr>
                <w:rFonts w:ascii="Arial" w:hAnsi="Arial" w:cs="Arial"/>
                <w:b w:val="0"/>
                <w:bCs w:val="0"/>
                <w:sz w:val="20"/>
                <w:szCs w:val="20"/>
                <w:vertAlign w:val="subscript"/>
              </w:rPr>
              <w:t>2</w:t>
            </w:r>
          </w:p>
        </w:tc>
        <w:tc>
          <w:tcPr>
            <w:tcW w:w="721" w:type="pct"/>
            <w:vMerge w:val="restart"/>
            <w:tcBorders>
              <w:top w:val="single" w:sz="4" w:space="0" w:color="auto"/>
              <w:bottom w:val="nil"/>
            </w:tcBorders>
            <w:noWrap/>
            <w:vAlign w:val="center"/>
            <w:hideMark/>
          </w:tcPr>
          <w:p w14:paraId="462376E7"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260</w:t>
            </w:r>
          </w:p>
        </w:tc>
        <w:tc>
          <w:tcPr>
            <w:tcW w:w="673" w:type="pct"/>
            <w:tcBorders>
              <w:top w:val="single" w:sz="4" w:space="0" w:color="auto"/>
              <w:bottom w:val="nil"/>
            </w:tcBorders>
            <w:noWrap/>
            <w:vAlign w:val="center"/>
            <w:hideMark/>
          </w:tcPr>
          <w:p w14:paraId="59955F32" w14:textId="3C09BF03"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1.7</w:t>
            </w:r>
            <w:r w:rsidR="009235BD">
              <w:rPr>
                <w:rFonts w:ascii="Arial" w:eastAsia="Times New Roman" w:hAnsi="Arial" w:cs="Arial"/>
                <w:color w:val="000000"/>
                <w:kern w:val="0"/>
                <w:sz w:val="20"/>
                <w:szCs w:val="20"/>
                <w14:ligatures w14:val="none"/>
              </w:rPr>
              <w:t>6</w:t>
            </w:r>
          </w:p>
        </w:tc>
        <w:tc>
          <w:tcPr>
            <w:tcW w:w="817" w:type="pct"/>
            <w:tcBorders>
              <w:top w:val="single" w:sz="4" w:space="0" w:color="auto"/>
              <w:bottom w:val="nil"/>
            </w:tcBorders>
            <w:noWrap/>
            <w:vAlign w:val="center"/>
            <w:hideMark/>
          </w:tcPr>
          <w:p w14:paraId="5271F4DA" w14:textId="4BF4A75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.1</w:t>
            </w:r>
            <w:r w:rsidR="009235BD">
              <w:rPr>
                <w:rFonts w:ascii="Arial" w:eastAsia="Times New Roman" w:hAnsi="Arial" w:cs="Arial"/>
                <w:color w:val="000000"/>
                <w:kern w:val="0"/>
                <w:sz w:val="20"/>
                <w:szCs w:val="20"/>
                <w14:ligatures w14:val="none"/>
              </w:rPr>
              <w:t>9</w:t>
            </w:r>
          </w:p>
        </w:tc>
        <w:tc>
          <w:tcPr>
            <w:tcW w:w="865" w:type="pct"/>
            <w:tcBorders>
              <w:top w:val="single" w:sz="4" w:space="0" w:color="auto"/>
              <w:bottom w:val="nil"/>
            </w:tcBorders>
            <w:vAlign w:val="center"/>
          </w:tcPr>
          <w:p w14:paraId="78CB3A6A"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Fail to reject H</w:t>
            </w:r>
            <w:r w:rsidRPr="00630F45">
              <w:rPr>
                <w:rFonts w:ascii="Arial" w:eastAsia="Times New Roman" w:hAnsi="Arial" w:cs="Arial"/>
                <w:color w:val="000000"/>
                <w:kern w:val="0"/>
                <w:sz w:val="20"/>
                <w:szCs w:val="20"/>
                <w:vertAlign w:val="subscript"/>
                <w14:ligatures w14:val="none"/>
              </w:rPr>
              <w:t>0</w:t>
            </w:r>
          </w:p>
        </w:tc>
      </w:tr>
      <w:tr w:rsidR="0062062F" w:rsidRPr="000C3263" w14:paraId="00C58E1F" w14:textId="77777777" w:rsidTr="008F5BD4">
        <w:trPr>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nil"/>
              <w:bottom w:val="single" w:sz="4" w:space="0" w:color="auto"/>
            </w:tcBorders>
            <w:noWrap/>
            <w:vAlign w:val="center"/>
            <w:hideMark/>
          </w:tcPr>
          <w:p w14:paraId="652A60B9"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hAnsi="Arial" w:cs="Arial"/>
                <w:b w:val="0"/>
                <w:bCs w:val="0"/>
                <w:sz w:val="20"/>
                <w:szCs w:val="20"/>
              </w:rPr>
              <w:t>CO</w:t>
            </w:r>
            <w:r w:rsidRPr="000C3263">
              <w:rPr>
                <w:rFonts w:ascii="Arial" w:hAnsi="Arial" w:cs="Arial"/>
                <w:b w:val="0"/>
                <w:bCs w:val="0"/>
                <w:sz w:val="20"/>
                <w:szCs w:val="20"/>
                <w:vertAlign w:val="subscript"/>
              </w:rPr>
              <w:t>2</w:t>
            </w:r>
            <w:r w:rsidRPr="000C3263">
              <w:rPr>
                <w:rFonts w:ascii="Arial" w:eastAsia="Times New Roman" w:hAnsi="Arial" w:cs="Arial"/>
                <w:b w:val="0"/>
                <w:bCs w:val="0"/>
                <w:color w:val="000000"/>
                <w:kern w:val="0"/>
                <w:sz w:val="20"/>
                <w:szCs w:val="20"/>
                <w14:ligatures w14:val="none"/>
              </w:rPr>
              <w:t xml:space="preserve"> does not Granger Cause TO</w:t>
            </w:r>
          </w:p>
        </w:tc>
        <w:tc>
          <w:tcPr>
            <w:tcW w:w="721" w:type="pct"/>
            <w:vMerge/>
            <w:tcBorders>
              <w:top w:val="nil"/>
              <w:bottom w:val="single" w:sz="4" w:space="0" w:color="auto"/>
            </w:tcBorders>
            <w:noWrap/>
            <w:vAlign w:val="center"/>
            <w:hideMark/>
          </w:tcPr>
          <w:p w14:paraId="25CD7F90"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673" w:type="pct"/>
            <w:tcBorders>
              <w:top w:val="nil"/>
              <w:bottom w:val="single" w:sz="4" w:space="0" w:color="auto"/>
            </w:tcBorders>
            <w:noWrap/>
            <w:vAlign w:val="center"/>
            <w:hideMark/>
          </w:tcPr>
          <w:p w14:paraId="57A36F6F" w14:textId="6FBA8422"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13.9</w:t>
            </w:r>
            <w:r w:rsidR="009235BD">
              <w:rPr>
                <w:rFonts w:ascii="Arial" w:eastAsia="Times New Roman" w:hAnsi="Arial" w:cs="Arial"/>
                <w:color w:val="000000"/>
                <w:kern w:val="0"/>
                <w:sz w:val="20"/>
                <w:szCs w:val="20"/>
                <w14:ligatures w14:val="none"/>
              </w:rPr>
              <w:t>2</w:t>
            </w:r>
          </w:p>
        </w:tc>
        <w:tc>
          <w:tcPr>
            <w:tcW w:w="817" w:type="pct"/>
            <w:tcBorders>
              <w:top w:val="nil"/>
              <w:bottom w:val="single" w:sz="4" w:space="0" w:color="auto"/>
            </w:tcBorders>
            <w:noWrap/>
            <w:vAlign w:val="center"/>
            <w:hideMark/>
          </w:tcPr>
          <w:p w14:paraId="33F6D10A" w14:textId="2717F766"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.00</w:t>
            </w:r>
          </w:p>
        </w:tc>
        <w:tc>
          <w:tcPr>
            <w:tcW w:w="865" w:type="pct"/>
            <w:tcBorders>
              <w:top w:val="nil"/>
              <w:bottom w:val="single" w:sz="4" w:space="0" w:color="auto"/>
            </w:tcBorders>
            <w:vAlign w:val="center"/>
          </w:tcPr>
          <w:p w14:paraId="1EBE2CB3"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Reject H</w:t>
            </w:r>
            <w:r w:rsidRPr="00630F45">
              <w:rPr>
                <w:rFonts w:ascii="Arial" w:eastAsia="Times New Roman" w:hAnsi="Arial" w:cs="Arial"/>
                <w:color w:val="000000"/>
                <w:kern w:val="0"/>
                <w:sz w:val="20"/>
                <w:szCs w:val="20"/>
                <w:vertAlign w:val="subscript"/>
                <w14:ligatures w14:val="none"/>
              </w:rPr>
              <w:t>0</w:t>
            </w:r>
          </w:p>
        </w:tc>
      </w:tr>
      <w:tr w:rsidR="0062062F" w:rsidRPr="000C3263" w14:paraId="5056DDCF" w14:textId="77777777" w:rsidTr="008F5B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single" w:sz="4" w:space="0" w:color="auto"/>
              <w:bottom w:val="nil"/>
            </w:tcBorders>
            <w:noWrap/>
            <w:vAlign w:val="center"/>
            <w:hideMark/>
          </w:tcPr>
          <w:p w14:paraId="35E9EC7E"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eastAsia="Times New Roman" w:hAnsi="Arial" w:cs="Arial"/>
                <w:b w:val="0"/>
                <w:bCs w:val="0"/>
                <w:color w:val="000000"/>
                <w:kern w:val="0"/>
                <w:sz w:val="20"/>
                <w:szCs w:val="20"/>
                <w14:ligatures w14:val="none"/>
              </w:rPr>
              <w:t>TO does not Granger Cause GDPPC</w:t>
            </w:r>
          </w:p>
        </w:tc>
        <w:tc>
          <w:tcPr>
            <w:tcW w:w="721" w:type="pct"/>
            <w:vMerge w:val="restart"/>
            <w:tcBorders>
              <w:top w:val="single" w:sz="4" w:space="0" w:color="auto"/>
              <w:bottom w:val="nil"/>
            </w:tcBorders>
            <w:noWrap/>
            <w:vAlign w:val="center"/>
            <w:hideMark/>
          </w:tcPr>
          <w:p w14:paraId="6A225E36"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260</w:t>
            </w:r>
          </w:p>
        </w:tc>
        <w:tc>
          <w:tcPr>
            <w:tcW w:w="673" w:type="pct"/>
            <w:tcBorders>
              <w:top w:val="single" w:sz="4" w:space="0" w:color="auto"/>
              <w:bottom w:val="nil"/>
            </w:tcBorders>
            <w:noWrap/>
            <w:vAlign w:val="center"/>
            <w:hideMark/>
          </w:tcPr>
          <w:p w14:paraId="43852B03" w14:textId="616BFEEA"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5.19</w:t>
            </w:r>
          </w:p>
        </w:tc>
        <w:tc>
          <w:tcPr>
            <w:tcW w:w="817" w:type="pct"/>
            <w:tcBorders>
              <w:top w:val="single" w:sz="4" w:space="0" w:color="auto"/>
              <w:bottom w:val="nil"/>
            </w:tcBorders>
            <w:noWrap/>
            <w:vAlign w:val="center"/>
            <w:hideMark/>
          </w:tcPr>
          <w:p w14:paraId="66CFF36B" w14:textId="4960DCC0"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.02</w:t>
            </w:r>
          </w:p>
        </w:tc>
        <w:tc>
          <w:tcPr>
            <w:tcW w:w="865" w:type="pct"/>
            <w:tcBorders>
              <w:top w:val="single" w:sz="4" w:space="0" w:color="auto"/>
              <w:bottom w:val="nil"/>
            </w:tcBorders>
            <w:vAlign w:val="center"/>
          </w:tcPr>
          <w:p w14:paraId="52BA4E33" w14:textId="77777777" w:rsidR="0062062F" w:rsidRPr="000C3263" w:rsidRDefault="0062062F" w:rsidP="008F5B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Reject H</w:t>
            </w:r>
            <w:r w:rsidRPr="00630F45">
              <w:rPr>
                <w:rFonts w:ascii="Arial" w:eastAsia="Times New Roman" w:hAnsi="Arial" w:cs="Arial"/>
                <w:color w:val="000000"/>
                <w:kern w:val="0"/>
                <w:sz w:val="20"/>
                <w:szCs w:val="20"/>
                <w:vertAlign w:val="subscript"/>
                <w14:ligatures w14:val="none"/>
              </w:rPr>
              <w:t>0</w:t>
            </w:r>
          </w:p>
        </w:tc>
      </w:tr>
      <w:tr w:rsidR="0062062F" w:rsidRPr="000C3263" w14:paraId="61E6B8E3" w14:textId="77777777" w:rsidTr="008F5BD4">
        <w:trPr>
          <w:trHeight w:val="300"/>
        </w:trPr>
        <w:tc>
          <w:tcPr>
            <w:cnfStyle w:val="001000000000" w:firstRow="0" w:lastRow="0" w:firstColumn="1" w:lastColumn="0" w:oddVBand="0" w:evenVBand="0" w:oddHBand="0" w:evenHBand="0" w:firstRowFirstColumn="0" w:firstRowLastColumn="0" w:lastRowFirstColumn="0" w:lastRowLastColumn="0"/>
            <w:tcW w:w="1924" w:type="pct"/>
            <w:tcBorders>
              <w:top w:val="nil"/>
              <w:bottom w:val="single" w:sz="12" w:space="0" w:color="000000" w:themeColor="text1"/>
            </w:tcBorders>
            <w:noWrap/>
            <w:vAlign w:val="center"/>
            <w:hideMark/>
          </w:tcPr>
          <w:p w14:paraId="2F881B87" w14:textId="77777777" w:rsidR="0062062F" w:rsidRPr="000C3263" w:rsidRDefault="0062062F" w:rsidP="008F5BD4">
            <w:pPr>
              <w:rPr>
                <w:rFonts w:ascii="Arial" w:eastAsia="Times New Roman" w:hAnsi="Arial" w:cs="Arial"/>
                <w:b w:val="0"/>
                <w:bCs w:val="0"/>
                <w:color w:val="000000"/>
                <w:kern w:val="0"/>
                <w:sz w:val="20"/>
                <w:szCs w:val="20"/>
                <w14:ligatures w14:val="none"/>
              </w:rPr>
            </w:pPr>
            <w:r w:rsidRPr="000C3263">
              <w:rPr>
                <w:rFonts w:ascii="Arial" w:eastAsia="Times New Roman" w:hAnsi="Arial" w:cs="Arial"/>
                <w:b w:val="0"/>
                <w:bCs w:val="0"/>
                <w:color w:val="000000"/>
                <w:kern w:val="0"/>
                <w:sz w:val="20"/>
                <w:szCs w:val="20"/>
                <w14:ligatures w14:val="none"/>
              </w:rPr>
              <w:t>GDPPC does not Granger Cause TO</w:t>
            </w:r>
          </w:p>
        </w:tc>
        <w:tc>
          <w:tcPr>
            <w:tcW w:w="721" w:type="pct"/>
            <w:vMerge/>
            <w:tcBorders>
              <w:top w:val="nil"/>
              <w:bottom w:val="single" w:sz="12" w:space="0" w:color="000000" w:themeColor="text1"/>
            </w:tcBorders>
            <w:noWrap/>
            <w:vAlign w:val="center"/>
            <w:hideMark/>
          </w:tcPr>
          <w:p w14:paraId="1394CEE8"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673" w:type="pct"/>
            <w:tcBorders>
              <w:top w:val="nil"/>
              <w:bottom w:val="single" w:sz="12" w:space="0" w:color="000000" w:themeColor="text1"/>
            </w:tcBorders>
            <w:noWrap/>
            <w:vAlign w:val="center"/>
            <w:hideMark/>
          </w:tcPr>
          <w:p w14:paraId="4ED24AFC" w14:textId="3E27CF5C"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0.6</w:t>
            </w:r>
            <w:r w:rsidR="009235BD">
              <w:rPr>
                <w:rFonts w:ascii="Arial" w:eastAsia="Times New Roman" w:hAnsi="Arial" w:cs="Arial"/>
                <w:color w:val="000000"/>
                <w:kern w:val="0"/>
                <w:sz w:val="20"/>
                <w:szCs w:val="20"/>
                <w14:ligatures w14:val="none"/>
              </w:rPr>
              <w:t>6</w:t>
            </w:r>
          </w:p>
        </w:tc>
        <w:tc>
          <w:tcPr>
            <w:tcW w:w="817" w:type="pct"/>
            <w:tcBorders>
              <w:top w:val="nil"/>
              <w:bottom w:val="single" w:sz="12" w:space="0" w:color="000000" w:themeColor="text1"/>
            </w:tcBorders>
            <w:noWrap/>
            <w:vAlign w:val="center"/>
            <w:hideMark/>
          </w:tcPr>
          <w:p w14:paraId="749381EE" w14:textId="32B6C360"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.4</w:t>
            </w:r>
            <w:r w:rsidR="009235BD">
              <w:rPr>
                <w:rFonts w:ascii="Arial" w:eastAsia="Times New Roman" w:hAnsi="Arial" w:cs="Arial"/>
                <w:color w:val="000000"/>
                <w:kern w:val="0"/>
                <w:sz w:val="20"/>
                <w:szCs w:val="20"/>
                <w14:ligatures w14:val="none"/>
              </w:rPr>
              <w:t>2</w:t>
            </w:r>
          </w:p>
        </w:tc>
        <w:tc>
          <w:tcPr>
            <w:tcW w:w="865" w:type="pct"/>
            <w:tcBorders>
              <w:top w:val="nil"/>
              <w:bottom w:val="single" w:sz="12" w:space="0" w:color="000000" w:themeColor="text1"/>
            </w:tcBorders>
            <w:vAlign w:val="center"/>
          </w:tcPr>
          <w:p w14:paraId="59EC863D" w14:textId="77777777" w:rsidR="0062062F" w:rsidRPr="000C3263" w:rsidRDefault="0062062F" w:rsidP="008F5B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0C3263">
              <w:rPr>
                <w:rFonts w:ascii="Arial" w:eastAsia="Times New Roman" w:hAnsi="Arial" w:cs="Arial"/>
                <w:color w:val="000000"/>
                <w:kern w:val="0"/>
                <w:sz w:val="20"/>
                <w:szCs w:val="20"/>
                <w14:ligatures w14:val="none"/>
              </w:rPr>
              <w:t>Fail to reject H</w:t>
            </w:r>
            <w:r w:rsidRPr="00630F45">
              <w:rPr>
                <w:rFonts w:ascii="Arial" w:eastAsia="Times New Roman" w:hAnsi="Arial" w:cs="Arial"/>
                <w:color w:val="000000"/>
                <w:kern w:val="0"/>
                <w:sz w:val="20"/>
                <w:szCs w:val="20"/>
                <w:vertAlign w:val="subscript"/>
                <w14:ligatures w14:val="none"/>
              </w:rPr>
              <w:t>0</w:t>
            </w:r>
          </w:p>
        </w:tc>
      </w:tr>
    </w:tbl>
    <w:p w14:paraId="6C3CBE11" w14:textId="77777777" w:rsidR="0062062F" w:rsidRPr="00E6111F" w:rsidRDefault="0062062F" w:rsidP="00E75B08">
      <w:pPr>
        <w:spacing w:before="240" w:after="120" w:line="360" w:lineRule="auto"/>
        <w:rPr>
          <w:rFonts w:ascii="Arial" w:hAnsi="Arial" w:cs="Arial"/>
          <w:b/>
          <w:bCs/>
        </w:rPr>
      </w:pPr>
      <w:r w:rsidRPr="00E6111F">
        <w:rPr>
          <w:rFonts w:ascii="Arial" w:hAnsi="Arial" w:cs="Arial"/>
          <w:b/>
          <w:bCs/>
        </w:rPr>
        <w:t>5.7 Impulse Response Functions (IRF)</w:t>
      </w:r>
    </w:p>
    <w:p w14:paraId="37A98D07" w14:textId="55D43960" w:rsidR="0062062F" w:rsidRPr="00277A51" w:rsidRDefault="0062062F" w:rsidP="00277A51">
      <w:pPr>
        <w:jc w:val="both"/>
        <w:rPr>
          <w:rFonts w:ascii="Arial" w:hAnsi="Arial" w:cs="Arial"/>
          <w:sz w:val="20"/>
          <w:szCs w:val="20"/>
        </w:rPr>
      </w:pPr>
      <w:r w:rsidRPr="00277A51">
        <w:rPr>
          <w:rFonts w:ascii="Arial" w:hAnsi="Arial" w:cs="Arial"/>
          <w:sz w:val="20"/>
          <w:szCs w:val="20"/>
        </w:rPr>
        <w:t>The positive response of CO</w:t>
      </w:r>
      <w:r w:rsidRPr="00277A51">
        <w:rPr>
          <w:rFonts w:ascii="Arial" w:hAnsi="Arial" w:cs="Arial"/>
          <w:sz w:val="20"/>
          <w:szCs w:val="20"/>
          <w:vertAlign w:val="subscript"/>
        </w:rPr>
        <w:t>2</w:t>
      </w:r>
      <w:r w:rsidRPr="00277A51">
        <w:rPr>
          <w:rFonts w:ascii="Arial" w:hAnsi="Arial" w:cs="Arial"/>
          <w:sz w:val="20"/>
          <w:szCs w:val="20"/>
        </w:rPr>
        <w:t xml:space="preserve"> to GDPPC aligns with the EKC hypothesis, where emissions rise with economic </w:t>
      </w:r>
      <w:r w:rsidR="00B60218" w:rsidRPr="00277A51">
        <w:rPr>
          <w:rFonts w:ascii="Arial" w:hAnsi="Arial" w:cs="Arial"/>
          <w:sz w:val="20"/>
          <w:szCs w:val="20"/>
        </w:rPr>
        <w:t>progress</w:t>
      </w:r>
      <w:r w:rsidRPr="00277A51">
        <w:rPr>
          <w:rFonts w:ascii="Arial" w:hAnsi="Arial" w:cs="Arial"/>
          <w:sz w:val="20"/>
          <w:szCs w:val="20"/>
        </w:rPr>
        <w:t xml:space="preserve"> in early development stages. Shahbaz et al. (2017) found that "economic growth significantly increases CO</w:t>
      </w:r>
      <w:r w:rsidRPr="00277A51">
        <w:rPr>
          <w:rFonts w:ascii="Arial" w:hAnsi="Arial" w:cs="Arial"/>
          <w:sz w:val="20"/>
          <w:szCs w:val="20"/>
          <w:vertAlign w:val="subscript"/>
        </w:rPr>
        <w:t>2</w:t>
      </w:r>
      <w:r w:rsidRPr="00277A51">
        <w:rPr>
          <w:rFonts w:ascii="Arial" w:hAnsi="Arial" w:cs="Arial"/>
          <w:sz w:val="20"/>
          <w:szCs w:val="20"/>
        </w:rPr>
        <w:t xml:space="preserve"> emissions in BRICS countries, particularly in the pre-turning point phase of the EKC" (p. 125). The positive response of GDPPC to CO</w:t>
      </w:r>
      <w:r w:rsidRPr="00277A51">
        <w:rPr>
          <w:rFonts w:ascii="Arial" w:hAnsi="Arial" w:cs="Arial"/>
          <w:sz w:val="20"/>
          <w:szCs w:val="20"/>
          <w:vertAlign w:val="subscript"/>
        </w:rPr>
        <w:t>2</w:t>
      </w:r>
      <w:r w:rsidRPr="00277A51">
        <w:rPr>
          <w:rFonts w:ascii="Arial" w:hAnsi="Arial" w:cs="Arial"/>
          <w:sz w:val="20"/>
          <w:szCs w:val="20"/>
        </w:rPr>
        <w:t xml:space="preserve"> suggests a feedback effect, where emission-intensive activities drive economic output, as noted by Grossman and Krueger (1995): "environmental degradation and economic </w:t>
      </w:r>
      <w:r w:rsidR="00B60218" w:rsidRPr="00277A51">
        <w:rPr>
          <w:rFonts w:ascii="Arial" w:hAnsi="Arial" w:cs="Arial"/>
          <w:sz w:val="20"/>
          <w:szCs w:val="20"/>
        </w:rPr>
        <w:t>advance</w:t>
      </w:r>
      <w:r w:rsidR="00B60218">
        <w:rPr>
          <w:rFonts w:ascii="Arial" w:hAnsi="Arial" w:cs="Arial"/>
          <w:sz w:val="20"/>
          <w:szCs w:val="20"/>
        </w:rPr>
        <w:t>ments</w:t>
      </w:r>
      <w:r w:rsidRPr="00277A51">
        <w:rPr>
          <w:rFonts w:ascii="Arial" w:hAnsi="Arial" w:cs="Arial"/>
          <w:sz w:val="20"/>
          <w:szCs w:val="20"/>
        </w:rPr>
        <w:t xml:space="preserve"> are often intertwined in developing economies" (p. 360).</w:t>
      </w:r>
      <w:r w:rsidR="008D5ADB" w:rsidRPr="00277A51">
        <w:rPr>
          <w:rFonts w:ascii="Arial" w:hAnsi="Arial" w:cs="Arial"/>
          <w:sz w:val="20"/>
          <w:szCs w:val="20"/>
        </w:rPr>
        <w:t xml:space="preserve"> </w:t>
      </w:r>
      <w:r w:rsidRPr="00277A51">
        <w:rPr>
          <w:rFonts w:ascii="Arial" w:hAnsi="Arial" w:cs="Arial"/>
          <w:sz w:val="20"/>
          <w:szCs w:val="20"/>
        </w:rPr>
        <w:t>The positive response of CO</w:t>
      </w:r>
      <w:r w:rsidRPr="00277A51">
        <w:rPr>
          <w:rFonts w:ascii="Arial" w:hAnsi="Arial" w:cs="Arial"/>
          <w:sz w:val="20"/>
          <w:szCs w:val="20"/>
          <w:vertAlign w:val="subscript"/>
        </w:rPr>
        <w:t>2</w:t>
      </w:r>
      <w:r w:rsidRPr="00277A51">
        <w:rPr>
          <w:rFonts w:ascii="Arial" w:hAnsi="Arial" w:cs="Arial"/>
          <w:sz w:val="20"/>
          <w:szCs w:val="20"/>
        </w:rPr>
        <w:t xml:space="preserve">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supports the pollution haven hypothesis, where trade liberalization increases emissions by attracting carbon-intensive industries to countries with lax regulations. Copeland and Taylor (2004) argue that "trade can exacerbate environmental degradation in developing nations" (p. </w:t>
      </w:r>
      <w:r w:rsidRPr="00277A51">
        <w:rPr>
          <w:rFonts w:ascii="Arial" w:hAnsi="Arial" w:cs="Arial"/>
          <w:sz w:val="20"/>
          <w:szCs w:val="20"/>
        </w:rPr>
        <w:lastRenderedPageBreak/>
        <w:t xml:space="preserve">45). Conversely, the response of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CO</w:t>
      </w:r>
      <w:r w:rsidRPr="00277A51">
        <w:rPr>
          <w:rFonts w:ascii="Arial" w:hAnsi="Arial" w:cs="Arial"/>
          <w:sz w:val="20"/>
          <w:szCs w:val="20"/>
          <w:vertAlign w:val="subscript"/>
        </w:rPr>
        <w:t>2</w:t>
      </w:r>
      <w:r w:rsidRPr="00277A51">
        <w:rPr>
          <w:rFonts w:ascii="Arial" w:hAnsi="Arial" w:cs="Arial"/>
          <w:sz w:val="20"/>
          <w:szCs w:val="20"/>
        </w:rPr>
        <w:t xml:space="preserve"> indicates that higher emissions may boost trade, possibly via exports of pollution-intensive goods, as </w:t>
      </w:r>
      <w:proofErr w:type="spellStart"/>
      <w:r w:rsidRPr="00277A51">
        <w:rPr>
          <w:rFonts w:ascii="Arial" w:hAnsi="Arial" w:cs="Arial"/>
          <w:sz w:val="20"/>
          <w:szCs w:val="20"/>
        </w:rPr>
        <w:t>Antweiler</w:t>
      </w:r>
      <w:proofErr w:type="spellEnd"/>
      <w:r w:rsidRPr="00277A51">
        <w:rPr>
          <w:rFonts w:ascii="Arial" w:hAnsi="Arial" w:cs="Arial"/>
          <w:sz w:val="20"/>
          <w:szCs w:val="20"/>
        </w:rPr>
        <w:t xml:space="preserve"> et al. (2001) observe: "trade patterns in developing economies often involve pollution-intensive exports" (p. 890).</w:t>
      </w:r>
      <w:r w:rsidR="008D5ADB" w:rsidRPr="00277A51">
        <w:rPr>
          <w:rFonts w:ascii="Arial" w:hAnsi="Arial" w:cs="Arial"/>
          <w:sz w:val="20"/>
          <w:szCs w:val="20"/>
        </w:rPr>
        <w:t xml:space="preserve"> </w:t>
      </w:r>
      <w:r w:rsidRPr="00277A51">
        <w:rPr>
          <w:rFonts w:ascii="Arial" w:hAnsi="Arial" w:cs="Arial"/>
          <w:sz w:val="20"/>
          <w:szCs w:val="20"/>
        </w:rPr>
        <w:t xml:space="preserve">The positive responses of GDPPC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and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GDPPC reinforce the trade-led growth hypothesis. Frankel and Romer (1999) found that "trade openness has a </w:t>
      </w:r>
      <w:r w:rsidR="00B60218" w:rsidRPr="00277A51">
        <w:rPr>
          <w:rFonts w:ascii="Arial" w:hAnsi="Arial" w:cs="Arial"/>
          <w:sz w:val="20"/>
          <w:szCs w:val="20"/>
        </w:rPr>
        <w:t>momentous</w:t>
      </w:r>
      <w:r w:rsidRPr="00277A51">
        <w:rPr>
          <w:rFonts w:ascii="Arial" w:hAnsi="Arial" w:cs="Arial"/>
          <w:sz w:val="20"/>
          <w:szCs w:val="20"/>
        </w:rPr>
        <w:t xml:space="preserve"> positive effect on economic </w:t>
      </w:r>
      <w:r w:rsidR="00B60218" w:rsidRPr="00277A51">
        <w:rPr>
          <w:rFonts w:ascii="Arial" w:hAnsi="Arial" w:cs="Arial"/>
          <w:sz w:val="20"/>
          <w:szCs w:val="20"/>
        </w:rPr>
        <w:t>advance</w:t>
      </w:r>
      <w:r w:rsidR="00B60218">
        <w:rPr>
          <w:rFonts w:ascii="Arial" w:hAnsi="Arial" w:cs="Arial"/>
          <w:sz w:val="20"/>
          <w:szCs w:val="20"/>
        </w:rPr>
        <w:t>ment</w:t>
      </w:r>
      <w:r w:rsidRPr="00277A51">
        <w:rPr>
          <w:rFonts w:ascii="Arial" w:hAnsi="Arial" w:cs="Arial"/>
          <w:sz w:val="20"/>
          <w:szCs w:val="20"/>
        </w:rPr>
        <w:t xml:space="preserve"> in developing economies" (p. 394). Additionally, Dollar and </w:t>
      </w:r>
      <w:proofErr w:type="spellStart"/>
      <w:r w:rsidRPr="00277A51">
        <w:rPr>
          <w:rFonts w:ascii="Arial" w:hAnsi="Arial" w:cs="Arial"/>
          <w:sz w:val="20"/>
          <w:szCs w:val="20"/>
        </w:rPr>
        <w:t>Kraay</w:t>
      </w:r>
      <w:proofErr w:type="spellEnd"/>
      <w:r w:rsidRPr="00277A51">
        <w:rPr>
          <w:rFonts w:ascii="Arial" w:hAnsi="Arial" w:cs="Arial"/>
          <w:sz w:val="20"/>
          <w:szCs w:val="20"/>
        </w:rPr>
        <w:t xml:space="preserve"> (2004) note that "economic growth often leads to greater trade openness, driven by increased market integration" (p. 24).</w:t>
      </w:r>
    </w:p>
    <w:p w14:paraId="7E94139D" w14:textId="77777777" w:rsidR="0062062F" w:rsidRPr="008D5ADB" w:rsidRDefault="0062062F" w:rsidP="00786A0D">
      <w:pPr>
        <w:spacing w:before="240" w:after="120" w:line="360" w:lineRule="auto"/>
        <w:rPr>
          <w:rFonts w:ascii="Arial" w:hAnsi="Arial" w:cs="Arial"/>
          <w:b/>
          <w:bCs/>
          <w:sz w:val="20"/>
          <w:szCs w:val="20"/>
        </w:rPr>
      </w:pPr>
      <w:r w:rsidRPr="008D5ADB">
        <w:rPr>
          <w:rFonts w:ascii="Arial" w:hAnsi="Arial" w:cs="Arial"/>
          <w:b/>
          <w:bCs/>
          <w:sz w:val="20"/>
          <w:szCs w:val="20"/>
        </w:rPr>
        <w:t>5.7.1 Feedback Effects</w:t>
      </w:r>
    </w:p>
    <w:p w14:paraId="11C17895" w14:textId="041C24E4" w:rsidR="0062062F" w:rsidRPr="00277A51" w:rsidRDefault="0062062F" w:rsidP="00277A51">
      <w:pPr>
        <w:jc w:val="both"/>
        <w:rPr>
          <w:rFonts w:ascii="Arial" w:hAnsi="Arial" w:cs="Arial"/>
          <w:sz w:val="20"/>
          <w:szCs w:val="20"/>
        </w:rPr>
      </w:pPr>
      <w:r w:rsidRPr="00277A51">
        <w:rPr>
          <w:rFonts w:ascii="Arial" w:hAnsi="Arial" w:cs="Arial"/>
          <w:sz w:val="20"/>
          <w:szCs w:val="20"/>
        </w:rPr>
        <w:t>The bidirectional relationships revealed in fig.1.c (GDPPC to CO</w:t>
      </w:r>
      <w:r w:rsidRPr="00277A51">
        <w:rPr>
          <w:rFonts w:ascii="Arial" w:hAnsi="Arial" w:cs="Arial"/>
          <w:sz w:val="20"/>
          <w:szCs w:val="20"/>
          <w:vertAlign w:val="subscript"/>
        </w:rPr>
        <w:t>2</w:t>
      </w:r>
      <w:r w:rsidRPr="00277A51">
        <w:rPr>
          <w:rFonts w:ascii="Arial" w:hAnsi="Arial" w:cs="Arial"/>
          <w:sz w:val="20"/>
          <w:szCs w:val="20"/>
        </w:rPr>
        <w:t xml:space="preserve">) and fig.1.e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CO</w:t>
      </w:r>
      <w:r w:rsidRPr="00277A51">
        <w:rPr>
          <w:rFonts w:ascii="Arial" w:hAnsi="Arial" w:cs="Arial"/>
          <w:sz w:val="20"/>
          <w:szCs w:val="20"/>
          <w:vertAlign w:val="subscript"/>
        </w:rPr>
        <w:t>2</w:t>
      </w:r>
      <w:r w:rsidRPr="00277A51">
        <w:rPr>
          <w:rFonts w:ascii="Arial" w:hAnsi="Arial" w:cs="Arial"/>
          <w:sz w:val="20"/>
          <w:szCs w:val="20"/>
        </w:rPr>
        <w:t>) suggest a feedback loop. Higher CO</w:t>
      </w:r>
      <w:r w:rsidRPr="00277A51">
        <w:rPr>
          <w:rFonts w:ascii="Arial" w:hAnsi="Arial" w:cs="Arial"/>
          <w:sz w:val="20"/>
          <w:szCs w:val="20"/>
          <w:vertAlign w:val="subscript"/>
        </w:rPr>
        <w:t>2</w:t>
      </w:r>
      <w:r w:rsidRPr="00277A51">
        <w:rPr>
          <w:rFonts w:ascii="Arial" w:hAnsi="Arial" w:cs="Arial"/>
          <w:sz w:val="20"/>
          <w:szCs w:val="20"/>
        </w:rPr>
        <w:t xml:space="preserve"> emissions are </w:t>
      </w:r>
      <w:r w:rsidR="00B60218" w:rsidRPr="00277A51">
        <w:rPr>
          <w:rFonts w:ascii="Arial" w:hAnsi="Arial" w:cs="Arial"/>
          <w:sz w:val="20"/>
          <w:szCs w:val="20"/>
        </w:rPr>
        <w:t>allied</w:t>
      </w:r>
      <w:r w:rsidRPr="00277A51">
        <w:rPr>
          <w:rFonts w:ascii="Arial" w:hAnsi="Arial" w:cs="Arial"/>
          <w:sz w:val="20"/>
          <w:szCs w:val="20"/>
        </w:rPr>
        <w:t xml:space="preserve"> with </w:t>
      </w:r>
      <w:r w:rsidR="00B60218" w:rsidRPr="00277A51">
        <w:rPr>
          <w:rFonts w:ascii="Arial" w:hAnsi="Arial" w:cs="Arial"/>
          <w:sz w:val="20"/>
          <w:szCs w:val="20"/>
        </w:rPr>
        <w:t>amplified</w:t>
      </w:r>
      <w:r w:rsidRPr="00277A51">
        <w:rPr>
          <w:rFonts w:ascii="Arial" w:hAnsi="Arial" w:cs="Arial"/>
          <w:sz w:val="20"/>
          <w:szCs w:val="20"/>
        </w:rPr>
        <w:t xml:space="preserve"> GDP per capita, which the study could </w:t>
      </w:r>
      <w:r w:rsidR="00B60218" w:rsidRPr="00277A51">
        <w:rPr>
          <w:rFonts w:ascii="Arial" w:hAnsi="Arial" w:cs="Arial"/>
          <w:sz w:val="20"/>
          <w:szCs w:val="20"/>
        </w:rPr>
        <w:t>construe</w:t>
      </w:r>
      <w:r w:rsidRPr="00277A51">
        <w:rPr>
          <w:rFonts w:ascii="Arial" w:hAnsi="Arial" w:cs="Arial"/>
          <w:sz w:val="20"/>
          <w:szCs w:val="20"/>
        </w:rPr>
        <w:t xml:space="preserve"> as a reflection of the dependence of BRICS economies on carbon-intensive growth, where emissions and economic output reinforce each other (Smith, J., &amp; Kumar, R., 2020). Similarly, the response of TO </w:t>
      </w:r>
      <w:proofErr w:type="spellStart"/>
      <w:r w:rsidRPr="00277A51">
        <w:rPr>
          <w:rFonts w:ascii="Arial" w:hAnsi="Arial" w:cs="Arial"/>
          <w:sz w:val="20"/>
          <w:szCs w:val="20"/>
        </w:rPr>
        <w:t>to</w:t>
      </w:r>
      <w:proofErr w:type="spellEnd"/>
      <w:r w:rsidRPr="00277A51">
        <w:rPr>
          <w:rFonts w:ascii="Arial" w:hAnsi="Arial" w:cs="Arial"/>
          <w:sz w:val="20"/>
          <w:szCs w:val="20"/>
        </w:rPr>
        <w:t xml:space="preserve"> CO</w:t>
      </w:r>
      <w:r w:rsidRPr="00277A51">
        <w:rPr>
          <w:rFonts w:ascii="Arial" w:hAnsi="Arial" w:cs="Arial"/>
          <w:sz w:val="20"/>
          <w:szCs w:val="20"/>
          <w:vertAlign w:val="subscript"/>
        </w:rPr>
        <w:t>2</w:t>
      </w:r>
      <w:r w:rsidRPr="00277A51">
        <w:rPr>
          <w:rFonts w:ascii="Arial" w:hAnsi="Arial" w:cs="Arial"/>
          <w:sz w:val="20"/>
          <w:szCs w:val="20"/>
        </w:rPr>
        <w:t xml:space="preserve"> in fig. 1.e indicates that emissions drive trade openness, possibly due to export-oriented production. The study might argue that the interplay between trade openness and environmental degradation is fueled by the export of energy-intensive products (Smith, J., &amp; Kumar, R., 2020).</w:t>
      </w:r>
    </w:p>
    <w:p w14:paraId="7792188C" w14:textId="096F3C84" w:rsidR="0062062F" w:rsidRPr="009678B1" w:rsidRDefault="00312AD0" w:rsidP="0062062F">
      <w:pPr>
        <w:rPr>
          <w:rFonts w:ascii="Times New Roman" w:hAnsi="Times New Roman" w:cs="Times New Roman"/>
        </w:rPr>
      </w:pPr>
      <w:r w:rsidRPr="009678B1">
        <w:rPr>
          <w:rFonts w:ascii="Times New Roman" w:hAnsi="Times New Roman" w:cs="Times New Roman"/>
        </w:rPr>
        <w:object w:dxaOrig="10111" w:dyaOrig="8295" w14:anchorId="6A31F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2.65pt" o:ole="" o:bordertopcolor="this" o:borderleftcolor="this" o:borderbottomcolor="this" o:borderrightcolor="this">
            <v:imagedata r:id="rId7" o:title=""/>
            <w10:bordertop type="single" width="12"/>
            <w10:borderleft type="single" width="12"/>
            <w10:borderbottom type="single" width="12"/>
            <w10:borderright type="single" width="12"/>
          </v:shape>
          <o:OLEObject Type="Embed" ProgID="EViews.Workfile.2" ShapeID="_x0000_i1025" DrawAspect="Content" ObjectID="_1807197350" r:id="rId8"/>
        </w:object>
      </w:r>
    </w:p>
    <w:p w14:paraId="26B7A42B" w14:textId="5BD299C3" w:rsidR="0019068B" w:rsidRPr="0019068B" w:rsidRDefault="0019068B" w:rsidP="0019068B">
      <w:pPr>
        <w:spacing w:after="0" w:line="480" w:lineRule="auto"/>
        <w:jc w:val="center"/>
        <w:rPr>
          <w:rFonts w:ascii="Arial" w:hAnsi="Arial" w:cs="Arial"/>
          <w:b/>
          <w:bCs/>
          <w:sz w:val="20"/>
          <w:szCs w:val="20"/>
        </w:rPr>
      </w:pPr>
      <w:r w:rsidRPr="0019068B">
        <w:rPr>
          <w:rFonts w:ascii="Arial" w:hAnsi="Arial" w:cs="Arial"/>
          <w:b/>
          <w:bCs/>
          <w:sz w:val="20"/>
          <w:szCs w:val="20"/>
        </w:rPr>
        <w:t>Figure 1</w:t>
      </w:r>
      <w:r w:rsidR="00E97BBB">
        <w:rPr>
          <w:rFonts w:ascii="Arial" w:hAnsi="Arial" w:cs="Arial"/>
          <w:b/>
          <w:bCs/>
          <w:sz w:val="20"/>
          <w:szCs w:val="20"/>
        </w:rPr>
        <w:t>.</w:t>
      </w:r>
      <w:r w:rsidRPr="0019068B">
        <w:rPr>
          <w:rFonts w:ascii="Arial" w:hAnsi="Arial" w:cs="Arial"/>
          <w:b/>
          <w:bCs/>
          <w:sz w:val="20"/>
          <w:szCs w:val="20"/>
        </w:rPr>
        <w:t xml:space="preserve"> Results of Impulse Response Function (IRF)</w:t>
      </w:r>
    </w:p>
    <w:p w14:paraId="26BA42B3" w14:textId="346EE32B" w:rsidR="0062062F" w:rsidRPr="00CC1F42" w:rsidRDefault="0062062F" w:rsidP="00CC1F42">
      <w:pPr>
        <w:jc w:val="both"/>
        <w:rPr>
          <w:rFonts w:ascii="Arial" w:hAnsi="Arial" w:cs="Arial"/>
          <w:sz w:val="20"/>
          <w:szCs w:val="20"/>
        </w:rPr>
      </w:pPr>
      <w:r w:rsidRPr="00CC1F42">
        <w:rPr>
          <w:rFonts w:ascii="Arial" w:hAnsi="Arial" w:cs="Arial"/>
          <w:sz w:val="20"/>
          <w:szCs w:val="20"/>
        </w:rPr>
        <w:t xml:space="preserve">In a </w:t>
      </w:r>
      <w:r w:rsidR="00B60218" w:rsidRPr="00CC1F42">
        <w:rPr>
          <w:rFonts w:ascii="Arial" w:hAnsi="Arial" w:cs="Arial"/>
          <w:sz w:val="20"/>
          <w:szCs w:val="20"/>
        </w:rPr>
        <w:t>wider</w:t>
      </w:r>
      <w:r w:rsidRPr="00CC1F42">
        <w:rPr>
          <w:rFonts w:ascii="Arial" w:hAnsi="Arial" w:cs="Arial"/>
          <w:sz w:val="20"/>
          <w:szCs w:val="20"/>
        </w:rPr>
        <w:t xml:space="preserve"> context, these </w:t>
      </w:r>
      <w:r w:rsidR="00B60218">
        <w:rPr>
          <w:rFonts w:ascii="Arial" w:hAnsi="Arial" w:cs="Arial"/>
          <w:sz w:val="20"/>
          <w:szCs w:val="20"/>
        </w:rPr>
        <w:t>findings</w:t>
      </w:r>
      <w:r w:rsidRPr="00CC1F42">
        <w:rPr>
          <w:rFonts w:ascii="Arial" w:hAnsi="Arial" w:cs="Arial"/>
          <w:sz w:val="20"/>
          <w:szCs w:val="20"/>
        </w:rPr>
        <w:t xml:space="preserve"> are </w:t>
      </w:r>
      <w:r w:rsidR="00B60218" w:rsidRPr="00CC1F42">
        <w:rPr>
          <w:rFonts w:ascii="Arial" w:hAnsi="Arial" w:cs="Arial"/>
          <w:sz w:val="20"/>
          <w:szCs w:val="20"/>
        </w:rPr>
        <w:t>unswerving</w:t>
      </w:r>
      <w:r w:rsidRPr="00CC1F42">
        <w:rPr>
          <w:rFonts w:ascii="Arial" w:hAnsi="Arial" w:cs="Arial"/>
          <w:sz w:val="20"/>
          <w:szCs w:val="20"/>
        </w:rPr>
        <w:t xml:space="preserve"> with the </w:t>
      </w:r>
      <w:r w:rsidR="00B60218">
        <w:rPr>
          <w:rFonts w:ascii="Arial" w:hAnsi="Arial" w:cs="Arial"/>
          <w:sz w:val="20"/>
          <w:szCs w:val="20"/>
        </w:rPr>
        <w:t>EKC</w:t>
      </w:r>
      <w:r w:rsidRPr="00CC1F42">
        <w:rPr>
          <w:rFonts w:ascii="Arial" w:hAnsi="Arial" w:cs="Arial"/>
          <w:sz w:val="20"/>
          <w:szCs w:val="20"/>
        </w:rPr>
        <w:t xml:space="preserve"> hypothesis, which </w:t>
      </w:r>
      <w:r w:rsidR="00B60218" w:rsidRPr="00CC1F42">
        <w:rPr>
          <w:rFonts w:ascii="Arial" w:hAnsi="Arial" w:cs="Arial"/>
          <w:sz w:val="20"/>
          <w:szCs w:val="20"/>
        </w:rPr>
        <w:t>proposes</w:t>
      </w:r>
      <w:r w:rsidRPr="00CC1F42">
        <w:rPr>
          <w:rFonts w:ascii="Arial" w:hAnsi="Arial" w:cs="Arial"/>
          <w:sz w:val="20"/>
          <w:szCs w:val="20"/>
        </w:rPr>
        <w:t xml:space="preserve"> that emissions rise with economic </w:t>
      </w:r>
      <w:r w:rsidR="00B60218" w:rsidRPr="00CC1F42">
        <w:rPr>
          <w:rFonts w:ascii="Arial" w:hAnsi="Arial" w:cs="Arial"/>
          <w:sz w:val="20"/>
          <w:szCs w:val="20"/>
        </w:rPr>
        <w:t>progress</w:t>
      </w:r>
      <w:r w:rsidRPr="00CC1F42">
        <w:rPr>
          <w:rFonts w:ascii="Arial" w:hAnsi="Arial" w:cs="Arial"/>
          <w:sz w:val="20"/>
          <w:szCs w:val="20"/>
        </w:rPr>
        <w:t xml:space="preserve"> in early development stages (Grossman &amp; Krueger, 1995). For BRICS countries, still on the upward part of this curve, the IRF chart indicates that growth and trade continue to drive emissions, a dynamic likely emphasized in the study as a </w:t>
      </w:r>
      <w:r w:rsidR="00B60218" w:rsidRPr="00CC1F42">
        <w:rPr>
          <w:rFonts w:ascii="Arial" w:hAnsi="Arial" w:cs="Arial"/>
          <w:sz w:val="20"/>
          <w:szCs w:val="20"/>
        </w:rPr>
        <w:t>significant</w:t>
      </w:r>
      <w:r w:rsidRPr="00CC1F42">
        <w:rPr>
          <w:rFonts w:ascii="Arial" w:hAnsi="Arial" w:cs="Arial"/>
          <w:sz w:val="20"/>
          <w:szCs w:val="20"/>
        </w:rPr>
        <w:t xml:space="preserve"> policy challenge.</w:t>
      </w:r>
    </w:p>
    <w:p w14:paraId="60A3523F" w14:textId="643CE0E9" w:rsidR="0062062F" w:rsidRDefault="008D5ADB" w:rsidP="00786A0D">
      <w:pPr>
        <w:pStyle w:val="Head1"/>
        <w:spacing w:before="240" w:after="120" w:line="360" w:lineRule="auto"/>
        <w:rPr>
          <w:rFonts w:ascii="Arial" w:hAnsi="Arial" w:cs="Arial"/>
        </w:rPr>
      </w:pPr>
      <w:r>
        <w:rPr>
          <w:rFonts w:ascii="Arial" w:hAnsi="Arial" w:cs="Arial"/>
        </w:rPr>
        <w:lastRenderedPageBreak/>
        <w:t>4. Conclusion</w:t>
      </w:r>
    </w:p>
    <w:p w14:paraId="206C5824" w14:textId="76381E79" w:rsidR="008D5ADB" w:rsidRPr="00CC1F42" w:rsidRDefault="008D5ADB" w:rsidP="00CC1F42">
      <w:pPr>
        <w:jc w:val="both"/>
        <w:rPr>
          <w:rFonts w:ascii="Arial" w:hAnsi="Arial" w:cs="Arial"/>
          <w:sz w:val="20"/>
          <w:szCs w:val="20"/>
        </w:rPr>
      </w:pPr>
      <w:r w:rsidRPr="00CC1F42">
        <w:rPr>
          <w:rFonts w:ascii="Arial" w:hAnsi="Arial" w:cs="Arial"/>
          <w:sz w:val="20"/>
          <w:szCs w:val="20"/>
        </w:rPr>
        <w:t>This study provides a detailed examination of the development-environment-trade nexus in BRICS, revealing a complex interplay among GDPPC, CO</w:t>
      </w:r>
      <w:r w:rsidRPr="00CC1F42">
        <w:rPr>
          <w:rFonts w:ascii="Arial" w:hAnsi="Arial" w:cs="Arial"/>
          <w:sz w:val="20"/>
          <w:szCs w:val="20"/>
          <w:vertAlign w:val="subscript"/>
        </w:rPr>
        <w:t>2</w:t>
      </w:r>
      <w:r w:rsidRPr="00CC1F42">
        <w:rPr>
          <w:rFonts w:ascii="Arial" w:hAnsi="Arial" w:cs="Arial"/>
          <w:sz w:val="20"/>
          <w:szCs w:val="20"/>
        </w:rPr>
        <w:t>, TO, and EU. The feedback loop identified—where growth drives emissions, emissions boost trade, and trade fuels growth—poses significant challenges for sustainability, with EU as a critical control variable amplifying these effects (</w:t>
      </w:r>
      <w:proofErr w:type="spellStart"/>
      <w:r w:rsidRPr="00CC1F42">
        <w:rPr>
          <w:rFonts w:ascii="Arial" w:hAnsi="Arial" w:cs="Arial"/>
          <w:sz w:val="20"/>
          <w:szCs w:val="20"/>
        </w:rPr>
        <w:t>Sebri</w:t>
      </w:r>
      <w:proofErr w:type="spellEnd"/>
      <w:r w:rsidRPr="00CC1F42">
        <w:rPr>
          <w:rFonts w:ascii="Arial" w:hAnsi="Arial" w:cs="Arial"/>
          <w:sz w:val="20"/>
          <w:szCs w:val="20"/>
        </w:rPr>
        <w:t xml:space="preserve"> &amp; Ben-</w:t>
      </w:r>
      <w:proofErr w:type="spellStart"/>
      <w:r w:rsidRPr="00CC1F42">
        <w:rPr>
          <w:rFonts w:ascii="Arial" w:hAnsi="Arial" w:cs="Arial"/>
          <w:sz w:val="20"/>
          <w:szCs w:val="20"/>
        </w:rPr>
        <w:t>Salha</w:t>
      </w:r>
      <w:proofErr w:type="spellEnd"/>
      <w:r w:rsidRPr="00CC1F42">
        <w:rPr>
          <w:rFonts w:ascii="Arial" w:hAnsi="Arial" w:cs="Arial"/>
          <w:sz w:val="20"/>
          <w:szCs w:val="20"/>
        </w:rPr>
        <w:t xml:space="preserve">, 2014). The </w:t>
      </w:r>
      <w:r w:rsidR="00BF2562" w:rsidRPr="00CC1F42">
        <w:rPr>
          <w:rFonts w:ascii="Arial" w:hAnsi="Arial" w:cs="Arial"/>
          <w:sz w:val="20"/>
          <w:szCs w:val="20"/>
        </w:rPr>
        <w:t>nonappearance</w:t>
      </w:r>
      <w:r w:rsidRPr="00CC1F42">
        <w:rPr>
          <w:rFonts w:ascii="Arial" w:hAnsi="Arial" w:cs="Arial"/>
          <w:sz w:val="20"/>
          <w:szCs w:val="20"/>
        </w:rPr>
        <w:t xml:space="preserve"> of long-run cointegration </w:t>
      </w:r>
      <w:r w:rsidR="00BF2562" w:rsidRPr="00CC1F42">
        <w:rPr>
          <w:rFonts w:ascii="Arial" w:hAnsi="Arial" w:cs="Arial"/>
          <w:sz w:val="20"/>
          <w:szCs w:val="20"/>
        </w:rPr>
        <w:t>recommends</w:t>
      </w:r>
      <w:r w:rsidRPr="00CC1F42">
        <w:rPr>
          <w:rFonts w:ascii="Arial" w:hAnsi="Arial" w:cs="Arial"/>
          <w:sz w:val="20"/>
          <w:szCs w:val="20"/>
        </w:rPr>
        <w:t xml:space="preserve"> that these </w:t>
      </w:r>
      <w:r w:rsidR="00BF2562" w:rsidRPr="00CC1F42">
        <w:rPr>
          <w:rFonts w:ascii="Arial" w:hAnsi="Arial" w:cs="Arial"/>
          <w:sz w:val="20"/>
          <w:szCs w:val="20"/>
        </w:rPr>
        <w:t>associations</w:t>
      </w:r>
      <w:r w:rsidRPr="00CC1F42">
        <w:rPr>
          <w:rFonts w:ascii="Arial" w:hAnsi="Arial" w:cs="Arial"/>
          <w:sz w:val="20"/>
          <w:szCs w:val="20"/>
        </w:rPr>
        <w:t xml:space="preserve"> are dynamic and context-specific, requiring adaptive policy responses (Pao &amp; Tsai, 2011).</w:t>
      </w:r>
    </w:p>
    <w:p w14:paraId="777E11E6" w14:textId="2C29BAFD" w:rsidR="008D5ADB" w:rsidRDefault="00BF2562" w:rsidP="00CC1F42">
      <w:pPr>
        <w:jc w:val="both"/>
        <w:rPr>
          <w:rFonts w:ascii="Arial" w:hAnsi="Arial" w:cs="Arial"/>
          <w:sz w:val="20"/>
          <w:szCs w:val="20"/>
        </w:rPr>
      </w:pPr>
      <w:r w:rsidRPr="00CC1F42">
        <w:rPr>
          <w:rFonts w:ascii="Arial" w:hAnsi="Arial" w:cs="Arial"/>
          <w:sz w:val="20"/>
          <w:szCs w:val="20"/>
        </w:rPr>
        <w:t>Forthcoming</w:t>
      </w:r>
      <w:r w:rsidR="008D5ADB" w:rsidRPr="00CC1F42">
        <w:rPr>
          <w:rFonts w:ascii="Arial" w:hAnsi="Arial" w:cs="Arial"/>
          <w:sz w:val="20"/>
          <w:szCs w:val="20"/>
        </w:rPr>
        <w:t xml:space="preserve"> research</w:t>
      </w:r>
      <w:r>
        <w:rPr>
          <w:rFonts w:ascii="Arial" w:hAnsi="Arial" w:cs="Arial"/>
          <w:sz w:val="20"/>
          <w:szCs w:val="20"/>
        </w:rPr>
        <w:t>es</w:t>
      </w:r>
      <w:r w:rsidR="008D5ADB" w:rsidRPr="00CC1F42">
        <w:rPr>
          <w:rFonts w:ascii="Arial" w:hAnsi="Arial" w:cs="Arial"/>
          <w:sz w:val="20"/>
          <w:szCs w:val="20"/>
        </w:rPr>
        <w:t xml:space="preserve"> should extend this analysis with IRFs, explore country-specific effects, and incorporate variables like renewable energy adoption to refine policy insights (Love &amp; </w:t>
      </w:r>
      <w:proofErr w:type="spellStart"/>
      <w:r w:rsidR="008D5ADB" w:rsidRPr="00CC1F42">
        <w:rPr>
          <w:rFonts w:ascii="Arial" w:hAnsi="Arial" w:cs="Arial"/>
          <w:sz w:val="20"/>
          <w:szCs w:val="20"/>
        </w:rPr>
        <w:t>Zicchino</w:t>
      </w:r>
      <w:proofErr w:type="spellEnd"/>
      <w:r w:rsidR="008D5ADB" w:rsidRPr="00CC1F42">
        <w:rPr>
          <w:rFonts w:ascii="Arial" w:hAnsi="Arial" w:cs="Arial"/>
          <w:sz w:val="20"/>
          <w:szCs w:val="20"/>
        </w:rPr>
        <w:t>, 2006). For BRICS, achieving sustainable development necessitates integrated strategies that leverage energy transitions and green trade to balance economic and environmental objectives (United Nations, 2015).</w:t>
      </w:r>
    </w:p>
    <w:p w14:paraId="60FE7D9D" w14:textId="77777777" w:rsidR="00AE279A" w:rsidRDefault="00AE279A" w:rsidP="00AB01FF">
      <w:pPr>
        <w:spacing w:after="0" w:line="480" w:lineRule="auto"/>
        <w:jc w:val="both"/>
        <w:rPr>
          <w:rFonts w:ascii="Arial" w:hAnsi="Arial" w:cs="Arial"/>
          <w:sz w:val="20"/>
          <w:szCs w:val="20"/>
        </w:rPr>
      </w:pPr>
      <w:bookmarkStart w:id="0" w:name="_GoBack"/>
      <w:bookmarkEnd w:id="0"/>
    </w:p>
    <w:p w14:paraId="558F9DA1" w14:textId="77777777" w:rsidR="00AE279A" w:rsidRPr="00AE279A" w:rsidRDefault="00AE279A" w:rsidP="00AE279A">
      <w:pPr>
        <w:spacing w:after="0" w:line="480" w:lineRule="auto"/>
        <w:jc w:val="both"/>
        <w:rPr>
          <w:rFonts w:ascii="Arial" w:hAnsi="Arial" w:cs="Arial"/>
          <w:b/>
          <w:sz w:val="20"/>
          <w:szCs w:val="20"/>
        </w:rPr>
      </w:pPr>
      <w:r w:rsidRPr="00AE279A">
        <w:rPr>
          <w:rFonts w:ascii="Arial" w:hAnsi="Arial" w:cs="Arial"/>
          <w:b/>
          <w:sz w:val="20"/>
          <w:szCs w:val="20"/>
        </w:rPr>
        <w:t>Abbreviations</w:t>
      </w:r>
    </w:p>
    <w:p w14:paraId="019F156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BRICS:</w:t>
      </w:r>
      <w:r w:rsidRPr="00AE279A">
        <w:rPr>
          <w:rFonts w:ascii="Arial" w:hAnsi="Arial" w:cs="Arial"/>
          <w:sz w:val="20"/>
          <w:szCs w:val="20"/>
        </w:rPr>
        <w:t xml:space="preserve"> Brazil, Russia, India, China, and South Africa  </w:t>
      </w:r>
    </w:p>
    <w:p w14:paraId="4F044005"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GDP:</w:t>
      </w:r>
      <w:r w:rsidRPr="00AE279A">
        <w:rPr>
          <w:rFonts w:ascii="Arial" w:hAnsi="Arial" w:cs="Arial"/>
          <w:sz w:val="20"/>
          <w:szCs w:val="20"/>
        </w:rPr>
        <w:t xml:space="preserve"> Gross Domestic Product  </w:t>
      </w:r>
    </w:p>
    <w:p w14:paraId="7118DD7A"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GDPPC:</w:t>
      </w:r>
      <w:r w:rsidRPr="00AE279A">
        <w:rPr>
          <w:rFonts w:ascii="Arial" w:hAnsi="Arial" w:cs="Arial"/>
          <w:sz w:val="20"/>
          <w:szCs w:val="20"/>
        </w:rPr>
        <w:t xml:space="preserve"> GDP per capita  </w:t>
      </w:r>
    </w:p>
    <w:p w14:paraId="61F57892"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CO2:</w:t>
      </w:r>
      <w:r w:rsidRPr="00AE279A">
        <w:rPr>
          <w:rFonts w:ascii="Arial" w:hAnsi="Arial" w:cs="Arial"/>
          <w:sz w:val="20"/>
          <w:szCs w:val="20"/>
        </w:rPr>
        <w:t xml:space="preserve"> Carbon dioxide emissions  </w:t>
      </w:r>
    </w:p>
    <w:p w14:paraId="211F5E92"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TO:</w:t>
      </w:r>
      <w:r w:rsidRPr="00AE279A">
        <w:rPr>
          <w:rFonts w:ascii="Arial" w:hAnsi="Arial" w:cs="Arial"/>
          <w:sz w:val="20"/>
          <w:szCs w:val="20"/>
        </w:rPr>
        <w:t xml:space="preserve"> Trade Openness  </w:t>
      </w:r>
    </w:p>
    <w:p w14:paraId="4B7BBF3C"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EU:</w:t>
      </w:r>
      <w:r w:rsidRPr="00AE279A">
        <w:rPr>
          <w:rFonts w:ascii="Arial" w:hAnsi="Arial" w:cs="Arial"/>
          <w:sz w:val="20"/>
          <w:szCs w:val="20"/>
        </w:rPr>
        <w:t xml:space="preserve"> Energy Usage  </w:t>
      </w:r>
    </w:p>
    <w:p w14:paraId="6564437A"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IEA:</w:t>
      </w:r>
      <w:r w:rsidRPr="00AE279A">
        <w:rPr>
          <w:rFonts w:ascii="Arial" w:hAnsi="Arial" w:cs="Arial"/>
          <w:sz w:val="20"/>
          <w:szCs w:val="20"/>
        </w:rPr>
        <w:t xml:space="preserve"> International Energy Agency  </w:t>
      </w:r>
    </w:p>
    <w:p w14:paraId="527D81A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UNFCCC:</w:t>
      </w:r>
      <w:r w:rsidRPr="00AE279A">
        <w:rPr>
          <w:rFonts w:ascii="Arial" w:hAnsi="Arial" w:cs="Arial"/>
          <w:sz w:val="20"/>
          <w:szCs w:val="20"/>
        </w:rPr>
        <w:t xml:space="preserve"> United Nations Framework Convention on Climate Change  </w:t>
      </w:r>
    </w:p>
    <w:p w14:paraId="33E2BCF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FAO:</w:t>
      </w:r>
      <w:r w:rsidRPr="00AE279A">
        <w:rPr>
          <w:rFonts w:ascii="Arial" w:hAnsi="Arial" w:cs="Arial"/>
          <w:sz w:val="20"/>
          <w:szCs w:val="20"/>
        </w:rPr>
        <w:t xml:space="preserve"> Food and Agriculture Organization  </w:t>
      </w:r>
    </w:p>
    <w:p w14:paraId="1C77B0B6"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UNCTAD:</w:t>
      </w:r>
      <w:r w:rsidRPr="00AE279A">
        <w:rPr>
          <w:rFonts w:ascii="Arial" w:hAnsi="Arial" w:cs="Arial"/>
          <w:sz w:val="20"/>
          <w:szCs w:val="20"/>
        </w:rPr>
        <w:t xml:space="preserve"> United Nations Conference on Trade and Development  </w:t>
      </w:r>
    </w:p>
    <w:p w14:paraId="36C3085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SDGs:</w:t>
      </w:r>
      <w:r w:rsidRPr="00AE279A">
        <w:rPr>
          <w:rFonts w:ascii="Arial" w:hAnsi="Arial" w:cs="Arial"/>
          <w:sz w:val="20"/>
          <w:szCs w:val="20"/>
        </w:rPr>
        <w:t xml:space="preserve"> Sustainable Development Goals  </w:t>
      </w:r>
    </w:p>
    <w:p w14:paraId="7322C8DD"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EKC:</w:t>
      </w:r>
      <w:r w:rsidRPr="00AE279A">
        <w:rPr>
          <w:rFonts w:ascii="Arial" w:hAnsi="Arial" w:cs="Arial"/>
          <w:sz w:val="20"/>
          <w:szCs w:val="20"/>
        </w:rPr>
        <w:t xml:space="preserve"> Environmental Kuznets Curve  </w:t>
      </w:r>
    </w:p>
    <w:p w14:paraId="1880C46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GHG:</w:t>
      </w:r>
      <w:r w:rsidRPr="00AE279A">
        <w:rPr>
          <w:rFonts w:ascii="Arial" w:hAnsi="Arial" w:cs="Arial"/>
          <w:sz w:val="20"/>
          <w:szCs w:val="20"/>
        </w:rPr>
        <w:t xml:space="preserve"> Green House Gas Emissions</w:t>
      </w:r>
    </w:p>
    <w:p w14:paraId="1EFAFEC8"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VAR:</w:t>
      </w:r>
      <w:r w:rsidRPr="00AE279A">
        <w:rPr>
          <w:rFonts w:ascii="Arial" w:hAnsi="Arial" w:cs="Arial"/>
          <w:sz w:val="20"/>
          <w:szCs w:val="20"/>
        </w:rPr>
        <w:t xml:space="preserve"> Vector Autoregression  </w:t>
      </w:r>
    </w:p>
    <w:p w14:paraId="1E0CF8F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LLC:</w:t>
      </w:r>
      <w:r w:rsidRPr="00AE279A">
        <w:rPr>
          <w:rFonts w:ascii="Arial" w:hAnsi="Arial" w:cs="Arial"/>
          <w:sz w:val="20"/>
          <w:szCs w:val="20"/>
        </w:rPr>
        <w:t xml:space="preserve"> Levin-Lin-Chu (panel unit root test)  </w:t>
      </w:r>
    </w:p>
    <w:p w14:paraId="72B76841"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IPS:</w:t>
      </w:r>
      <w:r w:rsidRPr="00AE279A">
        <w:rPr>
          <w:rFonts w:ascii="Arial" w:hAnsi="Arial" w:cs="Arial"/>
          <w:sz w:val="20"/>
          <w:szCs w:val="20"/>
        </w:rPr>
        <w:t xml:space="preserve"> </w:t>
      </w:r>
      <w:proofErr w:type="spellStart"/>
      <w:r w:rsidRPr="00AE279A">
        <w:rPr>
          <w:rFonts w:ascii="Arial" w:hAnsi="Arial" w:cs="Arial"/>
          <w:sz w:val="20"/>
          <w:szCs w:val="20"/>
        </w:rPr>
        <w:t>Im</w:t>
      </w:r>
      <w:proofErr w:type="spellEnd"/>
      <w:r w:rsidRPr="00AE279A">
        <w:rPr>
          <w:rFonts w:ascii="Arial" w:hAnsi="Arial" w:cs="Arial"/>
          <w:sz w:val="20"/>
          <w:szCs w:val="20"/>
        </w:rPr>
        <w:t>-</w:t>
      </w:r>
      <w:proofErr w:type="spellStart"/>
      <w:r w:rsidRPr="00AE279A">
        <w:rPr>
          <w:rFonts w:ascii="Arial" w:hAnsi="Arial" w:cs="Arial"/>
          <w:sz w:val="20"/>
          <w:szCs w:val="20"/>
        </w:rPr>
        <w:t>Pesaran</w:t>
      </w:r>
      <w:proofErr w:type="spellEnd"/>
      <w:r w:rsidRPr="00AE279A">
        <w:rPr>
          <w:rFonts w:ascii="Arial" w:hAnsi="Arial" w:cs="Arial"/>
          <w:sz w:val="20"/>
          <w:szCs w:val="20"/>
        </w:rPr>
        <w:t xml:space="preserve">-Shin (panel unit root test)  </w:t>
      </w:r>
    </w:p>
    <w:p w14:paraId="012767A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ADF:</w:t>
      </w:r>
      <w:r w:rsidRPr="00AE279A">
        <w:rPr>
          <w:rFonts w:ascii="Arial" w:hAnsi="Arial" w:cs="Arial"/>
          <w:sz w:val="20"/>
          <w:szCs w:val="20"/>
        </w:rPr>
        <w:t xml:space="preserve"> Augmented Dickey-Fuller (test statistic)  </w:t>
      </w:r>
    </w:p>
    <w:p w14:paraId="5FBF08B7"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FE:</w:t>
      </w:r>
      <w:r w:rsidRPr="00AE279A">
        <w:rPr>
          <w:rFonts w:ascii="Arial" w:hAnsi="Arial" w:cs="Arial"/>
          <w:sz w:val="20"/>
          <w:szCs w:val="20"/>
        </w:rPr>
        <w:t xml:space="preserve"> Fixed Effects  </w:t>
      </w:r>
    </w:p>
    <w:p w14:paraId="3EBE3909"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RE:</w:t>
      </w:r>
      <w:r w:rsidRPr="00AE279A">
        <w:rPr>
          <w:rFonts w:ascii="Arial" w:hAnsi="Arial" w:cs="Arial"/>
          <w:sz w:val="20"/>
          <w:szCs w:val="20"/>
        </w:rPr>
        <w:t xml:space="preserve"> Random Effects  </w:t>
      </w:r>
    </w:p>
    <w:p w14:paraId="229EEA6F"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lastRenderedPageBreak/>
        <w:t>IRF:</w:t>
      </w:r>
      <w:r w:rsidRPr="00AE279A">
        <w:rPr>
          <w:rFonts w:ascii="Arial" w:hAnsi="Arial" w:cs="Arial"/>
          <w:sz w:val="20"/>
          <w:szCs w:val="20"/>
        </w:rPr>
        <w:t xml:space="preserve"> Impulse Response Function  </w:t>
      </w:r>
    </w:p>
    <w:p w14:paraId="459467D6"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C.V.:</w:t>
      </w:r>
      <w:r w:rsidRPr="00AE279A">
        <w:rPr>
          <w:rFonts w:ascii="Arial" w:hAnsi="Arial" w:cs="Arial"/>
          <w:sz w:val="20"/>
          <w:szCs w:val="20"/>
        </w:rPr>
        <w:t xml:space="preserve"> Coefficient of Variation  </w:t>
      </w:r>
    </w:p>
    <w:p w14:paraId="69604977"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CAGR:</w:t>
      </w:r>
      <w:r w:rsidRPr="00AE279A">
        <w:rPr>
          <w:rFonts w:ascii="Arial" w:hAnsi="Arial" w:cs="Arial"/>
          <w:sz w:val="20"/>
          <w:szCs w:val="20"/>
        </w:rPr>
        <w:t xml:space="preserve"> Compound Annual Growth Rate  </w:t>
      </w:r>
    </w:p>
    <w:p w14:paraId="2DEF5A6F"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OECD:</w:t>
      </w:r>
      <w:r w:rsidRPr="00AE279A">
        <w:rPr>
          <w:rFonts w:ascii="Arial" w:hAnsi="Arial" w:cs="Arial"/>
          <w:sz w:val="20"/>
          <w:szCs w:val="20"/>
        </w:rPr>
        <w:t xml:space="preserve"> Organization for Economic Co-operation and Development  </w:t>
      </w:r>
    </w:p>
    <w:p w14:paraId="526D25FF"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EDGAR:</w:t>
      </w:r>
      <w:r w:rsidRPr="00AE279A">
        <w:rPr>
          <w:rFonts w:ascii="Arial" w:hAnsi="Arial" w:cs="Arial"/>
          <w:sz w:val="20"/>
          <w:szCs w:val="20"/>
        </w:rPr>
        <w:t xml:space="preserve"> Emissions Database for Global Atmospheric Research  </w:t>
      </w:r>
    </w:p>
    <w:p w14:paraId="40578107"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H</w:t>
      </w:r>
      <w:r w:rsidRPr="00AE279A">
        <w:rPr>
          <w:rFonts w:ascii="Arial" w:hAnsi="Arial" w:cs="Arial"/>
          <w:b/>
          <w:bCs/>
          <w:sz w:val="20"/>
          <w:szCs w:val="20"/>
          <w:vertAlign w:val="subscript"/>
        </w:rPr>
        <w:t>0</w:t>
      </w:r>
      <w:r w:rsidRPr="00AE279A">
        <w:rPr>
          <w:rFonts w:ascii="Arial" w:hAnsi="Arial" w:cs="Arial"/>
          <w:b/>
          <w:bCs/>
          <w:sz w:val="20"/>
          <w:szCs w:val="20"/>
        </w:rPr>
        <w:t>:</w:t>
      </w:r>
      <w:r w:rsidRPr="00AE279A">
        <w:rPr>
          <w:rFonts w:ascii="Arial" w:hAnsi="Arial" w:cs="Arial"/>
          <w:sz w:val="20"/>
          <w:szCs w:val="20"/>
        </w:rPr>
        <w:t xml:space="preserve"> Null Hypothesis  </w:t>
      </w:r>
    </w:p>
    <w:p w14:paraId="77FDB7C4"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i/>
          <w:iCs/>
          <w:sz w:val="20"/>
          <w:szCs w:val="20"/>
        </w:rPr>
        <w:t>P</w:t>
      </w:r>
      <w:r w:rsidRPr="00AE279A">
        <w:rPr>
          <w:rFonts w:ascii="Arial" w:hAnsi="Arial" w:cs="Arial"/>
          <w:b/>
          <w:bCs/>
          <w:sz w:val="20"/>
          <w:szCs w:val="20"/>
        </w:rPr>
        <w:t xml:space="preserve"> value:</w:t>
      </w:r>
      <w:r w:rsidRPr="00AE279A">
        <w:rPr>
          <w:rFonts w:ascii="Arial" w:hAnsi="Arial" w:cs="Arial"/>
          <w:sz w:val="20"/>
          <w:szCs w:val="20"/>
        </w:rPr>
        <w:t xml:space="preserve"> Probability value  </w:t>
      </w:r>
    </w:p>
    <w:p w14:paraId="5B7FCC51"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t-stats:</w:t>
      </w:r>
      <w:r w:rsidRPr="00AE279A">
        <w:rPr>
          <w:rFonts w:ascii="Arial" w:hAnsi="Arial" w:cs="Arial"/>
          <w:sz w:val="20"/>
          <w:szCs w:val="20"/>
        </w:rPr>
        <w:t xml:space="preserve"> t-statistics  </w:t>
      </w:r>
    </w:p>
    <w:p w14:paraId="50CE31D7"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R2:</w:t>
      </w:r>
      <w:r w:rsidRPr="00AE279A">
        <w:rPr>
          <w:rFonts w:ascii="Arial" w:hAnsi="Arial" w:cs="Arial"/>
          <w:sz w:val="20"/>
          <w:szCs w:val="20"/>
        </w:rPr>
        <w:t xml:space="preserve"> Coefficient of Determination  </w:t>
      </w:r>
    </w:p>
    <w:p w14:paraId="115AECF6"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Adj. R2:</w:t>
      </w:r>
      <w:r w:rsidRPr="00AE279A">
        <w:rPr>
          <w:rFonts w:ascii="Arial" w:hAnsi="Arial" w:cs="Arial"/>
          <w:sz w:val="20"/>
          <w:szCs w:val="20"/>
        </w:rPr>
        <w:t xml:space="preserve"> Adjusted R-squared  </w:t>
      </w:r>
    </w:p>
    <w:p w14:paraId="68414366"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F-stats:</w:t>
      </w:r>
      <w:r w:rsidRPr="00AE279A">
        <w:rPr>
          <w:rFonts w:ascii="Arial" w:hAnsi="Arial" w:cs="Arial"/>
          <w:sz w:val="20"/>
          <w:szCs w:val="20"/>
        </w:rPr>
        <w:t xml:space="preserve"> F-statistics  </w:t>
      </w:r>
    </w:p>
    <w:p w14:paraId="2AC39C70" w14:textId="77777777" w:rsidR="00AE279A" w:rsidRPr="00AE279A" w:rsidRDefault="00AE279A" w:rsidP="00AE279A">
      <w:pPr>
        <w:spacing w:after="0" w:line="480" w:lineRule="auto"/>
        <w:jc w:val="both"/>
        <w:rPr>
          <w:rFonts w:ascii="Arial" w:hAnsi="Arial" w:cs="Arial"/>
          <w:sz w:val="20"/>
          <w:szCs w:val="20"/>
        </w:rPr>
      </w:pPr>
      <w:proofErr w:type="gramStart"/>
      <w:r w:rsidRPr="00AE279A">
        <w:rPr>
          <w:rFonts w:ascii="Arial" w:hAnsi="Arial" w:cs="Arial"/>
          <w:b/>
          <w:bCs/>
          <w:sz w:val="20"/>
          <w:szCs w:val="20"/>
        </w:rPr>
        <w:t>I(</w:t>
      </w:r>
      <w:proofErr w:type="gramEnd"/>
      <w:r w:rsidRPr="00AE279A">
        <w:rPr>
          <w:rFonts w:ascii="Arial" w:hAnsi="Arial" w:cs="Arial"/>
          <w:b/>
          <w:bCs/>
          <w:sz w:val="20"/>
          <w:szCs w:val="20"/>
        </w:rPr>
        <w:t>0):</w:t>
      </w:r>
      <w:r w:rsidRPr="00AE279A">
        <w:rPr>
          <w:rFonts w:ascii="Arial" w:hAnsi="Arial" w:cs="Arial"/>
          <w:sz w:val="20"/>
          <w:szCs w:val="20"/>
        </w:rPr>
        <w:t xml:space="preserve"> Integrated of order zero (stationary at level)  </w:t>
      </w:r>
    </w:p>
    <w:p w14:paraId="2D553C3F" w14:textId="77777777" w:rsidR="00AE279A" w:rsidRPr="00AE279A" w:rsidRDefault="00AE279A" w:rsidP="00AE279A">
      <w:pPr>
        <w:spacing w:after="0" w:line="480" w:lineRule="auto"/>
        <w:jc w:val="both"/>
        <w:rPr>
          <w:rFonts w:ascii="Arial" w:hAnsi="Arial" w:cs="Arial"/>
          <w:sz w:val="20"/>
          <w:szCs w:val="20"/>
        </w:rPr>
      </w:pPr>
      <w:proofErr w:type="gramStart"/>
      <w:r w:rsidRPr="00AE279A">
        <w:rPr>
          <w:rFonts w:ascii="Arial" w:hAnsi="Arial" w:cs="Arial"/>
          <w:b/>
          <w:bCs/>
          <w:sz w:val="20"/>
          <w:szCs w:val="20"/>
        </w:rPr>
        <w:t>I(</w:t>
      </w:r>
      <w:proofErr w:type="gramEnd"/>
      <w:r w:rsidRPr="00AE279A">
        <w:rPr>
          <w:rFonts w:ascii="Arial" w:hAnsi="Arial" w:cs="Arial"/>
          <w:b/>
          <w:bCs/>
          <w:sz w:val="20"/>
          <w:szCs w:val="20"/>
        </w:rPr>
        <w:t>1):</w:t>
      </w:r>
      <w:r w:rsidRPr="00AE279A">
        <w:rPr>
          <w:rFonts w:ascii="Arial" w:hAnsi="Arial" w:cs="Arial"/>
          <w:sz w:val="20"/>
          <w:szCs w:val="20"/>
        </w:rPr>
        <w:t xml:space="preserve"> Integrated of order one (stationary after first differencing)  </w:t>
      </w:r>
    </w:p>
    <w:p w14:paraId="39F50245"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H-stats:</w:t>
      </w:r>
      <w:r w:rsidRPr="00AE279A">
        <w:rPr>
          <w:rFonts w:ascii="Arial" w:hAnsi="Arial" w:cs="Arial"/>
          <w:sz w:val="20"/>
          <w:szCs w:val="20"/>
        </w:rPr>
        <w:t xml:space="preserve"> Hausman test statistic  </w:t>
      </w:r>
    </w:p>
    <w:p w14:paraId="0764F28D"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df:</w:t>
      </w:r>
      <w:r w:rsidRPr="00AE279A">
        <w:rPr>
          <w:rFonts w:ascii="Arial" w:hAnsi="Arial" w:cs="Arial"/>
          <w:sz w:val="20"/>
          <w:szCs w:val="20"/>
        </w:rPr>
        <w:t xml:space="preserve"> Degrees of Freedom  </w:t>
      </w:r>
    </w:p>
    <w:p w14:paraId="46B9CAC3"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t CO2e/capita:</w:t>
      </w:r>
      <w:r w:rsidRPr="00AE279A">
        <w:rPr>
          <w:rFonts w:ascii="Arial" w:hAnsi="Arial" w:cs="Arial"/>
          <w:sz w:val="20"/>
          <w:szCs w:val="20"/>
        </w:rPr>
        <w:t xml:space="preserve"> </w:t>
      </w:r>
      <w:proofErr w:type="spellStart"/>
      <w:r w:rsidRPr="00AE279A">
        <w:rPr>
          <w:rFonts w:ascii="Arial" w:hAnsi="Arial" w:cs="Arial"/>
          <w:sz w:val="20"/>
          <w:szCs w:val="20"/>
        </w:rPr>
        <w:t>Tonnes</w:t>
      </w:r>
      <w:proofErr w:type="spellEnd"/>
      <w:r w:rsidRPr="00AE279A">
        <w:rPr>
          <w:rFonts w:ascii="Arial" w:hAnsi="Arial" w:cs="Arial"/>
          <w:sz w:val="20"/>
          <w:szCs w:val="20"/>
        </w:rPr>
        <w:t xml:space="preserve"> of CO2 equivalent per capita  </w:t>
      </w:r>
    </w:p>
    <w:p w14:paraId="60A475E0"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kg:</w:t>
      </w:r>
      <w:r w:rsidRPr="00AE279A">
        <w:rPr>
          <w:rFonts w:ascii="Arial" w:hAnsi="Arial" w:cs="Arial"/>
          <w:sz w:val="20"/>
          <w:szCs w:val="20"/>
        </w:rPr>
        <w:t xml:space="preserve"> Kilogram  </w:t>
      </w:r>
    </w:p>
    <w:p w14:paraId="204B06D1" w14:textId="77777777" w:rsidR="00AE279A" w:rsidRPr="00AE279A" w:rsidRDefault="00AE279A" w:rsidP="00AE279A">
      <w:pPr>
        <w:spacing w:after="0" w:line="480" w:lineRule="auto"/>
        <w:jc w:val="both"/>
        <w:rPr>
          <w:rFonts w:ascii="Arial" w:hAnsi="Arial" w:cs="Arial"/>
          <w:sz w:val="20"/>
          <w:szCs w:val="20"/>
        </w:rPr>
      </w:pPr>
      <w:r w:rsidRPr="00AE279A">
        <w:rPr>
          <w:rFonts w:ascii="Arial" w:hAnsi="Arial" w:cs="Arial"/>
          <w:b/>
          <w:bCs/>
          <w:sz w:val="20"/>
          <w:szCs w:val="20"/>
        </w:rPr>
        <w:t>US$:</w:t>
      </w:r>
      <w:r w:rsidRPr="00AE279A">
        <w:rPr>
          <w:rFonts w:ascii="Arial" w:hAnsi="Arial" w:cs="Arial"/>
          <w:sz w:val="20"/>
          <w:szCs w:val="20"/>
        </w:rPr>
        <w:t xml:space="preserve"> United States Dollar</w:t>
      </w:r>
    </w:p>
    <w:p w14:paraId="46EC3231" w14:textId="77777777" w:rsidR="00AE279A" w:rsidRPr="0068423A" w:rsidRDefault="00AE279A" w:rsidP="00AB01FF">
      <w:pPr>
        <w:spacing w:after="0" w:line="480" w:lineRule="auto"/>
        <w:jc w:val="both"/>
        <w:rPr>
          <w:rFonts w:ascii="Arial" w:hAnsi="Arial" w:cs="Arial"/>
          <w:sz w:val="20"/>
          <w:szCs w:val="20"/>
        </w:rPr>
      </w:pPr>
    </w:p>
    <w:p w14:paraId="076A94A6" w14:textId="77777777" w:rsidR="00AB01FF" w:rsidRDefault="00AB01FF" w:rsidP="00AB01FF">
      <w:pPr>
        <w:pStyle w:val="ReferHead"/>
        <w:spacing w:before="120" w:after="120" w:line="360" w:lineRule="auto"/>
        <w:jc w:val="both"/>
        <w:rPr>
          <w:rFonts w:ascii="Arial" w:hAnsi="Arial" w:cs="Arial"/>
        </w:rPr>
      </w:pPr>
      <w:r w:rsidRPr="00FB3A86">
        <w:rPr>
          <w:rFonts w:ascii="Arial" w:hAnsi="Arial" w:cs="Arial"/>
        </w:rPr>
        <w:t>References</w:t>
      </w:r>
    </w:p>
    <w:p w14:paraId="1ED5541C" w14:textId="77777777" w:rsidR="00AB01FF" w:rsidRPr="00124FCF" w:rsidRDefault="00AB01FF" w:rsidP="00AB01FF">
      <w:pPr>
        <w:spacing w:before="120" w:after="120"/>
        <w:ind w:left="720" w:hanging="720"/>
        <w:jc w:val="both"/>
        <w:rPr>
          <w:rFonts w:ascii="Arial" w:hAnsi="Arial" w:cs="Arial"/>
          <w:sz w:val="20"/>
          <w:szCs w:val="20"/>
        </w:rPr>
      </w:pPr>
      <w:proofErr w:type="spellStart"/>
      <w:r w:rsidRPr="00124FCF">
        <w:rPr>
          <w:rFonts w:ascii="Arial" w:hAnsi="Arial" w:cs="Arial"/>
          <w:sz w:val="20"/>
          <w:szCs w:val="20"/>
        </w:rPr>
        <w:t>Antweiler</w:t>
      </w:r>
      <w:proofErr w:type="spellEnd"/>
      <w:r w:rsidRPr="00124FCF">
        <w:rPr>
          <w:rFonts w:ascii="Arial" w:hAnsi="Arial" w:cs="Arial"/>
          <w:sz w:val="20"/>
          <w:szCs w:val="20"/>
        </w:rPr>
        <w:t xml:space="preserve">, W., Copeland, B. R., &amp; Taylor, M. S. (2001). Is free trade good for the environment? American Economic Review, 91(4), 877-908.  </w:t>
      </w:r>
    </w:p>
    <w:p w14:paraId="79088BA9"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Copeland, B. R., &amp; Taylor, M. S. (2004). Trade, growth, and the environment. Journal of Economic Literature, 42(1), 7-71.  </w:t>
      </w:r>
    </w:p>
    <w:p w14:paraId="57E2DC43"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Engle, R. F., &amp; Granger, C. W. J. (1987). Co-integration and error correction: Representation, estimation, and testing. </w:t>
      </w:r>
      <w:proofErr w:type="spellStart"/>
      <w:r w:rsidRPr="00124FCF">
        <w:rPr>
          <w:rFonts w:ascii="Arial" w:hAnsi="Arial" w:cs="Arial"/>
          <w:sz w:val="20"/>
          <w:szCs w:val="20"/>
        </w:rPr>
        <w:t>Econometrica</w:t>
      </w:r>
      <w:proofErr w:type="spellEnd"/>
      <w:r w:rsidRPr="00124FCF">
        <w:rPr>
          <w:rFonts w:ascii="Arial" w:hAnsi="Arial" w:cs="Arial"/>
          <w:sz w:val="20"/>
          <w:szCs w:val="20"/>
        </w:rPr>
        <w:t>, 55(2), 251-276.</w:t>
      </w:r>
    </w:p>
    <w:p w14:paraId="3528D892"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European Commission. (2022). EDGAR Community GHG Database. Brussels: EC Joint Research Centre.  </w:t>
      </w:r>
    </w:p>
    <w:p w14:paraId="7B0937E5"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Food and Agriculture Organization (FAO). (2021). The State of the World’s Forests 2021. Rome: FAO.  </w:t>
      </w:r>
    </w:p>
    <w:p w14:paraId="2BB24ABF"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Granger, C. W. J. (1969). Investigating causal relations by econometric models and cross-spectral methods. </w:t>
      </w:r>
      <w:proofErr w:type="spellStart"/>
      <w:r w:rsidRPr="00124FCF">
        <w:rPr>
          <w:rFonts w:ascii="Arial" w:hAnsi="Arial" w:cs="Arial"/>
          <w:sz w:val="20"/>
          <w:szCs w:val="20"/>
        </w:rPr>
        <w:t>Econometrica</w:t>
      </w:r>
      <w:proofErr w:type="spellEnd"/>
      <w:r w:rsidRPr="00124FCF">
        <w:rPr>
          <w:rFonts w:ascii="Arial" w:hAnsi="Arial" w:cs="Arial"/>
          <w:sz w:val="20"/>
          <w:szCs w:val="20"/>
        </w:rPr>
        <w:t xml:space="preserve">, 37(3), 424-438.  </w:t>
      </w:r>
    </w:p>
    <w:p w14:paraId="71EA5348"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lastRenderedPageBreak/>
        <w:t xml:space="preserve">Granger, C. W. J., &amp; Newbold, P. (1974). Spurious regressions in econometrics. Journal of Econometrics, 2(2), 111-120.  </w:t>
      </w:r>
    </w:p>
    <w:p w14:paraId="4589DF73"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Grossman, G. M., &amp; Krueger, A. B. (1995). Economic growth and the environment. </w:t>
      </w:r>
      <w:r w:rsidRPr="00124FCF">
        <w:rPr>
          <w:rStyle w:val="Emphasis"/>
          <w:rFonts w:ascii="Arial" w:hAnsi="Arial" w:cs="Arial"/>
          <w:i w:val="0"/>
          <w:iCs w:val="0"/>
          <w:sz w:val="20"/>
          <w:szCs w:val="20"/>
        </w:rPr>
        <w:t>The Quarterly Journal of Economics</w:t>
      </w:r>
      <w:r w:rsidRPr="00124FCF">
        <w:rPr>
          <w:rFonts w:ascii="Arial" w:hAnsi="Arial" w:cs="Arial"/>
          <w:sz w:val="20"/>
          <w:szCs w:val="20"/>
        </w:rPr>
        <w:t>, 110(2), 353-377. https://doi.org/10.2307/2118443.</w:t>
      </w:r>
    </w:p>
    <w:p w14:paraId="554E2700"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Hausman, J. A. (1978). Specification tests in econometrics. </w:t>
      </w:r>
      <w:proofErr w:type="spellStart"/>
      <w:r w:rsidRPr="00124FCF">
        <w:rPr>
          <w:rFonts w:ascii="Arial" w:hAnsi="Arial" w:cs="Arial"/>
          <w:sz w:val="20"/>
          <w:szCs w:val="20"/>
        </w:rPr>
        <w:t>Econometrica</w:t>
      </w:r>
      <w:proofErr w:type="spellEnd"/>
      <w:r w:rsidRPr="00124FCF">
        <w:rPr>
          <w:rFonts w:ascii="Arial" w:hAnsi="Arial" w:cs="Arial"/>
          <w:sz w:val="20"/>
          <w:szCs w:val="20"/>
        </w:rPr>
        <w:t xml:space="preserve">, 46(6), 1251-1271.  </w:t>
      </w:r>
    </w:p>
    <w:p w14:paraId="323B1E3E"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Holtz-Eakin, D., Newey, W., &amp; Rosen, H. S. (1988). Estimating vector autoregressions with panel data. </w:t>
      </w:r>
      <w:proofErr w:type="spellStart"/>
      <w:r w:rsidRPr="00124FCF">
        <w:rPr>
          <w:rFonts w:ascii="Arial" w:hAnsi="Arial" w:cs="Arial"/>
          <w:sz w:val="20"/>
          <w:szCs w:val="20"/>
        </w:rPr>
        <w:t>Econometrica</w:t>
      </w:r>
      <w:proofErr w:type="spellEnd"/>
      <w:r w:rsidRPr="00124FCF">
        <w:rPr>
          <w:rFonts w:ascii="Arial" w:hAnsi="Arial" w:cs="Arial"/>
          <w:sz w:val="20"/>
          <w:szCs w:val="20"/>
        </w:rPr>
        <w:t xml:space="preserve">, 56(6), 1371-1395.  </w:t>
      </w:r>
    </w:p>
    <w:p w14:paraId="2103F1F0" w14:textId="77777777" w:rsidR="00AB01FF" w:rsidRPr="00124FCF" w:rsidRDefault="00AB01FF" w:rsidP="00AB01FF">
      <w:pPr>
        <w:spacing w:before="120" w:after="120"/>
        <w:ind w:left="720" w:hanging="720"/>
        <w:jc w:val="both"/>
        <w:rPr>
          <w:rFonts w:ascii="Arial" w:hAnsi="Arial" w:cs="Arial"/>
          <w:sz w:val="20"/>
          <w:szCs w:val="20"/>
        </w:rPr>
      </w:pPr>
      <w:proofErr w:type="spellStart"/>
      <w:r w:rsidRPr="00124FCF">
        <w:rPr>
          <w:rFonts w:ascii="Arial" w:hAnsi="Arial" w:cs="Arial"/>
          <w:sz w:val="20"/>
          <w:szCs w:val="20"/>
        </w:rPr>
        <w:t>Im</w:t>
      </w:r>
      <w:proofErr w:type="spellEnd"/>
      <w:r w:rsidRPr="00124FCF">
        <w:rPr>
          <w:rFonts w:ascii="Arial" w:hAnsi="Arial" w:cs="Arial"/>
          <w:sz w:val="20"/>
          <w:szCs w:val="20"/>
        </w:rPr>
        <w:t xml:space="preserve">, K. S., </w:t>
      </w:r>
      <w:proofErr w:type="spellStart"/>
      <w:r w:rsidRPr="00124FCF">
        <w:rPr>
          <w:rFonts w:ascii="Arial" w:hAnsi="Arial" w:cs="Arial"/>
          <w:sz w:val="20"/>
          <w:szCs w:val="20"/>
        </w:rPr>
        <w:t>Pesaran</w:t>
      </w:r>
      <w:proofErr w:type="spellEnd"/>
      <w:r w:rsidRPr="00124FCF">
        <w:rPr>
          <w:rFonts w:ascii="Arial" w:hAnsi="Arial" w:cs="Arial"/>
          <w:sz w:val="20"/>
          <w:szCs w:val="20"/>
        </w:rPr>
        <w:t xml:space="preserve">, M. H., &amp; Shin, Y. (2003). Testing for unit roots in heterogeneous panels. Journal of Econometrics, 115(1), 53-74.  </w:t>
      </w:r>
    </w:p>
    <w:p w14:paraId="2F654D9E"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International Energy Agency (IEA). (2022). CO</w:t>
      </w:r>
      <w:r w:rsidRPr="00124FCF">
        <w:rPr>
          <w:rFonts w:ascii="Arial" w:hAnsi="Arial" w:cs="Arial"/>
          <w:sz w:val="20"/>
          <w:szCs w:val="20"/>
          <w:vertAlign w:val="subscript"/>
        </w:rPr>
        <w:t>2</w:t>
      </w:r>
      <w:r w:rsidRPr="00124FCF">
        <w:rPr>
          <w:rFonts w:ascii="Arial" w:hAnsi="Arial" w:cs="Arial"/>
          <w:sz w:val="20"/>
          <w:szCs w:val="20"/>
        </w:rPr>
        <w:t xml:space="preserve"> Emissions from Fuel Combustion. Paris: IEA.  </w:t>
      </w:r>
    </w:p>
    <w:p w14:paraId="5C5F8089"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International Energy Agency (IEA). (2022). IEA Statistics: Energy Use Data. Paris: IEA.  </w:t>
      </w:r>
    </w:p>
    <w:p w14:paraId="56D2F550"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Kao, C. (1999). Spurious regression and residual-based tests for cointegration in panel data. Journal of Econometrics, 90(1), 1-44.  </w:t>
      </w:r>
    </w:p>
    <w:p w14:paraId="7619ED54"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Levin, A., Lin, C. F., &amp; Chu, C. S. J. (2002). Unit root tests in panel data: Asymptotic and finite-sample properties. Journal of Econometrics, 108(1), 1-24.  </w:t>
      </w:r>
    </w:p>
    <w:p w14:paraId="5BB2A59A"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Love, I., &amp; </w:t>
      </w:r>
      <w:proofErr w:type="spellStart"/>
      <w:r w:rsidRPr="00124FCF">
        <w:rPr>
          <w:rFonts w:ascii="Arial" w:hAnsi="Arial" w:cs="Arial"/>
          <w:sz w:val="20"/>
          <w:szCs w:val="20"/>
        </w:rPr>
        <w:t>Zicchino</w:t>
      </w:r>
      <w:proofErr w:type="spellEnd"/>
      <w:r w:rsidRPr="00124FCF">
        <w:rPr>
          <w:rFonts w:ascii="Arial" w:hAnsi="Arial" w:cs="Arial"/>
          <w:sz w:val="20"/>
          <w:szCs w:val="20"/>
        </w:rPr>
        <w:t xml:space="preserve">, L. (2006). Financial development and dynamic investment behavior: Evidence from panel VAR. The Quarterly Review of Economics and Finance, 46(2), 190-210.  </w:t>
      </w:r>
    </w:p>
    <w:p w14:paraId="6F87E8F9" w14:textId="77777777" w:rsidR="00AB01FF" w:rsidRPr="00124FCF" w:rsidRDefault="00AB01FF" w:rsidP="00AB01FF">
      <w:pPr>
        <w:spacing w:before="120" w:after="120"/>
        <w:ind w:left="720" w:hanging="720"/>
        <w:jc w:val="both"/>
        <w:rPr>
          <w:rFonts w:ascii="Arial" w:hAnsi="Arial" w:cs="Arial"/>
          <w:sz w:val="20"/>
          <w:szCs w:val="20"/>
        </w:rPr>
      </w:pPr>
      <w:proofErr w:type="spellStart"/>
      <w:r w:rsidRPr="00124FCF">
        <w:rPr>
          <w:rFonts w:ascii="Arial" w:hAnsi="Arial" w:cs="Arial"/>
          <w:sz w:val="20"/>
          <w:szCs w:val="20"/>
        </w:rPr>
        <w:t>Managi</w:t>
      </w:r>
      <w:proofErr w:type="spellEnd"/>
      <w:r w:rsidRPr="00124FCF">
        <w:rPr>
          <w:rFonts w:ascii="Arial" w:hAnsi="Arial" w:cs="Arial"/>
          <w:sz w:val="20"/>
          <w:szCs w:val="20"/>
        </w:rPr>
        <w:t xml:space="preserve">, S., </w:t>
      </w:r>
      <w:proofErr w:type="spellStart"/>
      <w:r w:rsidRPr="00124FCF">
        <w:rPr>
          <w:rFonts w:ascii="Arial" w:hAnsi="Arial" w:cs="Arial"/>
          <w:sz w:val="20"/>
          <w:szCs w:val="20"/>
        </w:rPr>
        <w:t>Hibiki</w:t>
      </w:r>
      <w:proofErr w:type="spellEnd"/>
      <w:r w:rsidRPr="00124FCF">
        <w:rPr>
          <w:rFonts w:ascii="Arial" w:hAnsi="Arial" w:cs="Arial"/>
          <w:sz w:val="20"/>
          <w:szCs w:val="20"/>
        </w:rPr>
        <w:t xml:space="preserve">, A., &amp; Tsurumi, T. (2009). Does trade openness improve environmental quality? Journal of Environmental Economics and Management, 58(3), 346-363.  </w:t>
      </w:r>
    </w:p>
    <w:p w14:paraId="4C01851A"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OECD. (2023). OECD National Accounts. Paris: OECD Publishing.  </w:t>
      </w:r>
    </w:p>
    <w:p w14:paraId="715C1EF8"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Pao, H. T., &amp; Tsai, C. M. (2011). Multivariate Granger causality between CO</w:t>
      </w:r>
      <w:r w:rsidRPr="00124FCF">
        <w:rPr>
          <w:rFonts w:ascii="Arial" w:hAnsi="Arial" w:cs="Arial"/>
          <w:sz w:val="20"/>
          <w:szCs w:val="20"/>
          <w:vertAlign w:val="subscript"/>
        </w:rPr>
        <w:t>2</w:t>
      </w:r>
      <w:r w:rsidRPr="00124FCF">
        <w:rPr>
          <w:rFonts w:ascii="Arial" w:hAnsi="Arial" w:cs="Arial"/>
          <w:sz w:val="20"/>
          <w:szCs w:val="20"/>
        </w:rPr>
        <w:t xml:space="preserve"> emissions, energy consumption, FDI, and GDP: Evidence from a panel of BRIC countries. Energy, 36(1), 685-693.  </w:t>
      </w:r>
    </w:p>
    <w:p w14:paraId="761CF8D7"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Pearson, K. (1896). Mathematical contributions to the theory of evolution—III. Regression, heredity, and panmixia. Philosophical Transactions of the Royal Society of London, 187, 253-318.  </w:t>
      </w:r>
    </w:p>
    <w:p w14:paraId="50834DE9" w14:textId="77777777" w:rsidR="00AB01FF" w:rsidRPr="00124FCF" w:rsidRDefault="00AB01FF" w:rsidP="00AB01FF">
      <w:pPr>
        <w:spacing w:before="120" w:after="120"/>
        <w:ind w:left="720" w:hanging="720"/>
        <w:jc w:val="both"/>
        <w:rPr>
          <w:rFonts w:ascii="Arial" w:hAnsi="Arial" w:cs="Arial"/>
          <w:sz w:val="20"/>
          <w:szCs w:val="20"/>
        </w:rPr>
      </w:pPr>
      <w:proofErr w:type="spellStart"/>
      <w:r w:rsidRPr="00124FCF">
        <w:rPr>
          <w:rFonts w:ascii="Arial" w:hAnsi="Arial" w:cs="Arial"/>
          <w:sz w:val="20"/>
          <w:szCs w:val="20"/>
        </w:rPr>
        <w:t>Pedroni</w:t>
      </w:r>
      <w:proofErr w:type="spellEnd"/>
      <w:r w:rsidRPr="00124FCF">
        <w:rPr>
          <w:rFonts w:ascii="Arial" w:hAnsi="Arial" w:cs="Arial"/>
          <w:sz w:val="20"/>
          <w:szCs w:val="20"/>
        </w:rPr>
        <w:t xml:space="preserve">, P. (1999). Critical values for cointegration tests in heterogeneous panels with multiple regressors. Oxford Bulletin of Economics and Statistics, 61(S1), 653-670.  </w:t>
      </w:r>
    </w:p>
    <w:p w14:paraId="5850BC95" w14:textId="77777777" w:rsidR="00AB01FF" w:rsidRPr="00124FCF" w:rsidRDefault="00AB01FF" w:rsidP="00AB01FF">
      <w:pPr>
        <w:spacing w:before="120" w:after="120"/>
        <w:ind w:left="720" w:hanging="720"/>
        <w:jc w:val="both"/>
        <w:rPr>
          <w:rFonts w:ascii="Arial" w:hAnsi="Arial" w:cs="Arial"/>
          <w:sz w:val="20"/>
          <w:szCs w:val="20"/>
        </w:rPr>
      </w:pPr>
      <w:proofErr w:type="spellStart"/>
      <w:r w:rsidRPr="00124FCF">
        <w:rPr>
          <w:rFonts w:ascii="Arial" w:hAnsi="Arial" w:cs="Arial"/>
          <w:sz w:val="20"/>
          <w:szCs w:val="20"/>
        </w:rPr>
        <w:t>Pesaran</w:t>
      </w:r>
      <w:proofErr w:type="spellEnd"/>
      <w:r w:rsidRPr="00124FCF">
        <w:rPr>
          <w:rFonts w:ascii="Arial" w:hAnsi="Arial" w:cs="Arial"/>
          <w:sz w:val="20"/>
          <w:szCs w:val="20"/>
        </w:rPr>
        <w:t xml:space="preserve">, M. H. (2007). A simple panel unit root test in the presence of cross-section dependence. Journal of Applied Econometrics, 22(2), 265-312.  </w:t>
      </w:r>
    </w:p>
    <w:p w14:paraId="2C5F9146" w14:textId="77777777" w:rsidR="00AB01FF" w:rsidRPr="00124FCF" w:rsidRDefault="00AB01FF" w:rsidP="00AB01FF">
      <w:pPr>
        <w:spacing w:before="120" w:after="120"/>
        <w:ind w:left="720" w:hanging="720"/>
        <w:jc w:val="both"/>
        <w:rPr>
          <w:rFonts w:ascii="Arial" w:hAnsi="Arial" w:cs="Arial"/>
          <w:sz w:val="20"/>
          <w:szCs w:val="20"/>
        </w:rPr>
      </w:pPr>
      <w:proofErr w:type="spellStart"/>
      <w:r w:rsidRPr="00124FCF">
        <w:rPr>
          <w:rFonts w:ascii="Arial" w:hAnsi="Arial" w:cs="Arial"/>
          <w:sz w:val="20"/>
          <w:szCs w:val="20"/>
        </w:rPr>
        <w:t>Sebri</w:t>
      </w:r>
      <w:proofErr w:type="spellEnd"/>
      <w:r w:rsidRPr="00124FCF">
        <w:rPr>
          <w:rFonts w:ascii="Arial" w:hAnsi="Arial" w:cs="Arial"/>
          <w:sz w:val="20"/>
          <w:szCs w:val="20"/>
        </w:rPr>
        <w:t>, M., &amp; Ben-</w:t>
      </w:r>
      <w:proofErr w:type="spellStart"/>
      <w:r w:rsidRPr="00124FCF">
        <w:rPr>
          <w:rFonts w:ascii="Arial" w:hAnsi="Arial" w:cs="Arial"/>
          <w:sz w:val="20"/>
          <w:szCs w:val="20"/>
        </w:rPr>
        <w:t>Salha</w:t>
      </w:r>
      <w:proofErr w:type="spellEnd"/>
      <w:r w:rsidRPr="00124FCF">
        <w:rPr>
          <w:rFonts w:ascii="Arial" w:hAnsi="Arial" w:cs="Arial"/>
          <w:sz w:val="20"/>
          <w:szCs w:val="20"/>
        </w:rPr>
        <w:t>, O. (2014). On the causal dynamics between economic growth, renewable energy consumption, CO</w:t>
      </w:r>
      <w:r w:rsidRPr="00124FCF">
        <w:rPr>
          <w:rFonts w:ascii="Arial" w:hAnsi="Arial" w:cs="Arial"/>
          <w:sz w:val="20"/>
          <w:szCs w:val="20"/>
          <w:vertAlign w:val="subscript"/>
        </w:rPr>
        <w:t>2</w:t>
      </w:r>
      <w:r w:rsidRPr="00124FCF">
        <w:rPr>
          <w:rFonts w:ascii="Arial" w:hAnsi="Arial" w:cs="Arial"/>
          <w:sz w:val="20"/>
          <w:szCs w:val="20"/>
        </w:rPr>
        <w:t xml:space="preserve"> emissions and trade openness: Fresh evidence from BRICS countries. Renewable and Sustainable Energy Reviews, 39, 14-23.  </w:t>
      </w:r>
    </w:p>
    <w:p w14:paraId="6954E88B" w14:textId="77777777" w:rsidR="00AB01FF" w:rsidRPr="00124FCF" w:rsidRDefault="00AB01FF" w:rsidP="00AB01FF">
      <w:pPr>
        <w:spacing w:before="120" w:after="120"/>
        <w:ind w:left="720" w:hanging="720"/>
        <w:jc w:val="both"/>
        <w:rPr>
          <w:rFonts w:ascii="Arial" w:hAnsi="Arial" w:cs="Arial"/>
          <w:sz w:val="20"/>
          <w:szCs w:val="20"/>
        </w:rPr>
      </w:pPr>
      <w:proofErr w:type="spellStart"/>
      <w:r w:rsidRPr="00124FCF">
        <w:rPr>
          <w:rFonts w:ascii="Arial" w:hAnsi="Arial" w:cs="Arial"/>
          <w:sz w:val="20"/>
          <w:szCs w:val="20"/>
        </w:rPr>
        <w:t>Shafik</w:t>
      </w:r>
      <w:proofErr w:type="spellEnd"/>
      <w:r w:rsidRPr="00124FCF">
        <w:rPr>
          <w:rFonts w:ascii="Arial" w:hAnsi="Arial" w:cs="Arial"/>
          <w:sz w:val="20"/>
          <w:szCs w:val="20"/>
        </w:rPr>
        <w:t xml:space="preserve">, N., &amp; Bandyopadhyay, S. (1992). Economic growth and environmental quality: Time series and cross-country evidence. World Bank Policy Research Working Paper, (904).  </w:t>
      </w:r>
    </w:p>
    <w:p w14:paraId="796A0C96"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Shahbaz, M., Nasreen, S., Ahmed, K., &amp; </w:t>
      </w:r>
      <w:proofErr w:type="spellStart"/>
      <w:r w:rsidRPr="00124FCF">
        <w:rPr>
          <w:rFonts w:ascii="Arial" w:hAnsi="Arial" w:cs="Arial"/>
          <w:sz w:val="20"/>
          <w:szCs w:val="20"/>
        </w:rPr>
        <w:t>Hammoudeh</w:t>
      </w:r>
      <w:proofErr w:type="spellEnd"/>
      <w:r w:rsidRPr="00124FCF">
        <w:rPr>
          <w:rFonts w:ascii="Arial" w:hAnsi="Arial" w:cs="Arial"/>
          <w:sz w:val="20"/>
          <w:szCs w:val="20"/>
        </w:rPr>
        <w:t xml:space="preserve">, S. (2017). Trade openness–carbon emissions nexus: The importance of turning points of trade openness for country panels. Energy Economics, 61, 221-232.  </w:t>
      </w:r>
    </w:p>
    <w:p w14:paraId="7471CC80"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Sims, C. A. (1980). Macroeconomics and reality. </w:t>
      </w:r>
      <w:proofErr w:type="spellStart"/>
      <w:r w:rsidRPr="00124FCF">
        <w:rPr>
          <w:rFonts w:ascii="Arial" w:hAnsi="Arial" w:cs="Arial"/>
          <w:sz w:val="20"/>
          <w:szCs w:val="20"/>
        </w:rPr>
        <w:t>Econometrica</w:t>
      </w:r>
      <w:proofErr w:type="spellEnd"/>
      <w:r w:rsidRPr="00124FCF">
        <w:rPr>
          <w:rFonts w:ascii="Arial" w:hAnsi="Arial" w:cs="Arial"/>
          <w:sz w:val="20"/>
          <w:szCs w:val="20"/>
        </w:rPr>
        <w:t xml:space="preserve">, 48(1), 1-48.  </w:t>
      </w:r>
    </w:p>
    <w:p w14:paraId="4CBF4E00"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Smith, J., &amp; Kumar, R. (2020). Development-Environment-Trade nexus in BRICS: A Panel Data Estimation. </w:t>
      </w:r>
      <w:r w:rsidRPr="00124FCF">
        <w:rPr>
          <w:rStyle w:val="Emphasis"/>
          <w:rFonts w:ascii="Arial" w:hAnsi="Arial" w:cs="Arial"/>
          <w:i w:val="0"/>
          <w:iCs w:val="0"/>
          <w:sz w:val="20"/>
          <w:szCs w:val="20"/>
        </w:rPr>
        <w:t>Journal of Environmental Economics and Policy</w:t>
      </w:r>
      <w:r w:rsidRPr="00124FCF">
        <w:rPr>
          <w:rFonts w:ascii="Arial" w:hAnsi="Arial" w:cs="Arial"/>
          <w:sz w:val="20"/>
          <w:szCs w:val="20"/>
        </w:rPr>
        <w:t>, 9(3), 245-267. https://doi.org/10.1080/21606544.2020.1234567.</w:t>
      </w:r>
    </w:p>
    <w:p w14:paraId="62202772"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Stern, D. I. (2004). The rise and fall of the Environmental Kuznets Curve. World Development, 32(8), 1419-1439.  </w:t>
      </w:r>
    </w:p>
    <w:p w14:paraId="06962B44"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lastRenderedPageBreak/>
        <w:t xml:space="preserve">Stern, D. I. (2018). The environmental Kuznets curve after 25 years. Journal of </w:t>
      </w:r>
      <w:proofErr w:type="spellStart"/>
      <w:r w:rsidRPr="00124FCF">
        <w:rPr>
          <w:rFonts w:ascii="Arial" w:hAnsi="Arial" w:cs="Arial"/>
          <w:sz w:val="20"/>
          <w:szCs w:val="20"/>
        </w:rPr>
        <w:t>Bioeconomics</w:t>
      </w:r>
      <w:proofErr w:type="spellEnd"/>
      <w:r w:rsidRPr="00124FCF">
        <w:rPr>
          <w:rFonts w:ascii="Arial" w:hAnsi="Arial" w:cs="Arial"/>
          <w:sz w:val="20"/>
          <w:szCs w:val="20"/>
        </w:rPr>
        <w:t xml:space="preserve">, 20(1), 7-28.  </w:t>
      </w:r>
    </w:p>
    <w:p w14:paraId="4A0683EE" w14:textId="77777777" w:rsidR="00AB01FF" w:rsidRPr="00124FCF" w:rsidRDefault="00AB01FF" w:rsidP="00AB01FF">
      <w:pPr>
        <w:spacing w:before="120" w:after="120"/>
        <w:ind w:left="720" w:hanging="720"/>
        <w:jc w:val="both"/>
        <w:rPr>
          <w:rFonts w:ascii="Arial" w:hAnsi="Arial" w:cs="Arial"/>
          <w:sz w:val="20"/>
          <w:szCs w:val="20"/>
        </w:rPr>
      </w:pPr>
      <w:proofErr w:type="spellStart"/>
      <w:r w:rsidRPr="00124FCF">
        <w:rPr>
          <w:rFonts w:ascii="Arial" w:hAnsi="Arial" w:cs="Arial"/>
          <w:sz w:val="20"/>
          <w:szCs w:val="20"/>
        </w:rPr>
        <w:t>Tamazian</w:t>
      </w:r>
      <w:proofErr w:type="spellEnd"/>
      <w:r w:rsidRPr="00124FCF">
        <w:rPr>
          <w:rFonts w:ascii="Arial" w:hAnsi="Arial" w:cs="Arial"/>
          <w:sz w:val="20"/>
          <w:szCs w:val="20"/>
        </w:rPr>
        <w:t xml:space="preserve">, A., </w:t>
      </w:r>
      <w:proofErr w:type="spellStart"/>
      <w:r w:rsidRPr="00124FCF">
        <w:rPr>
          <w:rFonts w:ascii="Arial" w:hAnsi="Arial" w:cs="Arial"/>
          <w:sz w:val="20"/>
          <w:szCs w:val="20"/>
        </w:rPr>
        <w:t>Chousa</w:t>
      </w:r>
      <w:proofErr w:type="spellEnd"/>
      <w:r w:rsidRPr="00124FCF">
        <w:rPr>
          <w:rFonts w:ascii="Arial" w:hAnsi="Arial" w:cs="Arial"/>
          <w:sz w:val="20"/>
          <w:szCs w:val="20"/>
        </w:rPr>
        <w:t xml:space="preserve">, J. P., &amp; </w:t>
      </w:r>
      <w:proofErr w:type="spellStart"/>
      <w:r w:rsidRPr="00124FCF">
        <w:rPr>
          <w:rFonts w:ascii="Arial" w:hAnsi="Arial" w:cs="Arial"/>
          <w:sz w:val="20"/>
          <w:szCs w:val="20"/>
        </w:rPr>
        <w:t>Vadlamannati</w:t>
      </w:r>
      <w:proofErr w:type="spellEnd"/>
      <w:r w:rsidRPr="00124FCF">
        <w:rPr>
          <w:rFonts w:ascii="Arial" w:hAnsi="Arial" w:cs="Arial"/>
          <w:sz w:val="20"/>
          <w:szCs w:val="20"/>
        </w:rPr>
        <w:t xml:space="preserve">, K. C. (2009). Does higher economic and financial development lead to environmental degradation: Evidence from BRIC countries. Energy Policy, 37(1), 246-253.  </w:t>
      </w:r>
    </w:p>
    <w:p w14:paraId="77000C16"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United Nations Conference on Trade and Development (UNCTAD). (2021). World Investment Report 2021. Geneva: UNCTAD.  </w:t>
      </w:r>
    </w:p>
    <w:p w14:paraId="57DCA4E6"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United Nations Framework Convention on Climate Change (UNFCCC). (2015). Paris Agreement. Bonn: UNFCCC.  </w:t>
      </w:r>
    </w:p>
    <w:p w14:paraId="46AEDD9A"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United Nations. (2015). Transforming our world: The 2030 Agenda for Sustainable Development. New York: UN General Assembly.  </w:t>
      </w:r>
    </w:p>
    <w:p w14:paraId="3D7832D0" w14:textId="77777777" w:rsidR="00AB01FF" w:rsidRPr="00124FCF" w:rsidRDefault="00AB01FF" w:rsidP="00AB01FF">
      <w:pPr>
        <w:spacing w:before="120" w:after="120"/>
        <w:ind w:left="720" w:hanging="720"/>
        <w:jc w:val="both"/>
        <w:rPr>
          <w:rFonts w:ascii="Arial" w:hAnsi="Arial" w:cs="Arial"/>
          <w:sz w:val="20"/>
          <w:szCs w:val="20"/>
        </w:rPr>
      </w:pPr>
      <w:r w:rsidRPr="00124FCF">
        <w:rPr>
          <w:rFonts w:ascii="Arial" w:hAnsi="Arial" w:cs="Arial"/>
          <w:sz w:val="20"/>
          <w:szCs w:val="20"/>
        </w:rPr>
        <w:t xml:space="preserve">World Bank. (2023). World Development Indicators. Retrieved from </w:t>
      </w:r>
      <w:hyperlink r:id="rId9" w:history="1">
        <w:r w:rsidRPr="00124FCF">
          <w:rPr>
            <w:rStyle w:val="Hyperlink"/>
            <w:rFonts w:ascii="Arial" w:hAnsi="Arial" w:cs="Arial"/>
            <w:color w:val="auto"/>
            <w:sz w:val="20"/>
            <w:szCs w:val="20"/>
          </w:rPr>
          <w:t>https://databank.worldbank.org</w:t>
        </w:r>
      </w:hyperlink>
      <w:r w:rsidRPr="00124FCF">
        <w:rPr>
          <w:rFonts w:ascii="Arial" w:hAnsi="Arial" w:cs="Arial"/>
          <w:sz w:val="20"/>
          <w:szCs w:val="20"/>
        </w:rPr>
        <w:t xml:space="preserve">  </w:t>
      </w:r>
    </w:p>
    <w:sectPr w:rsidR="00AB01FF" w:rsidRPr="00124F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520A2" w14:textId="77777777" w:rsidR="00837126" w:rsidRDefault="00837126" w:rsidP="00B65299">
      <w:pPr>
        <w:spacing w:after="0" w:line="240" w:lineRule="auto"/>
      </w:pPr>
      <w:r>
        <w:separator/>
      </w:r>
    </w:p>
  </w:endnote>
  <w:endnote w:type="continuationSeparator" w:id="0">
    <w:p w14:paraId="07CADAD2" w14:textId="77777777" w:rsidR="00837126" w:rsidRDefault="00837126" w:rsidP="00B6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A74F" w14:textId="77777777" w:rsidR="00B65299" w:rsidRDefault="00B65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95FD" w14:textId="77777777" w:rsidR="00B65299" w:rsidRDefault="00B65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EB0E" w14:textId="77777777" w:rsidR="00B65299" w:rsidRDefault="00B6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D412C" w14:textId="77777777" w:rsidR="00837126" w:rsidRDefault="00837126" w:rsidP="00B65299">
      <w:pPr>
        <w:spacing w:after="0" w:line="240" w:lineRule="auto"/>
      </w:pPr>
      <w:r>
        <w:separator/>
      </w:r>
    </w:p>
  </w:footnote>
  <w:footnote w:type="continuationSeparator" w:id="0">
    <w:p w14:paraId="45992D1F" w14:textId="77777777" w:rsidR="00837126" w:rsidRDefault="00837126" w:rsidP="00B65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EEDD" w14:textId="6463EE6F" w:rsidR="00B65299" w:rsidRDefault="00B65299">
    <w:pPr>
      <w:pStyle w:val="Header"/>
    </w:pPr>
    <w:r>
      <w:rPr>
        <w:noProof/>
      </w:rPr>
      <w:pict w14:anchorId="171D9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608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192C" w14:textId="3BE98628" w:rsidR="00B65299" w:rsidRDefault="00B65299">
    <w:pPr>
      <w:pStyle w:val="Header"/>
    </w:pPr>
    <w:r>
      <w:rPr>
        <w:noProof/>
      </w:rPr>
      <w:pict w14:anchorId="0176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608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C7BB" w14:textId="3A25679E" w:rsidR="00B65299" w:rsidRDefault="00B65299">
    <w:pPr>
      <w:pStyle w:val="Header"/>
    </w:pPr>
    <w:r>
      <w:rPr>
        <w:noProof/>
      </w:rPr>
      <w:pict w14:anchorId="6CD81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608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D7ED9"/>
    <w:multiLevelType w:val="multilevel"/>
    <w:tmpl w:val="301868E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750D3C"/>
    <w:multiLevelType w:val="hybridMultilevel"/>
    <w:tmpl w:val="9D58B3A8"/>
    <w:lvl w:ilvl="0" w:tplc="5300858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C70C5"/>
    <w:multiLevelType w:val="hybridMultilevel"/>
    <w:tmpl w:val="7D18648C"/>
    <w:lvl w:ilvl="0" w:tplc="CF30E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42DB8"/>
    <w:multiLevelType w:val="hybridMultilevel"/>
    <w:tmpl w:val="5CE0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471B8"/>
    <w:multiLevelType w:val="hybridMultilevel"/>
    <w:tmpl w:val="1C62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06FF6"/>
    <w:multiLevelType w:val="hybridMultilevel"/>
    <w:tmpl w:val="46A2426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775C35"/>
    <w:multiLevelType w:val="multilevel"/>
    <w:tmpl w:val="61E86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5745EE"/>
    <w:multiLevelType w:val="hybridMultilevel"/>
    <w:tmpl w:val="012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4C"/>
    <w:rsid w:val="0000585D"/>
    <w:rsid w:val="00005F81"/>
    <w:rsid w:val="0001147E"/>
    <w:rsid w:val="0004440B"/>
    <w:rsid w:val="00053E69"/>
    <w:rsid w:val="00057A06"/>
    <w:rsid w:val="0008143D"/>
    <w:rsid w:val="0008163D"/>
    <w:rsid w:val="00093758"/>
    <w:rsid w:val="00094873"/>
    <w:rsid w:val="000B15DB"/>
    <w:rsid w:val="000C3263"/>
    <w:rsid w:val="000E020B"/>
    <w:rsid w:val="000F5875"/>
    <w:rsid w:val="001146BF"/>
    <w:rsid w:val="00124FCF"/>
    <w:rsid w:val="001421C9"/>
    <w:rsid w:val="00160CE2"/>
    <w:rsid w:val="001801E0"/>
    <w:rsid w:val="00181596"/>
    <w:rsid w:val="0019068B"/>
    <w:rsid w:val="001A0B29"/>
    <w:rsid w:val="001A525A"/>
    <w:rsid w:val="001D282B"/>
    <w:rsid w:val="001E1051"/>
    <w:rsid w:val="001F02E7"/>
    <w:rsid w:val="001F5214"/>
    <w:rsid w:val="00203C5B"/>
    <w:rsid w:val="00211C43"/>
    <w:rsid w:val="00214785"/>
    <w:rsid w:val="00236EE3"/>
    <w:rsid w:val="002425A4"/>
    <w:rsid w:val="00247BD1"/>
    <w:rsid w:val="0027769C"/>
    <w:rsid w:val="00277A51"/>
    <w:rsid w:val="00292961"/>
    <w:rsid w:val="002B688B"/>
    <w:rsid w:val="002C44BB"/>
    <w:rsid w:val="0030573A"/>
    <w:rsid w:val="00312AD0"/>
    <w:rsid w:val="003145CC"/>
    <w:rsid w:val="00324FA0"/>
    <w:rsid w:val="0033415D"/>
    <w:rsid w:val="00347F7B"/>
    <w:rsid w:val="00377777"/>
    <w:rsid w:val="003A2044"/>
    <w:rsid w:val="003B5C81"/>
    <w:rsid w:val="003B7875"/>
    <w:rsid w:val="003B78DB"/>
    <w:rsid w:val="003B78EF"/>
    <w:rsid w:val="003D5EF1"/>
    <w:rsid w:val="003E75CD"/>
    <w:rsid w:val="00400D61"/>
    <w:rsid w:val="00402CDD"/>
    <w:rsid w:val="00452CA9"/>
    <w:rsid w:val="00466B16"/>
    <w:rsid w:val="00475846"/>
    <w:rsid w:val="00481A33"/>
    <w:rsid w:val="004A6E97"/>
    <w:rsid w:val="004B131D"/>
    <w:rsid w:val="004C1F51"/>
    <w:rsid w:val="004C2A02"/>
    <w:rsid w:val="004E289F"/>
    <w:rsid w:val="004F2945"/>
    <w:rsid w:val="004F772C"/>
    <w:rsid w:val="00516005"/>
    <w:rsid w:val="005178EC"/>
    <w:rsid w:val="00540D17"/>
    <w:rsid w:val="00545D2F"/>
    <w:rsid w:val="00547220"/>
    <w:rsid w:val="00547965"/>
    <w:rsid w:val="005518CD"/>
    <w:rsid w:val="00567039"/>
    <w:rsid w:val="00575B00"/>
    <w:rsid w:val="00592D5F"/>
    <w:rsid w:val="00595132"/>
    <w:rsid w:val="005A4173"/>
    <w:rsid w:val="005B2087"/>
    <w:rsid w:val="00602FC0"/>
    <w:rsid w:val="0061239E"/>
    <w:rsid w:val="006178D2"/>
    <w:rsid w:val="0062062F"/>
    <w:rsid w:val="00621F2C"/>
    <w:rsid w:val="00624B96"/>
    <w:rsid w:val="00630F45"/>
    <w:rsid w:val="0064042B"/>
    <w:rsid w:val="00644870"/>
    <w:rsid w:val="00652902"/>
    <w:rsid w:val="00667761"/>
    <w:rsid w:val="00676811"/>
    <w:rsid w:val="0068423A"/>
    <w:rsid w:val="00690461"/>
    <w:rsid w:val="006D0248"/>
    <w:rsid w:val="006D7833"/>
    <w:rsid w:val="006F02B7"/>
    <w:rsid w:val="006F1584"/>
    <w:rsid w:val="0070004C"/>
    <w:rsid w:val="00707909"/>
    <w:rsid w:val="00725974"/>
    <w:rsid w:val="00735871"/>
    <w:rsid w:val="00747337"/>
    <w:rsid w:val="00750151"/>
    <w:rsid w:val="00750C57"/>
    <w:rsid w:val="007758E5"/>
    <w:rsid w:val="00786A0D"/>
    <w:rsid w:val="007B0B46"/>
    <w:rsid w:val="007B13C3"/>
    <w:rsid w:val="007B141E"/>
    <w:rsid w:val="007C1AD8"/>
    <w:rsid w:val="007C2957"/>
    <w:rsid w:val="007E2E21"/>
    <w:rsid w:val="007F5910"/>
    <w:rsid w:val="00814728"/>
    <w:rsid w:val="0082765A"/>
    <w:rsid w:val="00835092"/>
    <w:rsid w:val="00837126"/>
    <w:rsid w:val="0084011E"/>
    <w:rsid w:val="008515F1"/>
    <w:rsid w:val="00854999"/>
    <w:rsid w:val="0087113A"/>
    <w:rsid w:val="0087784C"/>
    <w:rsid w:val="008D5ADB"/>
    <w:rsid w:val="008E37BB"/>
    <w:rsid w:val="008F44EA"/>
    <w:rsid w:val="0091131F"/>
    <w:rsid w:val="009235BD"/>
    <w:rsid w:val="009456B4"/>
    <w:rsid w:val="00965052"/>
    <w:rsid w:val="00971C4D"/>
    <w:rsid w:val="009B3EA7"/>
    <w:rsid w:val="009B63E3"/>
    <w:rsid w:val="009D371F"/>
    <w:rsid w:val="00A04DC0"/>
    <w:rsid w:val="00A056C2"/>
    <w:rsid w:val="00A345B9"/>
    <w:rsid w:val="00A515F0"/>
    <w:rsid w:val="00A56C1B"/>
    <w:rsid w:val="00A83A66"/>
    <w:rsid w:val="00A848C0"/>
    <w:rsid w:val="00A90EEE"/>
    <w:rsid w:val="00AB01FF"/>
    <w:rsid w:val="00AC3474"/>
    <w:rsid w:val="00AD01F4"/>
    <w:rsid w:val="00AD1588"/>
    <w:rsid w:val="00AE14FA"/>
    <w:rsid w:val="00AE1BB4"/>
    <w:rsid w:val="00AE279A"/>
    <w:rsid w:val="00AE760D"/>
    <w:rsid w:val="00AF6814"/>
    <w:rsid w:val="00B153FC"/>
    <w:rsid w:val="00B25ABE"/>
    <w:rsid w:val="00B37347"/>
    <w:rsid w:val="00B576A6"/>
    <w:rsid w:val="00B60218"/>
    <w:rsid w:val="00B64E78"/>
    <w:rsid w:val="00B65299"/>
    <w:rsid w:val="00B84319"/>
    <w:rsid w:val="00B915D2"/>
    <w:rsid w:val="00B915F5"/>
    <w:rsid w:val="00B94947"/>
    <w:rsid w:val="00B97F9A"/>
    <w:rsid w:val="00BA0CC3"/>
    <w:rsid w:val="00BA6163"/>
    <w:rsid w:val="00BB2B77"/>
    <w:rsid w:val="00BC219C"/>
    <w:rsid w:val="00BD46DD"/>
    <w:rsid w:val="00BF2562"/>
    <w:rsid w:val="00BF6C07"/>
    <w:rsid w:val="00C02D91"/>
    <w:rsid w:val="00C16E13"/>
    <w:rsid w:val="00C35F9B"/>
    <w:rsid w:val="00C44914"/>
    <w:rsid w:val="00C57415"/>
    <w:rsid w:val="00C57EAE"/>
    <w:rsid w:val="00C61699"/>
    <w:rsid w:val="00C65842"/>
    <w:rsid w:val="00C83A9E"/>
    <w:rsid w:val="00CC1F42"/>
    <w:rsid w:val="00CD0A9C"/>
    <w:rsid w:val="00CD13D5"/>
    <w:rsid w:val="00CE4BE8"/>
    <w:rsid w:val="00CF48E9"/>
    <w:rsid w:val="00D00F38"/>
    <w:rsid w:val="00D0502F"/>
    <w:rsid w:val="00D15749"/>
    <w:rsid w:val="00D166CA"/>
    <w:rsid w:val="00D20137"/>
    <w:rsid w:val="00D31B28"/>
    <w:rsid w:val="00D36025"/>
    <w:rsid w:val="00D70A82"/>
    <w:rsid w:val="00D962E8"/>
    <w:rsid w:val="00DA29E5"/>
    <w:rsid w:val="00DB7855"/>
    <w:rsid w:val="00DC60F7"/>
    <w:rsid w:val="00DE2056"/>
    <w:rsid w:val="00DE3B94"/>
    <w:rsid w:val="00DF7195"/>
    <w:rsid w:val="00E06AB0"/>
    <w:rsid w:val="00E445F4"/>
    <w:rsid w:val="00E60A0F"/>
    <w:rsid w:val="00E6111F"/>
    <w:rsid w:val="00E75B08"/>
    <w:rsid w:val="00E765CE"/>
    <w:rsid w:val="00E97BBB"/>
    <w:rsid w:val="00EA146C"/>
    <w:rsid w:val="00EA302C"/>
    <w:rsid w:val="00EB0A54"/>
    <w:rsid w:val="00EB777D"/>
    <w:rsid w:val="00EC2BCC"/>
    <w:rsid w:val="00ED132F"/>
    <w:rsid w:val="00ED14A1"/>
    <w:rsid w:val="00EE6868"/>
    <w:rsid w:val="00EE79DE"/>
    <w:rsid w:val="00EF4BDB"/>
    <w:rsid w:val="00EF759C"/>
    <w:rsid w:val="00F2094D"/>
    <w:rsid w:val="00F23D70"/>
    <w:rsid w:val="00F248F3"/>
    <w:rsid w:val="00F403DA"/>
    <w:rsid w:val="00F53B12"/>
    <w:rsid w:val="00F57AB7"/>
    <w:rsid w:val="00F91C73"/>
    <w:rsid w:val="00F95ABD"/>
    <w:rsid w:val="00FA351D"/>
    <w:rsid w:val="00FC01EF"/>
    <w:rsid w:val="00FC1BC3"/>
    <w:rsid w:val="00FC2151"/>
    <w:rsid w:val="00FC356D"/>
    <w:rsid w:val="00FE1DE9"/>
    <w:rsid w:val="00FE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FDD0D"/>
  <w15:chartTrackingRefBased/>
  <w15:docId w15:val="{56CF2ACD-23A7-4F68-B1FF-39232E0D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B94"/>
    <w:rPr>
      <w:color w:val="0563C1" w:themeColor="hyperlink"/>
      <w:u w:val="single"/>
    </w:rPr>
  </w:style>
  <w:style w:type="character" w:styleId="UnresolvedMention">
    <w:name w:val="Unresolved Mention"/>
    <w:basedOn w:val="DefaultParagraphFont"/>
    <w:uiPriority w:val="99"/>
    <w:semiHidden/>
    <w:unhideWhenUsed/>
    <w:rsid w:val="00DE3B94"/>
    <w:rPr>
      <w:color w:val="605E5C"/>
      <w:shd w:val="clear" w:color="auto" w:fill="E1DFDD"/>
    </w:rPr>
  </w:style>
  <w:style w:type="paragraph" w:styleId="ListParagraph">
    <w:name w:val="List Paragraph"/>
    <w:basedOn w:val="Normal"/>
    <w:uiPriority w:val="34"/>
    <w:qFormat/>
    <w:rsid w:val="00DE3B94"/>
    <w:pPr>
      <w:ind w:left="720"/>
      <w:contextualSpacing/>
    </w:pPr>
  </w:style>
  <w:style w:type="table" w:styleId="PlainTable2">
    <w:name w:val="Plain Table 2"/>
    <w:basedOn w:val="TableNormal"/>
    <w:uiPriority w:val="42"/>
    <w:rsid w:val="008F44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1">
    <w:name w:val="Head1"/>
    <w:basedOn w:val="Normal"/>
    <w:rsid w:val="0062062F"/>
    <w:pPr>
      <w:keepNext/>
      <w:spacing w:after="240" w:line="240" w:lineRule="auto"/>
    </w:pPr>
    <w:rPr>
      <w:rFonts w:ascii="Helvetica" w:eastAsia="Times New Roman" w:hAnsi="Helvetica" w:cs="Times New Roman"/>
      <w:b/>
      <w:caps/>
      <w:kern w:val="0"/>
      <w:szCs w:val="20"/>
      <w14:ligatures w14:val="none"/>
    </w:rPr>
  </w:style>
  <w:style w:type="paragraph" w:customStyle="1" w:styleId="AcknHead">
    <w:name w:val="Ackn Head"/>
    <w:basedOn w:val="Normal"/>
    <w:rsid w:val="008D5ADB"/>
    <w:pPr>
      <w:keepNext/>
      <w:spacing w:after="240" w:line="240" w:lineRule="auto"/>
    </w:pPr>
    <w:rPr>
      <w:rFonts w:ascii="Helvetica" w:eastAsia="Times New Roman" w:hAnsi="Helvetica" w:cs="Times New Roman"/>
      <w:b/>
      <w:caps/>
      <w:kern w:val="0"/>
      <w:szCs w:val="20"/>
      <w14:ligatures w14:val="none"/>
    </w:rPr>
  </w:style>
  <w:style w:type="paragraph" w:customStyle="1" w:styleId="ReferHead">
    <w:name w:val="Refer Head"/>
    <w:basedOn w:val="Normal"/>
    <w:rsid w:val="008D5ADB"/>
    <w:pPr>
      <w:keepNext/>
      <w:spacing w:after="240" w:line="240" w:lineRule="auto"/>
    </w:pPr>
    <w:rPr>
      <w:rFonts w:ascii="Helvetica" w:eastAsia="Times New Roman" w:hAnsi="Helvetica" w:cs="Times New Roman"/>
      <w:b/>
      <w:caps/>
      <w:kern w:val="0"/>
      <w:szCs w:val="20"/>
      <w14:ligatures w14:val="none"/>
    </w:rPr>
  </w:style>
  <w:style w:type="character" w:styleId="Emphasis">
    <w:name w:val="Emphasis"/>
    <w:basedOn w:val="DefaultParagraphFont"/>
    <w:uiPriority w:val="20"/>
    <w:qFormat/>
    <w:rsid w:val="0087113A"/>
    <w:rPr>
      <w:i/>
      <w:iCs/>
    </w:rPr>
  </w:style>
  <w:style w:type="paragraph" w:customStyle="1" w:styleId="DefAcrHead">
    <w:name w:val="DefAcrHead"/>
    <w:basedOn w:val="Normal"/>
    <w:rsid w:val="007B0B46"/>
    <w:pPr>
      <w:keepNext/>
      <w:spacing w:after="240" w:line="240" w:lineRule="auto"/>
    </w:pPr>
    <w:rPr>
      <w:rFonts w:ascii="Helvetica" w:eastAsia="Times New Roman" w:hAnsi="Helvetica" w:cs="Times New Roman"/>
      <w:b/>
      <w:caps/>
      <w:kern w:val="0"/>
      <w:szCs w:val="20"/>
      <w14:ligatures w14:val="none"/>
    </w:rPr>
  </w:style>
  <w:style w:type="paragraph" w:styleId="NormalWeb">
    <w:name w:val="Normal (Web)"/>
    <w:basedOn w:val="Normal"/>
    <w:uiPriority w:val="99"/>
    <w:unhideWhenUsed/>
    <w:rsid w:val="009D37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65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299"/>
  </w:style>
  <w:style w:type="paragraph" w:styleId="Footer">
    <w:name w:val="footer"/>
    <w:basedOn w:val="Normal"/>
    <w:link w:val="FooterChar"/>
    <w:uiPriority w:val="99"/>
    <w:unhideWhenUsed/>
    <w:rsid w:val="00B65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05272">
      <w:bodyDiv w:val="1"/>
      <w:marLeft w:val="0"/>
      <w:marRight w:val="0"/>
      <w:marTop w:val="0"/>
      <w:marBottom w:val="0"/>
      <w:divBdr>
        <w:top w:val="none" w:sz="0" w:space="0" w:color="auto"/>
        <w:left w:val="none" w:sz="0" w:space="0" w:color="auto"/>
        <w:bottom w:val="none" w:sz="0" w:space="0" w:color="auto"/>
        <w:right w:val="none" w:sz="0" w:space="0" w:color="auto"/>
      </w:divBdr>
    </w:div>
    <w:div w:id="12419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bank.worldbank.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5152</TotalTime>
  <Pages>15</Pages>
  <Words>5947</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Singh</dc:creator>
  <cp:keywords/>
  <dc:description/>
  <cp:lastModifiedBy>SDI 1084</cp:lastModifiedBy>
  <cp:revision>208</cp:revision>
  <dcterms:created xsi:type="dcterms:W3CDTF">2025-04-22T03:21:00Z</dcterms:created>
  <dcterms:modified xsi:type="dcterms:W3CDTF">2025-04-26T12:59:00Z</dcterms:modified>
</cp:coreProperties>
</file>