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19F59" w14:textId="77777777" w:rsidR="007F5999" w:rsidRPr="006B1899" w:rsidRDefault="007F5999" w:rsidP="007F5999">
      <w:pPr>
        <w:jc w:val="center"/>
        <w:rPr>
          <w:rFonts w:ascii="Times New Roman" w:hAnsi="Times New Roman" w:cs="Times New Roman"/>
          <w:b/>
          <w:sz w:val="24"/>
          <w:szCs w:val="24"/>
          <w:lang w:val="en-GB"/>
        </w:rPr>
      </w:pPr>
      <w:r w:rsidRPr="00980487">
        <w:rPr>
          <w:rFonts w:ascii="Times New Roman" w:hAnsi="Times New Roman" w:cs="Times New Roman"/>
          <w:b/>
          <w:sz w:val="24"/>
          <w:szCs w:val="24"/>
          <w:lang w:val="en-GB"/>
        </w:rPr>
        <w:t xml:space="preserve">Floristic diversity of herbaceous vegetation in the edges of cultivated </w:t>
      </w:r>
      <w:r w:rsidR="001A52F0" w:rsidRPr="00980487">
        <w:rPr>
          <w:rFonts w:ascii="Times New Roman" w:hAnsi="Times New Roman" w:cs="Times New Roman"/>
          <w:b/>
          <w:sz w:val="24"/>
          <w:szCs w:val="24"/>
          <w:lang w:val="en-GB"/>
        </w:rPr>
        <w:t xml:space="preserve">fresh water </w:t>
      </w:r>
      <w:r w:rsidRPr="00980487">
        <w:rPr>
          <w:rFonts w:ascii="Times New Roman" w:hAnsi="Times New Roman" w:cs="Times New Roman"/>
          <w:b/>
          <w:sz w:val="24"/>
          <w:szCs w:val="24"/>
          <w:lang w:val="en-GB"/>
        </w:rPr>
        <w:t xml:space="preserve">wetlands </w:t>
      </w:r>
      <w:r w:rsidR="0029566A" w:rsidRPr="00980487">
        <w:rPr>
          <w:rFonts w:ascii="Times New Roman" w:hAnsi="Times New Roman" w:cs="Times New Roman"/>
          <w:b/>
          <w:sz w:val="24"/>
          <w:szCs w:val="24"/>
          <w:lang w:val="en-GB"/>
        </w:rPr>
        <w:t xml:space="preserve">in </w:t>
      </w:r>
      <w:proofErr w:type="spellStart"/>
      <w:r w:rsidRPr="00980487">
        <w:rPr>
          <w:rFonts w:ascii="Times New Roman" w:hAnsi="Times New Roman" w:cs="Times New Roman"/>
          <w:b/>
          <w:sz w:val="24"/>
          <w:szCs w:val="24"/>
          <w:lang w:val="en-GB"/>
        </w:rPr>
        <w:t>Yaounde</w:t>
      </w:r>
      <w:proofErr w:type="spellEnd"/>
      <w:r w:rsidRPr="00980487">
        <w:rPr>
          <w:rFonts w:ascii="Times New Roman" w:hAnsi="Times New Roman" w:cs="Times New Roman"/>
          <w:b/>
          <w:sz w:val="24"/>
          <w:szCs w:val="24"/>
          <w:lang w:val="en-GB"/>
        </w:rPr>
        <w:t xml:space="preserve"> and its </w:t>
      </w:r>
      <w:proofErr w:type="spellStart"/>
      <w:r w:rsidRPr="00980487">
        <w:rPr>
          <w:rFonts w:ascii="Times New Roman" w:hAnsi="Times New Roman" w:cs="Times New Roman"/>
          <w:b/>
          <w:sz w:val="24"/>
          <w:szCs w:val="24"/>
          <w:lang w:val="en-GB"/>
        </w:rPr>
        <w:t>perphery</w:t>
      </w:r>
      <w:proofErr w:type="spellEnd"/>
    </w:p>
    <w:p w14:paraId="072AF892" w14:textId="77777777" w:rsidR="000D486A" w:rsidRPr="007F5999" w:rsidRDefault="000D486A" w:rsidP="00E87397">
      <w:pPr>
        <w:jc w:val="center"/>
        <w:rPr>
          <w:rFonts w:ascii="Times New Roman" w:hAnsi="Times New Roman" w:cs="Times New Roman"/>
          <w:b/>
          <w:sz w:val="24"/>
          <w:szCs w:val="24"/>
          <w:lang w:val="en-GB"/>
        </w:rPr>
      </w:pPr>
    </w:p>
    <w:p w14:paraId="55675F32" w14:textId="77777777" w:rsidR="00393545" w:rsidRDefault="00393545">
      <w:pPr>
        <w:rPr>
          <w:rFonts w:ascii="Times New Roman" w:hAnsi="Times New Roman" w:cs="Times New Roman"/>
          <w:b/>
          <w:sz w:val="24"/>
          <w:szCs w:val="24"/>
          <w:lang w:val="en-GB"/>
        </w:rPr>
      </w:pPr>
    </w:p>
    <w:p w14:paraId="5B5E3614" w14:textId="48B4A694" w:rsidR="00933EB8" w:rsidRPr="00956F32" w:rsidRDefault="00B64E3B">
      <w:pPr>
        <w:rPr>
          <w:rFonts w:ascii="Times New Roman" w:hAnsi="Times New Roman" w:cs="Times New Roman"/>
          <w:b/>
          <w:sz w:val="24"/>
          <w:szCs w:val="24"/>
          <w:lang w:val="en-GB"/>
        </w:rPr>
      </w:pPr>
      <w:bookmarkStart w:id="0" w:name="_GoBack"/>
      <w:bookmarkEnd w:id="0"/>
      <w:r w:rsidRPr="00956F32">
        <w:rPr>
          <w:rFonts w:ascii="Times New Roman" w:hAnsi="Times New Roman" w:cs="Times New Roman"/>
          <w:b/>
          <w:sz w:val="24"/>
          <w:szCs w:val="24"/>
          <w:lang w:val="en-GB"/>
        </w:rPr>
        <w:t>A</w:t>
      </w:r>
      <w:r w:rsidR="006B1899" w:rsidRPr="00956F32">
        <w:rPr>
          <w:rFonts w:ascii="Times New Roman" w:hAnsi="Times New Roman" w:cs="Times New Roman"/>
          <w:b/>
          <w:sz w:val="24"/>
          <w:szCs w:val="24"/>
          <w:lang w:val="en-GB"/>
        </w:rPr>
        <w:t>BSTRACT</w:t>
      </w:r>
    </w:p>
    <w:p w14:paraId="484D7289" w14:textId="77777777" w:rsidR="002410FA" w:rsidRPr="006B1899" w:rsidRDefault="00C14221" w:rsidP="00194509">
      <w:pPr>
        <w:spacing w:line="360" w:lineRule="auto"/>
        <w:jc w:val="both"/>
        <w:rPr>
          <w:rFonts w:ascii="Times New Roman" w:hAnsi="Times New Roman" w:cs="Times New Roman"/>
          <w:sz w:val="24"/>
          <w:szCs w:val="24"/>
          <w:lang w:val="en-GB"/>
        </w:rPr>
      </w:pPr>
      <w:r w:rsidRPr="00956F32">
        <w:rPr>
          <w:rFonts w:ascii="Times New Roman" w:hAnsi="Times New Roman" w:cs="Times New Roman"/>
          <w:sz w:val="24"/>
          <w:szCs w:val="24"/>
          <w:lang w:val="en-GB"/>
        </w:rPr>
        <w:t xml:space="preserve">The present study conducted in </w:t>
      </w:r>
      <w:proofErr w:type="spellStart"/>
      <w:r w:rsidR="009B6B91" w:rsidRPr="00956F32">
        <w:rPr>
          <w:rFonts w:ascii="Times New Roman" w:hAnsi="Times New Roman" w:cs="Times New Roman"/>
          <w:sz w:val="24"/>
          <w:szCs w:val="24"/>
          <w:lang w:val="en-GB"/>
        </w:rPr>
        <w:t>Yaounde</w:t>
      </w:r>
      <w:proofErr w:type="spellEnd"/>
      <w:r w:rsidRPr="00956F32">
        <w:rPr>
          <w:rFonts w:ascii="Times New Roman" w:hAnsi="Times New Roman" w:cs="Times New Roman"/>
          <w:sz w:val="24"/>
          <w:szCs w:val="24"/>
          <w:lang w:val="en-GB"/>
        </w:rPr>
        <w:t xml:space="preserve"> and its </w:t>
      </w:r>
      <w:r w:rsidR="009B6B91" w:rsidRPr="00956F32">
        <w:rPr>
          <w:rFonts w:ascii="Times New Roman" w:hAnsi="Times New Roman" w:cs="Times New Roman"/>
          <w:sz w:val="24"/>
          <w:szCs w:val="24"/>
          <w:lang w:val="en-GB"/>
        </w:rPr>
        <w:t>periphery</w:t>
      </w:r>
      <w:r w:rsidRPr="00956F32">
        <w:rPr>
          <w:rFonts w:ascii="Times New Roman" w:hAnsi="Times New Roman" w:cs="Times New Roman"/>
          <w:sz w:val="24"/>
          <w:szCs w:val="24"/>
          <w:lang w:val="en-GB"/>
        </w:rPr>
        <w:t xml:space="preserve"> aims to </w:t>
      </w:r>
      <w:r w:rsidR="006B1899" w:rsidRPr="00956F32">
        <w:rPr>
          <w:rFonts w:ascii="Times New Roman" w:hAnsi="Times New Roman" w:cs="Times New Roman"/>
          <w:sz w:val="24"/>
          <w:szCs w:val="24"/>
          <w:lang w:val="en-GB"/>
        </w:rPr>
        <w:t>analyse</w:t>
      </w:r>
      <w:r w:rsidRPr="00956F32">
        <w:rPr>
          <w:rFonts w:ascii="Times New Roman" w:hAnsi="Times New Roman" w:cs="Times New Roman"/>
          <w:sz w:val="24"/>
          <w:szCs w:val="24"/>
          <w:lang w:val="en-GB"/>
        </w:rPr>
        <w:t xml:space="preserve"> the floristic diversity of herbaceous vegetation in the edges of </w:t>
      </w:r>
      <w:r w:rsidR="00755476" w:rsidRPr="00956F32">
        <w:rPr>
          <w:rFonts w:ascii="Times New Roman" w:hAnsi="Times New Roman" w:cs="Times New Roman"/>
          <w:sz w:val="24"/>
          <w:szCs w:val="24"/>
          <w:lang w:val="en-GB"/>
        </w:rPr>
        <w:t>fresh water</w:t>
      </w:r>
      <w:r w:rsidRPr="00956F32">
        <w:rPr>
          <w:rFonts w:ascii="Times New Roman" w:hAnsi="Times New Roman" w:cs="Times New Roman"/>
          <w:sz w:val="24"/>
          <w:szCs w:val="24"/>
          <w:lang w:val="en-GB"/>
        </w:rPr>
        <w:t xml:space="preserve"> wetlands.</w:t>
      </w:r>
      <w:r w:rsidRPr="006B1899">
        <w:rPr>
          <w:rFonts w:ascii="Times New Roman" w:hAnsi="Times New Roman" w:cs="Times New Roman"/>
          <w:sz w:val="24"/>
          <w:szCs w:val="24"/>
          <w:lang w:val="en-GB"/>
        </w:rPr>
        <w:t xml:space="preserve"> </w:t>
      </w:r>
      <w:r w:rsidR="00D423F6">
        <w:rPr>
          <w:rFonts w:ascii="Times New Roman" w:hAnsi="Times New Roman" w:cs="Times New Roman"/>
          <w:sz w:val="24"/>
          <w:szCs w:val="24"/>
          <w:lang w:val="en-GB"/>
        </w:rPr>
        <w:t>Phytosociological survey was done using the Braun-Blanquet approach</w:t>
      </w:r>
      <w:r w:rsidR="00720552" w:rsidRPr="006B1899">
        <w:rPr>
          <w:rFonts w:ascii="Times New Roman" w:hAnsi="Times New Roman" w:cs="Times New Roman"/>
          <w:sz w:val="24"/>
          <w:szCs w:val="24"/>
          <w:lang w:val="en-GB"/>
        </w:rPr>
        <w:t xml:space="preserve">. In total, 98 herbaceous species distributed among 32 families and 74 genera were recorded. </w:t>
      </w:r>
      <w:r w:rsidR="000F3339" w:rsidRPr="006B1899">
        <w:rPr>
          <w:rFonts w:ascii="Times New Roman" w:hAnsi="Times New Roman" w:cs="Times New Roman"/>
          <w:i/>
          <w:sz w:val="24"/>
          <w:szCs w:val="24"/>
          <w:lang w:val="en-GB"/>
        </w:rPr>
        <w:t xml:space="preserve">Asteraceae </w:t>
      </w:r>
      <w:r w:rsidR="000F3339" w:rsidRPr="006B1899">
        <w:rPr>
          <w:rFonts w:ascii="Times New Roman" w:hAnsi="Times New Roman" w:cs="Times New Roman"/>
          <w:sz w:val="24"/>
          <w:szCs w:val="24"/>
          <w:lang w:val="en-GB"/>
        </w:rPr>
        <w:t xml:space="preserve">constitute the most represented botanical family. Four herbaceous plant groups were discriminated. The floristic diversity index varies from 2.30 to 3.13 bits indicating that the herbaceous plant groups are moderately diversified. Biologically, </w:t>
      </w:r>
      <w:r w:rsidR="00DB6E0A" w:rsidRPr="006B1899">
        <w:rPr>
          <w:rFonts w:ascii="Times New Roman" w:hAnsi="Times New Roman" w:cs="Times New Roman"/>
          <w:sz w:val="24"/>
          <w:szCs w:val="24"/>
          <w:lang w:val="en-GB"/>
        </w:rPr>
        <w:t xml:space="preserve">therophytes </w:t>
      </w:r>
      <w:r w:rsidR="004738A6" w:rsidRPr="006B1899">
        <w:rPr>
          <w:rFonts w:ascii="Times New Roman" w:hAnsi="Times New Roman" w:cs="Times New Roman"/>
          <w:sz w:val="24"/>
          <w:szCs w:val="24"/>
          <w:lang w:val="en-GB"/>
        </w:rPr>
        <w:t xml:space="preserve">are the most dominant to the detriment of other biological forms identified. Similarly, the biogeographic classification of the flora highlights several </w:t>
      </w:r>
      <w:proofErr w:type="spellStart"/>
      <w:r w:rsidR="00A967A5">
        <w:rPr>
          <w:rFonts w:ascii="Times New Roman" w:hAnsi="Times New Roman" w:cs="Times New Roman"/>
          <w:sz w:val="24"/>
          <w:szCs w:val="24"/>
          <w:lang w:val="en-GB"/>
        </w:rPr>
        <w:t>Phyto</w:t>
      </w:r>
      <w:r w:rsidR="006B1899" w:rsidRPr="006B1899">
        <w:rPr>
          <w:rFonts w:ascii="Times New Roman" w:hAnsi="Times New Roman" w:cs="Times New Roman"/>
          <w:sz w:val="24"/>
          <w:szCs w:val="24"/>
          <w:lang w:val="en-GB"/>
        </w:rPr>
        <w:t>chorological</w:t>
      </w:r>
      <w:proofErr w:type="spellEnd"/>
      <w:r w:rsidR="004738A6" w:rsidRPr="006B1899">
        <w:rPr>
          <w:rFonts w:ascii="Times New Roman" w:hAnsi="Times New Roman" w:cs="Times New Roman"/>
          <w:sz w:val="24"/>
          <w:szCs w:val="24"/>
          <w:lang w:val="en-GB"/>
        </w:rPr>
        <w:t xml:space="preserve"> groups, among which species with a wide distribution are the most representative; which reflects the openness and instability of the environment.</w:t>
      </w:r>
      <w:r w:rsidR="004A101A" w:rsidRPr="006B1899">
        <w:rPr>
          <w:rFonts w:ascii="Times New Roman" w:hAnsi="Times New Roman" w:cs="Times New Roman"/>
          <w:sz w:val="24"/>
          <w:szCs w:val="24"/>
          <w:lang w:val="en-GB"/>
        </w:rPr>
        <w:t xml:space="preserve"> </w:t>
      </w:r>
      <w:r w:rsidR="00682CA9" w:rsidRPr="006B1899">
        <w:rPr>
          <w:rFonts w:ascii="Times New Roman" w:hAnsi="Times New Roman" w:cs="Times New Roman"/>
          <w:sz w:val="24"/>
          <w:szCs w:val="24"/>
          <w:lang w:val="en-GB"/>
        </w:rPr>
        <w:t>These results should therefore alert researchers, decision-makers and technicians to the need to continue thinking, training and raising awareness among farmers about the advantages and benefits offered by the edges of</w:t>
      </w:r>
      <w:r w:rsidR="0074769C">
        <w:rPr>
          <w:rFonts w:ascii="Times New Roman" w:hAnsi="Times New Roman" w:cs="Times New Roman"/>
          <w:sz w:val="24"/>
          <w:szCs w:val="24"/>
          <w:lang w:val="en-GB"/>
        </w:rPr>
        <w:t xml:space="preserve"> </w:t>
      </w:r>
      <w:r w:rsidR="00A967A5">
        <w:rPr>
          <w:rFonts w:ascii="Times New Roman" w:hAnsi="Times New Roman" w:cs="Times New Roman"/>
          <w:sz w:val="24"/>
          <w:szCs w:val="24"/>
          <w:lang w:val="en-GB"/>
        </w:rPr>
        <w:t xml:space="preserve">fresh water </w:t>
      </w:r>
      <w:r w:rsidR="0074769C">
        <w:rPr>
          <w:rFonts w:ascii="Times New Roman" w:hAnsi="Times New Roman" w:cs="Times New Roman"/>
          <w:sz w:val="24"/>
          <w:szCs w:val="24"/>
          <w:lang w:val="en-GB"/>
        </w:rPr>
        <w:t xml:space="preserve">wetlands in </w:t>
      </w:r>
      <w:proofErr w:type="spellStart"/>
      <w:r w:rsidR="0074769C">
        <w:rPr>
          <w:rFonts w:ascii="Times New Roman" w:hAnsi="Times New Roman" w:cs="Times New Roman"/>
          <w:sz w:val="24"/>
          <w:szCs w:val="24"/>
          <w:lang w:val="en-GB"/>
        </w:rPr>
        <w:t>Yaounde</w:t>
      </w:r>
      <w:proofErr w:type="spellEnd"/>
      <w:r w:rsidR="00682CA9" w:rsidRPr="006B1899">
        <w:rPr>
          <w:rFonts w:ascii="Times New Roman" w:hAnsi="Times New Roman" w:cs="Times New Roman"/>
          <w:sz w:val="24"/>
          <w:szCs w:val="24"/>
          <w:lang w:val="en-GB"/>
        </w:rPr>
        <w:t xml:space="preserve"> and its surrounding areas.</w:t>
      </w:r>
    </w:p>
    <w:p w14:paraId="5E2FC05E" w14:textId="77777777" w:rsidR="00037A78" w:rsidRPr="006B1899" w:rsidRDefault="006B1899" w:rsidP="00633012">
      <w:pPr>
        <w:spacing w:line="360" w:lineRule="auto"/>
        <w:jc w:val="both"/>
        <w:rPr>
          <w:rFonts w:ascii="Times New Roman" w:hAnsi="Times New Roman" w:cs="Times New Roman"/>
          <w:sz w:val="24"/>
          <w:szCs w:val="24"/>
          <w:lang w:val="en-GB"/>
        </w:rPr>
      </w:pPr>
      <w:r w:rsidRPr="006B1899">
        <w:rPr>
          <w:rFonts w:ascii="Times New Roman" w:hAnsi="Times New Roman" w:cs="Times New Roman"/>
          <w:b/>
          <w:sz w:val="24"/>
          <w:szCs w:val="24"/>
          <w:lang w:val="en-GB"/>
        </w:rPr>
        <w:t>Keywords:</w:t>
      </w:r>
      <w:r w:rsidR="00037A78" w:rsidRPr="006B1899">
        <w:rPr>
          <w:rFonts w:ascii="Times New Roman" w:hAnsi="Times New Roman" w:cs="Times New Roman"/>
          <w:sz w:val="24"/>
          <w:szCs w:val="24"/>
          <w:lang w:val="en-GB"/>
        </w:rPr>
        <w:t xml:space="preserve"> environmental safe</w:t>
      </w:r>
      <w:r w:rsidR="0074769C">
        <w:rPr>
          <w:rFonts w:ascii="Times New Roman" w:hAnsi="Times New Roman" w:cs="Times New Roman"/>
          <w:sz w:val="24"/>
          <w:szCs w:val="24"/>
          <w:lang w:val="en-GB"/>
        </w:rPr>
        <w:t xml:space="preserve">ty, floristic diversity, </w:t>
      </w:r>
      <w:proofErr w:type="spellStart"/>
      <w:r w:rsidR="0074769C">
        <w:rPr>
          <w:rFonts w:ascii="Times New Roman" w:hAnsi="Times New Roman" w:cs="Times New Roman"/>
          <w:sz w:val="24"/>
          <w:szCs w:val="24"/>
          <w:lang w:val="en-GB"/>
        </w:rPr>
        <w:t>Yaounde</w:t>
      </w:r>
      <w:proofErr w:type="spellEnd"/>
      <w:r w:rsidR="00037A78" w:rsidRPr="006B1899">
        <w:rPr>
          <w:rFonts w:ascii="Times New Roman" w:hAnsi="Times New Roman" w:cs="Times New Roman"/>
          <w:sz w:val="24"/>
          <w:szCs w:val="24"/>
          <w:lang w:val="en-GB"/>
        </w:rPr>
        <w:t>, marshy area.</w:t>
      </w:r>
    </w:p>
    <w:p w14:paraId="68F3C4BE" w14:textId="77777777" w:rsidR="00B64E3B" w:rsidRPr="006B1899" w:rsidRDefault="00B64E3B">
      <w:pPr>
        <w:rPr>
          <w:rFonts w:ascii="Times New Roman" w:hAnsi="Times New Roman" w:cs="Times New Roman"/>
          <w:b/>
          <w:color w:val="FF0000"/>
          <w:sz w:val="24"/>
          <w:szCs w:val="24"/>
          <w:lang w:val="en-GB"/>
        </w:rPr>
      </w:pPr>
    </w:p>
    <w:p w14:paraId="6ACF8AC2" w14:textId="77777777" w:rsidR="006B1899" w:rsidRPr="006B1899" w:rsidRDefault="006B1899">
      <w:pPr>
        <w:rPr>
          <w:rFonts w:ascii="Times New Roman" w:hAnsi="Times New Roman" w:cs="Times New Roman"/>
          <w:b/>
          <w:color w:val="FF0000"/>
          <w:sz w:val="24"/>
          <w:szCs w:val="24"/>
          <w:lang w:val="en-GB"/>
        </w:rPr>
      </w:pPr>
      <w:r w:rsidRPr="006B1899">
        <w:rPr>
          <w:rFonts w:ascii="Times New Roman" w:hAnsi="Times New Roman" w:cs="Times New Roman"/>
          <w:b/>
          <w:color w:val="FF0000"/>
          <w:sz w:val="24"/>
          <w:szCs w:val="24"/>
          <w:lang w:val="en-GB"/>
        </w:rPr>
        <w:br w:type="page"/>
      </w:r>
    </w:p>
    <w:p w14:paraId="370B173C" w14:textId="77777777" w:rsidR="00B64E3B" w:rsidRPr="006B1899" w:rsidRDefault="00B64E3B">
      <w:pPr>
        <w:rPr>
          <w:rFonts w:ascii="Times New Roman" w:hAnsi="Times New Roman" w:cs="Times New Roman"/>
          <w:b/>
          <w:color w:val="FF0000"/>
          <w:sz w:val="24"/>
          <w:szCs w:val="24"/>
          <w:lang w:val="en-GB"/>
        </w:rPr>
      </w:pPr>
    </w:p>
    <w:p w14:paraId="3F871BDC" w14:textId="77777777" w:rsidR="00B64E3B" w:rsidRPr="006B1899" w:rsidRDefault="002B3092" w:rsidP="002B309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 INTRODUCTION</w:t>
      </w:r>
    </w:p>
    <w:p w14:paraId="3D449034" w14:textId="77777777" w:rsidR="006E776F" w:rsidRPr="006B1899" w:rsidRDefault="00A43AFB" w:rsidP="00F71D67">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In the tropics, wetlands </w:t>
      </w:r>
      <w:r w:rsidR="006B1899" w:rsidRPr="006B1899">
        <w:rPr>
          <w:rFonts w:ascii="Times New Roman" w:hAnsi="Times New Roman" w:cs="Times New Roman"/>
          <w:sz w:val="24"/>
          <w:szCs w:val="24"/>
          <w:lang w:val="en-GB"/>
        </w:rPr>
        <w:t>fulfil</w:t>
      </w:r>
      <w:r w:rsidRPr="006B1899">
        <w:rPr>
          <w:rFonts w:ascii="Times New Roman" w:hAnsi="Times New Roman" w:cs="Times New Roman"/>
          <w:sz w:val="24"/>
          <w:szCs w:val="24"/>
          <w:lang w:val="en-GB"/>
        </w:rPr>
        <w:t xml:space="preserve"> numerous protective functions at the local and global levels. They thus play a vital role in regulating greenhouse gases, in major climatic balances, in meeting various needs of </w:t>
      </w:r>
      <w:r w:rsidR="00C57115" w:rsidRPr="006B1899">
        <w:rPr>
          <w:rFonts w:ascii="Times New Roman" w:hAnsi="Times New Roman" w:cs="Times New Roman"/>
          <w:sz w:val="24"/>
          <w:szCs w:val="24"/>
          <w:lang w:val="en-GB"/>
        </w:rPr>
        <w:t xml:space="preserve">local populations </w:t>
      </w:r>
      <w:r w:rsidR="00103FC1" w:rsidRPr="006B1899">
        <w:rPr>
          <w:rFonts w:ascii="Times New Roman" w:hAnsi="Times New Roman" w:cs="Times New Roman"/>
          <w:sz w:val="24"/>
          <w:szCs w:val="24"/>
          <w:lang w:val="en-GB"/>
        </w:rPr>
        <w:t>(</w:t>
      </w:r>
      <w:proofErr w:type="spellStart"/>
      <w:r w:rsidR="00103FC1" w:rsidRPr="006B1899">
        <w:rPr>
          <w:rFonts w:ascii="Times New Roman" w:hAnsi="Times New Roman" w:cs="Times New Roman"/>
          <w:sz w:val="24"/>
          <w:szCs w:val="24"/>
          <w:lang w:val="en-GB"/>
        </w:rPr>
        <w:t>Sambaré</w:t>
      </w:r>
      <w:proofErr w:type="spellEnd"/>
      <w:r w:rsidR="00103FC1" w:rsidRPr="006B1899">
        <w:rPr>
          <w:rFonts w:ascii="Times New Roman" w:hAnsi="Times New Roman" w:cs="Times New Roman"/>
          <w:sz w:val="24"/>
          <w:szCs w:val="24"/>
          <w:lang w:val="en-GB"/>
        </w:rPr>
        <w:t xml:space="preserve"> </w:t>
      </w:r>
      <w:r w:rsidR="00103FC1" w:rsidRPr="0028101C">
        <w:rPr>
          <w:rFonts w:ascii="Times New Roman" w:hAnsi="Times New Roman" w:cs="Times New Roman"/>
          <w:i/>
          <w:sz w:val="24"/>
          <w:szCs w:val="24"/>
          <w:lang w:val="en-GB"/>
        </w:rPr>
        <w:t>et al</w:t>
      </w:r>
      <w:r w:rsidR="00103FC1" w:rsidRPr="006B1899">
        <w:rPr>
          <w:rFonts w:ascii="Times New Roman" w:hAnsi="Times New Roman" w:cs="Times New Roman"/>
          <w:sz w:val="24"/>
          <w:szCs w:val="24"/>
          <w:lang w:val="en-GB"/>
        </w:rPr>
        <w:t xml:space="preserve">., 2020; </w:t>
      </w:r>
      <w:proofErr w:type="spellStart"/>
      <w:r w:rsidR="00103FC1" w:rsidRPr="006B1899">
        <w:rPr>
          <w:rFonts w:ascii="Times New Roman" w:hAnsi="Times New Roman" w:cs="Times New Roman"/>
          <w:sz w:val="24"/>
          <w:szCs w:val="24"/>
          <w:lang w:val="en-GB"/>
        </w:rPr>
        <w:t>Djangbedja</w:t>
      </w:r>
      <w:proofErr w:type="spellEnd"/>
      <w:r w:rsidR="00103FC1" w:rsidRPr="006B1899">
        <w:rPr>
          <w:rFonts w:ascii="Times New Roman" w:hAnsi="Times New Roman" w:cs="Times New Roman"/>
          <w:sz w:val="24"/>
          <w:szCs w:val="24"/>
          <w:lang w:val="en-GB"/>
        </w:rPr>
        <w:t>, 2020) and in the creation of large reservoirs of biodiversity. The conversion of these wetlands to the detriment of housing development, agriculture, public infrastructure and the development of tourist facilities, leads to a risk of disappearance of fauna and flora. The wetlands of the city of Yaoundé and its surroundings in Cameroon have important edges in and around which agriculture and livestock farming are practiced. In these edges, food crops are grown which provide not only food for the populations but also substantial income to easily meet most of their socioeconomic needs (</w:t>
      </w:r>
      <w:proofErr w:type="spellStart"/>
      <w:r w:rsidR="008E0C6B" w:rsidRPr="006B1899">
        <w:rPr>
          <w:rFonts w:ascii="Times New Roman" w:hAnsi="Times New Roman" w:cs="Times New Roman"/>
          <w:sz w:val="24"/>
          <w:szCs w:val="24"/>
          <w:lang w:val="en-GB"/>
        </w:rPr>
        <w:t>Menyengue</w:t>
      </w:r>
      <w:proofErr w:type="spellEnd"/>
      <w:r w:rsidR="008E0C6B" w:rsidRPr="006B1899">
        <w:rPr>
          <w:rFonts w:ascii="Times New Roman" w:hAnsi="Times New Roman" w:cs="Times New Roman"/>
          <w:sz w:val="24"/>
          <w:szCs w:val="24"/>
          <w:lang w:val="en-GB"/>
        </w:rPr>
        <w:t xml:space="preserve"> </w:t>
      </w:r>
      <w:r w:rsidR="008E0C6B" w:rsidRPr="0028101C">
        <w:rPr>
          <w:rFonts w:ascii="Times New Roman" w:hAnsi="Times New Roman" w:cs="Times New Roman"/>
          <w:i/>
          <w:sz w:val="24"/>
          <w:szCs w:val="24"/>
          <w:lang w:val="en-GB"/>
        </w:rPr>
        <w:t>et al</w:t>
      </w:r>
      <w:r w:rsidR="008E0C6B" w:rsidRPr="006B1899">
        <w:rPr>
          <w:rFonts w:ascii="Times New Roman" w:hAnsi="Times New Roman" w:cs="Times New Roman"/>
          <w:sz w:val="24"/>
          <w:szCs w:val="24"/>
          <w:lang w:val="en-GB"/>
        </w:rPr>
        <w:t>., 2021). Due to human activity, these edges are mainly covered with herbaceous vegetation. They are used all year round for agricultural purposes (market gardening), traditional pharmacopoeia, and grazing (</w:t>
      </w:r>
      <w:proofErr w:type="spellStart"/>
      <w:r w:rsidR="0089522B" w:rsidRPr="006B1899">
        <w:rPr>
          <w:rFonts w:ascii="Times New Roman" w:hAnsi="Times New Roman" w:cs="Times New Roman"/>
          <w:sz w:val="24"/>
          <w:szCs w:val="24"/>
          <w:lang w:val="en-GB"/>
        </w:rPr>
        <w:t>Mbarga</w:t>
      </w:r>
      <w:proofErr w:type="spellEnd"/>
      <w:r w:rsidR="0089522B" w:rsidRPr="006B1899">
        <w:rPr>
          <w:rFonts w:ascii="Times New Roman" w:hAnsi="Times New Roman" w:cs="Times New Roman"/>
          <w:sz w:val="24"/>
          <w:szCs w:val="24"/>
          <w:lang w:val="en-GB"/>
        </w:rPr>
        <w:t xml:space="preserve"> </w:t>
      </w:r>
      <w:proofErr w:type="spellStart"/>
      <w:r w:rsidR="0089522B" w:rsidRPr="006B1899">
        <w:rPr>
          <w:rFonts w:ascii="Times New Roman" w:hAnsi="Times New Roman" w:cs="Times New Roman"/>
          <w:sz w:val="24"/>
          <w:szCs w:val="24"/>
          <w:lang w:val="en-GB"/>
        </w:rPr>
        <w:t>Bindzi</w:t>
      </w:r>
      <w:proofErr w:type="spellEnd"/>
      <w:r w:rsidR="0089522B" w:rsidRPr="006B1899">
        <w:rPr>
          <w:rFonts w:ascii="Times New Roman" w:hAnsi="Times New Roman" w:cs="Times New Roman"/>
          <w:sz w:val="24"/>
          <w:szCs w:val="24"/>
          <w:lang w:val="en-GB"/>
        </w:rPr>
        <w:t xml:space="preserve"> </w:t>
      </w:r>
      <w:r w:rsidR="00791FFD" w:rsidRPr="0028101C">
        <w:rPr>
          <w:rFonts w:ascii="Times New Roman" w:hAnsi="Times New Roman" w:cs="Times New Roman"/>
          <w:i/>
          <w:sz w:val="24"/>
          <w:szCs w:val="24"/>
          <w:lang w:val="en-GB"/>
        </w:rPr>
        <w:t>et al</w:t>
      </w:r>
      <w:r w:rsidR="00791FFD" w:rsidRPr="006B1899">
        <w:rPr>
          <w:rFonts w:ascii="Times New Roman" w:hAnsi="Times New Roman" w:cs="Times New Roman"/>
          <w:sz w:val="24"/>
          <w:szCs w:val="24"/>
          <w:lang w:val="en-GB"/>
        </w:rPr>
        <w:t>., 2014). The needs of populations determine the floristic composition in most plant formations exploited by humans (Dona, 2023). The edges of wetlands are sources of food production and local populations are dependent on them, more specifically in the city of Yaoundé and its surroundings.</w:t>
      </w:r>
      <w:r w:rsidR="00351B33" w:rsidRPr="006B1899">
        <w:rPr>
          <w:rFonts w:ascii="Times New Roman" w:hAnsi="Times New Roman" w:cs="Times New Roman"/>
          <w:sz w:val="24"/>
          <w:szCs w:val="24"/>
          <w:lang w:val="en-GB"/>
        </w:rPr>
        <w:t xml:space="preserve"> Indeed, the agricultural exploitation of these wetland edges, once secondary, has nowadays become the pillar of food security for households, but also one of the sources of income for farmers in a context of climate change. Land pressure and the degree of urbanization, in terms of the size of the urban population, forces the population to invest more in the intensive development of the wetland edges, where cassava, sweet potato, lettuce, cabbage, plantain, sugar cane, corn, vegetables, etc. are grown. Despite their importance, these edges are subject to a large number of threats, including market gardening, overexploitation, pollution, etc., with the main consequence being abiotic and biological modification (</w:t>
      </w:r>
      <w:proofErr w:type="spellStart"/>
      <w:proofErr w:type="gramStart"/>
      <w:r w:rsidR="009A7DE9" w:rsidRPr="006B1899">
        <w:rPr>
          <w:rFonts w:ascii="Times New Roman" w:hAnsi="Times New Roman" w:cs="Times New Roman"/>
          <w:sz w:val="24"/>
          <w:szCs w:val="24"/>
          <w:lang w:val="en-GB"/>
        </w:rPr>
        <w:t>Dajoz</w:t>
      </w:r>
      <w:proofErr w:type="spellEnd"/>
      <w:r w:rsidR="009A7DE9" w:rsidRPr="006B1899">
        <w:rPr>
          <w:rFonts w:ascii="Times New Roman" w:hAnsi="Times New Roman" w:cs="Times New Roman"/>
          <w:sz w:val="24"/>
          <w:szCs w:val="24"/>
          <w:lang w:val="en-GB"/>
        </w:rPr>
        <w:t xml:space="preserve"> ,</w:t>
      </w:r>
      <w:proofErr w:type="gramEnd"/>
      <w:r w:rsidR="009A7DE9" w:rsidRPr="006B1899">
        <w:rPr>
          <w:rFonts w:ascii="Times New Roman" w:hAnsi="Times New Roman" w:cs="Times New Roman"/>
          <w:sz w:val="24"/>
          <w:szCs w:val="24"/>
          <w:lang w:val="en-GB"/>
        </w:rPr>
        <w:t xml:space="preserve"> 2006). Much work has been devoted to wetland vegetation in Cameroon in general (</w:t>
      </w:r>
      <w:r w:rsidR="00D01A24" w:rsidRPr="006B1899">
        <w:rPr>
          <w:rFonts w:ascii="Times New Roman" w:hAnsi="Times New Roman" w:cs="Times New Roman"/>
          <w:sz w:val="24"/>
          <w:szCs w:val="24"/>
          <w:lang w:val="en-GB"/>
        </w:rPr>
        <w:t xml:space="preserve">Kono </w:t>
      </w:r>
      <w:r w:rsidR="00D01A24" w:rsidRPr="0028101C">
        <w:rPr>
          <w:rFonts w:ascii="Times New Roman" w:hAnsi="Times New Roman" w:cs="Times New Roman"/>
          <w:i/>
          <w:sz w:val="24"/>
          <w:szCs w:val="24"/>
          <w:lang w:val="en-GB"/>
        </w:rPr>
        <w:t>et al</w:t>
      </w:r>
      <w:r w:rsidR="00D01A24" w:rsidRPr="006B1899">
        <w:rPr>
          <w:rFonts w:ascii="Times New Roman" w:hAnsi="Times New Roman" w:cs="Times New Roman"/>
          <w:sz w:val="24"/>
          <w:szCs w:val="24"/>
          <w:lang w:val="en-GB"/>
        </w:rPr>
        <w:t xml:space="preserve">., 2020; </w:t>
      </w:r>
      <w:r w:rsidR="001A2E3A" w:rsidRPr="006B1899">
        <w:rPr>
          <w:rFonts w:ascii="Times New Roman" w:hAnsi="Times New Roman" w:cs="Times New Roman"/>
          <w:sz w:val="24"/>
          <w:szCs w:val="24"/>
          <w:lang w:val="en-GB"/>
        </w:rPr>
        <w:t xml:space="preserve">Mbarga </w:t>
      </w:r>
      <w:r w:rsidR="001A2E3A" w:rsidRPr="0036277D">
        <w:rPr>
          <w:rFonts w:ascii="Times New Roman" w:hAnsi="Times New Roman" w:cs="Times New Roman"/>
          <w:i/>
          <w:sz w:val="24"/>
          <w:szCs w:val="24"/>
          <w:lang w:val="en-GB"/>
        </w:rPr>
        <w:t>et al</w:t>
      </w:r>
      <w:r w:rsidR="001A2E3A" w:rsidRPr="006B1899">
        <w:rPr>
          <w:rFonts w:ascii="Times New Roman" w:hAnsi="Times New Roman" w:cs="Times New Roman"/>
          <w:sz w:val="24"/>
          <w:szCs w:val="24"/>
          <w:lang w:val="en-GB"/>
        </w:rPr>
        <w:t xml:space="preserve">., 2017; </w:t>
      </w:r>
      <w:proofErr w:type="spellStart"/>
      <w:r w:rsidR="00D01A24" w:rsidRPr="006B1899">
        <w:rPr>
          <w:rFonts w:ascii="Times New Roman" w:hAnsi="Times New Roman" w:cs="Times New Roman"/>
          <w:sz w:val="24"/>
          <w:szCs w:val="24"/>
          <w:lang w:val="en-GB"/>
        </w:rPr>
        <w:t>Fobane</w:t>
      </w:r>
      <w:proofErr w:type="spellEnd"/>
      <w:r w:rsidR="00D01A24" w:rsidRPr="006B1899">
        <w:rPr>
          <w:rFonts w:ascii="Times New Roman" w:hAnsi="Times New Roman" w:cs="Times New Roman"/>
          <w:sz w:val="24"/>
          <w:szCs w:val="24"/>
          <w:lang w:val="en-GB"/>
        </w:rPr>
        <w:t xml:space="preserve"> </w:t>
      </w:r>
      <w:r w:rsidR="00D01A24" w:rsidRPr="0028101C">
        <w:rPr>
          <w:rFonts w:ascii="Times New Roman" w:hAnsi="Times New Roman" w:cs="Times New Roman"/>
          <w:i/>
          <w:sz w:val="24"/>
          <w:szCs w:val="24"/>
          <w:lang w:val="en-GB"/>
        </w:rPr>
        <w:t>et al.</w:t>
      </w:r>
      <w:r w:rsidR="00D01A24" w:rsidRPr="006B1899">
        <w:rPr>
          <w:rFonts w:ascii="Times New Roman" w:hAnsi="Times New Roman" w:cs="Times New Roman"/>
          <w:sz w:val="24"/>
          <w:szCs w:val="24"/>
          <w:lang w:val="en-GB"/>
        </w:rPr>
        <w:t xml:space="preserve">, 2023). However, these studies have not addressed the floristic diversity of herbaceous vegetation in the edges of market garden wetlands. Such a study sees the preservation of biodiversity in urban and peri-urban environments as a breach in the emergence of ecologically viable cities in third world countries. The present work aims to characterize the plant groups of the edges of market garden wetlands in the city of Yaoundé and its surroundings. Specifically, it involved: (1) </w:t>
      </w:r>
      <w:r w:rsidR="00D01A24" w:rsidRPr="006B1899">
        <w:rPr>
          <w:rFonts w:ascii="Times New Roman" w:hAnsi="Times New Roman" w:cs="Times New Roman"/>
          <w:sz w:val="24"/>
          <w:szCs w:val="24"/>
          <w:lang w:val="en-GB"/>
        </w:rPr>
        <w:lastRenderedPageBreak/>
        <w:t>assessing the floristic diversity of herbaceous vegetation in the edges of market garden wetlands; (2) determining and characterizing the different herbaceous plant groups.</w:t>
      </w:r>
    </w:p>
    <w:p w14:paraId="0A5CE719" w14:textId="77777777" w:rsidR="00B64E3B" w:rsidRPr="006B1899" w:rsidRDefault="002B3092" w:rsidP="002B309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 </w:t>
      </w:r>
      <w:r w:rsidR="00900F85" w:rsidRPr="006B1899">
        <w:rPr>
          <w:rFonts w:ascii="Times New Roman" w:hAnsi="Times New Roman" w:cs="Times New Roman"/>
          <w:b/>
          <w:sz w:val="24"/>
          <w:szCs w:val="24"/>
          <w:lang w:val="en-GB"/>
        </w:rPr>
        <w:t>METHODOLOGY</w:t>
      </w:r>
    </w:p>
    <w:p w14:paraId="291A5325" w14:textId="77777777" w:rsidR="00B64E3B" w:rsidRPr="006B1899" w:rsidRDefault="002B309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II.1. Presentation of the study area</w:t>
      </w:r>
    </w:p>
    <w:p w14:paraId="71F47A98" w14:textId="77777777" w:rsidR="00687D04" w:rsidRPr="006B1899" w:rsidRDefault="001431F7" w:rsidP="00D01A66">
      <w:pPr>
        <w:spacing w:after="0"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study environment is located </w:t>
      </w:r>
      <w:r w:rsidR="000A24CD">
        <w:rPr>
          <w:rFonts w:ascii="Times New Roman" w:hAnsi="Times New Roman" w:cs="Times New Roman"/>
          <w:sz w:val="24"/>
          <w:szCs w:val="24"/>
          <w:lang w:val="en-GB"/>
        </w:rPr>
        <w:t xml:space="preserve">southwest </w:t>
      </w:r>
      <w:r w:rsidR="000A24CD" w:rsidRPr="000A24CD">
        <w:rPr>
          <w:rFonts w:ascii="Times New Roman" w:hAnsi="Times New Roman" w:cs="Times New Roman"/>
          <w:sz w:val="24"/>
          <w:szCs w:val="24"/>
          <w:highlight w:val="yellow"/>
          <w:lang w:val="en-GB"/>
        </w:rPr>
        <w:t xml:space="preserve">of </w:t>
      </w:r>
      <w:proofErr w:type="spellStart"/>
      <w:r w:rsidR="000A24CD" w:rsidRPr="000A24CD">
        <w:rPr>
          <w:rFonts w:ascii="Times New Roman" w:hAnsi="Times New Roman" w:cs="Times New Roman"/>
          <w:sz w:val="24"/>
          <w:szCs w:val="24"/>
          <w:highlight w:val="yellow"/>
          <w:lang w:val="en-GB"/>
        </w:rPr>
        <w:t>Yaounde</w:t>
      </w:r>
      <w:proofErr w:type="spellEnd"/>
      <w:r w:rsidRPr="000A24CD">
        <w:rPr>
          <w:rFonts w:ascii="Times New Roman" w:hAnsi="Times New Roman" w:cs="Times New Roman"/>
          <w:sz w:val="24"/>
          <w:szCs w:val="24"/>
          <w:highlight w:val="yellow"/>
          <w:lang w:val="en-GB"/>
        </w:rPr>
        <w:t xml:space="preserve"> and its surroundings</w:t>
      </w:r>
      <w:r w:rsidRPr="006B1899">
        <w:rPr>
          <w:rFonts w:ascii="Times New Roman" w:hAnsi="Times New Roman" w:cs="Times New Roman"/>
          <w:sz w:val="24"/>
          <w:szCs w:val="24"/>
          <w:lang w:val="en-GB"/>
        </w:rPr>
        <w:t>, between latitudes 3°42' and 4°05'N, and longitudes 11°17' and 11°35' E (Figure 1). This densely populated environment is subject to the influence of a subequatorial climate with four seasons, two rainy and two dry, with average rainfall of 1564.7 mm / year and an average annual temperature of 23.5°C (thermal amplitude of 2.4°C), observed over a period from 1895 to 2005 (</w:t>
      </w:r>
      <w:r w:rsidR="00146F7B" w:rsidRPr="006B1899">
        <w:rPr>
          <w:rFonts w:ascii="Times New Roman" w:hAnsi="Times New Roman" w:cs="Times New Roman"/>
          <w:sz w:val="24"/>
          <w:szCs w:val="24"/>
          <w:lang w:val="en-GB"/>
        </w:rPr>
        <w:t xml:space="preserve">Abossolo et al., 2015). The </w:t>
      </w:r>
      <w:r w:rsidR="005A23FE">
        <w:rPr>
          <w:rFonts w:ascii="Times New Roman" w:hAnsi="Times New Roman" w:cs="Times New Roman"/>
          <w:sz w:val="24"/>
          <w:szCs w:val="24"/>
          <w:lang w:val="en-GB"/>
        </w:rPr>
        <w:t>pedological</w:t>
      </w:r>
      <w:r w:rsidR="00146F7B" w:rsidRPr="006B1899">
        <w:rPr>
          <w:rFonts w:ascii="Times New Roman" w:hAnsi="Times New Roman" w:cs="Times New Roman"/>
          <w:sz w:val="24"/>
          <w:szCs w:val="24"/>
          <w:lang w:val="en-GB"/>
        </w:rPr>
        <w:t xml:space="preserve"> </w:t>
      </w:r>
      <w:r w:rsidR="005A23FE">
        <w:rPr>
          <w:rFonts w:ascii="Times New Roman" w:hAnsi="Times New Roman" w:cs="Times New Roman"/>
          <w:sz w:val="24"/>
          <w:szCs w:val="24"/>
          <w:lang w:val="en-GB"/>
        </w:rPr>
        <w:t>substrate</w:t>
      </w:r>
      <w:r w:rsidR="00146F7B" w:rsidRPr="006B1899">
        <w:rPr>
          <w:rFonts w:ascii="Times New Roman" w:hAnsi="Times New Roman" w:cs="Times New Roman"/>
          <w:sz w:val="24"/>
          <w:szCs w:val="24"/>
          <w:lang w:val="en-GB"/>
        </w:rPr>
        <w:t xml:space="preserve"> consists of </w:t>
      </w:r>
      <w:proofErr w:type="spellStart"/>
      <w:r w:rsidR="00146F7B" w:rsidRPr="006B1899">
        <w:rPr>
          <w:rFonts w:ascii="Times New Roman" w:hAnsi="Times New Roman" w:cs="Times New Roman"/>
          <w:sz w:val="24"/>
          <w:szCs w:val="24"/>
          <w:lang w:val="en-GB"/>
        </w:rPr>
        <w:t>ferralitic</w:t>
      </w:r>
      <w:proofErr w:type="spellEnd"/>
      <w:r w:rsidR="00146F7B" w:rsidRPr="006B1899">
        <w:rPr>
          <w:rFonts w:ascii="Times New Roman" w:hAnsi="Times New Roman" w:cs="Times New Roman"/>
          <w:sz w:val="24"/>
          <w:szCs w:val="24"/>
          <w:lang w:val="en-GB"/>
        </w:rPr>
        <w:t xml:space="preserve"> and </w:t>
      </w:r>
      <w:r w:rsidRPr="006B1899">
        <w:rPr>
          <w:rFonts w:ascii="Times New Roman" w:hAnsi="Times New Roman" w:cs="Times New Roman"/>
          <w:sz w:val="24"/>
          <w:szCs w:val="24"/>
          <w:lang w:val="en-GB"/>
        </w:rPr>
        <w:t xml:space="preserve">hydromorphic organic or mineral soils with definite agricultural potential. The natural vegetation of the study environment is a dense humid semi-deciduous forest dominated by </w:t>
      </w:r>
      <w:proofErr w:type="spellStart"/>
      <w:r w:rsidRPr="006B1899">
        <w:rPr>
          <w:rFonts w:ascii="Times New Roman" w:hAnsi="Times New Roman" w:cs="Times New Roman"/>
          <w:i/>
          <w:sz w:val="24"/>
          <w:szCs w:val="24"/>
          <w:lang w:val="en-GB"/>
        </w:rPr>
        <w:t>Ulmaceae</w:t>
      </w:r>
      <w:proofErr w:type="spellEnd"/>
      <w:r w:rsidRPr="006B1899">
        <w:rPr>
          <w:rFonts w:ascii="Times New Roman" w:hAnsi="Times New Roman" w:cs="Times New Roman"/>
          <w:i/>
          <w:sz w:val="24"/>
          <w:szCs w:val="24"/>
          <w:lang w:val="en-GB"/>
        </w:rPr>
        <w:t xml:space="preserve"> </w:t>
      </w:r>
      <w:r w:rsidRPr="006B1899">
        <w:rPr>
          <w:rFonts w:ascii="Times New Roman" w:hAnsi="Times New Roman" w:cs="Times New Roman"/>
          <w:sz w:val="24"/>
          <w:szCs w:val="24"/>
          <w:lang w:val="en-GB"/>
        </w:rPr>
        <w:t xml:space="preserve">and </w:t>
      </w:r>
      <w:proofErr w:type="spellStart"/>
      <w:r w:rsidRPr="006B1899">
        <w:rPr>
          <w:rFonts w:ascii="Times New Roman" w:hAnsi="Times New Roman" w:cs="Times New Roman"/>
          <w:i/>
          <w:sz w:val="24"/>
          <w:szCs w:val="24"/>
          <w:lang w:val="en-GB"/>
        </w:rPr>
        <w:t>Sterculiaceae</w:t>
      </w:r>
      <w:proofErr w:type="spellEnd"/>
      <w:r w:rsidRPr="006B1899">
        <w:rPr>
          <w:rFonts w:ascii="Times New Roman" w:hAnsi="Times New Roman" w:cs="Times New Roman"/>
          <w:i/>
          <w:sz w:val="24"/>
          <w:szCs w:val="24"/>
          <w:lang w:val="en-GB"/>
        </w:rPr>
        <w:t xml:space="preserve"> </w:t>
      </w:r>
      <w:r w:rsidR="00B854F8" w:rsidRPr="006B1899">
        <w:rPr>
          <w:rFonts w:ascii="Times New Roman" w:hAnsi="Times New Roman" w:cs="Times New Roman"/>
          <w:sz w:val="24"/>
          <w:szCs w:val="24"/>
          <w:lang w:val="en-GB"/>
        </w:rPr>
        <w:t>(</w:t>
      </w:r>
      <w:proofErr w:type="spellStart"/>
      <w:r w:rsidR="00B854F8" w:rsidRPr="006B1899">
        <w:rPr>
          <w:rFonts w:ascii="Times New Roman" w:hAnsi="Times New Roman" w:cs="Times New Roman"/>
          <w:sz w:val="24"/>
          <w:szCs w:val="24"/>
          <w:lang w:val="en-GB"/>
        </w:rPr>
        <w:t>Letouzey</w:t>
      </w:r>
      <w:proofErr w:type="spellEnd"/>
      <w:r w:rsidR="00B854F8" w:rsidRPr="006B1899">
        <w:rPr>
          <w:rFonts w:ascii="Times New Roman" w:hAnsi="Times New Roman" w:cs="Times New Roman"/>
          <w:sz w:val="24"/>
          <w:szCs w:val="24"/>
          <w:lang w:val="en-GB"/>
        </w:rPr>
        <w:t>, 1985). This forest is currently severely degraded due to strong anthropic pressure which is causing floristic and structural changes (</w:t>
      </w:r>
      <w:r w:rsidR="00152FD0" w:rsidRPr="006B1899">
        <w:rPr>
          <w:rFonts w:ascii="Times New Roman" w:hAnsi="Times New Roman" w:cs="Times New Roman"/>
          <w:sz w:val="24"/>
          <w:szCs w:val="24"/>
          <w:lang w:val="en-GB"/>
        </w:rPr>
        <w:t>Mbarga et al., 2017). Two direct factors, namely agriculture and habitat, are the causes of overexploitation of land and rapid degradation of the vegetation cover.</w:t>
      </w:r>
    </w:p>
    <w:p w14:paraId="4B101659" w14:textId="77777777" w:rsidR="00F975EC" w:rsidRPr="006B1899" w:rsidRDefault="00F975EC" w:rsidP="00F975EC">
      <w:pPr>
        <w:spacing w:after="0" w:line="360" w:lineRule="auto"/>
        <w:jc w:val="center"/>
        <w:rPr>
          <w:rFonts w:ascii="Times New Roman" w:hAnsi="Times New Roman" w:cs="Times New Roman"/>
          <w:sz w:val="24"/>
          <w:szCs w:val="24"/>
          <w:lang w:val="en-GB"/>
        </w:rPr>
      </w:pPr>
      <w:r w:rsidRPr="006B1899">
        <w:rPr>
          <w:rFonts w:ascii="Times New Roman" w:eastAsia="Times New Roman" w:hAnsi="Times New Roman" w:cs="Times New Roman"/>
          <w:noProof/>
          <w:sz w:val="24"/>
          <w:szCs w:val="24"/>
          <w:lang w:val="fr-FR" w:eastAsia="fr-FR"/>
        </w:rPr>
        <w:drawing>
          <wp:inline distT="0" distB="0" distL="0" distR="0" wp14:anchorId="7516E975" wp14:editId="0B0721F2">
            <wp:extent cx="5087905" cy="3599078"/>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53" cy="3604700"/>
                    </a:xfrm>
                    <a:prstGeom prst="rect">
                      <a:avLst/>
                    </a:prstGeom>
                    <a:noFill/>
                    <a:ln>
                      <a:noFill/>
                    </a:ln>
                  </pic:spPr>
                </pic:pic>
              </a:graphicData>
            </a:graphic>
          </wp:inline>
        </w:drawing>
      </w:r>
    </w:p>
    <w:p w14:paraId="43363B5C" w14:textId="77777777" w:rsidR="008E0578" w:rsidRPr="006B1899" w:rsidRDefault="00F975EC" w:rsidP="00D01A66">
      <w:pPr>
        <w:spacing w:after="0"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1. Location of floristic data collection sites and plots.</w:t>
      </w:r>
    </w:p>
    <w:p w14:paraId="129008E6" w14:textId="77777777" w:rsidR="00687D04" w:rsidRPr="006B1899" w:rsidRDefault="00886B43">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II.2. Data collection</w:t>
      </w:r>
    </w:p>
    <w:p w14:paraId="3AB2162E" w14:textId="77777777" w:rsidR="00064AB7" w:rsidRPr="006B1899" w:rsidRDefault="00064AB7">
      <w:pPr>
        <w:rPr>
          <w:rFonts w:ascii="Times New Roman" w:hAnsi="Times New Roman" w:cs="Times New Roman"/>
          <w:b/>
          <w:sz w:val="24"/>
          <w:szCs w:val="24"/>
          <w:lang w:val="en-GB"/>
        </w:rPr>
      </w:pPr>
      <w:r w:rsidRPr="006B1899">
        <w:rPr>
          <w:rFonts w:ascii="Times New Roman" w:hAnsi="Times New Roman" w:cs="Times New Roman"/>
          <w:b/>
          <w:sz w:val="24"/>
          <w:szCs w:val="24"/>
          <w:lang w:val="en-GB"/>
        </w:rPr>
        <w:lastRenderedPageBreak/>
        <w:t>II.2.1. Floristic sampling plan</w:t>
      </w:r>
    </w:p>
    <w:p w14:paraId="5D09A625" w14:textId="77777777" w:rsidR="00C217A0" w:rsidRPr="006B1899" w:rsidRDefault="008E0578" w:rsidP="008641DD">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For the floristic inventories, nine plots of 500 m² (50 mx 10 m) subdivided into ten strips of 50 m² (10 mx 5 m) each rectangular in shape were surveyed, </w:t>
      </w:r>
      <w:r w:rsidR="00874373" w:rsidRPr="006B1899">
        <w:rPr>
          <w:rFonts w:ascii="Times New Roman" w:hAnsi="Times New Roman" w:cs="Times New Roman"/>
          <w:sz w:val="24"/>
          <w:szCs w:val="24"/>
          <w:lang w:val="en-GB"/>
        </w:rPr>
        <w:t xml:space="preserve">distributed over five sites each comprising one or more </w:t>
      </w:r>
      <w:r w:rsidR="0043758A" w:rsidRPr="006B1899">
        <w:rPr>
          <w:rFonts w:ascii="Times New Roman" w:hAnsi="Times New Roman" w:cs="Times New Roman"/>
          <w:sz w:val="24"/>
          <w:szCs w:val="24"/>
          <w:lang w:val="en-GB"/>
        </w:rPr>
        <w:t xml:space="preserve">market garden edges (Table I). At the level of each type of market garden edge, a single plot was installed in a floristically homogeneous and representative area. In each strip of 50 m², a </w:t>
      </w:r>
      <w:r w:rsidR="008641DD" w:rsidRPr="006B1899">
        <w:rPr>
          <w:rFonts w:ascii="Times New Roman" w:hAnsi="Times New Roman" w:cs="Times New Roman"/>
          <w:sz w:val="24"/>
          <w:szCs w:val="24"/>
          <w:lang w:val="en-GB"/>
        </w:rPr>
        <w:t xml:space="preserve">phytosociological survey </w:t>
      </w:r>
      <w:r w:rsidR="00D115AB" w:rsidRPr="006B1899">
        <w:rPr>
          <w:rFonts w:ascii="Times New Roman" w:hAnsi="Times New Roman" w:cs="Times New Roman"/>
          <w:sz w:val="24"/>
          <w:szCs w:val="24"/>
          <w:lang w:val="en-GB"/>
        </w:rPr>
        <w:t xml:space="preserve">of all herbaceous species was carried out using the </w:t>
      </w:r>
      <w:proofErr w:type="spellStart"/>
      <w:r w:rsidR="004E357E">
        <w:rPr>
          <w:rFonts w:ascii="Times New Roman" w:hAnsi="Times New Roman" w:cs="Times New Roman"/>
          <w:sz w:val="24"/>
          <w:szCs w:val="24"/>
          <w:lang w:val="en-GB"/>
        </w:rPr>
        <w:t>sigmatist</w:t>
      </w:r>
      <w:proofErr w:type="spellEnd"/>
      <w:r w:rsidR="004E357E">
        <w:rPr>
          <w:rFonts w:ascii="Times New Roman" w:hAnsi="Times New Roman" w:cs="Times New Roman"/>
          <w:sz w:val="24"/>
          <w:szCs w:val="24"/>
          <w:lang w:val="en-GB"/>
        </w:rPr>
        <w:t xml:space="preserve"> method </w:t>
      </w:r>
      <w:r w:rsidR="008641DD" w:rsidRPr="006B1899">
        <w:rPr>
          <w:rFonts w:ascii="Times New Roman" w:hAnsi="Times New Roman" w:cs="Times New Roman"/>
          <w:sz w:val="24"/>
          <w:szCs w:val="24"/>
          <w:lang w:val="en-GB"/>
        </w:rPr>
        <w:t xml:space="preserve">defined by </w:t>
      </w:r>
      <w:proofErr w:type="spellStart"/>
      <w:r w:rsidR="008641DD" w:rsidRPr="006B1899">
        <w:rPr>
          <w:rFonts w:ascii="Times New Roman" w:hAnsi="Times New Roman" w:cs="Times New Roman"/>
          <w:sz w:val="24"/>
          <w:szCs w:val="24"/>
          <w:lang w:val="en-GB"/>
        </w:rPr>
        <w:t>Guinochet</w:t>
      </w:r>
      <w:proofErr w:type="spellEnd"/>
      <w:r w:rsidR="008641DD" w:rsidRPr="006B1899">
        <w:rPr>
          <w:rFonts w:ascii="Times New Roman" w:hAnsi="Times New Roman" w:cs="Times New Roman"/>
          <w:sz w:val="24"/>
          <w:szCs w:val="24"/>
          <w:lang w:val="en-GB"/>
        </w:rPr>
        <w:t xml:space="preserve"> (1973). For each herbaceous species present in the strip, it is assigned an abundance-dominance coefficient according to the Braun-Blanquet scale (1932). This coefficient is the expression of the relative coverage of all the individuals of each species. It is:</w:t>
      </w:r>
    </w:p>
    <w:p w14:paraId="5637C590"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individuals of the species are not very abundant, with low coverage (0 to 1%);</w:t>
      </w:r>
    </w:p>
    <w:p w14:paraId="34A30346"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 abundant individuals, but the degree of coverage is low (1 to 5%);</w:t>
      </w:r>
    </w:p>
    <w:p w14:paraId="6CC165B9"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2: abundant individuals, covering between 5 and 25% of the surface area considered;</w:t>
      </w:r>
    </w:p>
    <w:p w14:paraId="52686D7B"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 abundant individuals covering 25 to 50% of the surface area considered;</w:t>
      </w:r>
    </w:p>
    <w:p w14:paraId="0B3CEA84"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4: abundant individuals covering 50 to 75% of the surface area considered;</w:t>
      </w:r>
    </w:p>
    <w:p w14:paraId="3AFD93D5" w14:textId="77777777" w:rsidR="00D115AB"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 abundant individuals covering 75 to 100% of the area considered.</w:t>
      </w:r>
    </w:p>
    <w:p w14:paraId="2D1D2FF7" w14:textId="77777777" w:rsidR="006F7748" w:rsidRPr="006B1899" w:rsidRDefault="006F7748" w:rsidP="006F7748">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nomenclature of species, followed in this study, is that of APG IV (2016).</w:t>
      </w:r>
    </w:p>
    <w:p w14:paraId="53C5EB8C" w14:textId="77777777" w:rsidR="002470DE" w:rsidRPr="006B1899" w:rsidRDefault="002470DE" w:rsidP="006F7748">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Table 1. Typology of edges and distribution of plots in the sites.</w:t>
      </w:r>
    </w:p>
    <w:tbl>
      <w:tblPr>
        <w:tblStyle w:val="TableGrid"/>
        <w:tblW w:w="0" w:type="auto"/>
        <w:jc w:val="center"/>
        <w:tblLook w:val="04A0" w:firstRow="1" w:lastRow="0" w:firstColumn="1" w:lastColumn="0" w:noHBand="0" w:noVBand="1"/>
      </w:tblPr>
      <w:tblGrid>
        <w:gridCol w:w="1959"/>
        <w:gridCol w:w="4703"/>
        <w:gridCol w:w="1551"/>
      </w:tblGrid>
      <w:tr w:rsidR="002470DE" w:rsidRPr="006B1899" w14:paraId="474C3538" w14:textId="77777777" w:rsidTr="004027F8">
        <w:trPr>
          <w:jc w:val="center"/>
        </w:trPr>
        <w:tc>
          <w:tcPr>
            <w:tcW w:w="1959" w:type="dxa"/>
            <w:tcBorders>
              <w:bottom w:val="single" w:sz="12" w:space="0" w:color="auto"/>
              <w:right w:val="single" w:sz="12" w:space="0" w:color="auto"/>
            </w:tcBorders>
            <w:shd w:val="clear" w:color="auto" w:fill="auto"/>
            <w:vAlign w:val="center"/>
          </w:tcPr>
          <w:p w14:paraId="6AEA4B60" w14:textId="77777777" w:rsidR="002470DE" w:rsidRPr="006B1899" w:rsidRDefault="002470DE" w:rsidP="00DA2CF0">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Sites</w:t>
            </w:r>
          </w:p>
        </w:tc>
        <w:tc>
          <w:tcPr>
            <w:tcW w:w="4703" w:type="dxa"/>
            <w:tcBorders>
              <w:left w:val="single" w:sz="12" w:space="0" w:color="auto"/>
              <w:bottom w:val="single" w:sz="12" w:space="0" w:color="auto"/>
            </w:tcBorders>
            <w:shd w:val="clear" w:color="auto" w:fill="auto"/>
            <w:vAlign w:val="center"/>
          </w:tcPr>
          <w:p w14:paraId="395A82D5" w14:textId="77777777" w:rsidR="002470DE" w:rsidRPr="006B1899" w:rsidRDefault="007366C6" w:rsidP="0062754B">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Types of </w:t>
            </w:r>
            <w:proofErr w:type="spellStart"/>
            <w:r w:rsidRPr="006B1899">
              <w:rPr>
                <w:rFonts w:ascii="Times New Roman" w:hAnsi="Times New Roman" w:cs="Times New Roman"/>
                <w:sz w:val="24"/>
                <w:szCs w:val="24"/>
                <w:lang w:val="en-GB"/>
              </w:rPr>
              <w:t>selvedges</w:t>
            </w:r>
            <w:proofErr w:type="spellEnd"/>
          </w:p>
          <w:p w14:paraId="605A0104" w14:textId="77777777" w:rsidR="0062754B" w:rsidRPr="006B1899" w:rsidRDefault="0062754B" w:rsidP="0062754B">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Scientific name / French name</w:t>
            </w:r>
          </w:p>
        </w:tc>
        <w:tc>
          <w:tcPr>
            <w:tcW w:w="1551" w:type="dxa"/>
            <w:tcBorders>
              <w:bottom w:val="single" w:sz="12" w:space="0" w:color="auto"/>
            </w:tcBorders>
            <w:shd w:val="clear" w:color="auto" w:fill="auto"/>
            <w:vAlign w:val="center"/>
          </w:tcPr>
          <w:p w14:paraId="77E5D5E9" w14:textId="77777777" w:rsidR="002470DE" w:rsidRPr="006B1899" w:rsidRDefault="0062754B" w:rsidP="00F921D5">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Plot code (P)</w:t>
            </w:r>
          </w:p>
        </w:tc>
      </w:tr>
      <w:tr w:rsidR="002470DE" w:rsidRPr="006B1899" w14:paraId="7950C89F" w14:textId="77777777" w:rsidTr="004027F8">
        <w:trPr>
          <w:jc w:val="center"/>
        </w:trPr>
        <w:tc>
          <w:tcPr>
            <w:tcW w:w="1959" w:type="dxa"/>
            <w:vMerge w:val="restart"/>
            <w:tcBorders>
              <w:top w:val="single" w:sz="12" w:space="0" w:color="auto"/>
              <w:right w:val="single" w:sz="12" w:space="0" w:color="auto"/>
            </w:tcBorders>
            <w:shd w:val="clear" w:color="auto" w:fill="auto"/>
            <w:vAlign w:val="center"/>
          </w:tcPr>
          <w:p w14:paraId="51A27CA2" w14:textId="77777777" w:rsidR="002470DE" w:rsidRPr="006B1899" w:rsidRDefault="002470DE" w:rsidP="00DA2CF0">
            <w:pPr>
              <w:pStyle w:val="NoSpacing"/>
              <w:rPr>
                <w:rFonts w:ascii="Times New Roman" w:hAnsi="Times New Roman" w:cs="Times New Roman"/>
                <w:sz w:val="24"/>
                <w:szCs w:val="24"/>
                <w:lang w:val="en-GB"/>
              </w:rPr>
            </w:pPr>
            <w:proofErr w:type="spellStart"/>
            <w:r w:rsidRPr="006B1899">
              <w:rPr>
                <w:rFonts w:ascii="Times New Roman" w:hAnsi="Times New Roman" w:cs="Times New Roman"/>
                <w:sz w:val="24"/>
                <w:szCs w:val="24"/>
                <w:lang w:val="en-GB"/>
              </w:rPr>
              <w:t>Mvan</w:t>
            </w:r>
            <w:proofErr w:type="spellEnd"/>
          </w:p>
        </w:tc>
        <w:tc>
          <w:tcPr>
            <w:tcW w:w="4703" w:type="dxa"/>
            <w:tcBorders>
              <w:top w:val="single" w:sz="12" w:space="0" w:color="auto"/>
              <w:left w:val="single" w:sz="12" w:space="0" w:color="auto"/>
            </w:tcBorders>
            <w:shd w:val="clear" w:color="auto" w:fill="auto"/>
            <w:vAlign w:val="center"/>
          </w:tcPr>
          <w:p w14:paraId="61944424" w14:textId="77777777" w:rsidR="002470DE" w:rsidRPr="006B1899" w:rsidRDefault="002470DE" w:rsidP="00DA2CF0">
            <w:pPr>
              <w:pStyle w:val="NoSpacing"/>
              <w:rPr>
                <w:rFonts w:ascii="Times New Roman" w:hAnsi="Times New Roman" w:cs="Times New Roman"/>
                <w:i/>
                <w:sz w:val="24"/>
                <w:szCs w:val="24"/>
                <w:lang w:val="en-GB"/>
              </w:rPr>
            </w:pPr>
            <w:r w:rsidRPr="006B1899">
              <w:rPr>
                <w:rFonts w:ascii="Times New Roman" w:hAnsi="Times New Roman" w:cs="Times New Roman"/>
                <w:i/>
                <w:sz w:val="24"/>
                <w:szCs w:val="24"/>
                <w:lang w:val="en-GB"/>
              </w:rPr>
              <w:t xml:space="preserve">Amaranthus </w:t>
            </w:r>
            <w:r w:rsidR="00433F25" w:rsidRPr="006B1899">
              <w:rPr>
                <w:rFonts w:ascii="Times New Roman" w:hAnsi="Times New Roman" w:cs="Times New Roman"/>
                <w:sz w:val="24"/>
                <w:szCs w:val="24"/>
                <w:lang w:val="en-GB"/>
              </w:rPr>
              <w:t>edge</w:t>
            </w:r>
            <w:r w:rsidRPr="006B1899">
              <w:rPr>
                <w:rFonts w:ascii="Times New Roman" w:hAnsi="Times New Roman" w:cs="Times New Roman"/>
                <w:i/>
                <w:sz w:val="24"/>
                <w:szCs w:val="24"/>
                <w:lang w:val="en-GB"/>
              </w:rPr>
              <w:t xml:space="preserve"> esculentus </w:t>
            </w:r>
            <w:r w:rsidR="00652AB0" w:rsidRPr="006B1899">
              <w:rPr>
                <w:rFonts w:ascii="Times New Roman" w:hAnsi="Times New Roman" w:cs="Times New Roman"/>
                <w:i/>
                <w:sz w:val="24"/>
                <w:szCs w:val="24"/>
                <w:lang w:val="en-GB"/>
              </w:rPr>
              <w:t>/ Amaranth</w:t>
            </w:r>
          </w:p>
        </w:tc>
        <w:tc>
          <w:tcPr>
            <w:tcW w:w="1551" w:type="dxa"/>
            <w:tcBorders>
              <w:top w:val="single" w:sz="12" w:space="0" w:color="auto"/>
            </w:tcBorders>
            <w:shd w:val="clear" w:color="auto" w:fill="auto"/>
            <w:vAlign w:val="center"/>
          </w:tcPr>
          <w:p w14:paraId="10070B7F"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P1</w:t>
            </w:r>
          </w:p>
        </w:tc>
      </w:tr>
      <w:tr w:rsidR="002470DE" w:rsidRPr="006B1899" w14:paraId="46358FC4" w14:textId="77777777" w:rsidTr="004027F8">
        <w:trPr>
          <w:jc w:val="center"/>
        </w:trPr>
        <w:tc>
          <w:tcPr>
            <w:tcW w:w="1959" w:type="dxa"/>
            <w:vMerge/>
            <w:tcBorders>
              <w:right w:val="single" w:sz="12" w:space="0" w:color="auto"/>
            </w:tcBorders>
            <w:shd w:val="clear" w:color="auto" w:fill="auto"/>
            <w:vAlign w:val="center"/>
          </w:tcPr>
          <w:p w14:paraId="2B2D7286" w14:textId="77777777" w:rsidR="002470DE" w:rsidRPr="006B1899" w:rsidRDefault="002470DE" w:rsidP="00DA2CF0">
            <w:pPr>
              <w:pStyle w:val="NoSpacing"/>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098F54C7" w14:textId="77777777" w:rsidR="002470DE" w:rsidRPr="006B1899" w:rsidRDefault="002470DE" w:rsidP="00DA2CF0">
            <w:pPr>
              <w:pStyle w:val="NoSpacing"/>
              <w:rPr>
                <w:rFonts w:ascii="Times New Roman" w:hAnsi="Times New Roman" w:cs="Times New Roman"/>
                <w:i/>
                <w:sz w:val="24"/>
                <w:szCs w:val="24"/>
                <w:lang w:val="en-GB"/>
              </w:rPr>
            </w:pPr>
            <w:r w:rsidRPr="006B1899">
              <w:rPr>
                <w:rFonts w:ascii="Times New Roman" w:hAnsi="Times New Roman" w:cs="Times New Roman"/>
                <w:i/>
                <w:sz w:val="24"/>
                <w:szCs w:val="24"/>
                <w:lang w:val="en-GB"/>
              </w:rPr>
              <w:t xml:space="preserve">Capsicum </w:t>
            </w:r>
            <w:r w:rsidR="00433F25" w:rsidRPr="006B1899">
              <w:rPr>
                <w:rFonts w:ascii="Times New Roman" w:hAnsi="Times New Roman" w:cs="Times New Roman"/>
                <w:sz w:val="24"/>
                <w:szCs w:val="24"/>
                <w:lang w:val="en-GB"/>
              </w:rPr>
              <w:t>edge</w:t>
            </w:r>
            <w:r w:rsidRPr="006B1899">
              <w:rPr>
                <w:rFonts w:ascii="Times New Roman" w:hAnsi="Times New Roman" w:cs="Times New Roman"/>
                <w:i/>
                <w:sz w:val="24"/>
                <w:szCs w:val="24"/>
                <w:lang w:val="en-GB"/>
              </w:rPr>
              <w:t xml:space="preserve"> frutescens </w:t>
            </w:r>
            <w:r w:rsidR="0062754B" w:rsidRPr="006B1899">
              <w:rPr>
                <w:rFonts w:ascii="Times New Roman" w:hAnsi="Times New Roman" w:cs="Times New Roman"/>
                <w:i/>
                <w:sz w:val="24"/>
                <w:szCs w:val="24"/>
                <w:lang w:val="en-GB"/>
              </w:rPr>
              <w:t>/ Chili pepper</w:t>
            </w:r>
          </w:p>
        </w:tc>
        <w:tc>
          <w:tcPr>
            <w:tcW w:w="1551" w:type="dxa"/>
            <w:shd w:val="clear" w:color="auto" w:fill="auto"/>
            <w:vAlign w:val="center"/>
          </w:tcPr>
          <w:p w14:paraId="5AB3FE74"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P2</w:t>
            </w:r>
          </w:p>
        </w:tc>
      </w:tr>
      <w:tr w:rsidR="002470DE" w:rsidRPr="006B1899" w14:paraId="01CA3584" w14:textId="77777777" w:rsidTr="004027F8">
        <w:trPr>
          <w:jc w:val="center"/>
        </w:trPr>
        <w:tc>
          <w:tcPr>
            <w:tcW w:w="1959" w:type="dxa"/>
            <w:vMerge/>
            <w:tcBorders>
              <w:right w:val="single" w:sz="12" w:space="0" w:color="auto"/>
            </w:tcBorders>
            <w:shd w:val="clear" w:color="auto" w:fill="auto"/>
            <w:vAlign w:val="center"/>
          </w:tcPr>
          <w:p w14:paraId="0FD93410" w14:textId="77777777" w:rsidR="002470DE" w:rsidRPr="006B1899" w:rsidRDefault="002470DE" w:rsidP="00DA2CF0">
            <w:pPr>
              <w:pStyle w:val="NoSpacing"/>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1AAF05D5"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proofErr w:type="spellStart"/>
            <w:r w:rsidR="002470DE" w:rsidRPr="006B1899">
              <w:rPr>
                <w:rFonts w:ascii="Times New Roman" w:hAnsi="Times New Roman" w:cs="Times New Roman"/>
                <w:i/>
                <w:sz w:val="24"/>
                <w:szCs w:val="24"/>
                <w:lang w:val="en-GB"/>
              </w:rPr>
              <w:t>Zea</w:t>
            </w:r>
            <w:proofErr w:type="spellEnd"/>
            <w:r w:rsidR="002470DE" w:rsidRPr="006B1899">
              <w:rPr>
                <w:rFonts w:ascii="Times New Roman" w:hAnsi="Times New Roman" w:cs="Times New Roman"/>
                <w:i/>
                <w:sz w:val="24"/>
                <w:szCs w:val="24"/>
                <w:lang w:val="en-GB"/>
              </w:rPr>
              <w:t xml:space="preserve"> mays / Corn</w:t>
            </w:r>
          </w:p>
        </w:tc>
        <w:tc>
          <w:tcPr>
            <w:tcW w:w="1551" w:type="dxa"/>
            <w:shd w:val="clear" w:color="auto" w:fill="auto"/>
            <w:vAlign w:val="center"/>
          </w:tcPr>
          <w:p w14:paraId="477F82D0"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P3</w:t>
            </w:r>
          </w:p>
        </w:tc>
      </w:tr>
      <w:tr w:rsidR="002470DE" w:rsidRPr="006B1899" w14:paraId="56D7EE61" w14:textId="77777777" w:rsidTr="004027F8">
        <w:trPr>
          <w:jc w:val="center"/>
        </w:trPr>
        <w:tc>
          <w:tcPr>
            <w:tcW w:w="1959" w:type="dxa"/>
            <w:tcBorders>
              <w:right w:val="single" w:sz="12" w:space="0" w:color="auto"/>
            </w:tcBorders>
            <w:shd w:val="clear" w:color="auto" w:fill="auto"/>
            <w:vAlign w:val="center"/>
          </w:tcPr>
          <w:p w14:paraId="4573B529" w14:textId="77777777" w:rsidR="002470DE" w:rsidRPr="006B1899" w:rsidRDefault="002470DE" w:rsidP="00DA2CF0">
            <w:pPr>
              <w:pStyle w:val="NoSpacing"/>
              <w:rPr>
                <w:rFonts w:ascii="Times New Roman" w:hAnsi="Times New Roman" w:cs="Times New Roman"/>
                <w:sz w:val="24"/>
                <w:szCs w:val="24"/>
                <w:lang w:val="en-GB"/>
              </w:rPr>
            </w:pPr>
            <w:proofErr w:type="spellStart"/>
            <w:r w:rsidRPr="006B1899">
              <w:rPr>
                <w:rFonts w:ascii="Times New Roman" w:hAnsi="Times New Roman" w:cs="Times New Roman"/>
                <w:sz w:val="24"/>
                <w:szCs w:val="24"/>
                <w:lang w:val="en-GB"/>
              </w:rPr>
              <w:t>Nkolbisson</w:t>
            </w:r>
            <w:proofErr w:type="spellEnd"/>
          </w:p>
        </w:tc>
        <w:tc>
          <w:tcPr>
            <w:tcW w:w="4703" w:type="dxa"/>
            <w:tcBorders>
              <w:left w:val="single" w:sz="12" w:space="0" w:color="auto"/>
            </w:tcBorders>
            <w:shd w:val="clear" w:color="auto" w:fill="auto"/>
            <w:vAlign w:val="center"/>
          </w:tcPr>
          <w:p w14:paraId="02F9C62F" w14:textId="77777777" w:rsidR="002470DE" w:rsidRPr="006B1899" w:rsidRDefault="002470DE" w:rsidP="00DA2CF0">
            <w:pPr>
              <w:pStyle w:val="NoSpacing"/>
              <w:rPr>
                <w:rFonts w:ascii="Times New Roman" w:hAnsi="Times New Roman" w:cs="Times New Roman"/>
                <w:i/>
                <w:sz w:val="24"/>
                <w:szCs w:val="24"/>
                <w:lang w:val="en-GB"/>
              </w:rPr>
            </w:pPr>
            <w:r w:rsidRPr="006B1899">
              <w:rPr>
                <w:rFonts w:ascii="Times New Roman" w:hAnsi="Times New Roman" w:cs="Times New Roman"/>
                <w:i/>
                <w:sz w:val="24"/>
                <w:szCs w:val="24"/>
                <w:lang w:val="en-GB"/>
              </w:rPr>
              <w:t xml:space="preserve">Lactuca sativa </w:t>
            </w:r>
            <w:r w:rsidR="0062754B" w:rsidRPr="006B1899">
              <w:rPr>
                <w:rFonts w:ascii="Times New Roman" w:hAnsi="Times New Roman" w:cs="Times New Roman"/>
                <w:i/>
                <w:sz w:val="24"/>
                <w:szCs w:val="24"/>
                <w:lang w:val="en-GB"/>
              </w:rPr>
              <w:t xml:space="preserve">/ Lettuce </w:t>
            </w:r>
            <w:r w:rsidR="00433F25" w:rsidRPr="006B1899">
              <w:rPr>
                <w:rFonts w:ascii="Times New Roman" w:hAnsi="Times New Roman" w:cs="Times New Roman"/>
                <w:sz w:val="24"/>
                <w:szCs w:val="24"/>
                <w:lang w:val="en-GB"/>
              </w:rPr>
              <w:t>edge</w:t>
            </w:r>
          </w:p>
        </w:tc>
        <w:tc>
          <w:tcPr>
            <w:tcW w:w="1551" w:type="dxa"/>
            <w:shd w:val="clear" w:color="auto" w:fill="auto"/>
            <w:vAlign w:val="center"/>
          </w:tcPr>
          <w:p w14:paraId="4334ACDA"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P4</w:t>
            </w:r>
          </w:p>
        </w:tc>
      </w:tr>
      <w:tr w:rsidR="002470DE" w:rsidRPr="006B1899" w14:paraId="6ECA796A" w14:textId="77777777" w:rsidTr="004027F8">
        <w:trPr>
          <w:jc w:val="center"/>
        </w:trPr>
        <w:tc>
          <w:tcPr>
            <w:tcW w:w="1959" w:type="dxa"/>
            <w:tcBorders>
              <w:right w:val="single" w:sz="12" w:space="0" w:color="auto"/>
            </w:tcBorders>
            <w:shd w:val="clear" w:color="auto" w:fill="auto"/>
            <w:vAlign w:val="center"/>
          </w:tcPr>
          <w:p w14:paraId="34E0DF26" w14:textId="77777777" w:rsidR="002470DE" w:rsidRPr="006B1899" w:rsidRDefault="002470DE" w:rsidP="00DA2CF0">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Municipal Lake</w:t>
            </w:r>
          </w:p>
        </w:tc>
        <w:tc>
          <w:tcPr>
            <w:tcW w:w="4703" w:type="dxa"/>
            <w:tcBorders>
              <w:left w:val="single" w:sz="12" w:space="0" w:color="auto"/>
            </w:tcBorders>
            <w:shd w:val="clear" w:color="auto" w:fill="auto"/>
            <w:vAlign w:val="center"/>
          </w:tcPr>
          <w:p w14:paraId="31DD7B77"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proofErr w:type="spellStart"/>
            <w:r w:rsidRPr="006B1899">
              <w:rPr>
                <w:rFonts w:ascii="Times New Roman" w:hAnsi="Times New Roman" w:cs="Times New Roman"/>
                <w:i/>
                <w:sz w:val="24"/>
                <w:szCs w:val="24"/>
                <w:lang w:val="en-GB"/>
              </w:rPr>
              <w:t>Zea</w:t>
            </w:r>
            <w:proofErr w:type="spellEnd"/>
            <w:r w:rsidRPr="006B1899">
              <w:rPr>
                <w:rFonts w:ascii="Times New Roman" w:hAnsi="Times New Roman" w:cs="Times New Roman"/>
                <w:i/>
                <w:sz w:val="24"/>
                <w:szCs w:val="24"/>
                <w:lang w:val="en-GB"/>
              </w:rPr>
              <w:t xml:space="preserve"> mays / Corn</w:t>
            </w:r>
          </w:p>
        </w:tc>
        <w:tc>
          <w:tcPr>
            <w:tcW w:w="1551" w:type="dxa"/>
            <w:shd w:val="clear" w:color="auto" w:fill="auto"/>
            <w:vAlign w:val="center"/>
          </w:tcPr>
          <w:p w14:paraId="18D642B9"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P5</w:t>
            </w:r>
          </w:p>
        </w:tc>
      </w:tr>
      <w:tr w:rsidR="002470DE" w:rsidRPr="006B1899" w14:paraId="1154DEF9" w14:textId="77777777" w:rsidTr="004027F8">
        <w:trPr>
          <w:jc w:val="center"/>
        </w:trPr>
        <w:tc>
          <w:tcPr>
            <w:tcW w:w="1959" w:type="dxa"/>
            <w:vMerge w:val="restart"/>
            <w:tcBorders>
              <w:right w:val="single" w:sz="12" w:space="0" w:color="auto"/>
            </w:tcBorders>
            <w:shd w:val="clear" w:color="auto" w:fill="auto"/>
            <w:vAlign w:val="center"/>
          </w:tcPr>
          <w:p w14:paraId="68A0B8EA" w14:textId="77777777" w:rsidR="002470DE" w:rsidRPr="006B1899" w:rsidRDefault="002470DE" w:rsidP="00DA2CF0">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Bastos</w:t>
            </w:r>
          </w:p>
        </w:tc>
        <w:tc>
          <w:tcPr>
            <w:tcW w:w="4703" w:type="dxa"/>
            <w:tcBorders>
              <w:left w:val="single" w:sz="12" w:space="0" w:color="auto"/>
            </w:tcBorders>
            <w:shd w:val="clear" w:color="auto" w:fill="auto"/>
            <w:vAlign w:val="center"/>
          </w:tcPr>
          <w:p w14:paraId="78E2C7F0"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r w:rsidR="002470DE" w:rsidRPr="006B1899">
              <w:rPr>
                <w:rFonts w:ascii="Times New Roman" w:hAnsi="Times New Roman" w:cs="Times New Roman"/>
                <w:i/>
                <w:sz w:val="24"/>
                <w:szCs w:val="24"/>
                <w:lang w:val="en-GB"/>
              </w:rPr>
              <w:t xml:space="preserve">Musa </w:t>
            </w:r>
            <w:proofErr w:type="spellStart"/>
            <w:r w:rsidR="002470DE" w:rsidRPr="006B1899">
              <w:rPr>
                <w:rFonts w:ascii="Times New Roman" w:hAnsi="Times New Roman" w:cs="Times New Roman"/>
                <w:i/>
                <w:sz w:val="24"/>
                <w:szCs w:val="24"/>
                <w:lang w:val="en-GB"/>
              </w:rPr>
              <w:t>sapiente</w:t>
            </w:r>
            <w:proofErr w:type="spellEnd"/>
            <w:r w:rsidR="002470DE" w:rsidRPr="006B1899">
              <w:rPr>
                <w:rFonts w:ascii="Times New Roman" w:hAnsi="Times New Roman" w:cs="Times New Roman"/>
                <w:i/>
                <w:sz w:val="24"/>
                <w:szCs w:val="24"/>
                <w:lang w:val="en-GB"/>
              </w:rPr>
              <w:t xml:space="preserve"> </w:t>
            </w:r>
            <w:r w:rsidR="0062754B" w:rsidRPr="006B1899">
              <w:rPr>
                <w:rFonts w:ascii="Times New Roman" w:hAnsi="Times New Roman" w:cs="Times New Roman"/>
                <w:i/>
                <w:sz w:val="24"/>
                <w:szCs w:val="24"/>
                <w:lang w:val="en-GB"/>
              </w:rPr>
              <w:t>/ Plantain banana</w:t>
            </w:r>
          </w:p>
        </w:tc>
        <w:tc>
          <w:tcPr>
            <w:tcW w:w="1551" w:type="dxa"/>
            <w:shd w:val="clear" w:color="auto" w:fill="auto"/>
            <w:vAlign w:val="center"/>
          </w:tcPr>
          <w:p w14:paraId="2F1D47B6"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P6</w:t>
            </w:r>
          </w:p>
        </w:tc>
      </w:tr>
      <w:tr w:rsidR="002470DE" w:rsidRPr="006B1899" w14:paraId="1DCCF88D" w14:textId="77777777" w:rsidTr="004027F8">
        <w:trPr>
          <w:jc w:val="center"/>
        </w:trPr>
        <w:tc>
          <w:tcPr>
            <w:tcW w:w="1959" w:type="dxa"/>
            <w:vMerge/>
            <w:tcBorders>
              <w:right w:val="single" w:sz="12" w:space="0" w:color="auto"/>
            </w:tcBorders>
            <w:shd w:val="clear" w:color="auto" w:fill="auto"/>
            <w:vAlign w:val="center"/>
          </w:tcPr>
          <w:p w14:paraId="7FFA9F5D" w14:textId="77777777" w:rsidR="002470DE" w:rsidRPr="006B1899" w:rsidRDefault="002470DE" w:rsidP="00DA2CF0">
            <w:pPr>
              <w:pStyle w:val="NoSpacing"/>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4CC0B9BB"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r w:rsidR="002470DE" w:rsidRPr="006B1899">
              <w:rPr>
                <w:rFonts w:ascii="Times New Roman" w:hAnsi="Times New Roman" w:cs="Times New Roman"/>
                <w:i/>
                <w:sz w:val="24"/>
                <w:szCs w:val="24"/>
                <w:lang w:val="en-GB"/>
              </w:rPr>
              <w:t xml:space="preserve">Manihot esculenta </w:t>
            </w:r>
            <w:r w:rsidR="0062754B" w:rsidRPr="006B1899">
              <w:rPr>
                <w:rFonts w:ascii="Times New Roman" w:hAnsi="Times New Roman" w:cs="Times New Roman"/>
                <w:i/>
                <w:sz w:val="24"/>
                <w:szCs w:val="24"/>
                <w:lang w:val="en-GB"/>
              </w:rPr>
              <w:t>/ Cassava</w:t>
            </w:r>
          </w:p>
        </w:tc>
        <w:tc>
          <w:tcPr>
            <w:tcW w:w="1551" w:type="dxa"/>
            <w:shd w:val="clear" w:color="auto" w:fill="auto"/>
            <w:vAlign w:val="center"/>
          </w:tcPr>
          <w:p w14:paraId="18A21A05"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P7</w:t>
            </w:r>
          </w:p>
        </w:tc>
      </w:tr>
      <w:tr w:rsidR="002470DE" w:rsidRPr="006B1899" w14:paraId="6334E3C2" w14:textId="77777777" w:rsidTr="004027F8">
        <w:trPr>
          <w:jc w:val="center"/>
        </w:trPr>
        <w:tc>
          <w:tcPr>
            <w:tcW w:w="1959" w:type="dxa"/>
            <w:vMerge w:val="restart"/>
            <w:tcBorders>
              <w:right w:val="single" w:sz="12" w:space="0" w:color="auto"/>
            </w:tcBorders>
            <w:shd w:val="clear" w:color="auto" w:fill="auto"/>
            <w:vAlign w:val="center"/>
          </w:tcPr>
          <w:p w14:paraId="5B67FEAE" w14:textId="77777777" w:rsidR="002470DE" w:rsidRPr="006B1899" w:rsidRDefault="00487935" w:rsidP="00DA2CF0">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University of </w:t>
            </w:r>
            <w:proofErr w:type="spellStart"/>
            <w:r>
              <w:rPr>
                <w:rFonts w:ascii="Times New Roman" w:hAnsi="Times New Roman" w:cs="Times New Roman"/>
                <w:sz w:val="24"/>
                <w:szCs w:val="24"/>
                <w:lang w:val="en-GB"/>
              </w:rPr>
              <w:t>Yaounde</w:t>
            </w:r>
            <w:proofErr w:type="spellEnd"/>
            <w:r w:rsidR="002470DE" w:rsidRPr="006B1899">
              <w:rPr>
                <w:rFonts w:ascii="Times New Roman" w:hAnsi="Times New Roman" w:cs="Times New Roman"/>
                <w:sz w:val="24"/>
                <w:szCs w:val="24"/>
                <w:lang w:val="en-GB"/>
              </w:rPr>
              <w:t xml:space="preserve"> I</w:t>
            </w:r>
          </w:p>
        </w:tc>
        <w:tc>
          <w:tcPr>
            <w:tcW w:w="4703" w:type="dxa"/>
            <w:tcBorders>
              <w:left w:val="single" w:sz="12" w:space="0" w:color="auto"/>
            </w:tcBorders>
            <w:shd w:val="clear" w:color="auto" w:fill="auto"/>
            <w:vAlign w:val="center"/>
          </w:tcPr>
          <w:p w14:paraId="3FA241A9"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proofErr w:type="spellStart"/>
            <w:r w:rsidRPr="006B1899">
              <w:rPr>
                <w:rFonts w:ascii="Times New Roman" w:hAnsi="Times New Roman" w:cs="Times New Roman"/>
                <w:i/>
                <w:sz w:val="24"/>
                <w:szCs w:val="24"/>
                <w:lang w:val="en-GB"/>
              </w:rPr>
              <w:t>Zea</w:t>
            </w:r>
            <w:proofErr w:type="spellEnd"/>
            <w:r w:rsidRPr="006B1899">
              <w:rPr>
                <w:rFonts w:ascii="Times New Roman" w:hAnsi="Times New Roman" w:cs="Times New Roman"/>
                <w:i/>
                <w:sz w:val="24"/>
                <w:szCs w:val="24"/>
                <w:lang w:val="en-GB"/>
              </w:rPr>
              <w:t xml:space="preserve"> mays / Corn</w:t>
            </w:r>
          </w:p>
        </w:tc>
        <w:tc>
          <w:tcPr>
            <w:tcW w:w="1551" w:type="dxa"/>
            <w:shd w:val="clear" w:color="auto" w:fill="auto"/>
            <w:vAlign w:val="center"/>
          </w:tcPr>
          <w:p w14:paraId="4EBDD22D"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P8</w:t>
            </w:r>
          </w:p>
        </w:tc>
      </w:tr>
      <w:tr w:rsidR="002470DE" w:rsidRPr="006B1899" w14:paraId="4EB9B261" w14:textId="77777777" w:rsidTr="004027F8">
        <w:trPr>
          <w:jc w:val="center"/>
        </w:trPr>
        <w:tc>
          <w:tcPr>
            <w:tcW w:w="1959" w:type="dxa"/>
            <w:vMerge/>
            <w:tcBorders>
              <w:right w:val="single" w:sz="12" w:space="0" w:color="auto"/>
            </w:tcBorders>
            <w:shd w:val="clear" w:color="auto" w:fill="auto"/>
            <w:vAlign w:val="center"/>
          </w:tcPr>
          <w:p w14:paraId="7F127A64" w14:textId="77777777" w:rsidR="002470DE" w:rsidRPr="006B1899" w:rsidRDefault="002470DE" w:rsidP="00DA2CF0">
            <w:pPr>
              <w:pStyle w:val="NoSpacing"/>
              <w:jc w:val="center"/>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02EE4445"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r w:rsidR="002470DE" w:rsidRPr="006B1899">
              <w:rPr>
                <w:rFonts w:ascii="Times New Roman" w:hAnsi="Times New Roman" w:cs="Times New Roman"/>
                <w:i/>
                <w:sz w:val="24"/>
                <w:szCs w:val="24"/>
                <w:lang w:val="en-GB"/>
              </w:rPr>
              <w:t xml:space="preserve">Saccharum officinalis </w:t>
            </w:r>
            <w:r w:rsidR="0062754B" w:rsidRPr="006B1899">
              <w:rPr>
                <w:rFonts w:ascii="Times New Roman" w:hAnsi="Times New Roman" w:cs="Times New Roman"/>
                <w:i/>
                <w:sz w:val="24"/>
                <w:szCs w:val="24"/>
                <w:lang w:val="en-GB"/>
              </w:rPr>
              <w:t>/ Sugarcane</w:t>
            </w:r>
          </w:p>
        </w:tc>
        <w:tc>
          <w:tcPr>
            <w:tcW w:w="1551" w:type="dxa"/>
            <w:shd w:val="clear" w:color="auto" w:fill="auto"/>
            <w:vAlign w:val="center"/>
          </w:tcPr>
          <w:p w14:paraId="09BDBAF3"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P9</w:t>
            </w:r>
          </w:p>
        </w:tc>
      </w:tr>
    </w:tbl>
    <w:p w14:paraId="44FD0341" w14:textId="77777777" w:rsidR="009F5D54" w:rsidRPr="006B1899" w:rsidRDefault="009F5D54" w:rsidP="00793589">
      <w:pPr>
        <w:spacing w:line="240" w:lineRule="auto"/>
        <w:jc w:val="both"/>
        <w:rPr>
          <w:rFonts w:ascii="Times New Roman" w:hAnsi="Times New Roman" w:cs="Times New Roman"/>
          <w:sz w:val="24"/>
          <w:szCs w:val="24"/>
          <w:lang w:val="en-GB"/>
        </w:rPr>
      </w:pPr>
    </w:p>
    <w:p w14:paraId="39729EDE" w14:textId="77777777" w:rsidR="00687D04" w:rsidRPr="006B1899" w:rsidRDefault="000F5E6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II.2.2. Analysis and digital processing of data</w:t>
      </w:r>
    </w:p>
    <w:p w14:paraId="7D4584B5" w14:textId="77777777" w:rsidR="000B2EF6" w:rsidRPr="006B1899" w:rsidRDefault="000B2EF6" w:rsidP="000B2EF6">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II.2.2.1. Individualization of herbaceous plant groups</w:t>
      </w:r>
    </w:p>
    <w:p w14:paraId="6F0120B1" w14:textId="77777777" w:rsidR="000B2EF6" w:rsidRPr="006B1899" w:rsidRDefault="000B2EF6" w:rsidP="000B2EF6">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determination of herbaceous plant groups was carried out on the basis of the species matrix with their presence/absence. Thus, an ascending hierarchical classification was made in order to highlight the different types of herbaceous plant groups. In addition, the collected </w:t>
      </w:r>
      <w:r w:rsidRPr="006B1899">
        <w:rPr>
          <w:rFonts w:ascii="Times New Roman" w:hAnsi="Times New Roman" w:cs="Times New Roman"/>
          <w:sz w:val="24"/>
          <w:szCs w:val="24"/>
          <w:lang w:val="en-GB"/>
        </w:rPr>
        <w:lastRenderedPageBreak/>
        <w:t>data were subjected to a Correspondence Factor Analysis (CFA) using R software version 4.0.5 (CORETEAM, 2021) in order to describe the relationships between herbaceous plant groups and ecological variability.</w:t>
      </w:r>
    </w:p>
    <w:p w14:paraId="195019C5" w14:textId="77777777" w:rsidR="005421B7" w:rsidRPr="006B1899" w:rsidRDefault="00181922" w:rsidP="00AB7F04">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II.2.2 </w:t>
      </w:r>
      <w:r w:rsidR="005421B7" w:rsidRPr="006B1899">
        <w:rPr>
          <w:rFonts w:ascii="Times New Roman" w:hAnsi="Times New Roman" w:cs="Times New Roman"/>
          <w:b/>
          <w:sz w:val="24"/>
          <w:szCs w:val="24"/>
          <w:lang w:val="en-GB"/>
        </w:rPr>
        <w:t>.2. Specific diversity</w:t>
      </w:r>
    </w:p>
    <w:p w14:paraId="30F94A99" w14:textId="77777777" w:rsidR="000D777B" w:rsidRPr="006B1899" w:rsidRDefault="00727732" w:rsidP="001B2924">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comparison of the specific diversity of the herbaceous plant groups was carried out on the basis of the specific richness (RS), the Shannon index (ISH), the Simpson index (D') and the </w:t>
      </w:r>
      <w:proofErr w:type="spellStart"/>
      <w:r w:rsidRPr="006B1899">
        <w:rPr>
          <w:rFonts w:ascii="Times New Roman" w:hAnsi="Times New Roman" w:cs="Times New Roman"/>
          <w:sz w:val="24"/>
          <w:szCs w:val="24"/>
          <w:lang w:val="en-GB"/>
        </w:rPr>
        <w:t>Piélou</w:t>
      </w:r>
      <w:proofErr w:type="spellEnd"/>
      <w:r w:rsidRPr="006B1899">
        <w:rPr>
          <w:rFonts w:ascii="Times New Roman" w:hAnsi="Times New Roman" w:cs="Times New Roman"/>
          <w:sz w:val="24"/>
          <w:szCs w:val="24"/>
          <w:lang w:val="en-GB"/>
        </w:rPr>
        <w:t xml:space="preserve"> equitability (E). Before importing the data into the R software, the abundance-dominance coefficients were replaced by their average overlaps </w:t>
      </w:r>
      <w:proofErr w:type="gramStart"/>
      <w:r w:rsidRPr="006B1899">
        <w:rPr>
          <w:rFonts w:ascii="Times New Roman" w:hAnsi="Times New Roman" w:cs="Times New Roman"/>
          <w:sz w:val="24"/>
          <w:szCs w:val="24"/>
          <w:lang w:val="en-GB"/>
        </w:rPr>
        <w:t xml:space="preserve">( </w:t>
      </w:r>
      <w:proofErr w:type="spellStart"/>
      <w:r w:rsidR="00F2685E" w:rsidRPr="006B1899">
        <w:rPr>
          <w:rFonts w:ascii="Times New Roman" w:hAnsi="Times New Roman" w:cs="Times New Roman"/>
          <w:sz w:val="24"/>
          <w:szCs w:val="24"/>
          <w:lang w:val="en-GB"/>
        </w:rPr>
        <w:t>Rmi</w:t>
      </w:r>
      <w:proofErr w:type="spellEnd"/>
      <w:proofErr w:type="gramEnd"/>
      <w:r w:rsidR="00F2685E" w:rsidRPr="006B1899">
        <w:rPr>
          <w:rFonts w:ascii="Times New Roman" w:hAnsi="Times New Roman" w:cs="Times New Roman"/>
          <w:sz w:val="24"/>
          <w:szCs w:val="24"/>
          <w:lang w:val="en-GB"/>
        </w:rPr>
        <w:t xml:space="preserve"> ) which made it possible to obtain the semi-quantitative values of the species present in each herbaceous group.</w:t>
      </w:r>
    </w:p>
    <w:p w14:paraId="66AF939D" w14:textId="77777777" w:rsidR="00F958DE" w:rsidRPr="006B1899" w:rsidRDefault="00A41BA6" w:rsidP="001B2924">
      <w:pPr>
        <w:spacing w:line="360" w:lineRule="auto"/>
        <w:jc w:val="both"/>
        <w:rPr>
          <w:rFonts w:ascii="Times New Roman" w:eastAsiaTheme="minorEastAsia" w:hAnsi="Times New Roman" w:cs="Times New Roman"/>
          <w:sz w:val="24"/>
          <w:szCs w:val="24"/>
          <w:lang w:val="en-GB"/>
        </w:rPr>
      </w:pPr>
      <m:oMathPara>
        <m:oMath>
          <m:r>
            <m:rPr>
              <m:sty m:val="p"/>
            </m:rPr>
            <w:rPr>
              <w:rFonts w:ascii="Cambria Math" w:hAnsi="Cambria Math" w:cs="Times New Roman"/>
              <w:sz w:val="24"/>
              <w:szCs w:val="24"/>
              <w:lang w:val="en-GB"/>
            </w:rPr>
            <m:t>Ri=</m:t>
          </m:r>
          <m:f>
            <m:fPr>
              <m:ctrlPr>
                <w:rPr>
                  <w:rFonts w:ascii="Cambria Math" w:hAnsi="Cambria Math" w:cs="Times New Roman"/>
                  <w:sz w:val="24"/>
                  <w:szCs w:val="24"/>
                  <w:lang w:val="en-GB"/>
                </w:rPr>
              </m:ctrlPr>
            </m:fPr>
            <m:num>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j=1</m:t>
                  </m:r>
                </m:sub>
                <m:sup>
                  <m:r>
                    <m:rPr>
                      <m:sty m:val="p"/>
                    </m:rPr>
                    <w:rPr>
                      <w:rFonts w:ascii="Cambria Math" w:hAnsi="Cambria Math" w:cs="Times New Roman"/>
                      <w:sz w:val="24"/>
                      <w:szCs w:val="24"/>
                      <w:lang w:val="en-GB"/>
                    </w:rPr>
                    <m:t>n</m:t>
                  </m:r>
                </m:sup>
                <m:e>
                  <m:r>
                    <m:rPr>
                      <m:sty m:val="p"/>
                    </m:rPr>
                    <w:rPr>
                      <w:rFonts w:ascii="Cambria Math" w:hAnsi="Cambria Math" w:cs="Times New Roman"/>
                      <w:sz w:val="24"/>
                      <w:szCs w:val="24"/>
                      <w:lang w:val="en-GB"/>
                    </w:rPr>
                    <m:t>Rmi</m:t>
                  </m:r>
                </m:e>
              </m:nary>
            </m:num>
            <m:den>
              <m:r>
                <m:rPr>
                  <m:sty m:val="p"/>
                </m:rPr>
                <w:rPr>
                  <w:rFonts w:ascii="Cambria Math" w:hAnsi="Cambria Math" w:cs="Times New Roman"/>
                  <w:sz w:val="24"/>
                  <w:szCs w:val="24"/>
                  <w:lang w:val="en-GB"/>
                </w:rPr>
                <m:t>N</m:t>
              </m:r>
            </m:den>
          </m:f>
        </m:oMath>
      </m:oMathPara>
    </w:p>
    <w:p w14:paraId="78BEEB89" w14:textId="77777777" w:rsidR="000D777B" w:rsidRPr="006B1899" w:rsidRDefault="000D777B" w:rsidP="000D777B">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In this formula, Ri = Semi-quantitative value of species </w:t>
      </w:r>
      <w:proofErr w:type="spellStart"/>
      <w:r w:rsidRPr="006B1899">
        <w:rPr>
          <w:rFonts w:ascii="Times New Roman" w:hAnsi="Times New Roman" w:cs="Times New Roman"/>
          <w:sz w:val="24"/>
          <w:szCs w:val="24"/>
          <w:lang w:val="en-GB"/>
        </w:rPr>
        <w:t>i</w:t>
      </w:r>
      <w:proofErr w:type="spellEnd"/>
      <w:r w:rsidRPr="006B1899">
        <w:rPr>
          <w:rFonts w:ascii="Times New Roman" w:hAnsi="Times New Roman" w:cs="Times New Roman"/>
          <w:sz w:val="24"/>
          <w:szCs w:val="24"/>
          <w:lang w:val="en-GB"/>
        </w:rPr>
        <w:t xml:space="preserve">; </w:t>
      </w:r>
      <w:proofErr w:type="spellStart"/>
      <w:r w:rsidRPr="006B1899">
        <w:rPr>
          <w:rFonts w:ascii="Times New Roman" w:hAnsi="Times New Roman" w:cs="Times New Roman"/>
          <w:sz w:val="24"/>
          <w:szCs w:val="24"/>
          <w:lang w:val="en-GB"/>
        </w:rPr>
        <w:t>Rmi</w:t>
      </w:r>
      <w:proofErr w:type="spellEnd"/>
      <w:r w:rsidRPr="006B1899">
        <w:rPr>
          <w:rFonts w:ascii="Times New Roman" w:hAnsi="Times New Roman" w:cs="Times New Roman"/>
          <w:sz w:val="24"/>
          <w:szCs w:val="24"/>
          <w:lang w:val="en-GB"/>
        </w:rPr>
        <w:t xml:space="preserve"> = “Average recovery” of species i in a survey (obtained from the conversion of the Braun-Blanquet code); n = number of surveys where species i is present; N = Number of all surveys.</w:t>
      </w:r>
    </w:p>
    <w:p w14:paraId="4F5EF07D" w14:textId="77777777" w:rsidR="00AF3EDB" w:rsidRPr="006B1899" w:rsidRDefault="00AF3EDB" w:rsidP="00AF3EDB">
      <w:pPr>
        <w:spacing w:line="360" w:lineRule="auto"/>
        <w:jc w:val="center"/>
        <w:rPr>
          <w:rFonts w:ascii="Times New Roman" w:eastAsiaTheme="minorEastAsia" w:hAnsi="Times New Roman" w:cs="Times New Roman"/>
          <w:sz w:val="24"/>
          <w:szCs w:val="24"/>
          <w:lang w:val="en-GB"/>
        </w:rPr>
      </w:pPr>
      <m:oMath>
        <m:r>
          <m:rPr>
            <m:sty m:val="p"/>
          </m:rPr>
          <w:rPr>
            <w:rFonts w:ascii="Cambria Math" w:hAnsi="Cambria Math" w:cs="Times New Roman"/>
            <w:sz w:val="24"/>
            <w:szCs w:val="24"/>
            <w:lang w:val="en-GB"/>
          </w:rPr>
          <m:t>ISH= -</m:t>
        </m:r>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i=1</m:t>
            </m:r>
          </m:sub>
          <m:sup>
            <m:r>
              <m:rPr>
                <m:sty m:val="p"/>
              </m:rPr>
              <w:rPr>
                <w:rFonts w:ascii="Cambria Math" w:hAnsi="Cambria Math" w:cs="Times New Roman"/>
                <w:sz w:val="24"/>
                <w:szCs w:val="24"/>
                <w:lang w:val="en-GB"/>
              </w:rPr>
              <m:t>s</m:t>
            </m:r>
          </m:sup>
          <m:e>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P</m:t>
                </m:r>
              </m:e>
              <m:sub>
                <m:r>
                  <m:rPr>
                    <m:sty m:val="p"/>
                  </m:rPr>
                  <w:rPr>
                    <w:rFonts w:ascii="Cambria Math" w:hAnsi="Cambria Math" w:cs="Times New Roman"/>
                    <w:sz w:val="24"/>
                    <w:szCs w:val="24"/>
                    <w:lang w:val="en-GB"/>
                  </w:rPr>
                  <m:t>i</m:t>
                </m:r>
              </m:sub>
            </m:sSub>
          </m:e>
        </m:nary>
        <m:func>
          <m:funcPr>
            <m:ctrlPr>
              <w:rPr>
                <w:rFonts w:ascii="Cambria Math" w:hAnsi="Cambria Math" w:cs="Times New Roman"/>
                <w:sz w:val="24"/>
                <w:szCs w:val="24"/>
                <w:lang w:val="en-GB"/>
              </w:rPr>
            </m:ctrlPr>
          </m:funcPr>
          <m:fName>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log</m:t>
                </m:r>
              </m:e>
              <m:sub>
                <m:r>
                  <m:rPr>
                    <m:sty m:val="p"/>
                  </m:rPr>
                  <w:rPr>
                    <w:rFonts w:ascii="Cambria Math" w:hAnsi="Cambria Math" w:cs="Times New Roman"/>
                    <w:sz w:val="24"/>
                    <w:szCs w:val="24"/>
                    <w:lang w:val="en-GB"/>
                  </w:rPr>
                  <m:t>2</m:t>
                </m:r>
              </m:sub>
            </m:sSub>
          </m:fName>
          <m:e>
            <m:r>
              <m:rPr>
                <m:sty m:val="p"/>
              </m:rPr>
              <w:rPr>
                <w:rFonts w:ascii="Cambria Math" w:hAnsi="Cambria Math" w:cs="Times New Roman"/>
                <w:sz w:val="24"/>
                <w:szCs w:val="24"/>
                <w:lang w:val="en-GB"/>
              </w:rPr>
              <m:t>(</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P</m:t>
                </m:r>
              </m:e>
              <m:sub>
                <m:r>
                  <m:rPr>
                    <m:sty m:val="p"/>
                  </m:rPr>
                  <w:rPr>
                    <w:rFonts w:ascii="Cambria Math" w:hAnsi="Cambria Math" w:cs="Times New Roman"/>
                    <w:sz w:val="24"/>
                    <w:szCs w:val="24"/>
                    <w:lang w:val="en-GB"/>
                  </w:rPr>
                  <m:t>i</m:t>
                </m:r>
              </m:sub>
            </m:sSub>
            <m:r>
              <m:rPr>
                <m:sty m:val="p"/>
              </m:rPr>
              <w:rPr>
                <w:rFonts w:ascii="Cambria Math" w:hAnsi="Cambria Math" w:cs="Times New Roman"/>
                <w:sz w:val="24"/>
                <w:szCs w:val="24"/>
                <w:lang w:val="en-GB"/>
              </w:rPr>
              <m:t>)</m:t>
            </m:r>
          </m:e>
        </m:func>
      </m:oMath>
      <w:r w:rsidRPr="006B1899">
        <w:rPr>
          <w:rFonts w:ascii="Times New Roman" w:eastAsiaTheme="minorEastAsia" w:hAnsi="Times New Roman" w:cs="Times New Roman"/>
          <w:sz w:val="24"/>
          <w:szCs w:val="24"/>
          <w:lang w:val="en-GB"/>
        </w:rPr>
        <w:t>, with Pi</w:t>
      </w:r>
      <m:oMath>
        <m:r>
          <w:rPr>
            <w:rFonts w:ascii="Cambria Math" w:eastAsiaTheme="minorEastAsia" w:hAnsi="Cambria Math" w:cs="Times New Roman"/>
            <w:sz w:val="24"/>
            <w:szCs w:val="24"/>
            <w:lang w:val="en-GB"/>
          </w:rPr>
          <m:t>=</m:t>
        </m:r>
        <m:f>
          <m:fPr>
            <m:ctrlPr>
              <w:rPr>
                <w:rFonts w:ascii="Cambria Math" w:eastAsiaTheme="minorEastAsia" w:hAnsi="Cambria Math" w:cs="Times New Roman"/>
                <w:sz w:val="24"/>
                <w:szCs w:val="24"/>
                <w:lang w:val="en-GB"/>
              </w:rPr>
            </m:ctrlPr>
          </m:fPr>
          <m:num>
            <m:r>
              <m:rPr>
                <m:sty m:val="p"/>
              </m:rPr>
              <w:rPr>
                <w:rFonts w:ascii="Cambria Math" w:eastAsiaTheme="minorEastAsia" w:hAnsi="Cambria Math" w:cs="Times New Roman"/>
                <w:sz w:val="24"/>
                <w:szCs w:val="24"/>
                <w:lang w:val="en-GB"/>
              </w:rPr>
              <m:t>Ri</m:t>
            </m:r>
          </m:num>
          <m:den>
            <m:nary>
              <m:naryPr>
                <m:chr m:val="∑"/>
                <m:limLoc m:val="subSup"/>
                <m:ctrlPr>
                  <w:rPr>
                    <w:rFonts w:ascii="Cambria Math" w:eastAsiaTheme="minorEastAsia" w:hAnsi="Cambria Math" w:cs="Times New Roman"/>
                    <w:sz w:val="24"/>
                    <w:szCs w:val="24"/>
                    <w:lang w:val="en-GB"/>
                  </w:rPr>
                </m:ctrlPr>
              </m:naryPr>
              <m:sub>
                <m:r>
                  <m:rPr>
                    <m:sty m:val="p"/>
                  </m:rPr>
                  <w:rPr>
                    <w:rFonts w:ascii="Cambria Math" w:eastAsiaTheme="minorEastAsia" w:hAnsi="Cambria Math" w:cs="Times New Roman"/>
                    <w:sz w:val="24"/>
                    <w:szCs w:val="24"/>
                    <w:lang w:val="en-GB"/>
                  </w:rPr>
                  <m:t>i</m:t>
                </m:r>
              </m:sub>
              <m:sup>
                <m:r>
                  <m:rPr>
                    <m:sty m:val="p"/>
                  </m:rPr>
                  <w:rPr>
                    <w:rFonts w:ascii="Cambria Math" w:eastAsiaTheme="minorEastAsia" w:hAnsi="Cambria Math" w:cs="Times New Roman"/>
                    <w:sz w:val="24"/>
                    <w:szCs w:val="24"/>
                    <w:lang w:val="en-GB"/>
                  </w:rPr>
                  <m:t>s</m:t>
                </m:r>
              </m:sup>
              <m:e>
                <m:r>
                  <m:rPr>
                    <m:sty m:val="p"/>
                  </m:rPr>
                  <w:rPr>
                    <w:rFonts w:ascii="Cambria Math" w:eastAsiaTheme="minorEastAsia" w:hAnsi="Cambria Math" w:cs="Times New Roman"/>
                    <w:sz w:val="24"/>
                    <w:szCs w:val="24"/>
                    <w:lang w:val="en-GB"/>
                  </w:rPr>
                  <m:t>Ri</m:t>
                </m:r>
              </m:e>
            </m:nary>
          </m:den>
        </m:f>
      </m:oMath>
      <w:r w:rsidRPr="006B1899">
        <w:rPr>
          <w:rFonts w:ascii="Times New Roman" w:eastAsiaTheme="minorEastAsia" w:hAnsi="Times New Roman" w:cs="Times New Roman"/>
          <w:sz w:val="24"/>
          <w:szCs w:val="24"/>
          <w:lang w:val="en-GB"/>
        </w:rPr>
        <w:t xml:space="preserve"> </w:t>
      </w:r>
    </w:p>
    <w:p w14:paraId="083CBFDC" w14:textId="77777777" w:rsidR="00057028" w:rsidRPr="006B1899" w:rsidRDefault="00AF3EDB" w:rsidP="00304E7D">
      <w:pPr>
        <w:spacing w:line="360" w:lineRule="auto"/>
        <w:jc w:val="both"/>
        <w:rPr>
          <w:rFonts w:ascii="Times New Roman" w:eastAsiaTheme="minorEastAsia" w:hAnsi="Times New Roman" w:cs="Times New Roman"/>
          <w:sz w:val="24"/>
          <w:szCs w:val="24"/>
          <w:lang w:val="en-GB"/>
        </w:rPr>
      </w:pPr>
      <w:r w:rsidRPr="006B1899">
        <w:rPr>
          <w:rFonts w:ascii="Times New Roman" w:eastAsiaTheme="minorEastAsia" w:hAnsi="Times New Roman" w:cs="Times New Roman"/>
          <w:sz w:val="24"/>
          <w:szCs w:val="24"/>
          <w:lang w:val="en-GB"/>
        </w:rPr>
        <w:t>In this formula, Ri is the semi-quantitative value that expresses the dominance of species “i” while “s” is the total of species inventoried.</w:t>
      </w:r>
      <w:r w:rsidRPr="006B1899">
        <w:rPr>
          <w:rFonts w:ascii="Times New Roman" w:hAnsi="Times New Roman" w:cs="Times New Roman"/>
          <w:sz w:val="24"/>
          <w:szCs w:val="24"/>
          <w:lang w:val="en-GB"/>
        </w:rPr>
        <w:t xml:space="preserve"> </w:t>
      </w:r>
      <w:r w:rsidRPr="006B1899">
        <w:rPr>
          <w:rFonts w:ascii="Times New Roman" w:eastAsiaTheme="minorEastAsia" w:hAnsi="Times New Roman" w:cs="Times New Roman"/>
          <w:sz w:val="24"/>
          <w:szCs w:val="24"/>
          <w:lang w:val="en-GB"/>
        </w:rPr>
        <w:t>The Shannon index is sensitive to variations in the importance of rare species; it is zero when there is only one species and its maximum value is obtained when all species have the same dominance (</w:t>
      </w:r>
      <w:proofErr w:type="spellStart"/>
      <w:r w:rsidRPr="006B1899">
        <w:rPr>
          <w:rFonts w:ascii="Times New Roman" w:eastAsiaTheme="minorEastAsia" w:hAnsi="Times New Roman" w:cs="Times New Roman"/>
          <w:sz w:val="24"/>
          <w:szCs w:val="24"/>
          <w:lang w:val="en-GB"/>
        </w:rPr>
        <w:t>Dajoz</w:t>
      </w:r>
      <w:proofErr w:type="spellEnd"/>
      <w:r w:rsidRPr="006B1899">
        <w:rPr>
          <w:rFonts w:ascii="Times New Roman" w:eastAsiaTheme="minorEastAsia" w:hAnsi="Times New Roman" w:cs="Times New Roman"/>
          <w:sz w:val="24"/>
          <w:szCs w:val="24"/>
          <w:lang w:val="en-GB"/>
        </w:rPr>
        <w:t>, 2006).</w:t>
      </w:r>
      <w:r w:rsidR="00304E7D" w:rsidRPr="006B1899">
        <w:rPr>
          <w:rFonts w:ascii="Times New Roman" w:hAnsi="Times New Roman" w:cs="Times New Roman"/>
          <w:sz w:val="24"/>
          <w:szCs w:val="24"/>
          <w:lang w:val="en-GB"/>
        </w:rPr>
        <w:t xml:space="preserve"> </w:t>
      </w:r>
      <w:proofErr w:type="spellStart"/>
      <w:r w:rsidR="00DE0D1A" w:rsidRPr="006B1899">
        <w:rPr>
          <w:rFonts w:ascii="Times New Roman" w:eastAsiaTheme="minorEastAsia" w:hAnsi="Times New Roman" w:cs="Times New Roman"/>
          <w:sz w:val="24"/>
          <w:szCs w:val="24"/>
          <w:lang w:val="en-GB"/>
        </w:rPr>
        <w:t>Piélou</w:t>
      </w:r>
      <w:proofErr w:type="spellEnd"/>
      <w:r w:rsidR="00DE0D1A" w:rsidRPr="006B1899">
        <w:rPr>
          <w:rFonts w:ascii="Times New Roman" w:eastAsiaTheme="minorEastAsia" w:hAnsi="Times New Roman" w:cs="Times New Roman"/>
          <w:sz w:val="24"/>
          <w:szCs w:val="24"/>
          <w:lang w:val="en-GB"/>
        </w:rPr>
        <w:t xml:space="preserve"> </w:t>
      </w:r>
      <w:r w:rsidR="00304E7D" w:rsidRPr="006B1899">
        <w:rPr>
          <w:rFonts w:ascii="Times New Roman" w:eastAsiaTheme="minorEastAsia" w:hAnsi="Times New Roman" w:cs="Times New Roman"/>
          <w:sz w:val="24"/>
          <w:szCs w:val="24"/>
          <w:lang w:val="en-GB"/>
        </w:rPr>
        <w:t xml:space="preserve">'s </w:t>
      </w:r>
      <w:r w:rsidR="00F63818" w:rsidRPr="006B1899">
        <w:rPr>
          <w:rFonts w:ascii="Times New Roman" w:eastAsiaTheme="minorEastAsia" w:hAnsi="Times New Roman" w:cs="Times New Roman"/>
          <w:sz w:val="24"/>
          <w:szCs w:val="24"/>
          <w:lang w:val="en-GB"/>
        </w:rPr>
        <w:t xml:space="preserve">equitability </w:t>
      </w:r>
      <w:r w:rsidR="00DE0D1A" w:rsidRPr="006B1899">
        <w:rPr>
          <w:rFonts w:ascii="Times New Roman" w:eastAsiaTheme="minorEastAsia" w:hAnsi="Times New Roman" w:cs="Times New Roman"/>
          <w:sz w:val="24"/>
          <w:szCs w:val="24"/>
          <w:lang w:val="en-GB"/>
        </w:rPr>
        <w:t>(E) measures the degree of diversity reached by a population compared to its maximum value and allows the comparison of two groups which do not have the same number of species</w:t>
      </w:r>
      <w:r w:rsidR="00304E7D" w:rsidRPr="006B1899">
        <w:rPr>
          <w:rFonts w:ascii="Times New Roman" w:eastAsiaTheme="minorEastAsia" w:hAnsi="Times New Roman" w:cs="Times New Roman"/>
          <w:sz w:val="24"/>
          <w:szCs w:val="24"/>
          <w:lang w:val="en-GB"/>
        </w:rPr>
        <w:t>.</w:t>
      </w:r>
    </w:p>
    <w:p w14:paraId="1D99033C" w14:textId="77777777" w:rsidR="0061279B" w:rsidRPr="006B1899" w:rsidRDefault="0066395C" w:rsidP="00304E7D">
      <w:pPr>
        <w:spacing w:line="360" w:lineRule="auto"/>
        <w:jc w:val="both"/>
        <w:rPr>
          <w:rFonts w:ascii="Times New Roman" w:eastAsiaTheme="minorEastAsia" w:hAnsi="Times New Roman" w:cs="Times New Roman"/>
          <w:sz w:val="24"/>
          <w:szCs w:val="24"/>
          <w:lang w:val="en-GB"/>
        </w:rPr>
      </w:pPr>
      <m:oMath>
        <m:r>
          <m:rPr>
            <m:sty m:val="p"/>
          </m:rPr>
          <w:rPr>
            <w:rFonts w:ascii="Cambria Math" w:eastAsiaTheme="minorEastAsia" w:hAnsi="Cambria Math" w:cs="Times New Roman"/>
            <w:sz w:val="24"/>
            <w:szCs w:val="24"/>
            <w:lang w:val="en-GB"/>
          </w:rPr>
          <m:t>E=</m:t>
        </m:r>
        <m:f>
          <m:fPr>
            <m:ctrlPr>
              <w:rPr>
                <w:rFonts w:ascii="Cambria Math" w:eastAsiaTheme="minorEastAsia" w:hAnsi="Cambria Math" w:cs="Times New Roman"/>
                <w:sz w:val="24"/>
                <w:szCs w:val="24"/>
                <w:lang w:val="en-GB"/>
              </w:rPr>
            </m:ctrlPr>
          </m:fPr>
          <m:num>
            <m:r>
              <m:rPr>
                <m:sty m:val="p"/>
              </m:rPr>
              <w:rPr>
                <w:rFonts w:ascii="Cambria Math" w:eastAsiaTheme="minorEastAsia" w:hAnsi="Cambria Math" w:cs="Times New Roman"/>
                <w:sz w:val="24"/>
                <w:szCs w:val="24"/>
                <w:lang w:val="en-GB"/>
              </w:rPr>
              <m:t>ISH</m:t>
            </m:r>
          </m:num>
          <m:den>
            <m:r>
              <m:rPr>
                <m:sty m:val="p"/>
              </m:rPr>
              <w:rPr>
                <w:rFonts w:ascii="Cambria Math" w:eastAsiaTheme="minorEastAsia" w:hAnsi="Cambria Math" w:cs="Times New Roman"/>
                <w:sz w:val="24"/>
                <w:szCs w:val="24"/>
                <w:lang w:val="en-GB"/>
              </w:rPr>
              <m:t>Hmax</m:t>
            </m:r>
          </m:den>
        </m:f>
      </m:oMath>
      <w:r w:rsidR="00701CFC" w:rsidRPr="006B1899">
        <w:rPr>
          <w:rFonts w:ascii="Times New Roman" w:eastAsiaTheme="minorEastAsia" w:hAnsi="Times New Roman" w:cs="Times New Roman"/>
          <w:sz w:val="24"/>
          <w:szCs w:val="24"/>
          <w:lang w:val="en-GB"/>
        </w:rPr>
        <w:t xml:space="preserve"> Or </w:t>
      </w:r>
      <m:oMath>
        <m:r>
          <m:rPr>
            <m:sty m:val="p"/>
          </m:rPr>
          <w:rPr>
            <w:rFonts w:ascii="Cambria Math" w:eastAsiaTheme="minorEastAsia" w:hAnsi="Cambria Math" w:cs="Times New Roman"/>
            <w:sz w:val="24"/>
            <w:szCs w:val="24"/>
            <w:lang w:val="en-GB"/>
          </w:rPr>
          <m:t>Hmax=</m:t>
        </m:r>
        <m:sSub>
          <m:sSubPr>
            <m:ctrlPr>
              <w:rPr>
                <w:rFonts w:ascii="Cambria Math" w:eastAsiaTheme="minorEastAsia" w:hAnsi="Cambria Math" w:cs="Times New Roman"/>
                <w:sz w:val="24"/>
                <w:szCs w:val="24"/>
                <w:lang w:val="en-GB"/>
              </w:rPr>
            </m:ctrlPr>
          </m:sSubPr>
          <m:e>
            <m:r>
              <m:rPr>
                <m:sty m:val="p"/>
              </m:rPr>
              <w:rPr>
                <w:rFonts w:ascii="Cambria Math" w:hAnsi="Cambria Math" w:cs="Times New Roman"/>
                <w:sz w:val="24"/>
                <w:szCs w:val="24"/>
                <w:lang w:val="en-GB"/>
              </w:rPr>
              <m:t>log</m:t>
            </m:r>
          </m:e>
          <m:sub>
            <m:sSup>
              <m:sSupPr>
                <m:ctrlPr>
                  <w:rPr>
                    <w:rFonts w:ascii="Cambria Math" w:eastAsiaTheme="minorEastAsia" w:hAnsi="Cambria Math" w:cs="Times New Roman"/>
                    <w:sz w:val="24"/>
                    <w:szCs w:val="24"/>
                    <w:lang w:val="en-GB"/>
                  </w:rPr>
                </m:ctrlPr>
              </m:sSupPr>
              <m:e>
                <m:r>
                  <m:rPr>
                    <m:sty m:val="p"/>
                  </m:rPr>
                  <w:rPr>
                    <w:rFonts w:ascii="Cambria Math" w:hAnsi="Cambria Math" w:cs="Times New Roman"/>
                    <w:sz w:val="24"/>
                    <w:szCs w:val="24"/>
                    <w:lang w:val="en-GB"/>
                  </w:rPr>
                  <m:t>2</m:t>
                </m:r>
              </m:e>
              <m:sup>
                <m:r>
                  <m:rPr>
                    <m:sty m:val="p"/>
                  </m:rPr>
                  <w:rPr>
                    <w:rFonts w:ascii="Cambria Math" w:hAnsi="Cambria Math" w:cs="Times New Roman"/>
                    <w:sz w:val="24"/>
                    <w:szCs w:val="24"/>
                    <w:lang w:val="en-GB"/>
                  </w:rPr>
                  <m:t>S</m:t>
                </m:r>
              </m:sup>
            </m:sSup>
          </m:sub>
        </m:sSub>
      </m:oMath>
    </w:p>
    <w:p w14:paraId="121DE400" w14:textId="77777777" w:rsidR="00F8523B" w:rsidRPr="006B1899" w:rsidRDefault="003216B9" w:rsidP="00304E7D">
      <w:pPr>
        <w:spacing w:line="360" w:lineRule="auto"/>
        <w:jc w:val="both"/>
        <w:rPr>
          <w:rFonts w:ascii="Times New Roman" w:eastAsiaTheme="minorEastAsia" w:hAnsi="Times New Roman" w:cs="Times New Roman"/>
          <w:sz w:val="24"/>
          <w:szCs w:val="24"/>
          <w:lang w:val="en-GB"/>
        </w:rPr>
      </w:pPr>
      <w:r w:rsidRPr="006B1899">
        <w:rPr>
          <w:rFonts w:ascii="Times New Roman" w:eastAsiaTheme="minorEastAsia" w:hAnsi="Times New Roman" w:cs="Times New Roman"/>
          <w:sz w:val="24"/>
          <w:szCs w:val="24"/>
          <w:lang w:val="en-GB"/>
        </w:rPr>
        <w:t xml:space="preserve">Simpson's diversity index (D) measures the probability that two individuals drawn at random from a given stand are of the same species </w:t>
      </w:r>
      <w:proofErr w:type="gramStart"/>
      <w:r w:rsidRPr="006B1899">
        <w:rPr>
          <w:rFonts w:ascii="Times New Roman" w:eastAsiaTheme="minorEastAsia" w:hAnsi="Times New Roman" w:cs="Times New Roman"/>
          <w:sz w:val="24"/>
          <w:szCs w:val="24"/>
          <w:lang w:val="en-GB"/>
        </w:rPr>
        <w:t xml:space="preserve">( </w:t>
      </w:r>
      <w:proofErr w:type="spellStart"/>
      <w:r w:rsidRPr="006B1899">
        <w:rPr>
          <w:rFonts w:ascii="Times New Roman" w:eastAsiaTheme="minorEastAsia" w:hAnsi="Times New Roman" w:cs="Times New Roman"/>
          <w:sz w:val="24"/>
          <w:szCs w:val="24"/>
          <w:lang w:val="en-GB"/>
        </w:rPr>
        <w:t>Dajoz</w:t>
      </w:r>
      <w:proofErr w:type="spellEnd"/>
      <w:proofErr w:type="gramEnd"/>
      <w:r w:rsidRPr="006B1899">
        <w:rPr>
          <w:rFonts w:ascii="Times New Roman" w:eastAsiaTheme="minorEastAsia" w:hAnsi="Times New Roman" w:cs="Times New Roman"/>
          <w:sz w:val="24"/>
          <w:szCs w:val="24"/>
          <w:lang w:val="en-GB"/>
        </w:rPr>
        <w:t xml:space="preserve"> , 2006). This index is sensitive to variations in the importance of more abundant species </w:t>
      </w:r>
      <w:proofErr w:type="gramStart"/>
      <w:r w:rsidRPr="006B1899">
        <w:rPr>
          <w:rFonts w:ascii="Times New Roman" w:eastAsiaTheme="minorEastAsia" w:hAnsi="Times New Roman" w:cs="Times New Roman"/>
          <w:sz w:val="24"/>
          <w:szCs w:val="24"/>
          <w:lang w:val="en-GB"/>
        </w:rPr>
        <w:t>( Peet</w:t>
      </w:r>
      <w:proofErr w:type="gramEnd"/>
      <w:r w:rsidRPr="006B1899">
        <w:rPr>
          <w:rFonts w:ascii="Times New Roman" w:eastAsiaTheme="minorEastAsia" w:hAnsi="Times New Roman" w:cs="Times New Roman"/>
          <w:sz w:val="24"/>
          <w:szCs w:val="24"/>
          <w:lang w:val="en-GB"/>
        </w:rPr>
        <w:t xml:space="preserve"> , 1974); it reaches its maximum value in monospecific groups and its minimum value when all species have the same dominance. The formula used is as follows:</w:t>
      </w:r>
    </w:p>
    <w:p w14:paraId="1FC08741" w14:textId="77777777" w:rsidR="00E97D0A" w:rsidRPr="006B1899" w:rsidRDefault="00AC5115" w:rsidP="00E97D0A">
      <w:pPr>
        <w:spacing w:line="360" w:lineRule="auto"/>
        <w:jc w:val="center"/>
        <w:rPr>
          <w:rFonts w:ascii="Times New Roman" w:eastAsiaTheme="minorEastAsia" w:hAnsi="Times New Roman" w:cs="Times New Roman"/>
          <w:sz w:val="24"/>
          <w:szCs w:val="24"/>
          <w:lang w:val="en-GB"/>
        </w:rPr>
      </w:pPr>
      <m:oMathPara>
        <m:oMath>
          <m:r>
            <m:rPr>
              <m:sty m:val="p"/>
            </m:rPr>
            <w:rPr>
              <w:rFonts w:ascii="Cambria Math" w:eastAsiaTheme="minorEastAsia" w:hAnsi="Cambria Math" w:cs="Times New Roman"/>
              <w:sz w:val="24"/>
              <w:szCs w:val="24"/>
              <w:lang w:val="en-GB"/>
            </w:rPr>
            <w:lastRenderedPageBreak/>
            <m:t>D=</m:t>
          </m:r>
          <m:sSup>
            <m:sSupPr>
              <m:ctrlPr>
                <w:rPr>
                  <w:rFonts w:ascii="Cambria Math" w:eastAsiaTheme="minorEastAsia" w:hAnsi="Cambria Math" w:cs="Times New Roman"/>
                  <w:sz w:val="24"/>
                  <w:szCs w:val="24"/>
                  <w:lang w:val="en-GB"/>
                </w:rPr>
              </m:ctrlPr>
            </m:sSupPr>
            <m:e>
              <m:r>
                <m:rPr>
                  <m:sty m:val="p"/>
                </m:rPr>
                <w:rPr>
                  <w:rFonts w:ascii="Cambria Math" w:eastAsiaTheme="minorEastAsia" w:hAnsi="Cambria Math" w:cs="Times New Roman"/>
                  <w:sz w:val="24"/>
                  <w:szCs w:val="24"/>
                  <w:lang w:val="en-GB"/>
                </w:rPr>
                <m:t>(</m:t>
              </m:r>
              <m:f>
                <m:fPr>
                  <m:ctrlPr>
                    <w:rPr>
                      <w:rFonts w:ascii="Cambria Math" w:eastAsiaTheme="minorEastAsia" w:hAnsi="Cambria Math" w:cs="Times New Roman"/>
                      <w:sz w:val="24"/>
                      <w:szCs w:val="24"/>
                      <w:lang w:val="en-GB"/>
                    </w:rPr>
                  </m:ctrlPr>
                </m:fPr>
                <m:num>
                  <m:r>
                    <m:rPr>
                      <m:sty m:val="p"/>
                    </m:rPr>
                    <w:rPr>
                      <w:rFonts w:ascii="Cambria Math" w:eastAsiaTheme="minorEastAsia" w:hAnsi="Cambria Math" w:cs="Times New Roman"/>
                      <w:sz w:val="24"/>
                      <w:szCs w:val="24"/>
                      <w:lang w:val="en-GB"/>
                    </w:rPr>
                    <m:t>ni</m:t>
                  </m:r>
                </m:num>
                <m:den>
                  <m:r>
                    <m:rPr>
                      <m:sty m:val="p"/>
                    </m:rPr>
                    <w:rPr>
                      <w:rFonts w:ascii="Cambria Math" w:eastAsiaTheme="minorEastAsia" w:hAnsi="Cambria Math" w:cs="Times New Roman"/>
                      <w:sz w:val="24"/>
                      <w:szCs w:val="24"/>
                      <w:lang w:val="en-GB"/>
                    </w:rPr>
                    <m:t>N</m:t>
                  </m:r>
                </m:den>
              </m:f>
              <m:r>
                <m:rPr>
                  <m:sty m:val="p"/>
                </m:rPr>
                <w:rPr>
                  <w:rFonts w:ascii="Cambria Math" w:eastAsiaTheme="minorEastAsia" w:hAnsi="Cambria Math" w:cs="Times New Roman"/>
                  <w:sz w:val="24"/>
                  <w:szCs w:val="24"/>
                  <w:lang w:val="en-GB"/>
                </w:rPr>
                <m:t>)</m:t>
              </m:r>
            </m:e>
            <m:sup>
              <m:r>
                <m:rPr>
                  <m:sty m:val="p"/>
                </m:rPr>
                <w:rPr>
                  <w:rFonts w:ascii="Cambria Math" w:eastAsiaTheme="minorEastAsia" w:hAnsi="Cambria Math" w:cs="Times New Roman"/>
                  <w:sz w:val="24"/>
                  <w:szCs w:val="24"/>
                  <w:lang w:val="en-GB"/>
                </w:rPr>
                <m:t>2</m:t>
              </m:r>
            </m:sup>
          </m:sSup>
        </m:oMath>
      </m:oMathPara>
    </w:p>
    <w:p w14:paraId="38118562" w14:textId="77777777" w:rsidR="00AF1F3B" w:rsidRPr="006B1899" w:rsidRDefault="00E97D0A" w:rsidP="00304E7D">
      <w:pPr>
        <w:spacing w:line="360" w:lineRule="auto"/>
        <w:jc w:val="both"/>
        <w:rPr>
          <w:rFonts w:ascii="Times New Roman" w:eastAsiaTheme="minorEastAsia" w:hAnsi="Times New Roman" w:cs="Times New Roman"/>
          <w:sz w:val="24"/>
          <w:szCs w:val="24"/>
          <w:lang w:val="en-GB"/>
        </w:rPr>
      </w:pPr>
      <w:r w:rsidRPr="006B1899">
        <w:rPr>
          <w:rFonts w:ascii="Times New Roman" w:eastAsiaTheme="minorEastAsia" w:hAnsi="Times New Roman" w:cs="Times New Roman"/>
          <w:sz w:val="24"/>
          <w:szCs w:val="24"/>
          <w:lang w:val="en-GB"/>
        </w:rPr>
        <w:t xml:space="preserve">In which </w:t>
      </w:r>
      <w:proofErr w:type="spellStart"/>
      <w:r w:rsidRPr="006B1899">
        <w:rPr>
          <w:rFonts w:ascii="Times New Roman" w:eastAsiaTheme="minorEastAsia" w:hAnsi="Times New Roman" w:cs="Times New Roman"/>
          <w:sz w:val="24"/>
          <w:szCs w:val="24"/>
          <w:lang w:val="en-GB"/>
        </w:rPr>
        <w:t>ni</w:t>
      </w:r>
      <w:proofErr w:type="spellEnd"/>
      <w:r w:rsidRPr="006B1899">
        <w:rPr>
          <w:rFonts w:ascii="Times New Roman" w:eastAsiaTheme="minorEastAsia" w:hAnsi="Times New Roman" w:cs="Times New Roman"/>
          <w:sz w:val="24"/>
          <w:szCs w:val="24"/>
          <w:lang w:val="en-GB"/>
        </w:rPr>
        <w:t xml:space="preserve"> is the abundance of each species and N is the total number of individuals in the grouping.</w:t>
      </w:r>
    </w:p>
    <w:p w14:paraId="1336BFFE" w14:textId="77777777" w:rsidR="00C638F5" w:rsidRPr="006B1899" w:rsidRDefault="00C638F5" w:rsidP="00C638F5">
      <w:pPr>
        <w:spacing w:line="360" w:lineRule="auto"/>
        <w:jc w:val="both"/>
        <w:rPr>
          <w:rFonts w:ascii="Times New Roman" w:hAnsi="Times New Roman" w:cs="Times New Roman"/>
          <w:sz w:val="24"/>
          <w:szCs w:val="24"/>
          <w:lang w:val="en-GB"/>
        </w:rPr>
      </w:pPr>
      <w:r w:rsidRPr="006B1899">
        <w:rPr>
          <w:rFonts w:ascii="Times New Roman" w:hAnsi="Times New Roman" w:cs="Times New Roman"/>
          <w:b/>
          <w:sz w:val="24"/>
          <w:szCs w:val="24"/>
          <w:lang w:val="en-GB"/>
        </w:rPr>
        <w:t xml:space="preserve">II.2.2. </w:t>
      </w:r>
      <w:r w:rsidR="00782E34" w:rsidRPr="006B1899">
        <w:rPr>
          <w:rFonts w:ascii="Times New Roman" w:hAnsi="Times New Roman" w:cs="Times New Roman"/>
          <w:b/>
          <w:sz w:val="24"/>
          <w:szCs w:val="24"/>
          <w:lang w:val="en-GB"/>
        </w:rPr>
        <w:t>3. Comparison of herbaceous plant groups</w:t>
      </w:r>
    </w:p>
    <w:p w14:paraId="36704060" w14:textId="77777777" w:rsidR="00C638F5" w:rsidRPr="006B1899" w:rsidRDefault="00C638F5" w:rsidP="00C638F5">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Sørensen 's similarity coefficient. It varies from 0% (for groups that have no species in common) to 100% (for groups that have all species in common). The Sørensen coefficient is calculated from the following formula:</w:t>
      </w:r>
    </w:p>
    <w:p w14:paraId="0B627932" w14:textId="77777777" w:rsidR="00C638F5" w:rsidRPr="006B1899" w:rsidRDefault="00C638F5" w:rsidP="00C638F5">
      <w:pPr>
        <w:spacing w:line="360" w:lineRule="auto"/>
        <w:jc w:val="both"/>
        <w:rPr>
          <w:rFonts w:ascii="Times New Roman" w:eastAsiaTheme="minorEastAsia" w:hAnsi="Times New Roman" w:cs="Times New Roman"/>
          <w:sz w:val="24"/>
          <w:szCs w:val="24"/>
          <w:lang w:val="en-GB"/>
        </w:rPr>
      </w:pPr>
      <m:oMathPara>
        <m:oMath>
          <m:r>
            <m:rPr>
              <m:sty m:val="p"/>
            </m:rPr>
            <w:rPr>
              <w:rFonts w:ascii="Cambria Math" w:hAnsi="Cambria Math" w:cs="Times New Roman"/>
              <w:sz w:val="24"/>
              <w:szCs w:val="24"/>
              <w:lang w:val="en-GB"/>
            </w:rPr>
            <m:t>IS=</m:t>
          </m:r>
          <m:f>
            <m:fPr>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2C</m:t>
              </m:r>
            </m:num>
            <m:den>
              <m:r>
                <m:rPr>
                  <m:sty m:val="p"/>
                </m:rPr>
                <w:rPr>
                  <w:rFonts w:ascii="Cambria Math" w:hAnsi="Cambria Math" w:cs="Times New Roman"/>
                  <w:sz w:val="24"/>
                  <w:szCs w:val="24"/>
                  <w:lang w:val="en-GB"/>
                </w:rPr>
                <m:t>A+B</m:t>
              </m:r>
            </m:den>
          </m:f>
          <m:r>
            <m:rPr>
              <m:sty m:val="p"/>
            </m:rPr>
            <w:rPr>
              <w:rFonts w:ascii="Cambria Math" w:hAnsi="Cambria Math" w:cs="Times New Roman"/>
              <w:sz w:val="24"/>
              <w:szCs w:val="24"/>
              <w:lang w:val="en-GB"/>
            </w:rPr>
            <m:t xml:space="preserve"> X 100</m:t>
          </m:r>
        </m:oMath>
      </m:oMathPara>
    </w:p>
    <w:p w14:paraId="5BD0303B" w14:textId="77777777" w:rsidR="00C638F5" w:rsidRPr="006B1899" w:rsidRDefault="00C638F5" w:rsidP="00C638F5">
      <w:pPr>
        <w:spacing w:line="360" w:lineRule="auto"/>
        <w:jc w:val="both"/>
        <w:rPr>
          <w:rFonts w:ascii="Cambria Math" w:hAnsi="Cambria Math" w:cs="Times New Roman"/>
          <w:sz w:val="24"/>
          <w:szCs w:val="24"/>
          <w:lang w:val="en-GB"/>
          <w:oMath/>
        </w:rPr>
      </w:pPr>
      <w:r w:rsidRPr="006B1899">
        <w:rPr>
          <w:rFonts w:ascii="Times New Roman" w:eastAsiaTheme="minorEastAsia" w:hAnsi="Times New Roman" w:cs="Times New Roman"/>
          <w:sz w:val="24"/>
          <w:szCs w:val="24"/>
          <w:lang w:val="en-GB"/>
        </w:rPr>
        <w:t>With, C = number of species common to herbaceous plant groups G1 and G2; A = number of species in G1 and B = number of species in G2.</w:t>
      </w:r>
    </w:p>
    <w:p w14:paraId="5CD722B2" w14:textId="77777777" w:rsidR="005421B7" w:rsidRPr="006B1899" w:rsidRDefault="00523FF2" w:rsidP="00AB7F04">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II.2.2.4. Functional organization of plant groups</w:t>
      </w:r>
    </w:p>
    <w:p w14:paraId="445AE9A5" w14:textId="77777777" w:rsidR="00C634EC" w:rsidRPr="006B1899" w:rsidRDefault="00C634EC" w:rsidP="003B45C9">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Biological types refer to all the morphological characteristics that play a role in resistance to </w:t>
      </w:r>
      <w:proofErr w:type="spellStart"/>
      <w:r w:rsidRPr="006B1899">
        <w:rPr>
          <w:rFonts w:ascii="Times New Roman" w:hAnsi="Times New Roman" w:cs="Times New Roman"/>
          <w:sz w:val="24"/>
          <w:szCs w:val="24"/>
          <w:lang w:val="en-GB"/>
        </w:rPr>
        <w:t>unfavorable</w:t>
      </w:r>
      <w:proofErr w:type="spellEnd"/>
      <w:r w:rsidRPr="006B1899">
        <w:rPr>
          <w:rFonts w:ascii="Times New Roman" w:hAnsi="Times New Roman" w:cs="Times New Roman"/>
          <w:sz w:val="24"/>
          <w:szCs w:val="24"/>
          <w:lang w:val="en-GB"/>
        </w:rPr>
        <w:t xml:space="preserve"> conditions, and therefore in the location of plant species </w:t>
      </w:r>
      <w:proofErr w:type="gramStart"/>
      <w:r w:rsidRPr="006B1899">
        <w:rPr>
          <w:rFonts w:ascii="Times New Roman" w:hAnsi="Times New Roman" w:cs="Times New Roman"/>
          <w:sz w:val="24"/>
          <w:szCs w:val="24"/>
          <w:lang w:val="en-GB"/>
        </w:rPr>
        <w:t xml:space="preserve">( </w:t>
      </w:r>
      <w:proofErr w:type="spellStart"/>
      <w:r w:rsidR="00F16895" w:rsidRPr="006B1899">
        <w:rPr>
          <w:rFonts w:ascii="Times New Roman" w:hAnsi="Times New Roman" w:cs="Times New Roman"/>
          <w:sz w:val="24"/>
          <w:szCs w:val="24"/>
          <w:lang w:val="en-GB"/>
        </w:rPr>
        <w:t>Raunkier</w:t>
      </w:r>
      <w:proofErr w:type="spellEnd"/>
      <w:proofErr w:type="gramEnd"/>
      <w:r w:rsidR="00F16895" w:rsidRPr="006B1899">
        <w:rPr>
          <w:rFonts w:ascii="Times New Roman" w:hAnsi="Times New Roman" w:cs="Times New Roman"/>
          <w:sz w:val="24"/>
          <w:szCs w:val="24"/>
          <w:lang w:val="en-GB"/>
        </w:rPr>
        <w:t xml:space="preserve"> , 1934). The biological types (Table 2) used are adapted by various authors (White, 1986; </w:t>
      </w:r>
      <w:proofErr w:type="spellStart"/>
      <w:r w:rsidR="00F20817" w:rsidRPr="006B1899">
        <w:rPr>
          <w:rFonts w:ascii="Times New Roman" w:hAnsi="Times New Roman" w:cs="Times New Roman"/>
          <w:sz w:val="24"/>
          <w:szCs w:val="24"/>
          <w:lang w:val="en-GB"/>
        </w:rPr>
        <w:t>Bassène</w:t>
      </w:r>
      <w:proofErr w:type="spellEnd"/>
      <w:r w:rsidR="00F20817" w:rsidRPr="006B1899">
        <w:rPr>
          <w:rFonts w:ascii="Times New Roman" w:hAnsi="Times New Roman" w:cs="Times New Roman"/>
          <w:sz w:val="24"/>
          <w:szCs w:val="24"/>
          <w:lang w:val="en-GB"/>
        </w:rPr>
        <w:t xml:space="preserve"> et al., 2020). The geographical distribution of the species was carried out according to the work of </w:t>
      </w:r>
      <w:proofErr w:type="spellStart"/>
      <w:r w:rsidRPr="006B1899">
        <w:rPr>
          <w:rFonts w:ascii="Times New Roman" w:hAnsi="Times New Roman" w:cs="Times New Roman"/>
          <w:sz w:val="24"/>
          <w:szCs w:val="24"/>
          <w:lang w:val="en-GB"/>
        </w:rPr>
        <w:t>Bassène</w:t>
      </w:r>
      <w:proofErr w:type="spellEnd"/>
      <w:r w:rsidRPr="006B1899">
        <w:rPr>
          <w:rFonts w:ascii="Times New Roman" w:hAnsi="Times New Roman" w:cs="Times New Roman"/>
          <w:sz w:val="24"/>
          <w:szCs w:val="24"/>
          <w:lang w:val="en-GB"/>
        </w:rPr>
        <w:t xml:space="preserve"> et al. (2012).</w:t>
      </w:r>
    </w:p>
    <w:p w14:paraId="6EC236C1" w14:textId="77777777" w:rsidR="005D6E6C" w:rsidRPr="006B1899" w:rsidRDefault="00B21C84" w:rsidP="005D6E6C">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Table 2. Biological traits and modalities retained.</w:t>
      </w:r>
    </w:p>
    <w:tbl>
      <w:tblPr>
        <w:tblStyle w:val="TableGrid"/>
        <w:tblW w:w="8128" w:type="dxa"/>
        <w:jc w:val="center"/>
        <w:tblLook w:val="04A0" w:firstRow="1" w:lastRow="0" w:firstColumn="1" w:lastColumn="0" w:noHBand="0" w:noVBand="1"/>
      </w:tblPr>
      <w:tblGrid>
        <w:gridCol w:w="2283"/>
        <w:gridCol w:w="1701"/>
        <w:gridCol w:w="4144"/>
      </w:tblGrid>
      <w:tr w:rsidR="0063742A" w:rsidRPr="006B1899" w14:paraId="2A0CD4E9" w14:textId="77777777" w:rsidTr="007534D6">
        <w:trPr>
          <w:jc w:val="center"/>
        </w:trPr>
        <w:tc>
          <w:tcPr>
            <w:tcW w:w="2283" w:type="dxa"/>
            <w:vAlign w:val="center"/>
          </w:tcPr>
          <w:p w14:paraId="2BBB85D2"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Trait categories</w:t>
            </w:r>
          </w:p>
        </w:tc>
        <w:tc>
          <w:tcPr>
            <w:tcW w:w="1701" w:type="dxa"/>
            <w:vAlign w:val="center"/>
          </w:tcPr>
          <w:p w14:paraId="54099EEE" w14:textId="77777777" w:rsidR="0063742A" w:rsidRPr="006B1899" w:rsidRDefault="0063742A" w:rsidP="00CD13D2">
            <w:pPr>
              <w:rPr>
                <w:rFonts w:ascii="Times New Roman" w:hAnsi="Times New Roman" w:cs="Times New Roman"/>
                <w:sz w:val="24"/>
                <w:szCs w:val="24"/>
                <w:lang w:val="en-GB"/>
              </w:rPr>
            </w:pPr>
            <w:r w:rsidRPr="006B1899">
              <w:rPr>
                <w:rFonts w:ascii="Times New Roman" w:hAnsi="Times New Roman" w:cs="Times New Roman"/>
                <w:sz w:val="24"/>
                <w:szCs w:val="24"/>
                <w:lang w:val="en-GB"/>
              </w:rPr>
              <w:t>Types of traits</w:t>
            </w:r>
          </w:p>
        </w:tc>
        <w:tc>
          <w:tcPr>
            <w:tcW w:w="4144" w:type="dxa"/>
            <w:vAlign w:val="center"/>
          </w:tcPr>
          <w:p w14:paraId="102301E8"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Stroke modalities</w:t>
            </w:r>
          </w:p>
        </w:tc>
      </w:tr>
      <w:tr w:rsidR="0063742A" w:rsidRPr="006B1899" w14:paraId="59CC0E07" w14:textId="77777777" w:rsidTr="007534D6">
        <w:trPr>
          <w:jc w:val="center"/>
        </w:trPr>
        <w:tc>
          <w:tcPr>
            <w:tcW w:w="2283" w:type="dxa"/>
            <w:vAlign w:val="center"/>
          </w:tcPr>
          <w:p w14:paraId="4950A7E4" w14:textId="77777777" w:rsidR="0063742A" w:rsidRPr="006B1899" w:rsidRDefault="0063742A" w:rsidP="00696060">
            <w:pPr>
              <w:rPr>
                <w:rFonts w:ascii="Times New Roman" w:hAnsi="Times New Roman" w:cs="Times New Roman"/>
                <w:sz w:val="24"/>
                <w:szCs w:val="24"/>
                <w:lang w:val="en-GB"/>
              </w:rPr>
            </w:pPr>
            <w:r w:rsidRPr="006B1899">
              <w:rPr>
                <w:rFonts w:ascii="Times New Roman" w:hAnsi="Times New Roman" w:cs="Times New Roman"/>
                <w:sz w:val="24"/>
                <w:szCs w:val="24"/>
                <w:lang w:val="en-GB"/>
              </w:rPr>
              <w:t>Life trait</w:t>
            </w:r>
          </w:p>
        </w:tc>
        <w:tc>
          <w:tcPr>
            <w:tcW w:w="1701" w:type="dxa"/>
            <w:vAlign w:val="center"/>
          </w:tcPr>
          <w:p w14:paraId="3645A6FA"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Ecology</w:t>
            </w:r>
          </w:p>
        </w:tc>
        <w:tc>
          <w:tcPr>
            <w:tcW w:w="4144" w:type="dxa"/>
            <w:vAlign w:val="center"/>
          </w:tcPr>
          <w:p w14:paraId="292393CC" w14:textId="77777777" w:rsidR="0063742A" w:rsidRPr="006B1899" w:rsidRDefault="0063742A" w:rsidP="00DA2CF0">
            <w:pPr>
              <w:rPr>
                <w:rFonts w:ascii="Times New Roman" w:hAnsi="Times New Roman" w:cs="Times New Roman"/>
                <w:sz w:val="24"/>
                <w:szCs w:val="24"/>
                <w:lang w:val="en-GB"/>
              </w:rPr>
            </w:pPr>
            <w:proofErr w:type="spellStart"/>
            <w:r w:rsidRPr="006B1899">
              <w:rPr>
                <w:rFonts w:ascii="Times New Roman" w:hAnsi="Times New Roman" w:cs="Times New Roman"/>
                <w:sz w:val="24"/>
                <w:szCs w:val="24"/>
                <w:lang w:val="en-GB"/>
              </w:rPr>
              <w:t>Chamephyte</w:t>
            </w:r>
            <w:proofErr w:type="spellEnd"/>
          </w:p>
          <w:p w14:paraId="54E9BDD1"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Geophyte</w:t>
            </w:r>
          </w:p>
          <w:p w14:paraId="2623EA6C"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Hemicryptophyte</w:t>
            </w:r>
          </w:p>
          <w:p w14:paraId="4AE4EF80"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Phanerophyte</w:t>
            </w:r>
          </w:p>
          <w:p w14:paraId="4BC4D92A"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Therophyte</w:t>
            </w:r>
          </w:p>
        </w:tc>
      </w:tr>
      <w:tr w:rsidR="0063742A" w:rsidRPr="006B1899" w14:paraId="6A7F6DC5" w14:textId="77777777" w:rsidTr="007534D6">
        <w:trPr>
          <w:trHeight w:val="2789"/>
          <w:jc w:val="center"/>
        </w:trPr>
        <w:tc>
          <w:tcPr>
            <w:tcW w:w="2283" w:type="dxa"/>
            <w:vAlign w:val="center"/>
          </w:tcPr>
          <w:p w14:paraId="0443005B" w14:textId="77777777" w:rsidR="0063742A" w:rsidRPr="006B1899" w:rsidRDefault="0063742A" w:rsidP="00965040">
            <w:pPr>
              <w:rPr>
                <w:rFonts w:ascii="Times New Roman" w:hAnsi="Times New Roman" w:cs="Times New Roman"/>
                <w:sz w:val="24"/>
                <w:szCs w:val="24"/>
                <w:lang w:val="en-GB"/>
              </w:rPr>
            </w:pPr>
            <w:r w:rsidRPr="006B1899">
              <w:rPr>
                <w:rFonts w:ascii="Times New Roman" w:hAnsi="Times New Roman" w:cs="Times New Roman"/>
                <w:sz w:val="24"/>
                <w:szCs w:val="24"/>
                <w:lang w:val="en-GB"/>
              </w:rPr>
              <w:t>Flora stability trait</w:t>
            </w:r>
          </w:p>
        </w:tc>
        <w:tc>
          <w:tcPr>
            <w:tcW w:w="1701" w:type="dxa"/>
            <w:vAlign w:val="center"/>
          </w:tcPr>
          <w:p w14:paraId="1971666C"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Geographic distribution</w:t>
            </w:r>
          </w:p>
        </w:tc>
        <w:tc>
          <w:tcPr>
            <w:tcW w:w="4144" w:type="dxa"/>
            <w:vAlign w:val="center"/>
          </w:tcPr>
          <w:p w14:paraId="2E72FC07" w14:textId="77777777" w:rsidR="002F3DE7" w:rsidRPr="006B1899" w:rsidRDefault="00E0057C" w:rsidP="007534D6">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Widely distributed species (Afro-American; Afro-Malagasy; Afro-tropical; Cosmopolitan; </w:t>
            </w:r>
            <w:r w:rsidR="007534D6" w:rsidRPr="006B1899">
              <w:rPr>
                <w:rFonts w:ascii="Times New Roman" w:hAnsi="Times New Roman" w:cs="Times New Roman"/>
                <w:sz w:val="24"/>
                <w:szCs w:val="24"/>
                <w:lang w:val="en-GB"/>
              </w:rPr>
              <w:t>Paleotropical; Pantropical);</w:t>
            </w:r>
          </w:p>
          <w:p w14:paraId="0C3B5444" w14:textId="77777777" w:rsidR="0063742A" w:rsidRPr="006B1899" w:rsidRDefault="0063742A" w:rsidP="00DA2CF0">
            <w:pPr>
              <w:spacing w:after="200"/>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Guinean-Congolese</w:t>
            </w:r>
          </w:p>
          <w:p w14:paraId="5B1C5F43" w14:textId="77777777" w:rsidR="0063742A" w:rsidRPr="006B1899" w:rsidRDefault="0063742A" w:rsidP="00DA2CF0">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Sudanese-</w:t>
            </w:r>
            <w:proofErr w:type="spellStart"/>
            <w:r w:rsidRPr="006B1899">
              <w:rPr>
                <w:rFonts w:ascii="Times New Roman" w:hAnsi="Times New Roman" w:cs="Times New Roman"/>
                <w:sz w:val="24"/>
                <w:szCs w:val="24"/>
                <w:lang w:val="en-GB"/>
              </w:rPr>
              <w:t>Zambéziennes</w:t>
            </w:r>
            <w:proofErr w:type="spellEnd"/>
          </w:p>
        </w:tc>
      </w:tr>
    </w:tbl>
    <w:p w14:paraId="35A31601" w14:textId="77777777" w:rsidR="005D6E6C" w:rsidRPr="006B1899" w:rsidRDefault="005D6E6C" w:rsidP="00AB7F04">
      <w:pPr>
        <w:spacing w:line="360" w:lineRule="auto"/>
        <w:jc w:val="both"/>
        <w:rPr>
          <w:rFonts w:ascii="Times New Roman" w:hAnsi="Times New Roman" w:cs="Times New Roman"/>
          <w:sz w:val="24"/>
          <w:szCs w:val="24"/>
          <w:lang w:val="en-GB"/>
        </w:rPr>
      </w:pPr>
    </w:p>
    <w:p w14:paraId="4C8FEC5E" w14:textId="77777777" w:rsidR="00933EB8" w:rsidRPr="006B1899" w:rsidRDefault="009A295A">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 RESULTS</w:t>
      </w:r>
    </w:p>
    <w:p w14:paraId="486BC158" w14:textId="77777777" w:rsidR="00813C22" w:rsidRPr="006B1899" w:rsidRDefault="009A295A">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III.1. Floristic composition and distribution</w:t>
      </w:r>
    </w:p>
    <w:p w14:paraId="68E515B9" w14:textId="77777777" w:rsidR="00821C24" w:rsidRPr="006B1899" w:rsidRDefault="00821C24" w:rsidP="00821C24">
      <w:pPr>
        <w:spacing w:line="360" w:lineRule="auto"/>
        <w:ind w:firstLine="708"/>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On the sampled plots, the number of species recorded per plot is heterogeneous and varies from 20 species (P1) to 44 species (P8) with an average number of species equal to 30 (Figure 2).</w:t>
      </w:r>
    </w:p>
    <w:p w14:paraId="377F425C" w14:textId="77777777" w:rsidR="00813C22" w:rsidRPr="006B1899" w:rsidRDefault="00C6764F" w:rsidP="00E36B9C">
      <w:pPr>
        <w:spacing w:line="360" w:lineRule="auto"/>
        <w:ind w:firstLine="708"/>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From a taxonomic point of view, the herbaceous flora reveals the presence of 98 species distributed among 31 families and 74 genera. This flora is dominated by </w:t>
      </w:r>
      <w:r w:rsidR="003C5B2B" w:rsidRPr="006B1899">
        <w:rPr>
          <w:rFonts w:ascii="Times New Roman" w:hAnsi="Times New Roman" w:cs="Times New Roman"/>
          <w:i/>
          <w:sz w:val="24"/>
          <w:szCs w:val="24"/>
          <w:lang w:val="en-GB"/>
        </w:rPr>
        <w:t xml:space="preserve">Asteraceae </w:t>
      </w:r>
      <w:r w:rsidR="004B72DD" w:rsidRPr="006B1899">
        <w:rPr>
          <w:rFonts w:ascii="Times New Roman" w:hAnsi="Times New Roman" w:cs="Times New Roman"/>
          <w:sz w:val="24"/>
          <w:szCs w:val="24"/>
          <w:lang w:val="en-GB"/>
        </w:rPr>
        <w:t xml:space="preserve">(18.36%) and </w:t>
      </w:r>
      <w:r w:rsidR="004B72DD" w:rsidRPr="006B1899">
        <w:rPr>
          <w:rFonts w:ascii="Times New Roman" w:hAnsi="Times New Roman" w:cs="Times New Roman"/>
          <w:i/>
          <w:sz w:val="24"/>
          <w:szCs w:val="24"/>
          <w:lang w:val="en-GB"/>
        </w:rPr>
        <w:t xml:space="preserve">Fabaceae </w:t>
      </w:r>
      <w:r w:rsidR="004B72DD" w:rsidRPr="006B1899">
        <w:rPr>
          <w:rFonts w:ascii="Times New Roman" w:hAnsi="Times New Roman" w:cs="Times New Roman"/>
          <w:sz w:val="24"/>
          <w:szCs w:val="24"/>
          <w:lang w:val="en-GB"/>
        </w:rPr>
        <w:t xml:space="preserve">(10.20%). </w:t>
      </w:r>
      <w:proofErr w:type="spellStart"/>
      <w:r w:rsidR="003C5B2B" w:rsidRPr="006B1899">
        <w:rPr>
          <w:rFonts w:ascii="Times New Roman" w:hAnsi="Times New Roman" w:cs="Times New Roman"/>
          <w:i/>
          <w:sz w:val="24"/>
          <w:szCs w:val="24"/>
          <w:lang w:val="en-GB"/>
        </w:rPr>
        <w:t>Cyperaceae</w:t>
      </w:r>
      <w:proofErr w:type="spellEnd"/>
      <w:r w:rsidR="003C5B2B" w:rsidRPr="006B1899">
        <w:rPr>
          <w:rFonts w:ascii="Times New Roman" w:hAnsi="Times New Roman" w:cs="Times New Roman"/>
          <w:i/>
          <w:sz w:val="24"/>
          <w:szCs w:val="24"/>
          <w:lang w:val="en-GB"/>
        </w:rPr>
        <w:t xml:space="preserve"> </w:t>
      </w:r>
      <w:r w:rsidR="004B72DD" w:rsidRPr="006B1899">
        <w:rPr>
          <w:rFonts w:ascii="Times New Roman" w:hAnsi="Times New Roman" w:cs="Times New Roman"/>
          <w:sz w:val="24"/>
          <w:szCs w:val="24"/>
          <w:lang w:val="en-GB"/>
        </w:rPr>
        <w:t xml:space="preserve">(9.18%), </w:t>
      </w:r>
      <w:proofErr w:type="spellStart"/>
      <w:r w:rsidR="003C5B2B" w:rsidRPr="006B1899">
        <w:rPr>
          <w:rFonts w:ascii="Times New Roman" w:hAnsi="Times New Roman" w:cs="Times New Roman"/>
          <w:i/>
          <w:sz w:val="24"/>
          <w:szCs w:val="24"/>
          <w:lang w:val="en-GB"/>
        </w:rPr>
        <w:t>Poaceae</w:t>
      </w:r>
      <w:proofErr w:type="spellEnd"/>
      <w:r w:rsidR="003C5B2B" w:rsidRPr="006B1899">
        <w:rPr>
          <w:rFonts w:ascii="Times New Roman" w:hAnsi="Times New Roman" w:cs="Times New Roman"/>
          <w:i/>
          <w:sz w:val="24"/>
          <w:szCs w:val="24"/>
          <w:lang w:val="en-GB"/>
        </w:rPr>
        <w:t xml:space="preserve"> </w:t>
      </w:r>
      <w:r w:rsidR="003C5B2B" w:rsidRPr="006B1899">
        <w:rPr>
          <w:rFonts w:ascii="Times New Roman" w:hAnsi="Times New Roman" w:cs="Times New Roman"/>
          <w:sz w:val="24"/>
          <w:szCs w:val="24"/>
          <w:lang w:val="en-GB"/>
        </w:rPr>
        <w:t xml:space="preserve">(8.16%), </w:t>
      </w:r>
      <w:proofErr w:type="spellStart"/>
      <w:r w:rsidR="00B271A7" w:rsidRPr="006B1899">
        <w:rPr>
          <w:rFonts w:ascii="Times New Roman" w:hAnsi="Times New Roman" w:cs="Times New Roman"/>
          <w:i/>
          <w:sz w:val="24"/>
          <w:szCs w:val="24"/>
          <w:lang w:val="en-GB"/>
        </w:rPr>
        <w:t>Euphorbiaceae</w:t>
      </w:r>
      <w:proofErr w:type="spellEnd"/>
      <w:r w:rsidR="00B271A7" w:rsidRPr="006B1899">
        <w:rPr>
          <w:rFonts w:ascii="Times New Roman" w:hAnsi="Times New Roman" w:cs="Times New Roman"/>
          <w:i/>
          <w:sz w:val="24"/>
          <w:szCs w:val="24"/>
          <w:lang w:val="en-GB"/>
        </w:rPr>
        <w:t xml:space="preserve"> </w:t>
      </w:r>
      <w:r w:rsidR="00B271A7" w:rsidRPr="006B1899">
        <w:rPr>
          <w:rFonts w:ascii="Times New Roman" w:hAnsi="Times New Roman" w:cs="Times New Roman"/>
          <w:sz w:val="24"/>
          <w:szCs w:val="24"/>
          <w:lang w:val="en-GB"/>
        </w:rPr>
        <w:t xml:space="preserve">(6.12%) and </w:t>
      </w:r>
      <w:proofErr w:type="spellStart"/>
      <w:r w:rsidR="00AB7A9F" w:rsidRPr="006B1899">
        <w:rPr>
          <w:rFonts w:ascii="Times New Roman" w:hAnsi="Times New Roman" w:cs="Times New Roman"/>
          <w:i/>
          <w:sz w:val="24"/>
          <w:szCs w:val="24"/>
          <w:lang w:val="en-GB"/>
        </w:rPr>
        <w:t>Amaranthaceae</w:t>
      </w:r>
      <w:proofErr w:type="spellEnd"/>
      <w:r w:rsidR="00AB7A9F" w:rsidRPr="006B1899">
        <w:rPr>
          <w:rFonts w:ascii="Times New Roman" w:hAnsi="Times New Roman" w:cs="Times New Roman"/>
          <w:i/>
          <w:sz w:val="24"/>
          <w:szCs w:val="24"/>
          <w:lang w:val="en-GB"/>
        </w:rPr>
        <w:t xml:space="preserve"> </w:t>
      </w:r>
      <w:r w:rsidR="00AB7A9F" w:rsidRPr="006B1899">
        <w:rPr>
          <w:rFonts w:ascii="Times New Roman" w:hAnsi="Times New Roman" w:cs="Times New Roman"/>
          <w:sz w:val="24"/>
          <w:szCs w:val="24"/>
          <w:lang w:val="en-GB"/>
        </w:rPr>
        <w:t>(5.10%) come in second place. The other families are represented by less than 5% (Figure 3). Structurally, dicotyledons are dominant with 72 species (73.47%). Monocotyledons represent 24.49% (24 species).</w:t>
      </w:r>
      <w:r w:rsidR="00833422" w:rsidRPr="006B1899">
        <w:rPr>
          <w:rFonts w:ascii="Times New Roman" w:hAnsi="Times New Roman" w:cs="Times New Roman"/>
          <w:sz w:val="24"/>
          <w:szCs w:val="24"/>
          <w:lang w:val="en-GB"/>
        </w:rPr>
        <w:t xml:space="preserve"> while Pteridophytes are weakly represented with only 2 species (2.04%).</w:t>
      </w:r>
    </w:p>
    <w:p w14:paraId="28218955" w14:textId="77777777" w:rsidR="00813C22" w:rsidRPr="006B1899" w:rsidRDefault="002C0C0C" w:rsidP="002C0C0C">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2BADFEE2" wp14:editId="4D17DFE5">
            <wp:extent cx="4095750" cy="2089150"/>
            <wp:effectExtent l="0" t="0" r="19050" b="2540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9E476A" w14:textId="3C638EF3" w:rsidR="00813C22" w:rsidRPr="006B1899" w:rsidRDefault="00170453">
      <w:pPr>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Figure </w:t>
      </w:r>
      <w:r w:rsidR="00F17CBE">
        <w:rPr>
          <w:rFonts w:ascii="Times New Roman" w:hAnsi="Times New Roman" w:cs="Times New Roman"/>
          <w:sz w:val="24"/>
          <w:szCs w:val="24"/>
          <w:lang w:val="en-GB"/>
        </w:rPr>
        <w:t>2</w:t>
      </w:r>
      <w:r w:rsidRPr="006B1899">
        <w:rPr>
          <w:rFonts w:ascii="Times New Roman" w:hAnsi="Times New Roman" w:cs="Times New Roman"/>
          <w:sz w:val="24"/>
          <w:szCs w:val="24"/>
          <w:lang w:val="en-GB"/>
        </w:rPr>
        <w:t>. Spectrum of abundance of families of recorded ruderal species.</w:t>
      </w:r>
    </w:p>
    <w:p w14:paraId="38267690" w14:textId="77777777" w:rsidR="00FB0D27" w:rsidRPr="006B1899" w:rsidRDefault="00FB0D27" w:rsidP="00FB0D27">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27F52C16" wp14:editId="03A8FDF2">
            <wp:extent cx="3575050" cy="1841500"/>
            <wp:effectExtent l="0" t="0" r="25400" b="2540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9F4FF9" w14:textId="77777777" w:rsidR="00877DFE" w:rsidRPr="006B1899" w:rsidRDefault="00877DFE" w:rsidP="00877DFE">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3. Floristic richness of the sampled plots.</w:t>
      </w:r>
    </w:p>
    <w:p w14:paraId="18CBDF3F" w14:textId="77777777" w:rsidR="00A90F8B" w:rsidRPr="006B1899" w:rsidRDefault="00D8033D" w:rsidP="00AF2607">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 xml:space="preserve">The classification of species recorded by biological type (Figure 4) shows a dominance of the types best adapted to the different constraints of the environment, namely </w:t>
      </w:r>
      <w:r w:rsidR="003839E3" w:rsidRPr="006B1899">
        <w:rPr>
          <w:rFonts w:ascii="Times New Roman" w:hAnsi="Times New Roman" w:cs="Times New Roman"/>
          <w:sz w:val="24"/>
          <w:szCs w:val="24"/>
          <w:lang w:val="en-GB"/>
        </w:rPr>
        <w:t xml:space="preserve">therophytes </w:t>
      </w:r>
      <w:r w:rsidRPr="006B1899">
        <w:rPr>
          <w:rFonts w:ascii="Times New Roman" w:hAnsi="Times New Roman" w:cs="Times New Roman"/>
          <w:sz w:val="24"/>
          <w:szCs w:val="24"/>
          <w:lang w:val="en-GB"/>
        </w:rPr>
        <w:t xml:space="preserve">(38 species, or 39.17%) and </w:t>
      </w:r>
      <w:r w:rsidR="00086BDB" w:rsidRPr="006B1899">
        <w:rPr>
          <w:rFonts w:ascii="Times New Roman" w:hAnsi="Times New Roman" w:cs="Times New Roman"/>
          <w:sz w:val="24"/>
          <w:szCs w:val="24"/>
          <w:lang w:val="en-GB"/>
        </w:rPr>
        <w:t xml:space="preserve">chamaephytes </w:t>
      </w:r>
      <w:r w:rsidRPr="006B1899">
        <w:rPr>
          <w:rFonts w:ascii="Times New Roman" w:hAnsi="Times New Roman" w:cs="Times New Roman"/>
          <w:sz w:val="24"/>
          <w:szCs w:val="24"/>
          <w:lang w:val="en-GB"/>
        </w:rPr>
        <w:t xml:space="preserve">(30 species, or 30.93%). Geophytes capitalize 18 species, or 18.56%; </w:t>
      </w:r>
      <w:r w:rsidR="00A90F8B" w:rsidRPr="006B1899">
        <w:rPr>
          <w:rFonts w:ascii="Times New Roman" w:hAnsi="Times New Roman" w:cs="Times New Roman"/>
          <w:sz w:val="24"/>
          <w:szCs w:val="24"/>
          <w:lang w:val="en-GB"/>
        </w:rPr>
        <w:t xml:space="preserve">phanerophytes (6 species, or 6.19%); </w:t>
      </w:r>
      <w:proofErr w:type="spellStart"/>
      <w:r w:rsidR="00A90F8B" w:rsidRPr="006B1899">
        <w:rPr>
          <w:rFonts w:ascii="Times New Roman" w:hAnsi="Times New Roman" w:cs="Times New Roman"/>
          <w:sz w:val="24"/>
          <w:szCs w:val="24"/>
          <w:lang w:val="en-GB"/>
        </w:rPr>
        <w:t>hemicrytophytes</w:t>
      </w:r>
      <w:proofErr w:type="spellEnd"/>
      <w:r w:rsidR="00A90F8B" w:rsidRPr="006B1899">
        <w:rPr>
          <w:rFonts w:ascii="Times New Roman" w:hAnsi="Times New Roman" w:cs="Times New Roman"/>
          <w:sz w:val="24"/>
          <w:szCs w:val="24"/>
          <w:lang w:val="en-GB"/>
        </w:rPr>
        <w:t xml:space="preserve"> (4 species, or 4.12%) and hydrophytes (1 species, or 1.03%).</w:t>
      </w:r>
      <w:r w:rsidR="00AF2607" w:rsidRPr="006B1899">
        <w:rPr>
          <w:rFonts w:ascii="Times New Roman" w:hAnsi="Times New Roman" w:cs="Times New Roman"/>
          <w:sz w:val="24"/>
          <w:szCs w:val="24"/>
          <w:lang w:val="en-GB"/>
        </w:rPr>
        <w:t xml:space="preserve"> This distribution follows the following pattern: TH &gt; CH &gt; GEO &gt; PH &gt; HE &gt; HYD (Figure 3).</w:t>
      </w:r>
    </w:p>
    <w:p w14:paraId="60403AEB" w14:textId="77777777" w:rsidR="00FF1A68" w:rsidRPr="006B1899" w:rsidRDefault="00FF1A68" w:rsidP="00FF1A68">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5 shows the biogeographic distribution of the recorded species. Pantropical species (50.52%) account for more than half of the biogeographic distribution of the recorded species. The other seven biogeographic affinities accounted for 49.48% of the species.</w:t>
      </w:r>
    </w:p>
    <w:p w14:paraId="1B212AB5" w14:textId="77777777" w:rsidR="00A90F8B" w:rsidRPr="006B1899" w:rsidRDefault="00E821EE" w:rsidP="003A193D">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0522D800" wp14:editId="24C53C7D">
            <wp:extent cx="4572000" cy="2743200"/>
            <wp:effectExtent l="0" t="0" r="19050" b="1905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70135B" w14:textId="267D14AE" w:rsidR="00856863" w:rsidRPr="006B1899" w:rsidRDefault="00C248BE" w:rsidP="0085686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Figure </w:t>
      </w:r>
      <w:r w:rsidR="00F17CBE">
        <w:rPr>
          <w:rFonts w:ascii="Times New Roman" w:hAnsi="Times New Roman" w:cs="Times New Roman"/>
          <w:sz w:val="24"/>
          <w:szCs w:val="24"/>
          <w:lang w:val="en-GB"/>
        </w:rPr>
        <w:t>4</w:t>
      </w:r>
      <w:r w:rsidRPr="006B1899">
        <w:rPr>
          <w:rFonts w:ascii="Times New Roman" w:hAnsi="Times New Roman" w:cs="Times New Roman"/>
          <w:sz w:val="24"/>
          <w:szCs w:val="24"/>
          <w:lang w:val="en-GB"/>
        </w:rPr>
        <w:t>. Contribution of the number of species according to biological types.</w:t>
      </w:r>
    </w:p>
    <w:p w14:paraId="00A36D58" w14:textId="77777777" w:rsidR="003463FE" w:rsidRPr="006B1899" w:rsidRDefault="003463FE" w:rsidP="003463FE">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3DAE3BA3" wp14:editId="6032A6D7">
            <wp:extent cx="4572000" cy="2743200"/>
            <wp:effectExtent l="0" t="0" r="19050" b="1905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A66FEF" w14:textId="77777777" w:rsidR="003463FE" w:rsidRPr="006B1899" w:rsidRDefault="00FF1A68" w:rsidP="0085686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Figure 5. Contribution of the number of species according to biogeographic types.</w:t>
      </w:r>
    </w:p>
    <w:p w14:paraId="4420E8AF" w14:textId="77777777" w:rsidR="00B64F60" w:rsidRPr="006B1899" w:rsidRDefault="009A234C">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 Plant groups</w:t>
      </w:r>
    </w:p>
    <w:p w14:paraId="3D8B6425" w14:textId="77777777" w:rsidR="00170453" w:rsidRPr="006B1899" w:rsidRDefault="009A234C">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III.2.1. Determination of herbaceous plant groups</w:t>
      </w:r>
    </w:p>
    <w:p w14:paraId="278DA414" w14:textId="77777777" w:rsidR="007F53D3" w:rsidRPr="006B1899" w:rsidRDefault="00EE7B23"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ascending hierarchical classification (Figure 6) allows us to identify four </w:t>
      </w:r>
      <w:r w:rsidR="006C3156" w:rsidRPr="006B1899">
        <w:rPr>
          <w:rFonts w:ascii="Times New Roman" w:hAnsi="Times New Roman" w:cs="Times New Roman"/>
          <w:sz w:val="24"/>
          <w:szCs w:val="24"/>
          <w:lang w:val="en-GB"/>
        </w:rPr>
        <w:t>herbaceous plant groups; namely: group I (GI), group II (GII), group III (GIII) and group IV (GIV).</w:t>
      </w:r>
    </w:p>
    <w:p w14:paraId="7FDC556C" w14:textId="77777777" w:rsidR="00B64160" w:rsidRPr="006B1899" w:rsidRDefault="00B64160"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Group I includes 2 plots (22.22%) carried out at the level of the marsh of the reservoir pond located below the Faculty of Sciences of the University of Yaoundé I; in an area with less </w:t>
      </w:r>
      <w:r w:rsidR="001D56CD" w:rsidRPr="006B1899">
        <w:rPr>
          <w:rFonts w:ascii="Times New Roman" w:hAnsi="Times New Roman" w:cs="Times New Roman"/>
          <w:sz w:val="24"/>
          <w:szCs w:val="24"/>
          <w:lang w:val="en-GB"/>
        </w:rPr>
        <w:t xml:space="preserve">anthropized periodic flooding. It is made up of plots P8 (edge at </w:t>
      </w:r>
      <w:proofErr w:type="spellStart"/>
      <w:r w:rsidR="006E40BD" w:rsidRPr="006B1899">
        <w:rPr>
          <w:rFonts w:ascii="Times New Roman" w:hAnsi="Times New Roman" w:cs="Times New Roman"/>
          <w:i/>
          <w:sz w:val="24"/>
          <w:szCs w:val="24"/>
          <w:lang w:val="en-GB"/>
        </w:rPr>
        <w:t>Zea</w:t>
      </w:r>
      <w:proofErr w:type="spellEnd"/>
      <w:r w:rsidR="006E40BD" w:rsidRPr="006B1899">
        <w:rPr>
          <w:rFonts w:ascii="Times New Roman" w:hAnsi="Times New Roman" w:cs="Times New Roman"/>
          <w:i/>
          <w:sz w:val="24"/>
          <w:szCs w:val="24"/>
          <w:lang w:val="en-GB"/>
        </w:rPr>
        <w:t xml:space="preserve"> mays</w:t>
      </w:r>
      <w:r w:rsidR="006E40BD" w:rsidRPr="000A24CD">
        <w:rPr>
          <w:rFonts w:ascii="Times New Roman" w:hAnsi="Times New Roman" w:cs="Times New Roman"/>
          <w:sz w:val="24"/>
          <w:szCs w:val="24"/>
          <w:lang w:val="en-GB"/>
        </w:rPr>
        <w:t>)</w:t>
      </w:r>
      <w:r w:rsidR="006E40BD" w:rsidRPr="006B1899">
        <w:rPr>
          <w:rFonts w:ascii="Times New Roman" w:hAnsi="Times New Roman" w:cs="Times New Roman"/>
          <w:i/>
          <w:sz w:val="24"/>
          <w:szCs w:val="24"/>
          <w:lang w:val="en-GB"/>
        </w:rPr>
        <w:t xml:space="preserve"> and P9 </w:t>
      </w:r>
      <w:r w:rsidR="00984A02" w:rsidRPr="000A24CD">
        <w:rPr>
          <w:rFonts w:ascii="Times New Roman" w:hAnsi="Times New Roman" w:cs="Times New Roman"/>
          <w:sz w:val="24"/>
          <w:szCs w:val="24"/>
          <w:lang w:val="en-GB"/>
        </w:rPr>
        <w:t>(</w:t>
      </w:r>
      <w:r w:rsidR="00984A02" w:rsidRPr="006B1899">
        <w:rPr>
          <w:rFonts w:ascii="Times New Roman" w:hAnsi="Times New Roman" w:cs="Times New Roman"/>
          <w:i/>
          <w:sz w:val="24"/>
          <w:szCs w:val="24"/>
          <w:lang w:val="en-GB"/>
        </w:rPr>
        <w:t>Saccharum</w:t>
      </w:r>
      <w:r w:rsidR="006E40BD" w:rsidRPr="006B1899">
        <w:rPr>
          <w:rFonts w:ascii="Times New Roman" w:hAnsi="Times New Roman" w:cs="Times New Roman"/>
          <w:i/>
          <w:sz w:val="24"/>
          <w:szCs w:val="24"/>
          <w:lang w:val="en-GB"/>
        </w:rPr>
        <w:t xml:space="preserve"> </w:t>
      </w:r>
      <w:r w:rsidR="000A24CD">
        <w:rPr>
          <w:rFonts w:ascii="Times New Roman" w:hAnsi="Times New Roman" w:cs="Times New Roman"/>
          <w:sz w:val="24"/>
          <w:szCs w:val="24"/>
          <w:lang w:val="en-GB"/>
        </w:rPr>
        <w:t>e</w:t>
      </w:r>
      <w:r w:rsidRPr="006B1899">
        <w:rPr>
          <w:rFonts w:ascii="Times New Roman" w:hAnsi="Times New Roman" w:cs="Times New Roman"/>
          <w:sz w:val="24"/>
          <w:szCs w:val="24"/>
          <w:lang w:val="en-GB"/>
        </w:rPr>
        <w:t>dge</w:t>
      </w:r>
      <w:r w:rsidR="006E40BD" w:rsidRPr="006B1899">
        <w:rPr>
          <w:rFonts w:ascii="Times New Roman" w:hAnsi="Times New Roman" w:cs="Times New Roman"/>
          <w:i/>
          <w:sz w:val="24"/>
          <w:szCs w:val="24"/>
          <w:lang w:val="en-GB"/>
        </w:rPr>
        <w:t xml:space="preserve"> officinalis</w:t>
      </w:r>
      <w:r w:rsidR="001D56CD" w:rsidRPr="006B1899">
        <w:rPr>
          <w:rFonts w:ascii="Times New Roman" w:hAnsi="Times New Roman" w:cs="Times New Roman"/>
          <w:sz w:val="24"/>
          <w:szCs w:val="24"/>
          <w:lang w:val="en-GB"/>
        </w:rPr>
        <w:t xml:space="preserve">). Floristically, this group is dominated by </w:t>
      </w:r>
      <w:proofErr w:type="spellStart"/>
      <w:r w:rsidR="0061657C" w:rsidRPr="006B1899">
        <w:rPr>
          <w:rFonts w:ascii="Times New Roman" w:hAnsi="Times New Roman" w:cs="Times New Roman"/>
          <w:sz w:val="24"/>
          <w:szCs w:val="24"/>
          <w:lang w:val="en-GB"/>
        </w:rPr>
        <w:t>Acanthospermum</w:t>
      </w:r>
      <w:proofErr w:type="spellEnd"/>
      <w:r w:rsidR="0061657C" w:rsidRPr="006B1899">
        <w:rPr>
          <w:rFonts w:ascii="Times New Roman" w:hAnsi="Times New Roman" w:cs="Times New Roman"/>
          <w:sz w:val="24"/>
          <w:szCs w:val="24"/>
          <w:lang w:val="en-GB"/>
        </w:rPr>
        <w:t xml:space="preserve"> </w:t>
      </w:r>
      <w:proofErr w:type="spellStart"/>
      <w:r w:rsidR="00984A02" w:rsidRPr="006B1899">
        <w:rPr>
          <w:rFonts w:ascii="Times New Roman" w:hAnsi="Times New Roman" w:cs="Times New Roman"/>
          <w:sz w:val="24"/>
          <w:szCs w:val="24"/>
          <w:lang w:val="en-GB"/>
        </w:rPr>
        <w:t>hispidum</w:t>
      </w:r>
      <w:proofErr w:type="spellEnd"/>
      <w:r w:rsidR="00984A02" w:rsidRPr="006B1899">
        <w:rPr>
          <w:rFonts w:ascii="Times New Roman" w:hAnsi="Times New Roman" w:cs="Times New Roman"/>
          <w:sz w:val="24"/>
          <w:szCs w:val="24"/>
          <w:lang w:val="en-GB"/>
        </w:rPr>
        <w:t>,</w:t>
      </w:r>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Carpologonium</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mucunoides</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Commelina</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benghalensis</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Drymaria</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cordata</w:t>
      </w:r>
      <w:proofErr w:type="spellEnd"/>
      <w:r w:rsidR="0061657C" w:rsidRPr="006B1899">
        <w:rPr>
          <w:rFonts w:ascii="Times New Roman" w:hAnsi="Times New Roman" w:cs="Times New Roman"/>
          <w:sz w:val="24"/>
          <w:szCs w:val="24"/>
          <w:lang w:val="en-GB"/>
        </w:rPr>
        <w:t xml:space="preserve">, </w:t>
      </w:r>
      <w:proofErr w:type="spellStart"/>
      <w:r w:rsidR="0061657C" w:rsidRPr="006B1899">
        <w:rPr>
          <w:rFonts w:ascii="Times New Roman" w:hAnsi="Times New Roman" w:cs="Times New Roman"/>
          <w:sz w:val="24"/>
          <w:szCs w:val="24"/>
          <w:lang w:val="en-GB"/>
        </w:rPr>
        <w:t>Echinochloa</w:t>
      </w:r>
      <w:proofErr w:type="spellEnd"/>
      <w:r w:rsidR="0061657C" w:rsidRPr="006B1899">
        <w:rPr>
          <w:rFonts w:ascii="Times New Roman" w:hAnsi="Times New Roman" w:cs="Times New Roman"/>
          <w:sz w:val="24"/>
          <w:szCs w:val="24"/>
          <w:lang w:val="en-GB"/>
        </w:rPr>
        <w:t xml:space="preserve"> pyramidalis, Emilia coccinea, Mimosa pudica and Panicum maximum.</w:t>
      </w:r>
    </w:p>
    <w:p w14:paraId="42C61F59" w14:textId="77777777" w:rsidR="000C3D65" w:rsidRPr="006B1899" w:rsidRDefault="000C3D65"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Group II includes 4 plots (44.44%) all created in the area crossed and flooded by the </w:t>
      </w:r>
      <w:proofErr w:type="spellStart"/>
      <w:r w:rsidR="00F02BCC" w:rsidRPr="006B1899">
        <w:rPr>
          <w:rFonts w:ascii="Times New Roman" w:hAnsi="Times New Roman" w:cs="Times New Roman"/>
          <w:sz w:val="24"/>
          <w:szCs w:val="24"/>
          <w:lang w:val="en-GB"/>
        </w:rPr>
        <w:t>Nkié</w:t>
      </w:r>
      <w:proofErr w:type="spellEnd"/>
      <w:r w:rsidR="00F02BCC" w:rsidRPr="006B1899">
        <w:rPr>
          <w:rFonts w:ascii="Times New Roman" w:hAnsi="Times New Roman" w:cs="Times New Roman"/>
          <w:sz w:val="24"/>
          <w:szCs w:val="24"/>
          <w:lang w:val="en-GB"/>
        </w:rPr>
        <w:t xml:space="preserve"> </w:t>
      </w:r>
      <w:r w:rsidR="00984A02" w:rsidRPr="006B1899">
        <w:rPr>
          <w:rFonts w:ascii="Times New Roman" w:hAnsi="Times New Roman" w:cs="Times New Roman"/>
          <w:sz w:val="24"/>
          <w:szCs w:val="24"/>
          <w:lang w:val="en-GB"/>
        </w:rPr>
        <w:t>River;</w:t>
      </w:r>
      <w:r w:rsidR="00AD083F" w:rsidRPr="006B1899">
        <w:rPr>
          <w:rFonts w:ascii="Times New Roman" w:hAnsi="Times New Roman" w:cs="Times New Roman"/>
          <w:sz w:val="24"/>
          <w:szCs w:val="24"/>
          <w:lang w:val="en-GB"/>
        </w:rPr>
        <w:t xml:space="preserve"> which limits its access and the extent of disturbances. These are plots P1 (</w:t>
      </w:r>
      <w:r w:rsidR="00F148E0" w:rsidRPr="006B1899">
        <w:rPr>
          <w:rFonts w:ascii="Times New Roman" w:hAnsi="Times New Roman" w:cs="Times New Roman"/>
          <w:i/>
          <w:sz w:val="24"/>
          <w:szCs w:val="24"/>
          <w:lang w:val="en-GB"/>
        </w:rPr>
        <w:t>Amaranthus edge esculentus</w:t>
      </w:r>
      <w:r w:rsidR="00F02BCC" w:rsidRPr="006B1899">
        <w:rPr>
          <w:rFonts w:ascii="Times New Roman" w:hAnsi="Times New Roman" w:cs="Times New Roman"/>
          <w:sz w:val="24"/>
          <w:szCs w:val="24"/>
          <w:lang w:val="en-GB"/>
        </w:rPr>
        <w:t>), P2 (</w:t>
      </w:r>
      <w:r w:rsidR="005648EA" w:rsidRPr="006B1899">
        <w:rPr>
          <w:rFonts w:ascii="Times New Roman" w:hAnsi="Times New Roman" w:cs="Times New Roman"/>
          <w:i/>
          <w:sz w:val="24"/>
          <w:szCs w:val="24"/>
          <w:lang w:val="en-GB"/>
        </w:rPr>
        <w:t>Capsicum edge frutescens</w:t>
      </w:r>
      <w:r w:rsidR="00F02BCC" w:rsidRPr="006B1899">
        <w:rPr>
          <w:rFonts w:ascii="Times New Roman" w:hAnsi="Times New Roman" w:cs="Times New Roman"/>
          <w:sz w:val="24"/>
          <w:szCs w:val="24"/>
          <w:lang w:val="en-GB"/>
        </w:rPr>
        <w:t xml:space="preserve">), P3 (edge at </w:t>
      </w:r>
      <w:proofErr w:type="spellStart"/>
      <w:r w:rsidR="005648EA" w:rsidRPr="006B1899">
        <w:rPr>
          <w:rFonts w:ascii="Times New Roman" w:hAnsi="Times New Roman" w:cs="Times New Roman"/>
          <w:sz w:val="24"/>
          <w:szCs w:val="24"/>
          <w:lang w:val="en-GB"/>
        </w:rPr>
        <w:t>Zea</w:t>
      </w:r>
      <w:proofErr w:type="spellEnd"/>
      <w:r w:rsidR="005648EA" w:rsidRPr="006B1899">
        <w:rPr>
          <w:rFonts w:ascii="Times New Roman" w:hAnsi="Times New Roman" w:cs="Times New Roman"/>
          <w:sz w:val="24"/>
          <w:szCs w:val="24"/>
          <w:lang w:val="en-GB"/>
        </w:rPr>
        <w:t xml:space="preserve"> mays</w:t>
      </w:r>
      <w:r w:rsidRPr="006B1899">
        <w:rPr>
          <w:rFonts w:ascii="Times New Roman" w:hAnsi="Times New Roman" w:cs="Times New Roman"/>
          <w:sz w:val="24"/>
          <w:szCs w:val="24"/>
          <w:lang w:val="en-GB"/>
        </w:rPr>
        <w:t xml:space="preserve">) and P4 (edge of </w:t>
      </w:r>
      <w:r w:rsidR="004F343D" w:rsidRPr="006B1899">
        <w:rPr>
          <w:rFonts w:ascii="Times New Roman" w:hAnsi="Times New Roman" w:cs="Times New Roman"/>
          <w:i/>
          <w:sz w:val="24"/>
          <w:szCs w:val="24"/>
          <w:lang w:val="en-GB"/>
        </w:rPr>
        <w:t xml:space="preserve">Lactuca </w:t>
      </w:r>
      <w:r w:rsidR="00984A02" w:rsidRPr="006B1899">
        <w:rPr>
          <w:rFonts w:ascii="Times New Roman" w:hAnsi="Times New Roman" w:cs="Times New Roman"/>
          <w:i/>
          <w:sz w:val="24"/>
          <w:szCs w:val="24"/>
          <w:lang w:val="en-GB"/>
        </w:rPr>
        <w:t>sativa)</w:t>
      </w:r>
      <w:r w:rsidRPr="006B1899">
        <w:rPr>
          <w:rFonts w:ascii="Times New Roman" w:hAnsi="Times New Roman" w:cs="Times New Roman"/>
          <w:sz w:val="24"/>
          <w:szCs w:val="24"/>
          <w:lang w:val="en-GB"/>
        </w:rPr>
        <w:t xml:space="preserve">. The most representative species concern </w:t>
      </w:r>
      <w:r w:rsidR="00D00CEF" w:rsidRPr="006B1899">
        <w:rPr>
          <w:rFonts w:ascii="Times New Roman" w:hAnsi="Times New Roman" w:cs="Times New Roman"/>
          <w:sz w:val="24"/>
          <w:szCs w:val="24"/>
          <w:lang w:val="en-GB"/>
        </w:rPr>
        <w:t xml:space="preserve">Alternanthera </w:t>
      </w:r>
      <w:proofErr w:type="spellStart"/>
      <w:r w:rsidR="00D00CEF" w:rsidRPr="006B1899">
        <w:rPr>
          <w:rFonts w:ascii="Times New Roman" w:hAnsi="Times New Roman" w:cs="Times New Roman"/>
          <w:sz w:val="24"/>
          <w:szCs w:val="24"/>
          <w:lang w:val="en-GB"/>
        </w:rPr>
        <w:t>sessilis</w:t>
      </w:r>
      <w:proofErr w:type="spellEnd"/>
      <w:r w:rsidR="00D00CEF" w:rsidRPr="006B1899">
        <w:rPr>
          <w:rFonts w:ascii="Times New Roman" w:hAnsi="Times New Roman" w:cs="Times New Roman"/>
          <w:sz w:val="24"/>
          <w:szCs w:val="24"/>
          <w:lang w:val="en-GB"/>
        </w:rPr>
        <w:t xml:space="preserve">, Amaranthus </w:t>
      </w:r>
      <w:proofErr w:type="spellStart"/>
      <w:r w:rsidR="00D00CEF" w:rsidRPr="006B1899">
        <w:rPr>
          <w:rFonts w:ascii="Times New Roman" w:hAnsi="Times New Roman" w:cs="Times New Roman"/>
          <w:sz w:val="24"/>
          <w:szCs w:val="24"/>
          <w:lang w:val="en-GB"/>
        </w:rPr>
        <w:t>hybridus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Bidens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pilosa</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Commelina</w:t>
      </w:r>
      <w:proofErr w:type="spellEnd"/>
      <w:r w:rsidR="00D00CEF" w:rsidRPr="006B1899">
        <w:rPr>
          <w:rFonts w:ascii="Times New Roman" w:hAnsi="Times New Roman" w:cs="Times New Roman"/>
          <w:sz w:val="24"/>
          <w:szCs w:val="24"/>
          <w:lang w:val="en-GB"/>
        </w:rPr>
        <w:t xml:space="preserve"> </w:t>
      </w:r>
      <w:proofErr w:type="spellStart"/>
      <w:r w:rsidR="00984A02" w:rsidRPr="006B1899">
        <w:rPr>
          <w:rFonts w:ascii="Times New Roman" w:hAnsi="Times New Roman" w:cs="Times New Roman"/>
          <w:sz w:val="24"/>
          <w:szCs w:val="24"/>
          <w:lang w:val="en-GB"/>
        </w:rPr>
        <w:t>benghalensis</w:t>
      </w:r>
      <w:proofErr w:type="spellEnd"/>
      <w:r w:rsidR="00984A02" w:rsidRPr="006B1899">
        <w:rPr>
          <w:rFonts w:ascii="Times New Roman" w:hAnsi="Times New Roman" w:cs="Times New Roman"/>
          <w:sz w:val="24"/>
          <w:szCs w:val="24"/>
          <w:lang w:val="en-GB"/>
        </w:rPr>
        <w:t>,</w:t>
      </w:r>
      <w:r w:rsidR="00D00CEF"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Cyperus</w:t>
      </w:r>
      <w:proofErr w:type="spellEnd"/>
      <w:r w:rsidR="00034F2C"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difformis</w:t>
      </w:r>
      <w:proofErr w:type="spellEnd"/>
      <w:r w:rsidR="00034F2C"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Cyperus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rotundus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Drymaria</w:t>
      </w:r>
      <w:proofErr w:type="spellEnd"/>
      <w:r w:rsidR="00D00CEF" w:rsidRPr="006B1899">
        <w:rPr>
          <w:rFonts w:ascii="Times New Roman" w:hAnsi="Times New Roman" w:cs="Times New Roman"/>
          <w:sz w:val="24"/>
          <w:szCs w:val="24"/>
          <w:lang w:val="en-GB"/>
        </w:rPr>
        <w:t xml:space="preserve"> cordata, </w:t>
      </w:r>
      <w:proofErr w:type="spellStart"/>
      <w:r w:rsidR="00D00CEF" w:rsidRPr="006B1899">
        <w:rPr>
          <w:rFonts w:ascii="Times New Roman" w:hAnsi="Times New Roman" w:cs="Times New Roman"/>
          <w:sz w:val="24"/>
          <w:szCs w:val="24"/>
          <w:lang w:val="en-GB"/>
        </w:rPr>
        <w:t>Eleusine</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indica</w:t>
      </w:r>
      <w:proofErr w:type="spellEnd"/>
      <w:r w:rsidR="00D00CEF" w:rsidRPr="006B1899">
        <w:rPr>
          <w:rFonts w:ascii="Times New Roman" w:hAnsi="Times New Roman" w:cs="Times New Roman"/>
          <w:sz w:val="24"/>
          <w:szCs w:val="24"/>
          <w:lang w:val="en-GB"/>
        </w:rPr>
        <w:t xml:space="preserve">, Euphorbia </w:t>
      </w:r>
      <w:proofErr w:type="spellStart"/>
      <w:r w:rsidR="00D00CEF" w:rsidRPr="006B1899">
        <w:rPr>
          <w:rFonts w:ascii="Times New Roman" w:hAnsi="Times New Roman" w:cs="Times New Roman"/>
          <w:sz w:val="24"/>
          <w:szCs w:val="24"/>
          <w:lang w:val="en-GB"/>
        </w:rPr>
        <w:t>hirta</w:t>
      </w:r>
      <w:proofErr w:type="spellEnd"/>
      <w:r w:rsidR="00D00CEF"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Galinsoga</w:t>
      </w:r>
      <w:proofErr w:type="spellEnd"/>
      <w:r w:rsidR="00034F2C"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ciliata</w:t>
      </w:r>
      <w:proofErr w:type="spellEnd"/>
      <w:r w:rsidR="00034F2C" w:rsidRPr="006B1899">
        <w:rPr>
          <w:rFonts w:ascii="Times New Roman" w:hAnsi="Times New Roman" w:cs="Times New Roman"/>
          <w:sz w:val="24"/>
          <w:szCs w:val="24"/>
          <w:lang w:val="en-GB"/>
        </w:rPr>
        <w:t xml:space="preserve">, </w:t>
      </w:r>
      <w:proofErr w:type="spellStart"/>
      <w:r w:rsidR="00231C40" w:rsidRPr="006B1899">
        <w:rPr>
          <w:rFonts w:ascii="Times New Roman" w:hAnsi="Times New Roman" w:cs="Times New Roman"/>
          <w:sz w:val="24"/>
          <w:szCs w:val="24"/>
          <w:lang w:val="en-GB"/>
        </w:rPr>
        <w:t>Portulaca</w:t>
      </w:r>
      <w:proofErr w:type="spellEnd"/>
      <w:r w:rsidR="00231C40" w:rsidRPr="006B1899">
        <w:rPr>
          <w:rFonts w:ascii="Times New Roman" w:hAnsi="Times New Roman" w:cs="Times New Roman"/>
          <w:sz w:val="24"/>
          <w:szCs w:val="24"/>
          <w:lang w:val="en-GB"/>
        </w:rPr>
        <w:t xml:space="preserve"> oleracea </w:t>
      </w:r>
      <w:r w:rsidR="00034F2C" w:rsidRPr="006B1899">
        <w:rPr>
          <w:rFonts w:ascii="Times New Roman" w:hAnsi="Times New Roman" w:cs="Times New Roman"/>
          <w:sz w:val="24"/>
          <w:szCs w:val="24"/>
          <w:lang w:val="en-GB"/>
        </w:rPr>
        <w:t xml:space="preserve">and </w:t>
      </w:r>
      <w:proofErr w:type="spellStart"/>
      <w:r w:rsidR="00034F2C" w:rsidRPr="006B1899">
        <w:rPr>
          <w:rFonts w:ascii="Times New Roman" w:hAnsi="Times New Roman" w:cs="Times New Roman"/>
          <w:sz w:val="24"/>
          <w:szCs w:val="24"/>
          <w:lang w:val="en-GB"/>
        </w:rPr>
        <w:t>Rhynchospora</w:t>
      </w:r>
      <w:proofErr w:type="spellEnd"/>
      <w:r w:rsidR="00034F2C"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corymbosa</w:t>
      </w:r>
      <w:proofErr w:type="spellEnd"/>
      <w:r w:rsidR="00231C40" w:rsidRPr="006B1899">
        <w:rPr>
          <w:rFonts w:ascii="Times New Roman" w:hAnsi="Times New Roman" w:cs="Times New Roman"/>
          <w:sz w:val="24"/>
          <w:szCs w:val="24"/>
          <w:lang w:val="en-GB"/>
        </w:rPr>
        <w:t>.</w:t>
      </w:r>
    </w:p>
    <w:p w14:paraId="45AD70C6" w14:textId="77777777" w:rsidR="00061FD4" w:rsidRPr="006B1899" w:rsidRDefault="00DD051F"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III includes a single plot (11.11%), P6 (</w:t>
      </w:r>
      <w:r w:rsidR="008465A8" w:rsidRPr="006B1899">
        <w:rPr>
          <w:rFonts w:ascii="Times New Roman" w:hAnsi="Times New Roman" w:cs="Times New Roman"/>
          <w:i/>
          <w:sz w:val="24"/>
          <w:szCs w:val="24"/>
          <w:lang w:val="en-GB"/>
        </w:rPr>
        <w:t xml:space="preserve">Musa </w:t>
      </w:r>
      <w:proofErr w:type="spellStart"/>
      <w:r w:rsidR="008465A8" w:rsidRPr="006B1899">
        <w:rPr>
          <w:rFonts w:ascii="Times New Roman" w:hAnsi="Times New Roman" w:cs="Times New Roman"/>
          <w:i/>
          <w:sz w:val="24"/>
          <w:szCs w:val="24"/>
          <w:lang w:val="en-GB"/>
        </w:rPr>
        <w:t>sapiente</w:t>
      </w:r>
      <w:proofErr w:type="spellEnd"/>
      <w:r w:rsidR="008465A8" w:rsidRPr="006B1899">
        <w:rPr>
          <w:rFonts w:ascii="Times New Roman" w:hAnsi="Times New Roman" w:cs="Times New Roman"/>
          <w:i/>
          <w:sz w:val="24"/>
          <w:szCs w:val="24"/>
          <w:lang w:val="en-GB"/>
        </w:rPr>
        <w:t xml:space="preserve"> edge) carried out far from the area crossed by the </w:t>
      </w:r>
      <w:r w:rsidR="00616348" w:rsidRPr="006B1899">
        <w:rPr>
          <w:rFonts w:ascii="Times New Roman" w:hAnsi="Times New Roman" w:cs="Times New Roman"/>
          <w:sz w:val="24"/>
          <w:szCs w:val="24"/>
          <w:lang w:val="en-GB"/>
        </w:rPr>
        <w:t xml:space="preserve">Mindja </w:t>
      </w:r>
      <w:r w:rsidR="0059466C" w:rsidRPr="006B1899">
        <w:rPr>
          <w:rFonts w:ascii="Times New Roman" w:hAnsi="Times New Roman" w:cs="Times New Roman"/>
          <w:sz w:val="24"/>
          <w:szCs w:val="24"/>
          <w:lang w:val="en-GB"/>
        </w:rPr>
        <w:t>river</w:t>
      </w:r>
      <w:r w:rsidRPr="006B1899">
        <w:rPr>
          <w:rFonts w:ascii="Times New Roman" w:hAnsi="Times New Roman" w:cs="Times New Roman"/>
          <w:sz w:val="24"/>
          <w:szCs w:val="24"/>
          <w:lang w:val="en-GB"/>
        </w:rPr>
        <w:t xml:space="preserve">. This station shows signs of anthropogenic impacts. The species characterizing this group are </w:t>
      </w:r>
      <w:proofErr w:type="spellStart"/>
      <w:r w:rsidR="005410A7" w:rsidRPr="006B1899">
        <w:rPr>
          <w:rFonts w:ascii="Times New Roman" w:hAnsi="Times New Roman" w:cs="Times New Roman"/>
          <w:sz w:val="24"/>
          <w:szCs w:val="24"/>
          <w:lang w:val="en-GB"/>
        </w:rPr>
        <w:t>Achyranthes</w:t>
      </w:r>
      <w:proofErr w:type="spellEnd"/>
      <w:r w:rsidR="005410A7" w:rsidRPr="006B1899">
        <w:rPr>
          <w:rFonts w:ascii="Times New Roman" w:hAnsi="Times New Roman" w:cs="Times New Roman"/>
          <w:sz w:val="24"/>
          <w:szCs w:val="24"/>
          <w:lang w:val="en-GB"/>
        </w:rPr>
        <w:t xml:space="preserve"> aspera, </w:t>
      </w:r>
      <w:proofErr w:type="spellStart"/>
      <w:r w:rsidR="005410A7" w:rsidRPr="006B1899">
        <w:rPr>
          <w:rFonts w:ascii="Times New Roman" w:hAnsi="Times New Roman" w:cs="Times New Roman"/>
          <w:sz w:val="24"/>
          <w:szCs w:val="24"/>
          <w:lang w:val="en-GB"/>
        </w:rPr>
        <w:t>Aneilema</w:t>
      </w:r>
      <w:proofErr w:type="spellEnd"/>
      <w:r w:rsidR="005410A7" w:rsidRPr="006B1899">
        <w:rPr>
          <w:rFonts w:ascii="Times New Roman" w:hAnsi="Times New Roman" w:cs="Times New Roman"/>
          <w:sz w:val="24"/>
          <w:szCs w:val="24"/>
          <w:lang w:val="en-GB"/>
        </w:rPr>
        <w:t xml:space="preserve"> Benin, </w:t>
      </w:r>
      <w:proofErr w:type="spellStart"/>
      <w:r w:rsidR="005410A7" w:rsidRPr="006B1899">
        <w:rPr>
          <w:rFonts w:ascii="Times New Roman" w:hAnsi="Times New Roman" w:cs="Times New Roman"/>
          <w:sz w:val="24"/>
          <w:szCs w:val="24"/>
          <w:lang w:val="en-GB"/>
        </w:rPr>
        <w:t>Brachiaria</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lata</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Costus</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afer</w:t>
      </w:r>
      <w:proofErr w:type="spellEnd"/>
      <w:r w:rsidR="005410A7" w:rsidRPr="006B1899">
        <w:rPr>
          <w:rFonts w:ascii="Times New Roman" w:hAnsi="Times New Roman" w:cs="Times New Roman"/>
          <w:sz w:val="24"/>
          <w:szCs w:val="24"/>
          <w:lang w:val="en-GB"/>
        </w:rPr>
        <w:t xml:space="preserve"> and </w:t>
      </w:r>
      <w:proofErr w:type="spellStart"/>
      <w:r w:rsidR="005410A7" w:rsidRPr="006B1899">
        <w:rPr>
          <w:rFonts w:ascii="Times New Roman" w:hAnsi="Times New Roman" w:cs="Times New Roman"/>
          <w:sz w:val="24"/>
          <w:szCs w:val="24"/>
          <w:lang w:val="en-GB"/>
        </w:rPr>
        <w:t>Yua</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thomsonnii</w:t>
      </w:r>
      <w:proofErr w:type="spellEnd"/>
      <w:r w:rsidR="00061FD4" w:rsidRPr="006B1899">
        <w:rPr>
          <w:rFonts w:ascii="Times New Roman" w:hAnsi="Times New Roman" w:cs="Times New Roman"/>
          <w:sz w:val="24"/>
          <w:szCs w:val="24"/>
          <w:lang w:val="en-GB"/>
        </w:rPr>
        <w:t>.</w:t>
      </w:r>
    </w:p>
    <w:p w14:paraId="29CC34CC" w14:textId="77777777" w:rsidR="005C0939" w:rsidRPr="006B1899" w:rsidRDefault="00DD051F"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Finally, group IV includes 2 plots (22.22%), P5 (edge at </w:t>
      </w:r>
      <w:proofErr w:type="spellStart"/>
      <w:r w:rsidR="008465A8" w:rsidRPr="006B1899">
        <w:rPr>
          <w:rFonts w:ascii="Times New Roman" w:hAnsi="Times New Roman" w:cs="Times New Roman"/>
          <w:i/>
          <w:sz w:val="24"/>
          <w:szCs w:val="24"/>
          <w:lang w:val="en-GB"/>
        </w:rPr>
        <w:t>Zea</w:t>
      </w:r>
      <w:proofErr w:type="spellEnd"/>
      <w:r w:rsidR="008465A8" w:rsidRPr="006B1899">
        <w:rPr>
          <w:rFonts w:ascii="Times New Roman" w:hAnsi="Times New Roman" w:cs="Times New Roman"/>
          <w:i/>
          <w:sz w:val="24"/>
          <w:szCs w:val="24"/>
          <w:lang w:val="en-GB"/>
        </w:rPr>
        <w:t xml:space="preserve"> mays</w:t>
      </w:r>
      <w:r w:rsidR="005C0939" w:rsidRPr="006B1899">
        <w:rPr>
          <w:rFonts w:ascii="Times New Roman" w:hAnsi="Times New Roman" w:cs="Times New Roman"/>
          <w:sz w:val="24"/>
          <w:szCs w:val="24"/>
          <w:lang w:val="en-GB"/>
        </w:rPr>
        <w:t xml:space="preserve">) carried out around the municipal lake and P7 (edge at </w:t>
      </w:r>
      <w:r w:rsidR="00633C6C" w:rsidRPr="006B1899">
        <w:rPr>
          <w:rFonts w:ascii="Times New Roman" w:hAnsi="Times New Roman" w:cs="Times New Roman"/>
          <w:i/>
          <w:sz w:val="24"/>
          <w:szCs w:val="24"/>
          <w:lang w:val="en-GB"/>
        </w:rPr>
        <w:t xml:space="preserve">Manihot esculenta) carried out far from the area crossed by the </w:t>
      </w:r>
      <w:r w:rsidR="005C0939" w:rsidRPr="006B1899">
        <w:rPr>
          <w:rFonts w:ascii="Times New Roman" w:hAnsi="Times New Roman" w:cs="Times New Roman"/>
          <w:sz w:val="24"/>
          <w:szCs w:val="24"/>
          <w:lang w:val="en-GB"/>
        </w:rPr>
        <w:t xml:space="preserve">Mindja </w:t>
      </w:r>
      <w:r w:rsidR="00A43032" w:rsidRPr="006B1899">
        <w:rPr>
          <w:rFonts w:ascii="Times New Roman" w:hAnsi="Times New Roman" w:cs="Times New Roman"/>
          <w:sz w:val="24"/>
          <w:szCs w:val="24"/>
          <w:lang w:val="en-GB"/>
        </w:rPr>
        <w:t>water</w:t>
      </w:r>
      <w:r w:rsidR="000A24CD">
        <w:rPr>
          <w:rFonts w:ascii="Times New Roman" w:hAnsi="Times New Roman" w:cs="Times New Roman"/>
          <w:sz w:val="24"/>
          <w:szCs w:val="24"/>
          <w:lang w:val="en-GB"/>
        </w:rPr>
        <w:t xml:space="preserve"> </w:t>
      </w:r>
      <w:r w:rsidR="00A43032" w:rsidRPr="006B1899">
        <w:rPr>
          <w:rFonts w:ascii="Times New Roman" w:hAnsi="Times New Roman" w:cs="Times New Roman"/>
          <w:sz w:val="24"/>
          <w:szCs w:val="24"/>
          <w:lang w:val="en-GB"/>
        </w:rPr>
        <w:t xml:space="preserve">course </w:t>
      </w:r>
      <w:r w:rsidR="005C0939" w:rsidRPr="006B1899">
        <w:rPr>
          <w:rFonts w:ascii="Times New Roman" w:hAnsi="Times New Roman" w:cs="Times New Roman"/>
          <w:sz w:val="24"/>
          <w:szCs w:val="24"/>
          <w:lang w:val="en-GB"/>
        </w:rPr>
        <w:t xml:space="preserve">in Bastos, a very weakly </w:t>
      </w:r>
      <w:r w:rsidR="004F2540" w:rsidRPr="006B1899">
        <w:rPr>
          <w:rFonts w:ascii="Times New Roman" w:hAnsi="Times New Roman" w:cs="Times New Roman"/>
          <w:sz w:val="24"/>
          <w:szCs w:val="24"/>
          <w:lang w:val="en-GB"/>
        </w:rPr>
        <w:t>anthropized station</w:t>
      </w:r>
      <w:r w:rsidR="005C0939" w:rsidRPr="006B1899">
        <w:rPr>
          <w:rFonts w:ascii="Times New Roman" w:hAnsi="Times New Roman" w:cs="Times New Roman"/>
          <w:sz w:val="24"/>
          <w:szCs w:val="24"/>
          <w:lang w:val="en-GB"/>
        </w:rPr>
        <w:t xml:space="preserve">. Floristically this grouping is characterized by </w:t>
      </w:r>
      <w:proofErr w:type="spellStart"/>
      <w:r w:rsidR="0081032C" w:rsidRPr="006B1899">
        <w:rPr>
          <w:rFonts w:ascii="Times New Roman" w:hAnsi="Times New Roman" w:cs="Times New Roman"/>
          <w:sz w:val="24"/>
          <w:szCs w:val="24"/>
          <w:lang w:val="en-GB"/>
        </w:rPr>
        <w:t>Acanthospermum</w:t>
      </w:r>
      <w:proofErr w:type="spellEnd"/>
      <w:r w:rsidR="0081032C" w:rsidRPr="006B1899">
        <w:rPr>
          <w:rFonts w:ascii="Times New Roman" w:hAnsi="Times New Roman" w:cs="Times New Roman"/>
          <w:sz w:val="24"/>
          <w:szCs w:val="24"/>
          <w:lang w:val="en-GB"/>
        </w:rPr>
        <w:t xml:space="preserve"> </w:t>
      </w:r>
      <w:proofErr w:type="spellStart"/>
      <w:r w:rsidR="0081032C" w:rsidRPr="006B1899">
        <w:rPr>
          <w:rFonts w:ascii="Times New Roman" w:hAnsi="Times New Roman" w:cs="Times New Roman"/>
          <w:sz w:val="24"/>
          <w:szCs w:val="24"/>
          <w:lang w:val="en-GB"/>
        </w:rPr>
        <w:t>hispidum</w:t>
      </w:r>
      <w:proofErr w:type="spellEnd"/>
      <w:r w:rsidR="0081032C" w:rsidRPr="006B1899">
        <w:rPr>
          <w:rFonts w:ascii="Times New Roman" w:hAnsi="Times New Roman" w:cs="Times New Roman"/>
          <w:sz w:val="24"/>
          <w:szCs w:val="24"/>
          <w:lang w:val="en-GB"/>
        </w:rPr>
        <w:t xml:space="preserve">, Ageratum </w:t>
      </w:r>
      <w:proofErr w:type="spellStart"/>
      <w:r w:rsidR="0081032C" w:rsidRPr="006B1899">
        <w:rPr>
          <w:rFonts w:ascii="Times New Roman" w:hAnsi="Times New Roman" w:cs="Times New Roman"/>
          <w:sz w:val="24"/>
          <w:szCs w:val="24"/>
          <w:lang w:val="en-GB"/>
        </w:rPr>
        <w:t>conyzoides</w:t>
      </w:r>
      <w:proofErr w:type="spellEnd"/>
      <w:r w:rsidR="0081032C" w:rsidRPr="006B1899">
        <w:rPr>
          <w:rFonts w:ascii="Times New Roman" w:hAnsi="Times New Roman" w:cs="Times New Roman"/>
          <w:sz w:val="24"/>
          <w:szCs w:val="24"/>
          <w:lang w:val="en-GB"/>
        </w:rPr>
        <w:t xml:space="preserve">, </w:t>
      </w:r>
      <w:proofErr w:type="spellStart"/>
      <w:r w:rsidR="0081032C" w:rsidRPr="006B1899">
        <w:rPr>
          <w:rFonts w:ascii="Times New Roman" w:hAnsi="Times New Roman" w:cs="Times New Roman"/>
          <w:sz w:val="24"/>
          <w:szCs w:val="24"/>
          <w:lang w:val="en-GB"/>
        </w:rPr>
        <w:t>Diodia</w:t>
      </w:r>
      <w:proofErr w:type="spellEnd"/>
      <w:r w:rsidR="0081032C" w:rsidRPr="006B1899">
        <w:rPr>
          <w:rFonts w:ascii="Times New Roman" w:hAnsi="Times New Roman" w:cs="Times New Roman"/>
          <w:sz w:val="24"/>
          <w:szCs w:val="24"/>
          <w:lang w:val="en-GB"/>
        </w:rPr>
        <w:t xml:space="preserve"> scandens, </w:t>
      </w:r>
      <w:r w:rsidR="008B1D3D" w:rsidRPr="006B1899">
        <w:rPr>
          <w:rFonts w:ascii="Times New Roman" w:hAnsi="Times New Roman" w:cs="Times New Roman"/>
          <w:sz w:val="24"/>
          <w:szCs w:val="24"/>
          <w:lang w:val="en-GB"/>
        </w:rPr>
        <w:t xml:space="preserve">Euphorbia </w:t>
      </w:r>
      <w:proofErr w:type="spellStart"/>
      <w:r w:rsidR="008B1D3D" w:rsidRPr="006B1899">
        <w:rPr>
          <w:rFonts w:ascii="Times New Roman" w:hAnsi="Times New Roman" w:cs="Times New Roman"/>
          <w:sz w:val="24"/>
          <w:szCs w:val="24"/>
          <w:lang w:val="en-GB"/>
        </w:rPr>
        <w:t>hyssopifolia</w:t>
      </w:r>
      <w:proofErr w:type="spellEnd"/>
      <w:r w:rsidR="008B1D3D" w:rsidRPr="006B1899">
        <w:rPr>
          <w:rFonts w:ascii="Times New Roman" w:hAnsi="Times New Roman" w:cs="Times New Roman"/>
          <w:sz w:val="24"/>
          <w:szCs w:val="24"/>
          <w:lang w:val="en-GB"/>
        </w:rPr>
        <w:t xml:space="preserve"> and </w:t>
      </w:r>
      <w:proofErr w:type="spellStart"/>
      <w:r w:rsidR="008B1D3D" w:rsidRPr="006B1899">
        <w:rPr>
          <w:rFonts w:ascii="Times New Roman" w:hAnsi="Times New Roman" w:cs="Times New Roman"/>
          <w:sz w:val="24"/>
          <w:szCs w:val="24"/>
          <w:lang w:val="en-GB"/>
        </w:rPr>
        <w:t>Sida</w:t>
      </w:r>
      <w:proofErr w:type="spellEnd"/>
      <w:r w:rsidR="008B1D3D" w:rsidRPr="006B1899">
        <w:rPr>
          <w:rFonts w:ascii="Times New Roman" w:hAnsi="Times New Roman" w:cs="Times New Roman"/>
          <w:sz w:val="24"/>
          <w:szCs w:val="24"/>
          <w:lang w:val="en-GB"/>
        </w:rPr>
        <w:t xml:space="preserve"> </w:t>
      </w:r>
      <w:proofErr w:type="spellStart"/>
      <w:r w:rsidR="008B1D3D" w:rsidRPr="006B1899">
        <w:rPr>
          <w:rFonts w:ascii="Times New Roman" w:hAnsi="Times New Roman" w:cs="Times New Roman"/>
          <w:sz w:val="24"/>
          <w:szCs w:val="24"/>
          <w:lang w:val="en-GB"/>
        </w:rPr>
        <w:t>rhombifolia</w:t>
      </w:r>
      <w:proofErr w:type="spellEnd"/>
      <w:r w:rsidR="008B1D3D" w:rsidRPr="006B1899">
        <w:rPr>
          <w:rFonts w:ascii="Times New Roman" w:hAnsi="Times New Roman" w:cs="Times New Roman"/>
          <w:sz w:val="24"/>
          <w:szCs w:val="24"/>
          <w:lang w:val="en-GB"/>
        </w:rPr>
        <w:t>.</w:t>
      </w:r>
    </w:p>
    <w:p w14:paraId="1A1239EC" w14:textId="77777777" w:rsidR="007F53D3" w:rsidRPr="006B1899" w:rsidRDefault="007F53D3" w:rsidP="007F53D3">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lastRenderedPageBreak/>
        <w:drawing>
          <wp:inline distT="0" distB="0" distL="0" distR="0" wp14:anchorId="12378304" wp14:editId="76A9DC0F">
            <wp:extent cx="2845089" cy="2849714"/>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5584" cy="2850210"/>
                    </a:xfrm>
                    <a:prstGeom prst="rect">
                      <a:avLst/>
                    </a:prstGeom>
                    <a:noFill/>
                    <a:ln>
                      <a:noFill/>
                    </a:ln>
                  </pic:spPr>
                </pic:pic>
              </a:graphicData>
            </a:graphic>
          </wp:inline>
        </w:drawing>
      </w:r>
    </w:p>
    <w:p w14:paraId="4844D4F9" w14:textId="77777777" w:rsidR="007F53D3" w:rsidRPr="006B1899" w:rsidRDefault="00EE7B23" w:rsidP="007F53D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6: Arrangement on a dendrogram of the four individual herbaceous plant groups in the edges of the wetland market gardens. P1-P9: surveys; GI-GIV: the four individual plant groups.</w:t>
      </w:r>
    </w:p>
    <w:p w14:paraId="13AB1DD1" w14:textId="77777777" w:rsidR="007F53D3" w:rsidRPr="006B1899" w:rsidRDefault="009A234C" w:rsidP="00B64F60">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III.2.2.</w:t>
      </w:r>
      <w:r w:rsidR="00B64F60" w:rsidRPr="006B1899">
        <w:rPr>
          <w:rFonts w:ascii="Times New Roman" w:hAnsi="Times New Roman" w:cs="Times New Roman"/>
          <w:sz w:val="24"/>
          <w:szCs w:val="24"/>
          <w:lang w:val="en-GB"/>
        </w:rPr>
        <w:t xml:space="preserve"> </w:t>
      </w:r>
      <w:r w:rsidR="00B64F60" w:rsidRPr="006B1899">
        <w:rPr>
          <w:rFonts w:ascii="Times New Roman" w:hAnsi="Times New Roman" w:cs="Times New Roman"/>
          <w:b/>
          <w:sz w:val="24"/>
          <w:szCs w:val="24"/>
          <w:lang w:val="en-GB"/>
        </w:rPr>
        <w:t>Ecological determinism of individual plant groups</w:t>
      </w:r>
    </w:p>
    <w:p w14:paraId="26A387BC" w14:textId="77777777" w:rsidR="00A8433B" w:rsidRPr="006B1899" w:rsidRDefault="00A8433B" w:rsidP="00A8433B">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spatial distribution of the individualized groupings is shown in Figure 7. The first two factorial axes alone present a cumulative variance of 37.44%. The ecological significance of the two axes is explained by field observations and the ecology of the characteristic species. Thus, on the negative side of axis 1 (on the abscissa), are positioned the two plots (surveys) forming group 1 (less </w:t>
      </w:r>
      <w:r w:rsidR="00B22A44" w:rsidRPr="006B1899">
        <w:rPr>
          <w:rFonts w:ascii="Times New Roman" w:hAnsi="Times New Roman" w:cs="Times New Roman"/>
          <w:sz w:val="24"/>
          <w:szCs w:val="24"/>
          <w:lang w:val="en-GB"/>
        </w:rPr>
        <w:t>anthropized zone</w:t>
      </w:r>
      <w:r w:rsidRPr="006B1899">
        <w:rPr>
          <w:rFonts w:ascii="Times New Roman" w:hAnsi="Times New Roman" w:cs="Times New Roman"/>
          <w:sz w:val="24"/>
          <w:szCs w:val="24"/>
          <w:lang w:val="en-GB"/>
        </w:rPr>
        <w:t>) and plot P5 of group 4 (disturbed zone). On the positive side of this same axis, are plot P6 forming group 3 corresponding to the zone more disturbed by anthropic activities (off-season agriculture, removal of fodder resources, etc.</w:t>
      </w:r>
      <w:r w:rsidR="0039750B" w:rsidRPr="006B1899">
        <w:rPr>
          <w:rFonts w:ascii="Times New Roman" w:hAnsi="Times New Roman" w:cs="Times New Roman"/>
          <w:sz w:val="24"/>
          <w:szCs w:val="24"/>
          <w:lang w:val="en-GB"/>
        </w:rPr>
        <w:t>). Clearly, axis 1 therefore expresses an increasing gradient of disturbances of anthropic origin.</w:t>
      </w:r>
    </w:p>
    <w:p w14:paraId="6A9B0299" w14:textId="77777777" w:rsidR="00B43C4C" w:rsidRPr="006B1899" w:rsidRDefault="00A8433B" w:rsidP="00451F2D">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Similarly, on the negative side of axis 2 (on the ordinate), the plots constituting group 2 corresponding to the flood zone are positioned. On the other hand, on the positive side of this axis, we find the plots forming group 1 and group 4, in particular plot P7. The latter is located far from the crossing of the </w:t>
      </w:r>
      <w:r w:rsidR="00993DEC" w:rsidRPr="006B1899">
        <w:rPr>
          <w:rFonts w:ascii="Times New Roman" w:hAnsi="Times New Roman" w:cs="Times New Roman"/>
          <w:sz w:val="24"/>
          <w:szCs w:val="24"/>
          <w:lang w:val="en-GB"/>
        </w:rPr>
        <w:t xml:space="preserve">Mindja </w:t>
      </w:r>
      <w:proofErr w:type="gramStart"/>
      <w:r w:rsidR="00993DEC" w:rsidRPr="006B1899">
        <w:rPr>
          <w:rFonts w:ascii="Times New Roman" w:hAnsi="Times New Roman" w:cs="Times New Roman"/>
          <w:sz w:val="24"/>
          <w:szCs w:val="24"/>
          <w:lang w:val="en-GB"/>
        </w:rPr>
        <w:t xml:space="preserve">River </w:t>
      </w:r>
      <w:r w:rsidRPr="006B1899">
        <w:rPr>
          <w:rFonts w:ascii="Times New Roman" w:hAnsi="Times New Roman" w:cs="Times New Roman"/>
          <w:sz w:val="24"/>
          <w:szCs w:val="24"/>
          <w:lang w:val="en-GB"/>
        </w:rPr>
        <w:t>.</w:t>
      </w:r>
      <w:proofErr w:type="gramEnd"/>
      <w:r w:rsidRPr="006B1899">
        <w:rPr>
          <w:rFonts w:ascii="Times New Roman" w:hAnsi="Times New Roman" w:cs="Times New Roman"/>
          <w:sz w:val="24"/>
          <w:szCs w:val="24"/>
          <w:lang w:val="en-GB"/>
        </w:rPr>
        <w:t xml:space="preserve"> Axis 2 therefore reflects a gradient of decreasing humidity of the </w:t>
      </w:r>
      <w:r w:rsidR="00451F2D" w:rsidRPr="006B1899">
        <w:rPr>
          <w:rFonts w:ascii="Times New Roman" w:hAnsi="Times New Roman" w:cs="Times New Roman"/>
          <w:sz w:val="24"/>
          <w:szCs w:val="24"/>
          <w:lang w:val="en-GB"/>
        </w:rPr>
        <w:t>hydromorphic soil going from group 2 on more humid soil to groups 1 and 4 developing on less humid ground.</w:t>
      </w:r>
    </w:p>
    <w:p w14:paraId="57BF967A" w14:textId="77777777" w:rsidR="00072FBA" w:rsidRPr="006B1899" w:rsidRDefault="00DA25E1" w:rsidP="00036A78">
      <w:pPr>
        <w:spacing w:line="360" w:lineRule="auto"/>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lastRenderedPageBreak/>
        <w:drawing>
          <wp:inline distT="0" distB="0" distL="0" distR="0" wp14:anchorId="6D6C20B6" wp14:editId="682FCA4B">
            <wp:extent cx="3308350" cy="2709487"/>
            <wp:effectExtent l="0" t="0" r="635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7025" t="12152" r="8099" b="44499"/>
                    <a:stretch/>
                  </pic:blipFill>
                  <pic:spPr bwMode="auto">
                    <a:xfrm>
                      <a:off x="0" y="0"/>
                      <a:ext cx="3310045" cy="2710876"/>
                    </a:xfrm>
                    <a:prstGeom prst="rect">
                      <a:avLst/>
                    </a:prstGeom>
                    <a:ln>
                      <a:noFill/>
                    </a:ln>
                    <a:extLst>
                      <a:ext uri="{53640926-AAD7-44D8-BBD7-CCE9431645EC}">
                        <a14:shadowObscured xmlns:a14="http://schemas.microsoft.com/office/drawing/2010/main"/>
                      </a:ext>
                    </a:extLst>
                  </pic:spPr>
                </pic:pic>
              </a:graphicData>
            </a:graphic>
          </wp:inline>
        </w:drawing>
      </w:r>
    </w:p>
    <w:p w14:paraId="6BFC9990" w14:textId="77777777" w:rsidR="0064778D" w:rsidRPr="001A52F0" w:rsidRDefault="0064778D" w:rsidP="0064778D">
      <w:pPr>
        <w:jc w:val="both"/>
        <w:rPr>
          <w:rFonts w:ascii="Times New Roman" w:hAnsi="Times New Roman" w:cs="Times New Roman"/>
          <w:lang w:val="en-US"/>
        </w:rPr>
      </w:pPr>
      <w:r w:rsidRPr="001A52F0">
        <w:rPr>
          <w:rFonts w:ascii="Times New Roman" w:hAnsi="Times New Roman" w:cs="Times New Roman"/>
          <w:lang w:val="en-US"/>
        </w:rPr>
        <w:t xml:space="preserve">Figure 7. </w:t>
      </w:r>
      <w:r w:rsidRPr="001A52F0">
        <w:rPr>
          <w:rFonts w:ascii="Times New Roman" w:hAnsi="Times New Roman" w:cs="Times New Roman"/>
          <w:sz w:val="24"/>
          <w:szCs w:val="24"/>
          <w:lang w:val="en-US"/>
        </w:rPr>
        <w:t>Phytosociological surveys on the first two axes of the AFC based on floristic data.</w:t>
      </w:r>
      <w:r w:rsidRPr="001A52F0">
        <w:rPr>
          <w:rFonts w:ascii="Times New Roman" w:hAnsi="Times New Roman" w:cs="Times New Roman"/>
          <w:lang w:val="en-US"/>
        </w:rPr>
        <w:t xml:space="preserve"> </w:t>
      </w:r>
    </w:p>
    <w:p w14:paraId="549C21F2" w14:textId="77777777" w:rsidR="00B0426D" w:rsidRPr="006B1899" w:rsidRDefault="00C11C98" w:rsidP="00C503E2">
      <w:pPr>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III.2.3.</w:t>
      </w:r>
      <w:r w:rsidRPr="006B1899">
        <w:rPr>
          <w:rFonts w:ascii="Times New Roman" w:hAnsi="Times New Roman" w:cs="Times New Roman"/>
          <w:sz w:val="24"/>
          <w:szCs w:val="24"/>
          <w:lang w:val="en-GB"/>
        </w:rPr>
        <w:t xml:space="preserve"> </w:t>
      </w:r>
      <w:r w:rsidR="00B0426D" w:rsidRPr="006B1899">
        <w:rPr>
          <w:rFonts w:ascii="Times New Roman" w:hAnsi="Times New Roman" w:cs="Times New Roman"/>
          <w:b/>
          <w:sz w:val="24"/>
          <w:szCs w:val="24"/>
          <w:lang w:val="en-GB"/>
        </w:rPr>
        <w:t>Floristic diversity of herbaceous plant groups</w:t>
      </w:r>
    </w:p>
    <w:p w14:paraId="04CF2BD7" w14:textId="7F94A872" w:rsidR="00726956" w:rsidRPr="006B1899" w:rsidRDefault="00D802AF" w:rsidP="00D76F39">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From a floristic point of view, heterogeneity is observed between the plant groups (Table </w:t>
      </w:r>
      <w:r w:rsidR="00F17CBE">
        <w:rPr>
          <w:rFonts w:ascii="Times New Roman" w:hAnsi="Times New Roman" w:cs="Times New Roman"/>
          <w:sz w:val="24"/>
          <w:szCs w:val="24"/>
          <w:lang w:val="en-GB"/>
        </w:rPr>
        <w:t>3</w:t>
      </w:r>
      <w:r w:rsidRPr="006B1899">
        <w:rPr>
          <w:rFonts w:ascii="Times New Roman" w:hAnsi="Times New Roman" w:cs="Times New Roman"/>
          <w:sz w:val="24"/>
          <w:szCs w:val="24"/>
          <w:lang w:val="en-GB"/>
        </w:rPr>
        <w:t>). Species richness is highest in the GII group with 61 species. The Shannon diversity index (H') oscillates between 2.30 bits (GIV) and 3.13 bits (GII). These values reflect a more or less abundant diversity of species within these herbaceous plant groups.</w:t>
      </w:r>
      <w:r w:rsidR="00A23FB0" w:rsidRPr="006B1899">
        <w:rPr>
          <w:rFonts w:ascii="Times New Roman" w:hAnsi="Times New Roman" w:cs="Times New Roman"/>
          <w:sz w:val="24"/>
          <w:szCs w:val="24"/>
          <w:lang w:val="en-GB"/>
        </w:rPr>
        <w:t xml:space="preserve"> The highest value of this index is obtained in the GII plant group (3.13 bits). Thus, it is more diverse with a better distribution of individuals within the group. On the other hand, the low value of the Shannon diversity index (2.30 bits) was recorded in the GIV group.</w:t>
      </w:r>
      <w:r w:rsidR="0084664A" w:rsidRPr="006B1899">
        <w:rPr>
          <w:rFonts w:ascii="Times New Roman" w:hAnsi="Times New Roman" w:cs="Times New Roman"/>
          <w:sz w:val="24"/>
          <w:szCs w:val="24"/>
          <w:lang w:val="en-GB"/>
        </w:rPr>
        <w:t xml:space="preserve"> The dominance of species like </w:t>
      </w:r>
      <w:proofErr w:type="spellStart"/>
      <w:r w:rsidR="0046050B" w:rsidRPr="006B1899">
        <w:rPr>
          <w:rFonts w:ascii="Times New Roman" w:hAnsi="Times New Roman" w:cs="Times New Roman"/>
          <w:i/>
          <w:sz w:val="24"/>
          <w:szCs w:val="24"/>
          <w:lang w:val="en-GB"/>
        </w:rPr>
        <w:t>Acanthospermum</w:t>
      </w:r>
      <w:proofErr w:type="spellEnd"/>
      <w:r w:rsidR="0046050B" w:rsidRPr="006B1899">
        <w:rPr>
          <w:rFonts w:ascii="Times New Roman" w:hAnsi="Times New Roman" w:cs="Times New Roman"/>
          <w:i/>
          <w:sz w:val="24"/>
          <w:szCs w:val="24"/>
          <w:lang w:val="en-GB"/>
        </w:rPr>
        <w:t xml:space="preserve"> </w:t>
      </w:r>
      <w:proofErr w:type="spellStart"/>
      <w:r w:rsidR="0046050B" w:rsidRPr="006B1899">
        <w:rPr>
          <w:rFonts w:ascii="Times New Roman" w:hAnsi="Times New Roman" w:cs="Times New Roman"/>
          <w:i/>
          <w:sz w:val="24"/>
          <w:szCs w:val="24"/>
          <w:lang w:val="en-GB"/>
        </w:rPr>
        <w:t>hispidum</w:t>
      </w:r>
      <w:proofErr w:type="spellEnd"/>
      <w:r w:rsidR="0046050B" w:rsidRPr="006B1899">
        <w:rPr>
          <w:rFonts w:ascii="Times New Roman" w:hAnsi="Times New Roman" w:cs="Times New Roman"/>
          <w:i/>
          <w:sz w:val="24"/>
          <w:szCs w:val="24"/>
          <w:lang w:val="en-GB"/>
        </w:rPr>
        <w:t xml:space="preserve"> </w:t>
      </w:r>
      <w:r w:rsidR="003000B5">
        <w:rPr>
          <w:rFonts w:ascii="Times New Roman" w:hAnsi="Times New Roman" w:cs="Times New Roman"/>
          <w:sz w:val="24"/>
          <w:szCs w:val="24"/>
          <w:lang w:val="en-GB"/>
        </w:rPr>
        <w:t>(</w:t>
      </w:r>
      <w:proofErr w:type="gramStart"/>
      <w:r w:rsidR="0046050B" w:rsidRPr="006B1899">
        <w:rPr>
          <w:rFonts w:ascii="Times New Roman" w:hAnsi="Times New Roman" w:cs="Times New Roman"/>
          <w:i/>
          <w:sz w:val="24"/>
          <w:szCs w:val="24"/>
          <w:lang w:val="en-GB"/>
        </w:rPr>
        <w:t xml:space="preserve">Asteraceae </w:t>
      </w:r>
      <w:r w:rsidR="0046050B" w:rsidRPr="006B1899">
        <w:rPr>
          <w:rFonts w:ascii="Times New Roman" w:hAnsi="Times New Roman" w:cs="Times New Roman"/>
          <w:sz w:val="24"/>
          <w:szCs w:val="24"/>
          <w:lang w:val="en-GB"/>
        </w:rPr>
        <w:t>)</w:t>
      </w:r>
      <w:proofErr w:type="gramEnd"/>
      <w:r w:rsidR="0046050B" w:rsidRPr="006B1899">
        <w:rPr>
          <w:rFonts w:ascii="Times New Roman" w:hAnsi="Times New Roman" w:cs="Times New Roman"/>
          <w:sz w:val="24"/>
          <w:szCs w:val="24"/>
          <w:lang w:val="en-GB"/>
        </w:rPr>
        <w:t xml:space="preserve">, </w:t>
      </w:r>
      <w:r w:rsidR="0046050B" w:rsidRPr="006B1899">
        <w:rPr>
          <w:rFonts w:ascii="Times New Roman" w:hAnsi="Times New Roman" w:cs="Times New Roman"/>
          <w:i/>
          <w:sz w:val="24"/>
          <w:szCs w:val="24"/>
          <w:lang w:val="en-GB"/>
        </w:rPr>
        <w:t xml:space="preserve">Ageratum </w:t>
      </w:r>
      <w:proofErr w:type="spellStart"/>
      <w:r w:rsidR="0046050B" w:rsidRPr="006B1899">
        <w:rPr>
          <w:rFonts w:ascii="Times New Roman" w:hAnsi="Times New Roman" w:cs="Times New Roman"/>
          <w:i/>
          <w:sz w:val="24"/>
          <w:szCs w:val="24"/>
          <w:lang w:val="en-GB"/>
        </w:rPr>
        <w:t>conyzoides</w:t>
      </w:r>
      <w:proofErr w:type="spellEnd"/>
      <w:r w:rsidR="0046050B" w:rsidRPr="006B1899">
        <w:rPr>
          <w:rFonts w:ascii="Times New Roman" w:hAnsi="Times New Roman" w:cs="Times New Roman"/>
          <w:i/>
          <w:sz w:val="24"/>
          <w:szCs w:val="24"/>
          <w:lang w:val="en-GB"/>
        </w:rPr>
        <w:t xml:space="preserve"> </w:t>
      </w:r>
      <w:r w:rsidR="003000B5">
        <w:rPr>
          <w:rFonts w:ascii="Times New Roman" w:hAnsi="Times New Roman" w:cs="Times New Roman"/>
          <w:sz w:val="24"/>
          <w:szCs w:val="24"/>
          <w:lang w:val="en-GB"/>
        </w:rPr>
        <w:t>(</w:t>
      </w:r>
      <w:r w:rsidR="0046050B" w:rsidRPr="006B1899">
        <w:rPr>
          <w:rFonts w:ascii="Times New Roman" w:hAnsi="Times New Roman" w:cs="Times New Roman"/>
          <w:i/>
          <w:sz w:val="24"/>
          <w:szCs w:val="24"/>
          <w:lang w:val="en-GB"/>
        </w:rPr>
        <w:t xml:space="preserve">Asteraceae </w:t>
      </w:r>
      <w:r w:rsidR="0046050B" w:rsidRPr="006B1899">
        <w:rPr>
          <w:rFonts w:ascii="Times New Roman" w:hAnsi="Times New Roman" w:cs="Times New Roman"/>
          <w:sz w:val="24"/>
          <w:szCs w:val="24"/>
          <w:lang w:val="en-GB"/>
        </w:rPr>
        <w:t xml:space="preserve">), </w:t>
      </w:r>
      <w:proofErr w:type="spellStart"/>
      <w:r w:rsidR="0046050B" w:rsidRPr="006B1899">
        <w:rPr>
          <w:rFonts w:ascii="Times New Roman" w:hAnsi="Times New Roman" w:cs="Times New Roman"/>
          <w:i/>
          <w:sz w:val="24"/>
          <w:szCs w:val="24"/>
          <w:lang w:val="en-GB"/>
        </w:rPr>
        <w:t>Diodia</w:t>
      </w:r>
      <w:proofErr w:type="spellEnd"/>
      <w:r w:rsidR="0046050B" w:rsidRPr="006B1899">
        <w:rPr>
          <w:rFonts w:ascii="Times New Roman" w:hAnsi="Times New Roman" w:cs="Times New Roman"/>
          <w:i/>
          <w:sz w:val="24"/>
          <w:szCs w:val="24"/>
          <w:lang w:val="en-GB"/>
        </w:rPr>
        <w:t xml:space="preserve"> scandens </w:t>
      </w:r>
      <w:r w:rsidR="003000B5">
        <w:rPr>
          <w:rFonts w:ascii="Times New Roman" w:hAnsi="Times New Roman" w:cs="Times New Roman"/>
          <w:sz w:val="24"/>
          <w:szCs w:val="24"/>
          <w:lang w:val="en-GB"/>
        </w:rPr>
        <w:t>(</w:t>
      </w:r>
      <w:r w:rsidR="0046050B" w:rsidRPr="006B1899">
        <w:rPr>
          <w:rFonts w:ascii="Times New Roman" w:hAnsi="Times New Roman" w:cs="Times New Roman"/>
          <w:i/>
          <w:sz w:val="24"/>
          <w:szCs w:val="24"/>
          <w:lang w:val="en-GB"/>
        </w:rPr>
        <w:t xml:space="preserve">Asteraceae </w:t>
      </w:r>
      <w:r w:rsidR="0046050B" w:rsidRPr="006B1899">
        <w:rPr>
          <w:rFonts w:ascii="Times New Roman" w:hAnsi="Times New Roman" w:cs="Times New Roman"/>
          <w:sz w:val="24"/>
          <w:szCs w:val="24"/>
          <w:lang w:val="en-GB"/>
        </w:rPr>
        <w:t xml:space="preserve">), in the plots constituting this grouping explains the observations from the field well. The </w:t>
      </w:r>
      <w:proofErr w:type="spellStart"/>
      <w:r w:rsidR="00655BE3" w:rsidRPr="006B1899">
        <w:rPr>
          <w:rFonts w:ascii="Times New Roman" w:hAnsi="Times New Roman" w:cs="Times New Roman"/>
          <w:sz w:val="24"/>
          <w:szCs w:val="24"/>
          <w:lang w:val="en-GB"/>
        </w:rPr>
        <w:t>Piélou</w:t>
      </w:r>
      <w:proofErr w:type="spellEnd"/>
      <w:r w:rsidR="00655BE3" w:rsidRPr="006B1899">
        <w:rPr>
          <w:rFonts w:ascii="Times New Roman" w:hAnsi="Times New Roman" w:cs="Times New Roman"/>
          <w:sz w:val="24"/>
          <w:szCs w:val="24"/>
          <w:lang w:val="en-GB"/>
        </w:rPr>
        <w:t xml:space="preserve"> equitability index </w:t>
      </w:r>
      <w:r w:rsidR="00E739B1" w:rsidRPr="006B1899">
        <w:rPr>
          <w:rFonts w:ascii="Times New Roman" w:hAnsi="Times New Roman" w:cs="Times New Roman"/>
          <w:sz w:val="24"/>
          <w:szCs w:val="24"/>
          <w:lang w:val="en-GB"/>
        </w:rPr>
        <w:t>made it possible to measure the distribution of species within the plant grouping.</w:t>
      </w:r>
      <w:r w:rsidR="00D76F39" w:rsidRPr="006B1899">
        <w:rPr>
          <w:rFonts w:ascii="Times New Roman" w:hAnsi="Times New Roman" w:cs="Times New Roman"/>
          <w:sz w:val="24"/>
          <w:szCs w:val="24"/>
          <w:lang w:val="en-GB"/>
        </w:rPr>
        <w:t xml:space="preserve"> It is generally less than 0.6; proof that the groups are </w:t>
      </w:r>
      <w:r w:rsidR="003000B5">
        <w:rPr>
          <w:rFonts w:ascii="Times New Roman" w:hAnsi="Times New Roman" w:cs="Times New Roman"/>
          <w:sz w:val="24"/>
          <w:szCs w:val="24"/>
          <w:lang w:val="en-GB"/>
        </w:rPr>
        <w:t>anthropized</w:t>
      </w:r>
      <w:r w:rsidR="00E87246" w:rsidRPr="006B1899">
        <w:rPr>
          <w:rFonts w:ascii="Times New Roman" w:hAnsi="Times New Roman" w:cs="Times New Roman"/>
          <w:sz w:val="24"/>
          <w:szCs w:val="24"/>
          <w:lang w:val="en-GB"/>
        </w:rPr>
        <w:t>.</w:t>
      </w:r>
    </w:p>
    <w:p w14:paraId="1AD1924D" w14:textId="2D21687A" w:rsidR="002A1BAE" w:rsidRPr="006B1899" w:rsidRDefault="00905D29" w:rsidP="002A1BAE">
      <w:pPr>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Table </w:t>
      </w:r>
      <w:r w:rsidR="00F17CBE">
        <w:rPr>
          <w:rFonts w:ascii="Times New Roman" w:hAnsi="Times New Roman" w:cs="Times New Roman"/>
          <w:sz w:val="24"/>
          <w:szCs w:val="24"/>
          <w:lang w:val="en-GB"/>
        </w:rPr>
        <w:t>3</w:t>
      </w:r>
      <w:r w:rsidRPr="006B1899">
        <w:rPr>
          <w:rFonts w:ascii="Times New Roman" w:hAnsi="Times New Roman" w:cs="Times New Roman"/>
          <w:sz w:val="24"/>
          <w:szCs w:val="24"/>
          <w:lang w:val="en-GB"/>
        </w:rPr>
        <w:t>. Biological diversity indices of herbaceous plant groups.</w:t>
      </w:r>
    </w:p>
    <w:tbl>
      <w:tblPr>
        <w:tblStyle w:val="TableGrid"/>
        <w:tblW w:w="0" w:type="auto"/>
        <w:jc w:val="center"/>
        <w:tblLayout w:type="fixed"/>
        <w:tblLook w:val="04A0" w:firstRow="1" w:lastRow="0" w:firstColumn="1" w:lastColumn="0" w:noHBand="0" w:noVBand="1"/>
      </w:tblPr>
      <w:tblGrid>
        <w:gridCol w:w="1560"/>
        <w:gridCol w:w="850"/>
        <w:gridCol w:w="850"/>
        <w:gridCol w:w="851"/>
        <w:gridCol w:w="850"/>
        <w:gridCol w:w="851"/>
      </w:tblGrid>
      <w:tr w:rsidR="00364A19" w:rsidRPr="006B1899" w14:paraId="11B319B6" w14:textId="77777777" w:rsidTr="009B5297">
        <w:trPr>
          <w:jc w:val="center"/>
        </w:trPr>
        <w:tc>
          <w:tcPr>
            <w:tcW w:w="1560" w:type="dxa"/>
            <w:vAlign w:val="center"/>
          </w:tcPr>
          <w:p w14:paraId="74E65A7A" w14:textId="77777777" w:rsidR="00364A19" w:rsidRPr="006B1899" w:rsidRDefault="00364A19"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Floristic groups</w:t>
            </w:r>
          </w:p>
        </w:tc>
        <w:tc>
          <w:tcPr>
            <w:tcW w:w="850" w:type="dxa"/>
            <w:vAlign w:val="center"/>
          </w:tcPr>
          <w:p w14:paraId="4429F79A"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RS</w:t>
            </w:r>
          </w:p>
        </w:tc>
        <w:tc>
          <w:tcPr>
            <w:tcW w:w="850" w:type="dxa"/>
            <w:vAlign w:val="center"/>
          </w:tcPr>
          <w:p w14:paraId="190C9D66"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ISH</w:t>
            </w:r>
          </w:p>
        </w:tc>
        <w:tc>
          <w:tcPr>
            <w:tcW w:w="851" w:type="dxa"/>
            <w:vAlign w:val="center"/>
          </w:tcPr>
          <w:p w14:paraId="13FF0C5A"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EQ</w:t>
            </w:r>
          </w:p>
        </w:tc>
        <w:tc>
          <w:tcPr>
            <w:tcW w:w="850" w:type="dxa"/>
            <w:vAlign w:val="center"/>
          </w:tcPr>
          <w:p w14:paraId="3A89984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1-D</w:t>
            </w:r>
          </w:p>
        </w:tc>
        <w:tc>
          <w:tcPr>
            <w:tcW w:w="851" w:type="dxa"/>
            <w:vAlign w:val="center"/>
          </w:tcPr>
          <w:p w14:paraId="4BA4F0B4"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D</w:t>
            </w:r>
          </w:p>
        </w:tc>
      </w:tr>
      <w:tr w:rsidR="00364A19" w:rsidRPr="006B1899" w14:paraId="12830AEC" w14:textId="77777777" w:rsidTr="009B5297">
        <w:trPr>
          <w:jc w:val="center"/>
        </w:trPr>
        <w:tc>
          <w:tcPr>
            <w:tcW w:w="1560" w:type="dxa"/>
            <w:vAlign w:val="center"/>
          </w:tcPr>
          <w:p w14:paraId="1EEE194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w:t>
            </w:r>
          </w:p>
        </w:tc>
        <w:tc>
          <w:tcPr>
            <w:tcW w:w="850" w:type="dxa"/>
            <w:vAlign w:val="center"/>
          </w:tcPr>
          <w:p w14:paraId="2F4DBC66" w14:textId="77777777" w:rsidR="00364A19" w:rsidRPr="006B1899" w:rsidRDefault="0003411E"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58</w:t>
            </w:r>
          </w:p>
        </w:tc>
        <w:tc>
          <w:tcPr>
            <w:tcW w:w="850" w:type="dxa"/>
            <w:vAlign w:val="center"/>
          </w:tcPr>
          <w:p w14:paraId="54416095"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3.05</w:t>
            </w:r>
          </w:p>
        </w:tc>
        <w:tc>
          <w:tcPr>
            <w:tcW w:w="851" w:type="dxa"/>
            <w:vAlign w:val="center"/>
          </w:tcPr>
          <w:p w14:paraId="6B231190"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0.52</w:t>
            </w:r>
          </w:p>
        </w:tc>
        <w:tc>
          <w:tcPr>
            <w:tcW w:w="850" w:type="dxa"/>
            <w:vAlign w:val="center"/>
          </w:tcPr>
          <w:p w14:paraId="3B65AE8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0.08</w:t>
            </w:r>
          </w:p>
        </w:tc>
        <w:tc>
          <w:tcPr>
            <w:tcW w:w="851" w:type="dxa"/>
            <w:vAlign w:val="center"/>
          </w:tcPr>
          <w:p w14:paraId="46E6777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0.92</w:t>
            </w:r>
          </w:p>
        </w:tc>
      </w:tr>
      <w:tr w:rsidR="00364A19" w:rsidRPr="006B1899" w14:paraId="31E0E972" w14:textId="77777777" w:rsidTr="009B5297">
        <w:trPr>
          <w:jc w:val="center"/>
        </w:trPr>
        <w:tc>
          <w:tcPr>
            <w:tcW w:w="1560" w:type="dxa"/>
            <w:vAlign w:val="center"/>
          </w:tcPr>
          <w:p w14:paraId="4846B3A9"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GII</w:t>
            </w:r>
          </w:p>
        </w:tc>
        <w:tc>
          <w:tcPr>
            <w:tcW w:w="850" w:type="dxa"/>
            <w:vAlign w:val="center"/>
          </w:tcPr>
          <w:p w14:paraId="5B672F83"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61</w:t>
            </w:r>
          </w:p>
        </w:tc>
        <w:tc>
          <w:tcPr>
            <w:tcW w:w="850" w:type="dxa"/>
            <w:vAlign w:val="center"/>
          </w:tcPr>
          <w:p w14:paraId="20969B9E"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3.13</w:t>
            </w:r>
          </w:p>
        </w:tc>
        <w:tc>
          <w:tcPr>
            <w:tcW w:w="851" w:type="dxa"/>
            <w:vAlign w:val="center"/>
          </w:tcPr>
          <w:p w14:paraId="4CDCCCDF"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0.53</w:t>
            </w:r>
          </w:p>
        </w:tc>
        <w:tc>
          <w:tcPr>
            <w:tcW w:w="850" w:type="dxa"/>
            <w:vAlign w:val="center"/>
          </w:tcPr>
          <w:p w14:paraId="4DAC63F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0.06</w:t>
            </w:r>
          </w:p>
        </w:tc>
        <w:tc>
          <w:tcPr>
            <w:tcW w:w="851" w:type="dxa"/>
            <w:vAlign w:val="center"/>
          </w:tcPr>
          <w:p w14:paraId="6985176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0.94</w:t>
            </w:r>
          </w:p>
        </w:tc>
      </w:tr>
      <w:tr w:rsidR="00364A19" w:rsidRPr="006B1899" w14:paraId="1BFF04FB" w14:textId="77777777" w:rsidTr="009B5297">
        <w:trPr>
          <w:jc w:val="center"/>
        </w:trPr>
        <w:tc>
          <w:tcPr>
            <w:tcW w:w="1560" w:type="dxa"/>
            <w:vAlign w:val="center"/>
          </w:tcPr>
          <w:p w14:paraId="1C689860"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GIII</w:t>
            </w:r>
          </w:p>
        </w:tc>
        <w:tc>
          <w:tcPr>
            <w:tcW w:w="850" w:type="dxa"/>
            <w:vAlign w:val="center"/>
          </w:tcPr>
          <w:p w14:paraId="73AA6C2B"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24</w:t>
            </w:r>
          </w:p>
        </w:tc>
        <w:tc>
          <w:tcPr>
            <w:tcW w:w="850" w:type="dxa"/>
            <w:vAlign w:val="center"/>
          </w:tcPr>
          <w:p w14:paraId="6C04B0E5"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2.40</w:t>
            </w:r>
          </w:p>
        </w:tc>
        <w:tc>
          <w:tcPr>
            <w:tcW w:w="851" w:type="dxa"/>
            <w:vAlign w:val="center"/>
          </w:tcPr>
          <w:p w14:paraId="0B032406"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0.52</w:t>
            </w:r>
          </w:p>
        </w:tc>
        <w:tc>
          <w:tcPr>
            <w:tcW w:w="850" w:type="dxa"/>
            <w:vAlign w:val="center"/>
          </w:tcPr>
          <w:p w14:paraId="1289C423"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0.12</w:t>
            </w:r>
          </w:p>
        </w:tc>
        <w:tc>
          <w:tcPr>
            <w:tcW w:w="851" w:type="dxa"/>
            <w:vAlign w:val="center"/>
          </w:tcPr>
          <w:p w14:paraId="4A3630E8"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0.88</w:t>
            </w:r>
          </w:p>
        </w:tc>
      </w:tr>
      <w:tr w:rsidR="00364A19" w:rsidRPr="006B1899" w14:paraId="1C3F7E55" w14:textId="77777777" w:rsidTr="009B5297">
        <w:trPr>
          <w:jc w:val="center"/>
        </w:trPr>
        <w:tc>
          <w:tcPr>
            <w:tcW w:w="1560" w:type="dxa"/>
            <w:vAlign w:val="center"/>
          </w:tcPr>
          <w:p w14:paraId="216EDCB7"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GIV</w:t>
            </w:r>
          </w:p>
        </w:tc>
        <w:tc>
          <w:tcPr>
            <w:tcW w:w="850" w:type="dxa"/>
            <w:vAlign w:val="center"/>
          </w:tcPr>
          <w:p w14:paraId="35160F8E"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46</w:t>
            </w:r>
          </w:p>
        </w:tc>
        <w:tc>
          <w:tcPr>
            <w:tcW w:w="850" w:type="dxa"/>
            <w:vAlign w:val="center"/>
          </w:tcPr>
          <w:p w14:paraId="2A5F8178"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2.30</w:t>
            </w:r>
          </w:p>
        </w:tc>
        <w:tc>
          <w:tcPr>
            <w:tcW w:w="851" w:type="dxa"/>
            <w:vAlign w:val="center"/>
          </w:tcPr>
          <w:p w14:paraId="2CF6ABFE"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0.42</w:t>
            </w:r>
          </w:p>
        </w:tc>
        <w:tc>
          <w:tcPr>
            <w:tcW w:w="850" w:type="dxa"/>
            <w:vAlign w:val="center"/>
          </w:tcPr>
          <w:p w14:paraId="0E30E91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0.19</w:t>
            </w:r>
          </w:p>
        </w:tc>
        <w:tc>
          <w:tcPr>
            <w:tcW w:w="851" w:type="dxa"/>
            <w:vAlign w:val="center"/>
          </w:tcPr>
          <w:p w14:paraId="056C066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0.81</w:t>
            </w:r>
          </w:p>
        </w:tc>
      </w:tr>
    </w:tbl>
    <w:p w14:paraId="4ADE4A96" w14:textId="77777777" w:rsidR="00D76879" w:rsidRPr="006B1899" w:rsidRDefault="00D76879" w:rsidP="00C503E2">
      <w:pPr>
        <w:jc w:val="both"/>
        <w:rPr>
          <w:rFonts w:ascii="Times New Roman" w:hAnsi="Times New Roman" w:cs="Times New Roman"/>
          <w:sz w:val="24"/>
          <w:szCs w:val="24"/>
          <w:lang w:val="en-GB"/>
        </w:rPr>
      </w:pPr>
    </w:p>
    <w:p w14:paraId="4CE02FD0" w14:textId="77777777" w:rsidR="00B913A1" w:rsidRPr="006B1899" w:rsidRDefault="00C11C98" w:rsidP="00C503E2">
      <w:pPr>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III.2 </w:t>
      </w:r>
      <w:r w:rsidR="00EE264C" w:rsidRPr="006B1899">
        <w:rPr>
          <w:rFonts w:ascii="Times New Roman" w:hAnsi="Times New Roman" w:cs="Times New Roman"/>
          <w:b/>
          <w:sz w:val="24"/>
          <w:szCs w:val="24"/>
          <w:lang w:val="en-GB"/>
        </w:rPr>
        <w:t>.4.</w:t>
      </w:r>
      <w:r w:rsidRPr="006B1899">
        <w:rPr>
          <w:rFonts w:ascii="Times New Roman" w:hAnsi="Times New Roman" w:cs="Times New Roman"/>
          <w:sz w:val="24"/>
          <w:szCs w:val="24"/>
          <w:lang w:val="en-GB"/>
        </w:rPr>
        <w:t xml:space="preserve"> </w:t>
      </w:r>
      <w:r w:rsidR="00B913A1" w:rsidRPr="006B1899">
        <w:rPr>
          <w:rFonts w:ascii="Times New Roman" w:hAnsi="Times New Roman" w:cs="Times New Roman"/>
          <w:b/>
          <w:sz w:val="24"/>
          <w:szCs w:val="24"/>
          <w:lang w:val="en-GB"/>
        </w:rPr>
        <w:t>Similarities between species groups</w:t>
      </w:r>
    </w:p>
    <w:p w14:paraId="4F9717CD" w14:textId="459656E3" w:rsidR="00E60FC7" w:rsidRPr="006B1899" w:rsidRDefault="000125D9" w:rsidP="007D692A">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 xml:space="preserve">Sørensen </w:t>
      </w:r>
      <w:r w:rsidR="00540560" w:rsidRPr="006B1899">
        <w:rPr>
          <w:rFonts w:ascii="Times New Roman" w:hAnsi="Times New Roman" w:cs="Times New Roman"/>
          <w:sz w:val="24"/>
          <w:szCs w:val="24"/>
          <w:lang w:val="en-GB"/>
        </w:rPr>
        <w:t xml:space="preserve">'s similarity coefficients (Table </w:t>
      </w:r>
      <w:r w:rsidR="00F17CBE">
        <w:rPr>
          <w:rFonts w:ascii="Times New Roman" w:hAnsi="Times New Roman" w:cs="Times New Roman"/>
          <w:sz w:val="24"/>
          <w:szCs w:val="24"/>
          <w:lang w:val="en-GB"/>
        </w:rPr>
        <w:t>4</w:t>
      </w:r>
      <w:r w:rsidR="00540560" w:rsidRPr="006B1899">
        <w:rPr>
          <w:rFonts w:ascii="Times New Roman" w:hAnsi="Times New Roman" w:cs="Times New Roman"/>
          <w:sz w:val="24"/>
          <w:szCs w:val="24"/>
          <w:lang w:val="en-GB"/>
        </w:rPr>
        <w:t>) are very high between the GI and GII groups (57.14%) with a common background of 34 species, GI and GIV (59.61%) with a common background of 31 species and GII and GIV (56.07%) with a common background of 30 species. This indicates that a large number of species are found in these plant groups, so the difference in biodiversity between the habitats is low. On the other hand, the similarity coefficients between the GIII group and the other plant groups (GI, GII and GIV) are low (less than 50%); indicating that this group constitutes a relatively distinct unit from the others.</w:t>
      </w:r>
      <w:r w:rsidR="00485478" w:rsidRPr="006B1899">
        <w:rPr>
          <w:rFonts w:ascii="Times New Roman" w:hAnsi="Times New Roman" w:cs="Times New Roman"/>
          <w:sz w:val="24"/>
          <w:szCs w:val="24"/>
          <w:lang w:val="en-GB"/>
        </w:rPr>
        <w:t xml:space="preserve"> These similarity coefficients prove similar environmental conditions between plant groups GI, GII and GIV and decisive differences in environmental conditions between plant group GIII and the other groups (GI, GII and GIV).</w:t>
      </w:r>
    </w:p>
    <w:p w14:paraId="7278FA1F" w14:textId="3844C8E9" w:rsidR="003D1348" w:rsidRPr="006B1899" w:rsidRDefault="00CB2236"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Table </w:t>
      </w:r>
      <w:r w:rsidR="00F17CBE">
        <w:rPr>
          <w:rFonts w:ascii="Times New Roman" w:hAnsi="Times New Roman" w:cs="Times New Roman"/>
          <w:sz w:val="24"/>
          <w:szCs w:val="24"/>
          <w:lang w:val="en-GB"/>
        </w:rPr>
        <w:t>4</w:t>
      </w:r>
      <w:r w:rsidRPr="006B1899">
        <w:rPr>
          <w:rFonts w:ascii="Times New Roman" w:hAnsi="Times New Roman" w:cs="Times New Roman"/>
          <w:sz w:val="24"/>
          <w:szCs w:val="24"/>
          <w:lang w:val="en-GB"/>
        </w:rPr>
        <w:t xml:space="preserve">. Similarity coefficients of </w:t>
      </w:r>
      <w:r w:rsidR="00AF3F7D" w:rsidRPr="006B1899">
        <w:rPr>
          <w:rFonts w:ascii="Times New Roman" w:hAnsi="Times New Roman" w:cs="Times New Roman"/>
          <w:sz w:val="24"/>
          <w:szCs w:val="24"/>
          <w:lang w:val="en-GB"/>
        </w:rPr>
        <w:t xml:space="preserve">S </w:t>
      </w:r>
      <w:r w:rsidR="0086645C" w:rsidRPr="006B1899">
        <w:rPr>
          <w:rFonts w:ascii="Times New Roman" w:hAnsi="Times New Roman" w:cs="Times New Roman"/>
          <w:sz w:val="24"/>
          <w:szCs w:val="24"/>
          <w:lang w:val="en-GB"/>
        </w:rPr>
        <w:t xml:space="preserve">Ø </w:t>
      </w:r>
      <w:proofErr w:type="spellStart"/>
      <w:r w:rsidR="00AF3F7D" w:rsidRPr="006B1899">
        <w:rPr>
          <w:rFonts w:ascii="Times New Roman" w:hAnsi="Times New Roman" w:cs="Times New Roman"/>
          <w:sz w:val="24"/>
          <w:szCs w:val="24"/>
          <w:lang w:val="en-GB"/>
        </w:rPr>
        <w:t>rensen</w:t>
      </w:r>
      <w:proofErr w:type="spellEnd"/>
      <w:r w:rsidR="00AF3F7D" w:rsidRPr="006B1899">
        <w:rPr>
          <w:rFonts w:ascii="Times New Roman" w:hAnsi="Times New Roman" w:cs="Times New Roman"/>
          <w:sz w:val="24"/>
          <w:szCs w:val="24"/>
          <w:lang w:val="en-GB"/>
        </w:rPr>
        <w:t xml:space="preserve"> between the different plant groups.</w:t>
      </w:r>
    </w:p>
    <w:tbl>
      <w:tblPr>
        <w:tblStyle w:val="TableGrid"/>
        <w:tblW w:w="0" w:type="auto"/>
        <w:jc w:val="center"/>
        <w:tblLook w:val="04A0" w:firstRow="1" w:lastRow="0" w:firstColumn="1" w:lastColumn="0" w:noHBand="0" w:noVBand="1"/>
      </w:tblPr>
      <w:tblGrid>
        <w:gridCol w:w="2462"/>
        <w:gridCol w:w="756"/>
        <w:gridCol w:w="756"/>
        <w:gridCol w:w="851"/>
        <w:gridCol w:w="850"/>
      </w:tblGrid>
      <w:tr w:rsidR="00F224A6" w:rsidRPr="006B1899" w14:paraId="628066D6" w14:textId="77777777" w:rsidTr="00BE33C8">
        <w:trPr>
          <w:jc w:val="center"/>
        </w:trPr>
        <w:tc>
          <w:tcPr>
            <w:tcW w:w="2462" w:type="dxa"/>
          </w:tcPr>
          <w:p w14:paraId="2620719F" w14:textId="77777777" w:rsidR="003D1348" w:rsidRPr="006B1899" w:rsidRDefault="003D1348" w:rsidP="00C503E2">
            <w:pPr>
              <w:jc w:val="both"/>
              <w:rPr>
                <w:rFonts w:ascii="Times New Roman" w:hAnsi="Times New Roman" w:cs="Times New Roman"/>
                <w:sz w:val="24"/>
                <w:szCs w:val="24"/>
                <w:lang w:val="en-GB"/>
              </w:rPr>
            </w:pPr>
          </w:p>
        </w:tc>
        <w:tc>
          <w:tcPr>
            <w:tcW w:w="756" w:type="dxa"/>
          </w:tcPr>
          <w:p w14:paraId="45B3AC11"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w:t>
            </w:r>
          </w:p>
        </w:tc>
        <w:tc>
          <w:tcPr>
            <w:tcW w:w="756" w:type="dxa"/>
          </w:tcPr>
          <w:p w14:paraId="18DCD0B6"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GII</w:t>
            </w:r>
          </w:p>
        </w:tc>
        <w:tc>
          <w:tcPr>
            <w:tcW w:w="851" w:type="dxa"/>
          </w:tcPr>
          <w:p w14:paraId="6A3F82FF"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GIII</w:t>
            </w:r>
          </w:p>
        </w:tc>
        <w:tc>
          <w:tcPr>
            <w:tcW w:w="850" w:type="dxa"/>
          </w:tcPr>
          <w:p w14:paraId="21916946"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GIV</w:t>
            </w:r>
          </w:p>
        </w:tc>
      </w:tr>
      <w:tr w:rsidR="00F224A6" w:rsidRPr="006B1899" w14:paraId="3D4DDF16" w14:textId="77777777" w:rsidTr="00BE33C8">
        <w:trPr>
          <w:jc w:val="center"/>
        </w:trPr>
        <w:tc>
          <w:tcPr>
            <w:tcW w:w="2462" w:type="dxa"/>
          </w:tcPr>
          <w:p w14:paraId="72F619B9"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 (GI)</w:t>
            </w:r>
          </w:p>
        </w:tc>
        <w:tc>
          <w:tcPr>
            <w:tcW w:w="756" w:type="dxa"/>
          </w:tcPr>
          <w:p w14:paraId="6645C351" w14:textId="77777777" w:rsidR="003D1348" w:rsidRPr="006B1899" w:rsidRDefault="0099706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c>
          <w:tcPr>
            <w:tcW w:w="756" w:type="dxa"/>
          </w:tcPr>
          <w:p w14:paraId="1D62F709" w14:textId="77777777" w:rsidR="003D1348" w:rsidRPr="006B1899" w:rsidRDefault="003D1348" w:rsidP="00C503E2">
            <w:pPr>
              <w:jc w:val="both"/>
              <w:rPr>
                <w:rFonts w:ascii="Times New Roman" w:hAnsi="Times New Roman" w:cs="Times New Roman"/>
                <w:sz w:val="24"/>
                <w:szCs w:val="24"/>
                <w:lang w:val="en-GB"/>
              </w:rPr>
            </w:pPr>
          </w:p>
        </w:tc>
        <w:tc>
          <w:tcPr>
            <w:tcW w:w="851" w:type="dxa"/>
          </w:tcPr>
          <w:p w14:paraId="78ABCA5D" w14:textId="77777777" w:rsidR="003D1348" w:rsidRPr="006B1899" w:rsidRDefault="003D1348" w:rsidP="00C503E2">
            <w:pPr>
              <w:jc w:val="both"/>
              <w:rPr>
                <w:rFonts w:ascii="Times New Roman" w:hAnsi="Times New Roman" w:cs="Times New Roman"/>
                <w:sz w:val="24"/>
                <w:szCs w:val="24"/>
                <w:lang w:val="en-GB"/>
              </w:rPr>
            </w:pPr>
          </w:p>
        </w:tc>
        <w:tc>
          <w:tcPr>
            <w:tcW w:w="850" w:type="dxa"/>
          </w:tcPr>
          <w:p w14:paraId="717F5788" w14:textId="77777777" w:rsidR="003D1348" w:rsidRPr="006B1899" w:rsidRDefault="003D1348" w:rsidP="00C503E2">
            <w:pPr>
              <w:jc w:val="both"/>
              <w:rPr>
                <w:rFonts w:ascii="Times New Roman" w:hAnsi="Times New Roman" w:cs="Times New Roman"/>
                <w:sz w:val="24"/>
                <w:szCs w:val="24"/>
                <w:lang w:val="en-GB"/>
              </w:rPr>
            </w:pPr>
          </w:p>
        </w:tc>
      </w:tr>
      <w:tr w:rsidR="00F224A6" w:rsidRPr="006B1899" w14:paraId="6D31F987" w14:textId="77777777" w:rsidTr="00BE33C8">
        <w:trPr>
          <w:jc w:val="center"/>
        </w:trPr>
        <w:tc>
          <w:tcPr>
            <w:tcW w:w="2462" w:type="dxa"/>
          </w:tcPr>
          <w:p w14:paraId="6F74315F"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II (GII)</w:t>
            </w:r>
          </w:p>
        </w:tc>
        <w:tc>
          <w:tcPr>
            <w:tcW w:w="756" w:type="dxa"/>
          </w:tcPr>
          <w:p w14:paraId="5796F64E" w14:textId="77777777" w:rsidR="003D1348" w:rsidRPr="006B1899" w:rsidRDefault="00DC2A41"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57.14</w:t>
            </w:r>
          </w:p>
        </w:tc>
        <w:tc>
          <w:tcPr>
            <w:tcW w:w="756" w:type="dxa"/>
          </w:tcPr>
          <w:p w14:paraId="557404A6" w14:textId="77777777" w:rsidR="003D1348" w:rsidRPr="006B1899" w:rsidRDefault="00FC76C0"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c>
          <w:tcPr>
            <w:tcW w:w="851" w:type="dxa"/>
          </w:tcPr>
          <w:p w14:paraId="5EE326E0" w14:textId="77777777" w:rsidR="003D1348" w:rsidRPr="006B1899" w:rsidRDefault="003D1348" w:rsidP="00C503E2">
            <w:pPr>
              <w:jc w:val="both"/>
              <w:rPr>
                <w:rFonts w:ascii="Times New Roman" w:hAnsi="Times New Roman" w:cs="Times New Roman"/>
                <w:sz w:val="24"/>
                <w:szCs w:val="24"/>
                <w:lang w:val="en-GB"/>
              </w:rPr>
            </w:pPr>
          </w:p>
        </w:tc>
        <w:tc>
          <w:tcPr>
            <w:tcW w:w="850" w:type="dxa"/>
          </w:tcPr>
          <w:p w14:paraId="4B573FA8" w14:textId="77777777" w:rsidR="003D1348" w:rsidRPr="006B1899" w:rsidRDefault="003D1348" w:rsidP="00C503E2">
            <w:pPr>
              <w:jc w:val="both"/>
              <w:rPr>
                <w:rFonts w:ascii="Times New Roman" w:hAnsi="Times New Roman" w:cs="Times New Roman"/>
                <w:sz w:val="24"/>
                <w:szCs w:val="24"/>
                <w:lang w:val="en-GB"/>
              </w:rPr>
            </w:pPr>
          </w:p>
        </w:tc>
      </w:tr>
      <w:tr w:rsidR="00F224A6" w:rsidRPr="006B1899" w14:paraId="1B24C6AD" w14:textId="77777777" w:rsidTr="00BE33C8">
        <w:trPr>
          <w:jc w:val="center"/>
        </w:trPr>
        <w:tc>
          <w:tcPr>
            <w:tcW w:w="2462" w:type="dxa"/>
          </w:tcPr>
          <w:p w14:paraId="313EA6A8" w14:textId="77777777" w:rsidR="003D1348" w:rsidRPr="006B1899" w:rsidRDefault="00BE33C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III (GIII)</w:t>
            </w:r>
          </w:p>
        </w:tc>
        <w:tc>
          <w:tcPr>
            <w:tcW w:w="756" w:type="dxa"/>
          </w:tcPr>
          <w:p w14:paraId="4B8C4330" w14:textId="77777777" w:rsidR="003D1348" w:rsidRPr="006B1899" w:rsidRDefault="006D72C4"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31.71</w:t>
            </w:r>
          </w:p>
        </w:tc>
        <w:tc>
          <w:tcPr>
            <w:tcW w:w="756" w:type="dxa"/>
          </w:tcPr>
          <w:p w14:paraId="5EFA5F34" w14:textId="77777777" w:rsidR="003D1348" w:rsidRPr="006B1899" w:rsidRDefault="00A5161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30.59</w:t>
            </w:r>
          </w:p>
        </w:tc>
        <w:tc>
          <w:tcPr>
            <w:tcW w:w="851" w:type="dxa"/>
          </w:tcPr>
          <w:p w14:paraId="462334C4" w14:textId="77777777" w:rsidR="003D1348" w:rsidRPr="006B1899" w:rsidRDefault="0099706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c>
          <w:tcPr>
            <w:tcW w:w="850" w:type="dxa"/>
          </w:tcPr>
          <w:p w14:paraId="4FAC2C1A" w14:textId="77777777" w:rsidR="003D1348" w:rsidRPr="006B1899" w:rsidRDefault="003D1348" w:rsidP="00C503E2">
            <w:pPr>
              <w:jc w:val="both"/>
              <w:rPr>
                <w:rFonts w:ascii="Times New Roman" w:hAnsi="Times New Roman" w:cs="Times New Roman"/>
                <w:sz w:val="24"/>
                <w:szCs w:val="24"/>
                <w:lang w:val="en-GB"/>
              </w:rPr>
            </w:pPr>
          </w:p>
        </w:tc>
      </w:tr>
      <w:tr w:rsidR="00F224A6" w:rsidRPr="006B1899" w14:paraId="3B200A0E" w14:textId="77777777" w:rsidTr="00BE33C8">
        <w:trPr>
          <w:jc w:val="center"/>
        </w:trPr>
        <w:tc>
          <w:tcPr>
            <w:tcW w:w="2462" w:type="dxa"/>
          </w:tcPr>
          <w:p w14:paraId="6CE69D88"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IV (GIV)</w:t>
            </w:r>
          </w:p>
        </w:tc>
        <w:tc>
          <w:tcPr>
            <w:tcW w:w="756" w:type="dxa"/>
          </w:tcPr>
          <w:p w14:paraId="66365D92" w14:textId="77777777" w:rsidR="003D1348" w:rsidRPr="006B1899" w:rsidRDefault="00425517"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59.61</w:t>
            </w:r>
          </w:p>
        </w:tc>
        <w:tc>
          <w:tcPr>
            <w:tcW w:w="756" w:type="dxa"/>
          </w:tcPr>
          <w:p w14:paraId="4EB08AEC" w14:textId="77777777" w:rsidR="003D1348" w:rsidRPr="006B1899" w:rsidRDefault="002310A0"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56.07</w:t>
            </w:r>
          </w:p>
        </w:tc>
        <w:tc>
          <w:tcPr>
            <w:tcW w:w="851" w:type="dxa"/>
          </w:tcPr>
          <w:p w14:paraId="65CE5440" w14:textId="77777777" w:rsidR="003D1348" w:rsidRPr="006B1899" w:rsidRDefault="00DC2A41"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31.43</w:t>
            </w:r>
          </w:p>
        </w:tc>
        <w:tc>
          <w:tcPr>
            <w:tcW w:w="850" w:type="dxa"/>
          </w:tcPr>
          <w:p w14:paraId="37831742" w14:textId="77777777" w:rsidR="003D1348" w:rsidRPr="006B1899" w:rsidRDefault="0099706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r>
    </w:tbl>
    <w:p w14:paraId="572E9513" w14:textId="77777777" w:rsidR="003D1348" w:rsidRPr="006B1899" w:rsidRDefault="003D1348" w:rsidP="00C503E2">
      <w:pPr>
        <w:jc w:val="both"/>
        <w:rPr>
          <w:rFonts w:ascii="Times New Roman" w:hAnsi="Times New Roman" w:cs="Times New Roman"/>
          <w:sz w:val="24"/>
          <w:szCs w:val="24"/>
          <w:lang w:val="en-GB"/>
        </w:rPr>
      </w:pPr>
    </w:p>
    <w:p w14:paraId="3119D983" w14:textId="77777777" w:rsidR="001273C6" w:rsidRPr="006B1899" w:rsidRDefault="00C11C98" w:rsidP="001273C6">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III.2.5.</w:t>
      </w:r>
      <w:r w:rsidRPr="006B1899">
        <w:rPr>
          <w:rFonts w:ascii="Times New Roman" w:hAnsi="Times New Roman" w:cs="Times New Roman"/>
          <w:sz w:val="24"/>
          <w:szCs w:val="24"/>
          <w:lang w:val="en-GB"/>
        </w:rPr>
        <w:t xml:space="preserve"> </w:t>
      </w:r>
      <w:r w:rsidR="000019D7" w:rsidRPr="006B1899">
        <w:rPr>
          <w:rFonts w:ascii="Times New Roman" w:hAnsi="Times New Roman" w:cs="Times New Roman"/>
          <w:b/>
          <w:sz w:val="24"/>
          <w:szCs w:val="24"/>
          <w:lang w:val="en-GB"/>
        </w:rPr>
        <w:t>Biological and phytogeographic types of groups</w:t>
      </w:r>
    </w:p>
    <w:p w14:paraId="47BA47BD" w14:textId="77777777" w:rsidR="00311EA9" w:rsidRPr="006B1899" w:rsidRDefault="00A16B82" w:rsidP="007B3E2B">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biological and phytogeographic types of the identified herbaceous plant groups are illustrated in Figures 8 to 10. The analysis of these groupings shows that the biological types of the identified herbaceous plant groups are composed of </w:t>
      </w:r>
      <w:proofErr w:type="spellStart"/>
      <w:r w:rsidR="00264A7B">
        <w:rPr>
          <w:rFonts w:ascii="Times New Roman" w:hAnsi="Times New Roman" w:cs="Times New Roman"/>
          <w:sz w:val="24"/>
          <w:szCs w:val="24"/>
          <w:lang w:val="en-GB"/>
        </w:rPr>
        <w:t>cham</w:t>
      </w:r>
      <w:r w:rsidR="00311EA9" w:rsidRPr="006B1899">
        <w:rPr>
          <w:rFonts w:ascii="Times New Roman" w:hAnsi="Times New Roman" w:cs="Times New Roman"/>
          <w:sz w:val="24"/>
          <w:szCs w:val="24"/>
          <w:lang w:val="en-GB"/>
        </w:rPr>
        <w:t>ephytes</w:t>
      </w:r>
      <w:proofErr w:type="spellEnd"/>
      <w:r w:rsidR="00311EA9" w:rsidRPr="006B1899">
        <w:rPr>
          <w:rFonts w:ascii="Times New Roman" w:hAnsi="Times New Roman" w:cs="Times New Roman"/>
          <w:sz w:val="24"/>
          <w:szCs w:val="24"/>
          <w:lang w:val="en-GB"/>
        </w:rPr>
        <w:t xml:space="preserve"> , geophytes, </w:t>
      </w:r>
      <w:r w:rsidR="00440156" w:rsidRPr="006B1899">
        <w:rPr>
          <w:rFonts w:ascii="Times New Roman" w:hAnsi="Times New Roman" w:cs="Times New Roman"/>
          <w:sz w:val="24"/>
          <w:szCs w:val="24"/>
          <w:lang w:val="en-GB"/>
        </w:rPr>
        <w:t xml:space="preserve">hemicryptophytes , hydrophytes, therophytes and phanerophytes </w:t>
      </w:r>
      <w:r w:rsidR="00311EA9" w:rsidRPr="006B1899">
        <w:rPr>
          <w:rFonts w:ascii="Times New Roman" w:hAnsi="Times New Roman" w:cs="Times New Roman"/>
          <w:sz w:val="24"/>
          <w:szCs w:val="24"/>
          <w:lang w:val="en-GB"/>
        </w:rPr>
        <w:t>.</w:t>
      </w:r>
      <w:r w:rsidR="007B3E2B" w:rsidRPr="006B1899">
        <w:rPr>
          <w:rFonts w:ascii="Times New Roman" w:hAnsi="Times New Roman" w:cs="Times New Roman"/>
          <w:sz w:val="24"/>
          <w:szCs w:val="24"/>
          <w:lang w:val="en-GB"/>
        </w:rPr>
        <w:t xml:space="preserve"> The predominance of biological types varies depending on the herbaceous plant groups. Thus, the rate of </w:t>
      </w:r>
      <w:r w:rsidR="004A1C30" w:rsidRPr="006B1899">
        <w:rPr>
          <w:rFonts w:ascii="Times New Roman" w:hAnsi="Times New Roman" w:cs="Times New Roman"/>
          <w:sz w:val="24"/>
          <w:szCs w:val="24"/>
          <w:lang w:val="en-GB"/>
        </w:rPr>
        <w:t xml:space="preserve">therophytes is high in the herbaceous plant groups GI (46.60%), GII (49.20%), GIII (29.20%) and GIV (34.80%) to the detriment of other biological forms including </w:t>
      </w:r>
      <w:proofErr w:type="spellStart"/>
      <w:proofErr w:type="gramStart"/>
      <w:r w:rsidR="00264A7B">
        <w:rPr>
          <w:rFonts w:ascii="Times New Roman" w:hAnsi="Times New Roman" w:cs="Times New Roman"/>
          <w:sz w:val="24"/>
          <w:szCs w:val="24"/>
          <w:lang w:val="en-GB"/>
        </w:rPr>
        <w:t>cham</w:t>
      </w:r>
      <w:r w:rsidR="000B0841" w:rsidRPr="006B1899">
        <w:rPr>
          <w:rFonts w:ascii="Times New Roman" w:hAnsi="Times New Roman" w:cs="Times New Roman"/>
          <w:sz w:val="24"/>
          <w:szCs w:val="24"/>
          <w:lang w:val="en-GB"/>
        </w:rPr>
        <w:t>ephytes</w:t>
      </w:r>
      <w:proofErr w:type="spellEnd"/>
      <w:r w:rsidR="000B0841" w:rsidRPr="006B1899">
        <w:rPr>
          <w:rFonts w:ascii="Times New Roman" w:hAnsi="Times New Roman" w:cs="Times New Roman"/>
          <w:sz w:val="24"/>
          <w:szCs w:val="24"/>
          <w:lang w:val="en-GB"/>
        </w:rPr>
        <w:t xml:space="preserve"> ,</w:t>
      </w:r>
      <w:proofErr w:type="gramEnd"/>
      <w:r w:rsidR="000B0841" w:rsidRPr="006B1899">
        <w:rPr>
          <w:rFonts w:ascii="Times New Roman" w:hAnsi="Times New Roman" w:cs="Times New Roman"/>
          <w:sz w:val="24"/>
          <w:szCs w:val="24"/>
          <w:lang w:val="en-GB"/>
        </w:rPr>
        <w:t xml:space="preserve"> geophytes, </w:t>
      </w:r>
      <w:proofErr w:type="spellStart"/>
      <w:r w:rsidR="000B0841" w:rsidRPr="006B1899">
        <w:rPr>
          <w:rFonts w:ascii="Times New Roman" w:hAnsi="Times New Roman" w:cs="Times New Roman"/>
          <w:sz w:val="24"/>
          <w:szCs w:val="24"/>
          <w:lang w:val="en-GB"/>
        </w:rPr>
        <w:t>hemicrytophytes</w:t>
      </w:r>
      <w:proofErr w:type="spellEnd"/>
      <w:r w:rsidR="000B0841" w:rsidRPr="006B1899">
        <w:rPr>
          <w:rFonts w:ascii="Times New Roman" w:hAnsi="Times New Roman" w:cs="Times New Roman"/>
          <w:sz w:val="24"/>
          <w:szCs w:val="24"/>
          <w:lang w:val="en-GB"/>
        </w:rPr>
        <w:t xml:space="preserve"> and hydrophytes. The proportion of hydrophytes (1.70%) is very low; they are only represented in the GI group.</w:t>
      </w:r>
    </w:p>
    <w:p w14:paraId="505EECA2" w14:textId="77777777" w:rsidR="00300242" w:rsidRPr="006B1899" w:rsidRDefault="00F27E49" w:rsidP="00A16B82">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Regarding the phytogeographic types, the herbaceous plant groups GI, GII, GIII and GIV are dominated at 87.93%, 96.72%, 87.50% and 93.48% by the species with a wide distribution (Afro-American, Afro-Malagasy, Afro-tropical, cosmopolitan, </w:t>
      </w:r>
      <w:r w:rsidR="00D26A47" w:rsidRPr="006B1899">
        <w:rPr>
          <w:rFonts w:ascii="Times New Roman" w:hAnsi="Times New Roman" w:cs="Times New Roman"/>
          <w:sz w:val="24"/>
          <w:szCs w:val="24"/>
          <w:lang w:val="en-GB"/>
        </w:rPr>
        <w:t xml:space="preserve">paleotropical and pantropical) respectively (Figure 9). These are followed by the </w:t>
      </w:r>
      <w:proofErr w:type="spellStart"/>
      <w:r w:rsidR="00D26A47" w:rsidRPr="006B1899">
        <w:rPr>
          <w:rFonts w:ascii="Times New Roman" w:hAnsi="Times New Roman" w:cs="Times New Roman"/>
          <w:sz w:val="24"/>
          <w:szCs w:val="24"/>
          <w:lang w:val="en-GB"/>
        </w:rPr>
        <w:t>Guineo-Congolian</w:t>
      </w:r>
      <w:proofErr w:type="spellEnd"/>
      <w:r w:rsidR="00D26A47" w:rsidRPr="006B1899">
        <w:rPr>
          <w:rFonts w:ascii="Times New Roman" w:hAnsi="Times New Roman" w:cs="Times New Roman"/>
          <w:sz w:val="24"/>
          <w:szCs w:val="24"/>
          <w:lang w:val="en-GB"/>
        </w:rPr>
        <w:t xml:space="preserve"> and </w:t>
      </w:r>
      <w:proofErr w:type="spellStart"/>
      <w:r w:rsidR="00D26A47" w:rsidRPr="006B1899">
        <w:rPr>
          <w:rFonts w:ascii="Times New Roman" w:hAnsi="Times New Roman" w:cs="Times New Roman"/>
          <w:sz w:val="24"/>
          <w:szCs w:val="24"/>
          <w:lang w:val="en-GB"/>
        </w:rPr>
        <w:t>Sudano</w:t>
      </w:r>
      <w:proofErr w:type="spellEnd"/>
      <w:r w:rsidR="00D26A47" w:rsidRPr="006B1899">
        <w:rPr>
          <w:rFonts w:ascii="Times New Roman" w:hAnsi="Times New Roman" w:cs="Times New Roman"/>
          <w:sz w:val="24"/>
          <w:szCs w:val="24"/>
          <w:lang w:val="en-GB"/>
        </w:rPr>
        <w:t xml:space="preserve">- </w:t>
      </w:r>
      <w:r w:rsidR="002E680A" w:rsidRPr="006B1899">
        <w:rPr>
          <w:rFonts w:ascii="Times New Roman" w:hAnsi="Times New Roman" w:cs="Times New Roman"/>
          <w:sz w:val="24"/>
          <w:szCs w:val="24"/>
          <w:lang w:val="en-GB"/>
        </w:rPr>
        <w:t xml:space="preserve">Zambezi </w:t>
      </w:r>
      <w:proofErr w:type="gramStart"/>
      <w:r w:rsidR="002E680A" w:rsidRPr="006B1899">
        <w:rPr>
          <w:rFonts w:ascii="Times New Roman" w:hAnsi="Times New Roman" w:cs="Times New Roman"/>
          <w:sz w:val="24"/>
          <w:szCs w:val="24"/>
          <w:lang w:val="en-GB"/>
        </w:rPr>
        <w:t>species .</w:t>
      </w:r>
      <w:proofErr w:type="gramEnd"/>
      <w:r w:rsidR="002E680A" w:rsidRPr="006B1899">
        <w:rPr>
          <w:rFonts w:ascii="Times New Roman" w:hAnsi="Times New Roman" w:cs="Times New Roman"/>
          <w:sz w:val="24"/>
          <w:szCs w:val="24"/>
          <w:lang w:val="en-GB"/>
        </w:rPr>
        <w:t xml:space="preserve"> Figure 10 shows the results of </w:t>
      </w:r>
      <w:r w:rsidR="00300242" w:rsidRPr="006B1899">
        <w:rPr>
          <w:rFonts w:ascii="Times New Roman" w:hAnsi="Times New Roman" w:cs="Times New Roman"/>
          <w:sz w:val="24"/>
          <w:szCs w:val="24"/>
          <w:lang w:val="en-GB"/>
        </w:rPr>
        <w:t xml:space="preserve">the detailed examination of the phytogeographic </w:t>
      </w:r>
      <w:r w:rsidR="00300242" w:rsidRPr="006B1899">
        <w:rPr>
          <w:rFonts w:ascii="Times New Roman" w:hAnsi="Times New Roman" w:cs="Times New Roman"/>
          <w:sz w:val="24"/>
          <w:szCs w:val="24"/>
          <w:lang w:val="en-GB"/>
        </w:rPr>
        <w:lastRenderedPageBreak/>
        <w:t>distribution. It highlights the preponderance in the plant groups of the pantropical species GI (51.72%), GII (55.74%), GIII (54.17%) and GIV (63.04%).</w:t>
      </w:r>
    </w:p>
    <w:p w14:paraId="64A8EDEC" w14:textId="77777777" w:rsidR="002B0463" w:rsidRPr="006B1899" w:rsidRDefault="004E5CFC" w:rsidP="001C7606">
      <w:pPr>
        <w:spacing w:line="360" w:lineRule="auto"/>
        <w:jc w:val="center"/>
        <w:rPr>
          <w:rFonts w:ascii="Times New Roman" w:hAnsi="Times New Roman" w:cs="Times New Roman"/>
          <w:sz w:val="24"/>
          <w:szCs w:val="24"/>
          <w:lang w:val="en-GB"/>
        </w:rPr>
      </w:pPr>
      <w:r>
        <w:rPr>
          <w:noProof/>
          <w:lang w:val="fr-FR" w:eastAsia="fr-FR"/>
        </w:rPr>
        <w:drawing>
          <wp:inline distT="0" distB="0" distL="0" distR="0" wp14:anchorId="0C7099E8" wp14:editId="56CD1A05">
            <wp:extent cx="4572000" cy="2743200"/>
            <wp:effectExtent l="0" t="0" r="19050" b="190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BC663A" w14:textId="77777777" w:rsidR="002B0463" w:rsidRPr="006B1899" w:rsidRDefault="00B13727" w:rsidP="000D486C">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8. Proportions of biological types of species by herbaceous plant grouping.</w:t>
      </w:r>
    </w:p>
    <w:p w14:paraId="39AAA3B3" w14:textId="77777777" w:rsidR="00F11D62" w:rsidRPr="006B1899" w:rsidRDefault="00DF4902" w:rsidP="00CE493A">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156C0943" wp14:editId="6CAC01D7">
            <wp:extent cx="4572000" cy="2743200"/>
            <wp:effectExtent l="0" t="0" r="19050" b="1905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56E1B1" w14:textId="77777777" w:rsidR="004A3B03" w:rsidRPr="006B1899" w:rsidRDefault="00B13727" w:rsidP="007E7B0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9. Proportions of biogeographic types of species by herbaceous plant grouping.</w:t>
      </w:r>
    </w:p>
    <w:p w14:paraId="3A1D3112" w14:textId="77777777" w:rsidR="009F347C" w:rsidRPr="006B1899" w:rsidRDefault="009F347C" w:rsidP="009F347C">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lastRenderedPageBreak/>
        <w:drawing>
          <wp:inline distT="0" distB="0" distL="0" distR="0" wp14:anchorId="1DCF7F48" wp14:editId="3C52AF78">
            <wp:extent cx="4572000" cy="2743200"/>
            <wp:effectExtent l="0" t="0" r="19050" b="1905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F05D5A" w14:textId="77777777" w:rsidR="009C1497" w:rsidRPr="006B1899" w:rsidRDefault="009C1497" w:rsidP="009C1497">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10. Detailed phytogeographic spectrum of herbaceous plant groups.</w:t>
      </w:r>
    </w:p>
    <w:p w14:paraId="7C3A090D" w14:textId="77777777" w:rsidR="003C5283" w:rsidRPr="006B1899" w:rsidRDefault="003C5283" w:rsidP="00BF0F06">
      <w:pPr>
        <w:spacing w:line="240" w:lineRule="auto"/>
        <w:rPr>
          <w:rFonts w:ascii="Times New Roman" w:hAnsi="Times New Roman" w:cs="Times New Roman"/>
          <w:b/>
          <w:sz w:val="24"/>
          <w:szCs w:val="24"/>
          <w:lang w:val="en-GB"/>
        </w:rPr>
      </w:pPr>
      <w:r w:rsidRPr="006B1899">
        <w:rPr>
          <w:rFonts w:ascii="Times New Roman" w:hAnsi="Times New Roman" w:cs="Times New Roman"/>
          <w:b/>
          <w:sz w:val="24"/>
          <w:szCs w:val="24"/>
          <w:lang w:val="en-GB"/>
        </w:rPr>
        <w:t>III. Discussion</w:t>
      </w:r>
    </w:p>
    <w:p w14:paraId="597A433D" w14:textId="77777777" w:rsidR="003C5283" w:rsidRPr="006B1899" w:rsidRDefault="003C5283" w:rsidP="00BF0F06">
      <w:pPr>
        <w:spacing w:line="240" w:lineRule="auto"/>
        <w:rPr>
          <w:rFonts w:ascii="Times New Roman" w:hAnsi="Times New Roman" w:cs="Times New Roman"/>
          <w:b/>
          <w:sz w:val="24"/>
          <w:szCs w:val="24"/>
          <w:lang w:val="en-GB"/>
        </w:rPr>
      </w:pPr>
      <w:r w:rsidRPr="006B1899">
        <w:rPr>
          <w:rFonts w:ascii="Times New Roman" w:hAnsi="Times New Roman" w:cs="Times New Roman"/>
          <w:b/>
          <w:sz w:val="24"/>
          <w:szCs w:val="24"/>
          <w:lang w:val="en-GB"/>
        </w:rPr>
        <w:t>III.1. Floristic composition</w:t>
      </w:r>
    </w:p>
    <w:p w14:paraId="42725D64" w14:textId="77777777" w:rsidR="00DA7318" w:rsidRPr="006B1899" w:rsidRDefault="003531AE" w:rsidP="00242920">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floristic inventories made it possible to identify 98 plant species over an area of 0.45 ha. This high specific richness can be explained by environmental hetero</w:t>
      </w:r>
      <w:r w:rsidR="004E5CFC">
        <w:rPr>
          <w:rFonts w:ascii="Times New Roman" w:hAnsi="Times New Roman" w:cs="Times New Roman"/>
          <w:sz w:val="24"/>
          <w:szCs w:val="24"/>
          <w:lang w:val="en-GB"/>
        </w:rPr>
        <w:t>geneity and habitat diversity (</w:t>
      </w:r>
      <w:proofErr w:type="spellStart"/>
      <w:r w:rsidR="00860C93" w:rsidRPr="006B1899">
        <w:rPr>
          <w:rFonts w:ascii="Times New Roman" w:hAnsi="Times New Roman" w:cs="Times New Roman"/>
          <w:sz w:val="24"/>
          <w:szCs w:val="24"/>
          <w:lang w:val="en-GB"/>
        </w:rPr>
        <w:t>Mabafei</w:t>
      </w:r>
      <w:proofErr w:type="spellEnd"/>
      <w:r w:rsidR="00860C93" w:rsidRPr="006B1899">
        <w:rPr>
          <w:rFonts w:ascii="Times New Roman" w:hAnsi="Times New Roman" w:cs="Times New Roman"/>
          <w:sz w:val="24"/>
          <w:szCs w:val="24"/>
          <w:lang w:val="en-GB"/>
        </w:rPr>
        <w:t xml:space="preserve"> et al., 2021); combined with </w:t>
      </w:r>
      <w:proofErr w:type="spellStart"/>
      <w:r w:rsidR="00517FBA" w:rsidRPr="006B1899">
        <w:rPr>
          <w:rFonts w:ascii="Times New Roman" w:hAnsi="Times New Roman" w:cs="Times New Roman"/>
          <w:sz w:val="24"/>
          <w:szCs w:val="24"/>
          <w:lang w:val="en-GB"/>
        </w:rPr>
        <w:t>anthropozoogenic</w:t>
      </w:r>
      <w:proofErr w:type="spellEnd"/>
      <w:r w:rsidR="00517FBA" w:rsidRPr="006B1899">
        <w:rPr>
          <w:rFonts w:ascii="Times New Roman" w:hAnsi="Times New Roman" w:cs="Times New Roman"/>
          <w:sz w:val="24"/>
          <w:szCs w:val="24"/>
          <w:lang w:val="en-GB"/>
        </w:rPr>
        <w:t xml:space="preserve"> actio</w:t>
      </w:r>
      <w:r w:rsidR="004E5CFC">
        <w:rPr>
          <w:rFonts w:ascii="Times New Roman" w:hAnsi="Times New Roman" w:cs="Times New Roman"/>
          <w:sz w:val="24"/>
          <w:szCs w:val="24"/>
          <w:lang w:val="en-GB"/>
        </w:rPr>
        <w:t>ns (</w:t>
      </w:r>
      <w:proofErr w:type="spellStart"/>
      <w:r w:rsidR="00517FBA" w:rsidRPr="006B1899">
        <w:rPr>
          <w:rFonts w:ascii="Times New Roman" w:hAnsi="Times New Roman" w:cs="Times New Roman"/>
          <w:sz w:val="24"/>
          <w:szCs w:val="24"/>
          <w:lang w:val="en-GB"/>
        </w:rPr>
        <w:t>Bouhissi</w:t>
      </w:r>
      <w:proofErr w:type="spellEnd"/>
      <w:r w:rsidR="00517FBA" w:rsidRPr="006B1899">
        <w:rPr>
          <w:rFonts w:ascii="Times New Roman" w:hAnsi="Times New Roman" w:cs="Times New Roman"/>
          <w:sz w:val="24"/>
          <w:szCs w:val="24"/>
          <w:lang w:val="en-GB"/>
        </w:rPr>
        <w:t xml:space="preserve"> et al., 2021).</w:t>
      </w:r>
      <w:r w:rsidR="0018257D" w:rsidRPr="006B1899">
        <w:rPr>
          <w:rFonts w:ascii="Times New Roman" w:hAnsi="Times New Roman" w:cs="Times New Roman"/>
          <w:sz w:val="24"/>
          <w:szCs w:val="24"/>
          <w:lang w:val="en-GB"/>
        </w:rPr>
        <w:t xml:space="preserve"> </w:t>
      </w:r>
      <w:r w:rsidR="00A32740" w:rsidRPr="006B1899">
        <w:rPr>
          <w:rFonts w:ascii="Times New Roman" w:hAnsi="Times New Roman" w:cs="Times New Roman"/>
          <w:sz w:val="24"/>
          <w:szCs w:val="24"/>
          <w:lang w:val="en-GB"/>
        </w:rPr>
        <w:t xml:space="preserve">However, it is not exhaustive for the study area, because many annual herbaceous species have not been inventoried due to the difficulty of access in certain wetland market gardens. The flora is dominated by </w:t>
      </w:r>
      <w:r w:rsidR="00A73AD8" w:rsidRPr="006B1899">
        <w:rPr>
          <w:rFonts w:ascii="Times New Roman" w:hAnsi="Times New Roman" w:cs="Times New Roman"/>
          <w:i/>
          <w:sz w:val="24"/>
          <w:szCs w:val="24"/>
          <w:lang w:val="en-GB"/>
        </w:rPr>
        <w:t xml:space="preserve">Asteraceae </w:t>
      </w:r>
      <w:r w:rsidR="00A73AD8" w:rsidRPr="006B1899">
        <w:rPr>
          <w:rFonts w:ascii="Times New Roman" w:hAnsi="Times New Roman" w:cs="Times New Roman"/>
          <w:sz w:val="24"/>
          <w:szCs w:val="24"/>
          <w:lang w:val="en-GB"/>
        </w:rPr>
        <w:t xml:space="preserve">(18.36%), </w:t>
      </w:r>
      <w:r w:rsidR="00A73AD8" w:rsidRPr="006B1899">
        <w:rPr>
          <w:rFonts w:ascii="Times New Roman" w:hAnsi="Times New Roman" w:cs="Times New Roman"/>
          <w:i/>
          <w:sz w:val="24"/>
          <w:szCs w:val="24"/>
          <w:lang w:val="en-GB"/>
        </w:rPr>
        <w:t xml:space="preserve">Fabaceae </w:t>
      </w:r>
      <w:r w:rsidR="00A73AD8" w:rsidRPr="006B1899">
        <w:rPr>
          <w:rFonts w:ascii="Times New Roman" w:hAnsi="Times New Roman" w:cs="Times New Roman"/>
          <w:sz w:val="24"/>
          <w:szCs w:val="24"/>
          <w:lang w:val="en-GB"/>
        </w:rPr>
        <w:t xml:space="preserve">(10.20%), </w:t>
      </w:r>
      <w:proofErr w:type="spellStart"/>
      <w:r w:rsidR="00A73AD8" w:rsidRPr="006B1899">
        <w:rPr>
          <w:rFonts w:ascii="Times New Roman" w:hAnsi="Times New Roman" w:cs="Times New Roman"/>
          <w:i/>
          <w:sz w:val="24"/>
          <w:szCs w:val="24"/>
          <w:lang w:val="en-GB"/>
        </w:rPr>
        <w:t>Cyperaceae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(9.18%), </w:t>
      </w:r>
      <w:proofErr w:type="spellStart"/>
      <w:r w:rsidR="00A73AD8" w:rsidRPr="006B1899">
        <w:rPr>
          <w:rFonts w:ascii="Times New Roman" w:hAnsi="Times New Roman" w:cs="Times New Roman"/>
          <w:i/>
          <w:sz w:val="24"/>
          <w:szCs w:val="24"/>
          <w:lang w:val="en-GB"/>
        </w:rPr>
        <w:t>Poaceae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(8.16%), </w:t>
      </w:r>
      <w:proofErr w:type="spellStart"/>
      <w:r w:rsidR="00A73AD8" w:rsidRPr="006B1899">
        <w:rPr>
          <w:rFonts w:ascii="Times New Roman" w:hAnsi="Times New Roman" w:cs="Times New Roman"/>
          <w:i/>
          <w:sz w:val="24"/>
          <w:szCs w:val="24"/>
          <w:lang w:val="en-GB"/>
        </w:rPr>
        <w:t>Euphorbiaceae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(6.12%) and </w:t>
      </w:r>
      <w:proofErr w:type="spellStart"/>
      <w:r w:rsidR="00A73AD8" w:rsidRPr="006B1899">
        <w:rPr>
          <w:rFonts w:ascii="Times New Roman" w:hAnsi="Times New Roman" w:cs="Times New Roman"/>
          <w:i/>
          <w:sz w:val="24"/>
          <w:szCs w:val="24"/>
          <w:lang w:val="en-GB"/>
        </w:rPr>
        <w:t>Amaranthaceae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(5.10%). </w:t>
      </w:r>
      <w:r w:rsidR="00B668DF" w:rsidRPr="006B1899">
        <w:rPr>
          <w:rFonts w:ascii="Times New Roman" w:hAnsi="Times New Roman" w:cs="Times New Roman"/>
          <w:i/>
          <w:sz w:val="24"/>
          <w:szCs w:val="24"/>
          <w:lang w:val="en-GB"/>
        </w:rPr>
        <w:t xml:space="preserve">Asteraceae </w:t>
      </w:r>
      <w:r w:rsidR="00B668DF" w:rsidRPr="006B1899">
        <w:rPr>
          <w:rFonts w:ascii="Times New Roman" w:hAnsi="Times New Roman" w:cs="Times New Roman"/>
          <w:sz w:val="24"/>
          <w:szCs w:val="24"/>
          <w:lang w:val="en-GB"/>
        </w:rPr>
        <w:t xml:space="preserve">and </w:t>
      </w:r>
      <w:r w:rsidR="009B6424" w:rsidRPr="006B1899">
        <w:rPr>
          <w:rFonts w:ascii="Times New Roman" w:hAnsi="Times New Roman" w:cs="Times New Roman"/>
          <w:i/>
          <w:sz w:val="24"/>
          <w:szCs w:val="24"/>
          <w:lang w:val="en-GB"/>
        </w:rPr>
        <w:t xml:space="preserve">Fabaceae </w:t>
      </w:r>
      <w:r w:rsidR="009B6424" w:rsidRPr="006B1899">
        <w:rPr>
          <w:rFonts w:ascii="Times New Roman" w:hAnsi="Times New Roman" w:cs="Times New Roman"/>
          <w:sz w:val="24"/>
          <w:szCs w:val="24"/>
          <w:lang w:val="en-GB"/>
        </w:rPr>
        <w:t xml:space="preserve">which occupy a prominent place in the edges of the marshy wetlands of the city of Yaoundé and its surroundings are also reported by </w:t>
      </w:r>
      <w:r w:rsidR="00F24A8B" w:rsidRPr="006B1899">
        <w:rPr>
          <w:rFonts w:ascii="Times New Roman" w:hAnsi="Times New Roman" w:cs="Times New Roman"/>
          <w:sz w:val="24"/>
          <w:szCs w:val="24"/>
          <w:lang w:val="en-GB"/>
        </w:rPr>
        <w:t>Kono et al. (2024) as being the most numerous in Central Africa.</w:t>
      </w:r>
      <w:r w:rsidR="009B6424" w:rsidRPr="006B1899">
        <w:rPr>
          <w:rFonts w:ascii="Times New Roman" w:hAnsi="Times New Roman" w:cs="Times New Roman"/>
          <w:sz w:val="24"/>
          <w:szCs w:val="24"/>
          <w:lang w:val="en-GB"/>
        </w:rPr>
        <w:t xml:space="preserve"> Studies carried out in several regions of Cameroon also highlight the preponderance of these families which fall into the category of cosmopolitan families wit</w:t>
      </w:r>
      <w:r w:rsidR="004E5CFC">
        <w:rPr>
          <w:rFonts w:ascii="Times New Roman" w:hAnsi="Times New Roman" w:cs="Times New Roman"/>
          <w:sz w:val="24"/>
          <w:szCs w:val="24"/>
          <w:lang w:val="en-GB"/>
        </w:rPr>
        <w:t>h great ecological plasticity (</w:t>
      </w:r>
      <w:proofErr w:type="spellStart"/>
      <w:r w:rsidR="001679FD" w:rsidRPr="006B1899">
        <w:rPr>
          <w:rFonts w:ascii="Times New Roman" w:hAnsi="Times New Roman" w:cs="Times New Roman"/>
          <w:sz w:val="24"/>
          <w:szCs w:val="24"/>
          <w:lang w:val="en-GB"/>
        </w:rPr>
        <w:t>Mbarga</w:t>
      </w:r>
      <w:proofErr w:type="spellEnd"/>
      <w:r w:rsidR="001679FD" w:rsidRPr="006B1899">
        <w:rPr>
          <w:rFonts w:ascii="Times New Roman" w:hAnsi="Times New Roman" w:cs="Times New Roman"/>
          <w:sz w:val="24"/>
          <w:szCs w:val="24"/>
          <w:lang w:val="en-GB"/>
        </w:rPr>
        <w:t xml:space="preserve"> </w:t>
      </w:r>
      <w:proofErr w:type="spellStart"/>
      <w:r w:rsidR="001679FD" w:rsidRPr="006B1899">
        <w:rPr>
          <w:rFonts w:ascii="Times New Roman" w:hAnsi="Times New Roman" w:cs="Times New Roman"/>
          <w:sz w:val="24"/>
          <w:szCs w:val="24"/>
          <w:lang w:val="en-GB"/>
        </w:rPr>
        <w:t>Bindzi</w:t>
      </w:r>
      <w:proofErr w:type="spellEnd"/>
      <w:r w:rsidR="001679FD" w:rsidRPr="006B1899">
        <w:rPr>
          <w:rFonts w:ascii="Times New Roman" w:hAnsi="Times New Roman" w:cs="Times New Roman"/>
          <w:sz w:val="24"/>
          <w:szCs w:val="24"/>
          <w:lang w:val="en-GB"/>
        </w:rPr>
        <w:t xml:space="preserve"> </w:t>
      </w:r>
      <w:r w:rsidR="001679FD" w:rsidRPr="00590D55">
        <w:rPr>
          <w:rFonts w:ascii="Times New Roman" w:hAnsi="Times New Roman" w:cs="Times New Roman"/>
          <w:i/>
          <w:sz w:val="24"/>
          <w:szCs w:val="24"/>
          <w:lang w:val="en-GB"/>
        </w:rPr>
        <w:t>et al</w:t>
      </w:r>
      <w:r w:rsidR="001679FD" w:rsidRPr="006B1899">
        <w:rPr>
          <w:rFonts w:ascii="Times New Roman" w:hAnsi="Times New Roman" w:cs="Times New Roman"/>
          <w:sz w:val="24"/>
          <w:szCs w:val="24"/>
          <w:lang w:val="en-GB"/>
        </w:rPr>
        <w:t xml:space="preserve">., </w:t>
      </w:r>
      <w:r w:rsidR="00242920" w:rsidRPr="006B1899">
        <w:rPr>
          <w:rFonts w:ascii="Times New Roman" w:hAnsi="Times New Roman" w:cs="Times New Roman"/>
          <w:sz w:val="24"/>
          <w:szCs w:val="24"/>
          <w:lang w:val="en-GB"/>
        </w:rPr>
        <w:t xml:space="preserve">2017; Momo </w:t>
      </w:r>
      <w:proofErr w:type="spellStart"/>
      <w:r w:rsidR="008967A5" w:rsidRPr="006B1899">
        <w:rPr>
          <w:rFonts w:ascii="Times New Roman" w:hAnsi="Times New Roman" w:cs="Times New Roman"/>
          <w:sz w:val="24"/>
          <w:szCs w:val="24"/>
          <w:lang w:val="en-GB"/>
        </w:rPr>
        <w:t>Solefack</w:t>
      </w:r>
      <w:proofErr w:type="spellEnd"/>
      <w:r w:rsidR="008967A5" w:rsidRPr="006B1899">
        <w:rPr>
          <w:rFonts w:ascii="Times New Roman" w:hAnsi="Times New Roman" w:cs="Times New Roman"/>
          <w:sz w:val="24"/>
          <w:szCs w:val="24"/>
          <w:lang w:val="en-GB"/>
        </w:rPr>
        <w:t xml:space="preserve"> </w:t>
      </w:r>
      <w:r w:rsidR="008967A5" w:rsidRPr="00590D55">
        <w:rPr>
          <w:rFonts w:ascii="Times New Roman" w:hAnsi="Times New Roman" w:cs="Times New Roman"/>
          <w:i/>
          <w:sz w:val="24"/>
          <w:szCs w:val="24"/>
          <w:lang w:val="en-GB"/>
        </w:rPr>
        <w:t>et al</w:t>
      </w:r>
      <w:r w:rsidR="008967A5" w:rsidRPr="006B1899">
        <w:rPr>
          <w:rFonts w:ascii="Times New Roman" w:hAnsi="Times New Roman" w:cs="Times New Roman"/>
          <w:sz w:val="24"/>
          <w:szCs w:val="24"/>
          <w:lang w:val="en-GB"/>
        </w:rPr>
        <w:t>., 2018).</w:t>
      </w:r>
      <w:r w:rsidR="00905770" w:rsidRPr="006B1899">
        <w:rPr>
          <w:rFonts w:ascii="Times New Roman" w:hAnsi="Times New Roman" w:cs="Times New Roman"/>
          <w:i/>
          <w:sz w:val="24"/>
          <w:szCs w:val="24"/>
          <w:lang w:val="en-GB"/>
        </w:rPr>
        <w:t xml:space="preserve"> </w:t>
      </w:r>
      <w:r w:rsidR="005951F5" w:rsidRPr="006B1899">
        <w:rPr>
          <w:rFonts w:ascii="Times New Roman" w:hAnsi="Times New Roman" w:cs="Times New Roman"/>
          <w:sz w:val="24"/>
          <w:szCs w:val="24"/>
          <w:lang w:val="en-GB"/>
        </w:rPr>
        <w:t xml:space="preserve">Their </w:t>
      </w:r>
      <w:proofErr w:type="spellStart"/>
      <w:r w:rsidR="005951F5" w:rsidRPr="006B1899">
        <w:rPr>
          <w:rFonts w:ascii="Times New Roman" w:hAnsi="Times New Roman" w:cs="Times New Roman"/>
          <w:sz w:val="24"/>
          <w:szCs w:val="24"/>
          <w:lang w:val="en-GB"/>
        </w:rPr>
        <w:t>preeminence</w:t>
      </w:r>
      <w:proofErr w:type="spellEnd"/>
      <w:r w:rsidR="005951F5" w:rsidRPr="006B1899">
        <w:rPr>
          <w:rFonts w:ascii="Times New Roman" w:hAnsi="Times New Roman" w:cs="Times New Roman"/>
          <w:sz w:val="24"/>
          <w:szCs w:val="24"/>
          <w:lang w:val="en-GB"/>
        </w:rPr>
        <w:t xml:space="preserve"> is therefore a charac</w:t>
      </w:r>
      <w:r w:rsidR="004E5CFC">
        <w:rPr>
          <w:rFonts w:ascii="Times New Roman" w:hAnsi="Times New Roman" w:cs="Times New Roman"/>
          <w:sz w:val="24"/>
          <w:szCs w:val="24"/>
          <w:lang w:val="en-GB"/>
        </w:rPr>
        <w:t>teristic of open environments (</w:t>
      </w:r>
      <w:proofErr w:type="spellStart"/>
      <w:r w:rsidR="003F06BF" w:rsidRPr="006B1899">
        <w:rPr>
          <w:rFonts w:ascii="Times New Roman" w:hAnsi="Times New Roman" w:cs="Times New Roman"/>
          <w:sz w:val="24"/>
          <w:szCs w:val="24"/>
          <w:lang w:val="en-GB"/>
        </w:rPr>
        <w:t>Mbarga</w:t>
      </w:r>
      <w:proofErr w:type="spellEnd"/>
      <w:r w:rsidR="003F06BF" w:rsidRPr="006B1899">
        <w:rPr>
          <w:rFonts w:ascii="Times New Roman" w:hAnsi="Times New Roman" w:cs="Times New Roman"/>
          <w:sz w:val="24"/>
          <w:szCs w:val="24"/>
          <w:lang w:val="en-GB"/>
        </w:rPr>
        <w:t xml:space="preserve"> </w:t>
      </w:r>
      <w:proofErr w:type="spellStart"/>
      <w:r w:rsidR="00666972" w:rsidRPr="006B1899">
        <w:rPr>
          <w:rFonts w:ascii="Times New Roman" w:hAnsi="Times New Roman" w:cs="Times New Roman"/>
          <w:sz w:val="24"/>
          <w:szCs w:val="24"/>
          <w:lang w:val="en-GB"/>
        </w:rPr>
        <w:t>Bindzi</w:t>
      </w:r>
      <w:proofErr w:type="spellEnd"/>
      <w:r w:rsidR="00666972" w:rsidRPr="006B1899">
        <w:rPr>
          <w:rFonts w:ascii="Times New Roman" w:hAnsi="Times New Roman" w:cs="Times New Roman"/>
          <w:sz w:val="24"/>
          <w:szCs w:val="24"/>
          <w:lang w:val="en-GB"/>
        </w:rPr>
        <w:t xml:space="preserve"> </w:t>
      </w:r>
      <w:r w:rsidR="00666972" w:rsidRPr="00590D55">
        <w:rPr>
          <w:rFonts w:ascii="Times New Roman" w:hAnsi="Times New Roman" w:cs="Times New Roman"/>
          <w:i/>
          <w:sz w:val="24"/>
          <w:szCs w:val="24"/>
          <w:lang w:val="en-GB"/>
        </w:rPr>
        <w:t xml:space="preserve">et </w:t>
      </w:r>
      <w:r w:rsidR="003F06BF" w:rsidRPr="00590D55">
        <w:rPr>
          <w:rFonts w:ascii="Times New Roman" w:hAnsi="Times New Roman" w:cs="Times New Roman"/>
          <w:i/>
          <w:sz w:val="24"/>
          <w:szCs w:val="24"/>
          <w:lang w:val="en-GB"/>
        </w:rPr>
        <w:t>al</w:t>
      </w:r>
      <w:r w:rsidR="003F06BF" w:rsidRPr="006B1899">
        <w:rPr>
          <w:rFonts w:ascii="Times New Roman" w:hAnsi="Times New Roman" w:cs="Times New Roman"/>
          <w:sz w:val="24"/>
          <w:szCs w:val="24"/>
          <w:lang w:val="en-GB"/>
        </w:rPr>
        <w:t xml:space="preserve">., 2014). Variations in biological spectra are mainly linked to local variations in bioclimatic and edaphic parameters as well </w:t>
      </w:r>
      <w:r w:rsidR="004E5CFC">
        <w:rPr>
          <w:rFonts w:ascii="Times New Roman" w:hAnsi="Times New Roman" w:cs="Times New Roman"/>
          <w:sz w:val="24"/>
          <w:szCs w:val="24"/>
          <w:lang w:val="en-GB"/>
        </w:rPr>
        <w:t>as to anthropogenic pressures (</w:t>
      </w:r>
      <w:r w:rsidR="005463A9" w:rsidRPr="006B1899">
        <w:rPr>
          <w:rFonts w:ascii="Times New Roman" w:hAnsi="Times New Roman" w:cs="Times New Roman"/>
          <w:sz w:val="24"/>
          <w:szCs w:val="24"/>
          <w:lang w:val="en-GB"/>
        </w:rPr>
        <w:t xml:space="preserve">Adiko </w:t>
      </w:r>
      <w:r w:rsidR="005463A9" w:rsidRPr="00590D55">
        <w:rPr>
          <w:rFonts w:ascii="Times New Roman" w:hAnsi="Times New Roman" w:cs="Times New Roman"/>
          <w:i/>
          <w:sz w:val="24"/>
          <w:szCs w:val="24"/>
          <w:lang w:val="en-GB"/>
        </w:rPr>
        <w:t>et al</w:t>
      </w:r>
      <w:r w:rsidR="005463A9" w:rsidRPr="006B1899">
        <w:rPr>
          <w:rFonts w:ascii="Times New Roman" w:hAnsi="Times New Roman" w:cs="Times New Roman"/>
          <w:sz w:val="24"/>
          <w:szCs w:val="24"/>
          <w:lang w:val="en-GB"/>
        </w:rPr>
        <w:t xml:space="preserve">., </w:t>
      </w:r>
      <w:r w:rsidR="007D59AD" w:rsidRPr="006B1899">
        <w:rPr>
          <w:rFonts w:ascii="Times New Roman" w:hAnsi="Times New Roman" w:cs="Times New Roman"/>
          <w:sz w:val="24"/>
          <w:szCs w:val="24"/>
          <w:lang w:val="en-GB"/>
        </w:rPr>
        <w:t xml:space="preserve">2020). This work highlighted a high rate of </w:t>
      </w:r>
      <w:r w:rsidR="00F20129" w:rsidRPr="006B1899">
        <w:rPr>
          <w:rFonts w:ascii="Times New Roman" w:hAnsi="Times New Roman" w:cs="Times New Roman"/>
          <w:sz w:val="24"/>
          <w:szCs w:val="24"/>
          <w:lang w:val="en-GB"/>
        </w:rPr>
        <w:t xml:space="preserve">therophytes </w:t>
      </w:r>
      <w:r w:rsidR="00071097" w:rsidRPr="006B1899">
        <w:rPr>
          <w:rFonts w:ascii="Times New Roman" w:hAnsi="Times New Roman" w:cs="Times New Roman"/>
          <w:sz w:val="24"/>
          <w:szCs w:val="24"/>
          <w:lang w:val="en-GB"/>
        </w:rPr>
        <w:t>in the identified herbaceous plant groups.</w:t>
      </w:r>
      <w:r w:rsidR="008E3C38" w:rsidRPr="006B1899">
        <w:rPr>
          <w:rFonts w:ascii="Times New Roman" w:hAnsi="Times New Roman" w:cs="Times New Roman"/>
          <w:sz w:val="24"/>
          <w:szCs w:val="24"/>
          <w:lang w:val="en-GB"/>
        </w:rPr>
        <w:t xml:space="preserve"> </w:t>
      </w:r>
      <w:r w:rsidR="00485C91" w:rsidRPr="006B1899">
        <w:rPr>
          <w:rFonts w:ascii="Times New Roman" w:hAnsi="Times New Roman" w:cs="Times New Roman"/>
          <w:sz w:val="24"/>
          <w:szCs w:val="24"/>
          <w:lang w:val="en-GB"/>
        </w:rPr>
        <w:t xml:space="preserve">Their high proportion compared to other biological forms is linked to the opening of vegetation. The low proportion of hydrophytes could be explained by the drying out of </w:t>
      </w:r>
      <w:r w:rsidR="00561EE8" w:rsidRPr="006B1899">
        <w:rPr>
          <w:rFonts w:ascii="Times New Roman" w:hAnsi="Times New Roman" w:cs="Times New Roman"/>
          <w:sz w:val="24"/>
          <w:szCs w:val="24"/>
          <w:lang w:val="en-GB"/>
        </w:rPr>
        <w:t xml:space="preserve">hydromorphic soils through agricultural activities </w:t>
      </w:r>
      <w:proofErr w:type="gramStart"/>
      <w:r w:rsidR="00561EE8" w:rsidRPr="006B1899">
        <w:rPr>
          <w:rFonts w:ascii="Times New Roman" w:hAnsi="Times New Roman" w:cs="Times New Roman"/>
          <w:sz w:val="24"/>
          <w:szCs w:val="24"/>
          <w:lang w:val="en-GB"/>
        </w:rPr>
        <w:t xml:space="preserve">( </w:t>
      </w:r>
      <w:proofErr w:type="spellStart"/>
      <w:r w:rsidR="004D2BE4" w:rsidRPr="006B1899">
        <w:rPr>
          <w:rFonts w:ascii="Times New Roman" w:hAnsi="Times New Roman" w:cs="Times New Roman"/>
          <w:sz w:val="24"/>
          <w:szCs w:val="24"/>
          <w:lang w:val="en-GB"/>
        </w:rPr>
        <w:t>Menyengue</w:t>
      </w:r>
      <w:proofErr w:type="spellEnd"/>
      <w:proofErr w:type="gramEnd"/>
      <w:r w:rsidR="004D2BE4" w:rsidRPr="006B1899">
        <w:rPr>
          <w:rFonts w:ascii="Times New Roman" w:hAnsi="Times New Roman" w:cs="Times New Roman"/>
          <w:sz w:val="24"/>
          <w:szCs w:val="24"/>
          <w:lang w:val="en-GB"/>
        </w:rPr>
        <w:t xml:space="preserve"> </w:t>
      </w:r>
      <w:r w:rsidR="004D2BE4" w:rsidRPr="00590D55">
        <w:rPr>
          <w:rFonts w:ascii="Times New Roman" w:hAnsi="Times New Roman" w:cs="Times New Roman"/>
          <w:i/>
          <w:sz w:val="24"/>
          <w:szCs w:val="24"/>
          <w:lang w:val="en-GB"/>
        </w:rPr>
        <w:t>et al</w:t>
      </w:r>
      <w:r w:rsidR="004D2BE4" w:rsidRPr="006B1899">
        <w:rPr>
          <w:rFonts w:ascii="Times New Roman" w:hAnsi="Times New Roman" w:cs="Times New Roman"/>
          <w:sz w:val="24"/>
          <w:szCs w:val="24"/>
          <w:lang w:val="en-GB"/>
        </w:rPr>
        <w:t xml:space="preserve">., 2021). These agricultural activities would </w:t>
      </w:r>
      <w:r w:rsidR="004D2BE4" w:rsidRPr="006B1899">
        <w:rPr>
          <w:rFonts w:ascii="Times New Roman" w:hAnsi="Times New Roman" w:cs="Times New Roman"/>
          <w:sz w:val="24"/>
          <w:szCs w:val="24"/>
          <w:lang w:val="en-GB"/>
        </w:rPr>
        <w:lastRenderedPageBreak/>
        <w:t xml:space="preserve">be at the origin of the disappearance of hydrophytes and the extension of </w:t>
      </w:r>
      <w:r w:rsidR="00C90111" w:rsidRPr="006B1899">
        <w:rPr>
          <w:rFonts w:ascii="Times New Roman" w:hAnsi="Times New Roman" w:cs="Times New Roman"/>
          <w:sz w:val="24"/>
          <w:szCs w:val="24"/>
          <w:lang w:val="en-GB"/>
        </w:rPr>
        <w:t xml:space="preserve">therophytes which dominate in </w:t>
      </w:r>
      <w:r w:rsidR="00303C28" w:rsidRPr="006B1899">
        <w:rPr>
          <w:rFonts w:ascii="Times New Roman" w:hAnsi="Times New Roman" w:cs="Times New Roman"/>
          <w:sz w:val="24"/>
          <w:szCs w:val="24"/>
          <w:lang w:val="en-GB"/>
        </w:rPr>
        <w:t xml:space="preserve">anthropized </w:t>
      </w:r>
      <w:r w:rsidR="00E9586D" w:rsidRPr="006B1899">
        <w:rPr>
          <w:rFonts w:ascii="Times New Roman" w:hAnsi="Times New Roman" w:cs="Times New Roman"/>
          <w:sz w:val="24"/>
          <w:szCs w:val="24"/>
          <w:lang w:val="en-GB"/>
        </w:rPr>
        <w:t xml:space="preserve">formations </w:t>
      </w:r>
      <w:r w:rsidR="00590D55">
        <w:rPr>
          <w:rFonts w:ascii="Times New Roman" w:hAnsi="Times New Roman" w:cs="Times New Roman"/>
          <w:sz w:val="24"/>
          <w:szCs w:val="24"/>
          <w:lang w:val="en-GB"/>
        </w:rPr>
        <w:t>(</w:t>
      </w:r>
      <w:proofErr w:type="spellStart"/>
      <w:r w:rsidR="00BA2C2C" w:rsidRPr="006B1899">
        <w:rPr>
          <w:rFonts w:ascii="Times New Roman" w:hAnsi="Times New Roman" w:cs="Times New Roman"/>
          <w:sz w:val="24"/>
          <w:szCs w:val="24"/>
          <w:lang w:val="en-GB"/>
        </w:rPr>
        <w:t>Gbodjinou</w:t>
      </w:r>
      <w:proofErr w:type="spellEnd"/>
      <w:r w:rsidR="00BA2C2C" w:rsidRPr="006B1899">
        <w:rPr>
          <w:rFonts w:ascii="Times New Roman" w:hAnsi="Times New Roman" w:cs="Times New Roman"/>
          <w:sz w:val="24"/>
          <w:szCs w:val="24"/>
          <w:lang w:val="en-GB"/>
        </w:rPr>
        <w:t xml:space="preserve"> </w:t>
      </w:r>
      <w:r w:rsidR="00BA2C2C" w:rsidRPr="00590D55">
        <w:rPr>
          <w:rFonts w:ascii="Times New Roman" w:hAnsi="Times New Roman" w:cs="Times New Roman"/>
          <w:i/>
          <w:sz w:val="24"/>
          <w:szCs w:val="24"/>
          <w:lang w:val="en-GB"/>
        </w:rPr>
        <w:t>et al</w:t>
      </w:r>
      <w:r w:rsidR="00BA2C2C" w:rsidRPr="006B1899">
        <w:rPr>
          <w:rFonts w:ascii="Times New Roman" w:hAnsi="Times New Roman" w:cs="Times New Roman"/>
          <w:sz w:val="24"/>
          <w:szCs w:val="24"/>
          <w:lang w:val="en-GB"/>
        </w:rPr>
        <w:t xml:space="preserve">., 2022). Analysis of the </w:t>
      </w:r>
      <w:r w:rsidR="004C526F" w:rsidRPr="006B1899">
        <w:rPr>
          <w:rFonts w:ascii="Times New Roman" w:hAnsi="Times New Roman" w:cs="Times New Roman"/>
          <w:sz w:val="24"/>
          <w:szCs w:val="24"/>
          <w:lang w:val="en-GB"/>
        </w:rPr>
        <w:t xml:space="preserve">chorological spectrum shows that the floristic procession is dominated by pantropical species. This predominance is an indicator of disturbance attesting that the flora has lost its specificity </w:t>
      </w:r>
      <w:proofErr w:type="gramStart"/>
      <w:r w:rsidR="004C526F" w:rsidRPr="006B1899">
        <w:rPr>
          <w:rFonts w:ascii="Times New Roman" w:hAnsi="Times New Roman" w:cs="Times New Roman"/>
          <w:sz w:val="24"/>
          <w:szCs w:val="24"/>
          <w:lang w:val="en-GB"/>
        </w:rPr>
        <w:t xml:space="preserve">( </w:t>
      </w:r>
      <w:proofErr w:type="spellStart"/>
      <w:r w:rsidR="00D52CDF" w:rsidRPr="006B1899">
        <w:rPr>
          <w:rFonts w:ascii="Times New Roman" w:hAnsi="Times New Roman" w:cs="Times New Roman"/>
          <w:sz w:val="24"/>
          <w:szCs w:val="24"/>
          <w:lang w:val="en-GB"/>
        </w:rPr>
        <w:t>Abrou</w:t>
      </w:r>
      <w:proofErr w:type="spellEnd"/>
      <w:proofErr w:type="gramEnd"/>
      <w:r w:rsidR="00D52CDF" w:rsidRPr="006B1899">
        <w:rPr>
          <w:rFonts w:ascii="Times New Roman" w:hAnsi="Times New Roman" w:cs="Times New Roman"/>
          <w:sz w:val="24"/>
          <w:szCs w:val="24"/>
          <w:lang w:val="en-GB"/>
        </w:rPr>
        <w:t xml:space="preserve"> </w:t>
      </w:r>
      <w:r w:rsidR="00D52CDF" w:rsidRPr="00590D55">
        <w:rPr>
          <w:rFonts w:ascii="Times New Roman" w:hAnsi="Times New Roman" w:cs="Times New Roman"/>
          <w:i/>
          <w:sz w:val="24"/>
          <w:szCs w:val="24"/>
          <w:lang w:val="en-GB"/>
        </w:rPr>
        <w:t>et al</w:t>
      </w:r>
      <w:r w:rsidR="00D52CDF" w:rsidRPr="006B1899">
        <w:rPr>
          <w:rFonts w:ascii="Times New Roman" w:hAnsi="Times New Roman" w:cs="Times New Roman"/>
          <w:sz w:val="24"/>
          <w:szCs w:val="24"/>
          <w:lang w:val="en-GB"/>
        </w:rPr>
        <w:t>., 2019). This disturbance is due to grazing pressure and agricultural activities which strongly modify the original flora.</w:t>
      </w:r>
    </w:p>
    <w:p w14:paraId="3875A430" w14:textId="77777777" w:rsidR="00DA7318" w:rsidRPr="006B1899" w:rsidRDefault="00E52E26" w:rsidP="00BF0F06">
      <w:pPr>
        <w:spacing w:line="24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 Herbaceous plant groups</w:t>
      </w:r>
    </w:p>
    <w:p w14:paraId="14289DA2" w14:textId="77777777" w:rsidR="007E09D9" w:rsidRPr="006B1899" w:rsidRDefault="007E09D9" w:rsidP="00BF0F06">
      <w:pPr>
        <w:spacing w:line="24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III.2.1. Biological diversity</w:t>
      </w:r>
    </w:p>
    <w:p w14:paraId="7533FB4F" w14:textId="77777777" w:rsidR="0012624E" w:rsidRPr="006B1899" w:rsidRDefault="002A4065" w:rsidP="00757F11">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Floristic diversity indices are objective criteria for extracting the maximum ecological information from a plant commun</w:t>
      </w:r>
      <w:r w:rsidR="00381983">
        <w:rPr>
          <w:rFonts w:ascii="Times New Roman" w:hAnsi="Times New Roman" w:cs="Times New Roman"/>
          <w:sz w:val="24"/>
          <w:szCs w:val="24"/>
          <w:lang w:val="en-GB"/>
        </w:rPr>
        <w:t>ity (</w:t>
      </w:r>
      <w:proofErr w:type="spellStart"/>
      <w:proofErr w:type="gramStart"/>
      <w:r w:rsidRPr="006B1899">
        <w:rPr>
          <w:rFonts w:ascii="Times New Roman" w:hAnsi="Times New Roman" w:cs="Times New Roman"/>
          <w:sz w:val="24"/>
          <w:szCs w:val="24"/>
          <w:lang w:val="en-GB"/>
        </w:rPr>
        <w:t>Dajoz</w:t>
      </w:r>
      <w:proofErr w:type="spellEnd"/>
      <w:r w:rsidRPr="006B1899">
        <w:rPr>
          <w:rFonts w:ascii="Times New Roman" w:hAnsi="Times New Roman" w:cs="Times New Roman"/>
          <w:sz w:val="24"/>
          <w:szCs w:val="24"/>
          <w:lang w:val="en-GB"/>
        </w:rPr>
        <w:t xml:space="preserve"> ,</w:t>
      </w:r>
      <w:proofErr w:type="gramEnd"/>
      <w:r w:rsidRPr="006B1899">
        <w:rPr>
          <w:rFonts w:ascii="Times New Roman" w:hAnsi="Times New Roman" w:cs="Times New Roman"/>
          <w:sz w:val="24"/>
          <w:szCs w:val="24"/>
          <w:lang w:val="en-GB"/>
        </w:rPr>
        <w:t xml:space="preserve"> 2006). Examination of Shannon's diversity index (H') and </w:t>
      </w:r>
      <w:proofErr w:type="spellStart"/>
      <w:r w:rsidRPr="006B1899">
        <w:rPr>
          <w:rFonts w:ascii="Times New Roman" w:hAnsi="Times New Roman" w:cs="Times New Roman"/>
          <w:sz w:val="24"/>
          <w:szCs w:val="24"/>
          <w:lang w:val="en-GB"/>
        </w:rPr>
        <w:t>Pielou</w:t>
      </w:r>
      <w:proofErr w:type="spellEnd"/>
      <w:r w:rsidRPr="006B1899">
        <w:rPr>
          <w:rFonts w:ascii="Times New Roman" w:hAnsi="Times New Roman" w:cs="Times New Roman"/>
          <w:sz w:val="24"/>
          <w:szCs w:val="24"/>
          <w:lang w:val="en-GB"/>
        </w:rPr>
        <w:t xml:space="preserve"> 's equitability shows that the GII group has a higher diversity index (3.13 bits). The factor discriminating this group is the humidity of the </w:t>
      </w:r>
      <w:r w:rsidR="00381983">
        <w:rPr>
          <w:rFonts w:ascii="Times New Roman" w:hAnsi="Times New Roman" w:cs="Times New Roman"/>
          <w:sz w:val="24"/>
          <w:szCs w:val="24"/>
          <w:lang w:val="en-GB"/>
        </w:rPr>
        <w:t>hydromorphic soil</w:t>
      </w:r>
      <w:r w:rsidR="0012624E" w:rsidRPr="006B1899">
        <w:rPr>
          <w:rFonts w:ascii="Times New Roman" w:hAnsi="Times New Roman" w:cs="Times New Roman"/>
          <w:sz w:val="24"/>
          <w:szCs w:val="24"/>
          <w:lang w:val="en-GB"/>
        </w:rPr>
        <w:t xml:space="preserve">. Generally, the trend of the </w:t>
      </w:r>
      <w:r w:rsidR="00757F11" w:rsidRPr="006B1899">
        <w:rPr>
          <w:rFonts w:ascii="Times New Roman" w:hAnsi="Times New Roman" w:cs="Times New Roman"/>
          <w:sz w:val="24"/>
          <w:szCs w:val="24"/>
          <w:lang w:val="en-GB"/>
        </w:rPr>
        <w:t xml:space="preserve">equitability indices reflects the </w:t>
      </w:r>
      <w:proofErr w:type="spellStart"/>
      <w:r w:rsidR="00757F11" w:rsidRPr="006B1899">
        <w:rPr>
          <w:rFonts w:ascii="Times New Roman" w:hAnsi="Times New Roman" w:cs="Times New Roman"/>
          <w:sz w:val="24"/>
          <w:szCs w:val="24"/>
          <w:lang w:val="en-GB"/>
        </w:rPr>
        <w:t>anthropization</w:t>
      </w:r>
      <w:proofErr w:type="spellEnd"/>
      <w:r w:rsidR="00757F11" w:rsidRPr="006B1899">
        <w:rPr>
          <w:rFonts w:ascii="Times New Roman" w:hAnsi="Times New Roman" w:cs="Times New Roman"/>
          <w:sz w:val="24"/>
          <w:szCs w:val="24"/>
          <w:lang w:val="en-GB"/>
        </w:rPr>
        <w:t xml:space="preserve"> of herbaceous plant groups. Indeed, equitability varies from 0 to 1. It tends towards zero when one species largely dominates the others and is equal to 1 when all sp</w:t>
      </w:r>
      <w:r w:rsidR="00381983">
        <w:rPr>
          <w:rFonts w:ascii="Times New Roman" w:hAnsi="Times New Roman" w:cs="Times New Roman"/>
          <w:sz w:val="24"/>
          <w:szCs w:val="24"/>
          <w:lang w:val="en-GB"/>
        </w:rPr>
        <w:t>ecies have the same abundance (</w:t>
      </w:r>
      <w:proofErr w:type="spellStart"/>
      <w:proofErr w:type="gramStart"/>
      <w:r w:rsidR="00FD5213" w:rsidRPr="006B1899">
        <w:rPr>
          <w:rFonts w:ascii="Times New Roman" w:hAnsi="Times New Roman" w:cs="Times New Roman"/>
          <w:sz w:val="24"/>
          <w:szCs w:val="24"/>
          <w:lang w:val="en-GB"/>
        </w:rPr>
        <w:t>Barbault</w:t>
      </w:r>
      <w:proofErr w:type="spellEnd"/>
      <w:r w:rsidR="00FD5213" w:rsidRPr="006B1899">
        <w:rPr>
          <w:rFonts w:ascii="Times New Roman" w:hAnsi="Times New Roman" w:cs="Times New Roman"/>
          <w:sz w:val="24"/>
          <w:szCs w:val="24"/>
          <w:lang w:val="en-GB"/>
        </w:rPr>
        <w:t xml:space="preserve"> ,</w:t>
      </w:r>
      <w:proofErr w:type="gramEnd"/>
      <w:r w:rsidR="00FD5213" w:rsidRPr="006B1899">
        <w:rPr>
          <w:rFonts w:ascii="Times New Roman" w:hAnsi="Times New Roman" w:cs="Times New Roman"/>
          <w:sz w:val="24"/>
          <w:szCs w:val="24"/>
          <w:lang w:val="en-GB"/>
        </w:rPr>
        <w:t xml:space="preserve"> 1997). An </w:t>
      </w:r>
      <w:r w:rsidR="00757F11" w:rsidRPr="006B1899">
        <w:rPr>
          <w:rFonts w:ascii="Times New Roman" w:hAnsi="Times New Roman" w:cs="Times New Roman"/>
          <w:sz w:val="24"/>
          <w:szCs w:val="24"/>
          <w:lang w:val="en-GB"/>
        </w:rPr>
        <w:t xml:space="preserve">equitability </w:t>
      </w:r>
      <w:r w:rsidR="00FD5213" w:rsidRPr="006B1899">
        <w:rPr>
          <w:rFonts w:ascii="Times New Roman" w:hAnsi="Times New Roman" w:cs="Times New Roman"/>
          <w:sz w:val="24"/>
          <w:szCs w:val="24"/>
          <w:lang w:val="en-GB"/>
        </w:rPr>
        <w:t xml:space="preserve">index </w:t>
      </w:r>
      <w:r w:rsidR="00757F11" w:rsidRPr="006B1899">
        <w:rPr>
          <w:rFonts w:ascii="Times New Roman" w:hAnsi="Times New Roman" w:cs="Times New Roman"/>
          <w:sz w:val="24"/>
          <w:szCs w:val="24"/>
          <w:lang w:val="en-GB"/>
        </w:rPr>
        <w:t xml:space="preserve">lower than 60% (&lt; 0.6) characterizes a disturbed environment </w:t>
      </w:r>
      <w:proofErr w:type="gramStart"/>
      <w:r w:rsidR="00757F11" w:rsidRPr="006B1899">
        <w:rPr>
          <w:rFonts w:ascii="Times New Roman" w:hAnsi="Times New Roman" w:cs="Times New Roman"/>
          <w:sz w:val="24"/>
          <w:szCs w:val="24"/>
          <w:lang w:val="en-GB"/>
        </w:rPr>
        <w:t xml:space="preserve">( </w:t>
      </w:r>
      <w:proofErr w:type="spellStart"/>
      <w:r w:rsidR="00CB0D98" w:rsidRPr="006B1899">
        <w:rPr>
          <w:rFonts w:ascii="Times New Roman" w:hAnsi="Times New Roman" w:cs="Times New Roman"/>
          <w:sz w:val="24"/>
          <w:szCs w:val="24"/>
          <w:lang w:val="en-GB"/>
        </w:rPr>
        <w:t>Dajoz</w:t>
      </w:r>
      <w:proofErr w:type="spellEnd"/>
      <w:proofErr w:type="gramEnd"/>
      <w:r w:rsidR="00CB0D98" w:rsidRPr="006B1899">
        <w:rPr>
          <w:rFonts w:ascii="Times New Roman" w:hAnsi="Times New Roman" w:cs="Times New Roman"/>
          <w:sz w:val="24"/>
          <w:szCs w:val="24"/>
          <w:lang w:val="en-GB"/>
        </w:rPr>
        <w:t xml:space="preserve"> , 2006). Ultimately, the edges of market garden wetlands are subject to various disturbances requiring mitigation measures.</w:t>
      </w:r>
    </w:p>
    <w:p w14:paraId="663CED06" w14:textId="77777777" w:rsidR="007E09D9" w:rsidRPr="006B1899" w:rsidRDefault="007E09D9" w:rsidP="007E09D9">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III.2.2. Floristic affinities between plant groups</w:t>
      </w:r>
    </w:p>
    <w:p w14:paraId="4A5DEB9A" w14:textId="77777777" w:rsidR="007E09D9" w:rsidRPr="006B1899" w:rsidRDefault="00130483" w:rsidP="00D84C9D">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study of plant groups constitutes a fundamental source of basic data important for the conservation, development and sustainable management of natural ecosystems even if, in certain cases, the ecological interpretation of the identif</w:t>
      </w:r>
      <w:r w:rsidR="00381983">
        <w:rPr>
          <w:rFonts w:ascii="Times New Roman" w:hAnsi="Times New Roman" w:cs="Times New Roman"/>
          <w:sz w:val="24"/>
          <w:szCs w:val="24"/>
          <w:lang w:val="en-GB"/>
        </w:rPr>
        <w:t>ied groups may seem difficult (</w:t>
      </w:r>
      <w:r w:rsidR="006C6286" w:rsidRPr="006B1899">
        <w:rPr>
          <w:rFonts w:ascii="Times New Roman" w:hAnsi="Times New Roman" w:cs="Times New Roman"/>
          <w:sz w:val="24"/>
          <w:szCs w:val="24"/>
          <w:lang w:val="en-GB"/>
        </w:rPr>
        <w:t>Hakizimana et al., 2012). The individualized plant groups in the herbaceous vegetation explain the spatial heterogeneity of the edges of market garden wetlands. The analysis of this spatial heterogeneity shows that the edges of wetlands are subdivided into four floristically distinct herbaceous plant groups. Indeed, the herbaceous plant group GIII and the herbaceous plant groups GI, GII and GIV are floristically heterogeneous. The plant group GIII is distinguished from the others by a low species richness and by the presence of a small group of species specific to this group.</w:t>
      </w:r>
      <w:r w:rsidR="00EC1118" w:rsidRPr="006B1899">
        <w:rPr>
          <w:rFonts w:ascii="Times New Roman" w:hAnsi="Times New Roman" w:cs="Times New Roman"/>
          <w:sz w:val="24"/>
          <w:szCs w:val="24"/>
          <w:lang w:val="en-GB"/>
        </w:rPr>
        <w:t xml:space="preserve"> This </w:t>
      </w:r>
      <w:r w:rsidR="00381983">
        <w:rPr>
          <w:rFonts w:ascii="Times New Roman" w:hAnsi="Times New Roman" w:cs="Times New Roman"/>
          <w:sz w:val="24"/>
          <w:szCs w:val="24"/>
          <w:lang w:val="en-GB"/>
        </w:rPr>
        <w:t>group consists of ombrophytes (</w:t>
      </w:r>
      <w:proofErr w:type="spellStart"/>
      <w:r w:rsidR="00EC1118" w:rsidRPr="006B1899">
        <w:rPr>
          <w:rFonts w:ascii="Times New Roman" w:hAnsi="Times New Roman" w:cs="Times New Roman"/>
          <w:i/>
          <w:sz w:val="24"/>
          <w:szCs w:val="24"/>
          <w:lang w:val="en-GB"/>
        </w:rPr>
        <w:t>Achyranthes</w:t>
      </w:r>
      <w:proofErr w:type="spellEnd"/>
      <w:r w:rsidR="00EC1118" w:rsidRPr="006B1899">
        <w:rPr>
          <w:rFonts w:ascii="Times New Roman" w:hAnsi="Times New Roman" w:cs="Times New Roman"/>
          <w:i/>
          <w:sz w:val="24"/>
          <w:szCs w:val="24"/>
          <w:lang w:val="en-GB"/>
        </w:rPr>
        <w:t xml:space="preserve"> </w:t>
      </w:r>
      <w:proofErr w:type="gramStart"/>
      <w:r w:rsidR="00EC1118" w:rsidRPr="006B1899">
        <w:rPr>
          <w:rFonts w:ascii="Times New Roman" w:hAnsi="Times New Roman" w:cs="Times New Roman"/>
          <w:i/>
          <w:sz w:val="24"/>
          <w:szCs w:val="24"/>
          <w:lang w:val="en-GB"/>
        </w:rPr>
        <w:t xml:space="preserve">aspera </w:t>
      </w:r>
      <w:r w:rsidR="00EC1118" w:rsidRPr="006B1899">
        <w:rPr>
          <w:rFonts w:ascii="Times New Roman" w:hAnsi="Times New Roman" w:cs="Times New Roman"/>
          <w:sz w:val="24"/>
          <w:szCs w:val="24"/>
          <w:lang w:val="en-GB"/>
        </w:rPr>
        <w:t>,</w:t>
      </w:r>
      <w:proofErr w:type="gramEnd"/>
      <w:r w:rsidR="00EC1118" w:rsidRPr="006B1899">
        <w:rPr>
          <w:rFonts w:ascii="Times New Roman" w:hAnsi="Times New Roman" w:cs="Times New Roman"/>
          <w:sz w:val="24"/>
          <w:szCs w:val="24"/>
          <w:lang w:val="en-GB"/>
        </w:rPr>
        <w:t xml:space="preserve"> </w:t>
      </w:r>
      <w:proofErr w:type="spellStart"/>
      <w:r w:rsidR="009C002E" w:rsidRPr="006B1899">
        <w:rPr>
          <w:rFonts w:ascii="Times New Roman" w:hAnsi="Times New Roman" w:cs="Times New Roman"/>
          <w:i/>
          <w:sz w:val="24"/>
          <w:szCs w:val="24"/>
          <w:lang w:val="en-GB"/>
        </w:rPr>
        <w:t>Aneilema</w:t>
      </w:r>
      <w:proofErr w:type="spellEnd"/>
      <w:r w:rsidR="009C002E" w:rsidRPr="006B1899">
        <w:rPr>
          <w:rFonts w:ascii="Times New Roman" w:hAnsi="Times New Roman" w:cs="Times New Roman"/>
          <w:i/>
          <w:sz w:val="24"/>
          <w:szCs w:val="24"/>
          <w:lang w:val="en-GB"/>
        </w:rPr>
        <w:t xml:space="preserve"> Benin </w:t>
      </w:r>
      <w:r w:rsidR="009C002E" w:rsidRPr="006B1899">
        <w:rPr>
          <w:rFonts w:ascii="Times New Roman" w:hAnsi="Times New Roman" w:cs="Times New Roman"/>
          <w:sz w:val="24"/>
          <w:szCs w:val="24"/>
          <w:lang w:val="en-GB"/>
        </w:rPr>
        <w:t xml:space="preserve">, </w:t>
      </w:r>
      <w:proofErr w:type="spellStart"/>
      <w:r w:rsidR="00EC1118" w:rsidRPr="006B1899">
        <w:rPr>
          <w:rFonts w:ascii="Times New Roman" w:hAnsi="Times New Roman" w:cs="Times New Roman"/>
          <w:i/>
          <w:sz w:val="24"/>
          <w:szCs w:val="24"/>
          <w:lang w:val="en-GB"/>
        </w:rPr>
        <w:t>Brachiaria</w:t>
      </w:r>
      <w:proofErr w:type="spellEnd"/>
      <w:r w:rsidR="00EC1118" w:rsidRPr="006B1899">
        <w:rPr>
          <w:rFonts w:ascii="Times New Roman" w:hAnsi="Times New Roman" w:cs="Times New Roman"/>
          <w:i/>
          <w:sz w:val="24"/>
          <w:szCs w:val="24"/>
          <w:lang w:val="en-GB"/>
        </w:rPr>
        <w:t xml:space="preserve"> </w:t>
      </w:r>
      <w:proofErr w:type="spellStart"/>
      <w:r w:rsidR="00EC1118" w:rsidRPr="006B1899">
        <w:rPr>
          <w:rFonts w:ascii="Times New Roman" w:hAnsi="Times New Roman" w:cs="Times New Roman"/>
          <w:i/>
          <w:sz w:val="24"/>
          <w:szCs w:val="24"/>
          <w:lang w:val="en-GB"/>
        </w:rPr>
        <w:t>lata</w:t>
      </w:r>
      <w:proofErr w:type="spellEnd"/>
      <w:r w:rsidR="00EC1118" w:rsidRPr="006B1899">
        <w:rPr>
          <w:rFonts w:ascii="Times New Roman" w:hAnsi="Times New Roman" w:cs="Times New Roman"/>
          <w:i/>
          <w:sz w:val="24"/>
          <w:szCs w:val="24"/>
          <w:lang w:val="en-GB"/>
        </w:rPr>
        <w:t xml:space="preserve"> </w:t>
      </w:r>
      <w:r w:rsidR="00EC1118" w:rsidRPr="006B1899">
        <w:rPr>
          <w:rFonts w:ascii="Times New Roman" w:hAnsi="Times New Roman" w:cs="Times New Roman"/>
          <w:sz w:val="24"/>
          <w:szCs w:val="24"/>
          <w:lang w:val="en-GB"/>
        </w:rPr>
        <w:t xml:space="preserve">, </w:t>
      </w:r>
      <w:proofErr w:type="spellStart"/>
      <w:r w:rsidR="009C002E" w:rsidRPr="006B1899">
        <w:rPr>
          <w:rFonts w:ascii="Times New Roman" w:hAnsi="Times New Roman" w:cs="Times New Roman"/>
          <w:i/>
          <w:sz w:val="24"/>
          <w:szCs w:val="24"/>
          <w:lang w:val="en-GB"/>
        </w:rPr>
        <w:t>Costus</w:t>
      </w:r>
      <w:proofErr w:type="spellEnd"/>
      <w:r w:rsidR="009C002E" w:rsidRPr="006B1899">
        <w:rPr>
          <w:rFonts w:ascii="Times New Roman" w:hAnsi="Times New Roman" w:cs="Times New Roman"/>
          <w:i/>
          <w:sz w:val="24"/>
          <w:szCs w:val="24"/>
          <w:lang w:val="en-GB"/>
        </w:rPr>
        <w:t xml:space="preserve"> </w:t>
      </w:r>
      <w:proofErr w:type="spellStart"/>
      <w:r w:rsidR="009C002E" w:rsidRPr="006B1899">
        <w:rPr>
          <w:rFonts w:ascii="Times New Roman" w:hAnsi="Times New Roman" w:cs="Times New Roman"/>
          <w:i/>
          <w:sz w:val="24"/>
          <w:szCs w:val="24"/>
          <w:lang w:val="en-GB"/>
        </w:rPr>
        <w:t>afer</w:t>
      </w:r>
      <w:proofErr w:type="spellEnd"/>
      <w:r w:rsidR="009C002E" w:rsidRPr="006B1899">
        <w:rPr>
          <w:rFonts w:ascii="Times New Roman" w:hAnsi="Times New Roman" w:cs="Times New Roman"/>
          <w:i/>
          <w:sz w:val="24"/>
          <w:szCs w:val="24"/>
          <w:lang w:val="en-GB"/>
        </w:rPr>
        <w:t xml:space="preserve"> </w:t>
      </w:r>
      <w:r w:rsidR="009C002E" w:rsidRPr="006B1899">
        <w:rPr>
          <w:rFonts w:ascii="Times New Roman" w:hAnsi="Times New Roman" w:cs="Times New Roman"/>
          <w:sz w:val="24"/>
          <w:szCs w:val="24"/>
          <w:lang w:val="en-GB"/>
        </w:rPr>
        <w:t xml:space="preserve">and </w:t>
      </w:r>
      <w:proofErr w:type="spellStart"/>
      <w:r w:rsidR="009C002E" w:rsidRPr="006B1899">
        <w:rPr>
          <w:rFonts w:ascii="Times New Roman" w:hAnsi="Times New Roman" w:cs="Times New Roman"/>
          <w:i/>
          <w:sz w:val="24"/>
          <w:szCs w:val="24"/>
          <w:lang w:val="en-GB"/>
        </w:rPr>
        <w:t>Yua</w:t>
      </w:r>
      <w:proofErr w:type="spellEnd"/>
      <w:r w:rsidR="009C002E" w:rsidRPr="006B1899">
        <w:rPr>
          <w:rFonts w:ascii="Times New Roman" w:hAnsi="Times New Roman" w:cs="Times New Roman"/>
          <w:i/>
          <w:sz w:val="24"/>
          <w:szCs w:val="24"/>
          <w:lang w:val="en-GB"/>
        </w:rPr>
        <w:t xml:space="preserve"> </w:t>
      </w:r>
      <w:proofErr w:type="spellStart"/>
      <w:r w:rsidR="009C002E" w:rsidRPr="006B1899">
        <w:rPr>
          <w:rFonts w:ascii="Times New Roman" w:hAnsi="Times New Roman" w:cs="Times New Roman"/>
          <w:i/>
          <w:sz w:val="24"/>
          <w:szCs w:val="24"/>
          <w:lang w:val="en-GB"/>
        </w:rPr>
        <w:t>thomsonnii</w:t>
      </w:r>
      <w:proofErr w:type="spellEnd"/>
      <w:r w:rsidR="009C002E" w:rsidRPr="006B1899">
        <w:rPr>
          <w:rFonts w:ascii="Times New Roman" w:hAnsi="Times New Roman" w:cs="Times New Roman"/>
          <w:i/>
          <w:sz w:val="24"/>
          <w:szCs w:val="24"/>
          <w:lang w:val="en-GB"/>
        </w:rPr>
        <w:t xml:space="preserve"> </w:t>
      </w:r>
      <w:r w:rsidR="009C002E" w:rsidRPr="006B1899">
        <w:rPr>
          <w:rFonts w:ascii="Times New Roman" w:hAnsi="Times New Roman" w:cs="Times New Roman"/>
          <w:sz w:val="24"/>
          <w:szCs w:val="24"/>
          <w:lang w:val="en-GB"/>
        </w:rPr>
        <w:t xml:space="preserve">) growing under the cover </w:t>
      </w:r>
      <w:r w:rsidR="006E5D8C" w:rsidRPr="006B1899">
        <w:rPr>
          <w:rFonts w:ascii="Times New Roman" w:hAnsi="Times New Roman" w:cs="Times New Roman"/>
          <w:sz w:val="24"/>
          <w:szCs w:val="24"/>
          <w:lang w:val="en-GB"/>
        </w:rPr>
        <w:t xml:space="preserve">of the plantain plantation. Such a grouping can be translated by a strong presence of trees and the nature of the substrate (Faye et </w:t>
      </w:r>
      <w:r w:rsidR="00043BF0" w:rsidRPr="006B1899">
        <w:rPr>
          <w:rFonts w:ascii="Times New Roman" w:hAnsi="Times New Roman" w:cs="Times New Roman"/>
          <w:sz w:val="24"/>
          <w:szCs w:val="24"/>
          <w:lang w:val="en-GB"/>
        </w:rPr>
        <w:t xml:space="preserve">al., 2020). On the other hand, the floristic procession of the </w:t>
      </w:r>
      <w:r w:rsidR="00043BF0" w:rsidRPr="006B1899">
        <w:rPr>
          <w:rFonts w:ascii="Times New Roman" w:hAnsi="Times New Roman" w:cs="Times New Roman"/>
          <w:sz w:val="24"/>
          <w:szCs w:val="24"/>
          <w:lang w:val="en-GB"/>
        </w:rPr>
        <w:lastRenderedPageBreak/>
        <w:t xml:space="preserve">herbaceous plant groups GI, GII and GIV appears to be dominated by species of the </w:t>
      </w:r>
      <w:proofErr w:type="gramStart"/>
      <w:r w:rsidR="00927EB3" w:rsidRPr="006B1899">
        <w:rPr>
          <w:rFonts w:ascii="Times New Roman" w:hAnsi="Times New Roman" w:cs="Times New Roman"/>
          <w:i/>
          <w:sz w:val="24"/>
          <w:szCs w:val="24"/>
          <w:lang w:val="en-GB"/>
        </w:rPr>
        <w:t xml:space="preserve">Asteraceae </w:t>
      </w:r>
      <w:r w:rsidR="00927EB3" w:rsidRPr="006B1899">
        <w:rPr>
          <w:rFonts w:ascii="Times New Roman" w:hAnsi="Times New Roman" w:cs="Times New Roman"/>
          <w:sz w:val="24"/>
          <w:szCs w:val="24"/>
          <w:lang w:val="en-GB"/>
        </w:rPr>
        <w:t>,</w:t>
      </w:r>
      <w:proofErr w:type="gramEnd"/>
      <w:r w:rsidR="00927EB3" w:rsidRPr="006B1899">
        <w:rPr>
          <w:rFonts w:ascii="Times New Roman" w:hAnsi="Times New Roman" w:cs="Times New Roman"/>
          <w:sz w:val="24"/>
          <w:szCs w:val="24"/>
          <w:lang w:val="en-GB"/>
        </w:rPr>
        <w:t xml:space="preserve"> </w:t>
      </w:r>
      <w:proofErr w:type="spellStart"/>
      <w:r w:rsidR="00927EB3" w:rsidRPr="006B1899">
        <w:rPr>
          <w:rFonts w:ascii="Times New Roman" w:hAnsi="Times New Roman" w:cs="Times New Roman"/>
          <w:i/>
          <w:sz w:val="24"/>
          <w:szCs w:val="24"/>
          <w:lang w:val="en-GB"/>
        </w:rPr>
        <w:t>Cyperaceae</w:t>
      </w:r>
      <w:proofErr w:type="spellEnd"/>
      <w:r w:rsidR="00927EB3" w:rsidRPr="006B1899">
        <w:rPr>
          <w:rFonts w:ascii="Times New Roman" w:hAnsi="Times New Roman" w:cs="Times New Roman"/>
          <w:i/>
          <w:sz w:val="24"/>
          <w:szCs w:val="24"/>
          <w:lang w:val="en-GB"/>
        </w:rPr>
        <w:t xml:space="preserve"> </w:t>
      </w:r>
      <w:r w:rsidR="00927EB3" w:rsidRPr="006B1899">
        <w:rPr>
          <w:rFonts w:ascii="Times New Roman" w:hAnsi="Times New Roman" w:cs="Times New Roman"/>
          <w:sz w:val="24"/>
          <w:szCs w:val="24"/>
          <w:lang w:val="en-GB"/>
        </w:rPr>
        <w:t xml:space="preserve">and </w:t>
      </w:r>
      <w:proofErr w:type="spellStart"/>
      <w:r w:rsidR="00927EB3" w:rsidRPr="006B1899">
        <w:rPr>
          <w:rFonts w:ascii="Times New Roman" w:hAnsi="Times New Roman" w:cs="Times New Roman"/>
          <w:i/>
          <w:sz w:val="24"/>
          <w:szCs w:val="24"/>
          <w:lang w:val="en-GB"/>
        </w:rPr>
        <w:t>Poaceae</w:t>
      </w:r>
      <w:proofErr w:type="spellEnd"/>
      <w:r w:rsidR="00927EB3" w:rsidRPr="006B1899">
        <w:rPr>
          <w:rFonts w:ascii="Times New Roman" w:hAnsi="Times New Roman" w:cs="Times New Roman"/>
          <w:i/>
          <w:sz w:val="24"/>
          <w:szCs w:val="24"/>
          <w:lang w:val="en-GB"/>
        </w:rPr>
        <w:t xml:space="preserve"> families </w:t>
      </w:r>
      <w:r w:rsidR="00927EB3" w:rsidRPr="006B1899">
        <w:rPr>
          <w:rFonts w:ascii="Times New Roman" w:hAnsi="Times New Roman" w:cs="Times New Roman"/>
          <w:sz w:val="24"/>
          <w:szCs w:val="24"/>
          <w:lang w:val="en-GB"/>
        </w:rPr>
        <w:t>, the presence of which indicates an advanced degr</w:t>
      </w:r>
      <w:r w:rsidR="00381983">
        <w:rPr>
          <w:rFonts w:ascii="Times New Roman" w:hAnsi="Times New Roman" w:cs="Times New Roman"/>
          <w:sz w:val="24"/>
          <w:szCs w:val="24"/>
          <w:lang w:val="en-GB"/>
        </w:rPr>
        <w:t>adation of the soil structure (</w:t>
      </w:r>
      <w:proofErr w:type="spellStart"/>
      <w:r w:rsidR="001F350E" w:rsidRPr="006B1899">
        <w:rPr>
          <w:rFonts w:ascii="Times New Roman" w:hAnsi="Times New Roman" w:cs="Times New Roman"/>
          <w:sz w:val="24"/>
          <w:szCs w:val="24"/>
          <w:lang w:val="en-GB"/>
        </w:rPr>
        <w:t>Ousseina</w:t>
      </w:r>
      <w:proofErr w:type="spellEnd"/>
      <w:r w:rsidR="001F350E" w:rsidRPr="006B1899">
        <w:rPr>
          <w:rFonts w:ascii="Times New Roman" w:hAnsi="Times New Roman" w:cs="Times New Roman"/>
          <w:sz w:val="24"/>
          <w:szCs w:val="24"/>
          <w:lang w:val="en-GB"/>
        </w:rPr>
        <w:t xml:space="preserve"> et al., 2013).</w:t>
      </w:r>
    </w:p>
    <w:p w14:paraId="1024466B" w14:textId="77777777" w:rsidR="00B8487C" w:rsidRPr="006B1899" w:rsidRDefault="006350AC" w:rsidP="00B8487C">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III.2.3. Ecological spectra</w:t>
      </w:r>
    </w:p>
    <w:p w14:paraId="5AAE37AF" w14:textId="77777777" w:rsidR="00676246" w:rsidRPr="006B1899" w:rsidRDefault="00676246" w:rsidP="005E1C60">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spectrum of biological forms provides valuable information on the structure, physiognomy and adapti</w:t>
      </w:r>
      <w:r w:rsidR="00381983">
        <w:rPr>
          <w:rFonts w:ascii="Times New Roman" w:hAnsi="Times New Roman" w:cs="Times New Roman"/>
          <w:sz w:val="24"/>
          <w:szCs w:val="24"/>
          <w:lang w:val="en-GB"/>
        </w:rPr>
        <w:t>ve strategies of plant groups (</w:t>
      </w:r>
      <w:proofErr w:type="spellStart"/>
      <w:r w:rsidR="00C62257" w:rsidRPr="006B1899">
        <w:rPr>
          <w:rFonts w:ascii="Times New Roman" w:hAnsi="Times New Roman" w:cs="Times New Roman"/>
          <w:sz w:val="24"/>
          <w:szCs w:val="24"/>
          <w:lang w:val="en-GB"/>
        </w:rPr>
        <w:t>Bangirinama</w:t>
      </w:r>
      <w:proofErr w:type="spellEnd"/>
      <w:r w:rsidR="00C62257" w:rsidRPr="006B1899">
        <w:rPr>
          <w:rFonts w:ascii="Times New Roman" w:hAnsi="Times New Roman" w:cs="Times New Roman"/>
          <w:sz w:val="24"/>
          <w:szCs w:val="24"/>
          <w:lang w:val="en-GB"/>
        </w:rPr>
        <w:t xml:space="preserve"> et al., 2010). The analysis of biological forms highlights the importance of </w:t>
      </w:r>
      <w:r w:rsidR="0073408F" w:rsidRPr="006B1899">
        <w:rPr>
          <w:rFonts w:ascii="Times New Roman" w:hAnsi="Times New Roman" w:cs="Times New Roman"/>
          <w:sz w:val="24"/>
          <w:szCs w:val="24"/>
          <w:lang w:val="en-GB"/>
        </w:rPr>
        <w:t xml:space="preserve">therophytes </w:t>
      </w:r>
      <w:r w:rsidR="00971ECF" w:rsidRPr="006B1899">
        <w:rPr>
          <w:rFonts w:ascii="Times New Roman" w:hAnsi="Times New Roman" w:cs="Times New Roman"/>
          <w:sz w:val="24"/>
          <w:szCs w:val="24"/>
          <w:lang w:val="en-GB"/>
        </w:rPr>
        <w:t xml:space="preserve">in terms of abundance in the GI (46.60%), GII (49.20%) and GIV (34.80%) plant groups. According to </w:t>
      </w:r>
      <w:r w:rsidR="00EC7FB4" w:rsidRPr="006B1899">
        <w:rPr>
          <w:rFonts w:ascii="Times New Roman" w:hAnsi="Times New Roman" w:cs="Times New Roman"/>
          <w:sz w:val="24"/>
          <w:szCs w:val="24"/>
          <w:lang w:val="en-GB"/>
        </w:rPr>
        <w:t xml:space="preserve">Yota et al. (2013), the high coverage of </w:t>
      </w:r>
      <w:r w:rsidR="00604CAE" w:rsidRPr="006B1899">
        <w:rPr>
          <w:rFonts w:ascii="Times New Roman" w:hAnsi="Times New Roman" w:cs="Times New Roman"/>
          <w:sz w:val="24"/>
          <w:szCs w:val="24"/>
          <w:lang w:val="en-GB"/>
        </w:rPr>
        <w:t>therophytes is an indicator of degradation within herbaceous plant groups. This degradation is explained by the preponderance of agricultural activities (market gardening) in the edges of wetlands. Phytogeographic types are good indicators of the dynamism</w:t>
      </w:r>
      <w:r w:rsidR="00381983">
        <w:rPr>
          <w:rFonts w:ascii="Times New Roman" w:hAnsi="Times New Roman" w:cs="Times New Roman"/>
          <w:sz w:val="24"/>
          <w:szCs w:val="24"/>
          <w:lang w:val="en-GB"/>
        </w:rPr>
        <w:t xml:space="preserve"> or stability of plant groups (</w:t>
      </w:r>
      <w:r w:rsidR="00DA5D5A" w:rsidRPr="006B1899">
        <w:rPr>
          <w:rFonts w:ascii="Times New Roman" w:hAnsi="Times New Roman" w:cs="Times New Roman"/>
          <w:sz w:val="24"/>
          <w:szCs w:val="24"/>
          <w:lang w:val="en-GB"/>
        </w:rPr>
        <w:t xml:space="preserve">Sanou et al., 2023). On the </w:t>
      </w:r>
      <w:r w:rsidR="00381983">
        <w:rPr>
          <w:rFonts w:ascii="Times New Roman" w:hAnsi="Times New Roman" w:cs="Times New Roman"/>
          <w:sz w:val="24"/>
          <w:szCs w:val="24"/>
          <w:lang w:val="en-GB"/>
        </w:rPr>
        <w:t>chorological level</w:t>
      </w:r>
      <w:r w:rsidR="00C23FED" w:rsidRPr="006B1899">
        <w:rPr>
          <w:rFonts w:ascii="Times New Roman" w:hAnsi="Times New Roman" w:cs="Times New Roman"/>
          <w:sz w:val="24"/>
          <w:szCs w:val="24"/>
          <w:lang w:val="en-GB"/>
        </w:rPr>
        <w:t xml:space="preserve">, the distribution of species in phytogeographic types at the level of market gardening wetlands shows an abundance of species with a wide distribution. These results corroborate those obtained in the </w:t>
      </w:r>
      <w:proofErr w:type="spellStart"/>
      <w:r w:rsidR="00DF7AB7" w:rsidRPr="006B1899">
        <w:rPr>
          <w:rFonts w:ascii="Times New Roman" w:hAnsi="Times New Roman" w:cs="Times New Roman"/>
          <w:sz w:val="24"/>
          <w:szCs w:val="24"/>
          <w:lang w:val="en-GB"/>
        </w:rPr>
        <w:t>Koupa</w:t>
      </w:r>
      <w:proofErr w:type="spellEnd"/>
      <w:r w:rsidR="00DF7AB7" w:rsidRPr="006B1899">
        <w:rPr>
          <w:rFonts w:ascii="Times New Roman" w:hAnsi="Times New Roman" w:cs="Times New Roman"/>
          <w:sz w:val="24"/>
          <w:szCs w:val="24"/>
          <w:lang w:val="en-GB"/>
        </w:rPr>
        <w:t xml:space="preserve"> forest gallery </w:t>
      </w:r>
      <w:proofErr w:type="spellStart"/>
      <w:proofErr w:type="gramStart"/>
      <w:r w:rsidR="00DF7AB7" w:rsidRPr="006B1899">
        <w:rPr>
          <w:rFonts w:ascii="Times New Roman" w:hAnsi="Times New Roman" w:cs="Times New Roman"/>
          <w:sz w:val="24"/>
          <w:szCs w:val="24"/>
          <w:lang w:val="en-GB"/>
        </w:rPr>
        <w:t>Matapit</w:t>
      </w:r>
      <w:proofErr w:type="spellEnd"/>
      <w:r w:rsidR="00DF7AB7" w:rsidRPr="006B1899">
        <w:rPr>
          <w:rFonts w:ascii="Times New Roman" w:hAnsi="Times New Roman" w:cs="Times New Roman"/>
          <w:sz w:val="24"/>
          <w:szCs w:val="24"/>
          <w:lang w:val="en-GB"/>
        </w:rPr>
        <w:t xml:space="preserve"> ,</w:t>
      </w:r>
      <w:proofErr w:type="gramEnd"/>
      <w:r w:rsidR="00DF7AB7" w:rsidRPr="006B1899">
        <w:rPr>
          <w:rFonts w:ascii="Times New Roman" w:hAnsi="Times New Roman" w:cs="Times New Roman"/>
          <w:sz w:val="24"/>
          <w:szCs w:val="24"/>
          <w:lang w:val="en-GB"/>
        </w:rPr>
        <w:t xml:space="preserve"> West Cameroon (Momo </w:t>
      </w:r>
      <w:proofErr w:type="spellStart"/>
      <w:r w:rsidR="00DF7AB7" w:rsidRPr="006B1899">
        <w:rPr>
          <w:rFonts w:ascii="Times New Roman" w:hAnsi="Times New Roman" w:cs="Times New Roman"/>
          <w:sz w:val="24"/>
          <w:szCs w:val="24"/>
          <w:lang w:val="en-GB"/>
        </w:rPr>
        <w:t>Solefack</w:t>
      </w:r>
      <w:proofErr w:type="spellEnd"/>
      <w:r w:rsidR="00DF7AB7" w:rsidRPr="006B1899">
        <w:rPr>
          <w:rFonts w:ascii="Times New Roman" w:hAnsi="Times New Roman" w:cs="Times New Roman"/>
          <w:sz w:val="24"/>
          <w:szCs w:val="24"/>
          <w:lang w:val="en-GB"/>
        </w:rPr>
        <w:t xml:space="preserve"> </w:t>
      </w:r>
      <w:r w:rsidR="005E1C60" w:rsidRPr="006B1899">
        <w:rPr>
          <w:rFonts w:ascii="Times New Roman" w:hAnsi="Times New Roman" w:cs="Times New Roman"/>
          <w:sz w:val="24"/>
          <w:szCs w:val="24"/>
          <w:lang w:val="en-GB"/>
        </w:rPr>
        <w:t xml:space="preserve">et al., </w:t>
      </w:r>
      <w:r w:rsidR="00DF7AB7" w:rsidRPr="006B1899">
        <w:rPr>
          <w:rFonts w:ascii="Times New Roman" w:hAnsi="Times New Roman" w:cs="Times New Roman"/>
          <w:sz w:val="24"/>
          <w:szCs w:val="24"/>
          <w:lang w:val="en-GB"/>
        </w:rPr>
        <w:t>2018). Indeed, these same authors have shown that the presence of species of this phytogeographic type in the vegetation is an indicator of the degradation and instability of ecosystems.</w:t>
      </w:r>
    </w:p>
    <w:p w14:paraId="689B12FB" w14:textId="77777777" w:rsidR="00933EB8" w:rsidRPr="006B1899" w:rsidRDefault="00CF0AA1">
      <w:pPr>
        <w:rPr>
          <w:rFonts w:ascii="Times New Roman" w:hAnsi="Times New Roman" w:cs="Times New Roman"/>
          <w:b/>
          <w:sz w:val="24"/>
          <w:szCs w:val="24"/>
          <w:lang w:val="en-GB"/>
        </w:rPr>
      </w:pPr>
      <w:r w:rsidRPr="006B1899">
        <w:rPr>
          <w:rFonts w:ascii="Times New Roman" w:hAnsi="Times New Roman" w:cs="Times New Roman"/>
          <w:b/>
          <w:sz w:val="24"/>
          <w:szCs w:val="24"/>
          <w:lang w:val="en-GB"/>
        </w:rPr>
        <w:t>Conclusion</w:t>
      </w:r>
    </w:p>
    <w:p w14:paraId="2034224B" w14:textId="77777777" w:rsidR="007D1608" w:rsidRPr="006B1899" w:rsidRDefault="00636F35" w:rsidP="004727CF">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This work allowed floristic diversity of herbaceous vegetation in the edges of the market gardening wetlands of the city of Yaoundé and its surroundings. This flora is dominated by </w:t>
      </w:r>
      <w:r w:rsidR="00656557" w:rsidRPr="006B1899">
        <w:rPr>
          <w:rFonts w:ascii="Times New Roman" w:hAnsi="Times New Roman" w:cs="Times New Roman"/>
          <w:i/>
          <w:sz w:val="24"/>
          <w:szCs w:val="24"/>
          <w:lang w:val="en-GB"/>
        </w:rPr>
        <w:t xml:space="preserve">Asteraceae </w:t>
      </w:r>
      <w:r w:rsidR="00656557" w:rsidRPr="006B1899">
        <w:rPr>
          <w:rFonts w:ascii="Times New Roman" w:hAnsi="Times New Roman" w:cs="Times New Roman"/>
          <w:sz w:val="24"/>
          <w:szCs w:val="24"/>
          <w:lang w:val="en-GB"/>
        </w:rPr>
        <w:t xml:space="preserve">(18.36%) and </w:t>
      </w:r>
      <w:r w:rsidR="00656557" w:rsidRPr="006B1899">
        <w:rPr>
          <w:rFonts w:ascii="Times New Roman" w:hAnsi="Times New Roman" w:cs="Times New Roman"/>
          <w:i/>
          <w:sz w:val="24"/>
          <w:szCs w:val="24"/>
          <w:lang w:val="en-GB"/>
        </w:rPr>
        <w:t xml:space="preserve">Fabaceae </w:t>
      </w:r>
      <w:r w:rsidR="00656557" w:rsidRPr="006B1899">
        <w:rPr>
          <w:rFonts w:ascii="Times New Roman" w:hAnsi="Times New Roman" w:cs="Times New Roman"/>
          <w:sz w:val="24"/>
          <w:szCs w:val="24"/>
          <w:lang w:val="en-GB"/>
        </w:rPr>
        <w:t xml:space="preserve">(10.20%). In addition, four herbaceous plant groups were identified. The diversity index shows that the herbaceous plant groups are moderately diversified. The analysis of biological forms shows a significant proportion of </w:t>
      </w:r>
      <w:r w:rsidR="00B87676" w:rsidRPr="006B1899">
        <w:rPr>
          <w:rFonts w:ascii="Times New Roman" w:hAnsi="Times New Roman" w:cs="Times New Roman"/>
          <w:sz w:val="24"/>
          <w:szCs w:val="24"/>
          <w:lang w:val="en-GB"/>
        </w:rPr>
        <w:t xml:space="preserve">therophytes and the phytogeographic types are essentially dominated by species with a wide distribution which reflect </w:t>
      </w:r>
      <w:proofErr w:type="spellStart"/>
      <w:r w:rsidR="00B87676" w:rsidRPr="006B1899">
        <w:rPr>
          <w:rFonts w:ascii="Times New Roman" w:hAnsi="Times New Roman" w:cs="Times New Roman"/>
          <w:sz w:val="24"/>
          <w:szCs w:val="24"/>
          <w:lang w:val="en-GB"/>
        </w:rPr>
        <w:t>anthropization</w:t>
      </w:r>
      <w:proofErr w:type="spellEnd"/>
      <w:r w:rsidR="00B87676" w:rsidRPr="006B1899">
        <w:rPr>
          <w:rFonts w:ascii="Times New Roman" w:hAnsi="Times New Roman" w:cs="Times New Roman"/>
          <w:sz w:val="24"/>
          <w:szCs w:val="24"/>
          <w:lang w:val="en-GB"/>
        </w:rPr>
        <w:t>. It is therefore appropriate to place particular emphasis on the preservation of the edges of the wetlands of the city of Yaoundé and its surroundings from agricultural activities and in particular market gardening; and to explore their contribution to carbon storage.</w:t>
      </w:r>
    </w:p>
    <w:p w14:paraId="0B145B6F" w14:textId="77777777" w:rsidR="00A6413E" w:rsidRDefault="00A6413E" w:rsidP="004727CF">
      <w:pPr>
        <w:spacing w:line="360" w:lineRule="auto"/>
        <w:jc w:val="both"/>
        <w:rPr>
          <w:rFonts w:ascii="Times New Roman" w:hAnsi="Times New Roman" w:cs="Times New Roman"/>
          <w:sz w:val="24"/>
          <w:szCs w:val="24"/>
          <w:lang w:val="en-GB"/>
        </w:rPr>
      </w:pPr>
    </w:p>
    <w:p w14:paraId="2704700B" w14:textId="77777777" w:rsidR="00381983" w:rsidRDefault="00381983" w:rsidP="004727CF">
      <w:pPr>
        <w:spacing w:line="360" w:lineRule="auto"/>
        <w:jc w:val="both"/>
        <w:rPr>
          <w:rFonts w:ascii="Times New Roman" w:hAnsi="Times New Roman" w:cs="Times New Roman"/>
          <w:sz w:val="24"/>
          <w:szCs w:val="24"/>
          <w:lang w:val="en-GB"/>
        </w:rPr>
      </w:pPr>
    </w:p>
    <w:p w14:paraId="704B0ABE" w14:textId="77777777" w:rsidR="00381983" w:rsidRPr="006B1899" w:rsidRDefault="00381983" w:rsidP="004727CF">
      <w:pPr>
        <w:spacing w:line="360" w:lineRule="auto"/>
        <w:jc w:val="both"/>
        <w:rPr>
          <w:rFonts w:ascii="Times New Roman" w:hAnsi="Times New Roman" w:cs="Times New Roman"/>
          <w:sz w:val="24"/>
          <w:szCs w:val="24"/>
          <w:lang w:val="en-GB"/>
        </w:rPr>
      </w:pPr>
    </w:p>
    <w:p w14:paraId="09E8166F" w14:textId="3E8A98C0" w:rsidR="00A35541" w:rsidRPr="00984A02" w:rsidRDefault="00B07E5D" w:rsidP="00A35541">
      <w:pPr>
        <w:rPr>
          <w:rFonts w:ascii="Times New Roman" w:hAnsi="Times New Roman" w:cs="Times New Roman"/>
          <w:b/>
          <w:sz w:val="24"/>
          <w:szCs w:val="24"/>
          <w:lang w:val="fr-CM"/>
        </w:rPr>
      </w:pPr>
      <w:proofErr w:type="spellStart"/>
      <w:r>
        <w:rPr>
          <w:rFonts w:ascii="Times New Roman" w:hAnsi="Times New Roman" w:cs="Times New Roman"/>
          <w:b/>
          <w:sz w:val="24"/>
          <w:szCs w:val="24"/>
          <w:lang w:val="fr-CM"/>
        </w:rPr>
        <w:lastRenderedPageBreak/>
        <w:t>References</w:t>
      </w:r>
      <w:proofErr w:type="spellEnd"/>
      <w:r>
        <w:rPr>
          <w:rFonts w:ascii="Times New Roman" w:hAnsi="Times New Roman" w:cs="Times New Roman"/>
          <w:b/>
          <w:sz w:val="24"/>
          <w:szCs w:val="24"/>
          <w:lang w:val="fr-CM"/>
        </w:rPr>
        <w:t xml:space="preserve"> </w:t>
      </w:r>
    </w:p>
    <w:p w14:paraId="1B36D7D9"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Abossolo</w:t>
      </w:r>
      <w:proofErr w:type="spellEnd"/>
      <w:r w:rsidRPr="00B07E5D">
        <w:rPr>
          <w:rFonts w:ascii="Times New Roman" w:hAnsi="Times New Roman" w:cs="Times New Roman"/>
          <w:sz w:val="24"/>
          <w:szCs w:val="24"/>
          <w:lang w:val="fr-CM"/>
        </w:rPr>
        <w:t xml:space="preserve"> S.A., </w:t>
      </w:r>
      <w:proofErr w:type="spellStart"/>
      <w:r w:rsidRPr="00B07E5D">
        <w:rPr>
          <w:rFonts w:ascii="Times New Roman" w:hAnsi="Times New Roman" w:cs="Times New Roman"/>
          <w:sz w:val="24"/>
          <w:szCs w:val="24"/>
          <w:lang w:val="fr-CM"/>
        </w:rPr>
        <w:t>Amougou</w:t>
      </w:r>
      <w:proofErr w:type="spellEnd"/>
      <w:r w:rsidRPr="00B07E5D">
        <w:rPr>
          <w:rFonts w:ascii="Times New Roman" w:hAnsi="Times New Roman" w:cs="Times New Roman"/>
          <w:sz w:val="24"/>
          <w:szCs w:val="24"/>
          <w:lang w:val="fr-CM"/>
        </w:rPr>
        <w:t xml:space="preserve"> J.A., </w:t>
      </w:r>
      <w:proofErr w:type="spellStart"/>
      <w:r w:rsidRPr="00B07E5D">
        <w:rPr>
          <w:rFonts w:ascii="Times New Roman" w:hAnsi="Times New Roman" w:cs="Times New Roman"/>
          <w:sz w:val="24"/>
          <w:szCs w:val="24"/>
          <w:lang w:val="fr-CM"/>
        </w:rPr>
        <w:t>Tchindjang</w:t>
      </w:r>
      <w:proofErr w:type="spellEnd"/>
      <w:r w:rsidRPr="00B07E5D">
        <w:rPr>
          <w:rFonts w:ascii="Times New Roman" w:hAnsi="Times New Roman" w:cs="Times New Roman"/>
          <w:sz w:val="24"/>
          <w:szCs w:val="24"/>
          <w:lang w:val="fr-CM"/>
        </w:rPr>
        <w:t xml:space="preserve"> M., Mena M. S., </w:t>
      </w:r>
      <w:proofErr w:type="spellStart"/>
      <w:r w:rsidRPr="00B07E5D">
        <w:rPr>
          <w:rFonts w:ascii="Times New Roman" w:hAnsi="Times New Roman" w:cs="Times New Roman"/>
          <w:sz w:val="24"/>
          <w:szCs w:val="24"/>
          <w:lang w:val="fr-CM"/>
        </w:rPr>
        <w:t>Batha</w:t>
      </w:r>
      <w:proofErr w:type="spellEnd"/>
      <w:r w:rsidRPr="00B07E5D">
        <w:rPr>
          <w:rFonts w:ascii="Times New Roman" w:hAnsi="Times New Roman" w:cs="Times New Roman"/>
          <w:sz w:val="24"/>
          <w:szCs w:val="24"/>
          <w:lang w:val="fr-CM"/>
        </w:rPr>
        <w:t xml:space="preserve"> R. A. S., 2015. </w:t>
      </w:r>
      <w:proofErr w:type="spellStart"/>
      <w:r w:rsidRPr="00B07E5D">
        <w:rPr>
          <w:rFonts w:ascii="Times New Roman" w:hAnsi="Times New Roman" w:cs="Times New Roman"/>
          <w:sz w:val="24"/>
          <w:szCs w:val="24"/>
          <w:lang w:val="fr-CM"/>
        </w:rPr>
        <w:t>Analysis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annual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rainfall</w:t>
      </w:r>
      <w:proofErr w:type="spellEnd"/>
      <w:r w:rsidRPr="00B07E5D">
        <w:rPr>
          <w:rFonts w:ascii="Times New Roman" w:hAnsi="Times New Roman" w:cs="Times New Roman"/>
          <w:sz w:val="24"/>
          <w:szCs w:val="24"/>
          <w:lang w:val="fr-CM"/>
        </w:rPr>
        <w:t xml:space="preserve"> at the Yaoundé station </w:t>
      </w:r>
      <w:proofErr w:type="spellStart"/>
      <w:r w:rsidRPr="00B07E5D">
        <w:rPr>
          <w:rFonts w:ascii="Times New Roman" w:hAnsi="Times New Roman" w:cs="Times New Roman"/>
          <w:sz w:val="24"/>
          <w:szCs w:val="24"/>
          <w:lang w:val="fr-CM"/>
        </w:rPr>
        <w:t>from</w:t>
      </w:r>
      <w:proofErr w:type="spellEnd"/>
      <w:r w:rsidRPr="00B07E5D">
        <w:rPr>
          <w:rFonts w:ascii="Times New Roman" w:hAnsi="Times New Roman" w:cs="Times New Roman"/>
          <w:sz w:val="24"/>
          <w:szCs w:val="24"/>
          <w:lang w:val="fr-CM"/>
        </w:rPr>
        <w:t xml:space="preserve"> 1895 to 2006. Afrique Sciences, 11 (2) 183 – 194.</w:t>
      </w:r>
    </w:p>
    <w:p w14:paraId="2203649E"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Abrou</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J.E.N.;</w:t>
      </w:r>
      <w:proofErr w:type="gramEnd"/>
      <w:r w:rsidRPr="00B07E5D">
        <w:rPr>
          <w:rFonts w:ascii="Times New Roman" w:hAnsi="Times New Roman" w:cs="Times New Roman"/>
          <w:sz w:val="24"/>
          <w:szCs w:val="24"/>
          <w:lang w:val="fr-CM"/>
        </w:rPr>
        <w:t xml:space="preserve"> Kouamé D; </w:t>
      </w:r>
      <w:proofErr w:type="spellStart"/>
      <w:r w:rsidRPr="00B07E5D">
        <w:rPr>
          <w:rFonts w:ascii="Times New Roman" w:hAnsi="Times New Roman" w:cs="Times New Roman"/>
          <w:sz w:val="24"/>
          <w:szCs w:val="24"/>
          <w:lang w:val="fr-CM"/>
        </w:rPr>
        <w:t>Adou</w:t>
      </w:r>
      <w:proofErr w:type="spellEnd"/>
      <w:r w:rsidRPr="00B07E5D">
        <w:rPr>
          <w:rFonts w:ascii="Times New Roman" w:hAnsi="Times New Roman" w:cs="Times New Roman"/>
          <w:sz w:val="24"/>
          <w:szCs w:val="24"/>
          <w:lang w:val="fr-CM"/>
        </w:rPr>
        <w:t xml:space="preserve"> Yao C.Y., 2019.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Tanoé-Ehy</w:t>
      </w:r>
      <w:proofErr w:type="spellEnd"/>
      <w:r w:rsidRPr="00B07E5D">
        <w:rPr>
          <w:rFonts w:ascii="Times New Roman" w:hAnsi="Times New Roman" w:cs="Times New Roman"/>
          <w:sz w:val="24"/>
          <w:szCs w:val="24"/>
          <w:lang w:val="fr-CM"/>
        </w:rPr>
        <w:t xml:space="preserve"> Marsh Forest (FMTE), </w:t>
      </w:r>
      <w:proofErr w:type="spellStart"/>
      <w:r w:rsidRPr="00B07E5D">
        <w:rPr>
          <w:rFonts w:ascii="Times New Roman" w:hAnsi="Times New Roman" w:cs="Times New Roman"/>
          <w:sz w:val="24"/>
          <w:szCs w:val="24"/>
          <w:lang w:val="fr-CM"/>
        </w:rPr>
        <w:t>southeastern</w:t>
      </w:r>
      <w:proofErr w:type="spellEnd"/>
      <w:r w:rsidRPr="00B07E5D">
        <w:rPr>
          <w:rFonts w:ascii="Times New Roman" w:hAnsi="Times New Roman" w:cs="Times New Roman"/>
          <w:sz w:val="24"/>
          <w:szCs w:val="24"/>
          <w:lang w:val="fr-CM"/>
        </w:rPr>
        <w:t xml:space="preserve"> Côte d’Ivoire.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13(6</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2874-2887. </w:t>
      </w:r>
      <w:proofErr w:type="spellStart"/>
      <w:r w:rsidRPr="00B07E5D">
        <w:rPr>
          <w:rFonts w:ascii="Times New Roman" w:hAnsi="Times New Roman" w:cs="Times New Roman"/>
          <w:sz w:val="24"/>
          <w:szCs w:val="24"/>
          <w:lang w:val="fr-CM"/>
        </w:rPr>
        <w:t>Adiko</w:t>
      </w:r>
      <w:proofErr w:type="spellEnd"/>
      <w:r w:rsidRPr="00B07E5D">
        <w:rPr>
          <w:rFonts w:ascii="Times New Roman" w:hAnsi="Times New Roman" w:cs="Times New Roman"/>
          <w:sz w:val="24"/>
          <w:szCs w:val="24"/>
          <w:lang w:val="fr-CM"/>
        </w:rPr>
        <w:t xml:space="preserve"> A.E.D., </w:t>
      </w:r>
      <w:proofErr w:type="spellStart"/>
      <w:r w:rsidRPr="00B07E5D">
        <w:rPr>
          <w:rFonts w:ascii="Times New Roman" w:hAnsi="Times New Roman" w:cs="Times New Roman"/>
          <w:sz w:val="24"/>
          <w:szCs w:val="24"/>
          <w:lang w:val="fr-CM"/>
        </w:rPr>
        <w:t>Houphlet</w:t>
      </w:r>
      <w:proofErr w:type="spellEnd"/>
      <w:r w:rsidRPr="00B07E5D">
        <w:rPr>
          <w:rFonts w:ascii="Times New Roman" w:hAnsi="Times New Roman" w:cs="Times New Roman"/>
          <w:sz w:val="24"/>
          <w:szCs w:val="24"/>
          <w:lang w:val="fr-CM"/>
        </w:rPr>
        <w:t xml:space="preserve"> S.D.K., </w:t>
      </w:r>
      <w:proofErr w:type="spellStart"/>
      <w:r w:rsidRPr="00B07E5D">
        <w:rPr>
          <w:rFonts w:ascii="Times New Roman" w:hAnsi="Times New Roman" w:cs="Times New Roman"/>
          <w:sz w:val="24"/>
          <w:szCs w:val="24"/>
          <w:lang w:val="fr-CM"/>
        </w:rPr>
        <w:t>Dogbo</w:t>
      </w:r>
      <w:proofErr w:type="spellEnd"/>
      <w:r w:rsidRPr="00B07E5D">
        <w:rPr>
          <w:rFonts w:ascii="Times New Roman" w:hAnsi="Times New Roman" w:cs="Times New Roman"/>
          <w:sz w:val="24"/>
          <w:szCs w:val="24"/>
          <w:lang w:val="fr-CM"/>
        </w:rPr>
        <w:t xml:space="preserve"> S.F., </w:t>
      </w:r>
      <w:proofErr w:type="spellStart"/>
      <w:r w:rsidRPr="00B07E5D">
        <w:rPr>
          <w:rFonts w:ascii="Times New Roman" w:hAnsi="Times New Roman" w:cs="Times New Roman"/>
          <w:sz w:val="24"/>
          <w:szCs w:val="24"/>
          <w:lang w:val="fr-CM"/>
        </w:rPr>
        <w:t>Vroh</w:t>
      </w:r>
      <w:proofErr w:type="spellEnd"/>
      <w:r w:rsidRPr="00B07E5D">
        <w:rPr>
          <w:rFonts w:ascii="Times New Roman" w:hAnsi="Times New Roman" w:cs="Times New Roman"/>
          <w:sz w:val="24"/>
          <w:szCs w:val="24"/>
          <w:lang w:val="fr-CM"/>
        </w:rPr>
        <w:t xml:space="preserve"> B.T.A., </w:t>
      </w:r>
      <w:proofErr w:type="spellStart"/>
      <w:r w:rsidRPr="00B07E5D">
        <w:rPr>
          <w:rFonts w:ascii="Times New Roman" w:hAnsi="Times New Roman" w:cs="Times New Roman"/>
          <w:sz w:val="24"/>
          <w:szCs w:val="24"/>
          <w:lang w:val="fr-CM"/>
        </w:rPr>
        <w:t>Kouame</w:t>
      </w:r>
      <w:proofErr w:type="spellEnd"/>
      <w:r w:rsidRPr="00B07E5D">
        <w:rPr>
          <w:rFonts w:ascii="Times New Roman" w:hAnsi="Times New Roman" w:cs="Times New Roman"/>
          <w:sz w:val="24"/>
          <w:szCs w:val="24"/>
          <w:lang w:val="fr-CM"/>
        </w:rPr>
        <w:t xml:space="preserve"> D., Gone Bi Z.B., </w:t>
      </w:r>
      <w:proofErr w:type="spellStart"/>
      <w:r w:rsidRPr="00B07E5D">
        <w:rPr>
          <w:rFonts w:ascii="Times New Roman" w:hAnsi="Times New Roman" w:cs="Times New Roman"/>
          <w:sz w:val="24"/>
          <w:szCs w:val="24"/>
          <w:lang w:val="fr-CM"/>
        </w:rPr>
        <w:t>Gnagbo</w:t>
      </w:r>
      <w:proofErr w:type="spellEnd"/>
      <w:r w:rsidRPr="00B07E5D">
        <w:rPr>
          <w:rFonts w:ascii="Times New Roman" w:hAnsi="Times New Roman" w:cs="Times New Roman"/>
          <w:sz w:val="24"/>
          <w:szCs w:val="24"/>
          <w:lang w:val="fr-CM"/>
        </w:rPr>
        <w:t xml:space="preserve"> A., Bene J.C.K. and </w:t>
      </w:r>
      <w:proofErr w:type="spellStart"/>
      <w:r w:rsidRPr="00B07E5D">
        <w:rPr>
          <w:rFonts w:ascii="Times New Roman" w:hAnsi="Times New Roman" w:cs="Times New Roman"/>
          <w:sz w:val="24"/>
          <w:szCs w:val="24"/>
          <w:lang w:val="fr-CM"/>
        </w:rPr>
        <w:t>Adou</w:t>
      </w:r>
      <w:proofErr w:type="spellEnd"/>
      <w:r w:rsidRPr="00B07E5D">
        <w:rPr>
          <w:rFonts w:ascii="Times New Roman" w:hAnsi="Times New Roman" w:cs="Times New Roman"/>
          <w:sz w:val="24"/>
          <w:szCs w:val="24"/>
          <w:lang w:val="fr-CM"/>
        </w:rPr>
        <w:t xml:space="preserve"> Yao C.Y., 2020. </w:t>
      </w:r>
      <w:proofErr w:type="spellStart"/>
      <w:r w:rsidRPr="00B07E5D">
        <w:rPr>
          <w:rFonts w:ascii="Times New Roman" w:hAnsi="Times New Roman" w:cs="Times New Roman"/>
          <w:sz w:val="24"/>
          <w:szCs w:val="24"/>
          <w:lang w:val="fr-CM"/>
        </w:rPr>
        <w:t>Variability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functional</w:t>
      </w:r>
      <w:proofErr w:type="spellEnd"/>
      <w:r w:rsidRPr="00B07E5D">
        <w:rPr>
          <w:rFonts w:ascii="Times New Roman" w:hAnsi="Times New Roman" w:cs="Times New Roman"/>
          <w:sz w:val="24"/>
          <w:szCs w:val="24"/>
          <w:lang w:val="fr-CM"/>
        </w:rPr>
        <w:t xml:space="preserve"> traits of </w:t>
      </w:r>
      <w:proofErr w:type="spellStart"/>
      <w:r w:rsidRPr="00B07E5D">
        <w:rPr>
          <w:rFonts w:ascii="Times New Roman" w:hAnsi="Times New Roman" w:cs="Times New Roman"/>
          <w:sz w:val="24"/>
          <w:szCs w:val="24"/>
          <w:lang w:val="fr-CM"/>
        </w:rPr>
        <w:t>tree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reconstitution of </w:t>
      </w:r>
      <w:proofErr w:type="spellStart"/>
      <w:r w:rsidRPr="00B07E5D">
        <w:rPr>
          <w:rFonts w:ascii="Times New Roman" w:hAnsi="Times New Roman" w:cs="Times New Roman"/>
          <w:sz w:val="24"/>
          <w:szCs w:val="24"/>
          <w:lang w:val="fr-CM"/>
        </w:rPr>
        <w:t>Azagny</w:t>
      </w:r>
      <w:proofErr w:type="spellEnd"/>
      <w:r w:rsidRPr="00B07E5D">
        <w:rPr>
          <w:rFonts w:ascii="Times New Roman" w:hAnsi="Times New Roman" w:cs="Times New Roman"/>
          <w:sz w:val="24"/>
          <w:szCs w:val="24"/>
          <w:lang w:val="fr-CM"/>
        </w:rPr>
        <w:t xml:space="preserve"> National Park (Côte d’Ivoire).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14(2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424-439.</w:t>
      </w:r>
    </w:p>
    <w:p w14:paraId="7737D17E"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APG IV., 2016. An update of the </w:t>
      </w:r>
      <w:proofErr w:type="spellStart"/>
      <w:r w:rsidRPr="00B07E5D">
        <w:rPr>
          <w:rFonts w:ascii="Times New Roman" w:hAnsi="Times New Roman" w:cs="Times New Roman"/>
          <w:sz w:val="24"/>
          <w:szCs w:val="24"/>
          <w:lang w:val="fr-CM"/>
        </w:rPr>
        <w:t>Angiosperm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Phylogeny</w:t>
      </w:r>
      <w:proofErr w:type="spellEnd"/>
      <w:r w:rsidRPr="00B07E5D">
        <w:rPr>
          <w:rFonts w:ascii="Times New Roman" w:hAnsi="Times New Roman" w:cs="Times New Roman"/>
          <w:sz w:val="24"/>
          <w:szCs w:val="24"/>
          <w:lang w:val="fr-CM"/>
        </w:rPr>
        <w:t xml:space="preserve"> Group classification for the </w:t>
      </w:r>
      <w:proofErr w:type="spellStart"/>
      <w:r w:rsidRPr="00B07E5D">
        <w:rPr>
          <w:rFonts w:ascii="Times New Roman" w:hAnsi="Times New Roman" w:cs="Times New Roman"/>
          <w:sz w:val="24"/>
          <w:szCs w:val="24"/>
          <w:lang w:val="fr-CM"/>
        </w:rPr>
        <w:t>orders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families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flowering</w:t>
      </w:r>
      <w:proofErr w:type="spellEnd"/>
      <w:r w:rsidRPr="00B07E5D">
        <w:rPr>
          <w:rFonts w:ascii="Times New Roman" w:hAnsi="Times New Roman" w:cs="Times New Roman"/>
          <w:sz w:val="24"/>
          <w:szCs w:val="24"/>
          <w:lang w:val="fr-CM"/>
        </w:rPr>
        <w:t xml:space="preserve"> plants. </w:t>
      </w:r>
      <w:proofErr w:type="spellStart"/>
      <w:r w:rsidRPr="00B07E5D">
        <w:rPr>
          <w:rFonts w:ascii="Times New Roman" w:hAnsi="Times New Roman" w:cs="Times New Roman"/>
          <w:sz w:val="24"/>
          <w:szCs w:val="24"/>
          <w:lang w:val="fr-CM"/>
        </w:rPr>
        <w:t>Botanical</w:t>
      </w:r>
      <w:proofErr w:type="spellEnd"/>
      <w:r w:rsidRPr="00B07E5D">
        <w:rPr>
          <w:rFonts w:ascii="Times New Roman" w:hAnsi="Times New Roman" w:cs="Times New Roman"/>
          <w:sz w:val="24"/>
          <w:szCs w:val="24"/>
          <w:lang w:val="fr-CM"/>
        </w:rPr>
        <w:t xml:space="preserve"> Journal of the </w:t>
      </w:r>
      <w:proofErr w:type="spellStart"/>
      <w:r w:rsidRPr="00B07E5D">
        <w:rPr>
          <w:rFonts w:ascii="Times New Roman" w:hAnsi="Times New Roman" w:cs="Times New Roman"/>
          <w:sz w:val="24"/>
          <w:szCs w:val="24"/>
          <w:lang w:val="fr-CM"/>
        </w:rPr>
        <w:t>Linnean</w:t>
      </w:r>
      <w:proofErr w:type="spellEnd"/>
      <w:r w:rsidRPr="00B07E5D">
        <w:rPr>
          <w:rFonts w:ascii="Times New Roman" w:hAnsi="Times New Roman" w:cs="Times New Roman"/>
          <w:sz w:val="24"/>
          <w:szCs w:val="24"/>
          <w:lang w:val="fr-CM"/>
        </w:rPr>
        <w:t xml:space="preserve"> Society, </w:t>
      </w:r>
      <w:proofErr w:type="gramStart"/>
      <w:r w:rsidRPr="00B07E5D">
        <w:rPr>
          <w:rFonts w:ascii="Times New Roman" w:hAnsi="Times New Roman" w:cs="Times New Roman"/>
          <w:sz w:val="24"/>
          <w:szCs w:val="24"/>
          <w:lang w:val="fr-CM"/>
        </w:rPr>
        <w:t>181:</w:t>
      </w:r>
      <w:proofErr w:type="gramEnd"/>
      <w:r w:rsidRPr="00B07E5D">
        <w:rPr>
          <w:rFonts w:ascii="Times New Roman" w:hAnsi="Times New Roman" w:cs="Times New Roman"/>
          <w:sz w:val="24"/>
          <w:szCs w:val="24"/>
          <w:lang w:val="fr-CM"/>
        </w:rPr>
        <w:t xml:space="preserve"> 1–20. </w:t>
      </w:r>
      <w:proofErr w:type="spellStart"/>
      <w:r w:rsidRPr="00B07E5D">
        <w:rPr>
          <w:rFonts w:ascii="Times New Roman" w:hAnsi="Times New Roman" w:cs="Times New Roman"/>
          <w:sz w:val="24"/>
          <w:szCs w:val="24"/>
          <w:lang w:val="fr-CM"/>
        </w:rPr>
        <w:t>Bangirinama</w:t>
      </w:r>
      <w:proofErr w:type="spellEnd"/>
      <w:r w:rsidRPr="00B07E5D">
        <w:rPr>
          <w:rFonts w:ascii="Times New Roman" w:hAnsi="Times New Roman" w:cs="Times New Roman"/>
          <w:sz w:val="24"/>
          <w:szCs w:val="24"/>
          <w:lang w:val="fr-CM"/>
        </w:rPr>
        <w:t xml:space="preserve"> F., </w:t>
      </w:r>
      <w:proofErr w:type="spellStart"/>
      <w:r w:rsidRPr="00B07E5D">
        <w:rPr>
          <w:rFonts w:ascii="Times New Roman" w:hAnsi="Times New Roman" w:cs="Times New Roman"/>
          <w:sz w:val="24"/>
          <w:szCs w:val="24"/>
          <w:lang w:val="fr-CM"/>
        </w:rPr>
        <w:t>Bigendako</w:t>
      </w:r>
      <w:proofErr w:type="spellEnd"/>
      <w:r w:rsidRPr="00B07E5D">
        <w:rPr>
          <w:rFonts w:ascii="Times New Roman" w:hAnsi="Times New Roman" w:cs="Times New Roman"/>
          <w:sz w:val="24"/>
          <w:szCs w:val="24"/>
          <w:lang w:val="fr-CM"/>
        </w:rPr>
        <w:t xml:space="preserve"> M.J., </w:t>
      </w:r>
      <w:proofErr w:type="spellStart"/>
      <w:r w:rsidRPr="00B07E5D">
        <w:rPr>
          <w:rFonts w:ascii="Times New Roman" w:hAnsi="Times New Roman" w:cs="Times New Roman"/>
          <w:sz w:val="24"/>
          <w:szCs w:val="24"/>
          <w:lang w:val="fr-CM"/>
        </w:rPr>
        <w:t>Lejoly</w:t>
      </w:r>
      <w:proofErr w:type="spellEnd"/>
      <w:r w:rsidRPr="00B07E5D">
        <w:rPr>
          <w:rFonts w:ascii="Times New Roman" w:hAnsi="Times New Roman" w:cs="Times New Roman"/>
          <w:sz w:val="24"/>
          <w:szCs w:val="24"/>
          <w:lang w:val="fr-CM"/>
        </w:rPr>
        <w:t xml:space="preserve"> L., </w:t>
      </w:r>
      <w:proofErr w:type="spellStart"/>
      <w:r w:rsidRPr="00B07E5D">
        <w:rPr>
          <w:rFonts w:ascii="Times New Roman" w:hAnsi="Times New Roman" w:cs="Times New Roman"/>
          <w:sz w:val="24"/>
          <w:szCs w:val="24"/>
          <w:lang w:val="fr-CM"/>
        </w:rPr>
        <w:t>Noret</w:t>
      </w:r>
      <w:proofErr w:type="spellEnd"/>
      <w:r w:rsidRPr="00B07E5D">
        <w:rPr>
          <w:rFonts w:ascii="Times New Roman" w:hAnsi="Times New Roman" w:cs="Times New Roman"/>
          <w:sz w:val="24"/>
          <w:szCs w:val="24"/>
          <w:lang w:val="fr-CM"/>
        </w:rPr>
        <w:t xml:space="preserve"> N., De Cannière C., Bogaert J., 2010. </w:t>
      </w:r>
      <w:proofErr w:type="spellStart"/>
      <w:r w:rsidRPr="00B07E5D">
        <w:rPr>
          <w:rFonts w:ascii="Times New Roman" w:hAnsi="Times New Roman" w:cs="Times New Roman"/>
          <w:sz w:val="24"/>
          <w:szCs w:val="24"/>
          <w:lang w:val="fr-CM"/>
        </w:rPr>
        <w:t>Indicators</w:t>
      </w:r>
      <w:proofErr w:type="spellEnd"/>
      <w:r w:rsidRPr="00B07E5D">
        <w:rPr>
          <w:rFonts w:ascii="Times New Roman" w:hAnsi="Times New Roman" w:cs="Times New Roman"/>
          <w:sz w:val="24"/>
          <w:szCs w:val="24"/>
          <w:lang w:val="fr-CM"/>
        </w:rPr>
        <w:t xml:space="preserve"> of post-</w:t>
      </w:r>
      <w:proofErr w:type="spellStart"/>
      <w:r w:rsidRPr="00B07E5D">
        <w:rPr>
          <w:rFonts w:ascii="Times New Roman" w:hAnsi="Times New Roman" w:cs="Times New Roman"/>
          <w:sz w:val="24"/>
          <w:szCs w:val="24"/>
          <w:lang w:val="fr-CM"/>
        </w:rPr>
        <w:t>cropping</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dynamics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fallow</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in the savannah section of the </w:t>
      </w:r>
      <w:proofErr w:type="spellStart"/>
      <w:r w:rsidRPr="00B07E5D">
        <w:rPr>
          <w:rFonts w:ascii="Times New Roman" w:hAnsi="Times New Roman" w:cs="Times New Roman"/>
          <w:sz w:val="24"/>
          <w:szCs w:val="24"/>
          <w:lang w:val="fr-CM"/>
        </w:rPr>
        <w:t>Kigwena</w:t>
      </w:r>
      <w:proofErr w:type="spellEnd"/>
      <w:r w:rsidRPr="00B07E5D">
        <w:rPr>
          <w:rFonts w:ascii="Times New Roman" w:hAnsi="Times New Roman" w:cs="Times New Roman"/>
          <w:sz w:val="24"/>
          <w:szCs w:val="24"/>
          <w:lang w:val="fr-CM"/>
        </w:rPr>
        <w:t xml:space="preserve"> Forest Nature Reserve (Burundi). Plant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and Evolution 143 (2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138–147.</w:t>
      </w:r>
    </w:p>
    <w:p w14:paraId="336CD5A5"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Barbault</w:t>
      </w:r>
      <w:proofErr w:type="spellEnd"/>
      <w:r w:rsidRPr="00B07E5D">
        <w:rPr>
          <w:rFonts w:ascii="Times New Roman" w:hAnsi="Times New Roman" w:cs="Times New Roman"/>
          <w:sz w:val="24"/>
          <w:szCs w:val="24"/>
          <w:lang w:val="fr-CM"/>
        </w:rPr>
        <w:t xml:space="preserve"> R. 1997. “General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Structure and </w:t>
      </w:r>
      <w:proofErr w:type="spellStart"/>
      <w:r w:rsidRPr="00B07E5D">
        <w:rPr>
          <w:rFonts w:ascii="Times New Roman" w:hAnsi="Times New Roman" w:cs="Times New Roman"/>
          <w:sz w:val="24"/>
          <w:szCs w:val="24"/>
          <w:lang w:val="fr-CM"/>
        </w:rPr>
        <w:t>Functioning</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Biosphere</w:t>
      </w:r>
      <w:proofErr w:type="spellEnd"/>
      <w:r w:rsidRPr="00B07E5D">
        <w:rPr>
          <w:rFonts w:ascii="Times New Roman" w:hAnsi="Times New Roman" w:cs="Times New Roman"/>
          <w:sz w:val="24"/>
          <w:szCs w:val="24"/>
          <w:lang w:val="fr-CM"/>
        </w:rPr>
        <w:t xml:space="preserve">”, 4th </w:t>
      </w:r>
      <w:proofErr w:type="spellStart"/>
      <w:r w:rsidRPr="00B07E5D">
        <w:rPr>
          <w:rFonts w:ascii="Times New Roman" w:hAnsi="Times New Roman" w:cs="Times New Roman"/>
          <w:sz w:val="24"/>
          <w:szCs w:val="24"/>
          <w:lang w:val="fr-CM"/>
        </w:rPr>
        <w:t>edition</w:t>
      </w:r>
      <w:proofErr w:type="spellEnd"/>
      <w:r w:rsidRPr="00B07E5D">
        <w:rPr>
          <w:rFonts w:ascii="Times New Roman" w:hAnsi="Times New Roman" w:cs="Times New Roman"/>
          <w:sz w:val="24"/>
          <w:szCs w:val="24"/>
          <w:lang w:val="fr-CM"/>
        </w:rPr>
        <w:t>, Paris, 286 p.</w:t>
      </w:r>
    </w:p>
    <w:p w14:paraId="714CF2FB"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Bassène</w:t>
      </w:r>
      <w:proofErr w:type="spellEnd"/>
      <w:r w:rsidRPr="00B07E5D">
        <w:rPr>
          <w:rFonts w:ascii="Times New Roman" w:hAnsi="Times New Roman" w:cs="Times New Roman"/>
          <w:sz w:val="24"/>
          <w:szCs w:val="24"/>
          <w:lang w:val="fr-CM"/>
        </w:rPr>
        <w:t xml:space="preserve"> C., Diallo M.D., </w:t>
      </w:r>
      <w:proofErr w:type="spellStart"/>
      <w:r w:rsidRPr="00B07E5D">
        <w:rPr>
          <w:rFonts w:ascii="Times New Roman" w:hAnsi="Times New Roman" w:cs="Times New Roman"/>
          <w:sz w:val="24"/>
          <w:szCs w:val="24"/>
          <w:lang w:val="fr-CM"/>
        </w:rPr>
        <w:t>Diaité</w:t>
      </w:r>
      <w:proofErr w:type="spellEnd"/>
      <w:r w:rsidRPr="00B07E5D">
        <w:rPr>
          <w:rFonts w:ascii="Times New Roman" w:hAnsi="Times New Roman" w:cs="Times New Roman"/>
          <w:sz w:val="24"/>
          <w:szCs w:val="24"/>
          <w:lang w:val="fr-CM"/>
        </w:rPr>
        <w:t xml:space="preserve"> B., Diop A., </w:t>
      </w:r>
      <w:proofErr w:type="spellStart"/>
      <w:r w:rsidRPr="00B07E5D">
        <w:rPr>
          <w:rFonts w:ascii="Times New Roman" w:hAnsi="Times New Roman" w:cs="Times New Roman"/>
          <w:sz w:val="24"/>
          <w:szCs w:val="24"/>
          <w:lang w:val="fr-CM"/>
        </w:rPr>
        <w:t>Guissé</w:t>
      </w:r>
      <w:proofErr w:type="spellEnd"/>
      <w:r w:rsidRPr="00B07E5D">
        <w:rPr>
          <w:rFonts w:ascii="Times New Roman" w:hAnsi="Times New Roman" w:cs="Times New Roman"/>
          <w:sz w:val="24"/>
          <w:szCs w:val="24"/>
          <w:lang w:val="fr-CM"/>
        </w:rPr>
        <w:t xml:space="preserve"> A., 2020. </w:t>
      </w:r>
      <w:proofErr w:type="spellStart"/>
      <w:r w:rsidRPr="00B07E5D">
        <w:rPr>
          <w:rFonts w:ascii="Times New Roman" w:hAnsi="Times New Roman" w:cs="Times New Roman"/>
          <w:sz w:val="24"/>
          <w:szCs w:val="24"/>
          <w:lang w:val="fr-CM"/>
        </w:rPr>
        <w:t>Characteristics</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herbaceous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of an enclosure in Ferlo North in </w:t>
      </w:r>
      <w:proofErr w:type="spellStart"/>
      <w:r w:rsidRPr="00B07E5D">
        <w:rPr>
          <w:rFonts w:ascii="Times New Roman" w:hAnsi="Times New Roman" w:cs="Times New Roman"/>
          <w:sz w:val="24"/>
          <w:szCs w:val="24"/>
          <w:lang w:val="fr-CM"/>
        </w:rPr>
        <w:t>Senegal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Elev</w:t>
      </w:r>
      <w:proofErr w:type="spellEnd"/>
      <w:r w:rsidRPr="00B07E5D">
        <w:rPr>
          <w:rFonts w:ascii="Times New Roman" w:hAnsi="Times New Roman" w:cs="Times New Roman"/>
          <w:sz w:val="24"/>
          <w:szCs w:val="24"/>
          <w:lang w:val="fr-CM"/>
        </w:rPr>
        <w:t xml:space="preserve">. Med. </w:t>
      </w:r>
      <w:proofErr w:type="spellStart"/>
      <w:r w:rsidRPr="00B07E5D">
        <w:rPr>
          <w:rFonts w:ascii="Times New Roman" w:hAnsi="Times New Roman" w:cs="Times New Roman"/>
          <w:sz w:val="24"/>
          <w:szCs w:val="24"/>
          <w:lang w:val="fr-CM"/>
        </w:rPr>
        <w:t>Vet</w:t>
      </w:r>
      <w:proofErr w:type="spellEnd"/>
      <w:r w:rsidRPr="00B07E5D">
        <w:rPr>
          <w:rFonts w:ascii="Times New Roman" w:hAnsi="Times New Roman" w:cs="Times New Roman"/>
          <w:sz w:val="24"/>
          <w:szCs w:val="24"/>
          <w:lang w:val="fr-CM"/>
        </w:rPr>
        <w:t>. Pays Trop., 73 (3</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207–212. </w:t>
      </w:r>
      <w:proofErr w:type="spellStart"/>
      <w:r w:rsidRPr="00B07E5D">
        <w:rPr>
          <w:rFonts w:ascii="Times New Roman" w:hAnsi="Times New Roman" w:cs="Times New Roman"/>
          <w:sz w:val="24"/>
          <w:szCs w:val="24"/>
          <w:lang w:val="fr-CM"/>
        </w:rPr>
        <w:t>Bassène</w:t>
      </w:r>
      <w:proofErr w:type="spellEnd"/>
      <w:r w:rsidRPr="00B07E5D">
        <w:rPr>
          <w:rFonts w:ascii="Times New Roman" w:hAnsi="Times New Roman" w:cs="Times New Roman"/>
          <w:sz w:val="24"/>
          <w:szCs w:val="24"/>
          <w:lang w:val="fr-CM"/>
        </w:rPr>
        <w:t xml:space="preserve"> C., Mbaye M.-S., Kane A., </w:t>
      </w:r>
      <w:proofErr w:type="spellStart"/>
      <w:r w:rsidRPr="00B07E5D">
        <w:rPr>
          <w:rFonts w:ascii="Times New Roman" w:hAnsi="Times New Roman" w:cs="Times New Roman"/>
          <w:sz w:val="24"/>
          <w:szCs w:val="24"/>
          <w:lang w:val="fr-CM"/>
        </w:rPr>
        <w:t>Diangar</w:t>
      </w:r>
      <w:proofErr w:type="spellEnd"/>
      <w:r w:rsidRPr="00B07E5D">
        <w:rPr>
          <w:rFonts w:ascii="Times New Roman" w:hAnsi="Times New Roman" w:cs="Times New Roman"/>
          <w:sz w:val="24"/>
          <w:szCs w:val="24"/>
          <w:lang w:val="fr-CM"/>
        </w:rPr>
        <w:t xml:space="preserve"> S., </w:t>
      </w:r>
      <w:proofErr w:type="spellStart"/>
      <w:r w:rsidRPr="00B07E5D">
        <w:rPr>
          <w:rFonts w:ascii="Times New Roman" w:hAnsi="Times New Roman" w:cs="Times New Roman"/>
          <w:sz w:val="24"/>
          <w:szCs w:val="24"/>
          <w:lang w:val="fr-CM"/>
        </w:rPr>
        <w:t>Noba</w:t>
      </w:r>
      <w:proofErr w:type="spellEnd"/>
      <w:r w:rsidRPr="00B07E5D">
        <w:rPr>
          <w:rFonts w:ascii="Times New Roman" w:hAnsi="Times New Roman" w:cs="Times New Roman"/>
          <w:sz w:val="24"/>
          <w:szCs w:val="24"/>
          <w:lang w:val="fr-CM"/>
        </w:rPr>
        <w:t xml:space="preserve"> K., 2012. </w:t>
      </w:r>
      <w:proofErr w:type="spellStart"/>
      <w:r w:rsidRPr="00B07E5D">
        <w:rPr>
          <w:rFonts w:ascii="Times New Roman" w:hAnsi="Times New Roman" w:cs="Times New Roman"/>
          <w:sz w:val="24"/>
          <w:szCs w:val="24"/>
          <w:lang w:val="fr-CM"/>
        </w:rPr>
        <w:t>Weed</w:t>
      </w:r>
      <w:proofErr w:type="spellEnd"/>
      <w:r w:rsidRPr="00B07E5D">
        <w:rPr>
          <w:rFonts w:ascii="Times New Roman" w:hAnsi="Times New Roman" w:cs="Times New Roman"/>
          <w:sz w:val="24"/>
          <w:szCs w:val="24"/>
          <w:lang w:val="fr-CM"/>
        </w:rPr>
        <w:t xml:space="preserve"> flora of </w:t>
      </w:r>
      <w:proofErr w:type="spellStart"/>
      <w:r w:rsidRPr="00B07E5D">
        <w:rPr>
          <w:rFonts w:ascii="Times New Roman" w:hAnsi="Times New Roman" w:cs="Times New Roman"/>
          <w:sz w:val="24"/>
          <w:szCs w:val="24"/>
          <w:lang w:val="fr-CM"/>
        </w:rPr>
        <w:t>maize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Zea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mays</w:t>
      </w:r>
      <w:proofErr w:type="spellEnd"/>
      <w:r w:rsidRPr="00B07E5D">
        <w:rPr>
          <w:rFonts w:ascii="Times New Roman" w:hAnsi="Times New Roman" w:cs="Times New Roman"/>
          <w:sz w:val="24"/>
          <w:szCs w:val="24"/>
          <w:lang w:val="fr-CM"/>
        </w:rPr>
        <w:t xml:space="preserve"> L.) in the </w:t>
      </w:r>
      <w:proofErr w:type="spellStart"/>
      <w:r w:rsidRPr="00B07E5D">
        <w:rPr>
          <w:rFonts w:ascii="Times New Roman" w:hAnsi="Times New Roman" w:cs="Times New Roman"/>
          <w:sz w:val="24"/>
          <w:szCs w:val="24"/>
          <w:lang w:val="fr-CM"/>
        </w:rPr>
        <w:t>southern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Peanut</w:t>
      </w:r>
      <w:proofErr w:type="spellEnd"/>
      <w:r w:rsidRPr="00B07E5D">
        <w:rPr>
          <w:rFonts w:ascii="Times New Roman" w:hAnsi="Times New Roman" w:cs="Times New Roman"/>
          <w:sz w:val="24"/>
          <w:szCs w:val="24"/>
          <w:lang w:val="fr-CM"/>
        </w:rPr>
        <w:t xml:space="preserve"> Basin (</w:t>
      </w:r>
      <w:proofErr w:type="spellStart"/>
      <w:r w:rsidRPr="00B07E5D">
        <w:rPr>
          <w:rFonts w:ascii="Times New Roman" w:hAnsi="Times New Roman" w:cs="Times New Roman"/>
          <w:sz w:val="24"/>
          <w:szCs w:val="24"/>
          <w:lang w:val="fr-CM"/>
        </w:rPr>
        <w:t>Senegal</w:t>
      </w:r>
      <w:proofErr w:type="spellEnd"/>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structure and </w:t>
      </w:r>
      <w:proofErr w:type="spellStart"/>
      <w:r w:rsidRPr="00B07E5D">
        <w:rPr>
          <w:rFonts w:ascii="Times New Roman" w:hAnsi="Times New Roman" w:cs="Times New Roman"/>
          <w:sz w:val="24"/>
          <w:szCs w:val="24"/>
          <w:lang w:val="fr-CM"/>
        </w:rPr>
        <w:t>harmfulness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Appl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Biosci</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59:</w:t>
      </w:r>
      <w:proofErr w:type="gramEnd"/>
      <w:r w:rsidRPr="00B07E5D">
        <w:rPr>
          <w:rFonts w:ascii="Times New Roman" w:hAnsi="Times New Roman" w:cs="Times New Roman"/>
          <w:sz w:val="24"/>
          <w:szCs w:val="24"/>
          <w:lang w:val="fr-CM"/>
        </w:rPr>
        <w:t xml:space="preserve"> 4307-4320.</w:t>
      </w:r>
    </w:p>
    <w:p w14:paraId="3012716F"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Bouhissi</w:t>
      </w:r>
      <w:proofErr w:type="spellEnd"/>
      <w:r w:rsidRPr="00B07E5D">
        <w:rPr>
          <w:rFonts w:ascii="Times New Roman" w:hAnsi="Times New Roman" w:cs="Times New Roman"/>
          <w:sz w:val="24"/>
          <w:szCs w:val="24"/>
          <w:lang w:val="fr-CM"/>
        </w:rPr>
        <w:t xml:space="preserve"> M.E., </w:t>
      </w:r>
      <w:proofErr w:type="spellStart"/>
      <w:r w:rsidRPr="00B07E5D">
        <w:rPr>
          <w:rFonts w:ascii="Times New Roman" w:hAnsi="Times New Roman" w:cs="Times New Roman"/>
          <w:sz w:val="24"/>
          <w:szCs w:val="24"/>
          <w:lang w:val="fr-CM"/>
        </w:rPr>
        <w:t>Nadjia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Fertout-Mouri</w:t>
      </w:r>
      <w:proofErr w:type="spellEnd"/>
      <w:r w:rsidRPr="00B07E5D">
        <w:rPr>
          <w:rFonts w:ascii="Times New Roman" w:hAnsi="Times New Roman" w:cs="Times New Roman"/>
          <w:sz w:val="24"/>
          <w:szCs w:val="24"/>
          <w:lang w:val="fr-CM"/>
        </w:rPr>
        <w:t xml:space="preserve"> N., Bachir </w:t>
      </w:r>
      <w:proofErr w:type="spellStart"/>
      <w:r w:rsidRPr="00B07E5D">
        <w:rPr>
          <w:rFonts w:ascii="Times New Roman" w:hAnsi="Times New Roman" w:cs="Times New Roman"/>
          <w:sz w:val="24"/>
          <w:szCs w:val="24"/>
          <w:lang w:val="fr-CM"/>
        </w:rPr>
        <w:t>Bouiadjara</w:t>
      </w:r>
      <w:proofErr w:type="spellEnd"/>
      <w:r w:rsidRPr="00B07E5D">
        <w:rPr>
          <w:rFonts w:ascii="Times New Roman" w:hAnsi="Times New Roman" w:cs="Times New Roman"/>
          <w:sz w:val="24"/>
          <w:szCs w:val="24"/>
          <w:lang w:val="fr-CM"/>
        </w:rPr>
        <w:t xml:space="preserve"> S.E., 2021.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phytoecological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characterization</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Zegla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flora, </w:t>
      </w:r>
      <w:proofErr w:type="spellStart"/>
      <w:r w:rsidRPr="00B07E5D">
        <w:rPr>
          <w:rFonts w:ascii="Times New Roman" w:hAnsi="Times New Roman" w:cs="Times New Roman"/>
          <w:sz w:val="24"/>
          <w:szCs w:val="24"/>
          <w:lang w:val="fr-CM"/>
        </w:rPr>
        <w:t>Merine</w:t>
      </w:r>
      <w:proofErr w:type="spellEnd"/>
      <w:r w:rsidRPr="00B07E5D">
        <w:rPr>
          <w:rFonts w:ascii="Times New Roman" w:hAnsi="Times New Roman" w:cs="Times New Roman"/>
          <w:sz w:val="24"/>
          <w:szCs w:val="24"/>
          <w:lang w:val="fr-CM"/>
        </w:rPr>
        <w:t xml:space="preserve"> district (West Algeria). </w:t>
      </w:r>
      <w:proofErr w:type="spellStart"/>
      <w:r w:rsidRPr="00B07E5D">
        <w:rPr>
          <w:rFonts w:ascii="Times New Roman" w:hAnsi="Times New Roman" w:cs="Times New Roman"/>
          <w:sz w:val="24"/>
          <w:szCs w:val="24"/>
          <w:lang w:val="fr-CM"/>
        </w:rPr>
        <w:t>Geo</w:t>
      </w:r>
      <w:proofErr w:type="spellEnd"/>
      <w:r w:rsidRPr="00B07E5D">
        <w:rPr>
          <w:rFonts w:ascii="Times New Roman" w:hAnsi="Times New Roman" w:cs="Times New Roman"/>
          <w:sz w:val="24"/>
          <w:szCs w:val="24"/>
          <w:lang w:val="fr-CM"/>
        </w:rPr>
        <w:t xml:space="preserve">-Eco-Trop., 45, </w:t>
      </w:r>
      <w:proofErr w:type="gramStart"/>
      <w:r w:rsidRPr="00B07E5D">
        <w:rPr>
          <w:rFonts w:ascii="Times New Roman" w:hAnsi="Times New Roman" w:cs="Times New Roman"/>
          <w:sz w:val="24"/>
          <w:szCs w:val="24"/>
          <w:lang w:val="fr-CM"/>
        </w:rPr>
        <w:t>1:</w:t>
      </w:r>
      <w:proofErr w:type="gramEnd"/>
      <w:r w:rsidRPr="00B07E5D">
        <w:rPr>
          <w:rFonts w:ascii="Times New Roman" w:hAnsi="Times New Roman" w:cs="Times New Roman"/>
          <w:sz w:val="24"/>
          <w:szCs w:val="24"/>
          <w:lang w:val="fr-CM"/>
        </w:rPr>
        <w:t xml:space="preserve"> 131-143</w:t>
      </w:r>
    </w:p>
    <w:p w14:paraId="4E9678AE"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Braun-Blanquet J., 1932. Plant </w:t>
      </w:r>
      <w:proofErr w:type="spellStart"/>
      <w:r w:rsidRPr="00B07E5D">
        <w:rPr>
          <w:rFonts w:ascii="Times New Roman" w:hAnsi="Times New Roman" w:cs="Times New Roman"/>
          <w:sz w:val="24"/>
          <w:szCs w:val="24"/>
          <w:lang w:val="fr-CM"/>
        </w:rPr>
        <w:t>sociology</w:t>
      </w:r>
      <w:proofErr w:type="spellEnd"/>
      <w:r w:rsidRPr="00B07E5D">
        <w:rPr>
          <w:rFonts w:ascii="Times New Roman" w:hAnsi="Times New Roman" w:cs="Times New Roman"/>
          <w:sz w:val="24"/>
          <w:szCs w:val="24"/>
          <w:lang w:val="fr-CM"/>
        </w:rPr>
        <w:t xml:space="preserve">. The </w:t>
      </w:r>
      <w:proofErr w:type="spellStart"/>
      <w:r w:rsidRPr="00B07E5D">
        <w:rPr>
          <w:rFonts w:ascii="Times New Roman" w:hAnsi="Times New Roman" w:cs="Times New Roman"/>
          <w:sz w:val="24"/>
          <w:szCs w:val="24"/>
          <w:lang w:val="fr-CM"/>
        </w:rPr>
        <w:t>study</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New York, London, Mac Gray Hill, 439 p.</w:t>
      </w:r>
    </w:p>
    <w:p w14:paraId="7DA07E61"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CORETEAM R., (2021) A </w:t>
      </w:r>
      <w:proofErr w:type="spellStart"/>
      <w:r w:rsidRPr="00B07E5D">
        <w:rPr>
          <w:rFonts w:ascii="Times New Roman" w:hAnsi="Times New Roman" w:cs="Times New Roman"/>
          <w:sz w:val="24"/>
          <w:szCs w:val="24"/>
          <w:lang w:val="fr-CM"/>
        </w:rPr>
        <w:t>Language</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Environment</w:t>
      </w:r>
      <w:proofErr w:type="spellEnd"/>
      <w:r w:rsidRPr="00B07E5D">
        <w:rPr>
          <w:rFonts w:ascii="Times New Roman" w:hAnsi="Times New Roman" w:cs="Times New Roman"/>
          <w:sz w:val="24"/>
          <w:szCs w:val="24"/>
          <w:lang w:val="fr-CM"/>
        </w:rPr>
        <w:t xml:space="preserve"> for </w:t>
      </w:r>
      <w:proofErr w:type="spellStart"/>
      <w:r w:rsidRPr="00B07E5D">
        <w:rPr>
          <w:rFonts w:ascii="Times New Roman" w:hAnsi="Times New Roman" w:cs="Times New Roman"/>
          <w:sz w:val="24"/>
          <w:szCs w:val="24"/>
          <w:lang w:val="fr-CM"/>
        </w:rPr>
        <w:t>Statistical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Computing</w:t>
      </w:r>
      <w:proofErr w:type="spellEnd"/>
      <w:r w:rsidRPr="00B07E5D">
        <w:rPr>
          <w:rFonts w:ascii="Times New Roman" w:hAnsi="Times New Roman" w:cs="Times New Roman"/>
          <w:sz w:val="24"/>
          <w:szCs w:val="24"/>
          <w:lang w:val="fr-CM"/>
        </w:rPr>
        <w:t xml:space="preserve">. R </w:t>
      </w:r>
      <w:proofErr w:type="spellStart"/>
      <w:r w:rsidRPr="00B07E5D">
        <w:rPr>
          <w:rFonts w:ascii="Times New Roman" w:hAnsi="Times New Roman" w:cs="Times New Roman"/>
          <w:sz w:val="24"/>
          <w:szCs w:val="24"/>
          <w:lang w:val="fr-CM"/>
        </w:rPr>
        <w:t>Foundation</w:t>
      </w:r>
      <w:proofErr w:type="spellEnd"/>
      <w:r w:rsidRPr="00B07E5D">
        <w:rPr>
          <w:rFonts w:ascii="Times New Roman" w:hAnsi="Times New Roman" w:cs="Times New Roman"/>
          <w:sz w:val="24"/>
          <w:szCs w:val="24"/>
          <w:lang w:val="fr-CM"/>
        </w:rPr>
        <w:t xml:space="preserve"> for </w:t>
      </w:r>
      <w:proofErr w:type="spellStart"/>
      <w:r w:rsidRPr="00B07E5D">
        <w:rPr>
          <w:rFonts w:ascii="Times New Roman" w:hAnsi="Times New Roman" w:cs="Times New Roman"/>
          <w:sz w:val="24"/>
          <w:szCs w:val="24"/>
          <w:lang w:val="fr-CM"/>
        </w:rPr>
        <w:t>Statistical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Computing</w:t>
      </w:r>
      <w:proofErr w:type="spellEnd"/>
      <w:r w:rsidRPr="00B07E5D">
        <w:rPr>
          <w:rFonts w:ascii="Times New Roman" w:hAnsi="Times New Roman" w:cs="Times New Roman"/>
          <w:sz w:val="24"/>
          <w:szCs w:val="24"/>
          <w:lang w:val="fr-CM"/>
        </w:rPr>
        <w:t>, Vienna,</w:t>
      </w:r>
    </w:p>
    <w:p w14:paraId="111D40E8"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Dajoz</w:t>
      </w:r>
      <w:proofErr w:type="spellEnd"/>
      <w:r w:rsidRPr="00B07E5D">
        <w:rPr>
          <w:rFonts w:ascii="Times New Roman" w:hAnsi="Times New Roman" w:cs="Times New Roman"/>
          <w:sz w:val="24"/>
          <w:szCs w:val="24"/>
          <w:lang w:val="fr-CM"/>
        </w:rPr>
        <w:t xml:space="preserve"> R., 2006. Précis d’écologie. 8th </w:t>
      </w:r>
      <w:proofErr w:type="spellStart"/>
      <w:r w:rsidRPr="00B07E5D">
        <w:rPr>
          <w:rFonts w:ascii="Times New Roman" w:hAnsi="Times New Roman" w:cs="Times New Roman"/>
          <w:sz w:val="24"/>
          <w:szCs w:val="24"/>
          <w:lang w:val="fr-CM"/>
        </w:rPr>
        <w:t>edition</w:t>
      </w:r>
      <w:proofErr w:type="spellEnd"/>
      <w:r w:rsidRPr="00B07E5D">
        <w:rPr>
          <w:rFonts w:ascii="Times New Roman" w:hAnsi="Times New Roman" w:cs="Times New Roman"/>
          <w:sz w:val="24"/>
          <w:szCs w:val="24"/>
          <w:lang w:val="fr-CM"/>
        </w:rPr>
        <w:t>. Paris. 631p.</w:t>
      </w:r>
    </w:p>
    <w:p w14:paraId="2A4FCCE3"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Djangbedja</w:t>
      </w:r>
      <w:proofErr w:type="spellEnd"/>
      <w:r w:rsidRPr="00B07E5D">
        <w:rPr>
          <w:rFonts w:ascii="Times New Roman" w:hAnsi="Times New Roman" w:cs="Times New Roman"/>
          <w:sz w:val="24"/>
          <w:szCs w:val="24"/>
          <w:lang w:val="fr-CM"/>
        </w:rPr>
        <w:t xml:space="preserve"> M., 2020. Flora and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abandoned</w:t>
      </w:r>
      <w:proofErr w:type="spellEnd"/>
      <w:r w:rsidRPr="00B07E5D">
        <w:rPr>
          <w:rFonts w:ascii="Times New Roman" w:hAnsi="Times New Roman" w:cs="Times New Roman"/>
          <w:sz w:val="24"/>
          <w:szCs w:val="24"/>
          <w:lang w:val="fr-CM"/>
        </w:rPr>
        <w:t xml:space="preserve"> phosphate </w:t>
      </w:r>
      <w:proofErr w:type="spellStart"/>
      <w:r w:rsidRPr="00B07E5D">
        <w:rPr>
          <w:rFonts w:ascii="Times New Roman" w:hAnsi="Times New Roman" w:cs="Times New Roman"/>
          <w:sz w:val="24"/>
          <w:szCs w:val="24"/>
          <w:lang w:val="fr-CM"/>
        </w:rPr>
        <w:t>quarry</w:t>
      </w:r>
      <w:proofErr w:type="spellEnd"/>
      <w:r w:rsidRPr="00B07E5D">
        <w:rPr>
          <w:rFonts w:ascii="Times New Roman" w:hAnsi="Times New Roman" w:cs="Times New Roman"/>
          <w:sz w:val="24"/>
          <w:szCs w:val="24"/>
          <w:lang w:val="fr-CM"/>
        </w:rPr>
        <w:t xml:space="preserve"> ponds in </w:t>
      </w:r>
      <w:proofErr w:type="spellStart"/>
      <w:r w:rsidRPr="00B07E5D">
        <w:rPr>
          <w:rFonts w:ascii="Times New Roman" w:hAnsi="Times New Roman" w:cs="Times New Roman"/>
          <w:sz w:val="24"/>
          <w:szCs w:val="24"/>
          <w:lang w:val="fr-CM"/>
        </w:rPr>
        <w:t>southeastern</w:t>
      </w:r>
      <w:proofErr w:type="spellEnd"/>
      <w:r w:rsidRPr="00B07E5D">
        <w:rPr>
          <w:rFonts w:ascii="Times New Roman" w:hAnsi="Times New Roman" w:cs="Times New Roman"/>
          <w:sz w:val="24"/>
          <w:szCs w:val="24"/>
          <w:lang w:val="fr-CM"/>
        </w:rPr>
        <w:t xml:space="preserve"> Togo.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Écosystèmes et Paysages (Togo), No. 02, vol. 02, 212-228.</w:t>
      </w:r>
    </w:p>
    <w:p w14:paraId="5273FAAD"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Dona A., 2023.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richness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carbon</w:t>
      </w:r>
      <w:proofErr w:type="spellEnd"/>
      <w:r w:rsidRPr="00B07E5D">
        <w:rPr>
          <w:rFonts w:ascii="Times New Roman" w:hAnsi="Times New Roman" w:cs="Times New Roman"/>
          <w:sz w:val="24"/>
          <w:szCs w:val="24"/>
          <w:lang w:val="fr-CM"/>
        </w:rPr>
        <w:t xml:space="preserve"> stock in land-use </w:t>
      </w:r>
      <w:proofErr w:type="spellStart"/>
      <w:r w:rsidRPr="00B07E5D">
        <w:rPr>
          <w:rFonts w:ascii="Times New Roman" w:hAnsi="Times New Roman" w:cs="Times New Roman"/>
          <w:sz w:val="24"/>
          <w:szCs w:val="24"/>
          <w:lang w:val="fr-CM"/>
        </w:rPr>
        <w:t>systems</w:t>
      </w:r>
      <w:proofErr w:type="spellEnd"/>
      <w:r w:rsidRPr="00B07E5D">
        <w:rPr>
          <w:rFonts w:ascii="Times New Roman" w:hAnsi="Times New Roman" w:cs="Times New Roman"/>
          <w:sz w:val="24"/>
          <w:szCs w:val="24"/>
          <w:lang w:val="fr-CM"/>
        </w:rPr>
        <w:t xml:space="preserve"> in </w:t>
      </w:r>
      <w:proofErr w:type="spellStart"/>
      <w:r w:rsidRPr="00B07E5D">
        <w:rPr>
          <w:rFonts w:ascii="Times New Roman" w:hAnsi="Times New Roman" w:cs="Times New Roman"/>
          <w:sz w:val="24"/>
          <w:szCs w:val="24"/>
          <w:lang w:val="fr-CM"/>
        </w:rPr>
        <w:t>Tandjilé</w:t>
      </w:r>
      <w:proofErr w:type="spellEnd"/>
      <w:r w:rsidRPr="00B07E5D">
        <w:rPr>
          <w:rFonts w:ascii="Times New Roman" w:hAnsi="Times New Roman" w:cs="Times New Roman"/>
          <w:sz w:val="24"/>
          <w:szCs w:val="24"/>
          <w:lang w:val="fr-CM"/>
        </w:rPr>
        <w:t xml:space="preserve">-Est Province, Chad.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Science 23(6) 42–55</w:t>
      </w:r>
    </w:p>
    <w:p w14:paraId="4664B35C"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Faye N., Diallo A., Sagna M. B., </w:t>
      </w:r>
      <w:proofErr w:type="spellStart"/>
      <w:r w:rsidRPr="00B07E5D">
        <w:rPr>
          <w:rFonts w:ascii="Times New Roman" w:hAnsi="Times New Roman" w:cs="Times New Roman"/>
          <w:sz w:val="24"/>
          <w:szCs w:val="24"/>
          <w:lang w:val="fr-CM"/>
        </w:rPr>
        <w:t>Sarr</w:t>
      </w:r>
      <w:proofErr w:type="spellEnd"/>
      <w:r w:rsidRPr="00B07E5D">
        <w:rPr>
          <w:rFonts w:ascii="Times New Roman" w:hAnsi="Times New Roman" w:cs="Times New Roman"/>
          <w:sz w:val="24"/>
          <w:szCs w:val="24"/>
          <w:lang w:val="fr-CM"/>
        </w:rPr>
        <w:t xml:space="preserve"> O., Talla R., Badji E. S., </w:t>
      </w:r>
      <w:proofErr w:type="spellStart"/>
      <w:r w:rsidRPr="00B07E5D">
        <w:rPr>
          <w:rFonts w:ascii="Times New Roman" w:hAnsi="Times New Roman" w:cs="Times New Roman"/>
          <w:sz w:val="24"/>
          <w:szCs w:val="24"/>
          <w:lang w:val="fr-CM"/>
        </w:rPr>
        <w:t>Peiry</w:t>
      </w:r>
      <w:proofErr w:type="spellEnd"/>
      <w:r w:rsidRPr="00B07E5D">
        <w:rPr>
          <w:rFonts w:ascii="Times New Roman" w:hAnsi="Times New Roman" w:cs="Times New Roman"/>
          <w:sz w:val="24"/>
          <w:szCs w:val="24"/>
          <w:lang w:val="fr-CM"/>
        </w:rPr>
        <w:t xml:space="preserve"> J. L., and </w:t>
      </w:r>
      <w:proofErr w:type="spellStart"/>
      <w:r w:rsidRPr="00B07E5D">
        <w:rPr>
          <w:rFonts w:ascii="Times New Roman" w:hAnsi="Times New Roman" w:cs="Times New Roman"/>
          <w:sz w:val="24"/>
          <w:szCs w:val="24"/>
          <w:lang w:val="fr-CM"/>
        </w:rPr>
        <w:t>Guisse</w:t>
      </w:r>
      <w:proofErr w:type="spellEnd"/>
      <w:r w:rsidRPr="00B07E5D">
        <w:rPr>
          <w:rFonts w:ascii="Times New Roman" w:hAnsi="Times New Roman" w:cs="Times New Roman"/>
          <w:sz w:val="24"/>
          <w:szCs w:val="24"/>
          <w:lang w:val="fr-CM"/>
        </w:rPr>
        <w:t xml:space="preserve"> A., 2020. Spatial distribution of </w:t>
      </w:r>
      <w:proofErr w:type="spellStart"/>
      <w:r w:rsidRPr="00B07E5D">
        <w:rPr>
          <w:rFonts w:ascii="Times New Roman" w:hAnsi="Times New Roman" w:cs="Times New Roman"/>
          <w:sz w:val="24"/>
          <w:szCs w:val="24"/>
          <w:lang w:val="fr-CM"/>
        </w:rPr>
        <w:t>herbaceous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around</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temporary</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ponds:</w:t>
      </w:r>
      <w:proofErr w:type="gramEnd"/>
      <w:r w:rsidRPr="00B07E5D">
        <w:rPr>
          <w:rFonts w:ascii="Times New Roman" w:hAnsi="Times New Roman" w:cs="Times New Roman"/>
          <w:sz w:val="24"/>
          <w:szCs w:val="24"/>
          <w:lang w:val="fr-CM"/>
        </w:rPr>
        <w:t xml:space="preserve"> influence of </w:t>
      </w:r>
      <w:proofErr w:type="spellStart"/>
      <w:r w:rsidRPr="00B07E5D">
        <w:rPr>
          <w:rFonts w:ascii="Times New Roman" w:hAnsi="Times New Roman" w:cs="Times New Roman"/>
          <w:sz w:val="24"/>
          <w:szCs w:val="24"/>
          <w:lang w:val="fr-CM"/>
        </w:rPr>
        <w:lastRenderedPageBreak/>
        <w:t>anthropogenic</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topographic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factors</w:t>
      </w:r>
      <w:proofErr w:type="spellEnd"/>
      <w:r w:rsidRPr="00B07E5D">
        <w:rPr>
          <w:rFonts w:ascii="Times New Roman" w:hAnsi="Times New Roman" w:cs="Times New Roman"/>
          <w:sz w:val="24"/>
          <w:szCs w:val="24"/>
          <w:lang w:val="fr-CM"/>
        </w:rPr>
        <w:t xml:space="preserve"> at </w:t>
      </w:r>
      <w:proofErr w:type="spellStart"/>
      <w:r w:rsidRPr="00B07E5D">
        <w:rPr>
          <w:rFonts w:ascii="Times New Roman" w:hAnsi="Times New Roman" w:cs="Times New Roman"/>
          <w:sz w:val="24"/>
          <w:szCs w:val="24"/>
          <w:lang w:val="fr-CM"/>
        </w:rPr>
        <w:t>Widou</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Thiengoly</w:t>
      </w:r>
      <w:proofErr w:type="spellEnd"/>
      <w:r w:rsidRPr="00B07E5D">
        <w:rPr>
          <w:rFonts w:ascii="Times New Roman" w:hAnsi="Times New Roman" w:cs="Times New Roman"/>
          <w:sz w:val="24"/>
          <w:szCs w:val="24"/>
          <w:lang w:val="fr-CM"/>
        </w:rPr>
        <w:t xml:space="preserve"> (Ferlo, </w:t>
      </w:r>
      <w:proofErr w:type="spellStart"/>
      <w:r w:rsidRPr="00B07E5D">
        <w:rPr>
          <w:rFonts w:ascii="Times New Roman" w:hAnsi="Times New Roman" w:cs="Times New Roman"/>
          <w:sz w:val="24"/>
          <w:szCs w:val="24"/>
          <w:lang w:val="fr-CM"/>
        </w:rPr>
        <w:t>Northern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Senegal</w:t>
      </w:r>
      <w:proofErr w:type="spellEnd"/>
      <w:r w:rsidRPr="00B07E5D">
        <w:rPr>
          <w:rFonts w:ascii="Times New Roman" w:hAnsi="Times New Roman" w:cs="Times New Roman"/>
          <w:sz w:val="24"/>
          <w:szCs w:val="24"/>
          <w:lang w:val="fr-CM"/>
        </w:rPr>
        <w:t xml:space="preserve">).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14(6</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2077–2093.</w:t>
      </w:r>
    </w:p>
    <w:p w14:paraId="2041BB92"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Fobane</w:t>
      </w:r>
      <w:proofErr w:type="spellEnd"/>
      <w:r w:rsidRPr="00B07E5D">
        <w:rPr>
          <w:rFonts w:ascii="Times New Roman" w:hAnsi="Times New Roman" w:cs="Times New Roman"/>
          <w:sz w:val="24"/>
          <w:szCs w:val="24"/>
          <w:lang w:val="fr-CM"/>
        </w:rPr>
        <w:t xml:space="preserve"> J. L., </w:t>
      </w:r>
      <w:proofErr w:type="spellStart"/>
      <w:r w:rsidRPr="00B07E5D">
        <w:rPr>
          <w:rFonts w:ascii="Times New Roman" w:hAnsi="Times New Roman" w:cs="Times New Roman"/>
          <w:sz w:val="24"/>
          <w:szCs w:val="24"/>
          <w:lang w:val="fr-CM"/>
        </w:rPr>
        <w:t>Moussoune</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 </w:t>
      </w:r>
      <w:proofErr w:type="spellStart"/>
      <w:r w:rsidRPr="00B07E5D">
        <w:rPr>
          <w:rFonts w:ascii="Times New Roman" w:hAnsi="Times New Roman" w:cs="Times New Roman"/>
          <w:sz w:val="24"/>
          <w:szCs w:val="24"/>
          <w:lang w:val="fr-CM"/>
        </w:rPr>
        <w:t>Chimi</w:t>
      </w:r>
      <w:proofErr w:type="spellEnd"/>
      <w:r w:rsidRPr="00B07E5D">
        <w:rPr>
          <w:rFonts w:ascii="Times New Roman" w:hAnsi="Times New Roman" w:cs="Times New Roman"/>
          <w:sz w:val="24"/>
          <w:szCs w:val="24"/>
          <w:lang w:val="fr-CM"/>
        </w:rPr>
        <w:t xml:space="preserve"> J.M., </w:t>
      </w:r>
      <w:proofErr w:type="spellStart"/>
      <w:r w:rsidRPr="00B07E5D">
        <w:rPr>
          <w:rFonts w:ascii="Times New Roman" w:hAnsi="Times New Roman" w:cs="Times New Roman"/>
          <w:sz w:val="24"/>
          <w:szCs w:val="24"/>
          <w:lang w:val="fr-CM"/>
        </w:rPr>
        <w:t>Nkoula</w:t>
      </w:r>
      <w:proofErr w:type="spellEnd"/>
      <w:r w:rsidRPr="00B07E5D">
        <w:rPr>
          <w:rFonts w:ascii="Times New Roman" w:hAnsi="Times New Roman" w:cs="Times New Roman"/>
          <w:sz w:val="24"/>
          <w:szCs w:val="24"/>
          <w:lang w:val="fr-CM"/>
        </w:rPr>
        <w:t xml:space="preserve"> M.M.V., </w:t>
      </w:r>
      <w:proofErr w:type="spellStart"/>
      <w:r w:rsidRPr="00B07E5D">
        <w:rPr>
          <w:rFonts w:ascii="Times New Roman" w:hAnsi="Times New Roman" w:cs="Times New Roman"/>
          <w:sz w:val="24"/>
          <w:szCs w:val="24"/>
          <w:lang w:val="fr-CM"/>
        </w:rPr>
        <w:t>Zekeng</w:t>
      </w:r>
      <w:proofErr w:type="spellEnd"/>
      <w:r w:rsidRPr="00B07E5D">
        <w:rPr>
          <w:rFonts w:ascii="Times New Roman" w:hAnsi="Times New Roman" w:cs="Times New Roman"/>
          <w:sz w:val="24"/>
          <w:szCs w:val="24"/>
          <w:lang w:val="fr-CM"/>
        </w:rPr>
        <w:t xml:space="preserve"> J.C., </w:t>
      </w:r>
      <w:proofErr w:type="spellStart"/>
      <w:r w:rsidRPr="00B07E5D">
        <w:rPr>
          <w:rFonts w:ascii="Times New Roman" w:hAnsi="Times New Roman" w:cs="Times New Roman"/>
          <w:sz w:val="24"/>
          <w:szCs w:val="24"/>
          <w:lang w:val="fr-CM"/>
        </w:rPr>
        <w:t>Onana</w:t>
      </w:r>
      <w:proofErr w:type="spellEnd"/>
      <w:r w:rsidRPr="00B07E5D">
        <w:rPr>
          <w:rFonts w:ascii="Times New Roman" w:hAnsi="Times New Roman" w:cs="Times New Roman"/>
          <w:sz w:val="24"/>
          <w:szCs w:val="24"/>
          <w:lang w:val="fr-CM"/>
        </w:rPr>
        <w:t xml:space="preserve"> J.M., </w:t>
      </w:r>
      <w:proofErr w:type="spellStart"/>
      <w:r w:rsidRPr="00B07E5D">
        <w:rPr>
          <w:rFonts w:ascii="Times New Roman" w:hAnsi="Times New Roman" w:cs="Times New Roman"/>
          <w:sz w:val="24"/>
          <w:szCs w:val="24"/>
          <w:lang w:val="fr-CM"/>
        </w:rPr>
        <w:t>Mala</w:t>
      </w:r>
      <w:proofErr w:type="spellEnd"/>
      <w:r w:rsidRPr="00B07E5D">
        <w:rPr>
          <w:rFonts w:ascii="Times New Roman" w:hAnsi="Times New Roman" w:cs="Times New Roman"/>
          <w:sz w:val="24"/>
          <w:szCs w:val="24"/>
          <w:lang w:val="fr-CM"/>
        </w:rPr>
        <w:t xml:space="preserve"> W.A., </w:t>
      </w:r>
      <w:proofErr w:type="spellStart"/>
      <w:r w:rsidRPr="00B07E5D">
        <w:rPr>
          <w:rFonts w:ascii="Times New Roman" w:hAnsi="Times New Roman" w:cs="Times New Roman"/>
          <w:sz w:val="24"/>
          <w:szCs w:val="24"/>
          <w:lang w:val="fr-CM"/>
        </w:rPr>
        <w:t>Mbolo</w:t>
      </w:r>
      <w:proofErr w:type="spellEnd"/>
      <w:r w:rsidRPr="00B07E5D">
        <w:rPr>
          <w:rFonts w:ascii="Times New Roman" w:hAnsi="Times New Roman" w:cs="Times New Roman"/>
          <w:sz w:val="24"/>
          <w:szCs w:val="24"/>
          <w:lang w:val="fr-CM"/>
        </w:rPr>
        <w:t xml:space="preserve"> M.M., 2023. Evaluation of the </w:t>
      </w:r>
      <w:proofErr w:type="spellStart"/>
      <w:r w:rsidRPr="00B07E5D">
        <w:rPr>
          <w:rFonts w:ascii="Times New Roman" w:hAnsi="Times New Roman" w:cs="Times New Roman"/>
          <w:sz w:val="24"/>
          <w:szCs w:val="24"/>
          <w:lang w:val="fr-CM"/>
        </w:rPr>
        <w:t>aerial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biomass</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marshy</w:t>
      </w:r>
      <w:proofErr w:type="spellEnd"/>
      <w:r w:rsidRPr="00B07E5D">
        <w:rPr>
          <w:rFonts w:ascii="Times New Roman" w:hAnsi="Times New Roman" w:cs="Times New Roman"/>
          <w:sz w:val="24"/>
          <w:szCs w:val="24"/>
          <w:lang w:val="fr-CM"/>
        </w:rPr>
        <w:t xml:space="preserve"> areas of the city of Yaoundé. World Wide Journal of </w:t>
      </w:r>
      <w:proofErr w:type="spellStart"/>
      <w:r w:rsidRPr="00B07E5D">
        <w:rPr>
          <w:rFonts w:ascii="Times New Roman" w:hAnsi="Times New Roman" w:cs="Times New Roman"/>
          <w:sz w:val="24"/>
          <w:szCs w:val="24"/>
          <w:lang w:val="fr-CM"/>
        </w:rPr>
        <w:t>Multidisciplinary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Research</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Development</w:t>
      </w:r>
      <w:proofErr w:type="spellEnd"/>
      <w:r w:rsidRPr="00B07E5D">
        <w:rPr>
          <w:rFonts w:ascii="Times New Roman" w:hAnsi="Times New Roman" w:cs="Times New Roman"/>
          <w:sz w:val="24"/>
          <w:szCs w:val="24"/>
          <w:lang w:val="fr-CM"/>
        </w:rPr>
        <w:t>. 9(06). 1-11.</w:t>
      </w:r>
    </w:p>
    <w:p w14:paraId="14C5A024"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Gbodjinou</w:t>
      </w:r>
      <w:proofErr w:type="spellEnd"/>
      <w:r w:rsidRPr="00B07E5D">
        <w:rPr>
          <w:rFonts w:ascii="Times New Roman" w:hAnsi="Times New Roman" w:cs="Times New Roman"/>
          <w:sz w:val="24"/>
          <w:szCs w:val="24"/>
          <w:lang w:val="fr-CM"/>
        </w:rPr>
        <w:t xml:space="preserve"> Y.B.B., </w:t>
      </w:r>
      <w:proofErr w:type="spellStart"/>
      <w:r w:rsidRPr="00B07E5D">
        <w:rPr>
          <w:rFonts w:ascii="Times New Roman" w:hAnsi="Times New Roman" w:cs="Times New Roman"/>
          <w:sz w:val="24"/>
          <w:szCs w:val="24"/>
          <w:lang w:val="fr-CM"/>
        </w:rPr>
        <w:t>Dibi</w:t>
      </w:r>
      <w:proofErr w:type="spellEnd"/>
      <w:r w:rsidRPr="00B07E5D">
        <w:rPr>
          <w:rFonts w:ascii="Times New Roman" w:hAnsi="Times New Roman" w:cs="Times New Roman"/>
          <w:sz w:val="24"/>
          <w:szCs w:val="24"/>
          <w:lang w:val="fr-CM"/>
        </w:rPr>
        <w:t xml:space="preserve"> N’da H., </w:t>
      </w:r>
      <w:proofErr w:type="spellStart"/>
      <w:r w:rsidRPr="00B07E5D">
        <w:rPr>
          <w:rFonts w:ascii="Times New Roman" w:hAnsi="Times New Roman" w:cs="Times New Roman"/>
          <w:sz w:val="24"/>
          <w:szCs w:val="24"/>
          <w:lang w:val="fr-CM"/>
        </w:rPr>
        <w:t>Akoton</w:t>
      </w:r>
      <w:proofErr w:type="spellEnd"/>
      <w:r w:rsidRPr="00B07E5D">
        <w:rPr>
          <w:rFonts w:ascii="Times New Roman" w:hAnsi="Times New Roman" w:cs="Times New Roman"/>
          <w:sz w:val="24"/>
          <w:szCs w:val="24"/>
          <w:lang w:val="fr-CM"/>
        </w:rPr>
        <w:t xml:space="preserve"> T.P., </w:t>
      </w:r>
      <w:proofErr w:type="spellStart"/>
      <w:r w:rsidRPr="00B07E5D">
        <w:rPr>
          <w:rFonts w:ascii="Times New Roman" w:hAnsi="Times New Roman" w:cs="Times New Roman"/>
          <w:sz w:val="24"/>
          <w:szCs w:val="24"/>
          <w:lang w:val="fr-CM"/>
        </w:rPr>
        <w:t>Toko</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Imorou</w:t>
      </w:r>
      <w:proofErr w:type="spellEnd"/>
      <w:r w:rsidRPr="00B07E5D">
        <w:rPr>
          <w:rFonts w:ascii="Times New Roman" w:hAnsi="Times New Roman" w:cs="Times New Roman"/>
          <w:sz w:val="24"/>
          <w:szCs w:val="24"/>
          <w:lang w:val="fr-CM"/>
        </w:rPr>
        <w:t xml:space="preserve"> I., 2022.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in the Plateau </w:t>
      </w:r>
      <w:proofErr w:type="spellStart"/>
      <w:r w:rsidRPr="00B07E5D">
        <w:rPr>
          <w:rFonts w:ascii="Times New Roman" w:hAnsi="Times New Roman" w:cs="Times New Roman"/>
          <w:sz w:val="24"/>
          <w:szCs w:val="24"/>
          <w:lang w:val="fr-CM"/>
        </w:rPr>
        <w:t>phytogeographic</w:t>
      </w:r>
      <w:proofErr w:type="spellEnd"/>
      <w:r w:rsidRPr="00B07E5D">
        <w:rPr>
          <w:rFonts w:ascii="Times New Roman" w:hAnsi="Times New Roman" w:cs="Times New Roman"/>
          <w:sz w:val="24"/>
          <w:szCs w:val="24"/>
          <w:lang w:val="fr-CM"/>
        </w:rPr>
        <w:t xml:space="preserve"> district in </w:t>
      </w:r>
      <w:proofErr w:type="spellStart"/>
      <w:r w:rsidRPr="00B07E5D">
        <w:rPr>
          <w:rFonts w:ascii="Times New Roman" w:hAnsi="Times New Roman" w:cs="Times New Roman"/>
          <w:sz w:val="24"/>
          <w:szCs w:val="24"/>
          <w:lang w:val="fr-CM"/>
        </w:rPr>
        <w:t>southwest</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Benin:</w:t>
      </w:r>
      <w:proofErr w:type="gramEnd"/>
      <w:r w:rsidRPr="00B07E5D">
        <w:rPr>
          <w:rFonts w:ascii="Times New Roman" w:hAnsi="Times New Roman" w:cs="Times New Roman"/>
          <w:sz w:val="24"/>
          <w:szCs w:val="24"/>
          <w:lang w:val="fr-CM"/>
        </w:rPr>
        <w:t xml:space="preserve"> the case of the districts of </w:t>
      </w:r>
      <w:proofErr w:type="spellStart"/>
      <w:r w:rsidRPr="00B07E5D">
        <w:rPr>
          <w:rFonts w:ascii="Times New Roman" w:hAnsi="Times New Roman" w:cs="Times New Roman"/>
          <w:sz w:val="24"/>
          <w:szCs w:val="24"/>
          <w:lang w:val="fr-CM"/>
        </w:rPr>
        <w:t>Koudo</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Agamè</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Ouèdèmè</w:t>
      </w:r>
      <w:proofErr w:type="spellEnd"/>
      <w:r w:rsidRPr="00B07E5D">
        <w:rPr>
          <w:rFonts w:ascii="Times New Roman" w:hAnsi="Times New Roman" w:cs="Times New Roman"/>
          <w:sz w:val="24"/>
          <w:szCs w:val="24"/>
          <w:lang w:val="fr-CM"/>
        </w:rPr>
        <w:t>-Adja, Lokossa commune. Afrique SCIENCE 20(6) 42 – 56.</w:t>
      </w:r>
    </w:p>
    <w:p w14:paraId="7C9D3F38"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Guinochet</w:t>
      </w:r>
      <w:proofErr w:type="spellEnd"/>
      <w:r w:rsidRPr="00B07E5D">
        <w:rPr>
          <w:rFonts w:ascii="Times New Roman" w:hAnsi="Times New Roman" w:cs="Times New Roman"/>
          <w:sz w:val="24"/>
          <w:szCs w:val="24"/>
          <w:lang w:val="fr-CM"/>
        </w:rPr>
        <w:t xml:space="preserve"> M., 1973. </w:t>
      </w:r>
      <w:proofErr w:type="spellStart"/>
      <w:r w:rsidRPr="00B07E5D">
        <w:rPr>
          <w:rFonts w:ascii="Times New Roman" w:hAnsi="Times New Roman" w:cs="Times New Roman"/>
          <w:sz w:val="24"/>
          <w:szCs w:val="24"/>
          <w:lang w:val="fr-CM"/>
        </w:rPr>
        <w:t>Phytosociology</w:t>
      </w:r>
      <w:proofErr w:type="spellEnd"/>
      <w:r w:rsidRPr="00B07E5D">
        <w:rPr>
          <w:rFonts w:ascii="Times New Roman" w:hAnsi="Times New Roman" w:cs="Times New Roman"/>
          <w:sz w:val="24"/>
          <w:szCs w:val="24"/>
          <w:lang w:val="fr-CM"/>
        </w:rPr>
        <w:t>. Paris, France, Masson, 223 p.</w:t>
      </w:r>
    </w:p>
    <w:p w14:paraId="378F45C0"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Hakizimana</w:t>
      </w:r>
      <w:proofErr w:type="spellEnd"/>
      <w:r w:rsidRPr="00B07E5D">
        <w:rPr>
          <w:rFonts w:ascii="Times New Roman" w:hAnsi="Times New Roman" w:cs="Times New Roman"/>
          <w:sz w:val="24"/>
          <w:szCs w:val="24"/>
          <w:lang w:val="fr-CM"/>
        </w:rPr>
        <w:t xml:space="preserve"> P., </w:t>
      </w:r>
      <w:proofErr w:type="spellStart"/>
      <w:r w:rsidRPr="00B07E5D">
        <w:rPr>
          <w:rFonts w:ascii="Times New Roman" w:hAnsi="Times New Roman" w:cs="Times New Roman"/>
          <w:sz w:val="24"/>
          <w:szCs w:val="24"/>
          <w:lang w:val="fr-CM"/>
        </w:rPr>
        <w:t>Bangirinama</w:t>
      </w:r>
      <w:proofErr w:type="spellEnd"/>
      <w:r w:rsidRPr="00B07E5D">
        <w:rPr>
          <w:rFonts w:ascii="Times New Roman" w:hAnsi="Times New Roman" w:cs="Times New Roman"/>
          <w:sz w:val="24"/>
          <w:szCs w:val="24"/>
          <w:lang w:val="fr-CM"/>
        </w:rPr>
        <w:t xml:space="preserve"> F., </w:t>
      </w:r>
      <w:proofErr w:type="spellStart"/>
      <w:r w:rsidRPr="00B07E5D">
        <w:rPr>
          <w:rFonts w:ascii="Times New Roman" w:hAnsi="Times New Roman" w:cs="Times New Roman"/>
          <w:sz w:val="24"/>
          <w:szCs w:val="24"/>
          <w:lang w:val="fr-CM"/>
        </w:rPr>
        <w:t>Masharabu</w:t>
      </w:r>
      <w:proofErr w:type="spellEnd"/>
      <w:r w:rsidRPr="00B07E5D">
        <w:rPr>
          <w:rFonts w:ascii="Times New Roman" w:hAnsi="Times New Roman" w:cs="Times New Roman"/>
          <w:sz w:val="24"/>
          <w:szCs w:val="24"/>
          <w:lang w:val="fr-CM"/>
        </w:rPr>
        <w:t xml:space="preserve"> T., </w:t>
      </w:r>
      <w:proofErr w:type="spellStart"/>
      <w:r w:rsidRPr="00B07E5D">
        <w:rPr>
          <w:rFonts w:ascii="Times New Roman" w:hAnsi="Times New Roman" w:cs="Times New Roman"/>
          <w:sz w:val="24"/>
          <w:szCs w:val="24"/>
          <w:lang w:val="fr-CM"/>
        </w:rPr>
        <w:t>Habonimana</w:t>
      </w:r>
      <w:proofErr w:type="spellEnd"/>
      <w:r w:rsidRPr="00B07E5D">
        <w:rPr>
          <w:rFonts w:ascii="Times New Roman" w:hAnsi="Times New Roman" w:cs="Times New Roman"/>
          <w:sz w:val="24"/>
          <w:szCs w:val="24"/>
          <w:lang w:val="fr-CM"/>
        </w:rPr>
        <w:t xml:space="preserve"> B., De Cannière C., Bogaert J., 2012. </w:t>
      </w:r>
      <w:proofErr w:type="spellStart"/>
      <w:r w:rsidRPr="00B07E5D">
        <w:rPr>
          <w:rFonts w:ascii="Times New Roman" w:hAnsi="Times New Roman" w:cs="Times New Roman"/>
          <w:sz w:val="24"/>
          <w:szCs w:val="24"/>
          <w:lang w:val="fr-CM"/>
        </w:rPr>
        <w:t>Characterization</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Kigwena</w:t>
      </w:r>
      <w:proofErr w:type="spellEnd"/>
      <w:r w:rsidRPr="00B07E5D">
        <w:rPr>
          <w:rFonts w:ascii="Times New Roman" w:hAnsi="Times New Roman" w:cs="Times New Roman"/>
          <w:sz w:val="24"/>
          <w:szCs w:val="24"/>
          <w:lang w:val="fr-CM"/>
        </w:rPr>
        <w:t xml:space="preserve"> dense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and the </w:t>
      </w:r>
      <w:proofErr w:type="spellStart"/>
      <w:r w:rsidRPr="00B07E5D">
        <w:rPr>
          <w:rFonts w:ascii="Times New Roman" w:hAnsi="Times New Roman" w:cs="Times New Roman"/>
          <w:sz w:val="24"/>
          <w:szCs w:val="24"/>
          <w:lang w:val="fr-CM"/>
        </w:rPr>
        <w:t>Rumonge</w:t>
      </w:r>
      <w:proofErr w:type="spellEnd"/>
      <w:r w:rsidRPr="00B07E5D">
        <w:rPr>
          <w:rFonts w:ascii="Times New Roman" w:hAnsi="Times New Roman" w:cs="Times New Roman"/>
          <w:sz w:val="24"/>
          <w:szCs w:val="24"/>
          <w:lang w:val="fr-CM"/>
        </w:rPr>
        <w:t xml:space="preserve"> open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in Burundi. Bois et Forêts des Tropiques, 2012, No. 312 (2).</w:t>
      </w:r>
    </w:p>
    <w:p w14:paraId="0E739AB7"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L.D., Essono D.M., </w:t>
      </w:r>
      <w:proofErr w:type="spellStart"/>
      <w:r w:rsidRPr="00B07E5D">
        <w:rPr>
          <w:rFonts w:ascii="Times New Roman" w:hAnsi="Times New Roman" w:cs="Times New Roman"/>
          <w:sz w:val="24"/>
          <w:szCs w:val="24"/>
          <w:lang w:val="fr-CM"/>
        </w:rPr>
        <w:t>Ambombo</w:t>
      </w:r>
      <w:proofErr w:type="spellEnd"/>
      <w:r w:rsidRPr="00B07E5D">
        <w:rPr>
          <w:rFonts w:ascii="Times New Roman" w:hAnsi="Times New Roman" w:cs="Times New Roman"/>
          <w:sz w:val="24"/>
          <w:szCs w:val="24"/>
          <w:lang w:val="fr-CM"/>
        </w:rPr>
        <w:t xml:space="preserve"> M.E., 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M.A., </w:t>
      </w:r>
      <w:proofErr w:type="spellStart"/>
      <w:r w:rsidRPr="00B07E5D">
        <w:rPr>
          <w:rFonts w:ascii="Times New Roman" w:hAnsi="Times New Roman" w:cs="Times New Roman"/>
          <w:sz w:val="24"/>
          <w:szCs w:val="24"/>
          <w:lang w:val="fr-CM"/>
        </w:rPr>
        <w:t>Biye</w:t>
      </w:r>
      <w:proofErr w:type="spellEnd"/>
      <w:r w:rsidRPr="00B07E5D">
        <w:rPr>
          <w:rFonts w:ascii="Times New Roman" w:hAnsi="Times New Roman" w:cs="Times New Roman"/>
          <w:sz w:val="24"/>
          <w:szCs w:val="24"/>
          <w:lang w:val="fr-CM"/>
        </w:rPr>
        <w:t xml:space="preserve"> E, H., 2020. Influence of biotope </w:t>
      </w:r>
      <w:proofErr w:type="spellStart"/>
      <w:r w:rsidRPr="00B07E5D">
        <w:rPr>
          <w:rFonts w:ascii="Times New Roman" w:hAnsi="Times New Roman" w:cs="Times New Roman"/>
          <w:sz w:val="24"/>
          <w:szCs w:val="24"/>
          <w:lang w:val="fr-CM"/>
        </w:rPr>
        <w:t>factors</w:t>
      </w:r>
      <w:proofErr w:type="spellEnd"/>
      <w:r w:rsidRPr="00B07E5D">
        <w:rPr>
          <w:rFonts w:ascii="Times New Roman" w:hAnsi="Times New Roman" w:cs="Times New Roman"/>
          <w:sz w:val="24"/>
          <w:szCs w:val="24"/>
          <w:lang w:val="fr-CM"/>
        </w:rPr>
        <w:t xml:space="preserve"> on </w:t>
      </w:r>
      <w:proofErr w:type="spellStart"/>
      <w:r w:rsidRPr="00B07E5D">
        <w:rPr>
          <w:rFonts w:ascii="Times New Roman" w:hAnsi="Times New Roman" w:cs="Times New Roman"/>
          <w:sz w:val="24"/>
          <w:szCs w:val="24"/>
          <w:lang w:val="fr-CM"/>
        </w:rPr>
        <w:t>carbon</w:t>
      </w:r>
      <w:proofErr w:type="spellEnd"/>
      <w:r w:rsidRPr="00B07E5D">
        <w:rPr>
          <w:rFonts w:ascii="Times New Roman" w:hAnsi="Times New Roman" w:cs="Times New Roman"/>
          <w:sz w:val="24"/>
          <w:szCs w:val="24"/>
          <w:lang w:val="fr-CM"/>
        </w:rPr>
        <w:t xml:space="preserve"> stocks in </w:t>
      </w:r>
      <w:proofErr w:type="spellStart"/>
      <w:r w:rsidRPr="00B07E5D">
        <w:rPr>
          <w:rFonts w:ascii="Times New Roman" w:hAnsi="Times New Roman" w:cs="Times New Roman"/>
          <w:sz w:val="24"/>
          <w:szCs w:val="24"/>
          <w:lang w:val="fr-CM"/>
        </w:rPr>
        <w:t>grassy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swamps</w:t>
      </w:r>
      <w:proofErr w:type="spellEnd"/>
      <w:r w:rsidRPr="00B07E5D">
        <w:rPr>
          <w:rFonts w:ascii="Times New Roman" w:hAnsi="Times New Roman" w:cs="Times New Roman"/>
          <w:sz w:val="24"/>
          <w:szCs w:val="24"/>
          <w:lang w:val="fr-CM"/>
        </w:rPr>
        <w:t xml:space="preserve"> in the city of Yaoundé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Afrique. Sciences., 16 (6</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1-13.</w:t>
      </w:r>
    </w:p>
    <w:p w14:paraId="0403084B"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L.D., 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M.A, </w:t>
      </w:r>
      <w:proofErr w:type="spellStart"/>
      <w:r w:rsidRPr="00B07E5D">
        <w:rPr>
          <w:rFonts w:ascii="Times New Roman" w:hAnsi="Times New Roman" w:cs="Times New Roman"/>
          <w:sz w:val="24"/>
          <w:szCs w:val="24"/>
          <w:lang w:val="fr-CM"/>
        </w:rPr>
        <w:t>Nnanga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Mebenga</w:t>
      </w:r>
      <w:proofErr w:type="spellEnd"/>
      <w:r w:rsidRPr="00B07E5D">
        <w:rPr>
          <w:rFonts w:ascii="Times New Roman" w:hAnsi="Times New Roman" w:cs="Times New Roman"/>
          <w:sz w:val="24"/>
          <w:szCs w:val="24"/>
          <w:lang w:val="fr-CM"/>
        </w:rPr>
        <w:t xml:space="preserve"> R.L., </w:t>
      </w:r>
      <w:proofErr w:type="spellStart"/>
      <w:r w:rsidRPr="00B07E5D">
        <w:rPr>
          <w:rFonts w:ascii="Times New Roman" w:hAnsi="Times New Roman" w:cs="Times New Roman"/>
          <w:sz w:val="24"/>
          <w:szCs w:val="24"/>
          <w:lang w:val="fr-CM"/>
        </w:rPr>
        <w:t>Koulbout</w:t>
      </w:r>
      <w:proofErr w:type="spellEnd"/>
      <w:r w:rsidRPr="00B07E5D">
        <w:rPr>
          <w:rFonts w:ascii="Times New Roman" w:hAnsi="Times New Roman" w:cs="Times New Roman"/>
          <w:sz w:val="24"/>
          <w:szCs w:val="24"/>
          <w:lang w:val="fr-CM"/>
        </w:rPr>
        <w:t xml:space="preserve"> D., </w:t>
      </w:r>
      <w:proofErr w:type="spellStart"/>
      <w:r w:rsidRPr="00B07E5D">
        <w:rPr>
          <w:rFonts w:ascii="Times New Roman" w:hAnsi="Times New Roman" w:cs="Times New Roman"/>
          <w:sz w:val="24"/>
          <w:szCs w:val="24"/>
          <w:lang w:val="fr-CM"/>
        </w:rPr>
        <w:t>Angoni</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Zock</w:t>
      </w:r>
      <w:proofErr w:type="spellEnd"/>
      <w:r w:rsidRPr="00B07E5D">
        <w:rPr>
          <w:rFonts w:ascii="Times New Roman" w:hAnsi="Times New Roman" w:cs="Times New Roman"/>
          <w:sz w:val="24"/>
          <w:szCs w:val="24"/>
          <w:lang w:val="fr-CM"/>
        </w:rPr>
        <w:t xml:space="preserve"> B., 2024. </w:t>
      </w:r>
      <w:proofErr w:type="spellStart"/>
      <w:r w:rsidRPr="00B07E5D">
        <w:rPr>
          <w:rFonts w:ascii="Times New Roman" w:hAnsi="Times New Roman" w:cs="Times New Roman"/>
          <w:sz w:val="24"/>
          <w:szCs w:val="24"/>
          <w:lang w:val="fr-CM"/>
        </w:rPr>
        <w:t>Analysis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structure on the </w:t>
      </w:r>
      <w:proofErr w:type="spellStart"/>
      <w:r w:rsidRPr="00B07E5D">
        <w:rPr>
          <w:rFonts w:ascii="Times New Roman" w:hAnsi="Times New Roman" w:cs="Times New Roman"/>
          <w:sz w:val="24"/>
          <w:szCs w:val="24"/>
          <w:lang w:val="fr-CM"/>
        </w:rPr>
        <w:t>periphery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Odzala-Kokoua</w:t>
      </w:r>
      <w:proofErr w:type="spellEnd"/>
      <w:r w:rsidRPr="00B07E5D">
        <w:rPr>
          <w:rFonts w:ascii="Times New Roman" w:hAnsi="Times New Roman" w:cs="Times New Roman"/>
          <w:sz w:val="24"/>
          <w:szCs w:val="24"/>
          <w:lang w:val="fr-CM"/>
        </w:rPr>
        <w:t xml:space="preserve"> National Park, Republic of Congo.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SCIENCE 25(1) (2024) 117-130</w:t>
      </w:r>
    </w:p>
    <w:p w14:paraId="0361E65D"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Mabafei</w:t>
      </w:r>
      <w:proofErr w:type="spellEnd"/>
      <w:r w:rsidRPr="00B07E5D">
        <w:rPr>
          <w:rFonts w:ascii="Times New Roman" w:hAnsi="Times New Roman" w:cs="Times New Roman"/>
          <w:sz w:val="24"/>
          <w:szCs w:val="24"/>
          <w:lang w:val="fr-CM"/>
        </w:rPr>
        <w:t xml:space="preserve"> A., </w:t>
      </w:r>
      <w:proofErr w:type="spellStart"/>
      <w:r w:rsidRPr="00B07E5D">
        <w:rPr>
          <w:rFonts w:ascii="Times New Roman" w:hAnsi="Times New Roman" w:cs="Times New Roman"/>
          <w:sz w:val="24"/>
          <w:szCs w:val="24"/>
          <w:lang w:val="fr-CM"/>
        </w:rPr>
        <w:t>Diwediga</w:t>
      </w:r>
      <w:proofErr w:type="spellEnd"/>
      <w:r w:rsidRPr="00B07E5D">
        <w:rPr>
          <w:rFonts w:ascii="Times New Roman" w:hAnsi="Times New Roman" w:cs="Times New Roman"/>
          <w:sz w:val="24"/>
          <w:szCs w:val="24"/>
          <w:lang w:val="fr-CM"/>
        </w:rPr>
        <w:t xml:space="preserve"> B., </w:t>
      </w:r>
      <w:proofErr w:type="spellStart"/>
      <w:r w:rsidRPr="00B07E5D">
        <w:rPr>
          <w:rFonts w:ascii="Times New Roman" w:hAnsi="Times New Roman" w:cs="Times New Roman"/>
          <w:sz w:val="24"/>
          <w:szCs w:val="24"/>
          <w:lang w:val="fr-CM"/>
        </w:rPr>
        <w:t>Folega</w:t>
      </w:r>
      <w:proofErr w:type="spellEnd"/>
      <w:r w:rsidRPr="00B07E5D">
        <w:rPr>
          <w:rFonts w:ascii="Times New Roman" w:hAnsi="Times New Roman" w:cs="Times New Roman"/>
          <w:sz w:val="24"/>
          <w:szCs w:val="24"/>
          <w:lang w:val="fr-CM"/>
        </w:rPr>
        <w:t xml:space="preserve"> F., </w:t>
      </w:r>
      <w:proofErr w:type="spellStart"/>
      <w:r w:rsidRPr="00B07E5D">
        <w:rPr>
          <w:rFonts w:ascii="Times New Roman" w:hAnsi="Times New Roman" w:cs="Times New Roman"/>
          <w:sz w:val="24"/>
          <w:szCs w:val="24"/>
          <w:lang w:val="fr-CM"/>
        </w:rPr>
        <w:t>Wala</w:t>
      </w:r>
      <w:proofErr w:type="spellEnd"/>
      <w:r w:rsidRPr="00B07E5D">
        <w:rPr>
          <w:rFonts w:ascii="Times New Roman" w:hAnsi="Times New Roman" w:cs="Times New Roman"/>
          <w:sz w:val="24"/>
          <w:szCs w:val="24"/>
          <w:lang w:val="fr-CM"/>
        </w:rPr>
        <w:t xml:space="preserve"> K., </w:t>
      </w:r>
      <w:proofErr w:type="spellStart"/>
      <w:r w:rsidRPr="00B07E5D">
        <w:rPr>
          <w:rFonts w:ascii="Times New Roman" w:hAnsi="Times New Roman" w:cs="Times New Roman"/>
          <w:sz w:val="24"/>
          <w:szCs w:val="24"/>
          <w:lang w:val="fr-CM"/>
        </w:rPr>
        <w:t>Akpagana</w:t>
      </w:r>
      <w:proofErr w:type="spellEnd"/>
      <w:r w:rsidRPr="00B07E5D">
        <w:rPr>
          <w:rFonts w:ascii="Times New Roman" w:hAnsi="Times New Roman" w:cs="Times New Roman"/>
          <w:sz w:val="24"/>
          <w:szCs w:val="24"/>
          <w:lang w:val="fr-CM"/>
        </w:rPr>
        <w:t xml:space="preserve"> K., 2021. </w:t>
      </w:r>
      <w:proofErr w:type="spellStart"/>
      <w:r w:rsidRPr="00B07E5D">
        <w:rPr>
          <w:rFonts w:ascii="Times New Roman" w:hAnsi="Times New Roman" w:cs="Times New Roman"/>
          <w:sz w:val="24"/>
          <w:szCs w:val="24"/>
          <w:lang w:val="fr-CM"/>
        </w:rPr>
        <w:t>Phytosociological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characterization</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wetlands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Ogou</w:t>
      </w:r>
      <w:proofErr w:type="spellEnd"/>
      <w:r w:rsidRPr="00B07E5D">
        <w:rPr>
          <w:rFonts w:ascii="Times New Roman" w:hAnsi="Times New Roman" w:cs="Times New Roman"/>
          <w:sz w:val="24"/>
          <w:szCs w:val="24"/>
          <w:lang w:val="fr-CM"/>
        </w:rPr>
        <w:t xml:space="preserve"> plain.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Ecosystems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Landscapes</w:t>
      </w:r>
      <w:proofErr w:type="spellEnd"/>
      <w:r w:rsidRPr="00B07E5D">
        <w:rPr>
          <w:rFonts w:ascii="Times New Roman" w:hAnsi="Times New Roman" w:cs="Times New Roman"/>
          <w:sz w:val="24"/>
          <w:szCs w:val="24"/>
          <w:lang w:val="fr-CM"/>
        </w:rPr>
        <w:t xml:space="preserve"> (Togo), No. 01, vol. </w:t>
      </w:r>
      <w:proofErr w:type="gramStart"/>
      <w:r w:rsidRPr="00B07E5D">
        <w:rPr>
          <w:rFonts w:ascii="Times New Roman" w:hAnsi="Times New Roman" w:cs="Times New Roman"/>
          <w:sz w:val="24"/>
          <w:szCs w:val="24"/>
          <w:lang w:val="fr-CM"/>
        </w:rPr>
        <w:t>01;</w:t>
      </w:r>
      <w:proofErr w:type="gramEnd"/>
      <w:r w:rsidRPr="00B07E5D">
        <w:rPr>
          <w:rFonts w:ascii="Times New Roman" w:hAnsi="Times New Roman" w:cs="Times New Roman"/>
          <w:sz w:val="24"/>
          <w:szCs w:val="24"/>
          <w:lang w:val="fr-CM"/>
        </w:rPr>
        <w:t xml:space="preserve"> 43-57. 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 A.,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 D., </w:t>
      </w:r>
      <w:proofErr w:type="spellStart"/>
      <w:r w:rsidRPr="00B07E5D">
        <w:rPr>
          <w:rFonts w:ascii="Times New Roman" w:hAnsi="Times New Roman" w:cs="Times New Roman"/>
          <w:sz w:val="24"/>
          <w:szCs w:val="24"/>
          <w:lang w:val="fr-CM"/>
        </w:rPr>
        <w:t>Biyé</w:t>
      </w:r>
      <w:proofErr w:type="spellEnd"/>
      <w:r w:rsidRPr="00B07E5D">
        <w:rPr>
          <w:rFonts w:ascii="Times New Roman" w:hAnsi="Times New Roman" w:cs="Times New Roman"/>
          <w:sz w:val="24"/>
          <w:szCs w:val="24"/>
          <w:lang w:val="fr-CM"/>
        </w:rPr>
        <w:t xml:space="preserve"> E. H., </w:t>
      </w:r>
      <w:proofErr w:type="spellStart"/>
      <w:r w:rsidRPr="00B07E5D">
        <w:rPr>
          <w:rFonts w:ascii="Times New Roman" w:hAnsi="Times New Roman" w:cs="Times New Roman"/>
          <w:sz w:val="24"/>
          <w:szCs w:val="24"/>
          <w:lang w:val="fr-CM"/>
        </w:rPr>
        <w:t>Angoni</w:t>
      </w:r>
      <w:proofErr w:type="spellEnd"/>
      <w:r w:rsidRPr="00B07E5D">
        <w:rPr>
          <w:rFonts w:ascii="Times New Roman" w:hAnsi="Times New Roman" w:cs="Times New Roman"/>
          <w:sz w:val="24"/>
          <w:szCs w:val="24"/>
          <w:lang w:val="fr-CM"/>
        </w:rPr>
        <w:t xml:space="preserve"> H., </w:t>
      </w:r>
      <w:proofErr w:type="spellStart"/>
      <w:r w:rsidRPr="00B07E5D">
        <w:rPr>
          <w:rFonts w:ascii="Times New Roman" w:hAnsi="Times New Roman" w:cs="Times New Roman"/>
          <w:sz w:val="24"/>
          <w:szCs w:val="24"/>
          <w:lang w:val="fr-CM"/>
        </w:rPr>
        <w:t>Endanga</w:t>
      </w:r>
      <w:proofErr w:type="spellEnd"/>
      <w:r w:rsidRPr="00B07E5D">
        <w:rPr>
          <w:rFonts w:ascii="Times New Roman" w:hAnsi="Times New Roman" w:cs="Times New Roman"/>
          <w:sz w:val="24"/>
          <w:szCs w:val="24"/>
          <w:lang w:val="fr-CM"/>
        </w:rPr>
        <w:t xml:space="preserve"> G. H., 2014. Diversity and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ruderal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Cyperaceae</w:t>
      </w:r>
      <w:proofErr w:type="spellEnd"/>
      <w:r w:rsidRPr="00B07E5D">
        <w:rPr>
          <w:rFonts w:ascii="Times New Roman" w:hAnsi="Times New Roman" w:cs="Times New Roman"/>
          <w:sz w:val="24"/>
          <w:szCs w:val="24"/>
          <w:lang w:val="fr-CM"/>
        </w:rPr>
        <w:t xml:space="preserve"> in the city of Yaoundé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Journal of </w:t>
      </w:r>
      <w:proofErr w:type="spellStart"/>
      <w:r w:rsidRPr="00B07E5D">
        <w:rPr>
          <w:rFonts w:ascii="Times New Roman" w:hAnsi="Times New Roman" w:cs="Times New Roman"/>
          <w:sz w:val="24"/>
          <w:szCs w:val="24"/>
          <w:lang w:val="fr-CM"/>
        </w:rPr>
        <w:t>Biological</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Biochemical</w:t>
      </w:r>
      <w:proofErr w:type="spellEnd"/>
      <w:r w:rsidRPr="00B07E5D">
        <w:rPr>
          <w:rFonts w:ascii="Times New Roman" w:hAnsi="Times New Roman" w:cs="Times New Roman"/>
          <w:sz w:val="24"/>
          <w:szCs w:val="24"/>
          <w:lang w:val="fr-CM"/>
        </w:rPr>
        <w:t xml:space="preserve"> Sciences, 22, 01-09</w:t>
      </w:r>
    </w:p>
    <w:p w14:paraId="4D508C72" w14:textId="10B6BEAE"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 A., </w:t>
      </w:r>
      <w:proofErr w:type="spellStart"/>
      <w:r w:rsidRPr="00B07E5D">
        <w:rPr>
          <w:rFonts w:ascii="Times New Roman" w:hAnsi="Times New Roman" w:cs="Times New Roman"/>
          <w:sz w:val="24"/>
          <w:szCs w:val="24"/>
          <w:lang w:val="fr-CM"/>
        </w:rPr>
        <w:t>Endele</w:t>
      </w:r>
      <w:proofErr w:type="spellEnd"/>
      <w:r w:rsidRPr="00B07E5D">
        <w:rPr>
          <w:rFonts w:ascii="Times New Roman" w:hAnsi="Times New Roman" w:cs="Times New Roman"/>
          <w:sz w:val="24"/>
          <w:szCs w:val="24"/>
          <w:lang w:val="fr-CM"/>
        </w:rPr>
        <w:t xml:space="preserve"> P. P.,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 D., </w:t>
      </w:r>
      <w:proofErr w:type="spellStart"/>
      <w:r w:rsidRPr="00B07E5D">
        <w:rPr>
          <w:rFonts w:ascii="Times New Roman" w:hAnsi="Times New Roman" w:cs="Times New Roman"/>
          <w:sz w:val="24"/>
          <w:szCs w:val="24"/>
          <w:lang w:val="fr-CM"/>
        </w:rPr>
        <w:t>Zekeng</w:t>
      </w:r>
      <w:proofErr w:type="spellEnd"/>
      <w:r w:rsidRPr="00B07E5D">
        <w:rPr>
          <w:rFonts w:ascii="Times New Roman" w:hAnsi="Times New Roman" w:cs="Times New Roman"/>
          <w:sz w:val="24"/>
          <w:szCs w:val="24"/>
          <w:lang w:val="fr-CM"/>
        </w:rPr>
        <w:t xml:space="preserve"> J. C., 2017. Impact of </w:t>
      </w:r>
      <w:proofErr w:type="spellStart"/>
      <w:r w:rsidRPr="00B07E5D">
        <w:rPr>
          <w:rFonts w:ascii="Times New Roman" w:hAnsi="Times New Roman" w:cs="Times New Roman"/>
          <w:sz w:val="24"/>
          <w:szCs w:val="24"/>
          <w:lang w:val="fr-CM"/>
        </w:rPr>
        <w:t>anthropization</w:t>
      </w:r>
      <w:proofErr w:type="spellEnd"/>
      <w:r w:rsidRPr="00B07E5D">
        <w:rPr>
          <w:rFonts w:ascii="Times New Roman" w:hAnsi="Times New Roman" w:cs="Times New Roman"/>
          <w:sz w:val="24"/>
          <w:szCs w:val="24"/>
          <w:lang w:val="fr-CM"/>
        </w:rPr>
        <w:t xml:space="preserve"> on the structural and </w:t>
      </w:r>
      <w:proofErr w:type="spellStart"/>
      <w:r w:rsidRPr="00B07E5D">
        <w:rPr>
          <w:rFonts w:ascii="Times New Roman" w:hAnsi="Times New Roman" w:cs="Times New Roman"/>
          <w:sz w:val="24"/>
          <w:szCs w:val="24"/>
          <w:lang w:val="fr-CM"/>
        </w:rPr>
        <w:t>ecological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characteristics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stands in the </w:t>
      </w:r>
      <w:proofErr w:type="spellStart"/>
      <w:r w:rsidRPr="00B07E5D">
        <w:rPr>
          <w:rFonts w:ascii="Times New Roman" w:hAnsi="Times New Roman" w:cs="Times New Roman"/>
          <w:sz w:val="24"/>
          <w:szCs w:val="24"/>
          <w:lang w:val="fr-CM"/>
        </w:rPr>
        <w:t>swamps</w:t>
      </w:r>
      <w:proofErr w:type="spellEnd"/>
      <w:r w:rsidRPr="00B07E5D">
        <w:rPr>
          <w:rFonts w:ascii="Times New Roman" w:hAnsi="Times New Roman" w:cs="Times New Roman"/>
          <w:sz w:val="24"/>
          <w:szCs w:val="24"/>
          <w:lang w:val="fr-CM"/>
        </w:rPr>
        <w:t xml:space="preserve"> of the city of Yaoundé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xml:space="preserve"> (Camer</w:t>
      </w:r>
      <w:r w:rsidRPr="00B07E5D">
        <w:t xml:space="preserve"> </w:t>
      </w:r>
      <w:proofErr w:type="spellStart"/>
      <w:r w:rsidRPr="00B07E5D">
        <w:rPr>
          <w:rFonts w:ascii="Times New Roman" w:hAnsi="Times New Roman" w:cs="Times New Roman"/>
          <w:sz w:val="24"/>
          <w:szCs w:val="24"/>
          <w:lang w:val="fr-CM"/>
        </w:rPr>
        <w:t>oun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Journal of </w:t>
      </w:r>
      <w:proofErr w:type="spellStart"/>
      <w:r w:rsidRPr="00B07E5D">
        <w:rPr>
          <w:rFonts w:ascii="Times New Roman" w:hAnsi="Times New Roman" w:cs="Times New Roman"/>
          <w:sz w:val="24"/>
          <w:szCs w:val="24"/>
          <w:lang w:val="fr-CM"/>
        </w:rPr>
        <w:t>Biological</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Biochemical</w:t>
      </w:r>
      <w:proofErr w:type="spellEnd"/>
      <w:r w:rsidRPr="00B07E5D">
        <w:rPr>
          <w:rFonts w:ascii="Times New Roman" w:hAnsi="Times New Roman" w:cs="Times New Roman"/>
          <w:sz w:val="24"/>
          <w:szCs w:val="24"/>
          <w:lang w:val="fr-CM"/>
        </w:rPr>
        <w:t xml:space="preserve"> Sciences, 25, 33-44.</w:t>
      </w:r>
    </w:p>
    <w:p w14:paraId="2628CDA7"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Menyengue</w:t>
      </w:r>
      <w:proofErr w:type="spellEnd"/>
      <w:r w:rsidRPr="00B07E5D">
        <w:rPr>
          <w:rFonts w:ascii="Times New Roman" w:hAnsi="Times New Roman" w:cs="Times New Roman"/>
          <w:sz w:val="24"/>
          <w:szCs w:val="24"/>
          <w:lang w:val="fr-CM"/>
        </w:rPr>
        <w:t xml:space="preserve"> E.F., </w:t>
      </w:r>
      <w:proofErr w:type="spellStart"/>
      <w:r w:rsidRPr="00B07E5D">
        <w:rPr>
          <w:rFonts w:ascii="Times New Roman" w:hAnsi="Times New Roman" w:cs="Times New Roman"/>
          <w:sz w:val="24"/>
          <w:szCs w:val="24"/>
          <w:lang w:val="fr-CM"/>
        </w:rPr>
        <w:t>Awono</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Mbassi</w:t>
      </w:r>
      <w:proofErr w:type="spellEnd"/>
      <w:r w:rsidRPr="00B07E5D">
        <w:rPr>
          <w:rFonts w:ascii="Times New Roman" w:hAnsi="Times New Roman" w:cs="Times New Roman"/>
          <w:sz w:val="24"/>
          <w:szCs w:val="24"/>
          <w:lang w:val="fr-CM"/>
        </w:rPr>
        <w:t xml:space="preserve"> T., </w:t>
      </w:r>
      <w:proofErr w:type="spellStart"/>
      <w:r w:rsidRPr="00B07E5D">
        <w:rPr>
          <w:rFonts w:ascii="Times New Roman" w:hAnsi="Times New Roman" w:cs="Times New Roman"/>
          <w:sz w:val="24"/>
          <w:szCs w:val="24"/>
          <w:lang w:val="fr-CM"/>
        </w:rPr>
        <w:t>Sandjong</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Kanda</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Kouna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Bineli</w:t>
      </w:r>
      <w:proofErr w:type="spellEnd"/>
      <w:r w:rsidRPr="00B07E5D">
        <w:rPr>
          <w:rFonts w:ascii="Times New Roman" w:hAnsi="Times New Roman" w:cs="Times New Roman"/>
          <w:sz w:val="24"/>
          <w:szCs w:val="24"/>
          <w:lang w:val="fr-CM"/>
        </w:rPr>
        <w:t xml:space="preserve"> M.S., </w:t>
      </w:r>
      <w:proofErr w:type="spellStart"/>
      <w:r w:rsidRPr="00B07E5D">
        <w:rPr>
          <w:rFonts w:ascii="Times New Roman" w:hAnsi="Times New Roman" w:cs="Times New Roman"/>
          <w:sz w:val="24"/>
          <w:szCs w:val="24"/>
          <w:lang w:val="fr-CM"/>
        </w:rPr>
        <w:t>Yembe</w:t>
      </w:r>
      <w:proofErr w:type="spellEnd"/>
      <w:r w:rsidRPr="00B07E5D">
        <w:rPr>
          <w:rFonts w:ascii="Times New Roman" w:hAnsi="Times New Roman" w:cs="Times New Roman"/>
          <w:sz w:val="24"/>
          <w:szCs w:val="24"/>
          <w:lang w:val="fr-CM"/>
        </w:rPr>
        <w:t xml:space="preserve"> Etame, </w:t>
      </w:r>
      <w:proofErr w:type="spellStart"/>
      <w:r w:rsidRPr="00B07E5D">
        <w:rPr>
          <w:rFonts w:ascii="Times New Roman" w:hAnsi="Times New Roman" w:cs="Times New Roman"/>
          <w:sz w:val="24"/>
          <w:szCs w:val="24"/>
          <w:lang w:val="fr-CM"/>
        </w:rPr>
        <w:t>Tonfack</w:t>
      </w:r>
      <w:proofErr w:type="spellEnd"/>
      <w:r w:rsidRPr="00B07E5D">
        <w:rPr>
          <w:rFonts w:ascii="Times New Roman" w:hAnsi="Times New Roman" w:cs="Times New Roman"/>
          <w:sz w:val="24"/>
          <w:szCs w:val="24"/>
          <w:lang w:val="fr-CM"/>
        </w:rPr>
        <w:t xml:space="preserve"> L.B., 2021. Conversion of </w:t>
      </w:r>
      <w:proofErr w:type="spellStart"/>
      <w:r w:rsidRPr="00B07E5D">
        <w:rPr>
          <w:rFonts w:ascii="Times New Roman" w:hAnsi="Times New Roman" w:cs="Times New Roman"/>
          <w:sz w:val="24"/>
          <w:szCs w:val="24"/>
          <w:lang w:val="fr-CM"/>
        </w:rPr>
        <w:t>raphiale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marshes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environmental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risks</w:t>
      </w:r>
      <w:proofErr w:type="spellEnd"/>
      <w:r w:rsidRPr="00B07E5D">
        <w:rPr>
          <w:rFonts w:ascii="Times New Roman" w:hAnsi="Times New Roman" w:cs="Times New Roman"/>
          <w:sz w:val="24"/>
          <w:szCs w:val="24"/>
          <w:lang w:val="fr-CM"/>
        </w:rPr>
        <w:t xml:space="preserve"> in </w:t>
      </w:r>
      <w:proofErr w:type="gramStart"/>
      <w:r w:rsidRPr="00B07E5D">
        <w:rPr>
          <w:rFonts w:ascii="Times New Roman" w:hAnsi="Times New Roman" w:cs="Times New Roman"/>
          <w:sz w:val="24"/>
          <w:szCs w:val="24"/>
          <w:lang w:val="fr-CM"/>
        </w:rPr>
        <w:t>Yaoundé:</w:t>
      </w:r>
      <w:proofErr w:type="gramEnd"/>
      <w:r w:rsidRPr="00B07E5D">
        <w:rPr>
          <w:rFonts w:ascii="Times New Roman" w:hAnsi="Times New Roman" w:cs="Times New Roman"/>
          <w:sz w:val="24"/>
          <w:szCs w:val="24"/>
          <w:lang w:val="fr-CM"/>
        </w:rPr>
        <w:t xml:space="preserve"> the case of the </w:t>
      </w:r>
      <w:proofErr w:type="spellStart"/>
      <w:r w:rsidRPr="00B07E5D">
        <w:rPr>
          <w:rFonts w:ascii="Times New Roman" w:hAnsi="Times New Roman" w:cs="Times New Roman"/>
          <w:sz w:val="24"/>
          <w:szCs w:val="24"/>
          <w:lang w:val="fr-CM"/>
        </w:rPr>
        <w:t>Ahala</w:t>
      </w:r>
      <w:proofErr w:type="spellEnd"/>
      <w:r w:rsidRPr="00B07E5D">
        <w:rPr>
          <w:rFonts w:ascii="Times New Roman" w:hAnsi="Times New Roman" w:cs="Times New Roman"/>
          <w:sz w:val="24"/>
          <w:szCs w:val="24"/>
          <w:lang w:val="fr-CM"/>
        </w:rPr>
        <w:t xml:space="preserve"> District. Afrique SCIENCE 18(6) (2021) 51 - 61</w:t>
      </w:r>
    </w:p>
    <w:p w14:paraId="06664A27"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M.A.,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L.D., </w:t>
      </w:r>
      <w:proofErr w:type="spellStart"/>
      <w:r w:rsidRPr="00B07E5D">
        <w:rPr>
          <w:rFonts w:ascii="Times New Roman" w:hAnsi="Times New Roman" w:cs="Times New Roman"/>
          <w:sz w:val="24"/>
          <w:szCs w:val="24"/>
          <w:lang w:val="fr-CM"/>
        </w:rPr>
        <w:t>Biyé</w:t>
      </w:r>
      <w:proofErr w:type="spellEnd"/>
      <w:r w:rsidRPr="00B07E5D">
        <w:rPr>
          <w:rFonts w:ascii="Times New Roman" w:hAnsi="Times New Roman" w:cs="Times New Roman"/>
          <w:sz w:val="24"/>
          <w:szCs w:val="24"/>
          <w:lang w:val="fr-CM"/>
        </w:rPr>
        <w:t xml:space="preserve"> E.H., </w:t>
      </w:r>
      <w:proofErr w:type="spellStart"/>
      <w:r w:rsidRPr="00B07E5D">
        <w:rPr>
          <w:rFonts w:ascii="Times New Roman" w:hAnsi="Times New Roman" w:cs="Times New Roman"/>
          <w:sz w:val="24"/>
          <w:szCs w:val="24"/>
          <w:lang w:val="fr-CM"/>
        </w:rPr>
        <w:t>Angoni</w:t>
      </w:r>
      <w:proofErr w:type="spellEnd"/>
      <w:r w:rsidRPr="00B07E5D">
        <w:rPr>
          <w:rFonts w:ascii="Times New Roman" w:hAnsi="Times New Roman" w:cs="Times New Roman"/>
          <w:sz w:val="24"/>
          <w:szCs w:val="24"/>
          <w:lang w:val="fr-CM"/>
        </w:rPr>
        <w:t xml:space="preserve"> H., H.G.H. and </w:t>
      </w:r>
      <w:proofErr w:type="spellStart"/>
      <w:r w:rsidRPr="00B07E5D">
        <w:rPr>
          <w:rFonts w:ascii="Times New Roman" w:hAnsi="Times New Roman" w:cs="Times New Roman"/>
          <w:sz w:val="24"/>
          <w:szCs w:val="24"/>
          <w:lang w:val="fr-CM"/>
        </w:rPr>
        <w:t>Endanga</w:t>
      </w:r>
      <w:proofErr w:type="spellEnd"/>
      <w:r w:rsidRPr="00B07E5D">
        <w:rPr>
          <w:rFonts w:ascii="Times New Roman" w:hAnsi="Times New Roman" w:cs="Times New Roman"/>
          <w:sz w:val="24"/>
          <w:szCs w:val="24"/>
          <w:lang w:val="fr-CM"/>
        </w:rPr>
        <w:t xml:space="preserve"> H.G.H., 2014. Diversity and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ruderals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Cyperaceae</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Yaounde</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Journal of </w:t>
      </w:r>
      <w:proofErr w:type="spellStart"/>
      <w:r w:rsidRPr="00B07E5D">
        <w:rPr>
          <w:rFonts w:ascii="Times New Roman" w:hAnsi="Times New Roman" w:cs="Times New Roman"/>
          <w:sz w:val="24"/>
          <w:szCs w:val="24"/>
          <w:lang w:val="fr-CM"/>
        </w:rPr>
        <w:t>Biological</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Biochemical</w:t>
      </w:r>
      <w:proofErr w:type="spellEnd"/>
      <w:r w:rsidRPr="00B07E5D">
        <w:rPr>
          <w:rFonts w:ascii="Times New Roman" w:hAnsi="Times New Roman" w:cs="Times New Roman"/>
          <w:sz w:val="24"/>
          <w:szCs w:val="24"/>
          <w:lang w:val="fr-CM"/>
        </w:rPr>
        <w:t xml:space="preserve"> Sciences., </w:t>
      </w:r>
      <w:proofErr w:type="gramStart"/>
      <w:r w:rsidRPr="00B07E5D">
        <w:rPr>
          <w:rFonts w:ascii="Times New Roman" w:hAnsi="Times New Roman" w:cs="Times New Roman"/>
          <w:sz w:val="24"/>
          <w:szCs w:val="24"/>
          <w:lang w:val="fr-CM"/>
        </w:rPr>
        <w:t>22:</w:t>
      </w:r>
      <w:proofErr w:type="gramEnd"/>
      <w:r w:rsidRPr="00B07E5D">
        <w:rPr>
          <w:rFonts w:ascii="Times New Roman" w:hAnsi="Times New Roman" w:cs="Times New Roman"/>
          <w:sz w:val="24"/>
          <w:szCs w:val="24"/>
          <w:lang w:val="fr-CM"/>
        </w:rPr>
        <w:t xml:space="preserve"> 01-09.</w:t>
      </w:r>
    </w:p>
    <w:p w14:paraId="1D375C6A"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lastRenderedPageBreak/>
        <w:t xml:space="preserve">Momo </w:t>
      </w:r>
      <w:proofErr w:type="spellStart"/>
      <w:r w:rsidRPr="00B07E5D">
        <w:rPr>
          <w:rFonts w:ascii="Times New Roman" w:hAnsi="Times New Roman" w:cs="Times New Roman"/>
          <w:sz w:val="24"/>
          <w:szCs w:val="24"/>
          <w:lang w:val="fr-CM"/>
        </w:rPr>
        <w:t>Solefack</w:t>
      </w:r>
      <w:proofErr w:type="spellEnd"/>
      <w:r w:rsidRPr="00B07E5D">
        <w:rPr>
          <w:rFonts w:ascii="Times New Roman" w:hAnsi="Times New Roman" w:cs="Times New Roman"/>
          <w:sz w:val="24"/>
          <w:szCs w:val="24"/>
          <w:lang w:val="fr-CM"/>
        </w:rPr>
        <w:t xml:space="preserve"> M.C., Lucie Félicité </w:t>
      </w:r>
      <w:proofErr w:type="spellStart"/>
      <w:r w:rsidRPr="00B07E5D">
        <w:rPr>
          <w:rFonts w:ascii="Times New Roman" w:hAnsi="Times New Roman" w:cs="Times New Roman"/>
          <w:sz w:val="24"/>
          <w:szCs w:val="24"/>
          <w:lang w:val="fr-CM"/>
        </w:rPr>
        <w:t>Temgoua</w:t>
      </w:r>
      <w:proofErr w:type="spellEnd"/>
      <w:r w:rsidRPr="00B07E5D">
        <w:rPr>
          <w:rFonts w:ascii="Times New Roman" w:hAnsi="Times New Roman" w:cs="Times New Roman"/>
          <w:sz w:val="24"/>
          <w:szCs w:val="24"/>
          <w:lang w:val="fr-CM"/>
        </w:rPr>
        <w:t xml:space="preserve"> L.F., </w:t>
      </w:r>
      <w:proofErr w:type="spellStart"/>
      <w:r w:rsidRPr="00B07E5D">
        <w:rPr>
          <w:rFonts w:ascii="Times New Roman" w:hAnsi="Times New Roman" w:cs="Times New Roman"/>
          <w:sz w:val="24"/>
          <w:szCs w:val="24"/>
          <w:lang w:val="fr-CM"/>
        </w:rPr>
        <w:t>Fongnzossie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Fedoung</w:t>
      </w:r>
      <w:proofErr w:type="spellEnd"/>
      <w:r w:rsidRPr="00B07E5D">
        <w:rPr>
          <w:rFonts w:ascii="Times New Roman" w:hAnsi="Times New Roman" w:cs="Times New Roman"/>
          <w:sz w:val="24"/>
          <w:szCs w:val="24"/>
          <w:lang w:val="fr-CM"/>
        </w:rPr>
        <w:t xml:space="preserve"> E., </w:t>
      </w:r>
      <w:proofErr w:type="spellStart"/>
      <w:r w:rsidRPr="00B07E5D">
        <w:rPr>
          <w:rFonts w:ascii="Times New Roman" w:hAnsi="Times New Roman" w:cs="Times New Roman"/>
          <w:sz w:val="24"/>
          <w:szCs w:val="24"/>
          <w:lang w:val="fr-CM"/>
        </w:rPr>
        <w:t>Zangmene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Djouda</w:t>
      </w:r>
      <w:proofErr w:type="spellEnd"/>
      <w:r w:rsidRPr="00B07E5D">
        <w:rPr>
          <w:rFonts w:ascii="Times New Roman" w:hAnsi="Times New Roman" w:cs="Times New Roman"/>
          <w:sz w:val="24"/>
          <w:szCs w:val="24"/>
          <w:lang w:val="fr-CM"/>
        </w:rPr>
        <w:t xml:space="preserve"> R., 2018.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functional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spectrum</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Koupa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Matapit</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gallery</w:t>
      </w:r>
      <w:proofErr w:type="spellEnd"/>
      <w:r w:rsidRPr="00B07E5D">
        <w:rPr>
          <w:rFonts w:ascii="Times New Roman" w:hAnsi="Times New Roman" w:cs="Times New Roman"/>
          <w:sz w:val="24"/>
          <w:szCs w:val="24"/>
          <w:lang w:val="fr-CM"/>
        </w:rPr>
        <w:t xml:space="preserve"> (West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Geo</w:t>
      </w:r>
      <w:proofErr w:type="spellEnd"/>
      <w:r w:rsidRPr="00B07E5D">
        <w:rPr>
          <w:rFonts w:ascii="Times New Roman" w:hAnsi="Times New Roman" w:cs="Times New Roman"/>
          <w:sz w:val="24"/>
          <w:szCs w:val="24"/>
          <w:lang w:val="fr-CM"/>
        </w:rPr>
        <w:t xml:space="preserve">-Eco-Trop, 2018, 42, </w:t>
      </w:r>
      <w:proofErr w:type="gramStart"/>
      <w:r w:rsidRPr="00B07E5D">
        <w:rPr>
          <w:rFonts w:ascii="Times New Roman" w:hAnsi="Times New Roman" w:cs="Times New Roman"/>
          <w:sz w:val="24"/>
          <w:szCs w:val="24"/>
          <w:lang w:val="fr-CM"/>
        </w:rPr>
        <w:t>1:</w:t>
      </w:r>
      <w:proofErr w:type="gramEnd"/>
      <w:r w:rsidRPr="00B07E5D">
        <w:rPr>
          <w:rFonts w:ascii="Times New Roman" w:hAnsi="Times New Roman" w:cs="Times New Roman"/>
          <w:sz w:val="24"/>
          <w:szCs w:val="24"/>
          <w:lang w:val="fr-CM"/>
        </w:rPr>
        <w:t xml:space="preserve"> 147-158.</w:t>
      </w:r>
    </w:p>
    <w:p w14:paraId="6FE1025B"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Ousseina</w:t>
      </w:r>
      <w:proofErr w:type="spellEnd"/>
      <w:r w:rsidRPr="00B07E5D">
        <w:rPr>
          <w:rFonts w:ascii="Times New Roman" w:hAnsi="Times New Roman" w:cs="Times New Roman"/>
          <w:sz w:val="24"/>
          <w:szCs w:val="24"/>
          <w:lang w:val="fr-CM"/>
        </w:rPr>
        <w:t xml:space="preserve"> S, </w:t>
      </w:r>
      <w:proofErr w:type="spellStart"/>
      <w:r w:rsidRPr="00B07E5D">
        <w:rPr>
          <w:rFonts w:ascii="Times New Roman" w:hAnsi="Times New Roman" w:cs="Times New Roman"/>
          <w:sz w:val="24"/>
          <w:szCs w:val="24"/>
          <w:lang w:val="fr-CM"/>
        </w:rPr>
        <w:t>Fortina</w:t>
      </w:r>
      <w:proofErr w:type="spellEnd"/>
      <w:r w:rsidRPr="00B07E5D">
        <w:rPr>
          <w:rFonts w:ascii="Times New Roman" w:hAnsi="Times New Roman" w:cs="Times New Roman"/>
          <w:sz w:val="24"/>
          <w:szCs w:val="24"/>
          <w:lang w:val="fr-CM"/>
        </w:rPr>
        <w:t xml:space="preserve"> R, </w:t>
      </w:r>
      <w:proofErr w:type="spellStart"/>
      <w:r w:rsidRPr="00B07E5D">
        <w:rPr>
          <w:rFonts w:ascii="Times New Roman" w:hAnsi="Times New Roman" w:cs="Times New Roman"/>
          <w:sz w:val="24"/>
          <w:szCs w:val="24"/>
          <w:lang w:val="fr-CM"/>
        </w:rPr>
        <w:t>Marichatou</w:t>
      </w:r>
      <w:proofErr w:type="spellEnd"/>
      <w:r w:rsidRPr="00B07E5D">
        <w:rPr>
          <w:rFonts w:ascii="Times New Roman" w:hAnsi="Times New Roman" w:cs="Times New Roman"/>
          <w:sz w:val="24"/>
          <w:szCs w:val="24"/>
          <w:lang w:val="fr-CM"/>
        </w:rPr>
        <w:t xml:space="preserve"> H, </w:t>
      </w:r>
      <w:proofErr w:type="spellStart"/>
      <w:r w:rsidRPr="00B07E5D">
        <w:rPr>
          <w:rFonts w:ascii="Times New Roman" w:hAnsi="Times New Roman" w:cs="Times New Roman"/>
          <w:sz w:val="24"/>
          <w:szCs w:val="24"/>
          <w:lang w:val="fr-CM"/>
        </w:rPr>
        <w:t>Tenikoye</w:t>
      </w:r>
      <w:proofErr w:type="spellEnd"/>
      <w:r w:rsidRPr="00B07E5D">
        <w:rPr>
          <w:rFonts w:ascii="Times New Roman" w:hAnsi="Times New Roman" w:cs="Times New Roman"/>
          <w:sz w:val="24"/>
          <w:szCs w:val="24"/>
          <w:lang w:val="fr-CM"/>
        </w:rPr>
        <w:t xml:space="preserve"> A., 2013. Dynamique du peuplement herbacé de la station sahélienne expérimentale de </w:t>
      </w:r>
      <w:proofErr w:type="spellStart"/>
      <w:r w:rsidRPr="00B07E5D">
        <w:rPr>
          <w:rFonts w:ascii="Times New Roman" w:hAnsi="Times New Roman" w:cs="Times New Roman"/>
          <w:sz w:val="24"/>
          <w:szCs w:val="24"/>
          <w:lang w:val="fr-CM"/>
        </w:rPr>
        <w:t>Toukounous</w:t>
      </w:r>
      <w:proofErr w:type="spellEnd"/>
      <w:r w:rsidRPr="00B07E5D">
        <w:rPr>
          <w:rFonts w:ascii="Times New Roman" w:hAnsi="Times New Roman" w:cs="Times New Roman"/>
          <w:sz w:val="24"/>
          <w:szCs w:val="24"/>
          <w:lang w:val="fr-CM"/>
        </w:rPr>
        <w:t xml:space="preserve"> (Filingué – Niger).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7(2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657-671.</w:t>
      </w:r>
    </w:p>
    <w:p w14:paraId="26245193"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Peet</w:t>
      </w:r>
      <w:proofErr w:type="spellEnd"/>
      <w:r w:rsidRPr="00B07E5D">
        <w:rPr>
          <w:rFonts w:ascii="Times New Roman" w:hAnsi="Times New Roman" w:cs="Times New Roman"/>
          <w:sz w:val="24"/>
          <w:szCs w:val="24"/>
          <w:lang w:val="fr-CM"/>
        </w:rPr>
        <w:t xml:space="preserve"> R.K., 1974. The </w:t>
      </w:r>
      <w:proofErr w:type="spellStart"/>
      <w:r w:rsidRPr="00B07E5D">
        <w:rPr>
          <w:rFonts w:ascii="Times New Roman" w:hAnsi="Times New Roman" w:cs="Times New Roman"/>
          <w:sz w:val="24"/>
          <w:szCs w:val="24"/>
          <w:lang w:val="fr-CM"/>
        </w:rPr>
        <w:t>measurement</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Ann.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Ecol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Syst</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5:</w:t>
      </w:r>
      <w:proofErr w:type="gramEnd"/>
      <w:r w:rsidRPr="00B07E5D">
        <w:rPr>
          <w:rFonts w:ascii="Times New Roman" w:hAnsi="Times New Roman" w:cs="Times New Roman"/>
          <w:sz w:val="24"/>
          <w:szCs w:val="24"/>
          <w:lang w:val="fr-CM"/>
        </w:rPr>
        <w:t xml:space="preserve"> 285-307.</w:t>
      </w:r>
    </w:p>
    <w:p w14:paraId="5A5A3943"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RaunKiaer</w:t>
      </w:r>
      <w:proofErr w:type="spellEnd"/>
      <w:r w:rsidRPr="00B07E5D">
        <w:rPr>
          <w:rFonts w:ascii="Times New Roman" w:hAnsi="Times New Roman" w:cs="Times New Roman"/>
          <w:sz w:val="24"/>
          <w:szCs w:val="24"/>
          <w:lang w:val="fr-CM"/>
        </w:rPr>
        <w:t xml:space="preserve"> v. 1934. — The Life Forms of Plants and </w:t>
      </w:r>
      <w:proofErr w:type="spellStart"/>
      <w:r w:rsidRPr="00B07E5D">
        <w:rPr>
          <w:rFonts w:ascii="Times New Roman" w:hAnsi="Times New Roman" w:cs="Times New Roman"/>
          <w:sz w:val="24"/>
          <w:szCs w:val="24"/>
          <w:lang w:val="fr-CM"/>
        </w:rPr>
        <w:t>Statistical</w:t>
      </w:r>
      <w:proofErr w:type="spellEnd"/>
      <w:r w:rsidRPr="00B07E5D">
        <w:rPr>
          <w:rFonts w:ascii="Times New Roman" w:hAnsi="Times New Roman" w:cs="Times New Roman"/>
          <w:sz w:val="24"/>
          <w:szCs w:val="24"/>
          <w:lang w:val="fr-CM"/>
        </w:rPr>
        <w:t xml:space="preserve"> Plant </w:t>
      </w:r>
      <w:proofErr w:type="spellStart"/>
      <w:r w:rsidRPr="00B07E5D">
        <w:rPr>
          <w:rFonts w:ascii="Times New Roman" w:hAnsi="Times New Roman" w:cs="Times New Roman"/>
          <w:sz w:val="24"/>
          <w:szCs w:val="24"/>
          <w:lang w:val="fr-CM"/>
        </w:rPr>
        <w:t>Geography</w:t>
      </w:r>
      <w:proofErr w:type="spellEnd"/>
      <w:r w:rsidRPr="00B07E5D">
        <w:rPr>
          <w:rFonts w:ascii="Times New Roman" w:hAnsi="Times New Roman" w:cs="Times New Roman"/>
          <w:sz w:val="24"/>
          <w:szCs w:val="24"/>
          <w:lang w:val="fr-CM"/>
        </w:rPr>
        <w:t xml:space="preserve">. Clarendon </w:t>
      </w:r>
      <w:proofErr w:type="spellStart"/>
      <w:r w:rsidRPr="00B07E5D">
        <w:rPr>
          <w:rFonts w:ascii="Times New Roman" w:hAnsi="Times New Roman" w:cs="Times New Roman"/>
          <w:sz w:val="24"/>
          <w:szCs w:val="24"/>
          <w:lang w:val="fr-CM"/>
        </w:rPr>
        <w:t>press</w:t>
      </w:r>
      <w:proofErr w:type="spellEnd"/>
      <w:r w:rsidRPr="00B07E5D">
        <w:rPr>
          <w:rFonts w:ascii="Times New Roman" w:hAnsi="Times New Roman" w:cs="Times New Roman"/>
          <w:sz w:val="24"/>
          <w:szCs w:val="24"/>
          <w:lang w:val="fr-CM"/>
        </w:rPr>
        <w:t xml:space="preserve"> Oxford, 632 p.</w:t>
      </w:r>
    </w:p>
    <w:p w14:paraId="067C29EC"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Sambaré</w:t>
      </w:r>
      <w:proofErr w:type="spellEnd"/>
      <w:r w:rsidRPr="00B07E5D">
        <w:rPr>
          <w:rFonts w:ascii="Times New Roman" w:hAnsi="Times New Roman" w:cs="Times New Roman"/>
          <w:sz w:val="24"/>
          <w:szCs w:val="24"/>
          <w:lang w:val="fr-CM"/>
        </w:rPr>
        <w:t xml:space="preserve"> O., </w:t>
      </w:r>
      <w:proofErr w:type="spellStart"/>
      <w:r w:rsidRPr="00B07E5D">
        <w:rPr>
          <w:rFonts w:ascii="Times New Roman" w:hAnsi="Times New Roman" w:cs="Times New Roman"/>
          <w:sz w:val="24"/>
          <w:szCs w:val="24"/>
          <w:lang w:val="fr-CM"/>
        </w:rPr>
        <w:t>Savadogo</w:t>
      </w:r>
      <w:proofErr w:type="spellEnd"/>
      <w:r w:rsidRPr="00B07E5D">
        <w:rPr>
          <w:rFonts w:ascii="Times New Roman" w:hAnsi="Times New Roman" w:cs="Times New Roman"/>
          <w:sz w:val="24"/>
          <w:szCs w:val="24"/>
          <w:lang w:val="fr-CM"/>
        </w:rPr>
        <w:t xml:space="preserve"> S., Traoré L., Ouédraogo I., </w:t>
      </w:r>
      <w:proofErr w:type="spellStart"/>
      <w:r w:rsidRPr="00B07E5D">
        <w:rPr>
          <w:rFonts w:ascii="Times New Roman" w:hAnsi="Times New Roman" w:cs="Times New Roman"/>
          <w:sz w:val="24"/>
          <w:szCs w:val="24"/>
          <w:lang w:val="fr-CM"/>
        </w:rPr>
        <w:t>Thiombiano</w:t>
      </w:r>
      <w:proofErr w:type="spellEnd"/>
      <w:r w:rsidRPr="00B07E5D">
        <w:rPr>
          <w:rFonts w:ascii="Times New Roman" w:hAnsi="Times New Roman" w:cs="Times New Roman"/>
          <w:sz w:val="24"/>
          <w:szCs w:val="24"/>
          <w:lang w:val="fr-CM"/>
        </w:rPr>
        <w:t xml:space="preserve"> A., 2020. Structure and </w:t>
      </w:r>
      <w:proofErr w:type="spellStart"/>
      <w:r w:rsidRPr="00B07E5D">
        <w:rPr>
          <w:rFonts w:ascii="Times New Roman" w:hAnsi="Times New Roman" w:cs="Times New Roman"/>
          <w:sz w:val="24"/>
          <w:szCs w:val="24"/>
          <w:lang w:val="fr-CM"/>
        </w:rPr>
        <w:t>dynamics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in </w:t>
      </w:r>
      <w:proofErr w:type="spellStart"/>
      <w:r w:rsidRPr="00B07E5D">
        <w:rPr>
          <w:rFonts w:ascii="Times New Roman" w:hAnsi="Times New Roman" w:cs="Times New Roman"/>
          <w:sz w:val="24"/>
          <w:szCs w:val="24"/>
          <w:lang w:val="fr-CM"/>
        </w:rPr>
        <w:t>gallery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rivers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streams</w:t>
      </w:r>
      <w:proofErr w:type="spellEnd"/>
      <w:r w:rsidRPr="00B07E5D">
        <w:rPr>
          <w:rFonts w:ascii="Times New Roman" w:hAnsi="Times New Roman" w:cs="Times New Roman"/>
          <w:sz w:val="24"/>
          <w:szCs w:val="24"/>
          <w:lang w:val="fr-CM"/>
        </w:rPr>
        <w:t xml:space="preserve"> in the South </w:t>
      </w:r>
      <w:proofErr w:type="spellStart"/>
      <w:r w:rsidRPr="00B07E5D">
        <w:rPr>
          <w:rFonts w:ascii="Times New Roman" w:hAnsi="Times New Roman" w:cs="Times New Roman"/>
          <w:sz w:val="24"/>
          <w:szCs w:val="24"/>
          <w:lang w:val="fr-CM"/>
        </w:rPr>
        <w:t>Sudanese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sector</w:t>
      </w:r>
      <w:proofErr w:type="spellEnd"/>
      <w:r w:rsidRPr="00B07E5D">
        <w:rPr>
          <w:rFonts w:ascii="Times New Roman" w:hAnsi="Times New Roman" w:cs="Times New Roman"/>
          <w:sz w:val="24"/>
          <w:szCs w:val="24"/>
          <w:lang w:val="fr-CM"/>
        </w:rPr>
        <w:t xml:space="preserve"> of Burkina Faso. Bois et Forêts des Tropiques, </w:t>
      </w:r>
      <w:proofErr w:type="gramStart"/>
      <w:r w:rsidRPr="00B07E5D">
        <w:rPr>
          <w:rFonts w:ascii="Times New Roman" w:hAnsi="Times New Roman" w:cs="Times New Roman"/>
          <w:sz w:val="24"/>
          <w:szCs w:val="24"/>
          <w:lang w:val="fr-CM"/>
        </w:rPr>
        <w:t>345:</w:t>
      </w:r>
      <w:proofErr w:type="gramEnd"/>
      <w:r w:rsidRPr="00B07E5D">
        <w:rPr>
          <w:rFonts w:ascii="Times New Roman" w:hAnsi="Times New Roman" w:cs="Times New Roman"/>
          <w:sz w:val="24"/>
          <w:szCs w:val="24"/>
          <w:lang w:val="fr-CM"/>
        </w:rPr>
        <w:t xml:space="preserve"> 25-42.</w:t>
      </w:r>
    </w:p>
    <w:p w14:paraId="6460E978"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Sanou</w:t>
      </w:r>
      <w:proofErr w:type="spellEnd"/>
      <w:r w:rsidRPr="00B07E5D">
        <w:rPr>
          <w:rFonts w:ascii="Times New Roman" w:hAnsi="Times New Roman" w:cs="Times New Roman"/>
          <w:sz w:val="24"/>
          <w:szCs w:val="24"/>
          <w:lang w:val="fr-CM"/>
        </w:rPr>
        <w:t xml:space="preserve"> N., </w:t>
      </w:r>
      <w:proofErr w:type="spellStart"/>
      <w:r w:rsidRPr="00B07E5D">
        <w:rPr>
          <w:rFonts w:ascii="Times New Roman" w:hAnsi="Times New Roman" w:cs="Times New Roman"/>
          <w:sz w:val="24"/>
          <w:szCs w:val="24"/>
          <w:lang w:val="fr-CM"/>
        </w:rPr>
        <w:t>Savadogo</w:t>
      </w:r>
      <w:proofErr w:type="spellEnd"/>
      <w:r w:rsidRPr="00B07E5D">
        <w:rPr>
          <w:rFonts w:ascii="Times New Roman" w:hAnsi="Times New Roman" w:cs="Times New Roman"/>
          <w:sz w:val="24"/>
          <w:szCs w:val="24"/>
          <w:lang w:val="fr-CM"/>
        </w:rPr>
        <w:t xml:space="preserve"> S., Sanogo S., </w:t>
      </w:r>
      <w:proofErr w:type="spellStart"/>
      <w:r w:rsidRPr="00B07E5D">
        <w:rPr>
          <w:rFonts w:ascii="Times New Roman" w:hAnsi="Times New Roman" w:cs="Times New Roman"/>
          <w:sz w:val="24"/>
          <w:szCs w:val="24"/>
          <w:lang w:val="fr-CM"/>
        </w:rPr>
        <w:t>Yaovi</w:t>
      </w:r>
      <w:proofErr w:type="spellEnd"/>
      <w:r w:rsidRPr="00B07E5D">
        <w:rPr>
          <w:rFonts w:ascii="Times New Roman" w:hAnsi="Times New Roman" w:cs="Times New Roman"/>
          <w:sz w:val="24"/>
          <w:szCs w:val="24"/>
          <w:lang w:val="fr-CM"/>
        </w:rPr>
        <w:t xml:space="preserve"> C. R. and Hien M., Diversity and </w:t>
      </w:r>
      <w:proofErr w:type="spellStart"/>
      <w:r w:rsidRPr="00B07E5D">
        <w:rPr>
          <w:rFonts w:ascii="Times New Roman" w:hAnsi="Times New Roman" w:cs="Times New Roman"/>
          <w:sz w:val="24"/>
          <w:szCs w:val="24"/>
          <w:lang w:val="fr-CM"/>
        </w:rPr>
        <w:t>demographic</w:t>
      </w:r>
      <w:proofErr w:type="spellEnd"/>
      <w:r w:rsidRPr="00B07E5D">
        <w:rPr>
          <w:rFonts w:ascii="Times New Roman" w:hAnsi="Times New Roman" w:cs="Times New Roman"/>
          <w:sz w:val="24"/>
          <w:szCs w:val="24"/>
          <w:lang w:val="fr-CM"/>
        </w:rPr>
        <w:t xml:space="preserve"> structure of the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flora of the </w:t>
      </w:r>
      <w:proofErr w:type="spellStart"/>
      <w:r w:rsidRPr="00B07E5D">
        <w:rPr>
          <w:rFonts w:ascii="Times New Roman" w:hAnsi="Times New Roman" w:cs="Times New Roman"/>
          <w:sz w:val="24"/>
          <w:szCs w:val="24"/>
          <w:lang w:val="fr-CM"/>
        </w:rPr>
        <w:t>Bansié</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classified</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in Tuy province, Burkina Faso, Afrique SCIENCE, 23 (6) (2023) 27 - 41</w:t>
      </w:r>
    </w:p>
    <w:p w14:paraId="74E99D46"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Yoka</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Loumeto</w:t>
      </w:r>
      <w:proofErr w:type="spellEnd"/>
      <w:r w:rsidRPr="00B07E5D">
        <w:rPr>
          <w:rFonts w:ascii="Times New Roman" w:hAnsi="Times New Roman" w:cs="Times New Roman"/>
          <w:sz w:val="24"/>
          <w:szCs w:val="24"/>
          <w:lang w:val="fr-CM"/>
        </w:rPr>
        <w:t xml:space="preserve"> JJ, </w:t>
      </w:r>
      <w:proofErr w:type="spellStart"/>
      <w:r w:rsidRPr="00B07E5D">
        <w:rPr>
          <w:rFonts w:ascii="Times New Roman" w:hAnsi="Times New Roman" w:cs="Times New Roman"/>
          <w:sz w:val="24"/>
          <w:szCs w:val="24"/>
          <w:lang w:val="fr-CM"/>
        </w:rPr>
        <w:t>Djego</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Vouidibio</w:t>
      </w:r>
      <w:proofErr w:type="spellEnd"/>
      <w:r w:rsidRPr="00B07E5D">
        <w:rPr>
          <w:rFonts w:ascii="Times New Roman" w:hAnsi="Times New Roman" w:cs="Times New Roman"/>
          <w:sz w:val="24"/>
          <w:szCs w:val="24"/>
          <w:lang w:val="fr-CM"/>
        </w:rPr>
        <w:t xml:space="preserve"> J. 2013. </w:t>
      </w:r>
      <w:proofErr w:type="spellStart"/>
      <w:r w:rsidRPr="00B07E5D">
        <w:rPr>
          <w:rFonts w:ascii="Times New Roman" w:hAnsi="Times New Roman" w:cs="Times New Roman"/>
          <w:sz w:val="24"/>
          <w:szCs w:val="24"/>
          <w:lang w:val="fr-CM"/>
        </w:rPr>
        <w:t>Assessment</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herbaceous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savannas</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Congolese</w:t>
      </w:r>
      <w:proofErr w:type="spellEnd"/>
      <w:r w:rsidRPr="00B07E5D">
        <w:rPr>
          <w:rFonts w:ascii="Times New Roman" w:hAnsi="Times New Roman" w:cs="Times New Roman"/>
          <w:sz w:val="24"/>
          <w:szCs w:val="24"/>
          <w:lang w:val="fr-CM"/>
        </w:rPr>
        <w:t xml:space="preserve"> basin (Republic of Congo).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Science, 9(2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110–123.</w:t>
      </w:r>
    </w:p>
    <w:p w14:paraId="0AFF095D" w14:textId="414369DC" w:rsidR="00AF5E7A" w:rsidRPr="00984A02"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White F. 1986. — The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French adaptation by P. </w:t>
      </w:r>
      <w:proofErr w:type="spellStart"/>
      <w:r w:rsidRPr="00B07E5D">
        <w:rPr>
          <w:rFonts w:ascii="Times New Roman" w:hAnsi="Times New Roman" w:cs="Times New Roman"/>
          <w:sz w:val="24"/>
          <w:szCs w:val="24"/>
          <w:lang w:val="fr-CM"/>
        </w:rPr>
        <w:t>Bamps</w:t>
      </w:r>
      <w:proofErr w:type="spellEnd"/>
      <w:r w:rsidRPr="00B07E5D">
        <w:rPr>
          <w:rFonts w:ascii="Times New Roman" w:hAnsi="Times New Roman" w:cs="Times New Roman"/>
          <w:sz w:val="24"/>
          <w:szCs w:val="24"/>
          <w:lang w:val="fr-CM"/>
        </w:rPr>
        <w:t xml:space="preserve">. ORTSTOM and UNESCO, Paris, </w:t>
      </w:r>
      <w:proofErr w:type="spellStart"/>
      <w:r w:rsidRPr="00B07E5D">
        <w:rPr>
          <w:rFonts w:ascii="Times New Roman" w:hAnsi="Times New Roman" w:cs="Times New Roman"/>
          <w:sz w:val="24"/>
          <w:szCs w:val="24"/>
          <w:lang w:val="fr-CM"/>
        </w:rPr>
        <w:t>Research</w:t>
      </w:r>
      <w:proofErr w:type="spellEnd"/>
      <w:r w:rsidRPr="00B07E5D">
        <w:rPr>
          <w:rFonts w:ascii="Times New Roman" w:hAnsi="Times New Roman" w:cs="Times New Roman"/>
          <w:sz w:val="24"/>
          <w:szCs w:val="24"/>
          <w:lang w:val="fr-CM"/>
        </w:rPr>
        <w:t xml:space="preserve"> on Natural </w:t>
      </w:r>
      <w:proofErr w:type="spellStart"/>
      <w:r w:rsidRPr="00B07E5D">
        <w:rPr>
          <w:rFonts w:ascii="Times New Roman" w:hAnsi="Times New Roman" w:cs="Times New Roman"/>
          <w:sz w:val="24"/>
          <w:szCs w:val="24"/>
          <w:lang w:val="fr-CM"/>
        </w:rPr>
        <w:t>Resources</w:t>
      </w:r>
      <w:proofErr w:type="spellEnd"/>
      <w:r w:rsidRPr="00B07E5D">
        <w:rPr>
          <w:rFonts w:ascii="Times New Roman" w:hAnsi="Times New Roman" w:cs="Times New Roman"/>
          <w:sz w:val="24"/>
          <w:szCs w:val="24"/>
          <w:lang w:val="fr-CM"/>
        </w:rPr>
        <w:t xml:space="preserve"> XX coll., 384 p.</w:t>
      </w:r>
    </w:p>
    <w:sectPr w:rsidR="00AF5E7A" w:rsidRPr="00984A02">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A7165" w14:textId="77777777" w:rsidR="00CF0CC0" w:rsidRDefault="00CF0CC0" w:rsidP="002A0E2D">
      <w:pPr>
        <w:spacing w:after="0" w:line="240" w:lineRule="auto"/>
      </w:pPr>
      <w:r>
        <w:separator/>
      </w:r>
    </w:p>
  </w:endnote>
  <w:endnote w:type="continuationSeparator" w:id="0">
    <w:p w14:paraId="4AB4261E" w14:textId="77777777" w:rsidR="00CF0CC0" w:rsidRDefault="00CF0CC0" w:rsidP="002A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8B912" w14:textId="77777777" w:rsidR="00393545" w:rsidRDefault="0039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579264"/>
      <w:docPartObj>
        <w:docPartGallery w:val="Page Numbers (Bottom of Page)"/>
        <w:docPartUnique/>
      </w:docPartObj>
    </w:sdtPr>
    <w:sdtEndPr/>
    <w:sdtContent>
      <w:p w14:paraId="5D2EE6D7" w14:textId="77777777" w:rsidR="005A7857" w:rsidRDefault="005A7857">
        <w:pPr>
          <w:pStyle w:val="Footer"/>
          <w:jc w:val="center"/>
        </w:pPr>
        <w:r>
          <w:fldChar w:fldCharType="begin"/>
        </w:r>
        <w:r>
          <w:instrText>PAGE   \* MERGEFORMAT</w:instrText>
        </w:r>
        <w:r>
          <w:fldChar w:fldCharType="separate"/>
        </w:r>
        <w:r w:rsidR="00A967A5">
          <w:rPr>
            <w:noProof/>
          </w:rPr>
          <w:t>1</w:t>
        </w:r>
        <w:r>
          <w:fldChar w:fldCharType="end"/>
        </w:r>
      </w:p>
    </w:sdtContent>
  </w:sdt>
  <w:p w14:paraId="6B5ABC0A" w14:textId="77777777" w:rsidR="005A7857" w:rsidRDefault="005A7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7964" w14:textId="77777777" w:rsidR="00393545" w:rsidRDefault="0039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5D8CB" w14:textId="77777777" w:rsidR="00CF0CC0" w:rsidRDefault="00CF0CC0" w:rsidP="002A0E2D">
      <w:pPr>
        <w:spacing w:after="0" w:line="240" w:lineRule="auto"/>
      </w:pPr>
      <w:r>
        <w:separator/>
      </w:r>
    </w:p>
  </w:footnote>
  <w:footnote w:type="continuationSeparator" w:id="0">
    <w:p w14:paraId="3477FF91" w14:textId="77777777" w:rsidR="00CF0CC0" w:rsidRDefault="00CF0CC0" w:rsidP="002A0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8697" w14:textId="01513B17" w:rsidR="00393545" w:rsidRDefault="00393545">
    <w:pPr>
      <w:pStyle w:val="Header"/>
    </w:pPr>
    <w:r>
      <w:rPr>
        <w:noProof/>
      </w:rPr>
      <w:pict w14:anchorId="132EB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8741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997A" w14:textId="54CFE8ED" w:rsidR="00393545" w:rsidRDefault="00393545">
    <w:pPr>
      <w:pStyle w:val="Header"/>
    </w:pPr>
    <w:r>
      <w:rPr>
        <w:noProof/>
      </w:rPr>
      <w:pict w14:anchorId="08B64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8741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ABA5" w14:textId="5670445A" w:rsidR="00393545" w:rsidRDefault="00393545">
    <w:pPr>
      <w:pStyle w:val="Header"/>
    </w:pPr>
    <w:r>
      <w:rPr>
        <w:noProof/>
      </w:rPr>
      <w:pict w14:anchorId="05317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8741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21B7"/>
    <w:multiLevelType w:val="hybridMultilevel"/>
    <w:tmpl w:val="B01239CA"/>
    <w:lvl w:ilvl="0" w:tplc="0F6E73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DA2D0E"/>
    <w:multiLevelType w:val="hybridMultilevel"/>
    <w:tmpl w:val="72849638"/>
    <w:lvl w:ilvl="0" w:tplc="0EF87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FF79C7"/>
    <w:multiLevelType w:val="hybridMultilevel"/>
    <w:tmpl w:val="32A0B356"/>
    <w:lvl w:ilvl="0" w:tplc="C64E5A78">
      <w:start w:val="2"/>
      <w:numFmt w:val="bullet"/>
      <w:lvlText w:val="-"/>
      <w:lvlJc w:val="left"/>
      <w:pPr>
        <w:ind w:left="1068" w:hanging="360"/>
      </w:pPr>
      <w:rPr>
        <w:rFonts w:ascii="Tahoma" w:eastAsiaTheme="minorHAnsi"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5D16F2E"/>
    <w:multiLevelType w:val="hybridMultilevel"/>
    <w:tmpl w:val="2376B132"/>
    <w:lvl w:ilvl="0" w:tplc="614AB2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DB0224D"/>
    <w:multiLevelType w:val="hybridMultilevel"/>
    <w:tmpl w:val="437E99DA"/>
    <w:lvl w:ilvl="0" w:tplc="437C36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EB8"/>
    <w:rsid w:val="000008F0"/>
    <w:rsid w:val="00000A41"/>
    <w:rsid w:val="0000195A"/>
    <w:rsid w:val="000019D7"/>
    <w:rsid w:val="00002900"/>
    <w:rsid w:val="00005C4E"/>
    <w:rsid w:val="00005F34"/>
    <w:rsid w:val="000071BB"/>
    <w:rsid w:val="00011FBF"/>
    <w:rsid w:val="000125D9"/>
    <w:rsid w:val="00013612"/>
    <w:rsid w:val="00013C73"/>
    <w:rsid w:val="00014000"/>
    <w:rsid w:val="000164E8"/>
    <w:rsid w:val="00017E4E"/>
    <w:rsid w:val="0002224B"/>
    <w:rsid w:val="000224AE"/>
    <w:rsid w:val="000232A7"/>
    <w:rsid w:val="000242BB"/>
    <w:rsid w:val="000249A5"/>
    <w:rsid w:val="00024FE1"/>
    <w:rsid w:val="000271AC"/>
    <w:rsid w:val="000309E7"/>
    <w:rsid w:val="00030E93"/>
    <w:rsid w:val="000319EC"/>
    <w:rsid w:val="00033F7E"/>
    <w:rsid w:val="0003411E"/>
    <w:rsid w:val="00034F2C"/>
    <w:rsid w:val="0003648E"/>
    <w:rsid w:val="00036A78"/>
    <w:rsid w:val="00036F75"/>
    <w:rsid w:val="00037A78"/>
    <w:rsid w:val="000408A8"/>
    <w:rsid w:val="00042EA2"/>
    <w:rsid w:val="00043B0D"/>
    <w:rsid w:val="00043BF0"/>
    <w:rsid w:val="00044474"/>
    <w:rsid w:val="00045475"/>
    <w:rsid w:val="00046393"/>
    <w:rsid w:val="00050A8D"/>
    <w:rsid w:val="00050AAE"/>
    <w:rsid w:val="00050EE0"/>
    <w:rsid w:val="00052084"/>
    <w:rsid w:val="00052A7A"/>
    <w:rsid w:val="00055973"/>
    <w:rsid w:val="00057028"/>
    <w:rsid w:val="00057A81"/>
    <w:rsid w:val="00057E4E"/>
    <w:rsid w:val="0006078A"/>
    <w:rsid w:val="00060B94"/>
    <w:rsid w:val="00060EA8"/>
    <w:rsid w:val="00061FD4"/>
    <w:rsid w:val="00062C20"/>
    <w:rsid w:val="00064AB7"/>
    <w:rsid w:val="0006525C"/>
    <w:rsid w:val="000653D5"/>
    <w:rsid w:val="00065DC7"/>
    <w:rsid w:val="00066314"/>
    <w:rsid w:val="00066333"/>
    <w:rsid w:val="00066F7B"/>
    <w:rsid w:val="0006719B"/>
    <w:rsid w:val="000672B4"/>
    <w:rsid w:val="00067457"/>
    <w:rsid w:val="00070094"/>
    <w:rsid w:val="00070D57"/>
    <w:rsid w:val="00071097"/>
    <w:rsid w:val="00071415"/>
    <w:rsid w:val="0007161F"/>
    <w:rsid w:val="000720E6"/>
    <w:rsid w:val="00072FBA"/>
    <w:rsid w:val="000734F5"/>
    <w:rsid w:val="0007371D"/>
    <w:rsid w:val="000742F6"/>
    <w:rsid w:val="00075420"/>
    <w:rsid w:val="00075A39"/>
    <w:rsid w:val="00075C47"/>
    <w:rsid w:val="00077179"/>
    <w:rsid w:val="00077BB9"/>
    <w:rsid w:val="000804F0"/>
    <w:rsid w:val="0008065A"/>
    <w:rsid w:val="00080704"/>
    <w:rsid w:val="00080B6C"/>
    <w:rsid w:val="00080D4E"/>
    <w:rsid w:val="00082379"/>
    <w:rsid w:val="00082E8C"/>
    <w:rsid w:val="00086BDB"/>
    <w:rsid w:val="00086DB2"/>
    <w:rsid w:val="00087281"/>
    <w:rsid w:val="000872D1"/>
    <w:rsid w:val="00087385"/>
    <w:rsid w:val="0008757C"/>
    <w:rsid w:val="000878A2"/>
    <w:rsid w:val="00087B6D"/>
    <w:rsid w:val="00090D64"/>
    <w:rsid w:val="00090F32"/>
    <w:rsid w:val="000910D0"/>
    <w:rsid w:val="0009234F"/>
    <w:rsid w:val="00092FAC"/>
    <w:rsid w:val="000936B4"/>
    <w:rsid w:val="000937FB"/>
    <w:rsid w:val="00094C5F"/>
    <w:rsid w:val="00095BBE"/>
    <w:rsid w:val="000A013E"/>
    <w:rsid w:val="000A24CD"/>
    <w:rsid w:val="000A292F"/>
    <w:rsid w:val="000A2F17"/>
    <w:rsid w:val="000A42F0"/>
    <w:rsid w:val="000A485E"/>
    <w:rsid w:val="000A4F56"/>
    <w:rsid w:val="000A6675"/>
    <w:rsid w:val="000A7BED"/>
    <w:rsid w:val="000B0225"/>
    <w:rsid w:val="000B0841"/>
    <w:rsid w:val="000B2005"/>
    <w:rsid w:val="000B2EF6"/>
    <w:rsid w:val="000B3A0A"/>
    <w:rsid w:val="000B4EB0"/>
    <w:rsid w:val="000B72D4"/>
    <w:rsid w:val="000C036E"/>
    <w:rsid w:val="000C1C83"/>
    <w:rsid w:val="000C3D65"/>
    <w:rsid w:val="000C42AC"/>
    <w:rsid w:val="000C5F51"/>
    <w:rsid w:val="000C6071"/>
    <w:rsid w:val="000C73BF"/>
    <w:rsid w:val="000C78CD"/>
    <w:rsid w:val="000C7B76"/>
    <w:rsid w:val="000D1439"/>
    <w:rsid w:val="000D1E14"/>
    <w:rsid w:val="000D2772"/>
    <w:rsid w:val="000D28DB"/>
    <w:rsid w:val="000D2F24"/>
    <w:rsid w:val="000D3874"/>
    <w:rsid w:val="000D486A"/>
    <w:rsid w:val="000D486C"/>
    <w:rsid w:val="000D6350"/>
    <w:rsid w:val="000D6BFF"/>
    <w:rsid w:val="000D6C7E"/>
    <w:rsid w:val="000D777B"/>
    <w:rsid w:val="000D7D21"/>
    <w:rsid w:val="000E0597"/>
    <w:rsid w:val="000E1136"/>
    <w:rsid w:val="000E1690"/>
    <w:rsid w:val="000E571B"/>
    <w:rsid w:val="000E6554"/>
    <w:rsid w:val="000F0488"/>
    <w:rsid w:val="000F1E76"/>
    <w:rsid w:val="000F3339"/>
    <w:rsid w:val="000F43EF"/>
    <w:rsid w:val="000F5374"/>
    <w:rsid w:val="000F5E62"/>
    <w:rsid w:val="000F74E2"/>
    <w:rsid w:val="000F7C49"/>
    <w:rsid w:val="0010116A"/>
    <w:rsid w:val="00101474"/>
    <w:rsid w:val="00103FC1"/>
    <w:rsid w:val="00105009"/>
    <w:rsid w:val="00105DF0"/>
    <w:rsid w:val="001064D1"/>
    <w:rsid w:val="00106765"/>
    <w:rsid w:val="00106A8D"/>
    <w:rsid w:val="001100C2"/>
    <w:rsid w:val="0011025F"/>
    <w:rsid w:val="001113AA"/>
    <w:rsid w:val="00111AF9"/>
    <w:rsid w:val="00112620"/>
    <w:rsid w:val="00112AEE"/>
    <w:rsid w:val="00113011"/>
    <w:rsid w:val="001137A3"/>
    <w:rsid w:val="001150BB"/>
    <w:rsid w:val="00115230"/>
    <w:rsid w:val="00115232"/>
    <w:rsid w:val="00115728"/>
    <w:rsid w:val="00115B02"/>
    <w:rsid w:val="00116DC3"/>
    <w:rsid w:val="00120C3C"/>
    <w:rsid w:val="00121117"/>
    <w:rsid w:val="00121B7D"/>
    <w:rsid w:val="00122E1B"/>
    <w:rsid w:val="0012306D"/>
    <w:rsid w:val="001252A2"/>
    <w:rsid w:val="00125EB6"/>
    <w:rsid w:val="0012624E"/>
    <w:rsid w:val="00126C6D"/>
    <w:rsid w:val="001273C6"/>
    <w:rsid w:val="001302AA"/>
    <w:rsid w:val="00130483"/>
    <w:rsid w:val="001309FC"/>
    <w:rsid w:val="001311DC"/>
    <w:rsid w:val="001330D3"/>
    <w:rsid w:val="00133CC7"/>
    <w:rsid w:val="00135E4F"/>
    <w:rsid w:val="001375D7"/>
    <w:rsid w:val="00137904"/>
    <w:rsid w:val="00140521"/>
    <w:rsid w:val="00140717"/>
    <w:rsid w:val="00141151"/>
    <w:rsid w:val="00141DEB"/>
    <w:rsid w:val="00142CA6"/>
    <w:rsid w:val="001431F7"/>
    <w:rsid w:val="00145A3A"/>
    <w:rsid w:val="00145CCD"/>
    <w:rsid w:val="001465E6"/>
    <w:rsid w:val="001468D9"/>
    <w:rsid w:val="00146A50"/>
    <w:rsid w:val="00146F7B"/>
    <w:rsid w:val="001471C0"/>
    <w:rsid w:val="001475A4"/>
    <w:rsid w:val="001478C7"/>
    <w:rsid w:val="001507A8"/>
    <w:rsid w:val="00150E58"/>
    <w:rsid w:val="001517A9"/>
    <w:rsid w:val="0015209A"/>
    <w:rsid w:val="00152514"/>
    <w:rsid w:val="00152FD0"/>
    <w:rsid w:val="00155099"/>
    <w:rsid w:val="00156C8D"/>
    <w:rsid w:val="001619C5"/>
    <w:rsid w:val="00162C2F"/>
    <w:rsid w:val="00163069"/>
    <w:rsid w:val="0016496D"/>
    <w:rsid w:val="00164997"/>
    <w:rsid w:val="00165819"/>
    <w:rsid w:val="001661B3"/>
    <w:rsid w:val="001669FE"/>
    <w:rsid w:val="00167398"/>
    <w:rsid w:val="001679FD"/>
    <w:rsid w:val="00167D71"/>
    <w:rsid w:val="00170453"/>
    <w:rsid w:val="00171791"/>
    <w:rsid w:val="001722CD"/>
    <w:rsid w:val="001724F3"/>
    <w:rsid w:val="00172ECC"/>
    <w:rsid w:val="00173DEA"/>
    <w:rsid w:val="0017651C"/>
    <w:rsid w:val="00180607"/>
    <w:rsid w:val="0018065F"/>
    <w:rsid w:val="001811A7"/>
    <w:rsid w:val="00181922"/>
    <w:rsid w:val="00182181"/>
    <w:rsid w:val="0018257D"/>
    <w:rsid w:val="00182CD5"/>
    <w:rsid w:val="0018348F"/>
    <w:rsid w:val="001846B2"/>
    <w:rsid w:val="00184AEB"/>
    <w:rsid w:val="00184D4C"/>
    <w:rsid w:val="00184D5B"/>
    <w:rsid w:val="00185517"/>
    <w:rsid w:val="00185673"/>
    <w:rsid w:val="00185D4A"/>
    <w:rsid w:val="00186A39"/>
    <w:rsid w:val="0018772E"/>
    <w:rsid w:val="00192D24"/>
    <w:rsid w:val="001933B0"/>
    <w:rsid w:val="00194429"/>
    <w:rsid w:val="00194509"/>
    <w:rsid w:val="00194A58"/>
    <w:rsid w:val="0019583A"/>
    <w:rsid w:val="001963A7"/>
    <w:rsid w:val="00196B89"/>
    <w:rsid w:val="00197C07"/>
    <w:rsid w:val="001A00AF"/>
    <w:rsid w:val="001A0804"/>
    <w:rsid w:val="001A1DA3"/>
    <w:rsid w:val="001A2E3A"/>
    <w:rsid w:val="001A3BB4"/>
    <w:rsid w:val="001A3BB5"/>
    <w:rsid w:val="001A42B2"/>
    <w:rsid w:val="001A52F0"/>
    <w:rsid w:val="001A7A3F"/>
    <w:rsid w:val="001A7D4F"/>
    <w:rsid w:val="001B0366"/>
    <w:rsid w:val="001B17E8"/>
    <w:rsid w:val="001B207E"/>
    <w:rsid w:val="001B2919"/>
    <w:rsid w:val="001B2924"/>
    <w:rsid w:val="001B2D3B"/>
    <w:rsid w:val="001B4414"/>
    <w:rsid w:val="001B45EA"/>
    <w:rsid w:val="001B49DA"/>
    <w:rsid w:val="001B4F55"/>
    <w:rsid w:val="001B5017"/>
    <w:rsid w:val="001B7E4F"/>
    <w:rsid w:val="001C06FB"/>
    <w:rsid w:val="001C0A52"/>
    <w:rsid w:val="001C137C"/>
    <w:rsid w:val="001C1569"/>
    <w:rsid w:val="001C15AC"/>
    <w:rsid w:val="001C1703"/>
    <w:rsid w:val="001C4F7B"/>
    <w:rsid w:val="001C5375"/>
    <w:rsid w:val="001C5846"/>
    <w:rsid w:val="001C6947"/>
    <w:rsid w:val="001C7606"/>
    <w:rsid w:val="001D00EC"/>
    <w:rsid w:val="001D0116"/>
    <w:rsid w:val="001D058E"/>
    <w:rsid w:val="001D54D9"/>
    <w:rsid w:val="001D56CD"/>
    <w:rsid w:val="001D63CD"/>
    <w:rsid w:val="001D74CE"/>
    <w:rsid w:val="001D79D0"/>
    <w:rsid w:val="001E1374"/>
    <w:rsid w:val="001E1DCC"/>
    <w:rsid w:val="001E22FE"/>
    <w:rsid w:val="001E2671"/>
    <w:rsid w:val="001E33A9"/>
    <w:rsid w:val="001E4ECD"/>
    <w:rsid w:val="001E5A0C"/>
    <w:rsid w:val="001E609E"/>
    <w:rsid w:val="001E6F54"/>
    <w:rsid w:val="001E7742"/>
    <w:rsid w:val="001F030D"/>
    <w:rsid w:val="001F14C9"/>
    <w:rsid w:val="001F350E"/>
    <w:rsid w:val="001F4107"/>
    <w:rsid w:val="001F5A5D"/>
    <w:rsid w:val="001F63C6"/>
    <w:rsid w:val="001F6F36"/>
    <w:rsid w:val="001F74D0"/>
    <w:rsid w:val="002000BD"/>
    <w:rsid w:val="002033CF"/>
    <w:rsid w:val="00205807"/>
    <w:rsid w:val="002075D9"/>
    <w:rsid w:val="00210241"/>
    <w:rsid w:val="00210B28"/>
    <w:rsid w:val="00212140"/>
    <w:rsid w:val="0021294D"/>
    <w:rsid w:val="00212BF3"/>
    <w:rsid w:val="0021442E"/>
    <w:rsid w:val="0021447C"/>
    <w:rsid w:val="00215420"/>
    <w:rsid w:val="00216E18"/>
    <w:rsid w:val="002174A9"/>
    <w:rsid w:val="0021757B"/>
    <w:rsid w:val="00217A74"/>
    <w:rsid w:val="00220102"/>
    <w:rsid w:val="0022235B"/>
    <w:rsid w:val="00222882"/>
    <w:rsid w:val="002228FA"/>
    <w:rsid w:val="00223B36"/>
    <w:rsid w:val="00223D7F"/>
    <w:rsid w:val="00224078"/>
    <w:rsid w:val="00225E62"/>
    <w:rsid w:val="00225F43"/>
    <w:rsid w:val="002274C3"/>
    <w:rsid w:val="00230EFD"/>
    <w:rsid w:val="002310A0"/>
    <w:rsid w:val="00231209"/>
    <w:rsid w:val="00231BB1"/>
    <w:rsid w:val="00231C40"/>
    <w:rsid w:val="00232807"/>
    <w:rsid w:val="00233425"/>
    <w:rsid w:val="00233B25"/>
    <w:rsid w:val="00234038"/>
    <w:rsid w:val="00236773"/>
    <w:rsid w:val="0023706D"/>
    <w:rsid w:val="00237C9C"/>
    <w:rsid w:val="002410FA"/>
    <w:rsid w:val="00241E88"/>
    <w:rsid w:val="00242920"/>
    <w:rsid w:val="0024330C"/>
    <w:rsid w:val="00243C22"/>
    <w:rsid w:val="0024472E"/>
    <w:rsid w:val="002447E7"/>
    <w:rsid w:val="002457DE"/>
    <w:rsid w:val="00245B4F"/>
    <w:rsid w:val="00246AAA"/>
    <w:rsid w:val="002470DE"/>
    <w:rsid w:val="002508C4"/>
    <w:rsid w:val="00252026"/>
    <w:rsid w:val="002548DB"/>
    <w:rsid w:val="00254C95"/>
    <w:rsid w:val="00254E19"/>
    <w:rsid w:val="0025550C"/>
    <w:rsid w:val="00255573"/>
    <w:rsid w:val="00255898"/>
    <w:rsid w:val="00255B86"/>
    <w:rsid w:val="00261F8E"/>
    <w:rsid w:val="00264189"/>
    <w:rsid w:val="002645A3"/>
    <w:rsid w:val="00264A7B"/>
    <w:rsid w:val="0026577A"/>
    <w:rsid w:val="0026578F"/>
    <w:rsid w:val="002659C5"/>
    <w:rsid w:val="002666C0"/>
    <w:rsid w:val="00266CBA"/>
    <w:rsid w:val="00266F5F"/>
    <w:rsid w:val="00267CA5"/>
    <w:rsid w:val="002708A1"/>
    <w:rsid w:val="00277D11"/>
    <w:rsid w:val="0028101C"/>
    <w:rsid w:val="0028139D"/>
    <w:rsid w:val="00281832"/>
    <w:rsid w:val="00281A01"/>
    <w:rsid w:val="00282DAE"/>
    <w:rsid w:val="00282FB4"/>
    <w:rsid w:val="00283720"/>
    <w:rsid w:val="00283C0C"/>
    <w:rsid w:val="00283FDF"/>
    <w:rsid w:val="00284499"/>
    <w:rsid w:val="00284A5B"/>
    <w:rsid w:val="00284B5B"/>
    <w:rsid w:val="00285DFD"/>
    <w:rsid w:val="002870E1"/>
    <w:rsid w:val="0028773D"/>
    <w:rsid w:val="002901B5"/>
    <w:rsid w:val="00290290"/>
    <w:rsid w:val="002903A2"/>
    <w:rsid w:val="0029066E"/>
    <w:rsid w:val="00290C58"/>
    <w:rsid w:val="00290FD7"/>
    <w:rsid w:val="00293F0E"/>
    <w:rsid w:val="00293FA8"/>
    <w:rsid w:val="0029531B"/>
    <w:rsid w:val="0029566A"/>
    <w:rsid w:val="002962EA"/>
    <w:rsid w:val="00296704"/>
    <w:rsid w:val="00296C04"/>
    <w:rsid w:val="00296D33"/>
    <w:rsid w:val="0029772A"/>
    <w:rsid w:val="002A0E2D"/>
    <w:rsid w:val="002A11F2"/>
    <w:rsid w:val="002A1BAE"/>
    <w:rsid w:val="002A359C"/>
    <w:rsid w:val="002A3F09"/>
    <w:rsid w:val="002A4065"/>
    <w:rsid w:val="002A42DD"/>
    <w:rsid w:val="002A5C8E"/>
    <w:rsid w:val="002A60DC"/>
    <w:rsid w:val="002A62D4"/>
    <w:rsid w:val="002A7328"/>
    <w:rsid w:val="002B0463"/>
    <w:rsid w:val="002B1777"/>
    <w:rsid w:val="002B29D3"/>
    <w:rsid w:val="002B3092"/>
    <w:rsid w:val="002B380D"/>
    <w:rsid w:val="002B463A"/>
    <w:rsid w:val="002B4E63"/>
    <w:rsid w:val="002B5509"/>
    <w:rsid w:val="002B57F4"/>
    <w:rsid w:val="002B594E"/>
    <w:rsid w:val="002B79C6"/>
    <w:rsid w:val="002B7A9C"/>
    <w:rsid w:val="002C008E"/>
    <w:rsid w:val="002C0A2D"/>
    <w:rsid w:val="002C0C0C"/>
    <w:rsid w:val="002C113D"/>
    <w:rsid w:val="002C329A"/>
    <w:rsid w:val="002C3CBE"/>
    <w:rsid w:val="002C3CF9"/>
    <w:rsid w:val="002C5B87"/>
    <w:rsid w:val="002C68BE"/>
    <w:rsid w:val="002C746F"/>
    <w:rsid w:val="002C7B33"/>
    <w:rsid w:val="002D19E9"/>
    <w:rsid w:val="002D4621"/>
    <w:rsid w:val="002D646A"/>
    <w:rsid w:val="002D698D"/>
    <w:rsid w:val="002D6D7E"/>
    <w:rsid w:val="002D6DD9"/>
    <w:rsid w:val="002D6E41"/>
    <w:rsid w:val="002D7329"/>
    <w:rsid w:val="002D75BE"/>
    <w:rsid w:val="002D7B9F"/>
    <w:rsid w:val="002E0E58"/>
    <w:rsid w:val="002E25C8"/>
    <w:rsid w:val="002E2E2E"/>
    <w:rsid w:val="002E3BF8"/>
    <w:rsid w:val="002E3C54"/>
    <w:rsid w:val="002E46C2"/>
    <w:rsid w:val="002E4852"/>
    <w:rsid w:val="002E680A"/>
    <w:rsid w:val="002F0CE9"/>
    <w:rsid w:val="002F2114"/>
    <w:rsid w:val="002F2E77"/>
    <w:rsid w:val="002F3454"/>
    <w:rsid w:val="002F34C5"/>
    <w:rsid w:val="002F3B73"/>
    <w:rsid w:val="002F3DE7"/>
    <w:rsid w:val="002F5735"/>
    <w:rsid w:val="00300065"/>
    <w:rsid w:val="003000B5"/>
    <w:rsid w:val="00300242"/>
    <w:rsid w:val="00300927"/>
    <w:rsid w:val="00301176"/>
    <w:rsid w:val="003015BC"/>
    <w:rsid w:val="00302A82"/>
    <w:rsid w:val="003034BC"/>
    <w:rsid w:val="00303C28"/>
    <w:rsid w:val="00304E7D"/>
    <w:rsid w:val="00305EB2"/>
    <w:rsid w:val="00306AA3"/>
    <w:rsid w:val="0030706C"/>
    <w:rsid w:val="00307528"/>
    <w:rsid w:val="00310BC8"/>
    <w:rsid w:val="0031104A"/>
    <w:rsid w:val="00311D77"/>
    <w:rsid w:val="00311EA9"/>
    <w:rsid w:val="00311FF0"/>
    <w:rsid w:val="003129CE"/>
    <w:rsid w:val="00312F04"/>
    <w:rsid w:val="003133DF"/>
    <w:rsid w:val="00317611"/>
    <w:rsid w:val="003177CD"/>
    <w:rsid w:val="003216B9"/>
    <w:rsid w:val="00321773"/>
    <w:rsid w:val="0032355B"/>
    <w:rsid w:val="003246CD"/>
    <w:rsid w:val="00324CFA"/>
    <w:rsid w:val="003253B6"/>
    <w:rsid w:val="003264DF"/>
    <w:rsid w:val="0032682D"/>
    <w:rsid w:val="00330931"/>
    <w:rsid w:val="00331B60"/>
    <w:rsid w:val="00332FAA"/>
    <w:rsid w:val="00333381"/>
    <w:rsid w:val="0033346B"/>
    <w:rsid w:val="00333701"/>
    <w:rsid w:val="003342EB"/>
    <w:rsid w:val="0033494B"/>
    <w:rsid w:val="00334F0B"/>
    <w:rsid w:val="00335A16"/>
    <w:rsid w:val="00340723"/>
    <w:rsid w:val="003407F5"/>
    <w:rsid w:val="00340DD3"/>
    <w:rsid w:val="00340EBA"/>
    <w:rsid w:val="0034129B"/>
    <w:rsid w:val="00342769"/>
    <w:rsid w:val="00342FA5"/>
    <w:rsid w:val="0034398D"/>
    <w:rsid w:val="0034445A"/>
    <w:rsid w:val="00345295"/>
    <w:rsid w:val="00345755"/>
    <w:rsid w:val="00345D02"/>
    <w:rsid w:val="003463FE"/>
    <w:rsid w:val="003469C5"/>
    <w:rsid w:val="003476DD"/>
    <w:rsid w:val="003501B8"/>
    <w:rsid w:val="003517E0"/>
    <w:rsid w:val="00351B33"/>
    <w:rsid w:val="00352A87"/>
    <w:rsid w:val="003531AE"/>
    <w:rsid w:val="00353D81"/>
    <w:rsid w:val="0035461A"/>
    <w:rsid w:val="00354E19"/>
    <w:rsid w:val="0035633F"/>
    <w:rsid w:val="00360622"/>
    <w:rsid w:val="00361ADC"/>
    <w:rsid w:val="0036277D"/>
    <w:rsid w:val="003631F7"/>
    <w:rsid w:val="00363CE2"/>
    <w:rsid w:val="00363DAB"/>
    <w:rsid w:val="00363F52"/>
    <w:rsid w:val="003642AA"/>
    <w:rsid w:val="00364A19"/>
    <w:rsid w:val="00364ED2"/>
    <w:rsid w:val="003661A7"/>
    <w:rsid w:val="00367B7B"/>
    <w:rsid w:val="00367DE2"/>
    <w:rsid w:val="003707D0"/>
    <w:rsid w:val="003716DD"/>
    <w:rsid w:val="0037195B"/>
    <w:rsid w:val="0037393D"/>
    <w:rsid w:val="00374D60"/>
    <w:rsid w:val="003751AF"/>
    <w:rsid w:val="0037535E"/>
    <w:rsid w:val="0037551F"/>
    <w:rsid w:val="00376D00"/>
    <w:rsid w:val="00377A45"/>
    <w:rsid w:val="003816EE"/>
    <w:rsid w:val="00381983"/>
    <w:rsid w:val="00381A29"/>
    <w:rsid w:val="003839E3"/>
    <w:rsid w:val="00384BFB"/>
    <w:rsid w:val="00386014"/>
    <w:rsid w:val="00387192"/>
    <w:rsid w:val="0039021F"/>
    <w:rsid w:val="003905E1"/>
    <w:rsid w:val="003907BD"/>
    <w:rsid w:val="00390F13"/>
    <w:rsid w:val="00393545"/>
    <w:rsid w:val="00394255"/>
    <w:rsid w:val="00394B93"/>
    <w:rsid w:val="003951A8"/>
    <w:rsid w:val="003956C6"/>
    <w:rsid w:val="0039750B"/>
    <w:rsid w:val="003A01B4"/>
    <w:rsid w:val="003A031F"/>
    <w:rsid w:val="003A131D"/>
    <w:rsid w:val="003A193D"/>
    <w:rsid w:val="003A36E0"/>
    <w:rsid w:val="003A465B"/>
    <w:rsid w:val="003A4817"/>
    <w:rsid w:val="003A4B3F"/>
    <w:rsid w:val="003A51C8"/>
    <w:rsid w:val="003A5804"/>
    <w:rsid w:val="003A5C38"/>
    <w:rsid w:val="003A617D"/>
    <w:rsid w:val="003A6801"/>
    <w:rsid w:val="003A711E"/>
    <w:rsid w:val="003B025F"/>
    <w:rsid w:val="003B0C80"/>
    <w:rsid w:val="003B0CBE"/>
    <w:rsid w:val="003B1571"/>
    <w:rsid w:val="003B16F2"/>
    <w:rsid w:val="003B1777"/>
    <w:rsid w:val="003B27A1"/>
    <w:rsid w:val="003B2E65"/>
    <w:rsid w:val="003B3036"/>
    <w:rsid w:val="003B459D"/>
    <w:rsid w:val="003B45C9"/>
    <w:rsid w:val="003B5710"/>
    <w:rsid w:val="003B6DEF"/>
    <w:rsid w:val="003B79E0"/>
    <w:rsid w:val="003B7F25"/>
    <w:rsid w:val="003B7FA4"/>
    <w:rsid w:val="003C012F"/>
    <w:rsid w:val="003C1223"/>
    <w:rsid w:val="003C2562"/>
    <w:rsid w:val="003C262D"/>
    <w:rsid w:val="003C27F6"/>
    <w:rsid w:val="003C3B59"/>
    <w:rsid w:val="003C3CBD"/>
    <w:rsid w:val="003C50E9"/>
    <w:rsid w:val="003C5283"/>
    <w:rsid w:val="003C5523"/>
    <w:rsid w:val="003C555C"/>
    <w:rsid w:val="003C5B2B"/>
    <w:rsid w:val="003C7683"/>
    <w:rsid w:val="003C7D3C"/>
    <w:rsid w:val="003C7FBF"/>
    <w:rsid w:val="003D1009"/>
    <w:rsid w:val="003D1348"/>
    <w:rsid w:val="003D232E"/>
    <w:rsid w:val="003D3CB0"/>
    <w:rsid w:val="003D425E"/>
    <w:rsid w:val="003D542C"/>
    <w:rsid w:val="003D72FB"/>
    <w:rsid w:val="003D7504"/>
    <w:rsid w:val="003D769A"/>
    <w:rsid w:val="003D7B73"/>
    <w:rsid w:val="003E0B5C"/>
    <w:rsid w:val="003E0D16"/>
    <w:rsid w:val="003E0E6A"/>
    <w:rsid w:val="003E1A58"/>
    <w:rsid w:val="003E1CD1"/>
    <w:rsid w:val="003E2802"/>
    <w:rsid w:val="003E2B40"/>
    <w:rsid w:val="003E4BB9"/>
    <w:rsid w:val="003E52CB"/>
    <w:rsid w:val="003E5E48"/>
    <w:rsid w:val="003F0101"/>
    <w:rsid w:val="003F06BF"/>
    <w:rsid w:val="003F1108"/>
    <w:rsid w:val="003F1674"/>
    <w:rsid w:val="003F3BCA"/>
    <w:rsid w:val="003F4426"/>
    <w:rsid w:val="003F49AF"/>
    <w:rsid w:val="003F56EA"/>
    <w:rsid w:val="003F599E"/>
    <w:rsid w:val="003F636A"/>
    <w:rsid w:val="0040198C"/>
    <w:rsid w:val="00401E76"/>
    <w:rsid w:val="0040200C"/>
    <w:rsid w:val="004027F8"/>
    <w:rsid w:val="00403006"/>
    <w:rsid w:val="0040766D"/>
    <w:rsid w:val="00413B19"/>
    <w:rsid w:val="004166C3"/>
    <w:rsid w:val="00417B7E"/>
    <w:rsid w:val="00417BC3"/>
    <w:rsid w:val="00421D05"/>
    <w:rsid w:val="0042254A"/>
    <w:rsid w:val="00422A80"/>
    <w:rsid w:val="00422BCE"/>
    <w:rsid w:val="004242C9"/>
    <w:rsid w:val="00425517"/>
    <w:rsid w:val="004255A2"/>
    <w:rsid w:val="00425DC1"/>
    <w:rsid w:val="00427F2D"/>
    <w:rsid w:val="00432F7C"/>
    <w:rsid w:val="00433C9C"/>
    <w:rsid w:val="00433F25"/>
    <w:rsid w:val="00435309"/>
    <w:rsid w:val="00435466"/>
    <w:rsid w:val="00435D7A"/>
    <w:rsid w:val="0043758A"/>
    <w:rsid w:val="00437AAA"/>
    <w:rsid w:val="00440156"/>
    <w:rsid w:val="00440DBF"/>
    <w:rsid w:val="0044216E"/>
    <w:rsid w:val="00442D2E"/>
    <w:rsid w:val="00444DD4"/>
    <w:rsid w:val="00444F32"/>
    <w:rsid w:val="0044517F"/>
    <w:rsid w:val="004455AA"/>
    <w:rsid w:val="004456F8"/>
    <w:rsid w:val="00445DEF"/>
    <w:rsid w:val="004461C6"/>
    <w:rsid w:val="004468D3"/>
    <w:rsid w:val="00446BDB"/>
    <w:rsid w:val="00446CFA"/>
    <w:rsid w:val="004501FC"/>
    <w:rsid w:val="00450C90"/>
    <w:rsid w:val="00451F2D"/>
    <w:rsid w:val="0045312C"/>
    <w:rsid w:val="00453426"/>
    <w:rsid w:val="0045358B"/>
    <w:rsid w:val="0046050B"/>
    <w:rsid w:val="00461311"/>
    <w:rsid w:val="004619F1"/>
    <w:rsid w:val="00462BDC"/>
    <w:rsid w:val="004638FE"/>
    <w:rsid w:val="004639C0"/>
    <w:rsid w:val="00465C8E"/>
    <w:rsid w:val="00466298"/>
    <w:rsid w:val="00467AB2"/>
    <w:rsid w:val="00467C3F"/>
    <w:rsid w:val="00467C74"/>
    <w:rsid w:val="00467D5C"/>
    <w:rsid w:val="00467E23"/>
    <w:rsid w:val="00467F7E"/>
    <w:rsid w:val="00470041"/>
    <w:rsid w:val="00471254"/>
    <w:rsid w:val="0047172B"/>
    <w:rsid w:val="00471F50"/>
    <w:rsid w:val="004727CF"/>
    <w:rsid w:val="0047280D"/>
    <w:rsid w:val="00472867"/>
    <w:rsid w:val="00472DD2"/>
    <w:rsid w:val="004738A6"/>
    <w:rsid w:val="004757F2"/>
    <w:rsid w:val="004763FA"/>
    <w:rsid w:val="0047678C"/>
    <w:rsid w:val="00476A4A"/>
    <w:rsid w:val="00477090"/>
    <w:rsid w:val="004773BD"/>
    <w:rsid w:val="004775C4"/>
    <w:rsid w:val="00477DD0"/>
    <w:rsid w:val="00480059"/>
    <w:rsid w:val="00480C75"/>
    <w:rsid w:val="004824E4"/>
    <w:rsid w:val="004828D8"/>
    <w:rsid w:val="0048332C"/>
    <w:rsid w:val="00483C5A"/>
    <w:rsid w:val="0048421D"/>
    <w:rsid w:val="00484385"/>
    <w:rsid w:val="00484EE4"/>
    <w:rsid w:val="00485478"/>
    <w:rsid w:val="004854C3"/>
    <w:rsid w:val="00485C91"/>
    <w:rsid w:val="00487866"/>
    <w:rsid w:val="00487935"/>
    <w:rsid w:val="004908C8"/>
    <w:rsid w:val="0049253C"/>
    <w:rsid w:val="00492812"/>
    <w:rsid w:val="00492CE5"/>
    <w:rsid w:val="00493F34"/>
    <w:rsid w:val="004942D9"/>
    <w:rsid w:val="00494A7E"/>
    <w:rsid w:val="00494AA6"/>
    <w:rsid w:val="004A0178"/>
    <w:rsid w:val="004A0E80"/>
    <w:rsid w:val="004A101A"/>
    <w:rsid w:val="004A1785"/>
    <w:rsid w:val="004A1C30"/>
    <w:rsid w:val="004A33B1"/>
    <w:rsid w:val="004A3B03"/>
    <w:rsid w:val="004A7D8A"/>
    <w:rsid w:val="004A7DBB"/>
    <w:rsid w:val="004B1914"/>
    <w:rsid w:val="004B3CC9"/>
    <w:rsid w:val="004B5E3A"/>
    <w:rsid w:val="004B67AC"/>
    <w:rsid w:val="004B72DD"/>
    <w:rsid w:val="004C0385"/>
    <w:rsid w:val="004C1AA0"/>
    <w:rsid w:val="004C22CA"/>
    <w:rsid w:val="004C27FF"/>
    <w:rsid w:val="004C299E"/>
    <w:rsid w:val="004C3A16"/>
    <w:rsid w:val="004C3B52"/>
    <w:rsid w:val="004C526F"/>
    <w:rsid w:val="004C61C0"/>
    <w:rsid w:val="004D04CF"/>
    <w:rsid w:val="004D2674"/>
    <w:rsid w:val="004D2BE4"/>
    <w:rsid w:val="004D377B"/>
    <w:rsid w:val="004D5F60"/>
    <w:rsid w:val="004D690B"/>
    <w:rsid w:val="004D7105"/>
    <w:rsid w:val="004D7579"/>
    <w:rsid w:val="004E12C3"/>
    <w:rsid w:val="004E1B6F"/>
    <w:rsid w:val="004E2B18"/>
    <w:rsid w:val="004E357E"/>
    <w:rsid w:val="004E434C"/>
    <w:rsid w:val="004E4812"/>
    <w:rsid w:val="004E58DE"/>
    <w:rsid w:val="004E5A60"/>
    <w:rsid w:val="004E5CFC"/>
    <w:rsid w:val="004E7AF6"/>
    <w:rsid w:val="004F2540"/>
    <w:rsid w:val="004F2562"/>
    <w:rsid w:val="004F259C"/>
    <w:rsid w:val="004F30F8"/>
    <w:rsid w:val="004F343D"/>
    <w:rsid w:val="004F3C93"/>
    <w:rsid w:val="004F47A9"/>
    <w:rsid w:val="004F4B7D"/>
    <w:rsid w:val="004F4DF3"/>
    <w:rsid w:val="004F7B7A"/>
    <w:rsid w:val="004F7C87"/>
    <w:rsid w:val="004F7CF5"/>
    <w:rsid w:val="005019C1"/>
    <w:rsid w:val="0050244D"/>
    <w:rsid w:val="00503A13"/>
    <w:rsid w:val="00505716"/>
    <w:rsid w:val="00507052"/>
    <w:rsid w:val="005077E8"/>
    <w:rsid w:val="00507899"/>
    <w:rsid w:val="00507A3C"/>
    <w:rsid w:val="005102BC"/>
    <w:rsid w:val="00510655"/>
    <w:rsid w:val="00510908"/>
    <w:rsid w:val="00513AF8"/>
    <w:rsid w:val="00514B25"/>
    <w:rsid w:val="00515797"/>
    <w:rsid w:val="0051738C"/>
    <w:rsid w:val="00517B18"/>
    <w:rsid w:val="00517FBA"/>
    <w:rsid w:val="005206C4"/>
    <w:rsid w:val="0052103D"/>
    <w:rsid w:val="00521A04"/>
    <w:rsid w:val="00521C3C"/>
    <w:rsid w:val="0052216E"/>
    <w:rsid w:val="00523FF2"/>
    <w:rsid w:val="00524819"/>
    <w:rsid w:val="00524CD3"/>
    <w:rsid w:val="00526279"/>
    <w:rsid w:val="0052688B"/>
    <w:rsid w:val="005275BA"/>
    <w:rsid w:val="00530629"/>
    <w:rsid w:val="00530846"/>
    <w:rsid w:val="00530FDA"/>
    <w:rsid w:val="00531714"/>
    <w:rsid w:val="005321A5"/>
    <w:rsid w:val="00532A6E"/>
    <w:rsid w:val="00532CC8"/>
    <w:rsid w:val="005335B8"/>
    <w:rsid w:val="005336BF"/>
    <w:rsid w:val="0053466E"/>
    <w:rsid w:val="00534F1F"/>
    <w:rsid w:val="0053587D"/>
    <w:rsid w:val="00540560"/>
    <w:rsid w:val="0054070F"/>
    <w:rsid w:val="00540C51"/>
    <w:rsid w:val="005410A7"/>
    <w:rsid w:val="005421B7"/>
    <w:rsid w:val="00542F96"/>
    <w:rsid w:val="005439EB"/>
    <w:rsid w:val="00543A57"/>
    <w:rsid w:val="00545202"/>
    <w:rsid w:val="00546287"/>
    <w:rsid w:val="005463A9"/>
    <w:rsid w:val="00546B12"/>
    <w:rsid w:val="0055130A"/>
    <w:rsid w:val="0055157D"/>
    <w:rsid w:val="0055314B"/>
    <w:rsid w:val="00553F4B"/>
    <w:rsid w:val="0055409E"/>
    <w:rsid w:val="005560AE"/>
    <w:rsid w:val="005568C3"/>
    <w:rsid w:val="00557F02"/>
    <w:rsid w:val="005604C5"/>
    <w:rsid w:val="00560849"/>
    <w:rsid w:val="0056099C"/>
    <w:rsid w:val="00561EE8"/>
    <w:rsid w:val="00561F78"/>
    <w:rsid w:val="00562385"/>
    <w:rsid w:val="00563D4D"/>
    <w:rsid w:val="005648EA"/>
    <w:rsid w:val="0056551D"/>
    <w:rsid w:val="00566EBD"/>
    <w:rsid w:val="00567925"/>
    <w:rsid w:val="00570296"/>
    <w:rsid w:val="005707BC"/>
    <w:rsid w:val="00570885"/>
    <w:rsid w:val="005712A8"/>
    <w:rsid w:val="00571385"/>
    <w:rsid w:val="005718DE"/>
    <w:rsid w:val="00572297"/>
    <w:rsid w:val="00573559"/>
    <w:rsid w:val="00573DE9"/>
    <w:rsid w:val="005743DC"/>
    <w:rsid w:val="005751BF"/>
    <w:rsid w:val="005751C4"/>
    <w:rsid w:val="0057549C"/>
    <w:rsid w:val="00575794"/>
    <w:rsid w:val="00575856"/>
    <w:rsid w:val="005766EC"/>
    <w:rsid w:val="00577907"/>
    <w:rsid w:val="00577F37"/>
    <w:rsid w:val="00580097"/>
    <w:rsid w:val="00580119"/>
    <w:rsid w:val="0058144F"/>
    <w:rsid w:val="0058430F"/>
    <w:rsid w:val="005850EB"/>
    <w:rsid w:val="0058585E"/>
    <w:rsid w:val="0058601C"/>
    <w:rsid w:val="00586DFE"/>
    <w:rsid w:val="0058792C"/>
    <w:rsid w:val="00587FB8"/>
    <w:rsid w:val="00590D55"/>
    <w:rsid w:val="0059180F"/>
    <w:rsid w:val="00591BEC"/>
    <w:rsid w:val="005932D2"/>
    <w:rsid w:val="0059348D"/>
    <w:rsid w:val="005945F2"/>
    <w:rsid w:val="0059466C"/>
    <w:rsid w:val="005948F1"/>
    <w:rsid w:val="00594E23"/>
    <w:rsid w:val="005951F5"/>
    <w:rsid w:val="00596332"/>
    <w:rsid w:val="005A1E04"/>
    <w:rsid w:val="005A23FE"/>
    <w:rsid w:val="005A3A02"/>
    <w:rsid w:val="005A4054"/>
    <w:rsid w:val="005A596D"/>
    <w:rsid w:val="005A65F6"/>
    <w:rsid w:val="005A6919"/>
    <w:rsid w:val="005A7857"/>
    <w:rsid w:val="005A7B87"/>
    <w:rsid w:val="005A7ED2"/>
    <w:rsid w:val="005B13EE"/>
    <w:rsid w:val="005B19A7"/>
    <w:rsid w:val="005B2A8F"/>
    <w:rsid w:val="005B2BED"/>
    <w:rsid w:val="005B3EF2"/>
    <w:rsid w:val="005B5189"/>
    <w:rsid w:val="005B65C1"/>
    <w:rsid w:val="005B78FC"/>
    <w:rsid w:val="005B7FE0"/>
    <w:rsid w:val="005C060F"/>
    <w:rsid w:val="005C08C8"/>
    <w:rsid w:val="005C0939"/>
    <w:rsid w:val="005C2068"/>
    <w:rsid w:val="005C2515"/>
    <w:rsid w:val="005C2F20"/>
    <w:rsid w:val="005C3E55"/>
    <w:rsid w:val="005C518A"/>
    <w:rsid w:val="005C5832"/>
    <w:rsid w:val="005C5AB7"/>
    <w:rsid w:val="005C662B"/>
    <w:rsid w:val="005C6700"/>
    <w:rsid w:val="005C72D8"/>
    <w:rsid w:val="005D0AB1"/>
    <w:rsid w:val="005D22B1"/>
    <w:rsid w:val="005D3001"/>
    <w:rsid w:val="005D300A"/>
    <w:rsid w:val="005D3A08"/>
    <w:rsid w:val="005D6A8D"/>
    <w:rsid w:val="005D6BDA"/>
    <w:rsid w:val="005D6C10"/>
    <w:rsid w:val="005D6E6C"/>
    <w:rsid w:val="005D7005"/>
    <w:rsid w:val="005D7541"/>
    <w:rsid w:val="005D7F43"/>
    <w:rsid w:val="005E12C5"/>
    <w:rsid w:val="005E1C60"/>
    <w:rsid w:val="005E2380"/>
    <w:rsid w:val="005E2B65"/>
    <w:rsid w:val="005E50ED"/>
    <w:rsid w:val="005E6AA7"/>
    <w:rsid w:val="005E755F"/>
    <w:rsid w:val="005E7677"/>
    <w:rsid w:val="005F00D8"/>
    <w:rsid w:val="005F14E6"/>
    <w:rsid w:val="005F17A4"/>
    <w:rsid w:val="005F24D1"/>
    <w:rsid w:val="005F25E9"/>
    <w:rsid w:val="005F3C71"/>
    <w:rsid w:val="005F44E3"/>
    <w:rsid w:val="005F4CDD"/>
    <w:rsid w:val="005F6CA4"/>
    <w:rsid w:val="00601B47"/>
    <w:rsid w:val="0060281C"/>
    <w:rsid w:val="00602DCE"/>
    <w:rsid w:val="00603826"/>
    <w:rsid w:val="006043B9"/>
    <w:rsid w:val="00604CAE"/>
    <w:rsid w:val="00606223"/>
    <w:rsid w:val="00607365"/>
    <w:rsid w:val="0060772E"/>
    <w:rsid w:val="00612109"/>
    <w:rsid w:val="0061279B"/>
    <w:rsid w:val="00612CC7"/>
    <w:rsid w:val="00612FCD"/>
    <w:rsid w:val="006131B5"/>
    <w:rsid w:val="0061341B"/>
    <w:rsid w:val="0061471C"/>
    <w:rsid w:val="00614DA8"/>
    <w:rsid w:val="00616348"/>
    <w:rsid w:val="0061657C"/>
    <w:rsid w:val="00616718"/>
    <w:rsid w:val="00616A49"/>
    <w:rsid w:val="00620205"/>
    <w:rsid w:val="0062116E"/>
    <w:rsid w:val="00625804"/>
    <w:rsid w:val="00626308"/>
    <w:rsid w:val="0062754B"/>
    <w:rsid w:val="00630500"/>
    <w:rsid w:val="006305CF"/>
    <w:rsid w:val="0063074C"/>
    <w:rsid w:val="0063192D"/>
    <w:rsid w:val="00631E58"/>
    <w:rsid w:val="006321F9"/>
    <w:rsid w:val="006324F5"/>
    <w:rsid w:val="00633012"/>
    <w:rsid w:val="006333FD"/>
    <w:rsid w:val="00633615"/>
    <w:rsid w:val="00633C6C"/>
    <w:rsid w:val="00633D94"/>
    <w:rsid w:val="006340D8"/>
    <w:rsid w:val="006350AC"/>
    <w:rsid w:val="006350D2"/>
    <w:rsid w:val="00635712"/>
    <w:rsid w:val="00635DD8"/>
    <w:rsid w:val="00636F35"/>
    <w:rsid w:val="0063742A"/>
    <w:rsid w:val="00637A44"/>
    <w:rsid w:val="00642432"/>
    <w:rsid w:val="00642F3B"/>
    <w:rsid w:val="0064354D"/>
    <w:rsid w:val="00643E03"/>
    <w:rsid w:val="00644AF9"/>
    <w:rsid w:val="00645B3F"/>
    <w:rsid w:val="00645F51"/>
    <w:rsid w:val="0064778D"/>
    <w:rsid w:val="00650664"/>
    <w:rsid w:val="00651372"/>
    <w:rsid w:val="00652848"/>
    <w:rsid w:val="00652AB0"/>
    <w:rsid w:val="006533BA"/>
    <w:rsid w:val="006535E2"/>
    <w:rsid w:val="006540A0"/>
    <w:rsid w:val="00654B99"/>
    <w:rsid w:val="00654E62"/>
    <w:rsid w:val="00655357"/>
    <w:rsid w:val="00655AF8"/>
    <w:rsid w:val="00655BE3"/>
    <w:rsid w:val="00655EAC"/>
    <w:rsid w:val="00656557"/>
    <w:rsid w:val="0065667E"/>
    <w:rsid w:val="006567E5"/>
    <w:rsid w:val="00656DCB"/>
    <w:rsid w:val="00660F08"/>
    <w:rsid w:val="00661CDE"/>
    <w:rsid w:val="00662645"/>
    <w:rsid w:val="00662821"/>
    <w:rsid w:val="006636FD"/>
    <w:rsid w:val="0066395C"/>
    <w:rsid w:val="00663A7C"/>
    <w:rsid w:val="00663F70"/>
    <w:rsid w:val="006644C3"/>
    <w:rsid w:val="0066499F"/>
    <w:rsid w:val="006655B3"/>
    <w:rsid w:val="00666646"/>
    <w:rsid w:val="00666972"/>
    <w:rsid w:val="00667E69"/>
    <w:rsid w:val="00670612"/>
    <w:rsid w:val="00670F58"/>
    <w:rsid w:val="00671080"/>
    <w:rsid w:val="006717B3"/>
    <w:rsid w:val="00671D9D"/>
    <w:rsid w:val="0067337D"/>
    <w:rsid w:val="006752A9"/>
    <w:rsid w:val="00675740"/>
    <w:rsid w:val="00676246"/>
    <w:rsid w:val="00676B96"/>
    <w:rsid w:val="00681F23"/>
    <w:rsid w:val="0068258E"/>
    <w:rsid w:val="00682CA9"/>
    <w:rsid w:val="006834B2"/>
    <w:rsid w:val="00685D7C"/>
    <w:rsid w:val="00687AE6"/>
    <w:rsid w:val="00687D04"/>
    <w:rsid w:val="0069017B"/>
    <w:rsid w:val="00691683"/>
    <w:rsid w:val="006937E1"/>
    <w:rsid w:val="00693A20"/>
    <w:rsid w:val="00693B20"/>
    <w:rsid w:val="006945A3"/>
    <w:rsid w:val="006945E3"/>
    <w:rsid w:val="00695614"/>
    <w:rsid w:val="00695D3F"/>
    <w:rsid w:val="00696060"/>
    <w:rsid w:val="00696EAF"/>
    <w:rsid w:val="006A0728"/>
    <w:rsid w:val="006A0F84"/>
    <w:rsid w:val="006A17B8"/>
    <w:rsid w:val="006A1CF1"/>
    <w:rsid w:val="006A2089"/>
    <w:rsid w:val="006A3A0D"/>
    <w:rsid w:val="006A4A30"/>
    <w:rsid w:val="006A5F43"/>
    <w:rsid w:val="006B0C4F"/>
    <w:rsid w:val="006B1835"/>
    <w:rsid w:val="006B1899"/>
    <w:rsid w:val="006B1F75"/>
    <w:rsid w:val="006B3147"/>
    <w:rsid w:val="006B3360"/>
    <w:rsid w:val="006B403E"/>
    <w:rsid w:val="006B40A0"/>
    <w:rsid w:val="006B4694"/>
    <w:rsid w:val="006B4869"/>
    <w:rsid w:val="006B6E09"/>
    <w:rsid w:val="006C002A"/>
    <w:rsid w:val="006C0E50"/>
    <w:rsid w:val="006C2598"/>
    <w:rsid w:val="006C3156"/>
    <w:rsid w:val="006C31A1"/>
    <w:rsid w:val="006C35CC"/>
    <w:rsid w:val="006C43EA"/>
    <w:rsid w:val="006C54CF"/>
    <w:rsid w:val="006C5786"/>
    <w:rsid w:val="006C6286"/>
    <w:rsid w:val="006C66DF"/>
    <w:rsid w:val="006C723A"/>
    <w:rsid w:val="006C7EEC"/>
    <w:rsid w:val="006D1622"/>
    <w:rsid w:val="006D1D24"/>
    <w:rsid w:val="006D2E4D"/>
    <w:rsid w:val="006D51A4"/>
    <w:rsid w:val="006D5456"/>
    <w:rsid w:val="006D593E"/>
    <w:rsid w:val="006D6639"/>
    <w:rsid w:val="006D72C4"/>
    <w:rsid w:val="006E12B5"/>
    <w:rsid w:val="006E1B21"/>
    <w:rsid w:val="006E1F27"/>
    <w:rsid w:val="006E36DF"/>
    <w:rsid w:val="006E3AAC"/>
    <w:rsid w:val="006E3BB3"/>
    <w:rsid w:val="006E40BD"/>
    <w:rsid w:val="006E5D8C"/>
    <w:rsid w:val="006E68A1"/>
    <w:rsid w:val="006E6D6A"/>
    <w:rsid w:val="006E776F"/>
    <w:rsid w:val="006F02B4"/>
    <w:rsid w:val="006F08A5"/>
    <w:rsid w:val="006F156D"/>
    <w:rsid w:val="006F2279"/>
    <w:rsid w:val="006F2B2D"/>
    <w:rsid w:val="006F3714"/>
    <w:rsid w:val="006F391A"/>
    <w:rsid w:val="006F39CC"/>
    <w:rsid w:val="006F3C0C"/>
    <w:rsid w:val="006F5E62"/>
    <w:rsid w:val="006F6504"/>
    <w:rsid w:val="006F6971"/>
    <w:rsid w:val="006F7748"/>
    <w:rsid w:val="00701CFC"/>
    <w:rsid w:val="00702424"/>
    <w:rsid w:val="007028EA"/>
    <w:rsid w:val="007049DA"/>
    <w:rsid w:val="00704B8F"/>
    <w:rsid w:val="00705664"/>
    <w:rsid w:val="007067E6"/>
    <w:rsid w:val="00707F22"/>
    <w:rsid w:val="00712FE6"/>
    <w:rsid w:val="00712FE9"/>
    <w:rsid w:val="0071300C"/>
    <w:rsid w:val="00713C8C"/>
    <w:rsid w:val="00714309"/>
    <w:rsid w:val="0071680B"/>
    <w:rsid w:val="00720552"/>
    <w:rsid w:val="00722BB3"/>
    <w:rsid w:val="00723953"/>
    <w:rsid w:val="00723967"/>
    <w:rsid w:val="0072415B"/>
    <w:rsid w:val="00724588"/>
    <w:rsid w:val="00724968"/>
    <w:rsid w:val="00725B1E"/>
    <w:rsid w:val="00726956"/>
    <w:rsid w:val="00727732"/>
    <w:rsid w:val="007315DF"/>
    <w:rsid w:val="007320C9"/>
    <w:rsid w:val="007326E6"/>
    <w:rsid w:val="007339CC"/>
    <w:rsid w:val="00733F10"/>
    <w:rsid w:val="0073408F"/>
    <w:rsid w:val="00734218"/>
    <w:rsid w:val="00734837"/>
    <w:rsid w:val="00734D6F"/>
    <w:rsid w:val="007366C6"/>
    <w:rsid w:val="007374D1"/>
    <w:rsid w:val="00737B6B"/>
    <w:rsid w:val="007400BB"/>
    <w:rsid w:val="00740856"/>
    <w:rsid w:val="0074133B"/>
    <w:rsid w:val="007416FE"/>
    <w:rsid w:val="007419F9"/>
    <w:rsid w:val="0074230F"/>
    <w:rsid w:val="007424A9"/>
    <w:rsid w:val="007426E1"/>
    <w:rsid w:val="00742BFF"/>
    <w:rsid w:val="007433DA"/>
    <w:rsid w:val="00744125"/>
    <w:rsid w:val="007444EF"/>
    <w:rsid w:val="00744AC1"/>
    <w:rsid w:val="00744E10"/>
    <w:rsid w:val="00745AFA"/>
    <w:rsid w:val="0074769C"/>
    <w:rsid w:val="007507D4"/>
    <w:rsid w:val="00750B9E"/>
    <w:rsid w:val="00750D9F"/>
    <w:rsid w:val="007528E6"/>
    <w:rsid w:val="0075307C"/>
    <w:rsid w:val="00753179"/>
    <w:rsid w:val="007534D6"/>
    <w:rsid w:val="00753C3D"/>
    <w:rsid w:val="00753D93"/>
    <w:rsid w:val="00755476"/>
    <w:rsid w:val="0075586F"/>
    <w:rsid w:val="0075674E"/>
    <w:rsid w:val="007574D8"/>
    <w:rsid w:val="00757F11"/>
    <w:rsid w:val="007605F5"/>
    <w:rsid w:val="00762D5C"/>
    <w:rsid w:val="0076437C"/>
    <w:rsid w:val="007646A5"/>
    <w:rsid w:val="0076475F"/>
    <w:rsid w:val="00764BC2"/>
    <w:rsid w:val="00765252"/>
    <w:rsid w:val="00765269"/>
    <w:rsid w:val="00766A31"/>
    <w:rsid w:val="0076794B"/>
    <w:rsid w:val="00770DE3"/>
    <w:rsid w:val="00770E30"/>
    <w:rsid w:val="00772346"/>
    <w:rsid w:val="007729C9"/>
    <w:rsid w:val="007739E2"/>
    <w:rsid w:val="00774583"/>
    <w:rsid w:val="007745F2"/>
    <w:rsid w:val="00774863"/>
    <w:rsid w:val="00776957"/>
    <w:rsid w:val="00776B89"/>
    <w:rsid w:val="00781C73"/>
    <w:rsid w:val="00782E34"/>
    <w:rsid w:val="00783922"/>
    <w:rsid w:val="00783D7E"/>
    <w:rsid w:val="00784F99"/>
    <w:rsid w:val="00785B2C"/>
    <w:rsid w:val="007861F3"/>
    <w:rsid w:val="007868C7"/>
    <w:rsid w:val="007902C9"/>
    <w:rsid w:val="00791FFD"/>
    <w:rsid w:val="007921CB"/>
    <w:rsid w:val="00792D67"/>
    <w:rsid w:val="00792F91"/>
    <w:rsid w:val="0079320F"/>
    <w:rsid w:val="00793589"/>
    <w:rsid w:val="00793636"/>
    <w:rsid w:val="00793B80"/>
    <w:rsid w:val="00794A05"/>
    <w:rsid w:val="007974AB"/>
    <w:rsid w:val="00797715"/>
    <w:rsid w:val="00797AF1"/>
    <w:rsid w:val="007A0170"/>
    <w:rsid w:val="007A0D65"/>
    <w:rsid w:val="007A43D5"/>
    <w:rsid w:val="007A5B69"/>
    <w:rsid w:val="007A6A40"/>
    <w:rsid w:val="007A6BD7"/>
    <w:rsid w:val="007A7408"/>
    <w:rsid w:val="007A7C30"/>
    <w:rsid w:val="007A7F36"/>
    <w:rsid w:val="007B07A2"/>
    <w:rsid w:val="007B11CE"/>
    <w:rsid w:val="007B334E"/>
    <w:rsid w:val="007B3E2B"/>
    <w:rsid w:val="007B40B8"/>
    <w:rsid w:val="007B42F3"/>
    <w:rsid w:val="007B4BA4"/>
    <w:rsid w:val="007B6E9B"/>
    <w:rsid w:val="007B760C"/>
    <w:rsid w:val="007B7D29"/>
    <w:rsid w:val="007C03FC"/>
    <w:rsid w:val="007C12B9"/>
    <w:rsid w:val="007C5F98"/>
    <w:rsid w:val="007C681A"/>
    <w:rsid w:val="007C6CB4"/>
    <w:rsid w:val="007C6D85"/>
    <w:rsid w:val="007D0300"/>
    <w:rsid w:val="007D03D6"/>
    <w:rsid w:val="007D057C"/>
    <w:rsid w:val="007D05E8"/>
    <w:rsid w:val="007D1608"/>
    <w:rsid w:val="007D1BC0"/>
    <w:rsid w:val="007D1C9E"/>
    <w:rsid w:val="007D2139"/>
    <w:rsid w:val="007D338F"/>
    <w:rsid w:val="007D4D92"/>
    <w:rsid w:val="007D59AD"/>
    <w:rsid w:val="007D692A"/>
    <w:rsid w:val="007D6D7F"/>
    <w:rsid w:val="007D7888"/>
    <w:rsid w:val="007D7B93"/>
    <w:rsid w:val="007E09D9"/>
    <w:rsid w:val="007E290C"/>
    <w:rsid w:val="007E2C8F"/>
    <w:rsid w:val="007E2DD8"/>
    <w:rsid w:val="007E30C1"/>
    <w:rsid w:val="007E4BAA"/>
    <w:rsid w:val="007E5473"/>
    <w:rsid w:val="007E7B03"/>
    <w:rsid w:val="007F02D6"/>
    <w:rsid w:val="007F04E5"/>
    <w:rsid w:val="007F216F"/>
    <w:rsid w:val="007F274D"/>
    <w:rsid w:val="007F4149"/>
    <w:rsid w:val="007F44B3"/>
    <w:rsid w:val="007F4E27"/>
    <w:rsid w:val="007F52DB"/>
    <w:rsid w:val="007F53D3"/>
    <w:rsid w:val="007F5880"/>
    <w:rsid w:val="007F5999"/>
    <w:rsid w:val="007F7E8E"/>
    <w:rsid w:val="008009DF"/>
    <w:rsid w:val="00801063"/>
    <w:rsid w:val="0080147C"/>
    <w:rsid w:val="00801F17"/>
    <w:rsid w:val="008033A7"/>
    <w:rsid w:val="0080343A"/>
    <w:rsid w:val="00803B25"/>
    <w:rsid w:val="00806270"/>
    <w:rsid w:val="00806599"/>
    <w:rsid w:val="00806C25"/>
    <w:rsid w:val="0080711B"/>
    <w:rsid w:val="00807CC6"/>
    <w:rsid w:val="0081032C"/>
    <w:rsid w:val="008108DC"/>
    <w:rsid w:val="008112E5"/>
    <w:rsid w:val="00811AD6"/>
    <w:rsid w:val="00813C22"/>
    <w:rsid w:val="00814DCD"/>
    <w:rsid w:val="008159A1"/>
    <w:rsid w:val="008169FB"/>
    <w:rsid w:val="00816FD0"/>
    <w:rsid w:val="008172E1"/>
    <w:rsid w:val="00820A2D"/>
    <w:rsid w:val="00821B4B"/>
    <w:rsid w:val="00821C24"/>
    <w:rsid w:val="008229EF"/>
    <w:rsid w:val="0082300A"/>
    <w:rsid w:val="00825865"/>
    <w:rsid w:val="00825992"/>
    <w:rsid w:val="00826653"/>
    <w:rsid w:val="00826E75"/>
    <w:rsid w:val="00826FA0"/>
    <w:rsid w:val="008279C4"/>
    <w:rsid w:val="00831301"/>
    <w:rsid w:val="0083197A"/>
    <w:rsid w:val="00832C21"/>
    <w:rsid w:val="00833422"/>
    <w:rsid w:val="0083371E"/>
    <w:rsid w:val="00834067"/>
    <w:rsid w:val="00834829"/>
    <w:rsid w:val="00835E08"/>
    <w:rsid w:val="0083759C"/>
    <w:rsid w:val="00841FB7"/>
    <w:rsid w:val="00842696"/>
    <w:rsid w:val="0084288F"/>
    <w:rsid w:val="008432A8"/>
    <w:rsid w:val="008438AF"/>
    <w:rsid w:val="00844B6C"/>
    <w:rsid w:val="008458B0"/>
    <w:rsid w:val="00845C58"/>
    <w:rsid w:val="008465A8"/>
    <w:rsid w:val="0084664A"/>
    <w:rsid w:val="00846AD8"/>
    <w:rsid w:val="00850F62"/>
    <w:rsid w:val="008519FD"/>
    <w:rsid w:val="00851EDF"/>
    <w:rsid w:val="00853551"/>
    <w:rsid w:val="00853E8B"/>
    <w:rsid w:val="00854B47"/>
    <w:rsid w:val="00855355"/>
    <w:rsid w:val="00856863"/>
    <w:rsid w:val="00860C93"/>
    <w:rsid w:val="00861892"/>
    <w:rsid w:val="00861EE2"/>
    <w:rsid w:val="00862334"/>
    <w:rsid w:val="0086306E"/>
    <w:rsid w:val="00863C8B"/>
    <w:rsid w:val="008641DD"/>
    <w:rsid w:val="00865653"/>
    <w:rsid w:val="00865987"/>
    <w:rsid w:val="00865AB7"/>
    <w:rsid w:val="00865AF5"/>
    <w:rsid w:val="00865B66"/>
    <w:rsid w:val="00866184"/>
    <w:rsid w:val="0086645C"/>
    <w:rsid w:val="008668AD"/>
    <w:rsid w:val="00866E2C"/>
    <w:rsid w:val="00867592"/>
    <w:rsid w:val="008700FB"/>
    <w:rsid w:val="00871FC3"/>
    <w:rsid w:val="008737A2"/>
    <w:rsid w:val="00874373"/>
    <w:rsid w:val="0087506A"/>
    <w:rsid w:val="00875CC8"/>
    <w:rsid w:val="00876291"/>
    <w:rsid w:val="008772DA"/>
    <w:rsid w:val="00877980"/>
    <w:rsid w:val="00877DFE"/>
    <w:rsid w:val="0088019B"/>
    <w:rsid w:val="00880BFB"/>
    <w:rsid w:val="00880EE7"/>
    <w:rsid w:val="00882186"/>
    <w:rsid w:val="00885AB4"/>
    <w:rsid w:val="00886725"/>
    <w:rsid w:val="00886B43"/>
    <w:rsid w:val="00887410"/>
    <w:rsid w:val="008879C2"/>
    <w:rsid w:val="00887B74"/>
    <w:rsid w:val="00890DB3"/>
    <w:rsid w:val="0089102E"/>
    <w:rsid w:val="00892326"/>
    <w:rsid w:val="00893102"/>
    <w:rsid w:val="00893810"/>
    <w:rsid w:val="00893E8D"/>
    <w:rsid w:val="008940DE"/>
    <w:rsid w:val="008947BE"/>
    <w:rsid w:val="0089522B"/>
    <w:rsid w:val="00895D0D"/>
    <w:rsid w:val="008967A5"/>
    <w:rsid w:val="00896A8E"/>
    <w:rsid w:val="00897B73"/>
    <w:rsid w:val="008A036A"/>
    <w:rsid w:val="008A0982"/>
    <w:rsid w:val="008A3C90"/>
    <w:rsid w:val="008A44D8"/>
    <w:rsid w:val="008A4684"/>
    <w:rsid w:val="008A4DD1"/>
    <w:rsid w:val="008A4DE9"/>
    <w:rsid w:val="008A6869"/>
    <w:rsid w:val="008A75AA"/>
    <w:rsid w:val="008B150C"/>
    <w:rsid w:val="008B1D2B"/>
    <w:rsid w:val="008B1D3D"/>
    <w:rsid w:val="008B27C3"/>
    <w:rsid w:val="008B3CD4"/>
    <w:rsid w:val="008B5170"/>
    <w:rsid w:val="008B62BA"/>
    <w:rsid w:val="008B6A52"/>
    <w:rsid w:val="008B74A4"/>
    <w:rsid w:val="008C0861"/>
    <w:rsid w:val="008C0E40"/>
    <w:rsid w:val="008C12F2"/>
    <w:rsid w:val="008C1CAF"/>
    <w:rsid w:val="008C211D"/>
    <w:rsid w:val="008C29B1"/>
    <w:rsid w:val="008C4336"/>
    <w:rsid w:val="008C6031"/>
    <w:rsid w:val="008C7F3F"/>
    <w:rsid w:val="008D11FA"/>
    <w:rsid w:val="008D2985"/>
    <w:rsid w:val="008D323B"/>
    <w:rsid w:val="008D3A96"/>
    <w:rsid w:val="008D40E6"/>
    <w:rsid w:val="008D5C79"/>
    <w:rsid w:val="008D5CE4"/>
    <w:rsid w:val="008D64F6"/>
    <w:rsid w:val="008D6D5B"/>
    <w:rsid w:val="008D6F15"/>
    <w:rsid w:val="008E023C"/>
    <w:rsid w:val="008E0578"/>
    <w:rsid w:val="008E06D6"/>
    <w:rsid w:val="008E0C6B"/>
    <w:rsid w:val="008E0E30"/>
    <w:rsid w:val="008E0ED0"/>
    <w:rsid w:val="008E2376"/>
    <w:rsid w:val="008E2BED"/>
    <w:rsid w:val="008E39BB"/>
    <w:rsid w:val="008E3C38"/>
    <w:rsid w:val="008E46A0"/>
    <w:rsid w:val="008E4D9B"/>
    <w:rsid w:val="008E4EE2"/>
    <w:rsid w:val="008E662A"/>
    <w:rsid w:val="008F1A0F"/>
    <w:rsid w:val="008F1ED0"/>
    <w:rsid w:val="008F2A45"/>
    <w:rsid w:val="008F2ABE"/>
    <w:rsid w:val="008F3A92"/>
    <w:rsid w:val="008F3BD9"/>
    <w:rsid w:val="008F44DE"/>
    <w:rsid w:val="008F4773"/>
    <w:rsid w:val="008F5038"/>
    <w:rsid w:val="008F52BF"/>
    <w:rsid w:val="008F74EB"/>
    <w:rsid w:val="008F7AA8"/>
    <w:rsid w:val="008F7EE4"/>
    <w:rsid w:val="00900A62"/>
    <w:rsid w:val="00900CE5"/>
    <w:rsid w:val="00900F85"/>
    <w:rsid w:val="0090118D"/>
    <w:rsid w:val="00902146"/>
    <w:rsid w:val="009044CF"/>
    <w:rsid w:val="00905770"/>
    <w:rsid w:val="00905D29"/>
    <w:rsid w:val="00906A24"/>
    <w:rsid w:val="00906E3E"/>
    <w:rsid w:val="00907DF7"/>
    <w:rsid w:val="00907FA3"/>
    <w:rsid w:val="00911112"/>
    <w:rsid w:val="0091225F"/>
    <w:rsid w:val="00915F73"/>
    <w:rsid w:val="00917FF4"/>
    <w:rsid w:val="009201F1"/>
    <w:rsid w:val="00921173"/>
    <w:rsid w:val="00921478"/>
    <w:rsid w:val="00922AF4"/>
    <w:rsid w:val="00923A13"/>
    <w:rsid w:val="0092457E"/>
    <w:rsid w:val="00925017"/>
    <w:rsid w:val="0092720E"/>
    <w:rsid w:val="00927EB3"/>
    <w:rsid w:val="009310BF"/>
    <w:rsid w:val="009327E8"/>
    <w:rsid w:val="00933B56"/>
    <w:rsid w:val="00933EB8"/>
    <w:rsid w:val="00934AB3"/>
    <w:rsid w:val="009350A9"/>
    <w:rsid w:val="00935F84"/>
    <w:rsid w:val="00937C7D"/>
    <w:rsid w:val="00937E38"/>
    <w:rsid w:val="0094115B"/>
    <w:rsid w:val="0094207A"/>
    <w:rsid w:val="009433A3"/>
    <w:rsid w:val="009439EA"/>
    <w:rsid w:val="00944133"/>
    <w:rsid w:val="00944540"/>
    <w:rsid w:val="0094472C"/>
    <w:rsid w:val="00944C47"/>
    <w:rsid w:val="009454A4"/>
    <w:rsid w:val="0094568E"/>
    <w:rsid w:val="009457E3"/>
    <w:rsid w:val="00946F9A"/>
    <w:rsid w:val="00950EB2"/>
    <w:rsid w:val="0095152B"/>
    <w:rsid w:val="00951775"/>
    <w:rsid w:val="00951AD7"/>
    <w:rsid w:val="00953199"/>
    <w:rsid w:val="0095357D"/>
    <w:rsid w:val="009538E0"/>
    <w:rsid w:val="00953C4D"/>
    <w:rsid w:val="009547FB"/>
    <w:rsid w:val="009555A9"/>
    <w:rsid w:val="00955F0B"/>
    <w:rsid w:val="00956161"/>
    <w:rsid w:val="00956F32"/>
    <w:rsid w:val="00957432"/>
    <w:rsid w:val="00957477"/>
    <w:rsid w:val="00957A48"/>
    <w:rsid w:val="0096003F"/>
    <w:rsid w:val="00960F7C"/>
    <w:rsid w:val="00962424"/>
    <w:rsid w:val="00962488"/>
    <w:rsid w:val="00963902"/>
    <w:rsid w:val="00963B1D"/>
    <w:rsid w:val="00965040"/>
    <w:rsid w:val="00965385"/>
    <w:rsid w:val="00965DFD"/>
    <w:rsid w:val="00966A80"/>
    <w:rsid w:val="009672B1"/>
    <w:rsid w:val="009673B0"/>
    <w:rsid w:val="00971232"/>
    <w:rsid w:val="00971ECF"/>
    <w:rsid w:val="00971EFB"/>
    <w:rsid w:val="00973B30"/>
    <w:rsid w:val="00974368"/>
    <w:rsid w:val="00974E2B"/>
    <w:rsid w:val="00975172"/>
    <w:rsid w:val="00975D64"/>
    <w:rsid w:val="00976355"/>
    <w:rsid w:val="009765E1"/>
    <w:rsid w:val="00976F55"/>
    <w:rsid w:val="009771F9"/>
    <w:rsid w:val="00977F10"/>
    <w:rsid w:val="00980159"/>
    <w:rsid w:val="00980410"/>
    <w:rsid w:val="00980487"/>
    <w:rsid w:val="00980FD7"/>
    <w:rsid w:val="009819AE"/>
    <w:rsid w:val="00981D73"/>
    <w:rsid w:val="009839B0"/>
    <w:rsid w:val="0098451A"/>
    <w:rsid w:val="00984A02"/>
    <w:rsid w:val="00986E64"/>
    <w:rsid w:val="00987403"/>
    <w:rsid w:val="00990409"/>
    <w:rsid w:val="009909A3"/>
    <w:rsid w:val="00990B1D"/>
    <w:rsid w:val="009916AB"/>
    <w:rsid w:val="00991733"/>
    <w:rsid w:val="00991D10"/>
    <w:rsid w:val="00991E55"/>
    <w:rsid w:val="00992344"/>
    <w:rsid w:val="009923F2"/>
    <w:rsid w:val="00993DEC"/>
    <w:rsid w:val="009948C9"/>
    <w:rsid w:val="00994A4C"/>
    <w:rsid w:val="00994D5E"/>
    <w:rsid w:val="00995C66"/>
    <w:rsid w:val="00995C7E"/>
    <w:rsid w:val="00996E7B"/>
    <w:rsid w:val="00997063"/>
    <w:rsid w:val="009975FF"/>
    <w:rsid w:val="00997C5A"/>
    <w:rsid w:val="009A08BD"/>
    <w:rsid w:val="009A0C18"/>
    <w:rsid w:val="009A0CDD"/>
    <w:rsid w:val="009A234C"/>
    <w:rsid w:val="009A295A"/>
    <w:rsid w:val="009A2C40"/>
    <w:rsid w:val="009A3572"/>
    <w:rsid w:val="009A4EA3"/>
    <w:rsid w:val="009A4FE4"/>
    <w:rsid w:val="009A6912"/>
    <w:rsid w:val="009A6F69"/>
    <w:rsid w:val="009A7364"/>
    <w:rsid w:val="009A7DE9"/>
    <w:rsid w:val="009B0145"/>
    <w:rsid w:val="009B0DD2"/>
    <w:rsid w:val="009B0FA3"/>
    <w:rsid w:val="009B18EE"/>
    <w:rsid w:val="009B24C1"/>
    <w:rsid w:val="009B29A0"/>
    <w:rsid w:val="009B31AB"/>
    <w:rsid w:val="009B3A1C"/>
    <w:rsid w:val="009B3BC3"/>
    <w:rsid w:val="009B4462"/>
    <w:rsid w:val="009B5297"/>
    <w:rsid w:val="009B5EBD"/>
    <w:rsid w:val="009B6424"/>
    <w:rsid w:val="009B6B91"/>
    <w:rsid w:val="009B7FBA"/>
    <w:rsid w:val="009C002E"/>
    <w:rsid w:val="009C05E8"/>
    <w:rsid w:val="009C1497"/>
    <w:rsid w:val="009C4D21"/>
    <w:rsid w:val="009C4F01"/>
    <w:rsid w:val="009C69A0"/>
    <w:rsid w:val="009D0595"/>
    <w:rsid w:val="009D078B"/>
    <w:rsid w:val="009D08EA"/>
    <w:rsid w:val="009D1121"/>
    <w:rsid w:val="009D1325"/>
    <w:rsid w:val="009D2E1E"/>
    <w:rsid w:val="009D33F6"/>
    <w:rsid w:val="009D4DFE"/>
    <w:rsid w:val="009D5B50"/>
    <w:rsid w:val="009D7908"/>
    <w:rsid w:val="009D7CC5"/>
    <w:rsid w:val="009E330E"/>
    <w:rsid w:val="009E4EE0"/>
    <w:rsid w:val="009E5359"/>
    <w:rsid w:val="009E5830"/>
    <w:rsid w:val="009E58B2"/>
    <w:rsid w:val="009E5C95"/>
    <w:rsid w:val="009E5ED1"/>
    <w:rsid w:val="009E6041"/>
    <w:rsid w:val="009E7C7F"/>
    <w:rsid w:val="009F0AD4"/>
    <w:rsid w:val="009F18F0"/>
    <w:rsid w:val="009F19D9"/>
    <w:rsid w:val="009F309B"/>
    <w:rsid w:val="009F347C"/>
    <w:rsid w:val="009F3CBB"/>
    <w:rsid w:val="009F3DC6"/>
    <w:rsid w:val="009F3F12"/>
    <w:rsid w:val="009F4172"/>
    <w:rsid w:val="009F4F04"/>
    <w:rsid w:val="009F4FF7"/>
    <w:rsid w:val="009F5D54"/>
    <w:rsid w:val="009F68C2"/>
    <w:rsid w:val="009F6A31"/>
    <w:rsid w:val="009F70C3"/>
    <w:rsid w:val="009F74CE"/>
    <w:rsid w:val="009F7695"/>
    <w:rsid w:val="00A00F31"/>
    <w:rsid w:val="00A021D2"/>
    <w:rsid w:val="00A033C3"/>
    <w:rsid w:val="00A0378C"/>
    <w:rsid w:val="00A03CB6"/>
    <w:rsid w:val="00A05470"/>
    <w:rsid w:val="00A103A0"/>
    <w:rsid w:val="00A107F4"/>
    <w:rsid w:val="00A110B4"/>
    <w:rsid w:val="00A11C81"/>
    <w:rsid w:val="00A11D12"/>
    <w:rsid w:val="00A11F46"/>
    <w:rsid w:val="00A13F9F"/>
    <w:rsid w:val="00A1418D"/>
    <w:rsid w:val="00A14249"/>
    <w:rsid w:val="00A16B82"/>
    <w:rsid w:val="00A16BB2"/>
    <w:rsid w:val="00A17498"/>
    <w:rsid w:val="00A20186"/>
    <w:rsid w:val="00A20D54"/>
    <w:rsid w:val="00A20D82"/>
    <w:rsid w:val="00A222ED"/>
    <w:rsid w:val="00A22747"/>
    <w:rsid w:val="00A22B33"/>
    <w:rsid w:val="00A23201"/>
    <w:rsid w:val="00A23FB0"/>
    <w:rsid w:val="00A244F5"/>
    <w:rsid w:val="00A24C86"/>
    <w:rsid w:val="00A25A58"/>
    <w:rsid w:val="00A26149"/>
    <w:rsid w:val="00A2632D"/>
    <w:rsid w:val="00A26466"/>
    <w:rsid w:val="00A30779"/>
    <w:rsid w:val="00A31B87"/>
    <w:rsid w:val="00A3272F"/>
    <w:rsid w:val="00A32740"/>
    <w:rsid w:val="00A32A67"/>
    <w:rsid w:val="00A340E9"/>
    <w:rsid w:val="00A349D1"/>
    <w:rsid w:val="00A35541"/>
    <w:rsid w:val="00A36011"/>
    <w:rsid w:val="00A36C0B"/>
    <w:rsid w:val="00A37E2F"/>
    <w:rsid w:val="00A41BA6"/>
    <w:rsid w:val="00A43032"/>
    <w:rsid w:val="00A43AFB"/>
    <w:rsid w:val="00A44D0B"/>
    <w:rsid w:val="00A46EC3"/>
    <w:rsid w:val="00A47F96"/>
    <w:rsid w:val="00A5074E"/>
    <w:rsid w:val="00A51613"/>
    <w:rsid w:val="00A53256"/>
    <w:rsid w:val="00A535F6"/>
    <w:rsid w:val="00A542AA"/>
    <w:rsid w:val="00A54A30"/>
    <w:rsid w:val="00A5508C"/>
    <w:rsid w:val="00A5518B"/>
    <w:rsid w:val="00A60ED8"/>
    <w:rsid w:val="00A60FDF"/>
    <w:rsid w:val="00A61846"/>
    <w:rsid w:val="00A62A0D"/>
    <w:rsid w:val="00A6413E"/>
    <w:rsid w:val="00A65D8A"/>
    <w:rsid w:val="00A7302D"/>
    <w:rsid w:val="00A730B1"/>
    <w:rsid w:val="00A73AD8"/>
    <w:rsid w:val="00A73AE3"/>
    <w:rsid w:val="00A75228"/>
    <w:rsid w:val="00A7561F"/>
    <w:rsid w:val="00A77185"/>
    <w:rsid w:val="00A80249"/>
    <w:rsid w:val="00A81861"/>
    <w:rsid w:val="00A81BE2"/>
    <w:rsid w:val="00A81C7D"/>
    <w:rsid w:val="00A82733"/>
    <w:rsid w:val="00A8433B"/>
    <w:rsid w:val="00A84550"/>
    <w:rsid w:val="00A85757"/>
    <w:rsid w:val="00A85C21"/>
    <w:rsid w:val="00A85F3D"/>
    <w:rsid w:val="00A86A90"/>
    <w:rsid w:val="00A86E04"/>
    <w:rsid w:val="00A87C59"/>
    <w:rsid w:val="00A87DA1"/>
    <w:rsid w:val="00A90E7A"/>
    <w:rsid w:val="00A90F8B"/>
    <w:rsid w:val="00A91320"/>
    <w:rsid w:val="00A91D20"/>
    <w:rsid w:val="00A92B8A"/>
    <w:rsid w:val="00A93772"/>
    <w:rsid w:val="00A94AE3"/>
    <w:rsid w:val="00A9503D"/>
    <w:rsid w:val="00A9564A"/>
    <w:rsid w:val="00A967A5"/>
    <w:rsid w:val="00A96869"/>
    <w:rsid w:val="00A96BEE"/>
    <w:rsid w:val="00A977B0"/>
    <w:rsid w:val="00AA0738"/>
    <w:rsid w:val="00AA1FEE"/>
    <w:rsid w:val="00AA292E"/>
    <w:rsid w:val="00AA2C09"/>
    <w:rsid w:val="00AA4E9A"/>
    <w:rsid w:val="00AA5D0E"/>
    <w:rsid w:val="00AA6026"/>
    <w:rsid w:val="00AA643B"/>
    <w:rsid w:val="00AA6AC7"/>
    <w:rsid w:val="00AA7004"/>
    <w:rsid w:val="00AA74F5"/>
    <w:rsid w:val="00AA7C9E"/>
    <w:rsid w:val="00AA7E0B"/>
    <w:rsid w:val="00AB0A10"/>
    <w:rsid w:val="00AB0C9D"/>
    <w:rsid w:val="00AB0E79"/>
    <w:rsid w:val="00AB2AA7"/>
    <w:rsid w:val="00AB3909"/>
    <w:rsid w:val="00AB3976"/>
    <w:rsid w:val="00AB3A0F"/>
    <w:rsid w:val="00AB4DB3"/>
    <w:rsid w:val="00AB5149"/>
    <w:rsid w:val="00AB587B"/>
    <w:rsid w:val="00AB6BC0"/>
    <w:rsid w:val="00AB7A9F"/>
    <w:rsid w:val="00AB7F04"/>
    <w:rsid w:val="00AC0401"/>
    <w:rsid w:val="00AC04CB"/>
    <w:rsid w:val="00AC04D9"/>
    <w:rsid w:val="00AC05E1"/>
    <w:rsid w:val="00AC0667"/>
    <w:rsid w:val="00AC0755"/>
    <w:rsid w:val="00AC0900"/>
    <w:rsid w:val="00AC0CA3"/>
    <w:rsid w:val="00AC1C99"/>
    <w:rsid w:val="00AC291C"/>
    <w:rsid w:val="00AC342B"/>
    <w:rsid w:val="00AC3CD1"/>
    <w:rsid w:val="00AC4150"/>
    <w:rsid w:val="00AC4864"/>
    <w:rsid w:val="00AC4C88"/>
    <w:rsid w:val="00AC4E23"/>
    <w:rsid w:val="00AC5115"/>
    <w:rsid w:val="00AC5AB4"/>
    <w:rsid w:val="00AC621D"/>
    <w:rsid w:val="00AD083F"/>
    <w:rsid w:val="00AD10EB"/>
    <w:rsid w:val="00AD2812"/>
    <w:rsid w:val="00AD2D05"/>
    <w:rsid w:val="00AD2D07"/>
    <w:rsid w:val="00AD471A"/>
    <w:rsid w:val="00AD489C"/>
    <w:rsid w:val="00AD581F"/>
    <w:rsid w:val="00AD7D7A"/>
    <w:rsid w:val="00AE1B2E"/>
    <w:rsid w:val="00AE1F94"/>
    <w:rsid w:val="00AE3367"/>
    <w:rsid w:val="00AE36AD"/>
    <w:rsid w:val="00AE3DBE"/>
    <w:rsid w:val="00AE447B"/>
    <w:rsid w:val="00AE4E21"/>
    <w:rsid w:val="00AE568E"/>
    <w:rsid w:val="00AF1F3B"/>
    <w:rsid w:val="00AF2607"/>
    <w:rsid w:val="00AF3EDB"/>
    <w:rsid w:val="00AF3F7D"/>
    <w:rsid w:val="00AF4C6E"/>
    <w:rsid w:val="00AF4DE2"/>
    <w:rsid w:val="00AF5AF3"/>
    <w:rsid w:val="00AF5E7A"/>
    <w:rsid w:val="00AF7F29"/>
    <w:rsid w:val="00B01868"/>
    <w:rsid w:val="00B01BBD"/>
    <w:rsid w:val="00B03187"/>
    <w:rsid w:val="00B03B2F"/>
    <w:rsid w:val="00B0426D"/>
    <w:rsid w:val="00B05B28"/>
    <w:rsid w:val="00B05E35"/>
    <w:rsid w:val="00B07383"/>
    <w:rsid w:val="00B07E5D"/>
    <w:rsid w:val="00B10910"/>
    <w:rsid w:val="00B11184"/>
    <w:rsid w:val="00B1348E"/>
    <w:rsid w:val="00B13727"/>
    <w:rsid w:val="00B15318"/>
    <w:rsid w:val="00B15DD7"/>
    <w:rsid w:val="00B16791"/>
    <w:rsid w:val="00B17C63"/>
    <w:rsid w:val="00B21C84"/>
    <w:rsid w:val="00B21ED6"/>
    <w:rsid w:val="00B22805"/>
    <w:rsid w:val="00B22A44"/>
    <w:rsid w:val="00B251C8"/>
    <w:rsid w:val="00B25273"/>
    <w:rsid w:val="00B25594"/>
    <w:rsid w:val="00B25A55"/>
    <w:rsid w:val="00B26750"/>
    <w:rsid w:val="00B267DB"/>
    <w:rsid w:val="00B271A7"/>
    <w:rsid w:val="00B274D3"/>
    <w:rsid w:val="00B30297"/>
    <w:rsid w:val="00B31085"/>
    <w:rsid w:val="00B33F08"/>
    <w:rsid w:val="00B3481E"/>
    <w:rsid w:val="00B372AA"/>
    <w:rsid w:val="00B40704"/>
    <w:rsid w:val="00B41416"/>
    <w:rsid w:val="00B41B4E"/>
    <w:rsid w:val="00B41B7D"/>
    <w:rsid w:val="00B41E98"/>
    <w:rsid w:val="00B425C4"/>
    <w:rsid w:val="00B42B42"/>
    <w:rsid w:val="00B43C4C"/>
    <w:rsid w:val="00B43CD6"/>
    <w:rsid w:val="00B449AD"/>
    <w:rsid w:val="00B44BB2"/>
    <w:rsid w:val="00B46972"/>
    <w:rsid w:val="00B46DEF"/>
    <w:rsid w:val="00B509E7"/>
    <w:rsid w:val="00B51128"/>
    <w:rsid w:val="00B5116F"/>
    <w:rsid w:val="00B53FF3"/>
    <w:rsid w:val="00B56C84"/>
    <w:rsid w:val="00B57C33"/>
    <w:rsid w:val="00B62FA2"/>
    <w:rsid w:val="00B64160"/>
    <w:rsid w:val="00B64E3B"/>
    <w:rsid w:val="00B64F60"/>
    <w:rsid w:val="00B652A2"/>
    <w:rsid w:val="00B653BD"/>
    <w:rsid w:val="00B66476"/>
    <w:rsid w:val="00B668DF"/>
    <w:rsid w:val="00B6714A"/>
    <w:rsid w:val="00B678CD"/>
    <w:rsid w:val="00B71737"/>
    <w:rsid w:val="00B7218F"/>
    <w:rsid w:val="00B744D7"/>
    <w:rsid w:val="00B747A0"/>
    <w:rsid w:val="00B74B67"/>
    <w:rsid w:val="00B74E17"/>
    <w:rsid w:val="00B750A7"/>
    <w:rsid w:val="00B772D4"/>
    <w:rsid w:val="00B77ADF"/>
    <w:rsid w:val="00B819B8"/>
    <w:rsid w:val="00B8217F"/>
    <w:rsid w:val="00B834AE"/>
    <w:rsid w:val="00B83AC8"/>
    <w:rsid w:val="00B83C87"/>
    <w:rsid w:val="00B84591"/>
    <w:rsid w:val="00B8487C"/>
    <w:rsid w:val="00B851D7"/>
    <w:rsid w:val="00B854F8"/>
    <w:rsid w:val="00B87676"/>
    <w:rsid w:val="00B90451"/>
    <w:rsid w:val="00B90F5C"/>
    <w:rsid w:val="00B913A1"/>
    <w:rsid w:val="00B9230D"/>
    <w:rsid w:val="00B94AA0"/>
    <w:rsid w:val="00B974CF"/>
    <w:rsid w:val="00BA08D8"/>
    <w:rsid w:val="00BA0D38"/>
    <w:rsid w:val="00BA1B30"/>
    <w:rsid w:val="00BA24ED"/>
    <w:rsid w:val="00BA2C2C"/>
    <w:rsid w:val="00BA3B04"/>
    <w:rsid w:val="00BA407F"/>
    <w:rsid w:val="00BA4C4E"/>
    <w:rsid w:val="00BA5955"/>
    <w:rsid w:val="00BA59BD"/>
    <w:rsid w:val="00BB02E9"/>
    <w:rsid w:val="00BB03DF"/>
    <w:rsid w:val="00BB3B63"/>
    <w:rsid w:val="00BB448E"/>
    <w:rsid w:val="00BB5C5C"/>
    <w:rsid w:val="00BB7616"/>
    <w:rsid w:val="00BC3DF0"/>
    <w:rsid w:val="00BC4932"/>
    <w:rsid w:val="00BC541C"/>
    <w:rsid w:val="00BC7D12"/>
    <w:rsid w:val="00BD0D8A"/>
    <w:rsid w:val="00BD1DC5"/>
    <w:rsid w:val="00BD2321"/>
    <w:rsid w:val="00BD2AA2"/>
    <w:rsid w:val="00BD4A71"/>
    <w:rsid w:val="00BD5DE7"/>
    <w:rsid w:val="00BD787D"/>
    <w:rsid w:val="00BE307B"/>
    <w:rsid w:val="00BE33C8"/>
    <w:rsid w:val="00BE4A0B"/>
    <w:rsid w:val="00BE7493"/>
    <w:rsid w:val="00BE7B6D"/>
    <w:rsid w:val="00BE7C01"/>
    <w:rsid w:val="00BF0166"/>
    <w:rsid w:val="00BF0F06"/>
    <w:rsid w:val="00BF4719"/>
    <w:rsid w:val="00BF51ED"/>
    <w:rsid w:val="00BF7254"/>
    <w:rsid w:val="00BF74D8"/>
    <w:rsid w:val="00BF778D"/>
    <w:rsid w:val="00BF7CED"/>
    <w:rsid w:val="00C00510"/>
    <w:rsid w:val="00C0058B"/>
    <w:rsid w:val="00C02DD0"/>
    <w:rsid w:val="00C03036"/>
    <w:rsid w:val="00C0352E"/>
    <w:rsid w:val="00C03E0E"/>
    <w:rsid w:val="00C04249"/>
    <w:rsid w:val="00C04AC9"/>
    <w:rsid w:val="00C05655"/>
    <w:rsid w:val="00C06729"/>
    <w:rsid w:val="00C11488"/>
    <w:rsid w:val="00C11C98"/>
    <w:rsid w:val="00C11D05"/>
    <w:rsid w:val="00C11E58"/>
    <w:rsid w:val="00C11FAA"/>
    <w:rsid w:val="00C14221"/>
    <w:rsid w:val="00C14CCA"/>
    <w:rsid w:val="00C157A0"/>
    <w:rsid w:val="00C1683A"/>
    <w:rsid w:val="00C17FE0"/>
    <w:rsid w:val="00C20099"/>
    <w:rsid w:val="00C20379"/>
    <w:rsid w:val="00C20CFE"/>
    <w:rsid w:val="00C217A0"/>
    <w:rsid w:val="00C21D2D"/>
    <w:rsid w:val="00C22390"/>
    <w:rsid w:val="00C22FE8"/>
    <w:rsid w:val="00C23571"/>
    <w:rsid w:val="00C23C26"/>
    <w:rsid w:val="00C23FED"/>
    <w:rsid w:val="00C24292"/>
    <w:rsid w:val="00C248BE"/>
    <w:rsid w:val="00C24C09"/>
    <w:rsid w:val="00C259C8"/>
    <w:rsid w:val="00C26F2E"/>
    <w:rsid w:val="00C2751E"/>
    <w:rsid w:val="00C31392"/>
    <w:rsid w:val="00C31CBC"/>
    <w:rsid w:val="00C33148"/>
    <w:rsid w:val="00C339A4"/>
    <w:rsid w:val="00C33D7A"/>
    <w:rsid w:val="00C36838"/>
    <w:rsid w:val="00C37230"/>
    <w:rsid w:val="00C4014F"/>
    <w:rsid w:val="00C40B99"/>
    <w:rsid w:val="00C446C8"/>
    <w:rsid w:val="00C45BC7"/>
    <w:rsid w:val="00C46595"/>
    <w:rsid w:val="00C503E2"/>
    <w:rsid w:val="00C50762"/>
    <w:rsid w:val="00C50AB3"/>
    <w:rsid w:val="00C510CA"/>
    <w:rsid w:val="00C51933"/>
    <w:rsid w:val="00C56044"/>
    <w:rsid w:val="00C56D98"/>
    <w:rsid w:val="00C57044"/>
    <w:rsid w:val="00C57115"/>
    <w:rsid w:val="00C57644"/>
    <w:rsid w:val="00C5795A"/>
    <w:rsid w:val="00C62257"/>
    <w:rsid w:val="00C62DB2"/>
    <w:rsid w:val="00C634EC"/>
    <w:rsid w:val="00C638F5"/>
    <w:rsid w:val="00C646D4"/>
    <w:rsid w:val="00C65D95"/>
    <w:rsid w:val="00C6679E"/>
    <w:rsid w:val="00C66C20"/>
    <w:rsid w:val="00C67328"/>
    <w:rsid w:val="00C6764F"/>
    <w:rsid w:val="00C7209F"/>
    <w:rsid w:val="00C7240E"/>
    <w:rsid w:val="00C731C9"/>
    <w:rsid w:val="00C7418E"/>
    <w:rsid w:val="00C74972"/>
    <w:rsid w:val="00C74A39"/>
    <w:rsid w:val="00C755E1"/>
    <w:rsid w:val="00C7604D"/>
    <w:rsid w:val="00C765A8"/>
    <w:rsid w:val="00C76665"/>
    <w:rsid w:val="00C76FF0"/>
    <w:rsid w:val="00C77388"/>
    <w:rsid w:val="00C77BD4"/>
    <w:rsid w:val="00C77E41"/>
    <w:rsid w:val="00C8000F"/>
    <w:rsid w:val="00C81150"/>
    <w:rsid w:val="00C82ADC"/>
    <w:rsid w:val="00C82DC7"/>
    <w:rsid w:val="00C84A1A"/>
    <w:rsid w:val="00C861E8"/>
    <w:rsid w:val="00C86FDF"/>
    <w:rsid w:val="00C87429"/>
    <w:rsid w:val="00C90111"/>
    <w:rsid w:val="00C90C6D"/>
    <w:rsid w:val="00C92001"/>
    <w:rsid w:val="00C92698"/>
    <w:rsid w:val="00C92E6D"/>
    <w:rsid w:val="00C951F4"/>
    <w:rsid w:val="00C97A83"/>
    <w:rsid w:val="00CA010D"/>
    <w:rsid w:val="00CA1003"/>
    <w:rsid w:val="00CA2496"/>
    <w:rsid w:val="00CA65DD"/>
    <w:rsid w:val="00CA7717"/>
    <w:rsid w:val="00CA7D58"/>
    <w:rsid w:val="00CB0D98"/>
    <w:rsid w:val="00CB1505"/>
    <w:rsid w:val="00CB1830"/>
    <w:rsid w:val="00CB20DE"/>
    <w:rsid w:val="00CB2236"/>
    <w:rsid w:val="00CB2CAF"/>
    <w:rsid w:val="00CB344A"/>
    <w:rsid w:val="00CB3EA7"/>
    <w:rsid w:val="00CB4A90"/>
    <w:rsid w:val="00CB569F"/>
    <w:rsid w:val="00CB5A80"/>
    <w:rsid w:val="00CB6A3F"/>
    <w:rsid w:val="00CB72EF"/>
    <w:rsid w:val="00CB7C2D"/>
    <w:rsid w:val="00CC28CB"/>
    <w:rsid w:val="00CC3206"/>
    <w:rsid w:val="00CC507E"/>
    <w:rsid w:val="00CC51C4"/>
    <w:rsid w:val="00CC6A1C"/>
    <w:rsid w:val="00CC6B55"/>
    <w:rsid w:val="00CD0AD0"/>
    <w:rsid w:val="00CD13D2"/>
    <w:rsid w:val="00CD155C"/>
    <w:rsid w:val="00CD1AAA"/>
    <w:rsid w:val="00CD1C6C"/>
    <w:rsid w:val="00CD1E08"/>
    <w:rsid w:val="00CD200C"/>
    <w:rsid w:val="00CD38AE"/>
    <w:rsid w:val="00CD582D"/>
    <w:rsid w:val="00CE1BA3"/>
    <w:rsid w:val="00CE312F"/>
    <w:rsid w:val="00CE363D"/>
    <w:rsid w:val="00CE3672"/>
    <w:rsid w:val="00CE39D6"/>
    <w:rsid w:val="00CE4420"/>
    <w:rsid w:val="00CE4899"/>
    <w:rsid w:val="00CE493A"/>
    <w:rsid w:val="00CE4DBA"/>
    <w:rsid w:val="00CE6AD3"/>
    <w:rsid w:val="00CE757A"/>
    <w:rsid w:val="00CE7850"/>
    <w:rsid w:val="00CF0AA1"/>
    <w:rsid w:val="00CF0CC0"/>
    <w:rsid w:val="00CF317C"/>
    <w:rsid w:val="00CF3FC2"/>
    <w:rsid w:val="00CF465A"/>
    <w:rsid w:val="00CF4CE2"/>
    <w:rsid w:val="00CF4EDF"/>
    <w:rsid w:val="00CF579D"/>
    <w:rsid w:val="00D00732"/>
    <w:rsid w:val="00D00CEF"/>
    <w:rsid w:val="00D01008"/>
    <w:rsid w:val="00D016B2"/>
    <w:rsid w:val="00D01910"/>
    <w:rsid w:val="00D01A24"/>
    <w:rsid w:val="00D01A66"/>
    <w:rsid w:val="00D023BF"/>
    <w:rsid w:val="00D02DF2"/>
    <w:rsid w:val="00D03A73"/>
    <w:rsid w:val="00D04BFD"/>
    <w:rsid w:val="00D05236"/>
    <w:rsid w:val="00D067B9"/>
    <w:rsid w:val="00D07350"/>
    <w:rsid w:val="00D07713"/>
    <w:rsid w:val="00D0774E"/>
    <w:rsid w:val="00D10761"/>
    <w:rsid w:val="00D115AB"/>
    <w:rsid w:val="00D11DC4"/>
    <w:rsid w:val="00D11DDD"/>
    <w:rsid w:val="00D11F2B"/>
    <w:rsid w:val="00D12063"/>
    <w:rsid w:val="00D13ED6"/>
    <w:rsid w:val="00D14C03"/>
    <w:rsid w:val="00D179D4"/>
    <w:rsid w:val="00D20640"/>
    <w:rsid w:val="00D20825"/>
    <w:rsid w:val="00D21F2E"/>
    <w:rsid w:val="00D2307D"/>
    <w:rsid w:val="00D244A7"/>
    <w:rsid w:val="00D24816"/>
    <w:rsid w:val="00D24B3E"/>
    <w:rsid w:val="00D24EA3"/>
    <w:rsid w:val="00D25646"/>
    <w:rsid w:val="00D264F8"/>
    <w:rsid w:val="00D2662F"/>
    <w:rsid w:val="00D2669E"/>
    <w:rsid w:val="00D268A1"/>
    <w:rsid w:val="00D26A47"/>
    <w:rsid w:val="00D27EBD"/>
    <w:rsid w:val="00D30685"/>
    <w:rsid w:val="00D30F17"/>
    <w:rsid w:val="00D313D6"/>
    <w:rsid w:val="00D32358"/>
    <w:rsid w:val="00D326EB"/>
    <w:rsid w:val="00D327B4"/>
    <w:rsid w:val="00D349CB"/>
    <w:rsid w:val="00D36858"/>
    <w:rsid w:val="00D37EC3"/>
    <w:rsid w:val="00D40B38"/>
    <w:rsid w:val="00D423F6"/>
    <w:rsid w:val="00D42A36"/>
    <w:rsid w:val="00D4344A"/>
    <w:rsid w:val="00D43C18"/>
    <w:rsid w:val="00D44C8C"/>
    <w:rsid w:val="00D45223"/>
    <w:rsid w:val="00D45BB7"/>
    <w:rsid w:val="00D470B3"/>
    <w:rsid w:val="00D47696"/>
    <w:rsid w:val="00D4785B"/>
    <w:rsid w:val="00D47DCC"/>
    <w:rsid w:val="00D51BBD"/>
    <w:rsid w:val="00D52CDF"/>
    <w:rsid w:val="00D5425A"/>
    <w:rsid w:val="00D54968"/>
    <w:rsid w:val="00D54CAD"/>
    <w:rsid w:val="00D55B89"/>
    <w:rsid w:val="00D55D44"/>
    <w:rsid w:val="00D5655C"/>
    <w:rsid w:val="00D56812"/>
    <w:rsid w:val="00D571FF"/>
    <w:rsid w:val="00D579E7"/>
    <w:rsid w:val="00D57DB6"/>
    <w:rsid w:val="00D602EA"/>
    <w:rsid w:val="00D60A86"/>
    <w:rsid w:val="00D61757"/>
    <w:rsid w:val="00D62316"/>
    <w:rsid w:val="00D62989"/>
    <w:rsid w:val="00D63609"/>
    <w:rsid w:val="00D636B8"/>
    <w:rsid w:val="00D66109"/>
    <w:rsid w:val="00D66374"/>
    <w:rsid w:val="00D666AC"/>
    <w:rsid w:val="00D66C77"/>
    <w:rsid w:val="00D736BE"/>
    <w:rsid w:val="00D7437C"/>
    <w:rsid w:val="00D748FA"/>
    <w:rsid w:val="00D75338"/>
    <w:rsid w:val="00D76879"/>
    <w:rsid w:val="00D76F39"/>
    <w:rsid w:val="00D802AF"/>
    <w:rsid w:val="00D8033D"/>
    <w:rsid w:val="00D816FF"/>
    <w:rsid w:val="00D8252E"/>
    <w:rsid w:val="00D82D4B"/>
    <w:rsid w:val="00D841A2"/>
    <w:rsid w:val="00D842E3"/>
    <w:rsid w:val="00D8441C"/>
    <w:rsid w:val="00D84C9D"/>
    <w:rsid w:val="00D851D8"/>
    <w:rsid w:val="00D85618"/>
    <w:rsid w:val="00D85BA2"/>
    <w:rsid w:val="00D85E3D"/>
    <w:rsid w:val="00D871AB"/>
    <w:rsid w:val="00D87CBC"/>
    <w:rsid w:val="00D90EA0"/>
    <w:rsid w:val="00D918A8"/>
    <w:rsid w:val="00D93FB4"/>
    <w:rsid w:val="00D94170"/>
    <w:rsid w:val="00D94A96"/>
    <w:rsid w:val="00D962A7"/>
    <w:rsid w:val="00D974D0"/>
    <w:rsid w:val="00D97AA7"/>
    <w:rsid w:val="00DA14A1"/>
    <w:rsid w:val="00DA15E2"/>
    <w:rsid w:val="00DA19C9"/>
    <w:rsid w:val="00DA25E1"/>
    <w:rsid w:val="00DA2CF0"/>
    <w:rsid w:val="00DA3D5F"/>
    <w:rsid w:val="00DA5416"/>
    <w:rsid w:val="00DA5D5A"/>
    <w:rsid w:val="00DA6D06"/>
    <w:rsid w:val="00DA6D72"/>
    <w:rsid w:val="00DA7318"/>
    <w:rsid w:val="00DA78B9"/>
    <w:rsid w:val="00DA7F31"/>
    <w:rsid w:val="00DB08B1"/>
    <w:rsid w:val="00DB1AFF"/>
    <w:rsid w:val="00DB1F2E"/>
    <w:rsid w:val="00DB23B0"/>
    <w:rsid w:val="00DB2BA0"/>
    <w:rsid w:val="00DB4086"/>
    <w:rsid w:val="00DB46C3"/>
    <w:rsid w:val="00DB5337"/>
    <w:rsid w:val="00DB54C7"/>
    <w:rsid w:val="00DB6E0A"/>
    <w:rsid w:val="00DC053C"/>
    <w:rsid w:val="00DC0CE6"/>
    <w:rsid w:val="00DC2A41"/>
    <w:rsid w:val="00DC3FC7"/>
    <w:rsid w:val="00DC4DBE"/>
    <w:rsid w:val="00DC6730"/>
    <w:rsid w:val="00DC7A6D"/>
    <w:rsid w:val="00DC7ECD"/>
    <w:rsid w:val="00DC7F4C"/>
    <w:rsid w:val="00DD038D"/>
    <w:rsid w:val="00DD051F"/>
    <w:rsid w:val="00DD3C32"/>
    <w:rsid w:val="00DD578B"/>
    <w:rsid w:val="00DD5902"/>
    <w:rsid w:val="00DD5A42"/>
    <w:rsid w:val="00DD6F26"/>
    <w:rsid w:val="00DD73BB"/>
    <w:rsid w:val="00DE0302"/>
    <w:rsid w:val="00DE0D1A"/>
    <w:rsid w:val="00DE3E2E"/>
    <w:rsid w:val="00DE4C67"/>
    <w:rsid w:val="00DE4DFC"/>
    <w:rsid w:val="00DF095E"/>
    <w:rsid w:val="00DF1529"/>
    <w:rsid w:val="00DF1EDC"/>
    <w:rsid w:val="00DF257A"/>
    <w:rsid w:val="00DF4902"/>
    <w:rsid w:val="00DF5BB6"/>
    <w:rsid w:val="00DF6676"/>
    <w:rsid w:val="00DF6AB2"/>
    <w:rsid w:val="00DF77BF"/>
    <w:rsid w:val="00DF7AB7"/>
    <w:rsid w:val="00E000CF"/>
    <w:rsid w:val="00E0057C"/>
    <w:rsid w:val="00E007D9"/>
    <w:rsid w:val="00E00822"/>
    <w:rsid w:val="00E00FD4"/>
    <w:rsid w:val="00E020E3"/>
    <w:rsid w:val="00E038D4"/>
    <w:rsid w:val="00E04804"/>
    <w:rsid w:val="00E04A97"/>
    <w:rsid w:val="00E067EE"/>
    <w:rsid w:val="00E078DB"/>
    <w:rsid w:val="00E15D8F"/>
    <w:rsid w:val="00E17313"/>
    <w:rsid w:val="00E17937"/>
    <w:rsid w:val="00E213B2"/>
    <w:rsid w:val="00E21451"/>
    <w:rsid w:val="00E21B0E"/>
    <w:rsid w:val="00E22FC6"/>
    <w:rsid w:val="00E2332C"/>
    <w:rsid w:val="00E23DCD"/>
    <w:rsid w:val="00E24ED0"/>
    <w:rsid w:val="00E25372"/>
    <w:rsid w:val="00E25BB8"/>
    <w:rsid w:val="00E2756F"/>
    <w:rsid w:val="00E308DF"/>
    <w:rsid w:val="00E319E2"/>
    <w:rsid w:val="00E31DB5"/>
    <w:rsid w:val="00E31DDF"/>
    <w:rsid w:val="00E31E00"/>
    <w:rsid w:val="00E31EB2"/>
    <w:rsid w:val="00E32FF0"/>
    <w:rsid w:val="00E334C7"/>
    <w:rsid w:val="00E350FC"/>
    <w:rsid w:val="00E3516C"/>
    <w:rsid w:val="00E369F2"/>
    <w:rsid w:val="00E36B9C"/>
    <w:rsid w:val="00E36FE5"/>
    <w:rsid w:val="00E40A8B"/>
    <w:rsid w:val="00E417D5"/>
    <w:rsid w:val="00E419FB"/>
    <w:rsid w:val="00E41F99"/>
    <w:rsid w:val="00E4215B"/>
    <w:rsid w:val="00E42A75"/>
    <w:rsid w:val="00E433F7"/>
    <w:rsid w:val="00E44498"/>
    <w:rsid w:val="00E447EE"/>
    <w:rsid w:val="00E468D6"/>
    <w:rsid w:val="00E47326"/>
    <w:rsid w:val="00E47D68"/>
    <w:rsid w:val="00E47EBA"/>
    <w:rsid w:val="00E504C6"/>
    <w:rsid w:val="00E50C05"/>
    <w:rsid w:val="00E510B8"/>
    <w:rsid w:val="00E52E26"/>
    <w:rsid w:val="00E53C56"/>
    <w:rsid w:val="00E54815"/>
    <w:rsid w:val="00E55269"/>
    <w:rsid w:val="00E55C4A"/>
    <w:rsid w:val="00E56552"/>
    <w:rsid w:val="00E5688D"/>
    <w:rsid w:val="00E56C50"/>
    <w:rsid w:val="00E56CD5"/>
    <w:rsid w:val="00E605EB"/>
    <w:rsid w:val="00E60FC7"/>
    <w:rsid w:val="00E623C8"/>
    <w:rsid w:val="00E62716"/>
    <w:rsid w:val="00E63105"/>
    <w:rsid w:val="00E6351C"/>
    <w:rsid w:val="00E63E7E"/>
    <w:rsid w:val="00E63F44"/>
    <w:rsid w:val="00E64796"/>
    <w:rsid w:val="00E64AEE"/>
    <w:rsid w:val="00E664B4"/>
    <w:rsid w:val="00E66B9C"/>
    <w:rsid w:val="00E67646"/>
    <w:rsid w:val="00E702C7"/>
    <w:rsid w:val="00E72292"/>
    <w:rsid w:val="00E729FC"/>
    <w:rsid w:val="00E73759"/>
    <w:rsid w:val="00E738DE"/>
    <w:rsid w:val="00E739B1"/>
    <w:rsid w:val="00E73E5F"/>
    <w:rsid w:val="00E74147"/>
    <w:rsid w:val="00E746E4"/>
    <w:rsid w:val="00E74FAD"/>
    <w:rsid w:val="00E75142"/>
    <w:rsid w:val="00E7580D"/>
    <w:rsid w:val="00E7793C"/>
    <w:rsid w:val="00E80C4B"/>
    <w:rsid w:val="00E821EE"/>
    <w:rsid w:val="00E8296D"/>
    <w:rsid w:val="00E82D52"/>
    <w:rsid w:val="00E82F12"/>
    <w:rsid w:val="00E82F21"/>
    <w:rsid w:val="00E839F0"/>
    <w:rsid w:val="00E83EF2"/>
    <w:rsid w:val="00E863AD"/>
    <w:rsid w:val="00E86589"/>
    <w:rsid w:val="00E86C9B"/>
    <w:rsid w:val="00E87111"/>
    <w:rsid w:val="00E87246"/>
    <w:rsid w:val="00E87397"/>
    <w:rsid w:val="00E91B0B"/>
    <w:rsid w:val="00E93D18"/>
    <w:rsid w:val="00E95009"/>
    <w:rsid w:val="00E9536B"/>
    <w:rsid w:val="00E9586D"/>
    <w:rsid w:val="00E95CDA"/>
    <w:rsid w:val="00E96492"/>
    <w:rsid w:val="00E96E67"/>
    <w:rsid w:val="00E972DA"/>
    <w:rsid w:val="00E97D0A"/>
    <w:rsid w:val="00EA2375"/>
    <w:rsid w:val="00EA371E"/>
    <w:rsid w:val="00EA4137"/>
    <w:rsid w:val="00EA4FA3"/>
    <w:rsid w:val="00EA58B2"/>
    <w:rsid w:val="00EA614C"/>
    <w:rsid w:val="00EA660C"/>
    <w:rsid w:val="00EA707F"/>
    <w:rsid w:val="00EB0284"/>
    <w:rsid w:val="00EB16C6"/>
    <w:rsid w:val="00EB3027"/>
    <w:rsid w:val="00EB37AF"/>
    <w:rsid w:val="00EB416B"/>
    <w:rsid w:val="00EB4303"/>
    <w:rsid w:val="00EB52D2"/>
    <w:rsid w:val="00EB5DBD"/>
    <w:rsid w:val="00EB5ED7"/>
    <w:rsid w:val="00EB6525"/>
    <w:rsid w:val="00EC0E3C"/>
    <w:rsid w:val="00EC0EF0"/>
    <w:rsid w:val="00EC0EFA"/>
    <w:rsid w:val="00EC1118"/>
    <w:rsid w:val="00EC2808"/>
    <w:rsid w:val="00EC2D56"/>
    <w:rsid w:val="00EC2F02"/>
    <w:rsid w:val="00EC423B"/>
    <w:rsid w:val="00EC42FC"/>
    <w:rsid w:val="00EC5FB5"/>
    <w:rsid w:val="00EC6D36"/>
    <w:rsid w:val="00EC7FB4"/>
    <w:rsid w:val="00ED044F"/>
    <w:rsid w:val="00ED0682"/>
    <w:rsid w:val="00ED15FC"/>
    <w:rsid w:val="00ED16BF"/>
    <w:rsid w:val="00ED39C6"/>
    <w:rsid w:val="00ED3C73"/>
    <w:rsid w:val="00ED3E24"/>
    <w:rsid w:val="00ED443D"/>
    <w:rsid w:val="00ED4A90"/>
    <w:rsid w:val="00ED643A"/>
    <w:rsid w:val="00ED67A7"/>
    <w:rsid w:val="00ED7FD8"/>
    <w:rsid w:val="00EE0802"/>
    <w:rsid w:val="00EE0E3E"/>
    <w:rsid w:val="00EE1C92"/>
    <w:rsid w:val="00EE1F94"/>
    <w:rsid w:val="00EE264C"/>
    <w:rsid w:val="00EE3291"/>
    <w:rsid w:val="00EE49A3"/>
    <w:rsid w:val="00EE5942"/>
    <w:rsid w:val="00EE7B23"/>
    <w:rsid w:val="00EE7D05"/>
    <w:rsid w:val="00EF0E64"/>
    <w:rsid w:val="00EF0F39"/>
    <w:rsid w:val="00EF11AF"/>
    <w:rsid w:val="00EF18FC"/>
    <w:rsid w:val="00EF1FE9"/>
    <w:rsid w:val="00EF24D8"/>
    <w:rsid w:val="00EF3295"/>
    <w:rsid w:val="00EF47A0"/>
    <w:rsid w:val="00EF4DDD"/>
    <w:rsid w:val="00EF77A3"/>
    <w:rsid w:val="00EF7A50"/>
    <w:rsid w:val="00EF7ECD"/>
    <w:rsid w:val="00F00308"/>
    <w:rsid w:val="00F0076E"/>
    <w:rsid w:val="00F012A8"/>
    <w:rsid w:val="00F022B6"/>
    <w:rsid w:val="00F025ED"/>
    <w:rsid w:val="00F02BCC"/>
    <w:rsid w:val="00F03A8C"/>
    <w:rsid w:val="00F03C78"/>
    <w:rsid w:val="00F06762"/>
    <w:rsid w:val="00F1010E"/>
    <w:rsid w:val="00F10AEB"/>
    <w:rsid w:val="00F11542"/>
    <w:rsid w:val="00F11B5A"/>
    <w:rsid w:val="00F11D62"/>
    <w:rsid w:val="00F12FBA"/>
    <w:rsid w:val="00F1386B"/>
    <w:rsid w:val="00F13CCD"/>
    <w:rsid w:val="00F13E90"/>
    <w:rsid w:val="00F148E0"/>
    <w:rsid w:val="00F14C47"/>
    <w:rsid w:val="00F16145"/>
    <w:rsid w:val="00F16895"/>
    <w:rsid w:val="00F17A5F"/>
    <w:rsid w:val="00F17B08"/>
    <w:rsid w:val="00F17CBE"/>
    <w:rsid w:val="00F20129"/>
    <w:rsid w:val="00F20514"/>
    <w:rsid w:val="00F20817"/>
    <w:rsid w:val="00F20FDA"/>
    <w:rsid w:val="00F22418"/>
    <w:rsid w:val="00F224A6"/>
    <w:rsid w:val="00F22798"/>
    <w:rsid w:val="00F2320D"/>
    <w:rsid w:val="00F23245"/>
    <w:rsid w:val="00F233C6"/>
    <w:rsid w:val="00F23A74"/>
    <w:rsid w:val="00F24014"/>
    <w:rsid w:val="00F24A8B"/>
    <w:rsid w:val="00F24AC2"/>
    <w:rsid w:val="00F25F7A"/>
    <w:rsid w:val="00F26056"/>
    <w:rsid w:val="00F260E1"/>
    <w:rsid w:val="00F2685E"/>
    <w:rsid w:val="00F26866"/>
    <w:rsid w:val="00F2699A"/>
    <w:rsid w:val="00F273FA"/>
    <w:rsid w:val="00F275BE"/>
    <w:rsid w:val="00F27E49"/>
    <w:rsid w:val="00F3255F"/>
    <w:rsid w:val="00F35019"/>
    <w:rsid w:val="00F35A60"/>
    <w:rsid w:val="00F370AD"/>
    <w:rsid w:val="00F37EF2"/>
    <w:rsid w:val="00F4008C"/>
    <w:rsid w:val="00F42587"/>
    <w:rsid w:val="00F4422D"/>
    <w:rsid w:val="00F445C3"/>
    <w:rsid w:val="00F458D5"/>
    <w:rsid w:val="00F471D6"/>
    <w:rsid w:val="00F476DD"/>
    <w:rsid w:val="00F50F5D"/>
    <w:rsid w:val="00F513CC"/>
    <w:rsid w:val="00F51D08"/>
    <w:rsid w:val="00F52838"/>
    <w:rsid w:val="00F52A6F"/>
    <w:rsid w:val="00F53AF6"/>
    <w:rsid w:val="00F540CF"/>
    <w:rsid w:val="00F5570D"/>
    <w:rsid w:val="00F57249"/>
    <w:rsid w:val="00F57C7F"/>
    <w:rsid w:val="00F60460"/>
    <w:rsid w:val="00F62B26"/>
    <w:rsid w:val="00F63818"/>
    <w:rsid w:val="00F63B75"/>
    <w:rsid w:val="00F6425B"/>
    <w:rsid w:val="00F64C99"/>
    <w:rsid w:val="00F658C8"/>
    <w:rsid w:val="00F66975"/>
    <w:rsid w:val="00F672C3"/>
    <w:rsid w:val="00F679EF"/>
    <w:rsid w:val="00F70DD2"/>
    <w:rsid w:val="00F71D67"/>
    <w:rsid w:val="00F71EB7"/>
    <w:rsid w:val="00F72733"/>
    <w:rsid w:val="00F72CD9"/>
    <w:rsid w:val="00F72FF7"/>
    <w:rsid w:val="00F742FC"/>
    <w:rsid w:val="00F758A0"/>
    <w:rsid w:val="00F779B2"/>
    <w:rsid w:val="00F816F9"/>
    <w:rsid w:val="00F8314E"/>
    <w:rsid w:val="00F832DB"/>
    <w:rsid w:val="00F8422E"/>
    <w:rsid w:val="00F84722"/>
    <w:rsid w:val="00F84A1E"/>
    <w:rsid w:val="00F8502E"/>
    <w:rsid w:val="00F8523B"/>
    <w:rsid w:val="00F8792A"/>
    <w:rsid w:val="00F90388"/>
    <w:rsid w:val="00F913F7"/>
    <w:rsid w:val="00F921D5"/>
    <w:rsid w:val="00F92389"/>
    <w:rsid w:val="00F958DE"/>
    <w:rsid w:val="00F959B3"/>
    <w:rsid w:val="00F95A07"/>
    <w:rsid w:val="00F965B5"/>
    <w:rsid w:val="00F970FE"/>
    <w:rsid w:val="00F975EC"/>
    <w:rsid w:val="00FA0F43"/>
    <w:rsid w:val="00FA19DE"/>
    <w:rsid w:val="00FA2244"/>
    <w:rsid w:val="00FA2CE9"/>
    <w:rsid w:val="00FA2F5C"/>
    <w:rsid w:val="00FB0513"/>
    <w:rsid w:val="00FB0D27"/>
    <w:rsid w:val="00FB1224"/>
    <w:rsid w:val="00FB1A77"/>
    <w:rsid w:val="00FB1DAF"/>
    <w:rsid w:val="00FB25BF"/>
    <w:rsid w:val="00FB2D7A"/>
    <w:rsid w:val="00FB3BCF"/>
    <w:rsid w:val="00FB4A5C"/>
    <w:rsid w:val="00FB5128"/>
    <w:rsid w:val="00FB5376"/>
    <w:rsid w:val="00FB5B82"/>
    <w:rsid w:val="00FB654B"/>
    <w:rsid w:val="00FB6DD4"/>
    <w:rsid w:val="00FB70D8"/>
    <w:rsid w:val="00FB784E"/>
    <w:rsid w:val="00FC02F1"/>
    <w:rsid w:val="00FC0FE8"/>
    <w:rsid w:val="00FC13EF"/>
    <w:rsid w:val="00FC1B8C"/>
    <w:rsid w:val="00FC1EDD"/>
    <w:rsid w:val="00FC2CCE"/>
    <w:rsid w:val="00FC4251"/>
    <w:rsid w:val="00FC42BF"/>
    <w:rsid w:val="00FC6263"/>
    <w:rsid w:val="00FC76C0"/>
    <w:rsid w:val="00FD1F33"/>
    <w:rsid w:val="00FD28A0"/>
    <w:rsid w:val="00FD2918"/>
    <w:rsid w:val="00FD5213"/>
    <w:rsid w:val="00FD5BC7"/>
    <w:rsid w:val="00FD613E"/>
    <w:rsid w:val="00FD6A79"/>
    <w:rsid w:val="00FE001A"/>
    <w:rsid w:val="00FE0818"/>
    <w:rsid w:val="00FE2087"/>
    <w:rsid w:val="00FE35F4"/>
    <w:rsid w:val="00FE37E2"/>
    <w:rsid w:val="00FE3C5C"/>
    <w:rsid w:val="00FE4090"/>
    <w:rsid w:val="00FE451E"/>
    <w:rsid w:val="00FE4633"/>
    <w:rsid w:val="00FE5B2E"/>
    <w:rsid w:val="00FE5D8E"/>
    <w:rsid w:val="00FE6EE4"/>
    <w:rsid w:val="00FE7CA3"/>
    <w:rsid w:val="00FF0000"/>
    <w:rsid w:val="00FF0634"/>
    <w:rsid w:val="00FF08BA"/>
    <w:rsid w:val="00FF0F44"/>
    <w:rsid w:val="00FF10AE"/>
    <w:rsid w:val="00FF1A68"/>
    <w:rsid w:val="00FF1BF0"/>
    <w:rsid w:val="00FF2E35"/>
    <w:rsid w:val="00FF4C86"/>
    <w:rsid w:val="00FF5C3D"/>
    <w:rsid w:val="00FF5DEA"/>
    <w:rsid w:val="00FF7B7E"/>
    <w:rsid w:val="00FF7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132657"/>
  <w15:docId w15:val="{4D49619E-030E-4998-9AEB-C5321238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18"/>
    <w:pPr>
      <w:ind w:left="720"/>
      <w:contextualSpacing/>
    </w:pPr>
  </w:style>
  <w:style w:type="character" w:styleId="Hyperlink">
    <w:name w:val="Hyperlink"/>
    <w:basedOn w:val="DefaultParagraphFont"/>
    <w:uiPriority w:val="99"/>
    <w:unhideWhenUsed/>
    <w:rsid w:val="00E93D18"/>
    <w:rPr>
      <w:color w:val="0000FF" w:themeColor="hyperlink"/>
      <w:u w:val="single"/>
    </w:rPr>
  </w:style>
  <w:style w:type="paragraph" w:styleId="NoSpacing">
    <w:name w:val="No Spacing"/>
    <w:uiPriority w:val="1"/>
    <w:qFormat/>
    <w:rsid w:val="009E6041"/>
    <w:pPr>
      <w:spacing w:after="0" w:line="240" w:lineRule="auto"/>
    </w:pPr>
  </w:style>
  <w:style w:type="paragraph" w:styleId="BalloonText">
    <w:name w:val="Balloon Text"/>
    <w:basedOn w:val="Normal"/>
    <w:link w:val="BalloonTextChar"/>
    <w:uiPriority w:val="99"/>
    <w:semiHidden/>
    <w:unhideWhenUsed/>
    <w:rsid w:val="0067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F58"/>
    <w:rPr>
      <w:rFonts w:ascii="Tahoma" w:hAnsi="Tahoma" w:cs="Tahoma"/>
      <w:sz w:val="16"/>
      <w:szCs w:val="16"/>
    </w:rPr>
  </w:style>
  <w:style w:type="paragraph" w:styleId="Header">
    <w:name w:val="header"/>
    <w:basedOn w:val="Normal"/>
    <w:link w:val="HeaderChar"/>
    <w:uiPriority w:val="99"/>
    <w:unhideWhenUsed/>
    <w:rsid w:val="002A0E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E2D"/>
  </w:style>
  <w:style w:type="paragraph" w:styleId="Footer">
    <w:name w:val="footer"/>
    <w:basedOn w:val="Normal"/>
    <w:link w:val="FooterChar"/>
    <w:uiPriority w:val="99"/>
    <w:unhideWhenUsed/>
    <w:rsid w:val="002A0E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E2D"/>
  </w:style>
  <w:style w:type="paragraph" w:styleId="NormalWeb">
    <w:name w:val="Normal (Web)"/>
    <w:basedOn w:val="Normal"/>
    <w:uiPriority w:val="99"/>
    <w:semiHidden/>
    <w:unhideWhenUsed/>
    <w:rsid w:val="00EE49A3"/>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PlaceholderText">
    <w:name w:val="Placeholder Text"/>
    <w:basedOn w:val="DefaultParagraphFont"/>
    <w:uiPriority w:val="99"/>
    <w:semiHidden/>
    <w:rsid w:val="00F268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oleObject" Target="Graphique%20dans%20Microsoft%20Word"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Pt>
            <c:idx val="0"/>
            <c:bubble3D val="0"/>
            <c:spPr>
              <a:solidFill>
                <a:srgbClr val="FF0066"/>
              </a:solidFill>
            </c:spPr>
            <c:extLst>
              <c:ext xmlns:c16="http://schemas.microsoft.com/office/drawing/2014/chart" uri="{C3380CC4-5D6E-409C-BE32-E72D297353CC}">
                <c16:uniqueId val="{00000001-7421-4890-AD24-1F9E42BFE9B2}"/>
              </c:ext>
            </c:extLst>
          </c:dPt>
          <c:dPt>
            <c:idx val="1"/>
            <c:bubble3D val="0"/>
            <c:spPr>
              <a:solidFill>
                <a:srgbClr val="99CC00"/>
              </a:solidFill>
            </c:spPr>
            <c:extLst>
              <c:ext xmlns:c16="http://schemas.microsoft.com/office/drawing/2014/chart" uri="{C3380CC4-5D6E-409C-BE32-E72D297353CC}">
                <c16:uniqueId val="{00000003-7421-4890-AD24-1F9E42BFE9B2}"/>
              </c:ext>
            </c:extLst>
          </c:dPt>
          <c:dPt>
            <c:idx val="2"/>
            <c:bubble3D val="0"/>
            <c:spPr>
              <a:solidFill>
                <a:srgbClr val="FFFF00"/>
              </a:solidFill>
            </c:spPr>
            <c:extLst>
              <c:ext xmlns:c16="http://schemas.microsoft.com/office/drawing/2014/chart" uri="{C3380CC4-5D6E-409C-BE32-E72D297353CC}">
                <c16:uniqueId val="{00000005-7421-4890-AD24-1F9E42BFE9B2}"/>
              </c:ext>
            </c:extLst>
          </c:dPt>
          <c:dPt>
            <c:idx val="3"/>
            <c:bubble3D val="0"/>
            <c:spPr>
              <a:solidFill>
                <a:srgbClr val="333300"/>
              </a:solidFill>
            </c:spPr>
            <c:extLst>
              <c:ext xmlns:c16="http://schemas.microsoft.com/office/drawing/2014/chart" uri="{C3380CC4-5D6E-409C-BE32-E72D297353CC}">
                <c16:uniqueId val="{00000007-7421-4890-AD24-1F9E42BFE9B2}"/>
              </c:ext>
            </c:extLst>
          </c:dPt>
          <c:dPt>
            <c:idx val="4"/>
            <c:bubble3D val="0"/>
            <c:spPr>
              <a:solidFill>
                <a:srgbClr val="00FFFF"/>
              </a:solidFill>
            </c:spPr>
            <c:extLst>
              <c:ext xmlns:c16="http://schemas.microsoft.com/office/drawing/2014/chart" uri="{C3380CC4-5D6E-409C-BE32-E72D297353CC}">
                <c16:uniqueId val="{00000009-7421-4890-AD24-1F9E42BFE9B2}"/>
              </c:ext>
            </c:extLst>
          </c:dPt>
          <c:dPt>
            <c:idx val="5"/>
            <c:bubble3D val="0"/>
            <c:spPr>
              <a:solidFill>
                <a:srgbClr val="FF9900"/>
              </a:solidFill>
            </c:spPr>
            <c:extLst>
              <c:ext xmlns:c16="http://schemas.microsoft.com/office/drawing/2014/chart" uri="{C3380CC4-5D6E-409C-BE32-E72D297353CC}">
                <c16:uniqueId val="{0000000B-7421-4890-AD24-1F9E42BFE9B2}"/>
              </c:ext>
            </c:extLst>
          </c:dPt>
          <c:dPt>
            <c:idx val="6"/>
            <c:bubble3D val="0"/>
            <c:spPr>
              <a:solidFill>
                <a:srgbClr val="0000FF"/>
              </a:solidFill>
            </c:spPr>
            <c:extLst>
              <c:ext xmlns:c16="http://schemas.microsoft.com/office/drawing/2014/chart" uri="{C3380CC4-5D6E-409C-BE32-E72D297353CC}">
                <c16:uniqueId val="{0000000D-7421-4890-AD24-1F9E42BFE9B2}"/>
              </c:ext>
            </c:extLst>
          </c:dPt>
          <c:dLbls>
            <c:dLbl>
              <c:idx val="0"/>
              <c:tx>
                <c:rich>
                  <a:bodyPr/>
                  <a:lstStyle/>
                  <a:p>
                    <a:r>
                      <a:rPr lang="en-US"/>
                      <a:t>5.10%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21-4890-AD24-1F9E42BFE9B2}"/>
                </c:ext>
              </c:extLst>
            </c:dLbl>
            <c:dLbl>
              <c:idx val="1"/>
              <c:tx>
                <c:rich>
                  <a:bodyPr/>
                  <a:lstStyle/>
                  <a:p>
                    <a:r>
                      <a:rPr lang="en-US"/>
                      <a:t>18.36%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21-4890-AD24-1F9E42BFE9B2}"/>
                </c:ext>
              </c:extLst>
            </c:dLbl>
            <c:dLbl>
              <c:idx val="2"/>
              <c:tx>
                <c:rich>
                  <a:bodyPr/>
                  <a:lstStyle/>
                  <a:p>
                    <a:r>
                      <a:rPr lang="en-US"/>
                      <a:t>9.18%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21-4890-AD24-1F9E42BFE9B2}"/>
                </c:ext>
              </c:extLst>
            </c:dLbl>
            <c:dLbl>
              <c:idx val="3"/>
              <c:tx>
                <c:rich>
                  <a:bodyPr/>
                  <a:lstStyle/>
                  <a:p>
                    <a:r>
                      <a:rPr lang="en-US"/>
                      <a:t>5.10%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21-4890-AD24-1F9E42BFE9B2}"/>
                </c:ext>
              </c:extLst>
            </c:dLbl>
            <c:dLbl>
              <c:idx val="4"/>
              <c:tx>
                <c:rich>
                  <a:bodyPr/>
                  <a:lstStyle/>
                  <a:p>
                    <a:r>
                      <a:rPr lang="en-US"/>
                      <a:t>10.20%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21-4890-AD24-1F9E42BFE9B2}"/>
                </c:ext>
              </c:extLst>
            </c:dLbl>
            <c:dLbl>
              <c:idx val="5"/>
              <c:tx>
                <c:rich>
                  <a:bodyPr/>
                  <a:lstStyle/>
                  <a:p>
                    <a:r>
                      <a:rPr lang="en-US"/>
                      <a:t>8.16%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21-4890-AD24-1F9E42BFE9B2}"/>
                </c:ext>
              </c:extLst>
            </c:dLbl>
            <c:dLbl>
              <c:idx val="6"/>
              <c:tx>
                <c:rich>
                  <a:bodyPr/>
                  <a:lstStyle/>
                  <a:p>
                    <a:r>
                      <a:rPr lang="en-US"/>
                      <a:t>43.90%</a:t>
                    </a:r>
                  </a:p>
                </c:rich>
              </c:tx>
              <c:dLblPos val="out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421-4890-AD24-1F9E42BFE9B2}"/>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Feuil8!$D$2:$D$8</c:f>
              <c:strCache>
                <c:ptCount val="7"/>
                <c:pt idx="0">
                  <c:v>Amaranthaceae</c:v>
                </c:pt>
                <c:pt idx="1">
                  <c:v>Asteraceae</c:v>
                </c:pt>
                <c:pt idx="2">
                  <c:v>Cyperaceae</c:v>
                </c:pt>
                <c:pt idx="3">
                  <c:v>Euphorbiaceae</c:v>
                </c:pt>
                <c:pt idx="4">
                  <c:v>Fabaceae</c:v>
                </c:pt>
                <c:pt idx="5">
                  <c:v>Poaceae</c:v>
                </c:pt>
                <c:pt idx="6">
                  <c:v>Autres</c:v>
                </c:pt>
              </c:strCache>
            </c:strRef>
          </c:cat>
          <c:val>
            <c:numRef>
              <c:f>Feuil8!$E$2:$E$8</c:f>
              <c:numCache>
                <c:formatCode>0.00</c:formatCode>
                <c:ptCount val="7"/>
                <c:pt idx="0">
                  <c:v>5.0999999999999996</c:v>
                </c:pt>
                <c:pt idx="1">
                  <c:v>18.36</c:v>
                </c:pt>
                <c:pt idx="2">
                  <c:v>9.18</c:v>
                </c:pt>
                <c:pt idx="3">
                  <c:v>5.0999999999999996</c:v>
                </c:pt>
                <c:pt idx="4">
                  <c:v>10.199999999999999</c:v>
                </c:pt>
                <c:pt idx="5">
                  <c:v>8.1632653061224492</c:v>
                </c:pt>
                <c:pt idx="6">
                  <c:v>43.9</c:v>
                </c:pt>
              </c:numCache>
            </c:numRef>
          </c:val>
          <c:extLst>
            <c:ext xmlns:c16="http://schemas.microsoft.com/office/drawing/2014/chart" uri="{C3380CC4-5D6E-409C-BE32-E72D297353CC}">
              <c16:uniqueId val="{0000000E-7421-4890-AD24-1F9E42BFE9B2}"/>
            </c:ext>
          </c:extLst>
        </c:ser>
        <c:dLbls>
          <c:dLblPos val="outEnd"/>
          <c:showLegendKey val="0"/>
          <c:showVal val="1"/>
          <c:showCatName val="0"/>
          <c:showSerName val="0"/>
          <c:showPercent val="0"/>
          <c:showBubbleSize val="0"/>
          <c:showLeaderLines val="1"/>
        </c:dLbls>
        <c:firstSliceAng val="0"/>
      </c:pieChart>
    </c:plotArea>
    <c:legend>
      <c:legendPos val="t"/>
      <c:legendEntry>
        <c:idx val="0"/>
        <c:txPr>
          <a:bodyPr/>
          <a:lstStyle/>
          <a:p>
            <a:pPr>
              <a:defRPr sz="1000" i="1"/>
            </a:pPr>
            <a:endParaRPr lang="en-US"/>
          </a:p>
        </c:txPr>
      </c:legendEntry>
      <c:legendEntry>
        <c:idx val="1"/>
        <c:txPr>
          <a:bodyPr/>
          <a:lstStyle/>
          <a:p>
            <a:pPr>
              <a:defRPr sz="1000" i="1"/>
            </a:pPr>
            <a:endParaRPr lang="en-US"/>
          </a:p>
        </c:txPr>
      </c:legendEntry>
      <c:legendEntry>
        <c:idx val="2"/>
        <c:txPr>
          <a:bodyPr/>
          <a:lstStyle/>
          <a:p>
            <a:pPr>
              <a:defRPr sz="1000" i="1"/>
            </a:pPr>
            <a:endParaRPr lang="en-US"/>
          </a:p>
        </c:txPr>
      </c:legendEntry>
      <c:legendEntry>
        <c:idx val="3"/>
        <c:txPr>
          <a:bodyPr/>
          <a:lstStyle/>
          <a:p>
            <a:pPr>
              <a:defRPr sz="1000" i="1"/>
            </a:pPr>
            <a:endParaRPr lang="en-US"/>
          </a:p>
        </c:txPr>
      </c:legendEntry>
      <c:legendEntry>
        <c:idx val="4"/>
        <c:txPr>
          <a:bodyPr/>
          <a:lstStyle/>
          <a:p>
            <a:pPr>
              <a:defRPr sz="1000" i="1"/>
            </a:pPr>
            <a:endParaRPr lang="en-US"/>
          </a:p>
        </c:txPr>
      </c:legendEntry>
      <c:legendEntry>
        <c:idx val="5"/>
        <c:txPr>
          <a:bodyPr/>
          <a:lstStyle/>
          <a:p>
            <a:pPr>
              <a:defRPr sz="1000" i="1"/>
            </a:pPr>
            <a:endParaRPr lang="en-US"/>
          </a:p>
        </c:txPr>
      </c:legendEntry>
      <c:layout>
        <c:manualLayout>
          <c:xMode val="edge"/>
          <c:yMode val="edge"/>
          <c:x val="0.13021668803027528"/>
          <c:y val="3.64741641337386E-2"/>
          <c:w val="0.83879118598547286"/>
          <c:h val="0.31822559414115786"/>
        </c:manualLayout>
      </c:layout>
      <c:overlay val="0"/>
      <c:txPr>
        <a:bodyPr/>
        <a:lstStyle/>
        <a:p>
          <a:pPr>
            <a:defRPr sz="1000"/>
          </a:pPr>
          <a:endParaRPr lang="en-US"/>
        </a:p>
      </c:txPr>
    </c:legend>
    <c:plotVisOnly val="1"/>
    <c:dispBlanksAs val="gap"/>
    <c:showDLblsOverMax val="0"/>
  </c:chart>
  <c:txPr>
    <a:bodyPr/>
    <a:lstStyle/>
    <a:p>
      <a:pPr>
        <a:defRPr sz="1000">
          <a:latin typeface="Tahoma" pitchFamily="34" charset="0"/>
          <a:ea typeface="Tahoma" pitchFamily="34" charset="0"/>
          <a:cs typeface="Tahoma"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Feuil23!$B$1:$B$9</c:f>
              <c:strCache>
                <c:ptCount val="9"/>
                <c:pt idx="0">
                  <c:v>P1</c:v>
                </c:pt>
                <c:pt idx="1">
                  <c:v>P2</c:v>
                </c:pt>
                <c:pt idx="2">
                  <c:v>P3</c:v>
                </c:pt>
                <c:pt idx="3">
                  <c:v>P4</c:v>
                </c:pt>
                <c:pt idx="4">
                  <c:v>P5</c:v>
                </c:pt>
                <c:pt idx="5">
                  <c:v>P6</c:v>
                </c:pt>
                <c:pt idx="6">
                  <c:v>P7</c:v>
                </c:pt>
                <c:pt idx="7">
                  <c:v>P8</c:v>
                </c:pt>
                <c:pt idx="8">
                  <c:v>P9</c:v>
                </c:pt>
              </c:strCache>
            </c:strRef>
          </c:cat>
          <c:val>
            <c:numRef>
              <c:f>Feuil23!$C$1:$C$9</c:f>
              <c:numCache>
                <c:formatCode>General</c:formatCode>
                <c:ptCount val="9"/>
                <c:pt idx="0">
                  <c:v>20</c:v>
                </c:pt>
                <c:pt idx="1">
                  <c:v>35</c:v>
                </c:pt>
                <c:pt idx="2">
                  <c:v>34</c:v>
                </c:pt>
                <c:pt idx="3">
                  <c:v>22</c:v>
                </c:pt>
                <c:pt idx="4">
                  <c:v>31</c:v>
                </c:pt>
                <c:pt idx="5">
                  <c:v>23</c:v>
                </c:pt>
                <c:pt idx="6">
                  <c:v>26</c:v>
                </c:pt>
                <c:pt idx="7">
                  <c:v>44</c:v>
                </c:pt>
                <c:pt idx="8">
                  <c:v>35</c:v>
                </c:pt>
              </c:numCache>
            </c:numRef>
          </c:val>
          <c:smooth val="0"/>
          <c:extLst>
            <c:ext xmlns:c16="http://schemas.microsoft.com/office/drawing/2014/chart" uri="{C3380CC4-5D6E-409C-BE32-E72D297353CC}">
              <c16:uniqueId val="{00000000-9CF5-4D6A-AC17-5E2966E6F4A2}"/>
            </c:ext>
          </c:extLst>
        </c:ser>
        <c:dLbls>
          <c:showLegendKey val="0"/>
          <c:showVal val="0"/>
          <c:showCatName val="0"/>
          <c:showSerName val="0"/>
          <c:showPercent val="0"/>
          <c:showBubbleSize val="0"/>
        </c:dLbls>
        <c:marker val="1"/>
        <c:smooth val="0"/>
        <c:axId val="94770688"/>
        <c:axId val="94772608"/>
      </c:lineChart>
      <c:catAx>
        <c:axId val="94770688"/>
        <c:scaling>
          <c:orientation val="minMax"/>
        </c:scaling>
        <c:delete val="0"/>
        <c:axPos val="b"/>
        <c:title>
          <c:tx>
            <c:rich>
              <a:bodyPr/>
              <a:lstStyle/>
              <a:p>
                <a:pPr>
                  <a:defRPr/>
                </a:pPr>
                <a:r>
                  <a:rPr lang="en"/>
                  <a:t>Squares</a:t>
                </a:r>
              </a:p>
            </c:rich>
          </c:tx>
          <c:overlay val="0"/>
        </c:title>
        <c:numFmt formatCode="General" sourceLinked="0"/>
        <c:majorTickMark val="none"/>
        <c:minorTickMark val="none"/>
        <c:tickLblPos val="nextTo"/>
        <c:crossAx val="94772608"/>
        <c:crosses val="autoZero"/>
        <c:auto val="1"/>
        <c:lblAlgn val="ctr"/>
        <c:lblOffset val="100"/>
        <c:noMultiLvlLbl val="0"/>
      </c:catAx>
      <c:valAx>
        <c:axId val="94772608"/>
        <c:scaling>
          <c:orientation val="minMax"/>
        </c:scaling>
        <c:delete val="0"/>
        <c:axPos val="l"/>
        <c:title>
          <c:tx>
            <c:rich>
              <a:bodyPr/>
              <a:lstStyle/>
              <a:p>
                <a:pPr>
                  <a:defRPr/>
                </a:pPr>
                <a:r>
                  <a:rPr lang="en"/>
                  <a:t>Number of species</a:t>
                </a:r>
              </a:p>
            </c:rich>
          </c:tx>
          <c:overlay val="0"/>
        </c:title>
        <c:numFmt formatCode="General" sourceLinked="1"/>
        <c:majorTickMark val="none"/>
        <c:minorTickMark val="none"/>
        <c:tickLblPos val="nextTo"/>
        <c:crossAx val="94770688"/>
        <c:crosses val="autoZero"/>
        <c:crossBetween val="between"/>
      </c:valAx>
    </c:plotArea>
    <c:plotVisOnly val="1"/>
    <c:dispBlanksAs val="gap"/>
    <c:showDLblsOverMax val="0"/>
  </c:chart>
  <c:txPr>
    <a:bodyPr/>
    <a:lstStyle/>
    <a:p>
      <a:pPr>
        <a:defRPr sz="1000" b="0">
          <a:latin typeface="Tahoma" pitchFamily="34" charset="0"/>
          <a:ea typeface="Tahoma" pitchFamily="34" charset="0"/>
          <a:cs typeface="Tahoma"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CCCC00"/>
            </a:solidFill>
          </c:spPr>
          <c:invertIfNegative val="0"/>
          <c:dLbls>
            <c:dLbl>
              <c:idx val="0"/>
              <c:tx>
                <c:rich>
                  <a:bodyPr/>
                  <a:lstStyle/>
                  <a:p>
                    <a:r>
                      <a:rPr lang="en-US"/>
                      <a:t>30.92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72-46C7-895E-7DAD858D851A}"/>
                </c:ext>
              </c:extLst>
            </c:dLbl>
            <c:dLbl>
              <c:idx val="1"/>
              <c:tx>
                <c:rich>
                  <a:bodyPr/>
                  <a:lstStyle/>
                  <a:p>
                    <a:r>
                      <a:rPr lang="en-US"/>
                      <a:t>18.55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72-46C7-895E-7DAD858D851A}"/>
                </c:ext>
              </c:extLst>
            </c:dLbl>
            <c:dLbl>
              <c:idx val="2"/>
              <c:tx>
                <c:rich>
                  <a:bodyPr/>
                  <a:lstStyle/>
                  <a:p>
                    <a:r>
                      <a:rPr lang="en-US"/>
                      <a:t>4.12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72-46C7-895E-7DAD858D851A}"/>
                </c:ext>
              </c:extLst>
            </c:dLbl>
            <c:dLbl>
              <c:idx val="3"/>
              <c:tx>
                <c:rich>
                  <a:bodyPr/>
                  <a:lstStyle/>
                  <a:p>
                    <a:r>
                      <a:rPr lang="en-US"/>
                      <a:t>1.03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72-46C7-895E-7DAD858D851A}"/>
                </c:ext>
              </c:extLst>
            </c:dLbl>
            <c:dLbl>
              <c:idx val="4"/>
              <c:tx>
                <c:rich>
                  <a:bodyPr/>
                  <a:lstStyle/>
                  <a:p>
                    <a:r>
                      <a:rPr lang="en-US"/>
                      <a:t>6.18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72-46C7-895E-7DAD858D851A}"/>
                </c:ext>
              </c:extLst>
            </c:dLbl>
            <c:dLbl>
              <c:idx val="5"/>
              <c:tx>
                <c:rich>
                  <a:bodyPr/>
                  <a:lstStyle/>
                  <a:p>
                    <a:r>
                      <a:rPr lang="en-US"/>
                      <a:t>39.17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72-46C7-895E-7DAD858D851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Feuil22!$A$1:$A$6</c:f>
              <c:strCache>
                <c:ptCount val="6"/>
                <c:pt idx="0">
                  <c:v>CHA</c:v>
                </c:pt>
                <c:pt idx="1">
                  <c:v>GEO</c:v>
                </c:pt>
                <c:pt idx="2">
                  <c:v>HE</c:v>
                </c:pt>
                <c:pt idx="3">
                  <c:v>HYD</c:v>
                </c:pt>
                <c:pt idx="4">
                  <c:v>PH</c:v>
                </c:pt>
                <c:pt idx="5">
                  <c:v>THE</c:v>
                </c:pt>
              </c:strCache>
            </c:strRef>
          </c:cat>
          <c:val>
            <c:numRef>
              <c:f>Feuil22!$B$1:$B$6</c:f>
              <c:numCache>
                <c:formatCode>General</c:formatCode>
                <c:ptCount val="6"/>
                <c:pt idx="0">
                  <c:v>30.927835051546392</c:v>
                </c:pt>
                <c:pt idx="1">
                  <c:v>18.556701030927837</c:v>
                </c:pt>
                <c:pt idx="2">
                  <c:v>4.1237113402061851</c:v>
                </c:pt>
                <c:pt idx="3">
                  <c:v>1.0309278350515463</c:v>
                </c:pt>
                <c:pt idx="4">
                  <c:v>6.1855670103092786</c:v>
                </c:pt>
                <c:pt idx="5">
                  <c:v>39.175257731958766</c:v>
                </c:pt>
              </c:numCache>
            </c:numRef>
          </c:val>
          <c:extLst>
            <c:ext xmlns:c16="http://schemas.microsoft.com/office/drawing/2014/chart" uri="{C3380CC4-5D6E-409C-BE32-E72D297353CC}">
              <c16:uniqueId val="{00000006-E872-46C7-895E-7DAD858D851A}"/>
            </c:ext>
          </c:extLst>
        </c:ser>
        <c:dLbls>
          <c:showLegendKey val="0"/>
          <c:showVal val="0"/>
          <c:showCatName val="0"/>
          <c:showSerName val="0"/>
          <c:showPercent val="0"/>
          <c:showBubbleSize val="0"/>
        </c:dLbls>
        <c:gapWidth val="150"/>
        <c:axId val="95365376"/>
        <c:axId val="95367552"/>
      </c:barChart>
      <c:catAx>
        <c:axId val="95365376"/>
        <c:scaling>
          <c:orientation val="minMax"/>
        </c:scaling>
        <c:delete val="0"/>
        <c:axPos val="b"/>
        <c:title>
          <c:tx>
            <c:rich>
              <a:bodyPr/>
              <a:lstStyle/>
              <a:p>
                <a:pPr>
                  <a:defRPr/>
                </a:pPr>
                <a:r>
                  <a:rPr lang="en"/>
                  <a:t>Biological types</a:t>
                </a:r>
              </a:p>
            </c:rich>
          </c:tx>
          <c:overlay val="0"/>
        </c:title>
        <c:numFmt formatCode="General" sourceLinked="0"/>
        <c:majorTickMark val="out"/>
        <c:minorTickMark val="none"/>
        <c:tickLblPos val="nextTo"/>
        <c:crossAx val="95367552"/>
        <c:crosses val="autoZero"/>
        <c:auto val="1"/>
        <c:lblAlgn val="ctr"/>
        <c:lblOffset val="100"/>
        <c:noMultiLvlLbl val="0"/>
      </c:catAx>
      <c:valAx>
        <c:axId val="95367552"/>
        <c:scaling>
          <c:orientation val="minMax"/>
        </c:scaling>
        <c:delete val="0"/>
        <c:axPos val="l"/>
        <c:title>
          <c:tx>
            <c:rich>
              <a:bodyPr rot="-5400000" vert="horz"/>
              <a:lstStyle/>
              <a:p>
                <a:pPr>
                  <a:defRPr/>
                </a:pPr>
                <a:r>
                  <a:rPr lang="en"/>
                  <a:t>Species (%)</a:t>
                </a:r>
              </a:p>
            </c:rich>
          </c:tx>
          <c:overlay val="0"/>
        </c:title>
        <c:numFmt formatCode="General" sourceLinked="1"/>
        <c:majorTickMark val="out"/>
        <c:minorTickMark val="none"/>
        <c:tickLblPos val="nextTo"/>
        <c:crossAx val="95365376"/>
        <c:crosses val="autoZero"/>
        <c:crossBetween val="between"/>
      </c:valAx>
    </c:plotArea>
    <c:plotVisOnly val="1"/>
    <c:dispBlanksAs val="gap"/>
    <c:showDLblsOverMax val="0"/>
  </c:chart>
  <c:txPr>
    <a:bodyPr/>
    <a:lstStyle/>
    <a:p>
      <a:pPr>
        <a:defRPr sz="1100" b="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CCCC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Feuil25!$B$2:$B$9</c:f>
              <c:strCache>
                <c:ptCount val="8"/>
                <c:pt idx="0">
                  <c:v>Afro-am</c:v>
                </c:pt>
                <c:pt idx="1">
                  <c:v>Afro-mal</c:v>
                </c:pt>
                <c:pt idx="2">
                  <c:v>Afro-trop</c:v>
                </c:pt>
                <c:pt idx="3">
                  <c:v>Cosm</c:v>
                </c:pt>
                <c:pt idx="4">
                  <c:v>Guin-cong</c:v>
                </c:pt>
                <c:pt idx="5">
                  <c:v>Pal</c:v>
                </c:pt>
                <c:pt idx="6">
                  <c:v>Pan</c:v>
                </c:pt>
                <c:pt idx="7">
                  <c:v>Soud-zam</c:v>
                </c:pt>
              </c:strCache>
            </c:strRef>
          </c:cat>
          <c:val>
            <c:numRef>
              <c:f>Feuil25!$C$2:$C$9</c:f>
              <c:numCache>
                <c:formatCode>0.00</c:formatCode>
                <c:ptCount val="8"/>
                <c:pt idx="0">
                  <c:v>6.1855670103092786</c:v>
                </c:pt>
                <c:pt idx="1">
                  <c:v>1.0309278350515463</c:v>
                </c:pt>
                <c:pt idx="2">
                  <c:v>10.309278350515463</c:v>
                </c:pt>
                <c:pt idx="3">
                  <c:v>13.402061855670103</c:v>
                </c:pt>
                <c:pt idx="4">
                  <c:v>5.1546391752577314</c:v>
                </c:pt>
                <c:pt idx="5">
                  <c:v>8.2474226804123703</c:v>
                </c:pt>
                <c:pt idx="6">
                  <c:v>50.515463917525771</c:v>
                </c:pt>
                <c:pt idx="7">
                  <c:v>5.1546391752577314</c:v>
                </c:pt>
              </c:numCache>
            </c:numRef>
          </c:val>
          <c:extLst>
            <c:ext xmlns:c16="http://schemas.microsoft.com/office/drawing/2014/chart" uri="{C3380CC4-5D6E-409C-BE32-E72D297353CC}">
              <c16:uniqueId val="{00000000-D360-4E62-9A2C-7F0CBB96033B}"/>
            </c:ext>
          </c:extLst>
        </c:ser>
        <c:dLbls>
          <c:showLegendKey val="0"/>
          <c:showVal val="0"/>
          <c:showCatName val="0"/>
          <c:showSerName val="0"/>
          <c:showPercent val="0"/>
          <c:showBubbleSize val="0"/>
        </c:dLbls>
        <c:gapWidth val="150"/>
        <c:axId val="103788928"/>
        <c:axId val="103790848"/>
      </c:barChart>
      <c:catAx>
        <c:axId val="103788928"/>
        <c:scaling>
          <c:orientation val="minMax"/>
        </c:scaling>
        <c:delete val="0"/>
        <c:axPos val="b"/>
        <c:title>
          <c:tx>
            <c:rich>
              <a:bodyPr/>
              <a:lstStyle/>
              <a:p>
                <a:pPr>
                  <a:defRPr/>
                </a:pPr>
                <a:r>
                  <a:rPr lang="en"/>
                  <a:t>Biogeographic types</a:t>
                </a:r>
              </a:p>
            </c:rich>
          </c:tx>
          <c:overlay val="0"/>
        </c:title>
        <c:numFmt formatCode="General" sourceLinked="0"/>
        <c:majorTickMark val="out"/>
        <c:minorTickMark val="none"/>
        <c:tickLblPos val="nextTo"/>
        <c:crossAx val="103790848"/>
        <c:crossesAt val="0"/>
        <c:auto val="1"/>
        <c:lblAlgn val="ctr"/>
        <c:lblOffset val="100"/>
        <c:noMultiLvlLbl val="0"/>
      </c:catAx>
      <c:valAx>
        <c:axId val="103790848"/>
        <c:scaling>
          <c:orientation val="minMax"/>
          <c:max val="60"/>
          <c:min val="0"/>
        </c:scaling>
        <c:delete val="0"/>
        <c:axPos val="l"/>
        <c:title>
          <c:tx>
            <c:rich>
              <a:bodyPr rot="-5400000" vert="horz"/>
              <a:lstStyle/>
              <a:p>
                <a:pPr>
                  <a:defRPr/>
                </a:pPr>
                <a:r>
                  <a:rPr lang="en"/>
                  <a:t>Species (%)</a:t>
                </a:r>
              </a:p>
            </c:rich>
          </c:tx>
          <c:overlay val="0"/>
        </c:title>
        <c:numFmt formatCode="0.00" sourceLinked="1"/>
        <c:majorTickMark val="out"/>
        <c:minorTickMark val="none"/>
        <c:tickLblPos val="nextTo"/>
        <c:crossAx val="103788928"/>
        <c:crosses val="autoZero"/>
        <c:crossBetween val="between"/>
        <c:majorUnit val="10"/>
        <c:minorUnit val="2"/>
      </c:valAx>
    </c:plotArea>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'[Graphique dans Microsoft Word]Feuil17'!$G$2</c:f>
              <c:strCache>
                <c:ptCount val="1"/>
                <c:pt idx="0">
                  <c:v>Chamephytes</c:v>
                </c:pt>
              </c:strCache>
            </c:strRef>
          </c:tx>
          <c:spPr>
            <a:solidFill>
              <a:srgbClr val="CCCC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Word]Feuil17'!$H$2:$K$2</c:f>
              <c:numCache>
                <c:formatCode>0.0</c:formatCode>
                <c:ptCount val="4"/>
                <c:pt idx="0">
                  <c:v>24.137931034482758</c:v>
                </c:pt>
                <c:pt idx="1">
                  <c:v>26.229508196721312</c:v>
                </c:pt>
                <c:pt idx="2">
                  <c:v>45.833333333333329</c:v>
                </c:pt>
                <c:pt idx="3">
                  <c:v>32.608695652173914</c:v>
                </c:pt>
              </c:numCache>
            </c:numRef>
          </c:val>
          <c:extLst>
            <c:ext xmlns:c16="http://schemas.microsoft.com/office/drawing/2014/chart" uri="{C3380CC4-5D6E-409C-BE32-E72D297353CC}">
              <c16:uniqueId val="{00000000-2C68-483D-B406-8BC7CFE20531}"/>
            </c:ext>
          </c:extLst>
        </c:ser>
        <c:ser>
          <c:idx val="1"/>
          <c:order val="1"/>
          <c:tx>
            <c:strRef>
              <c:f>'[Graphique dans Microsoft Word]Feuil17'!$G$3</c:f>
              <c:strCache>
                <c:ptCount val="1"/>
                <c:pt idx="0">
                  <c:v>Geophytes</c:v>
                </c:pt>
              </c:strCache>
            </c:strRef>
          </c:tx>
          <c:spPr>
            <a:solidFill>
              <a:srgbClr val="FF66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Word]Feuil17'!$H$3:$K$3</c:f>
              <c:numCache>
                <c:formatCode>0.0</c:formatCode>
                <c:ptCount val="4"/>
                <c:pt idx="0">
                  <c:v>17.241379310344829</c:v>
                </c:pt>
                <c:pt idx="1">
                  <c:v>18.032786885245901</c:v>
                </c:pt>
                <c:pt idx="2">
                  <c:v>16.666666666666664</c:v>
                </c:pt>
                <c:pt idx="3">
                  <c:v>15.217391304347828</c:v>
                </c:pt>
              </c:numCache>
            </c:numRef>
          </c:val>
          <c:extLst>
            <c:ext xmlns:c16="http://schemas.microsoft.com/office/drawing/2014/chart" uri="{C3380CC4-5D6E-409C-BE32-E72D297353CC}">
              <c16:uniqueId val="{00000001-2C68-483D-B406-8BC7CFE20531}"/>
            </c:ext>
          </c:extLst>
        </c:ser>
        <c:ser>
          <c:idx val="2"/>
          <c:order val="2"/>
          <c:tx>
            <c:strRef>
              <c:f>'[Graphique dans Microsoft Word]Feuil17'!$G$4</c:f>
              <c:strCache>
                <c:ptCount val="1"/>
                <c:pt idx="0">
                  <c:v>Hemicryptophytes</c:v>
                </c:pt>
              </c:strCache>
            </c:strRef>
          </c:tx>
          <c:spPr>
            <a:solidFill>
              <a:srgbClr val="3333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Word]Feuil17'!$H$4:$K$4</c:f>
              <c:numCache>
                <c:formatCode>0.0</c:formatCode>
                <c:ptCount val="4"/>
                <c:pt idx="0">
                  <c:v>5.1724137931034484</c:v>
                </c:pt>
                <c:pt idx="1">
                  <c:v>1.639344262295082</c:v>
                </c:pt>
                <c:pt idx="2">
                  <c:v>4.1666666666666661</c:v>
                </c:pt>
                <c:pt idx="3">
                  <c:v>6.5217391304347823</c:v>
                </c:pt>
              </c:numCache>
            </c:numRef>
          </c:val>
          <c:extLst>
            <c:ext xmlns:c16="http://schemas.microsoft.com/office/drawing/2014/chart" uri="{C3380CC4-5D6E-409C-BE32-E72D297353CC}">
              <c16:uniqueId val="{00000002-2C68-483D-B406-8BC7CFE20531}"/>
            </c:ext>
          </c:extLst>
        </c:ser>
        <c:ser>
          <c:idx val="3"/>
          <c:order val="3"/>
          <c:tx>
            <c:strRef>
              <c:f>'[Graphique dans Microsoft Word]Feuil17'!$G$5</c:f>
              <c:strCache>
                <c:ptCount val="1"/>
                <c:pt idx="0">
                  <c:v>Hydrophytes</c:v>
                </c:pt>
              </c:strCache>
            </c:strRef>
          </c:tx>
          <c:spPr>
            <a:solidFill>
              <a:srgbClr val="FFFF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Word]Feuil17'!$H$5:$K$5</c:f>
              <c:numCache>
                <c:formatCode>0.0</c:formatCode>
                <c:ptCount val="4"/>
                <c:pt idx="0">
                  <c:v>1.7241379310344827</c:v>
                </c:pt>
                <c:pt idx="1">
                  <c:v>0</c:v>
                </c:pt>
                <c:pt idx="2">
                  <c:v>0</c:v>
                </c:pt>
                <c:pt idx="3">
                  <c:v>0</c:v>
                </c:pt>
              </c:numCache>
            </c:numRef>
          </c:val>
          <c:extLst>
            <c:ext xmlns:c16="http://schemas.microsoft.com/office/drawing/2014/chart" uri="{C3380CC4-5D6E-409C-BE32-E72D297353CC}">
              <c16:uniqueId val="{00000003-2C68-483D-B406-8BC7CFE20531}"/>
            </c:ext>
          </c:extLst>
        </c:ser>
        <c:ser>
          <c:idx val="4"/>
          <c:order val="4"/>
          <c:tx>
            <c:strRef>
              <c:f>'[Graphique dans Microsoft Word]Feuil17'!$G$6</c:f>
              <c:strCache>
                <c:ptCount val="1"/>
                <c:pt idx="0">
                  <c:v>Phanerophytes</c:v>
                </c:pt>
              </c:strCache>
            </c:strRef>
          </c:tx>
          <c:spPr>
            <a:solidFill>
              <a:srgbClr val="00FFFF"/>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Word]Feuil17'!$H$6:$K$6</c:f>
              <c:numCache>
                <c:formatCode>0.0</c:formatCode>
                <c:ptCount val="4"/>
                <c:pt idx="0">
                  <c:v>5.1724137931034484</c:v>
                </c:pt>
                <c:pt idx="1">
                  <c:v>4.918032786885246</c:v>
                </c:pt>
                <c:pt idx="2">
                  <c:v>4.1666666666666661</c:v>
                </c:pt>
                <c:pt idx="3">
                  <c:v>10.869565217391305</c:v>
                </c:pt>
              </c:numCache>
            </c:numRef>
          </c:val>
          <c:extLst>
            <c:ext xmlns:c16="http://schemas.microsoft.com/office/drawing/2014/chart" uri="{C3380CC4-5D6E-409C-BE32-E72D297353CC}">
              <c16:uniqueId val="{00000004-2C68-483D-B406-8BC7CFE20531}"/>
            </c:ext>
          </c:extLst>
        </c:ser>
        <c:ser>
          <c:idx val="5"/>
          <c:order val="5"/>
          <c:tx>
            <c:strRef>
              <c:f>'[Graphique dans Microsoft Word]Feuil17'!$G$7</c:f>
              <c:strCache>
                <c:ptCount val="1"/>
                <c:pt idx="0">
                  <c:v>Therophytes</c:v>
                </c:pt>
              </c:strCache>
            </c:strRef>
          </c:tx>
          <c:spPr>
            <a:solidFill>
              <a:srgbClr val="0000FF"/>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Word]Feuil17'!$H$7:$K$7</c:f>
              <c:numCache>
                <c:formatCode>0.0</c:formatCode>
                <c:ptCount val="4"/>
                <c:pt idx="0">
                  <c:v>46.551724137931032</c:v>
                </c:pt>
                <c:pt idx="1">
                  <c:v>49.180327868852459</c:v>
                </c:pt>
                <c:pt idx="2">
                  <c:v>29.166666666666668</c:v>
                </c:pt>
                <c:pt idx="3">
                  <c:v>34.782608695652172</c:v>
                </c:pt>
              </c:numCache>
            </c:numRef>
          </c:val>
          <c:extLst>
            <c:ext xmlns:c16="http://schemas.microsoft.com/office/drawing/2014/chart" uri="{C3380CC4-5D6E-409C-BE32-E72D297353CC}">
              <c16:uniqueId val="{00000005-2C68-483D-B406-8BC7CFE20531}"/>
            </c:ext>
          </c:extLst>
        </c:ser>
        <c:dLbls>
          <c:showLegendKey val="0"/>
          <c:showVal val="0"/>
          <c:showCatName val="0"/>
          <c:showSerName val="0"/>
          <c:showPercent val="0"/>
          <c:showBubbleSize val="0"/>
        </c:dLbls>
        <c:gapWidth val="150"/>
        <c:overlap val="100"/>
        <c:axId val="104216448"/>
        <c:axId val="104222720"/>
      </c:barChart>
      <c:catAx>
        <c:axId val="104216448"/>
        <c:scaling>
          <c:orientation val="minMax"/>
        </c:scaling>
        <c:delete val="0"/>
        <c:axPos val="b"/>
        <c:title>
          <c:tx>
            <c:rich>
              <a:bodyPr/>
              <a:lstStyle/>
              <a:p>
                <a:pPr>
                  <a:defRPr/>
                </a:pPr>
                <a:r>
                  <a:rPr lang="fr-FR"/>
                  <a:t>Floristic</a:t>
                </a:r>
                <a:r>
                  <a:rPr lang="fr-FR" baseline="0"/>
                  <a:t> groups</a:t>
                </a:r>
                <a:endParaRPr lang="fr-FR"/>
              </a:p>
            </c:rich>
          </c:tx>
          <c:overlay val="0"/>
        </c:title>
        <c:numFmt formatCode="General" sourceLinked="0"/>
        <c:majorTickMark val="out"/>
        <c:minorTickMark val="none"/>
        <c:tickLblPos val="nextTo"/>
        <c:crossAx val="104222720"/>
        <c:crosses val="autoZero"/>
        <c:auto val="1"/>
        <c:lblAlgn val="ctr"/>
        <c:lblOffset val="100"/>
        <c:noMultiLvlLbl val="0"/>
      </c:catAx>
      <c:valAx>
        <c:axId val="104222720"/>
        <c:scaling>
          <c:orientation val="minMax"/>
          <c:max val="100"/>
        </c:scaling>
        <c:delete val="0"/>
        <c:axPos val="l"/>
        <c:majorGridlines/>
        <c:title>
          <c:tx>
            <c:rich>
              <a:bodyPr rot="-5400000" vert="horz"/>
              <a:lstStyle/>
              <a:p>
                <a:pPr>
                  <a:defRPr/>
                </a:pPr>
                <a:r>
                  <a:rPr lang="fr-FR"/>
                  <a:t>Proportion</a:t>
                </a:r>
                <a:r>
                  <a:rPr lang="fr-FR" baseline="0"/>
                  <a:t> </a:t>
                </a:r>
                <a:r>
                  <a:rPr lang="fr-FR"/>
                  <a:t>(%)</a:t>
                </a:r>
              </a:p>
            </c:rich>
          </c:tx>
          <c:overlay val="0"/>
        </c:title>
        <c:numFmt formatCode="0" sourceLinked="0"/>
        <c:majorTickMark val="out"/>
        <c:minorTickMark val="none"/>
        <c:tickLblPos val="nextTo"/>
        <c:crossAx val="104216448"/>
        <c:crosses val="autoZero"/>
        <c:crossBetween val="between"/>
        <c:majorUnit val="20"/>
        <c:minorUnit val="4"/>
      </c:valAx>
    </c:plotArea>
    <c:legend>
      <c:legendPos val="t"/>
      <c:overlay val="0"/>
    </c:legend>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Feuil26!$A$10</c:f>
              <c:strCache>
                <c:ptCount val="1"/>
                <c:pt idx="0">
                  <c:v>Soudano-Zambéziennes </c:v>
                </c:pt>
              </c:strCache>
            </c:strRef>
          </c:tx>
          <c:spPr>
            <a:solidFill>
              <a:srgbClr val="FFC000"/>
            </a:solidFill>
          </c:spPr>
          <c:invertIfNegative val="0"/>
          <c:cat>
            <c:strRef>
              <c:f>Feuil26!$B$9:$E$9</c:f>
              <c:strCache>
                <c:ptCount val="4"/>
                <c:pt idx="0">
                  <c:v>GI</c:v>
                </c:pt>
                <c:pt idx="1">
                  <c:v>GII</c:v>
                </c:pt>
                <c:pt idx="2">
                  <c:v>GIII</c:v>
                </c:pt>
                <c:pt idx="3">
                  <c:v>GIV</c:v>
                </c:pt>
              </c:strCache>
            </c:strRef>
          </c:cat>
          <c:val>
            <c:numRef>
              <c:f>Feuil26!$B$10:$E$10</c:f>
              <c:numCache>
                <c:formatCode>General</c:formatCode>
                <c:ptCount val="4"/>
                <c:pt idx="0">
                  <c:v>6.8965517241379306</c:v>
                </c:pt>
                <c:pt idx="1">
                  <c:v>1.639344262295082</c:v>
                </c:pt>
                <c:pt idx="2">
                  <c:v>4.1666666666666661</c:v>
                </c:pt>
                <c:pt idx="3">
                  <c:v>4.3478260869565215</c:v>
                </c:pt>
              </c:numCache>
            </c:numRef>
          </c:val>
          <c:extLst>
            <c:ext xmlns:c16="http://schemas.microsoft.com/office/drawing/2014/chart" uri="{C3380CC4-5D6E-409C-BE32-E72D297353CC}">
              <c16:uniqueId val="{00000000-38A7-4367-80D5-AC33C4DC939A}"/>
            </c:ext>
          </c:extLst>
        </c:ser>
        <c:ser>
          <c:idx val="1"/>
          <c:order val="1"/>
          <c:tx>
            <c:strRef>
              <c:f>Feuil26!$A$11</c:f>
              <c:strCache>
                <c:ptCount val="1"/>
                <c:pt idx="0">
                  <c:v>Guinéo-Congolaises </c:v>
                </c:pt>
              </c:strCache>
            </c:strRef>
          </c:tx>
          <c:spPr>
            <a:solidFill>
              <a:srgbClr val="0000FF"/>
            </a:solidFill>
          </c:spPr>
          <c:invertIfNegative val="0"/>
          <c:cat>
            <c:strRef>
              <c:f>Feuil26!$B$9:$E$9</c:f>
              <c:strCache>
                <c:ptCount val="4"/>
                <c:pt idx="0">
                  <c:v>GI</c:v>
                </c:pt>
                <c:pt idx="1">
                  <c:v>GII</c:v>
                </c:pt>
                <c:pt idx="2">
                  <c:v>GIII</c:v>
                </c:pt>
                <c:pt idx="3">
                  <c:v>GIV</c:v>
                </c:pt>
              </c:strCache>
            </c:strRef>
          </c:cat>
          <c:val>
            <c:numRef>
              <c:f>Feuil26!$B$11:$E$11</c:f>
              <c:numCache>
                <c:formatCode>General</c:formatCode>
                <c:ptCount val="4"/>
                <c:pt idx="0">
                  <c:v>5.1724137931034484</c:v>
                </c:pt>
                <c:pt idx="1">
                  <c:v>1.639344262295082</c:v>
                </c:pt>
                <c:pt idx="2">
                  <c:v>8.3333333333333321</c:v>
                </c:pt>
                <c:pt idx="3">
                  <c:v>2.1739130434782608</c:v>
                </c:pt>
              </c:numCache>
            </c:numRef>
          </c:val>
          <c:extLst>
            <c:ext xmlns:c16="http://schemas.microsoft.com/office/drawing/2014/chart" uri="{C3380CC4-5D6E-409C-BE32-E72D297353CC}">
              <c16:uniqueId val="{00000001-38A7-4367-80D5-AC33C4DC939A}"/>
            </c:ext>
          </c:extLst>
        </c:ser>
        <c:ser>
          <c:idx val="2"/>
          <c:order val="2"/>
          <c:tx>
            <c:strRef>
              <c:f>Feuil26!$A$12</c:f>
              <c:strCache>
                <c:ptCount val="1"/>
                <c:pt idx="0">
                  <c:v>Espèces largement distribuées</c:v>
                </c:pt>
              </c:strCache>
            </c:strRef>
          </c:tx>
          <c:spPr>
            <a:solidFill>
              <a:srgbClr val="CCCC00"/>
            </a:solidFill>
          </c:spPr>
          <c:invertIfNegative val="0"/>
          <c:cat>
            <c:strRef>
              <c:f>Feuil26!$B$9:$E$9</c:f>
              <c:strCache>
                <c:ptCount val="4"/>
                <c:pt idx="0">
                  <c:v>GI</c:v>
                </c:pt>
                <c:pt idx="1">
                  <c:v>GII</c:v>
                </c:pt>
                <c:pt idx="2">
                  <c:v>GIII</c:v>
                </c:pt>
                <c:pt idx="3">
                  <c:v>GIV</c:v>
                </c:pt>
              </c:strCache>
            </c:strRef>
          </c:cat>
          <c:val>
            <c:numRef>
              <c:f>Feuil26!$B$12:$E$12</c:f>
              <c:numCache>
                <c:formatCode>General</c:formatCode>
                <c:ptCount val="4"/>
                <c:pt idx="0">
                  <c:v>87.931034482758633</c:v>
                </c:pt>
                <c:pt idx="1">
                  <c:v>96.721311475409834</c:v>
                </c:pt>
                <c:pt idx="2">
                  <c:v>87.499999999999986</c:v>
                </c:pt>
                <c:pt idx="3">
                  <c:v>93.478260869565233</c:v>
                </c:pt>
              </c:numCache>
            </c:numRef>
          </c:val>
          <c:extLst>
            <c:ext xmlns:c16="http://schemas.microsoft.com/office/drawing/2014/chart" uri="{C3380CC4-5D6E-409C-BE32-E72D297353CC}">
              <c16:uniqueId val="{00000002-38A7-4367-80D5-AC33C4DC939A}"/>
            </c:ext>
          </c:extLst>
        </c:ser>
        <c:dLbls>
          <c:showLegendKey val="0"/>
          <c:showVal val="0"/>
          <c:showCatName val="0"/>
          <c:showSerName val="0"/>
          <c:showPercent val="0"/>
          <c:showBubbleSize val="0"/>
        </c:dLbls>
        <c:gapWidth val="150"/>
        <c:overlap val="100"/>
        <c:axId val="103770752"/>
        <c:axId val="103899904"/>
      </c:barChart>
      <c:catAx>
        <c:axId val="103770752"/>
        <c:scaling>
          <c:orientation val="minMax"/>
        </c:scaling>
        <c:delete val="0"/>
        <c:axPos val="b"/>
        <c:title>
          <c:tx>
            <c:rich>
              <a:bodyPr/>
              <a:lstStyle/>
              <a:p>
                <a:pPr>
                  <a:defRPr/>
                </a:pPr>
                <a:r>
                  <a:rPr lang="en"/>
                  <a:t>Plant groups</a:t>
                </a:r>
              </a:p>
            </c:rich>
          </c:tx>
          <c:overlay val="0"/>
        </c:title>
        <c:numFmt formatCode="General" sourceLinked="0"/>
        <c:majorTickMark val="out"/>
        <c:minorTickMark val="none"/>
        <c:tickLblPos val="nextTo"/>
        <c:crossAx val="103899904"/>
        <c:crosses val="autoZero"/>
        <c:auto val="1"/>
        <c:lblAlgn val="ctr"/>
        <c:lblOffset val="100"/>
        <c:noMultiLvlLbl val="0"/>
      </c:catAx>
      <c:valAx>
        <c:axId val="103899904"/>
        <c:scaling>
          <c:orientation val="minMax"/>
        </c:scaling>
        <c:delete val="0"/>
        <c:axPos val="l"/>
        <c:title>
          <c:tx>
            <c:rich>
              <a:bodyPr rot="-5400000" vert="horz"/>
              <a:lstStyle/>
              <a:p>
                <a:pPr>
                  <a:defRPr/>
                </a:pPr>
                <a:r>
                  <a:rPr lang="en"/>
                  <a:t>Proportion of plant species (%)</a:t>
                </a:r>
              </a:p>
            </c:rich>
          </c:tx>
          <c:overlay val="0"/>
        </c:title>
        <c:numFmt formatCode="General" sourceLinked="1"/>
        <c:majorTickMark val="out"/>
        <c:minorTickMark val="none"/>
        <c:tickLblPos val="nextTo"/>
        <c:crossAx val="103770752"/>
        <c:crosses val="autoZero"/>
        <c:crossBetween val="between"/>
      </c:valAx>
    </c:plotArea>
    <c:legend>
      <c:legendPos val="r"/>
      <c:overlay val="0"/>
    </c:legend>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Feuil26!$B$23</c:f>
              <c:strCache>
                <c:ptCount val="1"/>
                <c:pt idx="0">
                  <c:v>GI</c:v>
                </c:pt>
              </c:strCache>
            </c:strRef>
          </c:tx>
          <c:spPr>
            <a:solidFill>
              <a:srgbClr val="9900CC"/>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Feuil26!$B$24:$B$29</c:f>
              <c:numCache>
                <c:formatCode>General</c:formatCode>
                <c:ptCount val="6"/>
                <c:pt idx="0">
                  <c:v>6.8965517241379306</c:v>
                </c:pt>
                <c:pt idx="1">
                  <c:v>1.7241379310344827</c:v>
                </c:pt>
                <c:pt idx="2">
                  <c:v>10.344827586206897</c:v>
                </c:pt>
                <c:pt idx="3">
                  <c:v>8.6206896551724146</c:v>
                </c:pt>
                <c:pt idx="4">
                  <c:v>8.6206896551724146</c:v>
                </c:pt>
                <c:pt idx="5">
                  <c:v>51.724137931034484</c:v>
                </c:pt>
              </c:numCache>
            </c:numRef>
          </c:val>
          <c:extLst>
            <c:ext xmlns:c16="http://schemas.microsoft.com/office/drawing/2014/chart" uri="{C3380CC4-5D6E-409C-BE32-E72D297353CC}">
              <c16:uniqueId val="{00000000-3919-4E28-9D95-5FEA5FEDCB41}"/>
            </c:ext>
          </c:extLst>
        </c:ser>
        <c:ser>
          <c:idx val="1"/>
          <c:order val="1"/>
          <c:tx>
            <c:strRef>
              <c:f>Feuil26!$C$23</c:f>
              <c:strCache>
                <c:ptCount val="1"/>
                <c:pt idx="0">
                  <c:v>GII</c:v>
                </c:pt>
              </c:strCache>
            </c:strRef>
          </c:tx>
          <c:spPr>
            <a:solidFill>
              <a:srgbClr val="0000FF"/>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Feuil26!$C$24:$C$29</c:f>
              <c:numCache>
                <c:formatCode>General</c:formatCode>
                <c:ptCount val="6"/>
                <c:pt idx="0">
                  <c:v>4.918032786885246</c:v>
                </c:pt>
                <c:pt idx="1">
                  <c:v>0</c:v>
                </c:pt>
                <c:pt idx="2">
                  <c:v>8.1967213114754092</c:v>
                </c:pt>
                <c:pt idx="3">
                  <c:v>18.032786885245901</c:v>
                </c:pt>
                <c:pt idx="4">
                  <c:v>9.8360655737704921</c:v>
                </c:pt>
                <c:pt idx="5">
                  <c:v>55.737704918032783</c:v>
                </c:pt>
              </c:numCache>
            </c:numRef>
          </c:val>
          <c:extLst>
            <c:ext xmlns:c16="http://schemas.microsoft.com/office/drawing/2014/chart" uri="{C3380CC4-5D6E-409C-BE32-E72D297353CC}">
              <c16:uniqueId val="{00000001-3919-4E28-9D95-5FEA5FEDCB41}"/>
            </c:ext>
          </c:extLst>
        </c:ser>
        <c:ser>
          <c:idx val="2"/>
          <c:order val="2"/>
          <c:tx>
            <c:strRef>
              <c:f>Feuil26!$D$23</c:f>
              <c:strCache>
                <c:ptCount val="1"/>
                <c:pt idx="0">
                  <c:v>GIII</c:v>
                </c:pt>
              </c:strCache>
            </c:strRef>
          </c:tx>
          <c:spPr>
            <a:solidFill>
              <a:srgbClr val="FFC000"/>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Feuil26!$D$24:$D$29</c:f>
              <c:numCache>
                <c:formatCode>General</c:formatCode>
                <c:ptCount val="6"/>
                <c:pt idx="0">
                  <c:v>8.3333333333333321</c:v>
                </c:pt>
                <c:pt idx="1">
                  <c:v>0</c:v>
                </c:pt>
                <c:pt idx="2">
                  <c:v>12.5</c:v>
                </c:pt>
                <c:pt idx="3">
                  <c:v>8.3333333333333321</c:v>
                </c:pt>
                <c:pt idx="4">
                  <c:v>4.1666666666666661</c:v>
                </c:pt>
                <c:pt idx="5">
                  <c:v>54.166666666666664</c:v>
                </c:pt>
              </c:numCache>
            </c:numRef>
          </c:val>
          <c:extLst>
            <c:ext xmlns:c16="http://schemas.microsoft.com/office/drawing/2014/chart" uri="{C3380CC4-5D6E-409C-BE32-E72D297353CC}">
              <c16:uniqueId val="{00000002-3919-4E28-9D95-5FEA5FEDCB41}"/>
            </c:ext>
          </c:extLst>
        </c:ser>
        <c:ser>
          <c:idx val="3"/>
          <c:order val="3"/>
          <c:tx>
            <c:strRef>
              <c:f>Feuil26!$E$23</c:f>
              <c:strCache>
                <c:ptCount val="1"/>
                <c:pt idx="0">
                  <c:v>GIV</c:v>
                </c:pt>
              </c:strCache>
            </c:strRef>
          </c:tx>
          <c:spPr>
            <a:solidFill>
              <a:srgbClr val="CCCC00"/>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Feuil26!$E$24:$E$29</c:f>
              <c:numCache>
                <c:formatCode>General</c:formatCode>
                <c:ptCount val="6"/>
                <c:pt idx="0">
                  <c:v>6.5217391304347823</c:v>
                </c:pt>
                <c:pt idx="1">
                  <c:v>0</c:v>
                </c:pt>
                <c:pt idx="2">
                  <c:v>8.695652173913043</c:v>
                </c:pt>
                <c:pt idx="3">
                  <c:v>8.695652173913043</c:v>
                </c:pt>
                <c:pt idx="4">
                  <c:v>6.5217391304347823</c:v>
                </c:pt>
                <c:pt idx="5">
                  <c:v>63.04347826086957</c:v>
                </c:pt>
              </c:numCache>
            </c:numRef>
          </c:val>
          <c:extLst>
            <c:ext xmlns:c16="http://schemas.microsoft.com/office/drawing/2014/chart" uri="{C3380CC4-5D6E-409C-BE32-E72D297353CC}">
              <c16:uniqueId val="{00000003-3919-4E28-9D95-5FEA5FEDCB41}"/>
            </c:ext>
          </c:extLst>
        </c:ser>
        <c:dLbls>
          <c:showLegendKey val="0"/>
          <c:showVal val="0"/>
          <c:showCatName val="0"/>
          <c:showSerName val="0"/>
          <c:showPercent val="0"/>
          <c:showBubbleSize val="0"/>
        </c:dLbls>
        <c:gapWidth val="150"/>
        <c:axId val="104616704"/>
        <c:axId val="104618624"/>
      </c:barChart>
      <c:catAx>
        <c:axId val="104616704"/>
        <c:scaling>
          <c:orientation val="minMax"/>
        </c:scaling>
        <c:delete val="0"/>
        <c:axPos val="b"/>
        <c:title>
          <c:tx>
            <c:rich>
              <a:bodyPr/>
              <a:lstStyle/>
              <a:p>
                <a:pPr>
                  <a:defRPr/>
                </a:pPr>
                <a:r>
                  <a:rPr lang="en"/>
                  <a:t>Phytogeographic elements</a:t>
                </a:r>
              </a:p>
            </c:rich>
          </c:tx>
          <c:overlay val="0"/>
        </c:title>
        <c:numFmt formatCode="General" sourceLinked="0"/>
        <c:majorTickMark val="out"/>
        <c:minorTickMark val="none"/>
        <c:tickLblPos val="nextTo"/>
        <c:crossAx val="104618624"/>
        <c:crosses val="autoZero"/>
        <c:auto val="1"/>
        <c:lblAlgn val="ctr"/>
        <c:lblOffset val="100"/>
        <c:noMultiLvlLbl val="0"/>
      </c:catAx>
      <c:valAx>
        <c:axId val="104618624"/>
        <c:scaling>
          <c:orientation val="minMax"/>
        </c:scaling>
        <c:delete val="0"/>
        <c:axPos val="l"/>
        <c:title>
          <c:tx>
            <c:rich>
              <a:bodyPr rot="-5400000" vert="horz"/>
              <a:lstStyle/>
              <a:p>
                <a:pPr>
                  <a:defRPr/>
                </a:pPr>
                <a:r>
                  <a:rPr lang="en"/>
                  <a:t>Proportion of plant species (%)</a:t>
                </a:r>
              </a:p>
            </c:rich>
          </c:tx>
          <c:layout>
            <c:manualLayout>
              <c:xMode val="edge"/>
              <c:yMode val="edge"/>
              <c:x val="2.2222222222222223E-2"/>
              <c:y val="7.7683727034120728E-2"/>
            </c:manualLayout>
          </c:layout>
          <c:overlay val="0"/>
        </c:title>
        <c:numFmt formatCode="General" sourceLinked="1"/>
        <c:majorTickMark val="out"/>
        <c:minorTickMark val="none"/>
        <c:tickLblPos val="nextTo"/>
        <c:crossAx val="104616704"/>
        <c:crosses val="autoZero"/>
        <c:crossBetween val="between"/>
      </c:valAx>
    </c:plotArea>
    <c:legend>
      <c:legendPos val="t"/>
      <c:layout>
        <c:manualLayout>
          <c:xMode val="edge"/>
          <c:yMode val="edge"/>
          <c:x val="0.21536067366579176"/>
          <c:y val="0.16666666666666666"/>
          <c:w val="0.3748339895013123"/>
          <c:h val="8.8621318168562266E-2"/>
        </c:manualLayout>
      </c:layout>
      <c:overlay val="0"/>
    </c:legend>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D2AE4-DFCF-4282-A089-9B9B652D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9281</TotalTime>
  <Pages>19</Pages>
  <Words>5099</Words>
  <Characters>29066</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cbc</dc:creator>
  <cp:lastModifiedBy>SDI 1084</cp:lastModifiedBy>
  <cp:revision>1174</cp:revision>
  <dcterms:created xsi:type="dcterms:W3CDTF">2025-01-25T11:22:00Z</dcterms:created>
  <dcterms:modified xsi:type="dcterms:W3CDTF">2025-04-19T14:14:00Z</dcterms:modified>
</cp:coreProperties>
</file>