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A4A1B9" w14:textId="77777777" w:rsidR="004B42B5" w:rsidRPr="004B42B5" w:rsidRDefault="004B42B5" w:rsidP="004B42B5">
      <w:pPr>
        <w:spacing w:line="240" w:lineRule="auto"/>
        <w:contextualSpacing/>
        <w:jc w:val="both"/>
        <w:rPr>
          <w:rFonts w:ascii="Arial" w:hAnsi="Arial" w:cs="Arial"/>
          <w:b/>
        </w:rPr>
      </w:pPr>
      <w:bookmarkStart w:id="0" w:name="_Hlk194511823"/>
      <w:bookmarkStart w:id="1" w:name="_Hlk194512788"/>
      <w:r w:rsidRPr="004B42B5">
        <w:rPr>
          <w:rFonts w:ascii="Arial" w:hAnsi="Arial" w:cs="Arial"/>
          <w:b/>
        </w:rPr>
        <w:t>Exploring effects of fluctuating weather on adoption of climate variability adaptation measures</w:t>
      </w:r>
    </w:p>
    <w:bookmarkEnd w:id="0"/>
    <w:p w14:paraId="03DD2268" w14:textId="77777777" w:rsidR="004B42B5" w:rsidRPr="004B42B5" w:rsidRDefault="004B42B5" w:rsidP="004B42B5">
      <w:pPr>
        <w:pStyle w:val="Author"/>
        <w:spacing w:line="240" w:lineRule="auto"/>
        <w:jc w:val="both"/>
        <w:rPr>
          <w:rFonts w:ascii="Arial" w:hAnsi="Arial" w:cs="Arial"/>
          <w:sz w:val="22"/>
          <w:szCs w:val="22"/>
        </w:rPr>
      </w:pPr>
    </w:p>
    <w:p w14:paraId="3AAFE871" w14:textId="77777777" w:rsidR="004B42B5" w:rsidRPr="004B42B5" w:rsidRDefault="004B42B5" w:rsidP="004B42B5">
      <w:pPr>
        <w:spacing w:line="240" w:lineRule="auto"/>
        <w:contextualSpacing/>
        <w:jc w:val="both"/>
        <w:rPr>
          <w:rFonts w:ascii="Arial" w:hAnsi="Arial" w:cs="Arial"/>
          <w:b/>
        </w:rPr>
      </w:pPr>
      <w:bookmarkStart w:id="2" w:name="_GoBack"/>
      <w:bookmarkEnd w:id="1"/>
      <w:bookmarkEnd w:id="2"/>
    </w:p>
    <w:p w14:paraId="0974FB04" w14:textId="77777777" w:rsidR="004B42B5" w:rsidRPr="004B42B5" w:rsidRDefault="004B42B5" w:rsidP="004B42B5">
      <w:pPr>
        <w:spacing w:after="0" w:line="240" w:lineRule="auto"/>
        <w:rPr>
          <w:rFonts w:ascii="Arial" w:hAnsi="Arial" w:cs="Arial"/>
          <w:b/>
        </w:rPr>
        <w:sectPr w:rsidR="004B42B5" w:rsidRPr="004B42B5" w:rsidSect="004B42B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08"/>
          <w:docGrid w:linePitch="360"/>
        </w:sectPr>
      </w:pPr>
    </w:p>
    <w:p w14:paraId="67CE7243" w14:textId="77777777" w:rsidR="004B42B5" w:rsidRPr="004B42B5" w:rsidRDefault="004B42B5" w:rsidP="004B42B5">
      <w:pPr>
        <w:pBdr>
          <w:top w:val="single" w:sz="4" w:space="1" w:color="auto"/>
          <w:left w:val="single" w:sz="4" w:space="4" w:color="auto"/>
          <w:bottom w:val="single" w:sz="4" w:space="1" w:color="auto"/>
          <w:right w:val="single" w:sz="4" w:space="4" w:color="auto"/>
        </w:pBdr>
        <w:spacing w:line="240" w:lineRule="auto"/>
        <w:contextualSpacing/>
        <w:jc w:val="both"/>
        <w:rPr>
          <w:rFonts w:ascii="Arial" w:hAnsi="Arial" w:cs="Arial"/>
          <w:b/>
        </w:rPr>
      </w:pPr>
      <w:r w:rsidRPr="004B42B5">
        <w:rPr>
          <w:rFonts w:ascii="Arial" w:hAnsi="Arial" w:cs="Arial"/>
          <w:b/>
        </w:rPr>
        <w:t>ABSTRACT</w:t>
      </w:r>
    </w:p>
    <w:p w14:paraId="76025BD0" w14:textId="77777777" w:rsidR="004B42B5" w:rsidRPr="004B42B5" w:rsidRDefault="004B42B5" w:rsidP="004B42B5">
      <w:pPr>
        <w:pBdr>
          <w:top w:val="single" w:sz="4" w:space="1" w:color="auto"/>
          <w:left w:val="single" w:sz="4" w:space="4" w:color="auto"/>
          <w:bottom w:val="single" w:sz="4" w:space="1" w:color="auto"/>
          <w:right w:val="single" w:sz="4" w:space="4" w:color="auto"/>
        </w:pBdr>
        <w:spacing w:line="240" w:lineRule="auto"/>
        <w:contextualSpacing/>
        <w:jc w:val="both"/>
        <w:rPr>
          <w:rFonts w:ascii="Arial" w:hAnsi="Arial" w:cs="Arial"/>
          <w:b/>
        </w:rPr>
      </w:pPr>
    </w:p>
    <w:p w14:paraId="538934D8" w14:textId="77777777" w:rsidR="004B42B5" w:rsidRPr="004B42B5" w:rsidRDefault="004B42B5" w:rsidP="004B42B5">
      <w:pPr>
        <w:pBdr>
          <w:top w:val="single" w:sz="4" w:space="1" w:color="auto"/>
          <w:left w:val="single" w:sz="4" w:space="4" w:color="auto"/>
          <w:bottom w:val="single" w:sz="4" w:space="1" w:color="auto"/>
          <w:right w:val="single" w:sz="4" w:space="4" w:color="auto"/>
        </w:pBdr>
        <w:spacing w:line="240" w:lineRule="auto"/>
        <w:contextualSpacing/>
        <w:jc w:val="both"/>
        <w:rPr>
          <w:rFonts w:ascii="Arial" w:hAnsi="Arial" w:cs="Arial"/>
        </w:rPr>
      </w:pPr>
      <w:r w:rsidRPr="004B42B5">
        <w:rPr>
          <w:rFonts w:ascii="Arial" w:hAnsi="Arial" w:cs="Arial"/>
        </w:rPr>
        <w:t xml:space="preserve">Unpredictable weather as a result of climate change has affected agriculture production in many parts of the world. Sub-Saharan countries have been more affected due to their location and their low adaptive capacity. Bagamoyo district, Tanzania is one of the areas that have witnessed weather variability thereby affecting livelihood of the </w:t>
      </w:r>
      <w:proofErr w:type="gramStart"/>
      <w:r w:rsidRPr="004B42B5">
        <w:rPr>
          <w:rFonts w:ascii="Arial" w:hAnsi="Arial" w:cs="Arial"/>
        </w:rPr>
        <w:t>small scale</w:t>
      </w:r>
      <w:proofErr w:type="gramEnd"/>
      <w:r w:rsidRPr="004B42B5">
        <w:rPr>
          <w:rFonts w:ascii="Arial" w:hAnsi="Arial" w:cs="Arial"/>
        </w:rPr>
        <w:t xml:space="preserve"> farmers. There is scant information on how irregular weather patterns affect farmer’s decisions on the choice of climate change adaptation measures. This study therefore explored the perception of farmers on fluctuating weather rainfall pattern and the factors affecting employment of different available adaptation measures. Household, key informant and official interviews were employed to collect data. Multinomial regression logistic models were used to establish relationships among variables. Results shows the following: small scale farmers are aware of climate change variability and the associated consequences; the mostly employed adaptation measures include cultivation on wetlands, intercropping, adopting high yield varieties, planting early matured crops and </w:t>
      </w:r>
      <w:proofErr w:type="gramStart"/>
      <w:r w:rsidRPr="004B42B5">
        <w:rPr>
          <w:rFonts w:ascii="Arial" w:hAnsi="Arial" w:cs="Arial"/>
        </w:rPr>
        <w:t>small scale</w:t>
      </w:r>
      <w:proofErr w:type="gramEnd"/>
      <w:r w:rsidRPr="004B42B5">
        <w:rPr>
          <w:rFonts w:ascii="Arial" w:hAnsi="Arial" w:cs="Arial"/>
        </w:rPr>
        <w:t xml:space="preserve"> irrigation. There was no significant relationship between respondent’s characteristics and the adoption of measures that ensure improved moisture in root zones. Weather unpredictability and inadequate support from the government is a barrier to effective employment of the adaptation measures. It is recommended that weather forecasting be improved and that appropriate policy support including facilitation of crop insurance be put in place.</w:t>
      </w:r>
    </w:p>
    <w:p w14:paraId="51BD2D17" w14:textId="77777777" w:rsidR="004B42B5" w:rsidRPr="004B42B5" w:rsidRDefault="004B42B5" w:rsidP="004B42B5">
      <w:pPr>
        <w:spacing w:after="0" w:line="240" w:lineRule="auto"/>
        <w:rPr>
          <w:rFonts w:ascii="Arial" w:hAnsi="Arial" w:cs="Arial"/>
        </w:rPr>
        <w:sectPr w:rsidR="004B42B5" w:rsidRPr="004B42B5" w:rsidSect="004B42B5">
          <w:type w:val="continuous"/>
          <w:pgSz w:w="12240" w:h="15840"/>
          <w:pgMar w:top="1440" w:right="1440" w:bottom="1440" w:left="1440" w:header="720" w:footer="720" w:gutter="0"/>
          <w:cols w:space="720"/>
        </w:sectPr>
      </w:pPr>
    </w:p>
    <w:p w14:paraId="6177B766" w14:textId="77777777" w:rsidR="004B42B5" w:rsidRPr="004B42B5" w:rsidRDefault="004B42B5" w:rsidP="004B42B5">
      <w:pPr>
        <w:spacing w:line="240" w:lineRule="auto"/>
        <w:contextualSpacing/>
        <w:jc w:val="both"/>
        <w:rPr>
          <w:rFonts w:ascii="Arial" w:hAnsi="Arial" w:cs="Arial"/>
        </w:rPr>
      </w:pPr>
      <w:r w:rsidRPr="004B42B5">
        <w:rPr>
          <w:rFonts w:ascii="Arial" w:hAnsi="Arial" w:cs="Arial"/>
        </w:rPr>
        <w:t>Key words: Agriculture, climate change, adaptation, livelihood</w:t>
      </w:r>
    </w:p>
    <w:p w14:paraId="48C3C169" w14:textId="77777777" w:rsidR="004B42B5" w:rsidRPr="004B42B5" w:rsidRDefault="004B42B5" w:rsidP="004B42B5">
      <w:pPr>
        <w:spacing w:after="0" w:line="240" w:lineRule="auto"/>
        <w:rPr>
          <w:rFonts w:ascii="Arial" w:hAnsi="Arial" w:cs="Arial"/>
        </w:rPr>
        <w:sectPr w:rsidR="004B42B5" w:rsidRPr="004B42B5" w:rsidSect="004B42B5">
          <w:type w:val="continuous"/>
          <w:pgSz w:w="12240" w:h="15840"/>
          <w:pgMar w:top="1440" w:right="1440" w:bottom="1440" w:left="1440" w:header="720" w:footer="720" w:gutter="0"/>
          <w:cols w:space="720"/>
        </w:sectPr>
      </w:pPr>
    </w:p>
    <w:p w14:paraId="18DFAE91" w14:textId="77777777" w:rsidR="004B42B5" w:rsidRPr="004B42B5" w:rsidRDefault="004B42B5" w:rsidP="004B42B5">
      <w:pPr>
        <w:spacing w:line="240" w:lineRule="auto"/>
        <w:contextualSpacing/>
        <w:jc w:val="both"/>
        <w:rPr>
          <w:rFonts w:ascii="Arial" w:hAnsi="Arial" w:cs="Arial"/>
        </w:rPr>
      </w:pPr>
    </w:p>
    <w:p w14:paraId="5838A6D9" w14:textId="77777777" w:rsidR="004B42B5" w:rsidRPr="004B42B5" w:rsidRDefault="004B42B5" w:rsidP="004B42B5">
      <w:pPr>
        <w:spacing w:line="240" w:lineRule="auto"/>
        <w:contextualSpacing/>
        <w:jc w:val="both"/>
        <w:rPr>
          <w:rFonts w:ascii="Arial" w:hAnsi="Arial" w:cs="Arial"/>
        </w:rPr>
      </w:pPr>
    </w:p>
    <w:p w14:paraId="1065B930" w14:textId="77777777" w:rsidR="004B42B5" w:rsidRPr="004B42B5" w:rsidRDefault="004B42B5" w:rsidP="004B42B5">
      <w:pPr>
        <w:pStyle w:val="Heading1"/>
        <w:spacing w:before="0" w:line="240" w:lineRule="auto"/>
        <w:contextualSpacing/>
        <w:rPr>
          <w:rFonts w:ascii="Arial" w:hAnsi="Arial" w:cs="Arial"/>
          <w:color w:val="auto"/>
          <w:sz w:val="22"/>
          <w:szCs w:val="22"/>
        </w:rPr>
      </w:pPr>
      <w:r w:rsidRPr="004B42B5">
        <w:rPr>
          <w:rFonts w:ascii="Arial" w:hAnsi="Arial" w:cs="Arial"/>
          <w:color w:val="auto"/>
          <w:sz w:val="22"/>
          <w:szCs w:val="22"/>
        </w:rPr>
        <w:t>1. INTRODUCTION</w:t>
      </w:r>
    </w:p>
    <w:p w14:paraId="297E1E8F" w14:textId="77777777" w:rsidR="004B42B5" w:rsidRPr="004B42B5" w:rsidRDefault="004B42B5" w:rsidP="004B42B5">
      <w:pPr>
        <w:spacing w:line="240" w:lineRule="auto"/>
        <w:contextualSpacing/>
        <w:jc w:val="both"/>
        <w:rPr>
          <w:rFonts w:ascii="Arial" w:hAnsi="Arial" w:cs="Arial"/>
        </w:rPr>
      </w:pPr>
      <w:r w:rsidRPr="004B42B5">
        <w:rPr>
          <w:rFonts w:ascii="Arial" w:hAnsi="Arial" w:cs="Arial"/>
        </w:rPr>
        <w:t xml:space="preserve">Anthropogenic activities have caused excessive production of greenhouse gases that have led to global climate change </w:t>
      </w:r>
      <w:r w:rsidRPr="004B42B5">
        <w:rPr>
          <w:rFonts w:ascii="Arial" w:hAnsi="Arial" w:cs="Arial"/>
        </w:rPr>
        <w:fldChar w:fldCharType="begin" w:fldLock="1"/>
      </w:r>
      <w:r w:rsidRPr="004B42B5">
        <w:rPr>
          <w:rFonts w:ascii="Arial" w:hAnsi="Arial" w:cs="Arial"/>
        </w:rPr>
        <w:instrText>ADDIN CSL_CITATION {"citationItems":[{"id":"ITEM-1","itemData":{"DOI":"10.1016/j.ecolind.2020.106475","ISSN":"1470160X","abstract":"This paper aims at identifying the key determinants, which influence and motivate farmers to adopt a rational, cost-effective, climate-smart adaptation strategy. Macro data encompasses review of studies using “Scopus database” and Micro data from field survey in dry region of Bundelkhand (Uttar Pradesh), India. Multi-stage sampling technique was adopted to select study sites and respondents. A total of 200 sample households of various land size categories were contacted for collecting data using a well-structured and pre-tested schedule. Study findings revealed that variability in temperature and rainfall has affected adversely to the livelihoods of farmers. Low level of livelihood status, fewer non-farm employment opportunities and low cropped area under irrigation were the main barriers to climate change adaptation. Insurance and credit were the main positive determinants that motivated farmers to adjust farm practices. Early maturing seed varieties and less water consuming crop varieties were the most profitable adaptation strategies. Policy intervention should prioritize eliminating asymmetry in information and communication. Enhancing institutional capacities to forecast weather in small geographic regions accurately and warranting accountability of meteorological department is imperative.","author":[{"dropping-particle":"","family":"Singh","given":"Surendra","non-dropping-particle":"","parse-names":false,"suffix":""}],"container-title":"Ecological Indicators","id":"ITEM-1","issued":{"date-parts":[["2020","9","1"]]},"publisher":"Elsevier B.V.","title":"Farmers’ perception of climate change and adaptation decisions: A micro-level evidence from Bundelkhand Region, India","type":"article-journal","volume":"116"},"uris":["http://www.mendeley.com/documents/?uuid=f0cbf2e8-a5a5-3d03-b38c-f7f3de543dcf"]}],"mendeley":{"formattedCitation":"(S. Singh, 2020a)","plainTextFormattedCitation":"(S. Singh, 2020a)","previouslyFormattedCitation":"(Singh 2020a)"},"properties":{"noteIndex":0},"schema":"https://github.com/citation-style-language/schema/raw/master/csl-citation.json"}</w:instrText>
      </w:r>
      <w:r w:rsidRPr="004B42B5">
        <w:rPr>
          <w:rFonts w:ascii="Arial" w:hAnsi="Arial" w:cs="Arial"/>
        </w:rPr>
        <w:fldChar w:fldCharType="separate"/>
      </w:r>
      <w:r w:rsidRPr="004B42B5">
        <w:rPr>
          <w:rFonts w:ascii="Arial" w:hAnsi="Arial" w:cs="Arial"/>
          <w:noProof/>
        </w:rPr>
        <w:t>(S. Singh, 2020a)</w:t>
      </w:r>
      <w:r w:rsidRPr="004B42B5">
        <w:rPr>
          <w:rFonts w:ascii="Arial" w:hAnsi="Arial" w:cs="Arial"/>
        </w:rPr>
        <w:fldChar w:fldCharType="end"/>
      </w:r>
      <w:r w:rsidRPr="004B42B5">
        <w:rPr>
          <w:rFonts w:ascii="Arial" w:hAnsi="Arial" w:cs="Arial"/>
        </w:rPr>
        <w:t xml:space="preserve">. One of the consequences of climate change is alteration of  hydrological regimes, resulting into changes in distribution, pattern and amount of precipitation </w:t>
      </w:r>
      <w:r w:rsidRPr="004B42B5">
        <w:rPr>
          <w:rFonts w:ascii="Arial" w:hAnsi="Arial" w:cs="Arial"/>
        </w:rPr>
        <w:fldChar w:fldCharType="begin" w:fldLock="1"/>
      </w:r>
      <w:r w:rsidRPr="004B42B5">
        <w:rPr>
          <w:rFonts w:ascii="Arial" w:hAnsi="Arial" w:cs="Arial"/>
        </w:rPr>
        <w:instrText>ADDIN CSL_CITATION {"citationItems":[{"id":"ITEM-1","itemData":{"DOI":"10.1080/23311886.2020.1784652","ISSN":"23311886","abstract":"Climate change in the form of temperature increases and rainfall variability has intensified in the last three decades. Recent studies in Southern Africa (of which Zimbabwe is part) have indicated the extreme vulnerabilities of smallholder farmers to the impact of climate change and recommended that appropriate adaptation measures be put in place. In-field rainwater harvesting is one of the adaptation strategies that has been adopted by some smallholder farmers in drought-prone regions. The study examines the effectiveness of in-field rainwater harvesting as a climate change adaptation strategy for smallholder farmers in Gwanda district, Zimbabwe. Data was collected through semi-structured questionnaires (administered to 45 smallholder farmers) and five key informants. We find that most respondents adopted pit planting and mulching in-field rainwater harvesting techniques. A few respondents practised deep tillage, dead level contours, ephemeral stream diversion, ridges/furrows and hillside sheet runoff. In-field rainwater harvesting techniques increase the time required for crop moisture to set in resulting in improved crop yields. However, farmers are reluctant to adopt in-field rainwater harvesting techniques as they are labour intensive and some require technical expertise. We recommend the implementation of programmes that will enhance the capacity of smallholder farmers to implement various adaptation strategies.","author":[{"dropping-particle":"","family":"Ndlovu","given":"Sibonokuhle","non-dropping-particle":"","parse-names":false,"suffix":""},{"dropping-particle":"","family":"Mathe","given":"Bakani","non-dropping-particle":"","parse-names":false,"suffix":""},{"dropping-particle":"","family":"Phiri","given":"Keith","non-dropping-particle":"","parse-names":false,"suffix":""},{"dropping-particle":"","family":"Nyathi","given":"Douglas","non-dropping-particle":"","parse-names":false,"suffix":""}],"container-title":"Cogent Social Sciences","id":"ITEM-1","issue":"1","issued":{"date-parts":[["2020"]]},"title":"Factoring water harvesting into climate change adaptation: Endogenous responses by smallholder farmers in Gwanda district, Zimbabwe","type":"article-journal","volume":"6"},"uris":["http://www.mendeley.com/documents/?uuid=34532fa6-dbbb-4314-a814-a826fdaa9f90","http://www.mendeley.com/documents/?uuid=a802ccaa-eb76-4e87-9dcf-f537d74e7eae"]}],"mendeley":{"formattedCitation":"(Ndlovu et al., 2020)","plainTextFormattedCitation":"(Ndlovu et al., 2020)","previouslyFormattedCitation":"(Ndlovu et al. 2020)"},"properties":{"noteIndex":0},"schema":"https://github.com/citation-style-language/schema/raw/master/csl-citation.json"}</w:instrText>
      </w:r>
      <w:r w:rsidRPr="004B42B5">
        <w:rPr>
          <w:rFonts w:ascii="Arial" w:hAnsi="Arial" w:cs="Arial"/>
        </w:rPr>
        <w:fldChar w:fldCharType="separate"/>
      </w:r>
      <w:r w:rsidRPr="004B42B5">
        <w:rPr>
          <w:rFonts w:ascii="Arial" w:hAnsi="Arial" w:cs="Arial"/>
          <w:noProof/>
        </w:rPr>
        <w:t>(Ndlovu et al., 2020)</w:t>
      </w:r>
      <w:r w:rsidRPr="004B42B5">
        <w:rPr>
          <w:rFonts w:ascii="Arial" w:hAnsi="Arial" w:cs="Arial"/>
        </w:rPr>
        <w:fldChar w:fldCharType="end"/>
      </w:r>
      <w:r w:rsidRPr="004B42B5">
        <w:rPr>
          <w:rFonts w:ascii="Arial" w:hAnsi="Arial" w:cs="Arial"/>
        </w:rPr>
        <w:t xml:space="preserve">. These changes lead to reduction in soil moisture during crop growth periods thereby affecting agriculture production. The altered soil moisture contents compel farmers to opt for production systems that can attenuate the effects associated with the changes. Some resource constrained farmers opt for other livelihood activities outside farming and some opt to migrate </w:t>
      </w:r>
      <w:r w:rsidRPr="004B42B5">
        <w:rPr>
          <w:rFonts w:ascii="Arial" w:hAnsi="Arial" w:cs="Arial"/>
        </w:rPr>
        <w:fldChar w:fldCharType="begin" w:fldLock="1"/>
      </w:r>
      <w:r w:rsidRPr="004B42B5">
        <w:rPr>
          <w:rFonts w:ascii="Arial" w:hAnsi="Arial" w:cs="Arial"/>
        </w:rPr>
        <w:instrText>ADDIN CSL_CITATION {"citationItems":[{"id":"ITEM-1","itemData":{"DOI":"10.1080/17565529.2013.835707","ISSN":"17565537","abstract":"Up to present, research relating environmental change to human mobility has found out that environmental factors can play a role in migration without being conclusive. Further, in the context of climate change, scholarly literature on migration ranges across a host of climatic stressors and geographies, making it difficult to date to solve the debate whether migration is a form of adaptation or an indicator of limits to adaptation. To address both of these debates, original research was undertaken to answer the question 'under what circumstances do households (HHs) use migration as a risk management strategy when facing rainfall variability and food insecurity?'. This research administered a HH survey (n = 1300) and participatory research (n = 2000 respondents) in districts in eight countries (Guatemala, Peru, Ghana, Tanzania, Bangladesh, India, Thailand, and Vietnam). The findings reveal that the answer to how climatic stressors affect migration decisions and the degree to which migration improves the adaptive capacity of those HHs lie in the vulnerability of the HH and its sensitivity to climatic factors. The data reveal for the first time in a comparable global study distinct HH profiles of 'resilience' and 'vulnerability'. At the same time, the article distinguishes between 'content' migration - rather associated with resilient HHs - and 'erosive' migration - rather associated with vulnerable HHs. However, the article also highlights that there are not always clear cuts but very often grey areas and overlaps among the HHs of the study when applying these typologies. Moreover, the article relates these profiles to an agent-based modelling approach applied in the Tanzania case to explore under what scenarios rainfall variability and food security have the potential to become significant drivers of human mobility in particular regions of the world in the next two to three decades. © 2013 © 2013 The Author(s). Published by Taylor &amp; Francis.","author":[{"dropping-particle":"","family":"Warner","given":"Koko","non-dropping-particle":"","parse-names":false,"suffix":""},{"dropping-particle":"","family":"Afifi","given":"Tamer","non-dropping-particle":"","parse-names":false,"suffix":""}],"container-title":"Climate and Development","id":"ITEM-1","issue":"1","issued":{"date-parts":[["2014"]]},"page":"1-17","publisher":"Taylor &amp; Francis","title":"Where the rain falls: Evidence from 8 countries on how vulnerable households use migration to manage the risk of rainfall variability and food insecurity","type":"article-journal","volume":"6"},"uris":["http://www.mendeley.com/documents/?uuid=1fe8b2f0-437e-4fa2-af37-906e3fda3dee","http://www.mendeley.com/documents/?uuid=0ddb1cf2-8c88-4514-8b5f-2edf7135d9c3"]}],"mendeley":{"formattedCitation":"(Warner &amp; Afifi, 2014)","manualFormatting":"(Warner and Afifi, 2014)","plainTextFormattedCitation":"(Warner &amp; Afifi, 2014)","previouslyFormattedCitation":"(Warner and Afifi 2014)"},"properties":{"noteIndex":0},"schema":"https://github.com/citation-style-language/schema/raw/master/csl-citation.json"}</w:instrText>
      </w:r>
      <w:r w:rsidRPr="004B42B5">
        <w:rPr>
          <w:rFonts w:ascii="Arial" w:hAnsi="Arial" w:cs="Arial"/>
        </w:rPr>
        <w:fldChar w:fldCharType="separate"/>
      </w:r>
      <w:r w:rsidRPr="004B42B5">
        <w:rPr>
          <w:rFonts w:ascii="Arial" w:hAnsi="Arial" w:cs="Arial"/>
          <w:noProof/>
        </w:rPr>
        <w:t>(Warner and Afifi, 2014)</w:t>
      </w:r>
      <w:r w:rsidRPr="004B42B5">
        <w:rPr>
          <w:rFonts w:ascii="Arial" w:hAnsi="Arial" w:cs="Arial"/>
        </w:rPr>
        <w:fldChar w:fldCharType="end"/>
      </w:r>
      <w:r w:rsidRPr="004B42B5">
        <w:rPr>
          <w:rFonts w:ascii="Arial" w:hAnsi="Arial" w:cs="Arial"/>
        </w:rPr>
        <w:t xml:space="preserve"> because of limited resources they have to enable them to cope with shocks associated with crop failures. Limited resources hinder small scale farmers to employ appropriate adaptation measures in their production systems </w:t>
      </w:r>
      <w:r w:rsidRPr="004B42B5">
        <w:rPr>
          <w:rFonts w:ascii="Arial" w:hAnsi="Arial" w:cs="Arial"/>
        </w:rPr>
        <w:fldChar w:fldCharType="begin" w:fldLock="1"/>
      </w:r>
      <w:r w:rsidRPr="004B42B5">
        <w:rPr>
          <w:rFonts w:ascii="Arial" w:hAnsi="Arial" w:cs="Arial"/>
        </w:rPr>
        <w:instrText>ADDIN CSL_CITATION {"citationItems":[{"id":"ITEM-1","itemData":{"DOI":"10.1080/19315260.2020.1861160","ISSN":"19315279","abstract":"Challenges associated with climate change have reduced vegetable production. Adoption of adaptation strategies for increased production has not resulted in a yield increase. Factors affecting climate change adaptation among 118 farmers involved in sustainable vegetable production were assessed. Vegetable farmers used a mix of adaptation measures that included traditional practices (minimum tillage, construction of the local dam, construction of drainage, avoidance of flood-prone area, increase the use of organic manure), and modern technology (construction of a water harvester, listening to early warning information, increased use of herbicide, increased use of fertilizer, use of pumping machine, sprinkler irrigation furrow irrigation), membership of the religious organization, access to timely information about the occurrence of climate change (β = 0.24, p &lt; 05), and constraints to adaptation (β = 0.63, p &lt; 05) had positive, significant, consequences on climate change adaptation procedures. It was determined that inadequate-skilled labor and financial constraints discouraged adaptation to climate change; access to timely information encouraged adaptation. More timely exchange of information and availability of tools to meet adaptation needs for vegetable production sustainability and profitability could help grower address challenges of climate change. Understanding factors affecting adoption could reduce constraints associated with inadequate-skilled labor, financial inadequacy, and exchange of information on climate change adaptation.","author":[{"dropping-particle":"","family":"Arimi","given":"Kayode S.","non-dropping-particle":"","parse-names":false,"suffix":""}],"container-title":"International Journal of Vegetable Science","id":"ITEM-1","issue":"5","issued":{"date-parts":[["2021"]]},"page":"496-504","publisher":"Taylor &amp; Francis","title":"Climate change adaptation and resilience among vegetable farmers","type":"article-journal","volume":"27"},"uris":["http://www.mendeley.com/documents/?uuid=75bbaafc-be83-43cc-8dee-d3e62b1270be","http://www.mendeley.com/documents/?uuid=60313578-a4b2-4e66-b82a-3bfed6e4472c"]}],"mendeley":{"formattedCitation":"(Arimi, 2021)","plainTextFormattedCitation":"(Arimi, 2021)","previouslyFormattedCitation":"(Arimi 2021)"},"properties":{"noteIndex":0},"schema":"https://github.com/citation-style-language/schema/raw/master/csl-citation.json"}</w:instrText>
      </w:r>
      <w:r w:rsidRPr="004B42B5">
        <w:rPr>
          <w:rFonts w:ascii="Arial" w:hAnsi="Arial" w:cs="Arial"/>
        </w:rPr>
        <w:fldChar w:fldCharType="separate"/>
      </w:r>
      <w:r w:rsidRPr="004B42B5">
        <w:rPr>
          <w:rFonts w:ascii="Arial" w:hAnsi="Arial" w:cs="Arial"/>
          <w:noProof/>
        </w:rPr>
        <w:t>(Arimi, 2021)</w:t>
      </w:r>
      <w:r w:rsidRPr="004B42B5">
        <w:rPr>
          <w:rFonts w:ascii="Arial" w:hAnsi="Arial" w:cs="Arial"/>
        </w:rPr>
        <w:fldChar w:fldCharType="end"/>
      </w:r>
      <w:r w:rsidRPr="004B42B5">
        <w:rPr>
          <w:rFonts w:ascii="Arial" w:hAnsi="Arial" w:cs="Arial"/>
        </w:rPr>
        <w:t xml:space="preserve">. </w:t>
      </w:r>
    </w:p>
    <w:p w14:paraId="66672FA9" w14:textId="77777777" w:rsidR="004B42B5" w:rsidRPr="004B42B5" w:rsidRDefault="004B42B5" w:rsidP="004B42B5">
      <w:pPr>
        <w:spacing w:line="240" w:lineRule="auto"/>
        <w:contextualSpacing/>
        <w:jc w:val="both"/>
        <w:rPr>
          <w:rFonts w:ascii="Arial" w:hAnsi="Arial" w:cs="Arial"/>
        </w:rPr>
      </w:pPr>
      <w:r w:rsidRPr="004B42B5">
        <w:rPr>
          <w:rFonts w:ascii="Arial" w:hAnsi="Arial" w:cs="Arial"/>
        </w:rPr>
        <w:t xml:space="preserve">As a result of their direct dependence on rain-fed agriculture as their main livelihood activity, small scale farmers are the most vulnerable group to vagaries of climate change </w:t>
      </w:r>
      <w:r w:rsidRPr="004B42B5">
        <w:rPr>
          <w:rFonts w:ascii="Arial" w:hAnsi="Arial" w:cs="Arial"/>
        </w:rPr>
        <w:fldChar w:fldCharType="begin" w:fldLock="1"/>
      </w:r>
      <w:r w:rsidRPr="004B42B5">
        <w:rPr>
          <w:rFonts w:ascii="Arial" w:hAnsi="Arial" w:cs="Arial"/>
        </w:rPr>
        <w:instrText>ADDIN CSL_CITATION {"citationItems":[{"id":"ITEM-1","itemData":{"DOI":"10.1080/17565529.2020.1760771","ISSN":"17565537","abstract":"This study investigates the impacts of climate change in Sub-Saharan Africa on yields of maize and cereals (sorghum and millet) which are of particular importance to smallholding farmers. An ensemble of six climate scenarios are input to a crop model to compute changes in food availability (mean annual yield) and food stability (standard deviation and coefficient of variation) between the periods 1971–2000 and 2041-2070. Our results show a particular risk to food security in Central Africa where mean maize yield decreases over 89% of harvested maize areas, and its variability increases over 54% of these areas. A decline in mean maize yield is computed over 85% of harvested maize areas in West Africa, 29% in Southern Africa and 32% in East Africa. Within the limits of the analysis, we find that mean yields of tropical cereals will be more robust to climate change than maize, although yields still decrease over 23% of tropical cereal harvested areas. We find declining food stability over 37% of harvested maize areas and 46% of harvested tropical cereal areas. Our findings also indicate that a range of options including regional markets, strategic food reserves, and new cultivars could help farmers adapt to these changes.","author":[{"dropping-particle":"","family":"Stuch","given":"Benjamin","non-dropping-particle":"","parse-names":false,"suffix":""},{"dropping-particle":"","family":"Alcamo","given":"Joseph","non-dropping-particle":"","parse-names":false,"suffix":""},{"dropping-particle":"","family":"Schaldach","given":"Rüdiger","non-dropping-particle":"","parse-names":false,"suffix":""}],"container-title":"Climate and Development","id":"ITEM-1","issued":{"date-parts":[["2020"]]},"page":"1-15","publisher":"Taylor and Francis Ltd.","title":"Projected climate change impacts on mean and year-to-year variability of yield of key smallholder crops in Sub-Saharan Africa","type":"article-journal"},"uris":["http://www.mendeley.com/documents/?uuid=81d46264-365c-3f49-a43c-9da6a599692a"]}],"mendeley":{"formattedCitation":"(Stuch et al., 2020)","plainTextFormattedCitation":"(Stuch et al., 2020)","previouslyFormattedCitation":"(Stuch, Alcamo, and Schaldach 2020)"},"properties":{"noteIndex":0},"schema":"https://github.com/citation-style-language/schema/raw/master/csl-citation.json"}</w:instrText>
      </w:r>
      <w:r w:rsidRPr="004B42B5">
        <w:rPr>
          <w:rFonts w:ascii="Arial" w:hAnsi="Arial" w:cs="Arial"/>
        </w:rPr>
        <w:fldChar w:fldCharType="separate"/>
      </w:r>
      <w:r w:rsidRPr="004B42B5">
        <w:rPr>
          <w:rFonts w:ascii="Arial" w:hAnsi="Arial" w:cs="Arial"/>
          <w:noProof/>
        </w:rPr>
        <w:t>(Stuch et al., 2020)</w:t>
      </w:r>
      <w:r w:rsidRPr="004B42B5">
        <w:rPr>
          <w:rFonts w:ascii="Arial" w:hAnsi="Arial" w:cs="Arial"/>
        </w:rPr>
        <w:fldChar w:fldCharType="end"/>
      </w:r>
      <w:r w:rsidRPr="004B42B5">
        <w:rPr>
          <w:rFonts w:ascii="Arial" w:hAnsi="Arial" w:cs="Arial"/>
        </w:rPr>
        <w:t xml:space="preserve">. Research on projections of climate change effects and a plethora of literature suggest that Sub-Saharan Africa will continue to face prolonged and severe droughts leading to even drier conditions </w:t>
      </w:r>
      <w:r w:rsidRPr="004B42B5">
        <w:rPr>
          <w:rFonts w:ascii="Arial" w:hAnsi="Arial" w:cs="Arial"/>
        </w:rPr>
        <w:fldChar w:fldCharType="begin" w:fldLock="1"/>
      </w:r>
      <w:r w:rsidRPr="004B42B5">
        <w:rPr>
          <w:rFonts w:ascii="Arial" w:hAnsi="Arial" w:cs="Arial"/>
        </w:rPr>
        <w:instrText>ADDIN CSL_CITATION {"citationItems":[{"id":"ITEM-1","itemData":{"DOI":"10.1080/17565529.2014.951013","ISSN":"17565537","abstract":"Despite the international significance attached to climate change adaptation, there remains a lack of understanding of the barriers that impede the effective implementation of adaptation strategies by households across sub-Saharan Africa (SSA). Better understanding of the vulnerability of agriculture-dependent households to climate variability requires exploration of the barriers that constrain the implementation of adaptation strategies. This paper uses case studies from northeast Ghana and a systematic literature review to assess the barriers that restrict effective implementation of climate adaptations in SSA. Results suggest that households are constrained by financial barriers, socio-cultural barriers, institutional barriers, technological barriers and a lack of information on climate change characteristics. We examine how the various barriers interact at different levels to influence the adaptation process. Findings highlight that the development of early warning systems, effective communication of climate information and an understanding of the local context within which adaptations take place, are necessary pre-requisites to enhance climate adaptations and rural livelihoods. Households need to be supported through the provision of micro-credit schemes, community empowerment and extension initiatives aimed at enhancing social networks within farming communities in order to reduce their vulnerability to the adverse impacts of climate change and variability.","author":[{"dropping-particle":"","family":"Antwi-Agyei","given":"Philip","non-dropping-particle":"","parse-names":false,"suffix":""},{"dropping-particle":"","family":"Dougill","given":"Andrew J.","non-dropping-particle":"","parse-names":false,"suffix":""},{"dropping-particle":"","family":"Stringer","given":"Lindsay C.","non-dropping-particle":"","parse-names":false,"suffix":""}],"container-title":"Climate and Development","id":"ITEM-1","issue":"4","issued":{"date-parts":[["2015"]]},"page":"297-309","title":"Barriers to climate change adaptation: evidence from northeast Ghana in the context of a systematic literature review","type":"article-journal","volume":"7"},"uris":["http://www.mendeley.com/documents/?uuid=ba2ad6a7-6861-461c-9e64-ea02b613dbfb"]}],"mendeley":{"formattedCitation":"(Antwi-Agyei et al., 2015)","plainTextFormattedCitation":"(Antwi-Agyei et al., 2015)","previouslyFormattedCitation":"(Antwi-Agyei, Dougill, and Stringer 2015)"},"properties":{"noteIndex":0},"schema":"https://github.com/citation-style-language/schema/raw/master/csl-citation.json"}</w:instrText>
      </w:r>
      <w:r w:rsidRPr="004B42B5">
        <w:rPr>
          <w:rFonts w:ascii="Arial" w:hAnsi="Arial" w:cs="Arial"/>
        </w:rPr>
        <w:fldChar w:fldCharType="separate"/>
      </w:r>
      <w:r w:rsidRPr="004B42B5">
        <w:rPr>
          <w:rFonts w:ascii="Arial" w:hAnsi="Arial" w:cs="Arial"/>
          <w:noProof/>
        </w:rPr>
        <w:t>(Antwi-Agyei et al., 2015)</w:t>
      </w:r>
      <w:r w:rsidRPr="004B42B5">
        <w:rPr>
          <w:rFonts w:ascii="Arial" w:hAnsi="Arial" w:cs="Arial"/>
        </w:rPr>
        <w:fldChar w:fldCharType="end"/>
      </w:r>
      <w:r w:rsidRPr="004B42B5">
        <w:rPr>
          <w:rFonts w:ascii="Arial" w:hAnsi="Arial" w:cs="Arial"/>
        </w:rPr>
        <w:t xml:space="preserve">. Future increase in temperature beyond 2°C will have more adverse repercussions compared to historical water scarcity, and high temperature on agriculture </w:t>
      </w:r>
      <w:r w:rsidRPr="004B42B5">
        <w:rPr>
          <w:rFonts w:ascii="Arial" w:hAnsi="Arial" w:cs="Arial"/>
        </w:rPr>
        <w:fldChar w:fldCharType="begin" w:fldLock="1"/>
      </w:r>
      <w:r w:rsidRPr="004B42B5">
        <w:rPr>
          <w:rFonts w:ascii="Arial" w:hAnsi="Arial" w:cs="Arial"/>
        </w:rPr>
        <w:instrText>ADDIN CSL_CITATION {"citationItems":[{"id":"ITEM-1","itemData":{"DOI":"10.1016/j.scitotenv.2017.09.074","ISSN":"18791026","PMID":"28915463","abstract":"As freshwater availability is crucial for securing a sustainable, lower</w:instrText>
      </w:r>
      <w:r w:rsidRPr="004B42B5">
        <w:rPr>
          <w:rFonts w:ascii="Cambria Math" w:hAnsi="Cambria Math" w:cs="Cambria Math"/>
        </w:rPr>
        <w:noBreakHyphen/>
      </w:r>
      <w:r w:rsidRPr="004B42B5">
        <w:rPr>
          <w:rFonts w:ascii="Arial" w:hAnsi="Arial" w:cs="Arial"/>
        </w:rPr>
        <w:instrText>carbon future, there is a critical connection between water management and climate policies. Under a rapidly changing climate, it is more important than ever to estimate the degree of future water security. This is a challenging task as it depends on many different variables: the degree of warming and its consequent effects on hydrological resources, the water demand by different sectors, and the possible ameliorations or deteriorations of the effects due to climate change adaptation and mitigation strategies. A simple and transparent conceptual framework has been developed to assess the European vulnerability to freshwater stress under the present hydro-climatic and socioeconomic conditions, in comparison to projections of future vulnerability for different degrees of global warming (1.5 °C, 2 °C and 4 °C), under the high-rate warming scenario (RCP8.5). Different levels of adaptation to climate change are considered in the framework, by employing various relevant pathways of socioeconomic development. A spatially detailed pan-European map of vulnerability to freshwater shortage has been developed at the local administrative level, making this approach extremely useful for supporting regional level policymaking and implementation and strategic planning against future freshwater stress.","author":[{"dropping-particle":"","family":"Koutroulis","given":"A. G.","non-dropping-particle":"","parse-names":false,"suffix":""},{"dropping-particle":"V.","family":"Papadimitriou","given":"L.","non-dropping-particle":"","parse-names":false,"suffix":""},{"dropping-particle":"","family":"Grillakis","given":"M. G.","non-dropping-particle":"","parse-names":false,"suffix":""},{"dropping-particle":"","family":"Tsanis","given":"I. K.","non-dropping-particle":"","parse-names":false,"suffix":""},{"dropping-particle":"","family":"Wyser","given":"K.","non-dropping-particle":"","parse-names":false,"suffix":""},{"dropping-particle":"","family":"Betts","given":"R. A.","non-dropping-particle":"","parse-names":false,"suffix":""}],"container-title":"Science of the Total Environment","id":"ITEM-1","issued":{"date-parts":[["2018"]]},"page":"271-286","publisher":"Elsevier B.V.","title":"Freshwater vulnerability under high end climate change. A pan-European assessment","type":"article-journal","volume":"613-614"},"uris":["http://www.mendeley.com/documents/?uuid=50f430e7-c1b8-402c-9940-5e482d7cc3b9","http://www.mendeley.com/documents/?uuid=41a2e2ac-9cf6-4e38-b274-8b43c8beeb4c"]}],"mendeley":{"formattedCitation":"(Koutroulis et al., 2018)","plainTextFormattedCitation":"(Koutroulis et al., 2018)","previouslyFormattedCitation":"(Koutroulis et al. 2018)"},"properties":{"noteIndex":0},"schema":"https://github.com/citation-style-language/schema/raw/master/csl-citation.json"}</w:instrText>
      </w:r>
      <w:r w:rsidRPr="004B42B5">
        <w:rPr>
          <w:rFonts w:ascii="Arial" w:hAnsi="Arial" w:cs="Arial"/>
        </w:rPr>
        <w:fldChar w:fldCharType="separate"/>
      </w:r>
      <w:r w:rsidRPr="004B42B5">
        <w:rPr>
          <w:rFonts w:ascii="Arial" w:hAnsi="Arial" w:cs="Arial"/>
          <w:noProof/>
        </w:rPr>
        <w:t>(Koutroulis et al., 2018)</w:t>
      </w:r>
      <w:r w:rsidRPr="004B42B5">
        <w:rPr>
          <w:rFonts w:ascii="Arial" w:hAnsi="Arial" w:cs="Arial"/>
        </w:rPr>
        <w:fldChar w:fldCharType="end"/>
      </w:r>
      <w:r w:rsidRPr="004B42B5">
        <w:rPr>
          <w:rFonts w:ascii="Arial" w:hAnsi="Arial" w:cs="Arial"/>
        </w:rPr>
        <w:t xml:space="preserve">.  In order to arrest the effects associated with climate change, proper vulnerability analysis ought to be carried-out and be integrated into local and national level planning.  </w:t>
      </w:r>
    </w:p>
    <w:p w14:paraId="1F9C4CD3" w14:textId="77777777" w:rsidR="004B42B5" w:rsidRPr="004B42B5" w:rsidRDefault="004B42B5" w:rsidP="004B42B5">
      <w:pPr>
        <w:spacing w:line="240" w:lineRule="auto"/>
        <w:contextualSpacing/>
        <w:jc w:val="both"/>
        <w:rPr>
          <w:rFonts w:ascii="Arial" w:hAnsi="Arial" w:cs="Arial"/>
        </w:rPr>
      </w:pPr>
      <w:r w:rsidRPr="004B42B5">
        <w:rPr>
          <w:rFonts w:ascii="Arial" w:hAnsi="Arial" w:cs="Arial"/>
        </w:rPr>
        <w:t xml:space="preserve">Sub-Saharan Africa is more vulnerable to the vagaries of climate change because of poor infrastructure, inadequate planning and lack of effective policy guidelines. Various studies have shown that in Tanzania, climate is changing as evidenced by increased incidences of climatic </w:t>
      </w:r>
      <w:r w:rsidRPr="004B42B5">
        <w:rPr>
          <w:rFonts w:ascii="Arial" w:hAnsi="Arial" w:cs="Arial"/>
        </w:rPr>
        <w:lastRenderedPageBreak/>
        <w:t>hazards (</w:t>
      </w:r>
      <w:proofErr w:type="spellStart"/>
      <w:r w:rsidRPr="004B42B5">
        <w:rPr>
          <w:rFonts w:ascii="Arial" w:hAnsi="Arial" w:cs="Arial"/>
        </w:rPr>
        <w:t>Lymo</w:t>
      </w:r>
      <w:proofErr w:type="spellEnd"/>
      <w:r w:rsidRPr="004B42B5">
        <w:rPr>
          <w:rFonts w:ascii="Arial" w:hAnsi="Arial" w:cs="Arial"/>
        </w:rPr>
        <w:t xml:space="preserve">, 2013). Fluctuations in the amount of rainfall received in districts like Bagamoyo, Tanzania over the last century have been witnessed.  As rains nowadays have become sporadic, the onset of the rain seasons either delay or sometimes drought is experienced throughout a growing season (Lyimo, 2013). The changes in rainfall patterns have profound effects as it disrupts farming systems, leading to food insecurity and negative effects on the livelihoods of small scale farmers </w:t>
      </w:r>
      <w:r w:rsidRPr="004B42B5">
        <w:rPr>
          <w:rFonts w:ascii="Arial" w:hAnsi="Arial" w:cs="Arial"/>
        </w:rPr>
        <w:fldChar w:fldCharType="begin" w:fldLock="1"/>
      </w:r>
      <w:r w:rsidRPr="004B42B5">
        <w:rPr>
          <w:rFonts w:ascii="Arial" w:hAnsi="Arial" w:cs="Arial"/>
        </w:rPr>
        <w:instrText>ADDIN CSL_CITATION {"citationItems":[{"id":"ITEM-1","itemData":{"DOI":"10.1080/21683565.2018.1509166","ISSN":"21683573","abstract":"Climate change is expected to strongly affect African farming systems. As vast proportions of African countries’ populations rely on agriculture for livelihood and food security, there is a need to adapt current practices and develop new climate-resilient strategies and farming systems. Here, we inventory and review which agroecological practices currently implemented in semiarid and subhumid Africa can promote adaptation to climate change. This work was carried out through extensive literature research, plus interviews with 24 experts from different African and French NGOs active in agricultural development programs in Africa. We found that: (1) some inventoried practices may not specifically be implemented in response to climate change impacts, yet they aid in adapting to reduced or more variable rainfall and increased temperature, and/or enhance carbon sequestration; (2) other practices promote indirect adaptation by increasing resilience of cropping or livestock systems; (3) many farmers use combinations of different practices to increase overall farming system resilience and through this strategy can achieve efficient adaptation to climate changes, as single practices normally are not sufficient. Our review and evaluation show that a broad variety of agroecological practices provides high potential to adapt to climate change effects in semiarid and subhumid African farming systems.","author":[{"dropping-particle":"","family":"Debray","given":"Valentine","non-dropping-particle":"","parse-names":false,"suffix":""},{"dropping-particle":"","family":"Wezel","given":"Alexander","non-dropping-particle":"","parse-names":false,"suffix":""},{"dropping-particle":"","family":"Lambert-Derkimba","given":"Adeline","non-dropping-particle":"","parse-names":false,"suffix":""},{"dropping-particle":"","family":"Roesch","given":"Katia","non-dropping-particle":"","parse-names":false,"suffix":""},{"dropping-particle":"","family":"Lieblein","given":"Geir","non-dropping-particle":"","parse-names":false,"suffix":""},{"dropping-particle":"","family":"Francis","given":"Charles Andrew","non-dropping-particle":"","parse-names":false,"suffix":""}],"container-title":"Agroecology and Sustainable Food Systems","id":"ITEM-1","issue":"4","issued":{"date-parts":[["2019","4","21"]]},"page":"429-456","publisher":"Taylor and Francis Inc.","title":"Agroecological practices for climate change adaptation in semiarid and subhumid Africa","type":"article-journal","volume":"43"},"uris":["http://www.mendeley.com/documents/?uuid=3ae9ba1c-64d6-3960-a3b2-0a7ed5d9c139"]}],"mendeley":{"formattedCitation":"(Debray et al., 2019)","plainTextFormattedCitation":"(Debray et al., 2019)","previouslyFormattedCitation":"(Debray et al. 2019)"},"properties":{"noteIndex":0},"schema":"https://github.com/citation-style-language/schema/raw/master/csl-citation.json"}</w:instrText>
      </w:r>
      <w:r w:rsidRPr="004B42B5">
        <w:rPr>
          <w:rFonts w:ascii="Arial" w:hAnsi="Arial" w:cs="Arial"/>
        </w:rPr>
        <w:fldChar w:fldCharType="separate"/>
      </w:r>
      <w:r w:rsidRPr="004B42B5">
        <w:rPr>
          <w:rFonts w:ascii="Arial" w:hAnsi="Arial" w:cs="Arial"/>
          <w:noProof/>
        </w:rPr>
        <w:t>(Debray et al., 2019)</w:t>
      </w:r>
      <w:r w:rsidRPr="004B42B5">
        <w:rPr>
          <w:rFonts w:ascii="Arial" w:hAnsi="Arial" w:cs="Arial"/>
        </w:rPr>
        <w:fldChar w:fldCharType="end"/>
      </w:r>
      <w:r w:rsidRPr="004B42B5">
        <w:rPr>
          <w:rFonts w:ascii="Arial" w:hAnsi="Arial" w:cs="Arial"/>
        </w:rPr>
        <w:t>.</w:t>
      </w:r>
    </w:p>
    <w:p w14:paraId="4A3BF9BE" w14:textId="77777777" w:rsidR="004B42B5" w:rsidRPr="004B42B5" w:rsidRDefault="004B42B5" w:rsidP="004B42B5">
      <w:pPr>
        <w:spacing w:line="240" w:lineRule="auto"/>
        <w:contextualSpacing/>
        <w:jc w:val="both"/>
        <w:rPr>
          <w:rFonts w:ascii="Arial" w:hAnsi="Arial" w:cs="Arial"/>
        </w:rPr>
      </w:pPr>
      <w:r w:rsidRPr="004B42B5">
        <w:rPr>
          <w:rFonts w:ascii="Arial" w:hAnsi="Arial" w:cs="Arial"/>
        </w:rPr>
        <w:t xml:space="preserve">As a response to climate change, farmers employ climate change adaptation measures  that can help to sustain crop production </w:t>
      </w:r>
      <w:r w:rsidRPr="004B42B5">
        <w:rPr>
          <w:rFonts w:ascii="Arial" w:hAnsi="Arial" w:cs="Arial"/>
        </w:rPr>
        <w:fldChar w:fldCharType="begin" w:fldLock="1"/>
      </w:r>
      <w:r w:rsidRPr="004B42B5">
        <w:rPr>
          <w:rFonts w:ascii="Arial" w:hAnsi="Arial" w:cs="Arial"/>
        </w:rPr>
        <w:instrText>ADDIN CSL_CITATION {"citationItems":[{"id":"ITEM-1","itemData":{"DOI":"10.1016/j.envsci.2008.06.002","ISSN":"14629011","abstract":"This article examines farmers' livelihood responses and vulnerability to climate variability and other stressors in Morogoro, Tanzania, to understand their implications for adaptation to climate change by agricultural households in developing world more generally. In Morogoro, agricultural households have extended cultivation, intensified agriculture, diversified livelihoods and migrated to gain access to land, markets and employment as a response to climatic and other stressors. Some of these responses have depleted and degraded natural resources such as forest, soil and water resources, which will complicate their living with climate change in the future. This will be particularly problematic to vulnerable groups such as women, children and pastoralists who have limited access to employment, markets and public services. In this light, fair adaptation to climate change by agricultural households in Morogoro and elsewhere in developing countries requires several complementary responses. Adaptation efforts should involve effective governance of natural resources because they function as safety nets to vulnerable groups. In addition, strengthening of national markets by infrastructure investments and institutional reforms is needed to give incentives to intensification and diversification in agriculture. Market participation also demands enhancement of human capital by public programs on health, education and wellbeing. © 2008 Elsevier Ltd. All rights reserved.","author":[{"dropping-particle":"","family":"Paavola","given":"Jouni","non-dropping-particle":"","parse-names":false,"suffix":""}],"container-title":"Environmental Science and Policy","id":"ITEM-1","issue":"7","issued":{"date-parts":[["2008"]]},"page":"642-654","title":"Livelihoods, vulnerability and adaptation to climate change in Morogoro, Tanzania","type":"article-journal","volume":"11"},"uris":["http://www.mendeley.com/documents/?uuid=12dbdadc-1e86-4144-ab8d-e59592dcce96"]},{"id":"ITEM-2","itemData":{"DOI":"10.1080/23311886.2020.1784652","ISSN":"23311886","abstract":"Climate change in the form of temperature increases and rainfall variability has intensified in the last three decades. Recent studies in Southern Africa (of which Zimbabwe is part) have indicated the extreme vulnerabilities of smallholder farmers to the impact of climate change and recommended that appropriate adaptation measures be put in place. In-field rainwater harvesting is one of the adaptation strategies that has been adopted by some smallholder farmers in drought-prone regions. The study examines the effectiveness of in-field rainwater harvesting as a climate change adaptation strategy for smallholder farmers in Gwanda district, Zimbabwe. Data was collected through semi-structured questionnaires (administered to 45 smallholder farmers) and five key informants. We find that most respondents adopted pit planting and mulching in-field rainwater harvesting techniques. A few respondents practised deep tillage, dead level contours, ephemeral stream diversion, ridges/furrows and hillside sheet runoff. In-field rainwater harvesting techniques increase the time required for crop moisture to set in resulting in improved crop yields. However, farmers are reluctant to adopt in-field rainwater harvesting techniques as they are labour intensive and some require technical expertise. We recommend the implementation of programmes that will enhance the capacity of smallholder farmers to implement various adaptation strategies.","author":[{"dropping-particle":"","family":"Ndlovu","given":"Sibonokuhle","non-dropping-particle":"","parse-names":false,"suffix":""},{"dropping-particle":"","family":"Mathe","given":"Bakani","non-dropping-particle":"","parse-names":false,"suffix":""},{"dropping-particle":"","family":"Phiri","given":"Keith","non-dropping-particle":"","parse-names":false,"suffix":""},{"dropping-particle":"","family":"Nyathi","given":"Douglas","non-dropping-particle":"","parse-names":false,"suffix":""}],"container-title":"Cogent Social Sciences","id":"ITEM-2","issue":"1","issued":{"date-parts":[["2020"]]},"title":"Factoring water harvesting into climate change adaptation: Endogenous responses by smallholder farmers in Gwanda district, Zimbabwe","type":"article-journal","volume":"6"},"uris":["http://www.mendeley.com/documents/?uuid=a802ccaa-eb76-4e87-9dcf-f537d74e7eae","http://www.mendeley.com/documents/?uuid=34532fa6-dbbb-4314-a814-a826fdaa9f90"]}],"mendeley":{"formattedCitation":"(Ndlovu et al., 2020; Paavola, 2008)","plainTextFormattedCitation":"(Ndlovu et al., 2020; Paavola, 2008)","previouslyFormattedCitation":"(Ndlovu et al. 2020; Paavola 2008)"},"properties":{"noteIndex":0},"schema":"https://github.com/citation-style-language/schema/raw/master/csl-citation.json"}</w:instrText>
      </w:r>
      <w:r w:rsidRPr="004B42B5">
        <w:rPr>
          <w:rFonts w:ascii="Arial" w:hAnsi="Arial" w:cs="Arial"/>
        </w:rPr>
        <w:fldChar w:fldCharType="separate"/>
      </w:r>
      <w:r w:rsidRPr="004B42B5">
        <w:rPr>
          <w:rFonts w:ascii="Arial" w:hAnsi="Arial" w:cs="Arial"/>
          <w:noProof/>
        </w:rPr>
        <w:t>(Ndlovu et al., 2020; Paavola, 2008)</w:t>
      </w:r>
      <w:r w:rsidRPr="004B42B5">
        <w:rPr>
          <w:rFonts w:ascii="Arial" w:hAnsi="Arial" w:cs="Arial"/>
        </w:rPr>
        <w:fldChar w:fldCharType="end"/>
      </w:r>
      <w:r w:rsidRPr="004B42B5">
        <w:rPr>
          <w:rFonts w:ascii="Arial" w:hAnsi="Arial" w:cs="Arial"/>
        </w:rPr>
        <w:t xml:space="preserve">.  The employment of different adaptation measures means that farmers will change their land utilization types. These responses need efficient weather forecasting systems as they have to be employed during the onset of the planting seasons. Weak early warning systems, ineffective communication of climate information and low understanding  of the local context within which adaptations take place </w:t>
      </w:r>
      <w:r w:rsidRPr="004B42B5">
        <w:rPr>
          <w:rFonts w:ascii="Arial" w:hAnsi="Arial" w:cs="Arial"/>
        </w:rPr>
        <w:fldChar w:fldCharType="begin" w:fldLock="1"/>
      </w:r>
      <w:r w:rsidRPr="004B42B5">
        <w:rPr>
          <w:rFonts w:ascii="Arial" w:hAnsi="Arial" w:cs="Arial"/>
        </w:rPr>
        <w:instrText>ADDIN CSL_CITATION {"citationItems":[{"id":"ITEM-1","itemData":{"DOI":"10.1080/17565529.2014.951013","ISSN":"17565537","abstract":"Despite the international significance attached to climate change adaptation, there remains a lack of understanding of the barriers that impede the effective implementation of adaptation strategies by households across sub-Saharan Africa (SSA). Better understanding of the vulnerability of agriculture-dependent households to climate variability requires exploration of the barriers that constrain the implementation of adaptation strategies. This paper uses case studies from northeast Ghana and a systematic literature review to assess the barriers that restrict effective implementation of climate adaptations in SSA. Results suggest that households are constrained by financial barriers, socio-cultural barriers, institutional barriers, technological barriers and a lack of information on climate change characteristics. We examine how the various barriers interact at different levels to influence the adaptation process. Findings highlight that the development of early warning systems, effective communication of climate information and an understanding of the local context within which adaptations take place, are necessary pre-requisites to enhance climate adaptations and rural livelihoods. Households need to be supported through the provision of micro-credit schemes, community empowerment and extension initiatives aimed at enhancing social networks within farming communities in order to reduce their vulnerability to the adverse impacts of climate change and variability.","author":[{"dropping-particle":"","family":"Antwi-Agyei","given":"Philip","non-dropping-particle":"","parse-names":false,"suffix":""},{"dropping-particle":"","family":"Dougill","given":"Andrew J.","non-dropping-particle":"","parse-names":false,"suffix":""},{"dropping-particle":"","family":"Stringer","given":"Lindsay C.","non-dropping-particle":"","parse-names":false,"suffix":""}],"container-title":"Climate and Development","id":"ITEM-1","issue":"4","issued":{"date-parts":[["2015"]]},"page":"297-309","title":"Barriers to climate change adaptation: evidence from northeast Ghana in the context of a systematic literature review","type":"article-journal","volume":"7"},"uris":["http://www.mendeley.com/documents/?uuid=ba2ad6a7-6861-461c-9e64-ea02b613dbfb"]}],"mendeley":{"formattedCitation":"(Antwi-Agyei et al., 2015)","plainTextFormattedCitation":"(Antwi-Agyei et al., 2015)","previouslyFormattedCitation":"(Antwi-Agyei et al. 2015)"},"properties":{"noteIndex":0},"schema":"https://github.com/citation-style-language/schema/raw/master/csl-citation.json"}</w:instrText>
      </w:r>
      <w:r w:rsidRPr="004B42B5">
        <w:rPr>
          <w:rFonts w:ascii="Arial" w:hAnsi="Arial" w:cs="Arial"/>
        </w:rPr>
        <w:fldChar w:fldCharType="separate"/>
      </w:r>
      <w:r w:rsidRPr="004B42B5">
        <w:rPr>
          <w:rFonts w:ascii="Arial" w:hAnsi="Arial" w:cs="Arial"/>
          <w:noProof/>
        </w:rPr>
        <w:t>(Antwi-Agyei et al., 2015)</w:t>
      </w:r>
      <w:r w:rsidRPr="004B42B5">
        <w:rPr>
          <w:rFonts w:ascii="Arial" w:hAnsi="Arial" w:cs="Arial"/>
        </w:rPr>
        <w:fldChar w:fldCharType="end"/>
      </w:r>
      <w:r w:rsidRPr="004B42B5">
        <w:rPr>
          <w:rFonts w:ascii="Arial" w:hAnsi="Arial" w:cs="Arial"/>
        </w:rPr>
        <w:t xml:space="preserve"> makes farmers to be more vulnerable to the effects of climate change. Furthermore, erratic markets for agricultural produce </w:t>
      </w:r>
      <w:r w:rsidRPr="004B42B5">
        <w:rPr>
          <w:rFonts w:ascii="Arial" w:hAnsi="Arial" w:cs="Arial"/>
        </w:rPr>
        <w:fldChar w:fldCharType="begin" w:fldLock="1"/>
      </w:r>
      <w:r w:rsidRPr="004B42B5">
        <w:rPr>
          <w:rFonts w:ascii="Arial" w:hAnsi="Arial" w:cs="Arial"/>
        </w:rPr>
        <w:instrText>ADDIN CSL_CITATION {"citationItems":[{"id":"ITEM-1","itemData":{"DOI":"10.1080/17565529.2014.965654","ISSN":"17565537","abstract":"Climate change creates widespread risks for food production. As climate impacts are often locally specific, it is imperative that large-scale initiatives to support smallholder farmers consider local priorities and integrate lessons from successful autonomous adaptation efforts. This article explores how large-scale programmes for smallholder adaptation to climate change might link effectively with community-led adaptation initiatives. Drawing on experiences in Bangladesh, Mozambique, Uganda and India, this article identifies key success factors and barriers for considering local priorities, capacities and lessons in large-scale adaptation programmes. It highlights the key roles of extension services and farmers' organizations as mechanisms for linking between national-level and community-level adaptation, and a range of other success factors which include participative and locally driven vulnerability assessments, tailoring of adaptation technologies to local contexts, mapping local institutions and working in partnership across institutions. Barriers include weak governance, gaps in the regulatory and policy environment, high opportunity costs, low literacy and underdeveloped markets. The article concludes that mainstreaming climate adaptation into large-scale agricultural initiatives requires not only integration of lessons from community-based adaptation, but also the building of inclusive governance to ensure smallholders can engage with those policies and processes affecting their vulnerability.","author":[{"dropping-particle":"","family":"Wright","given":"Helena","non-dropping-particle":"","parse-names":false,"suffix":""},{"dropping-particle":"","family":"Vermeulen","given":"Sonja","non-dropping-particle":"","parse-names":false,"suffix":""},{"dropping-particle":"","family":"Laganda","given":"Gernot","non-dropping-particle":"","parse-names":false,"suffix":""},{"dropping-particle":"","family":"Olupot","given":"Max","non-dropping-particle":"","parse-names":false,"suffix":""},{"dropping-particle":"","family":"Ampaire","given":"Edidah","non-dropping-particle":"","parse-names":false,"suffix":""},{"dropping-particle":"","family":"Jat","given":"M. L.","non-dropping-particle":"","parse-names":false,"suffix":""}],"container-title":"Climate and Development","id":"ITEM-1","issue":"4","issued":{"date-parts":[["2014"]]},"page":"318-328","title":"Farmers, food and climate change: ensuring community-based adaptation is mainstreamed into agricultural programmes","type":"article-journal","volume":"6"},"uris":["http://www.mendeley.com/documents/?uuid=a953bf5f-19e4-4ae3-a202-4b9d98ac167d","http://www.mendeley.com/documents/?uuid=3389e2ab-c395-4f51-8338-ecfdf63b5983"]}],"mendeley":{"formattedCitation":"(Wright et al., 2014)","plainTextFormattedCitation":"(Wright et al., 2014)","previouslyFormattedCitation":"(Wright et al. 2014)"},"properties":{"noteIndex":0},"schema":"https://github.com/citation-style-language/schema/raw/master/csl-citation.json"}</w:instrText>
      </w:r>
      <w:r w:rsidRPr="004B42B5">
        <w:rPr>
          <w:rFonts w:ascii="Arial" w:hAnsi="Arial" w:cs="Arial"/>
        </w:rPr>
        <w:fldChar w:fldCharType="separate"/>
      </w:r>
      <w:r w:rsidRPr="004B42B5">
        <w:rPr>
          <w:rFonts w:ascii="Arial" w:hAnsi="Arial" w:cs="Arial"/>
          <w:noProof/>
        </w:rPr>
        <w:t>(Wright et al., 2014)</w:t>
      </w:r>
      <w:r w:rsidRPr="004B42B5">
        <w:rPr>
          <w:rFonts w:ascii="Arial" w:hAnsi="Arial" w:cs="Arial"/>
        </w:rPr>
        <w:fldChar w:fldCharType="end"/>
      </w:r>
      <w:r w:rsidRPr="004B42B5">
        <w:rPr>
          <w:rFonts w:ascii="Arial" w:hAnsi="Arial" w:cs="Arial"/>
        </w:rPr>
        <w:t xml:space="preserve"> have been identified as barriers to adoption of climate adaptations. There is limited scholarly works that explored on how irregular weather patterns affect farmers decisions on the choice of climate change adaptation measures. This study therefore explored the perception of farmers on fluctuating weather rainfall pattern and the factors affecting employment of different available adaptation measures. </w:t>
      </w:r>
    </w:p>
    <w:p w14:paraId="79E8C59D" w14:textId="77777777" w:rsidR="004B42B5" w:rsidRPr="004B42B5" w:rsidRDefault="004B42B5" w:rsidP="004B42B5">
      <w:pPr>
        <w:spacing w:line="240" w:lineRule="auto"/>
        <w:contextualSpacing/>
        <w:jc w:val="both"/>
        <w:rPr>
          <w:rFonts w:ascii="Arial" w:hAnsi="Arial" w:cs="Arial"/>
        </w:rPr>
      </w:pPr>
    </w:p>
    <w:p w14:paraId="71F1FED6" w14:textId="77777777" w:rsidR="004B42B5" w:rsidRPr="004B42B5" w:rsidRDefault="004B42B5" w:rsidP="004B42B5">
      <w:pPr>
        <w:pStyle w:val="Heading1"/>
        <w:spacing w:before="0" w:line="240" w:lineRule="auto"/>
        <w:contextualSpacing/>
        <w:rPr>
          <w:rFonts w:ascii="Arial" w:hAnsi="Arial" w:cs="Arial"/>
          <w:color w:val="auto"/>
          <w:sz w:val="22"/>
          <w:szCs w:val="22"/>
        </w:rPr>
      </w:pPr>
      <w:r w:rsidRPr="004B42B5">
        <w:rPr>
          <w:rFonts w:ascii="Arial" w:hAnsi="Arial" w:cs="Arial"/>
          <w:color w:val="auto"/>
          <w:sz w:val="22"/>
          <w:szCs w:val="22"/>
        </w:rPr>
        <w:t>2. MATERIALS AND METHODS</w:t>
      </w:r>
    </w:p>
    <w:p w14:paraId="6BCA39AC" w14:textId="77777777" w:rsidR="004B42B5" w:rsidRPr="004B42B5" w:rsidRDefault="004B42B5" w:rsidP="004B42B5">
      <w:pPr>
        <w:spacing w:line="240" w:lineRule="auto"/>
        <w:contextualSpacing/>
        <w:jc w:val="both"/>
        <w:rPr>
          <w:rFonts w:ascii="Arial" w:hAnsi="Arial" w:cs="Arial"/>
        </w:rPr>
      </w:pPr>
      <w:bookmarkStart w:id="3" w:name="_Toc80264910"/>
    </w:p>
    <w:p w14:paraId="481364E9" w14:textId="77777777" w:rsidR="004B42B5" w:rsidRPr="004B42B5" w:rsidRDefault="004B42B5" w:rsidP="004B42B5">
      <w:pPr>
        <w:spacing w:line="240" w:lineRule="auto"/>
        <w:contextualSpacing/>
        <w:jc w:val="both"/>
        <w:rPr>
          <w:rFonts w:ascii="Arial" w:hAnsi="Arial" w:cs="Arial"/>
        </w:rPr>
      </w:pPr>
      <w:r w:rsidRPr="004B42B5">
        <w:rPr>
          <w:rFonts w:ascii="Arial" w:hAnsi="Arial" w:cs="Arial"/>
        </w:rPr>
        <w:t>A field survey was conducted in Bagamoyo district, Tanzania. The district is located on Coast region (</w:t>
      </w:r>
      <w:r w:rsidRPr="004B42B5">
        <w:fldChar w:fldCharType="begin"/>
      </w:r>
      <w:r w:rsidRPr="004B42B5">
        <w:rPr>
          <w:rFonts w:ascii="Arial" w:hAnsi="Arial" w:cs="Arial"/>
        </w:rPr>
        <w:instrText xml:space="preserve"> REF _Ref116888677 \h  \* MERGEFORMAT </w:instrText>
      </w:r>
      <w:r w:rsidRPr="004B42B5">
        <w:fldChar w:fldCharType="separate"/>
      </w:r>
      <w:r w:rsidRPr="004B42B5">
        <w:rPr>
          <w:rFonts w:ascii="Arial" w:hAnsi="Arial" w:cs="Arial"/>
        </w:rPr>
        <w:t xml:space="preserve">Figure </w:t>
      </w:r>
      <w:r w:rsidRPr="004B42B5">
        <w:rPr>
          <w:rFonts w:ascii="Arial" w:hAnsi="Arial" w:cs="Arial"/>
          <w:noProof/>
        </w:rPr>
        <w:t>1</w:t>
      </w:r>
      <w:r w:rsidRPr="004B42B5">
        <w:fldChar w:fldCharType="end"/>
      </w:r>
      <w:r w:rsidRPr="004B42B5">
        <w:rPr>
          <w:rFonts w:ascii="Arial" w:hAnsi="Arial" w:cs="Arial"/>
        </w:rPr>
        <w:t xml:space="preserve">). A multi-stage sampling technique was used for the sample selection. First, Coast region was purposively selected because of its close proximity to Indian Ocean and due to the fact that the effects of climate change have been witnessed in the region. Secondly, Bagamoyo district, which is one of the six districts in Coastal region and </w:t>
      </w:r>
      <w:proofErr w:type="spellStart"/>
      <w:r w:rsidRPr="004B42B5">
        <w:rPr>
          <w:rFonts w:ascii="Arial" w:hAnsi="Arial" w:cs="Arial"/>
        </w:rPr>
        <w:t>Kerege</w:t>
      </w:r>
      <w:proofErr w:type="spellEnd"/>
      <w:r w:rsidRPr="004B42B5">
        <w:rPr>
          <w:rFonts w:ascii="Arial" w:hAnsi="Arial" w:cs="Arial"/>
        </w:rPr>
        <w:t xml:space="preserve"> ward which is one of 20 wards in Bagamoyo district were randomly selected. </w:t>
      </w:r>
      <w:proofErr w:type="spellStart"/>
      <w:r w:rsidRPr="004B42B5">
        <w:rPr>
          <w:rFonts w:ascii="Arial" w:hAnsi="Arial" w:cs="Arial"/>
        </w:rPr>
        <w:t>Kiharaka</w:t>
      </w:r>
      <w:proofErr w:type="spellEnd"/>
      <w:r w:rsidRPr="004B42B5">
        <w:rPr>
          <w:rFonts w:ascii="Arial" w:hAnsi="Arial" w:cs="Arial"/>
        </w:rPr>
        <w:t xml:space="preserve"> village, was also randomly selected. In total, 40 farm-households from the village were selected for the study. The criteria used for selecting the households were; At least the family should have been involved in farming in the village for at least five years and that the head of the household should at least be 30 years old. Some other information about the village, climate change and crop production were obtained from village secretary, ward secretary and the agricultural extension officer through structured as well as semi structured questionnaire. Focus group discussions were also held.</w:t>
      </w:r>
    </w:p>
    <w:p w14:paraId="2B130800" w14:textId="77777777" w:rsidR="004B42B5" w:rsidRPr="004B42B5" w:rsidRDefault="004B42B5" w:rsidP="004B42B5">
      <w:pPr>
        <w:spacing w:line="240" w:lineRule="auto"/>
        <w:contextualSpacing/>
        <w:jc w:val="both"/>
        <w:rPr>
          <w:rFonts w:ascii="Arial" w:hAnsi="Arial" w:cs="Arial"/>
        </w:rPr>
      </w:pPr>
    </w:p>
    <w:p w14:paraId="1426BB2C" w14:textId="77777777" w:rsidR="004B42B5" w:rsidRPr="004B42B5" w:rsidRDefault="004B42B5" w:rsidP="004B42B5">
      <w:pPr>
        <w:spacing w:line="240" w:lineRule="auto"/>
        <w:contextualSpacing/>
        <w:jc w:val="both"/>
        <w:rPr>
          <w:rFonts w:ascii="Arial" w:hAnsi="Arial" w:cs="Arial"/>
        </w:rPr>
      </w:pPr>
      <w:r w:rsidRPr="004B42B5">
        <w:rPr>
          <w:rFonts w:ascii="Arial" w:hAnsi="Arial" w:cs="Arial"/>
        </w:rPr>
        <w:t xml:space="preserve">A survey schedule was used to record farmers’ perceptions and understanding of spatial and temporal climate change experiences and their perception on fluctuating weather patterns. Furthermore, the survey explored the effects of climate change on agriculture production, strategies farmers that use to undertake crop production amid climate change and the effects of fluctuating weather patterns on employing the right adaptation measures. The relationship between years of farming or age of respondents with the perception of the respondents on the onset of the fluctuating weather conditions was carried-out using a simple regression analysis. Furthermore, multinomial regression logistic model was used to explore; </w:t>
      </w:r>
      <w:proofErr w:type="spellStart"/>
      <w:r w:rsidRPr="004B42B5">
        <w:rPr>
          <w:rFonts w:ascii="Arial" w:hAnsi="Arial" w:cs="Arial"/>
        </w:rPr>
        <w:t>i</w:t>
      </w:r>
      <w:proofErr w:type="spellEnd"/>
      <w:r w:rsidRPr="004B42B5">
        <w:rPr>
          <w:rFonts w:ascii="Arial" w:hAnsi="Arial" w:cs="Arial"/>
        </w:rPr>
        <w:t>. the relationship between respondent’s characteristics (age, sex, education, years of farming, farm sizes, awareness to climate change and effects) and the adoption of measures that ensure improved moisture in root zones; and the choice of these climate change adaptation measures and characteristics of the respondents.</w:t>
      </w:r>
    </w:p>
    <w:p w14:paraId="2CE7524A" w14:textId="77777777" w:rsidR="004B42B5" w:rsidRPr="004B42B5" w:rsidRDefault="004B42B5" w:rsidP="004B42B5">
      <w:pPr>
        <w:spacing w:line="240" w:lineRule="auto"/>
        <w:contextualSpacing/>
        <w:jc w:val="both"/>
        <w:rPr>
          <w:rFonts w:ascii="Arial" w:hAnsi="Arial" w:cs="Arial"/>
        </w:rPr>
      </w:pPr>
    </w:p>
    <w:p w14:paraId="414CA96A" w14:textId="77777777" w:rsidR="004B42B5" w:rsidRPr="004B42B5" w:rsidRDefault="004B42B5" w:rsidP="004B42B5">
      <w:pPr>
        <w:spacing w:line="240" w:lineRule="auto"/>
        <w:contextualSpacing/>
        <w:jc w:val="both"/>
        <w:rPr>
          <w:rFonts w:ascii="Arial" w:hAnsi="Arial" w:cs="Arial"/>
        </w:rPr>
      </w:pPr>
      <w:r w:rsidRPr="004B42B5">
        <w:rPr>
          <w:noProof/>
        </w:rPr>
        <w:lastRenderedPageBreak/>
        <w:drawing>
          <wp:anchor distT="60960" distB="117348" distL="175260" distR="230124" simplePos="0" relativeHeight="251659264" behindDoc="0" locked="0" layoutInCell="1" allowOverlap="0" wp14:anchorId="45C7C18A" wp14:editId="1B589889">
            <wp:simplePos x="0" y="0"/>
            <wp:positionH relativeFrom="margin">
              <wp:posOffset>0</wp:posOffset>
            </wp:positionH>
            <wp:positionV relativeFrom="margin">
              <wp:posOffset>236220</wp:posOffset>
            </wp:positionV>
            <wp:extent cx="5211826" cy="3802507"/>
            <wp:effectExtent l="76200" t="76200" r="141605" b="140970"/>
            <wp:wrapTopAndBottom/>
            <wp:docPr id="2"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768" name="Picture 48768"/>
                    <pic:cNvPicPr/>
                  </pic:nvPicPr>
                  <pic:blipFill>
                    <a:blip r:embed="rId12" cstate="print"/>
                    <a:stretch>
                      <a:fillRect/>
                    </a:stretch>
                  </pic:blipFill>
                  <pic:spPr>
                    <a:xfrm>
                      <a:off x="0" y="0"/>
                      <a:ext cx="5211445" cy="38023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Pr="004B42B5">
        <w:rPr>
          <w:rFonts w:ascii="Arial" w:hAnsi="Arial" w:cs="Arial"/>
        </w:rPr>
        <w:t xml:space="preserve">Figure </w:t>
      </w:r>
      <w:r w:rsidRPr="004B42B5">
        <w:fldChar w:fldCharType="begin"/>
      </w:r>
      <w:r w:rsidRPr="004B42B5">
        <w:rPr>
          <w:rFonts w:ascii="Arial" w:hAnsi="Arial" w:cs="Arial"/>
        </w:rPr>
        <w:instrText xml:space="preserve"> SEQ Figure \* ARABIC </w:instrText>
      </w:r>
      <w:r w:rsidRPr="004B42B5">
        <w:fldChar w:fldCharType="separate"/>
      </w:r>
      <w:r w:rsidRPr="004B42B5">
        <w:rPr>
          <w:rFonts w:ascii="Arial" w:hAnsi="Arial" w:cs="Arial"/>
          <w:noProof/>
        </w:rPr>
        <w:t>1</w:t>
      </w:r>
      <w:r w:rsidRPr="004B42B5">
        <w:fldChar w:fldCharType="end"/>
      </w:r>
      <w:r w:rsidRPr="004B42B5">
        <w:rPr>
          <w:rFonts w:ascii="Arial" w:hAnsi="Arial" w:cs="Arial"/>
        </w:rPr>
        <w:t xml:space="preserve">: Location map showing Bagamoyo and </w:t>
      </w:r>
      <w:proofErr w:type="spellStart"/>
      <w:r w:rsidRPr="004B42B5">
        <w:rPr>
          <w:rFonts w:ascii="Arial" w:hAnsi="Arial" w:cs="Arial"/>
        </w:rPr>
        <w:t>Kiharaka</w:t>
      </w:r>
      <w:proofErr w:type="spellEnd"/>
      <w:r w:rsidRPr="004B42B5">
        <w:rPr>
          <w:rFonts w:ascii="Arial" w:hAnsi="Arial" w:cs="Arial"/>
        </w:rPr>
        <w:t xml:space="preserve"> village.</w:t>
      </w:r>
    </w:p>
    <w:p w14:paraId="350C1AC1" w14:textId="77777777" w:rsidR="004B42B5" w:rsidRPr="004B42B5" w:rsidRDefault="004B42B5" w:rsidP="004B42B5">
      <w:pPr>
        <w:spacing w:line="240" w:lineRule="auto"/>
        <w:contextualSpacing/>
        <w:jc w:val="both"/>
        <w:rPr>
          <w:rFonts w:ascii="Arial" w:hAnsi="Arial" w:cs="Arial"/>
        </w:rPr>
      </w:pPr>
    </w:p>
    <w:p w14:paraId="2C6B3063" w14:textId="77777777" w:rsidR="004B42B5" w:rsidRPr="004B42B5" w:rsidRDefault="004B42B5" w:rsidP="004B42B5">
      <w:pPr>
        <w:spacing w:line="240" w:lineRule="auto"/>
        <w:contextualSpacing/>
        <w:jc w:val="both"/>
        <w:rPr>
          <w:rFonts w:ascii="Arial" w:hAnsi="Arial" w:cs="Arial"/>
        </w:rPr>
      </w:pPr>
    </w:p>
    <w:p w14:paraId="272C0A60" w14:textId="77777777" w:rsidR="004B42B5" w:rsidRPr="004B42B5" w:rsidRDefault="004B42B5" w:rsidP="004B42B5">
      <w:pPr>
        <w:pStyle w:val="Heading1"/>
        <w:spacing w:before="0" w:line="240" w:lineRule="auto"/>
        <w:contextualSpacing/>
        <w:rPr>
          <w:rFonts w:ascii="Arial" w:hAnsi="Arial" w:cs="Arial"/>
          <w:color w:val="auto"/>
          <w:sz w:val="22"/>
          <w:szCs w:val="22"/>
        </w:rPr>
      </w:pPr>
      <w:r w:rsidRPr="004B42B5">
        <w:rPr>
          <w:rFonts w:ascii="Arial" w:hAnsi="Arial" w:cs="Arial"/>
          <w:color w:val="auto"/>
          <w:sz w:val="22"/>
          <w:szCs w:val="22"/>
        </w:rPr>
        <w:t>3. RESULTS AND DISCUSSION</w:t>
      </w:r>
      <w:bookmarkEnd w:id="3"/>
    </w:p>
    <w:p w14:paraId="5F96D87E" w14:textId="77777777" w:rsidR="004B42B5" w:rsidRPr="004B42B5" w:rsidRDefault="004B42B5" w:rsidP="004B42B5">
      <w:pPr>
        <w:pStyle w:val="Heading2"/>
        <w:spacing w:before="0" w:line="240" w:lineRule="auto"/>
        <w:contextualSpacing/>
        <w:rPr>
          <w:rFonts w:ascii="Arial" w:hAnsi="Arial" w:cs="Arial"/>
          <w:iCs/>
          <w:color w:val="auto"/>
          <w:sz w:val="22"/>
          <w:szCs w:val="22"/>
        </w:rPr>
      </w:pPr>
      <w:bookmarkStart w:id="4" w:name="_Toc80264911"/>
    </w:p>
    <w:p w14:paraId="38FC4EE3" w14:textId="77777777" w:rsidR="004B42B5" w:rsidRPr="004B42B5" w:rsidRDefault="004B42B5" w:rsidP="004B42B5">
      <w:pPr>
        <w:pStyle w:val="Heading2"/>
        <w:spacing w:before="0" w:line="240" w:lineRule="auto"/>
        <w:contextualSpacing/>
        <w:rPr>
          <w:rFonts w:ascii="Arial" w:hAnsi="Arial" w:cs="Arial"/>
          <w:bCs/>
          <w:iCs/>
          <w:color w:val="auto"/>
          <w:sz w:val="22"/>
          <w:szCs w:val="22"/>
        </w:rPr>
      </w:pPr>
      <w:r w:rsidRPr="004B42B5">
        <w:rPr>
          <w:rFonts w:ascii="Arial" w:hAnsi="Arial" w:cs="Arial"/>
          <w:bCs/>
          <w:iCs/>
          <w:color w:val="auto"/>
          <w:sz w:val="22"/>
          <w:szCs w:val="22"/>
        </w:rPr>
        <w:t xml:space="preserve">3.1 Perception of Farmers on </w:t>
      </w:r>
      <w:bookmarkEnd w:id="4"/>
      <w:r w:rsidRPr="004B42B5">
        <w:rPr>
          <w:rFonts w:ascii="Arial" w:hAnsi="Arial" w:cs="Arial"/>
          <w:bCs/>
          <w:iCs/>
          <w:color w:val="auto"/>
          <w:sz w:val="22"/>
          <w:szCs w:val="22"/>
        </w:rPr>
        <w:t>Fluctuating</w:t>
      </w:r>
      <w:r w:rsidRPr="004B42B5">
        <w:rPr>
          <w:rFonts w:ascii="Arial" w:hAnsi="Arial" w:cs="Arial"/>
          <w:b/>
          <w:iCs/>
          <w:color w:val="auto"/>
          <w:sz w:val="22"/>
          <w:szCs w:val="22"/>
        </w:rPr>
        <w:t xml:space="preserve"> </w:t>
      </w:r>
      <w:r w:rsidRPr="004B42B5">
        <w:rPr>
          <w:rFonts w:ascii="Arial" w:hAnsi="Arial" w:cs="Arial"/>
          <w:bCs/>
          <w:iCs/>
          <w:color w:val="auto"/>
          <w:sz w:val="22"/>
          <w:szCs w:val="22"/>
        </w:rPr>
        <w:t>Weather Pattern</w:t>
      </w:r>
    </w:p>
    <w:p w14:paraId="426B30A2" w14:textId="77777777" w:rsidR="004B42B5" w:rsidRPr="004B42B5" w:rsidRDefault="004B42B5" w:rsidP="004B42B5">
      <w:pPr>
        <w:spacing w:line="240" w:lineRule="auto"/>
        <w:contextualSpacing/>
        <w:jc w:val="both"/>
        <w:rPr>
          <w:rFonts w:ascii="Arial" w:hAnsi="Arial" w:cs="Arial"/>
        </w:rPr>
      </w:pPr>
    </w:p>
    <w:p w14:paraId="25358C59" w14:textId="77777777" w:rsidR="004B42B5" w:rsidRPr="004B42B5" w:rsidRDefault="004B42B5" w:rsidP="004B42B5">
      <w:pPr>
        <w:spacing w:line="240" w:lineRule="auto"/>
        <w:contextualSpacing/>
        <w:jc w:val="both"/>
        <w:rPr>
          <w:rFonts w:ascii="Arial" w:hAnsi="Arial" w:cs="Arial"/>
        </w:rPr>
      </w:pPr>
      <w:r w:rsidRPr="004B42B5">
        <w:rPr>
          <w:rFonts w:ascii="Arial" w:hAnsi="Arial" w:cs="Arial"/>
        </w:rPr>
        <w:t xml:space="preserve">Farmers encounter different social, economic and environments situations. This makes them to have different perception on climate change impacts and the choice of adaptation practices to employ </w:t>
      </w:r>
      <w:r w:rsidRPr="004B42B5">
        <w:rPr>
          <w:rFonts w:ascii="Arial" w:hAnsi="Arial" w:cs="Arial"/>
        </w:rPr>
        <w:fldChar w:fldCharType="begin" w:fldLock="1"/>
      </w:r>
      <w:r w:rsidRPr="004B42B5">
        <w:rPr>
          <w:rFonts w:ascii="Arial" w:hAnsi="Arial" w:cs="Arial"/>
        </w:rPr>
        <w:instrText>ADDIN CSL_CITATION {"citationItems":[{"id":"ITEM-1","itemData":{"DOI":"10.1080/13547860.2018.1442149","author":[{"dropping-particle":"","family":"Akhtar","given":"Rulia","non-dropping-particle":"","parse-names":false,"suffix":""},{"dropping-particle":"","family":"Afroz","given":"Rafia","non-dropping-particle":"","parse-names":false,"suffix":""},{"dropping-particle":"","family":"Masud","given":"Muhammad Mehedi","non-dropping-particle":"","parse-names":false,"suffix":""},{"dropping-particle":"","family":"Rahman","given":"Mahfuzur","non-dropping-particle":"","parse-names":false,"suffix":""}],"id":"ITEM-1","issue":"May","issued":{"date-parts":[["2018"]]},"publisher":"Taylor &amp; Francis","title":"Farmers ’ perceptions , awareness , attitudes and adaption behaviour towards climate change","type":"article-journal","volume":"7860"},"uris":["http://www.mendeley.com/documents/?uuid=590070ce-5554-4539-9d8e-d4979e0b603d","http://www.mendeley.com/documents/?uuid=8885c92d-b17a-4ca3-9398-8b3eaf662905"]}],"mendeley":{"formattedCitation":"(Akhtar et al., 2018)","plainTextFormattedCitation":"(Akhtar et al., 2018)","previouslyFormattedCitation":"(Akhtar et al. 2018)"},"properties":{"noteIndex":0},"schema":"https://github.com/citation-style-language/schema/raw/master/csl-citation.json"}</w:instrText>
      </w:r>
      <w:r w:rsidRPr="004B42B5">
        <w:rPr>
          <w:rFonts w:ascii="Arial" w:hAnsi="Arial" w:cs="Arial"/>
        </w:rPr>
        <w:fldChar w:fldCharType="separate"/>
      </w:r>
      <w:r w:rsidRPr="004B42B5">
        <w:rPr>
          <w:rFonts w:ascii="Arial" w:hAnsi="Arial" w:cs="Arial"/>
          <w:noProof/>
        </w:rPr>
        <w:t>(Akhtar et al., 2018)</w:t>
      </w:r>
      <w:r w:rsidRPr="004B42B5">
        <w:rPr>
          <w:rFonts w:ascii="Arial" w:hAnsi="Arial" w:cs="Arial"/>
        </w:rPr>
        <w:fldChar w:fldCharType="end"/>
      </w:r>
      <w:r w:rsidRPr="004B42B5">
        <w:rPr>
          <w:rFonts w:ascii="Arial" w:hAnsi="Arial" w:cs="Arial"/>
        </w:rPr>
        <w:t xml:space="preserve">. The reported differences are attributed to factors such as knowledge on farming skills, education and gender </w:t>
      </w:r>
      <w:r w:rsidRPr="004B42B5">
        <w:rPr>
          <w:rFonts w:ascii="Arial" w:hAnsi="Arial" w:cs="Arial"/>
        </w:rPr>
        <w:fldChar w:fldCharType="begin" w:fldLock="1"/>
      </w:r>
      <w:r w:rsidRPr="004B42B5">
        <w:rPr>
          <w:rFonts w:ascii="Arial" w:hAnsi="Arial" w:cs="Arial"/>
        </w:rPr>
        <w:instrText>ADDIN CSL_CITATION {"citationItems":[{"id":"ITEM-1","itemData":{"DOI":"10.1080/13547860.2018.1442149","author":[{"dropping-particle":"","family":"Akhtar","given":"Rulia","non-dropping-particle":"","parse-names":false,"suffix":""},{"dropping-particle":"","family":"Afroz","given":"Rafia","non-dropping-particle":"","parse-names":false,"suffix":""},{"dropping-particle":"","family":"Masud","given":"Muhammad Mehedi","non-dropping-particle":"","parse-names":false,"suffix":""},{"dropping-particle":"","family":"Rahman","given":"Mahfuzur","non-dropping-particle":"","parse-names":false,"suffix":""}],"id":"ITEM-1","issue":"May","issued":{"date-parts":[["2018"]]},"publisher":"Taylor &amp; Francis","title":"Farmers ’ perceptions , awareness , attitudes and adaption behaviour towards climate change","type":"article-journal","volume":"7860"},"uris":["http://www.mendeley.com/documents/?uuid=8885c92d-b17a-4ca3-9398-8b3eaf662905","http://www.mendeley.com/documents/?uuid=590070ce-5554-4539-9d8e-d4979e0b603d"]}],"mendeley":{"formattedCitation":"(Akhtar et al., 2018)","plainTextFormattedCitation":"(Akhtar et al., 2018)","previouslyFormattedCitation":"(Akhtar et al. 2018)"},"properties":{"noteIndex":0},"schema":"https://github.com/citation-style-language/schema/raw/master/csl-citation.json"}</w:instrText>
      </w:r>
      <w:r w:rsidRPr="004B42B5">
        <w:rPr>
          <w:rFonts w:ascii="Arial" w:hAnsi="Arial" w:cs="Arial"/>
        </w:rPr>
        <w:fldChar w:fldCharType="separate"/>
      </w:r>
      <w:r w:rsidRPr="004B42B5">
        <w:rPr>
          <w:rFonts w:ascii="Arial" w:hAnsi="Arial" w:cs="Arial"/>
          <w:noProof/>
        </w:rPr>
        <w:t>(Akhtar et al., 2018)</w:t>
      </w:r>
      <w:r w:rsidRPr="004B42B5">
        <w:rPr>
          <w:rFonts w:ascii="Arial" w:hAnsi="Arial" w:cs="Arial"/>
        </w:rPr>
        <w:fldChar w:fldCharType="end"/>
      </w:r>
      <w:r w:rsidRPr="004B42B5">
        <w:rPr>
          <w:rFonts w:ascii="Arial" w:hAnsi="Arial" w:cs="Arial"/>
        </w:rPr>
        <w:t xml:space="preserve"> and; cultural and religious beliefs (Chisale et al., 2022). Understanding of farmer’s perception on climate change can act as a tool to develop a framework for addressing climate change challenges </w:t>
      </w:r>
      <w:r w:rsidRPr="004B42B5">
        <w:rPr>
          <w:rFonts w:ascii="Arial" w:hAnsi="Arial" w:cs="Arial"/>
        </w:rPr>
        <w:fldChar w:fldCharType="begin" w:fldLock="1"/>
      </w:r>
      <w:r w:rsidRPr="004B42B5">
        <w:rPr>
          <w:rFonts w:ascii="Arial" w:hAnsi="Arial" w:cs="Arial"/>
        </w:rPr>
        <w:instrText>ADDIN CSL_CITATION {"citationItems":[{"id":"ITEM-1","itemData":{"DOI":"10.1080/13547860.2018.1442149","author":[{"dropping-particle":"","family":"Akhtar","given":"Rulia","non-dropping-particle":"","parse-names":false,"suffix":""},{"dropping-particle":"","family":"Afroz","given":"Rafia","non-dropping-particle":"","parse-names":false,"suffix":""},{"dropping-particle":"","family":"Masud","given":"Muhammad Mehedi","non-dropping-particle":"","parse-names":false,"suffix":""},{"dropping-particle":"","family":"Rahman","given":"Mahfuzur","non-dropping-particle":"","parse-names":false,"suffix":""}],"id":"ITEM-1","issue":"May","issued":{"date-parts":[["2018"]]},"publisher":"Taylor &amp; Francis","title":"Farmers ’ perceptions , awareness , attitudes and adaption behaviour towards climate change","type":"article-journal","volume":"7860"},"uris":["http://www.mendeley.com/documents/?uuid=8885c92d-b17a-4ca3-9398-8b3eaf662905","http://www.mendeley.com/documents/?uuid=590070ce-5554-4539-9d8e-d4979e0b603d"]}],"mendeley":{"formattedCitation":"(Akhtar et al., 2018)","plainTextFormattedCitation":"(Akhtar et al., 2018)","previouslyFormattedCitation":"(Akhtar et al. 2018)"},"properties":{"noteIndex":0},"schema":"https://github.com/citation-style-language/schema/raw/master/csl-citation.json"}</w:instrText>
      </w:r>
      <w:r w:rsidRPr="004B42B5">
        <w:rPr>
          <w:rFonts w:ascii="Arial" w:hAnsi="Arial" w:cs="Arial"/>
        </w:rPr>
        <w:fldChar w:fldCharType="separate"/>
      </w:r>
      <w:r w:rsidRPr="004B42B5">
        <w:rPr>
          <w:rFonts w:ascii="Arial" w:hAnsi="Arial" w:cs="Arial"/>
          <w:noProof/>
        </w:rPr>
        <w:t>(Akhtar et al., 2018)</w:t>
      </w:r>
      <w:r w:rsidRPr="004B42B5">
        <w:rPr>
          <w:rFonts w:ascii="Arial" w:hAnsi="Arial" w:cs="Arial"/>
        </w:rPr>
        <w:fldChar w:fldCharType="end"/>
      </w:r>
      <w:r w:rsidRPr="004B42B5">
        <w:rPr>
          <w:rFonts w:ascii="Arial" w:hAnsi="Arial" w:cs="Arial"/>
        </w:rPr>
        <w:t xml:space="preserve">. Respondents in the present study are aware of fluctuating weather patterns with increasing frequency of drought. The weather unpredictability leading to persistent crop failure may discourage farmers from investing in any adaptation measures </w:t>
      </w:r>
      <w:r w:rsidRPr="004B42B5">
        <w:rPr>
          <w:rFonts w:ascii="Arial" w:hAnsi="Arial" w:cs="Arial"/>
        </w:rPr>
        <w:fldChar w:fldCharType="begin" w:fldLock="1"/>
      </w:r>
      <w:r w:rsidRPr="004B42B5">
        <w:rPr>
          <w:rFonts w:ascii="Arial" w:hAnsi="Arial" w:cs="Arial"/>
        </w:rPr>
        <w:instrText>ADDIN CSL_CITATION {"citationItems":[{"id":"ITEM-1","itemData":{"DOI":"10.1080/17565529.2018.1562862","ISSN":"17565537","abstract":"Crop failure due to climate shocks increases the risk of hunger for small-scale farmers. This paper identifies the major climate shocks affecting maize-legume farmers in Kenya, and the factors associated with their decision to adapt including the specific adaptation strategies to employ. During 2000–2010 surveyed farm households reported drought, crop pests and excessive rainfall as the most frequent and severe climate shocks. Probit regression results show that previous experiences of drought reduce the likelihood of adaptation to drought and excessive rainfall. Female-headed households are more inclined than male-headed households to adapt to excessive rainfall. Next, multivariate probit regression results identify farm adjustment (e.g. use of improved varieties and replanting) to be a substitution strategy for selling assets and borrowing for drought adaptation, while reducing consumption seems to be a complementary strategy for borrowing. To adapt to crop pests, farm adjustment seems to be a substitution strategy for selling assets and reducing consumption; however, selling assets is a complementary strategy for borrowing. Policy to encourage adaptation should incorporate implication of multiple shocks and target assistance to poor, food-insecure and female-headed households as these are often disadvantaged in terms of asset endowment and access to the technology necessary for adaptation.","author":[{"dropping-particle":"","family":"Tongruksawattana","given":"Songporne","non-dropping-particle":"","parse-names":false,"suffix":""},{"dropping-particle":"","family":"Wainaina","given":"Priscilla","non-dropping-particle":"","parse-names":false,"suffix":""}],"container-title":"Climate and Development","id":"ITEM-1","issue":"8","issued":{"date-parts":[["2019"]]},"page":"710-722","publisher":"Taylor &amp; Francis","title":"Climate shock adaptation for Kenyan maize-legume farmers: choice, complementarities and substitutions between strategies","type":"article-journal","volume":"11"},"uris":["http://www.mendeley.com/documents/?uuid=3d11ed1d-7f9f-4524-a08f-ce41c2b53127","http://www.mendeley.com/documents/?uuid=10843f80-9726-45f5-8325-c302644ebeea"]}],"mendeley":{"formattedCitation":"(Tongruksawattana &amp; Wainaina, 2019)","manualFormatting":"(Tongruksawattana and Wainaina, 2019)","plainTextFormattedCitation":"(Tongruksawattana &amp; Wainaina, 2019)","previouslyFormattedCitation":"(Tongruksawattana and Wainaina 2019)"},"properties":{"noteIndex":0},"schema":"https://github.com/citation-style-language/schema/raw/master/csl-citation.json"}</w:instrText>
      </w:r>
      <w:r w:rsidRPr="004B42B5">
        <w:rPr>
          <w:rFonts w:ascii="Arial" w:hAnsi="Arial" w:cs="Arial"/>
        </w:rPr>
        <w:fldChar w:fldCharType="separate"/>
      </w:r>
      <w:r w:rsidRPr="004B42B5">
        <w:rPr>
          <w:rFonts w:ascii="Arial" w:hAnsi="Arial" w:cs="Arial"/>
          <w:noProof/>
        </w:rPr>
        <w:t>(Tongruksawattana and Wainaina, 2019)</w:t>
      </w:r>
      <w:r w:rsidRPr="004B42B5">
        <w:rPr>
          <w:rFonts w:ascii="Arial" w:hAnsi="Arial" w:cs="Arial"/>
        </w:rPr>
        <w:fldChar w:fldCharType="end"/>
      </w:r>
      <w:r w:rsidRPr="004B42B5">
        <w:rPr>
          <w:rFonts w:ascii="Arial" w:hAnsi="Arial" w:cs="Arial"/>
        </w:rPr>
        <w:t xml:space="preserve"> and abandon agriculture altogether and take other options like migration, off-farm activities and reduced herd sizes. In the present study, 22.5% of respondents opted for the three options above (Table 1). </w:t>
      </w:r>
    </w:p>
    <w:p w14:paraId="1255EF7A" w14:textId="77777777" w:rsidR="004B42B5" w:rsidRPr="004B42B5" w:rsidRDefault="004B42B5" w:rsidP="004B42B5">
      <w:pPr>
        <w:spacing w:line="240" w:lineRule="auto"/>
        <w:contextualSpacing/>
        <w:jc w:val="both"/>
        <w:rPr>
          <w:rFonts w:ascii="Arial" w:hAnsi="Arial" w:cs="Arial"/>
        </w:rPr>
      </w:pPr>
    </w:p>
    <w:p w14:paraId="05D0D731" w14:textId="77777777" w:rsidR="004B42B5" w:rsidRPr="004B42B5" w:rsidRDefault="004B42B5" w:rsidP="004B42B5">
      <w:pPr>
        <w:spacing w:line="240" w:lineRule="auto"/>
        <w:contextualSpacing/>
        <w:jc w:val="both"/>
        <w:rPr>
          <w:rFonts w:ascii="Arial" w:hAnsi="Arial" w:cs="Arial"/>
        </w:rPr>
      </w:pPr>
    </w:p>
    <w:p w14:paraId="37DC2B4C" w14:textId="77777777" w:rsidR="004B42B5" w:rsidRPr="004B42B5" w:rsidRDefault="004B42B5" w:rsidP="004B42B5">
      <w:pPr>
        <w:spacing w:line="240" w:lineRule="auto"/>
        <w:contextualSpacing/>
        <w:jc w:val="both"/>
        <w:rPr>
          <w:rFonts w:ascii="Arial" w:hAnsi="Arial" w:cs="Arial"/>
        </w:rPr>
      </w:pPr>
    </w:p>
    <w:p w14:paraId="1475DACE" w14:textId="77777777" w:rsidR="004B42B5" w:rsidRPr="004B42B5" w:rsidRDefault="004B42B5" w:rsidP="004B42B5">
      <w:pPr>
        <w:spacing w:line="240" w:lineRule="auto"/>
        <w:contextualSpacing/>
        <w:jc w:val="both"/>
        <w:rPr>
          <w:rFonts w:ascii="Arial" w:hAnsi="Arial" w:cs="Arial"/>
        </w:rPr>
      </w:pPr>
    </w:p>
    <w:p w14:paraId="0857BC4C" w14:textId="77777777" w:rsidR="004B42B5" w:rsidRPr="004B42B5" w:rsidRDefault="004B42B5" w:rsidP="004B42B5">
      <w:pPr>
        <w:spacing w:line="240" w:lineRule="auto"/>
        <w:contextualSpacing/>
        <w:jc w:val="both"/>
        <w:rPr>
          <w:rFonts w:ascii="Arial" w:hAnsi="Arial" w:cs="Arial"/>
        </w:rPr>
      </w:pPr>
    </w:p>
    <w:p w14:paraId="28DF7093" w14:textId="77777777" w:rsidR="004B42B5" w:rsidRPr="004B42B5" w:rsidRDefault="004B42B5" w:rsidP="004B42B5">
      <w:pPr>
        <w:pStyle w:val="Caption"/>
        <w:contextualSpacing/>
        <w:rPr>
          <w:rFonts w:ascii="Arial" w:hAnsi="Arial" w:cs="Arial"/>
          <w:color w:val="auto"/>
          <w:sz w:val="22"/>
          <w:szCs w:val="22"/>
        </w:rPr>
      </w:pPr>
      <w:r w:rsidRPr="004B42B5">
        <w:rPr>
          <w:rFonts w:ascii="Arial" w:hAnsi="Arial" w:cs="Arial"/>
          <w:color w:val="auto"/>
          <w:sz w:val="22"/>
          <w:szCs w:val="22"/>
        </w:rPr>
        <w:t xml:space="preserve">Table 1: strategies used by farmers as climate </w:t>
      </w:r>
    </w:p>
    <w:p w14:paraId="1EEE7D63" w14:textId="77777777" w:rsidR="004B42B5" w:rsidRPr="004B42B5" w:rsidRDefault="004B42B5" w:rsidP="004B42B5">
      <w:pPr>
        <w:pStyle w:val="Caption"/>
        <w:contextualSpacing/>
        <w:rPr>
          <w:rFonts w:ascii="Arial" w:hAnsi="Arial" w:cs="Arial"/>
          <w:color w:val="auto"/>
          <w:sz w:val="22"/>
          <w:szCs w:val="22"/>
        </w:rPr>
      </w:pPr>
      <w:r w:rsidRPr="004B42B5">
        <w:rPr>
          <w:rFonts w:ascii="Arial" w:hAnsi="Arial" w:cs="Arial"/>
          <w:color w:val="auto"/>
          <w:sz w:val="22"/>
          <w:szCs w:val="22"/>
        </w:rPr>
        <w:t>change adaptation measures</w:t>
      </w:r>
    </w:p>
    <w:tbl>
      <w:tblPr>
        <w:tblStyle w:val="TableGrid"/>
        <w:tblW w:w="9356" w:type="dxa"/>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686"/>
        <w:gridCol w:w="1984"/>
      </w:tblGrid>
      <w:tr w:rsidR="004B42B5" w:rsidRPr="004B42B5" w14:paraId="17C9E389" w14:textId="77777777" w:rsidTr="00A040E4">
        <w:tc>
          <w:tcPr>
            <w:tcW w:w="3686" w:type="dxa"/>
            <w:tcBorders>
              <w:top w:val="single" w:sz="4" w:space="0" w:color="auto"/>
              <w:left w:val="nil"/>
              <w:bottom w:val="single" w:sz="4" w:space="0" w:color="auto"/>
              <w:right w:val="nil"/>
            </w:tcBorders>
            <w:hideMark/>
          </w:tcPr>
          <w:p w14:paraId="3E4D0B78" w14:textId="77777777" w:rsidR="004B42B5" w:rsidRPr="004B42B5" w:rsidRDefault="004B42B5" w:rsidP="00A040E4">
            <w:pPr>
              <w:pStyle w:val="Caption"/>
              <w:spacing w:after="255"/>
              <w:contextualSpacing/>
              <w:rPr>
                <w:rFonts w:ascii="Arial" w:hAnsi="Arial" w:cs="Arial"/>
                <w:b w:val="0"/>
                <w:color w:val="auto"/>
                <w:sz w:val="22"/>
                <w:szCs w:val="22"/>
              </w:rPr>
            </w:pPr>
            <w:r w:rsidRPr="004B42B5">
              <w:rPr>
                <w:rFonts w:ascii="Arial" w:hAnsi="Arial" w:cs="Arial"/>
                <w:b w:val="0"/>
                <w:color w:val="auto"/>
                <w:sz w:val="22"/>
                <w:szCs w:val="22"/>
              </w:rPr>
              <w:t>Type of adaptation measure</w:t>
            </w:r>
          </w:p>
        </w:tc>
        <w:tc>
          <w:tcPr>
            <w:tcW w:w="3686" w:type="dxa"/>
            <w:tcBorders>
              <w:top w:val="single" w:sz="4" w:space="0" w:color="auto"/>
              <w:left w:val="nil"/>
              <w:bottom w:val="single" w:sz="4" w:space="0" w:color="auto"/>
              <w:right w:val="nil"/>
            </w:tcBorders>
            <w:hideMark/>
          </w:tcPr>
          <w:p w14:paraId="2CBDBF87" w14:textId="77777777" w:rsidR="004B42B5" w:rsidRPr="004B42B5" w:rsidRDefault="004B42B5" w:rsidP="00A040E4">
            <w:pPr>
              <w:pStyle w:val="Caption"/>
              <w:spacing w:after="255"/>
              <w:contextualSpacing/>
              <w:rPr>
                <w:rFonts w:ascii="Arial" w:hAnsi="Arial" w:cs="Arial"/>
                <w:b w:val="0"/>
                <w:color w:val="auto"/>
                <w:sz w:val="22"/>
                <w:szCs w:val="22"/>
              </w:rPr>
            </w:pPr>
            <w:r w:rsidRPr="004B42B5">
              <w:rPr>
                <w:rFonts w:ascii="Arial" w:hAnsi="Arial" w:cs="Arial"/>
                <w:b w:val="0"/>
                <w:color w:val="auto"/>
                <w:sz w:val="22"/>
                <w:szCs w:val="22"/>
              </w:rPr>
              <w:t>Frequency</w:t>
            </w:r>
          </w:p>
        </w:tc>
        <w:tc>
          <w:tcPr>
            <w:tcW w:w="1984" w:type="dxa"/>
            <w:tcBorders>
              <w:top w:val="single" w:sz="4" w:space="0" w:color="auto"/>
              <w:left w:val="nil"/>
              <w:bottom w:val="single" w:sz="4" w:space="0" w:color="auto"/>
              <w:right w:val="nil"/>
            </w:tcBorders>
            <w:hideMark/>
          </w:tcPr>
          <w:p w14:paraId="06697C15" w14:textId="77777777" w:rsidR="004B42B5" w:rsidRPr="004B42B5" w:rsidRDefault="004B42B5" w:rsidP="00A040E4">
            <w:pPr>
              <w:pStyle w:val="Caption"/>
              <w:spacing w:after="255"/>
              <w:contextualSpacing/>
              <w:rPr>
                <w:rFonts w:ascii="Arial" w:hAnsi="Arial" w:cs="Arial"/>
                <w:b w:val="0"/>
                <w:color w:val="auto"/>
                <w:sz w:val="22"/>
                <w:szCs w:val="22"/>
              </w:rPr>
            </w:pPr>
            <w:r w:rsidRPr="004B42B5">
              <w:rPr>
                <w:rFonts w:ascii="Arial" w:hAnsi="Arial" w:cs="Arial"/>
                <w:b w:val="0"/>
                <w:color w:val="auto"/>
                <w:sz w:val="22"/>
                <w:szCs w:val="22"/>
              </w:rPr>
              <w:t>Percentage</w:t>
            </w:r>
          </w:p>
        </w:tc>
      </w:tr>
      <w:tr w:rsidR="004B42B5" w:rsidRPr="004B42B5" w14:paraId="4A7E45D6" w14:textId="77777777" w:rsidTr="00A040E4">
        <w:tc>
          <w:tcPr>
            <w:tcW w:w="3686" w:type="dxa"/>
            <w:tcBorders>
              <w:top w:val="single" w:sz="4" w:space="0" w:color="auto"/>
              <w:left w:val="nil"/>
              <w:bottom w:val="nil"/>
              <w:right w:val="nil"/>
            </w:tcBorders>
            <w:hideMark/>
          </w:tcPr>
          <w:p w14:paraId="372AB132" w14:textId="77777777" w:rsidR="004B42B5" w:rsidRPr="004B42B5" w:rsidRDefault="004B42B5" w:rsidP="00A040E4">
            <w:pPr>
              <w:pStyle w:val="Caption"/>
              <w:spacing w:after="255"/>
              <w:contextualSpacing/>
              <w:rPr>
                <w:rFonts w:ascii="Arial" w:hAnsi="Arial" w:cs="Arial"/>
                <w:b w:val="0"/>
                <w:color w:val="auto"/>
                <w:sz w:val="22"/>
                <w:szCs w:val="22"/>
              </w:rPr>
            </w:pPr>
            <w:r w:rsidRPr="004B42B5">
              <w:rPr>
                <w:rFonts w:ascii="Arial" w:hAnsi="Arial" w:cs="Arial"/>
                <w:b w:val="0"/>
                <w:color w:val="auto"/>
                <w:sz w:val="22"/>
                <w:szCs w:val="22"/>
              </w:rPr>
              <w:t xml:space="preserve">Planting early maturing or </w:t>
            </w:r>
          </w:p>
          <w:p w14:paraId="7BDCAE5E" w14:textId="77777777" w:rsidR="004B42B5" w:rsidRPr="004B42B5" w:rsidRDefault="004B42B5" w:rsidP="00A040E4">
            <w:pPr>
              <w:pStyle w:val="Caption"/>
              <w:spacing w:after="255"/>
              <w:contextualSpacing/>
              <w:rPr>
                <w:rFonts w:ascii="Arial" w:hAnsi="Arial" w:cs="Arial"/>
                <w:b w:val="0"/>
                <w:color w:val="auto"/>
                <w:sz w:val="22"/>
                <w:szCs w:val="22"/>
              </w:rPr>
            </w:pPr>
            <w:r w:rsidRPr="004B42B5">
              <w:rPr>
                <w:rFonts w:ascii="Arial" w:hAnsi="Arial" w:cs="Arial"/>
                <w:b w:val="0"/>
                <w:color w:val="auto"/>
                <w:sz w:val="22"/>
                <w:szCs w:val="22"/>
              </w:rPr>
              <w:t>drought resistant crop</w:t>
            </w:r>
          </w:p>
        </w:tc>
        <w:tc>
          <w:tcPr>
            <w:tcW w:w="3686" w:type="dxa"/>
            <w:tcBorders>
              <w:top w:val="single" w:sz="4" w:space="0" w:color="auto"/>
              <w:left w:val="nil"/>
              <w:bottom w:val="nil"/>
              <w:right w:val="nil"/>
            </w:tcBorders>
            <w:hideMark/>
          </w:tcPr>
          <w:p w14:paraId="5C1A38DE" w14:textId="77777777" w:rsidR="004B42B5" w:rsidRPr="004B42B5" w:rsidRDefault="004B42B5" w:rsidP="00A040E4">
            <w:pPr>
              <w:pStyle w:val="Caption"/>
              <w:spacing w:after="255"/>
              <w:contextualSpacing/>
              <w:rPr>
                <w:rFonts w:ascii="Arial" w:hAnsi="Arial" w:cs="Arial"/>
                <w:b w:val="0"/>
                <w:color w:val="auto"/>
                <w:sz w:val="22"/>
                <w:szCs w:val="22"/>
              </w:rPr>
            </w:pPr>
            <w:r w:rsidRPr="004B42B5">
              <w:rPr>
                <w:rFonts w:ascii="Arial" w:hAnsi="Arial" w:cs="Arial"/>
                <w:b w:val="0"/>
                <w:color w:val="auto"/>
                <w:sz w:val="22"/>
                <w:szCs w:val="22"/>
              </w:rPr>
              <w:t>13</w:t>
            </w:r>
          </w:p>
        </w:tc>
        <w:tc>
          <w:tcPr>
            <w:tcW w:w="1984" w:type="dxa"/>
            <w:tcBorders>
              <w:top w:val="single" w:sz="4" w:space="0" w:color="auto"/>
              <w:left w:val="nil"/>
              <w:bottom w:val="nil"/>
              <w:right w:val="nil"/>
            </w:tcBorders>
            <w:hideMark/>
          </w:tcPr>
          <w:p w14:paraId="75048C10" w14:textId="77777777" w:rsidR="004B42B5" w:rsidRPr="004B42B5" w:rsidRDefault="004B42B5" w:rsidP="00A040E4">
            <w:pPr>
              <w:pStyle w:val="Caption"/>
              <w:spacing w:after="255"/>
              <w:contextualSpacing/>
              <w:rPr>
                <w:rFonts w:ascii="Arial" w:hAnsi="Arial" w:cs="Arial"/>
                <w:b w:val="0"/>
                <w:color w:val="auto"/>
                <w:sz w:val="22"/>
                <w:szCs w:val="22"/>
              </w:rPr>
            </w:pPr>
            <w:r w:rsidRPr="004B42B5">
              <w:rPr>
                <w:rFonts w:ascii="Arial" w:hAnsi="Arial" w:cs="Arial"/>
                <w:b w:val="0"/>
                <w:color w:val="auto"/>
                <w:sz w:val="22"/>
                <w:szCs w:val="22"/>
              </w:rPr>
              <w:t>32.5</w:t>
            </w:r>
          </w:p>
        </w:tc>
      </w:tr>
      <w:tr w:rsidR="004B42B5" w:rsidRPr="004B42B5" w14:paraId="391B5830" w14:textId="77777777" w:rsidTr="00A040E4">
        <w:tc>
          <w:tcPr>
            <w:tcW w:w="3686" w:type="dxa"/>
            <w:tcBorders>
              <w:top w:val="nil"/>
              <w:left w:val="nil"/>
              <w:bottom w:val="nil"/>
              <w:right w:val="nil"/>
            </w:tcBorders>
            <w:hideMark/>
          </w:tcPr>
          <w:p w14:paraId="6949FEAD" w14:textId="77777777" w:rsidR="004B42B5" w:rsidRPr="004B42B5" w:rsidRDefault="004B42B5" w:rsidP="00A040E4">
            <w:pPr>
              <w:pStyle w:val="Caption"/>
              <w:spacing w:after="255"/>
              <w:contextualSpacing/>
              <w:rPr>
                <w:rFonts w:ascii="Arial" w:hAnsi="Arial" w:cs="Arial"/>
                <w:b w:val="0"/>
                <w:color w:val="auto"/>
                <w:sz w:val="22"/>
                <w:szCs w:val="22"/>
              </w:rPr>
            </w:pPr>
            <w:r w:rsidRPr="004B42B5">
              <w:rPr>
                <w:rFonts w:ascii="Arial" w:hAnsi="Arial" w:cs="Arial"/>
                <w:b w:val="0"/>
                <w:color w:val="auto"/>
                <w:sz w:val="22"/>
                <w:szCs w:val="22"/>
              </w:rPr>
              <w:t xml:space="preserve">Use of </w:t>
            </w:r>
            <w:proofErr w:type="gramStart"/>
            <w:r w:rsidRPr="004B42B5">
              <w:rPr>
                <w:rFonts w:ascii="Arial" w:hAnsi="Arial" w:cs="Arial"/>
                <w:b w:val="0"/>
                <w:color w:val="auto"/>
                <w:sz w:val="22"/>
                <w:szCs w:val="22"/>
              </w:rPr>
              <w:t>small scale</w:t>
            </w:r>
            <w:proofErr w:type="gramEnd"/>
            <w:r w:rsidRPr="004B42B5">
              <w:rPr>
                <w:rFonts w:ascii="Arial" w:hAnsi="Arial" w:cs="Arial"/>
                <w:b w:val="0"/>
                <w:color w:val="auto"/>
                <w:sz w:val="22"/>
                <w:szCs w:val="22"/>
              </w:rPr>
              <w:t xml:space="preserve"> irrigation</w:t>
            </w:r>
          </w:p>
        </w:tc>
        <w:tc>
          <w:tcPr>
            <w:tcW w:w="3686" w:type="dxa"/>
            <w:tcBorders>
              <w:top w:val="nil"/>
              <w:left w:val="nil"/>
              <w:bottom w:val="nil"/>
              <w:right w:val="nil"/>
            </w:tcBorders>
            <w:hideMark/>
          </w:tcPr>
          <w:p w14:paraId="56BC2E2E" w14:textId="77777777" w:rsidR="004B42B5" w:rsidRPr="004B42B5" w:rsidRDefault="004B42B5" w:rsidP="00A040E4">
            <w:pPr>
              <w:pStyle w:val="Caption"/>
              <w:spacing w:after="255"/>
              <w:contextualSpacing/>
              <w:rPr>
                <w:rFonts w:ascii="Arial" w:hAnsi="Arial" w:cs="Arial"/>
                <w:b w:val="0"/>
                <w:color w:val="auto"/>
                <w:sz w:val="22"/>
                <w:szCs w:val="22"/>
              </w:rPr>
            </w:pPr>
            <w:r w:rsidRPr="004B42B5">
              <w:rPr>
                <w:rFonts w:ascii="Arial" w:hAnsi="Arial" w:cs="Arial"/>
                <w:b w:val="0"/>
                <w:color w:val="auto"/>
                <w:sz w:val="22"/>
                <w:szCs w:val="22"/>
              </w:rPr>
              <w:t>9</w:t>
            </w:r>
          </w:p>
        </w:tc>
        <w:tc>
          <w:tcPr>
            <w:tcW w:w="1984" w:type="dxa"/>
            <w:tcBorders>
              <w:top w:val="nil"/>
              <w:left w:val="nil"/>
              <w:bottom w:val="nil"/>
              <w:right w:val="nil"/>
            </w:tcBorders>
            <w:hideMark/>
          </w:tcPr>
          <w:p w14:paraId="0C4473CE" w14:textId="77777777" w:rsidR="004B42B5" w:rsidRPr="004B42B5" w:rsidRDefault="004B42B5" w:rsidP="00A040E4">
            <w:pPr>
              <w:pStyle w:val="Caption"/>
              <w:spacing w:after="255"/>
              <w:contextualSpacing/>
              <w:rPr>
                <w:rFonts w:ascii="Arial" w:hAnsi="Arial" w:cs="Arial"/>
                <w:b w:val="0"/>
                <w:color w:val="auto"/>
                <w:sz w:val="22"/>
                <w:szCs w:val="22"/>
              </w:rPr>
            </w:pPr>
            <w:r w:rsidRPr="004B42B5">
              <w:rPr>
                <w:rFonts w:ascii="Arial" w:hAnsi="Arial" w:cs="Arial"/>
                <w:b w:val="0"/>
                <w:color w:val="auto"/>
                <w:sz w:val="22"/>
                <w:szCs w:val="22"/>
              </w:rPr>
              <w:t>22.5</w:t>
            </w:r>
          </w:p>
        </w:tc>
      </w:tr>
      <w:tr w:rsidR="004B42B5" w:rsidRPr="004B42B5" w14:paraId="2F2ACA7A" w14:textId="77777777" w:rsidTr="00A040E4">
        <w:tc>
          <w:tcPr>
            <w:tcW w:w="3686" w:type="dxa"/>
            <w:tcBorders>
              <w:top w:val="nil"/>
              <w:left w:val="nil"/>
              <w:bottom w:val="nil"/>
              <w:right w:val="nil"/>
            </w:tcBorders>
            <w:hideMark/>
          </w:tcPr>
          <w:p w14:paraId="691305AC" w14:textId="77777777" w:rsidR="004B42B5" w:rsidRPr="004B42B5" w:rsidRDefault="004B42B5" w:rsidP="00A040E4">
            <w:pPr>
              <w:pStyle w:val="Caption"/>
              <w:spacing w:after="255"/>
              <w:contextualSpacing/>
              <w:rPr>
                <w:rFonts w:ascii="Arial" w:hAnsi="Arial" w:cs="Arial"/>
                <w:b w:val="0"/>
                <w:color w:val="auto"/>
                <w:sz w:val="22"/>
                <w:szCs w:val="22"/>
              </w:rPr>
            </w:pPr>
            <w:r w:rsidRPr="004B42B5">
              <w:rPr>
                <w:rFonts w:ascii="Arial" w:hAnsi="Arial" w:cs="Arial"/>
                <w:b w:val="0"/>
                <w:color w:val="auto"/>
                <w:sz w:val="22"/>
                <w:szCs w:val="22"/>
              </w:rPr>
              <w:t>Off farm activities</w:t>
            </w:r>
          </w:p>
        </w:tc>
        <w:tc>
          <w:tcPr>
            <w:tcW w:w="3686" w:type="dxa"/>
            <w:tcBorders>
              <w:top w:val="nil"/>
              <w:left w:val="nil"/>
              <w:bottom w:val="nil"/>
              <w:right w:val="nil"/>
            </w:tcBorders>
            <w:hideMark/>
          </w:tcPr>
          <w:p w14:paraId="19CD8854" w14:textId="77777777" w:rsidR="004B42B5" w:rsidRPr="004B42B5" w:rsidRDefault="004B42B5" w:rsidP="00A040E4">
            <w:pPr>
              <w:pStyle w:val="Caption"/>
              <w:spacing w:after="255"/>
              <w:contextualSpacing/>
              <w:rPr>
                <w:rFonts w:ascii="Arial" w:hAnsi="Arial" w:cs="Arial"/>
                <w:b w:val="0"/>
                <w:color w:val="auto"/>
                <w:sz w:val="22"/>
                <w:szCs w:val="22"/>
              </w:rPr>
            </w:pPr>
            <w:r w:rsidRPr="004B42B5">
              <w:rPr>
                <w:rFonts w:ascii="Arial" w:hAnsi="Arial" w:cs="Arial"/>
                <w:b w:val="0"/>
                <w:color w:val="auto"/>
                <w:sz w:val="22"/>
                <w:szCs w:val="22"/>
              </w:rPr>
              <w:t>4</w:t>
            </w:r>
          </w:p>
        </w:tc>
        <w:tc>
          <w:tcPr>
            <w:tcW w:w="1984" w:type="dxa"/>
            <w:tcBorders>
              <w:top w:val="nil"/>
              <w:left w:val="nil"/>
              <w:bottom w:val="nil"/>
              <w:right w:val="nil"/>
            </w:tcBorders>
            <w:hideMark/>
          </w:tcPr>
          <w:p w14:paraId="7CF3C71E" w14:textId="77777777" w:rsidR="004B42B5" w:rsidRPr="004B42B5" w:rsidRDefault="004B42B5" w:rsidP="00A040E4">
            <w:pPr>
              <w:pStyle w:val="Caption"/>
              <w:spacing w:after="255"/>
              <w:contextualSpacing/>
              <w:rPr>
                <w:rFonts w:ascii="Arial" w:hAnsi="Arial" w:cs="Arial"/>
                <w:b w:val="0"/>
                <w:color w:val="auto"/>
                <w:sz w:val="22"/>
                <w:szCs w:val="22"/>
              </w:rPr>
            </w:pPr>
            <w:r w:rsidRPr="004B42B5">
              <w:rPr>
                <w:rFonts w:ascii="Arial" w:hAnsi="Arial" w:cs="Arial"/>
                <w:b w:val="0"/>
                <w:color w:val="auto"/>
                <w:sz w:val="22"/>
                <w:szCs w:val="22"/>
              </w:rPr>
              <w:t>10</w:t>
            </w:r>
          </w:p>
        </w:tc>
      </w:tr>
      <w:tr w:rsidR="004B42B5" w:rsidRPr="004B42B5" w14:paraId="3AF7F8C5" w14:textId="77777777" w:rsidTr="00A040E4">
        <w:tc>
          <w:tcPr>
            <w:tcW w:w="3686" w:type="dxa"/>
            <w:tcBorders>
              <w:top w:val="nil"/>
              <w:left w:val="nil"/>
              <w:bottom w:val="nil"/>
              <w:right w:val="nil"/>
            </w:tcBorders>
            <w:hideMark/>
          </w:tcPr>
          <w:p w14:paraId="17A67879" w14:textId="77777777" w:rsidR="004B42B5" w:rsidRPr="004B42B5" w:rsidRDefault="004B42B5" w:rsidP="00A040E4">
            <w:pPr>
              <w:pStyle w:val="Caption"/>
              <w:spacing w:after="255"/>
              <w:contextualSpacing/>
              <w:rPr>
                <w:rFonts w:ascii="Arial" w:hAnsi="Arial" w:cs="Arial"/>
                <w:b w:val="0"/>
                <w:color w:val="auto"/>
                <w:sz w:val="22"/>
                <w:szCs w:val="22"/>
              </w:rPr>
            </w:pPr>
            <w:r w:rsidRPr="004B42B5">
              <w:rPr>
                <w:rFonts w:ascii="Arial" w:hAnsi="Arial" w:cs="Arial"/>
                <w:b w:val="0"/>
                <w:color w:val="auto"/>
                <w:sz w:val="22"/>
                <w:szCs w:val="22"/>
              </w:rPr>
              <w:t>Farming in wetlands</w:t>
            </w:r>
          </w:p>
        </w:tc>
        <w:tc>
          <w:tcPr>
            <w:tcW w:w="3686" w:type="dxa"/>
            <w:tcBorders>
              <w:top w:val="nil"/>
              <w:left w:val="nil"/>
              <w:bottom w:val="nil"/>
              <w:right w:val="nil"/>
            </w:tcBorders>
            <w:hideMark/>
          </w:tcPr>
          <w:p w14:paraId="68687EBD" w14:textId="77777777" w:rsidR="004B42B5" w:rsidRPr="004B42B5" w:rsidRDefault="004B42B5" w:rsidP="00A040E4">
            <w:pPr>
              <w:pStyle w:val="Caption"/>
              <w:spacing w:after="255"/>
              <w:contextualSpacing/>
              <w:rPr>
                <w:rFonts w:ascii="Arial" w:hAnsi="Arial" w:cs="Arial"/>
                <w:b w:val="0"/>
                <w:color w:val="auto"/>
                <w:sz w:val="22"/>
                <w:szCs w:val="22"/>
              </w:rPr>
            </w:pPr>
            <w:r w:rsidRPr="004B42B5">
              <w:rPr>
                <w:rFonts w:ascii="Arial" w:hAnsi="Arial" w:cs="Arial"/>
                <w:b w:val="0"/>
                <w:color w:val="auto"/>
                <w:sz w:val="22"/>
                <w:szCs w:val="22"/>
              </w:rPr>
              <w:t>4</w:t>
            </w:r>
          </w:p>
        </w:tc>
        <w:tc>
          <w:tcPr>
            <w:tcW w:w="1984" w:type="dxa"/>
            <w:tcBorders>
              <w:top w:val="nil"/>
              <w:left w:val="nil"/>
              <w:bottom w:val="nil"/>
              <w:right w:val="nil"/>
            </w:tcBorders>
            <w:hideMark/>
          </w:tcPr>
          <w:p w14:paraId="0BD30F20" w14:textId="77777777" w:rsidR="004B42B5" w:rsidRPr="004B42B5" w:rsidRDefault="004B42B5" w:rsidP="00A040E4">
            <w:pPr>
              <w:pStyle w:val="Caption"/>
              <w:spacing w:after="255"/>
              <w:contextualSpacing/>
              <w:rPr>
                <w:rFonts w:ascii="Arial" w:hAnsi="Arial" w:cs="Arial"/>
                <w:b w:val="0"/>
                <w:color w:val="auto"/>
                <w:sz w:val="22"/>
                <w:szCs w:val="22"/>
              </w:rPr>
            </w:pPr>
            <w:r w:rsidRPr="004B42B5">
              <w:rPr>
                <w:rFonts w:ascii="Arial" w:hAnsi="Arial" w:cs="Arial"/>
                <w:b w:val="0"/>
                <w:color w:val="auto"/>
                <w:sz w:val="22"/>
                <w:szCs w:val="22"/>
              </w:rPr>
              <w:t>10</w:t>
            </w:r>
          </w:p>
        </w:tc>
      </w:tr>
      <w:tr w:rsidR="004B42B5" w:rsidRPr="004B42B5" w14:paraId="5DEB71BF" w14:textId="77777777" w:rsidTr="00A040E4">
        <w:tc>
          <w:tcPr>
            <w:tcW w:w="3686" w:type="dxa"/>
            <w:tcBorders>
              <w:top w:val="nil"/>
              <w:left w:val="nil"/>
              <w:bottom w:val="nil"/>
              <w:right w:val="nil"/>
            </w:tcBorders>
            <w:hideMark/>
          </w:tcPr>
          <w:p w14:paraId="560F759B" w14:textId="77777777" w:rsidR="004B42B5" w:rsidRPr="004B42B5" w:rsidRDefault="004B42B5" w:rsidP="00A040E4">
            <w:pPr>
              <w:pStyle w:val="Caption"/>
              <w:spacing w:after="255"/>
              <w:contextualSpacing/>
              <w:rPr>
                <w:rFonts w:ascii="Arial" w:hAnsi="Arial" w:cs="Arial"/>
                <w:b w:val="0"/>
                <w:color w:val="auto"/>
                <w:sz w:val="22"/>
                <w:szCs w:val="22"/>
              </w:rPr>
            </w:pPr>
            <w:r w:rsidRPr="004B42B5">
              <w:rPr>
                <w:rFonts w:ascii="Arial" w:hAnsi="Arial" w:cs="Arial"/>
                <w:b w:val="0"/>
                <w:color w:val="auto"/>
                <w:sz w:val="22"/>
                <w:szCs w:val="22"/>
              </w:rPr>
              <w:t xml:space="preserve">Use of improved, high </w:t>
            </w:r>
          </w:p>
          <w:p w14:paraId="2A1FA58F" w14:textId="77777777" w:rsidR="004B42B5" w:rsidRPr="004B42B5" w:rsidRDefault="004B42B5" w:rsidP="00A040E4">
            <w:pPr>
              <w:pStyle w:val="Caption"/>
              <w:spacing w:after="255"/>
              <w:contextualSpacing/>
              <w:rPr>
                <w:rFonts w:ascii="Arial" w:hAnsi="Arial" w:cs="Arial"/>
                <w:b w:val="0"/>
                <w:color w:val="auto"/>
                <w:sz w:val="22"/>
                <w:szCs w:val="22"/>
              </w:rPr>
            </w:pPr>
            <w:r w:rsidRPr="004B42B5">
              <w:rPr>
                <w:rFonts w:ascii="Arial" w:hAnsi="Arial" w:cs="Arial"/>
                <w:b w:val="0"/>
                <w:color w:val="auto"/>
                <w:sz w:val="22"/>
                <w:szCs w:val="22"/>
              </w:rPr>
              <w:t>yielding varieties</w:t>
            </w:r>
          </w:p>
        </w:tc>
        <w:tc>
          <w:tcPr>
            <w:tcW w:w="3686" w:type="dxa"/>
            <w:tcBorders>
              <w:top w:val="nil"/>
              <w:left w:val="nil"/>
              <w:bottom w:val="nil"/>
              <w:right w:val="nil"/>
            </w:tcBorders>
            <w:hideMark/>
          </w:tcPr>
          <w:p w14:paraId="1B1F2828" w14:textId="77777777" w:rsidR="004B42B5" w:rsidRPr="004B42B5" w:rsidRDefault="004B42B5" w:rsidP="00A040E4">
            <w:pPr>
              <w:pStyle w:val="Caption"/>
              <w:spacing w:after="255"/>
              <w:contextualSpacing/>
              <w:rPr>
                <w:rFonts w:ascii="Arial" w:hAnsi="Arial" w:cs="Arial"/>
                <w:b w:val="0"/>
                <w:color w:val="auto"/>
                <w:sz w:val="22"/>
                <w:szCs w:val="22"/>
              </w:rPr>
            </w:pPr>
            <w:r w:rsidRPr="004B42B5">
              <w:rPr>
                <w:rFonts w:ascii="Arial" w:hAnsi="Arial" w:cs="Arial"/>
                <w:b w:val="0"/>
                <w:color w:val="auto"/>
                <w:sz w:val="22"/>
                <w:szCs w:val="22"/>
              </w:rPr>
              <w:t>3</w:t>
            </w:r>
          </w:p>
        </w:tc>
        <w:tc>
          <w:tcPr>
            <w:tcW w:w="1984" w:type="dxa"/>
            <w:tcBorders>
              <w:top w:val="nil"/>
              <w:left w:val="nil"/>
              <w:bottom w:val="nil"/>
              <w:right w:val="nil"/>
            </w:tcBorders>
            <w:hideMark/>
          </w:tcPr>
          <w:p w14:paraId="15544BC5" w14:textId="77777777" w:rsidR="004B42B5" w:rsidRPr="004B42B5" w:rsidRDefault="004B42B5" w:rsidP="00A040E4">
            <w:pPr>
              <w:pStyle w:val="Caption"/>
              <w:spacing w:after="255"/>
              <w:contextualSpacing/>
              <w:rPr>
                <w:rFonts w:ascii="Arial" w:hAnsi="Arial" w:cs="Arial"/>
                <w:b w:val="0"/>
                <w:color w:val="auto"/>
                <w:sz w:val="22"/>
                <w:szCs w:val="22"/>
              </w:rPr>
            </w:pPr>
            <w:r w:rsidRPr="004B42B5">
              <w:rPr>
                <w:rFonts w:ascii="Arial" w:hAnsi="Arial" w:cs="Arial"/>
                <w:b w:val="0"/>
                <w:color w:val="auto"/>
                <w:sz w:val="22"/>
                <w:szCs w:val="22"/>
              </w:rPr>
              <w:t>7.5</w:t>
            </w:r>
          </w:p>
        </w:tc>
      </w:tr>
      <w:tr w:rsidR="004B42B5" w:rsidRPr="004B42B5" w14:paraId="6CF711AE" w14:textId="77777777" w:rsidTr="00A040E4">
        <w:tc>
          <w:tcPr>
            <w:tcW w:w="3686" w:type="dxa"/>
            <w:tcBorders>
              <w:top w:val="nil"/>
              <w:left w:val="nil"/>
              <w:bottom w:val="nil"/>
              <w:right w:val="nil"/>
            </w:tcBorders>
            <w:hideMark/>
          </w:tcPr>
          <w:p w14:paraId="2C779A88" w14:textId="77777777" w:rsidR="004B42B5" w:rsidRPr="004B42B5" w:rsidRDefault="004B42B5" w:rsidP="00A040E4">
            <w:pPr>
              <w:pStyle w:val="Caption"/>
              <w:spacing w:after="255"/>
              <w:contextualSpacing/>
              <w:rPr>
                <w:rFonts w:ascii="Arial" w:hAnsi="Arial" w:cs="Arial"/>
                <w:b w:val="0"/>
                <w:color w:val="auto"/>
                <w:sz w:val="22"/>
                <w:szCs w:val="22"/>
              </w:rPr>
            </w:pPr>
            <w:r w:rsidRPr="004B42B5">
              <w:rPr>
                <w:rFonts w:ascii="Arial" w:hAnsi="Arial" w:cs="Arial"/>
                <w:b w:val="0"/>
                <w:color w:val="auto"/>
                <w:sz w:val="22"/>
                <w:szCs w:val="22"/>
              </w:rPr>
              <w:t>Migration</w:t>
            </w:r>
          </w:p>
        </w:tc>
        <w:tc>
          <w:tcPr>
            <w:tcW w:w="3686" w:type="dxa"/>
            <w:tcBorders>
              <w:top w:val="nil"/>
              <w:left w:val="nil"/>
              <w:bottom w:val="nil"/>
              <w:right w:val="nil"/>
            </w:tcBorders>
            <w:hideMark/>
          </w:tcPr>
          <w:p w14:paraId="03702DB3" w14:textId="77777777" w:rsidR="004B42B5" w:rsidRPr="004B42B5" w:rsidRDefault="004B42B5" w:rsidP="00A040E4">
            <w:pPr>
              <w:pStyle w:val="Caption"/>
              <w:spacing w:after="255"/>
              <w:contextualSpacing/>
              <w:rPr>
                <w:rFonts w:ascii="Arial" w:hAnsi="Arial" w:cs="Arial"/>
                <w:b w:val="0"/>
                <w:color w:val="auto"/>
                <w:sz w:val="22"/>
                <w:szCs w:val="22"/>
              </w:rPr>
            </w:pPr>
            <w:r w:rsidRPr="004B42B5">
              <w:rPr>
                <w:rFonts w:ascii="Arial" w:hAnsi="Arial" w:cs="Arial"/>
                <w:b w:val="0"/>
                <w:color w:val="auto"/>
                <w:sz w:val="22"/>
                <w:szCs w:val="22"/>
              </w:rPr>
              <w:t>3</w:t>
            </w:r>
          </w:p>
        </w:tc>
        <w:tc>
          <w:tcPr>
            <w:tcW w:w="1984" w:type="dxa"/>
            <w:tcBorders>
              <w:top w:val="nil"/>
              <w:left w:val="nil"/>
              <w:bottom w:val="nil"/>
              <w:right w:val="nil"/>
            </w:tcBorders>
            <w:hideMark/>
          </w:tcPr>
          <w:p w14:paraId="0195DAC9" w14:textId="77777777" w:rsidR="004B42B5" w:rsidRPr="004B42B5" w:rsidRDefault="004B42B5" w:rsidP="00A040E4">
            <w:pPr>
              <w:pStyle w:val="Caption"/>
              <w:spacing w:after="255"/>
              <w:contextualSpacing/>
              <w:rPr>
                <w:rFonts w:ascii="Arial" w:hAnsi="Arial" w:cs="Arial"/>
                <w:b w:val="0"/>
                <w:color w:val="auto"/>
                <w:sz w:val="22"/>
                <w:szCs w:val="22"/>
              </w:rPr>
            </w:pPr>
            <w:r w:rsidRPr="004B42B5">
              <w:rPr>
                <w:rFonts w:ascii="Arial" w:hAnsi="Arial" w:cs="Arial"/>
                <w:b w:val="0"/>
                <w:color w:val="auto"/>
                <w:sz w:val="22"/>
                <w:szCs w:val="22"/>
              </w:rPr>
              <w:t>7.5</w:t>
            </w:r>
          </w:p>
        </w:tc>
      </w:tr>
      <w:tr w:rsidR="004B42B5" w:rsidRPr="004B42B5" w14:paraId="151DD77D" w14:textId="77777777" w:rsidTr="00A040E4">
        <w:tc>
          <w:tcPr>
            <w:tcW w:w="3686" w:type="dxa"/>
            <w:tcBorders>
              <w:top w:val="nil"/>
              <w:left w:val="nil"/>
              <w:bottom w:val="nil"/>
              <w:right w:val="nil"/>
            </w:tcBorders>
            <w:hideMark/>
          </w:tcPr>
          <w:p w14:paraId="5D6E370C" w14:textId="77777777" w:rsidR="004B42B5" w:rsidRPr="004B42B5" w:rsidRDefault="004B42B5" w:rsidP="00A040E4">
            <w:pPr>
              <w:pStyle w:val="Caption"/>
              <w:spacing w:after="255"/>
              <w:contextualSpacing/>
              <w:rPr>
                <w:rFonts w:ascii="Arial" w:hAnsi="Arial" w:cs="Arial"/>
                <w:b w:val="0"/>
                <w:color w:val="auto"/>
                <w:sz w:val="22"/>
                <w:szCs w:val="22"/>
              </w:rPr>
            </w:pPr>
            <w:r w:rsidRPr="004B42B5">
              <w:rPr>
                <w:rFonts w:ascii="Arial" w:hAnsi="Arial" w:cs="Arial"/>
                <w:b w:val="0"/>
                <w:color w:val="auto"/>
                <w:sz w:val="22"/>
                <w:szCs w:val="22"/>
              </w:rPr>
              <w:t>Reducing herd size</w:t>
            </w:r>
          </w:p>
        </w:tc>
        <w:tc>
          <w:tcPr>
            <w:tcW w:w="3686" w:type="dxa"/>
            <w:tcBorders>
              <w:top w:val="nil"/>
              <w:left w:val="nil"/>
              <w:bottom w:val="nil"/>
              <w:right w:val="nil"/>
            </w:tcBorders>
            <w:hideMark/>
          </w:tcPr>
          <w:p w14:paraId="6842AFE2" w14:textId="77777777" w:rsidR="004B42B5" w:rsidRPr="004B42B5" w:rsidRDefault="004B42B5" w:rsidP="00A040E4">
            <w:pPr>
              <w:pStyle w:val="Caption"/>
              <w:spacing w:after="255"/>
              <w:contextualSpacing/>
              <w:rPr>
                <w:rFonts w:ascii="Arial" w:hAnsi="Arial" w:cs="Arial"/>
                <w:b w:val="0"/>
                <w:color w:val="auto"/>
                <w:sz w:val="22"/>
                <w:szCs w:val="22"/>
              </w:rPr>
            </w:pPr>
            <w:r w:rsidRPr="004B42B5">
              <w:rPr>
                <w:rFonts w:ascii="Arial" w:hAnsi="Arial" w:cs="Arial"/>
                <w:b w:val="0"/>
                <w:color w:val="auto"/>
                <w:sz w:val="22"/>
                <w:szCs w:val="22"/>
              </w:rPr>
              <w:t>2</w:t>
            </w:r>
          </w:p>
        </w:tc>
        <w:tc>
          <w:tcPr>
            <w:tcW w:w="1984" w:type="dxa"/>
            <w:tcBorders>
              <w:top w:val="nil"/>
              <w:left w:val="nil"/>
              <w:bottom w:val="nil"/>
              <w:right w:val="nil"/>
            </w:tcBorders>
            <w:hideMark/>
          </w:tcPr>
          <w:p w14:paraId="616259D9" w14:textId="77777777" w:rsidR="004B42B5" w:rsidRPr="004B42B5" w:rsidRDefault="004B42B5" w:rsidP="00A040E4">
            <w:pPr>
              <w:pStyle w:val="Caption"/>
              <w:spacing w:after="255"/>
              <w:contextualSpacing/>
              <w:rPr>
                <w:rFonts w:ascii="Arial" w:hAnsi="Arial" w:cs="Arial"/>
                <w:b w:val="0"/>
                <w:color w:val="auto"/>
                <w:sz w:val="22"/>
                <w:szCs w:val="22"/>
              </w:rPr>
            </w:pPr>
            <w:r w:rsidRPr="004B42B5">
              <w:rPr>
                <w:rFonts w:ascii="Arial" w:hAnsi="Arial" w:cs="Arial"/>
                <w:b w:val="0"/>
                <w:color w:val="auto"/>
                <w:sz w:val="22"/>
                <w:szCs w:val="22"/>
              </w:rPr>
              <w:t>5</w:t>
            </w:r>
          </w:p>
        </w:tc>
      </w:tr>
      <w:tr w:rsidR="004B42B5" w:rsidRPr="004B42B5" w14:paraId="1CB05481" w14:textId="77777777" w:rsidTr="00A040E4">
        <w:tc>
          <w:tcPr>
            <w:tcW w:w="3686" w:type="dxa"/>
            <w:tcBorders>
              <w:top w:val="nil"/>
              <w:left w:val="nil"/>
              <w:bottom w:val="single" w:sz="4" w:space="0" w:color="auto"/>
              <w:right w:val="nil"/>
            </w:tcBorders>
            <w:hideMark/>
          </w:tcPr>
          <w:p w14:paraId="34E0A157" w14:textId="77777777" w:rsidR="004B42B5" w:rsidRPr="004B42B5" w:rsidRDefault="004B42B5" w:rsidP="00A040E4">
            <w:pPr>
              <w:pStyle w:val="Caption"/>
              <w:spacing w:after="255"/>
              <w:contextualSpacing/>
              <w:rPr>
                <w:rFonts w:ascii="Arial" w:hAnsi="Arial" w:cs="Arial"/>
                <w:b w:val="0"/>
                <w:color w:val="auto"/>
                <w:sz w:val="22"/>
                <w:szCs w:val="22"/>
              </w:rPr>
            </w:pPr>
            <w:r w:rsidRPr="004B42B5">
              <w:rPr>
                <w:rFonts w:ascii="Arial" w:hAnsi="Arial" w:cs="Arial"/>
                <w:b w:val="0"/>
                <w:color w:val="auto"/>
                <w:sz w:val="22"/>
                <w:szCs w:val="22"/>
              </w:rPr>
              <w:t>Reserving food for future use</w:t>
            </w:r>
          </w:p>
        </w:tc>
        <w:tc>
          <w:tcPr>
            <w:tcW w:w="3686" w:type="dxa"/>
            <w:tcBorders>
              <w:top w:val="nil"/>
              <w:left w:val="nil"/>
              <w:bottom w:val="single" w:sz="4" w:space="0" w:color="auto"/>
              <w:right w:val="nil"/>
            </w:tcBorders>
            <w:hideMark/>
          </w:tcPr>
          <w:p w14:paraId="289A52A9" w14:textId="77777777" w:rsidR="004B42B5" w:rsidRPr="004B42B5" w:rsidRDefault="004B42B5" w:rsidP="00A040E4">
            <w:pPr>
              <w:pStyle w:val="Caption"/>
              <w:spacing w:after="255"/>
              <w:contextualSpacing/>
              <w:rPr>
                <w:rFonts w:ascii="Arial" w:hAnsi="Arial" w:cs="Arial"/>
                <w:b w:val="0"/>
                <w:color w:val="auto"/>
                <w:sz w:val="22"/>
                <w:szCs w:val="22"/>
              </w:rPr>
            </w:pPr>
            <w:r w:rsidRPr="004B42B5">
              <w:rPr>
                <w:rFonts w:ascii="Arial" w:hAnsi="Arial" w:cs="Arial"/>
                <w:b w:val="0"/>
                <w:color w:val="auto"/>
                <w:sz w:val="22"/>
                <w:szCs w:val="22"/>
              </w:rPr>
              <w:t>2</w:t>
            </w:r>
          </w:p>
        </w:tc>
        <w:tc>
          <w:tcPr>
            <w:tcW w:w="1984" w:type="dxa"/>
            <w:tcBorders>
              <w:top w:val="nil"/>
              <w:left w:val="nil"/>
              <w:bottom w:val="single" w:sz="4" w:space="0" w:color="auto"/>
              <w:right w:val="nil"/>
            </w:tcBorders>
            <w:hideMark/>
          </w:tcPr>
          <w:p w14:paraId="4361DEE2" w14:textId="77777777" w:rsidR="004B42B5" w:rsidRPr="004B42B5" w:rsidRDefault="004B42B5" w:rsidP="00A040E4">
            <w:pPr>
              <w:pStyle w:val="Caption"/>
              <w:spacing w:after="255"/>
              <w:contextualSpacing/>
              <w:rPr>
                <w:rFonts w:ascii="Arial" w:hAnsi="Arial" w:cs="Arial"/>
                <w:b w:val="0"/>
                <w:color w:val="auto"/>
                <w:sz w:val="22"/>
                <w:szCs w:val="22"/>
              </w:rPr>
            </w:pPr>
            <w:r w:rsidRPr="004B42B5">
              <w:rPr>
                <w:rFonts w:ascii="Arial" w:hAnsi="Arial" w:cs="Arial"/>
                <w:b w:val="0"/>
                <w:color w:val="auto"/>
                <w:sz w:val="22"/>
                <w:szCs w:val="22"/>
              </w:rPr>
              <w:t>5</w:t>
            </w:r>
          </w:p>
        </w:tc>
      </w:tr>
    </w:tbl>
    <w:p w14:paraId="33A68885" w14:textId="77777777" w:rsidR="004B42B5" w:rsidRPr="004B42B5" w:rsidRDefault="004B42B5" w:rsidP="004B42B5">
      <w:pPr>
        <w:spacing w:line="240" w:lineRule="auto"/>
        <w:contextualSpacing/>
        <w:jc w:val="both"/>
        <w:rPr>
          <w:rFonts w:ascii="Arial" w:hAnsi="Arial" w:cs="Arial"/>
        </w:rPr>
      </w:pPr>
    </w:p>
    <w:p w14:paraId="16D01DE0" w14:textId="77777777" w:rsidR="004B42B5" w:rsidRPr="004B42B5" w:rsidRDefault="004B42B5" w:rsidP="004B42B5">
      <w:pPr>
        <w:spacing w:line="240" w:lineRule="auto"/>
        <w:contextualSpacing/>
        <w:jc w:val="both"/>
        <w:rPr>
          <w:rFonts w:ascii="Arial" w:hAnsi="Arial" w:cs="Arial"/>
        </w:rPr>
      </w:pPr>
      <w:bookmarkStart w:id="5" w:name="_Ref116889151"/>
      <w:r w:rsidRPr="004B42B5">
        <w:rPr>
          <w:rFonts w:ascii="Arial" w:hAnsi="Arial" w:cs="Arial"/>
        </w:rPr>
        <w:t xml:space="preserve">All the respondents (100%) have reported to have experienced negative impacts of unpredictable weather patterns (Table 2). The most felt effect was reduced crop production and food insecurity followed by the decline in income and loss of jobs. Loss in ecological values and diseases outbreak were the least felt effects. They further reported that the most affected sector is agriculture due to its over reliance on rains as a source of water for crop growth. These results show that small scale farmers in </w:t>
      </w:r>
      <w:proofErr w:type="spellStart"/>
      <w:r w:rsidRPr="004B42B5">
        <w:rPr>
          <w:rFonts w:ascii="Arial" w:hAnsi="Arial" w:cs="Arial"/>
        </w:rPr>
        <w:t>Kiharaka</w:t>
      </w:r>
      <w:proofErr w:type="spellEnd"/>
      <w:r w:rsidRPr="004B42B5">
        <w:rPr>
          <w:rFonts w:ascii="Arial" w:hAnsi="Arial" w:cs="Arial"/>
        </w:rPr>
        <w:t xml:space="preserve"> village are highly vulnerability to the effects of climate change and variability. This vulnerability is further exacerbated by the fact that the farmers possess small farm sizes which lack irrigation infrastructure and also 55% of the respondents have primary level education and below. Adoption of adaptation measures need technical knowledge of which at least secondary or college level education is a pre-requisite.  </w:t>
      </w:r>
    </w:p>
    <w:p w14:paraId="4916DFC2" w14:textId="77777777" w:rsidR="004B42B5" w:rsidRPr="004B42B5" w:rsidRDefault="004B42B5" w:rsidP="004B42B5">
      <w:pPr>
        <w:spacing w:line="240" w:lineRule="auto"/>
        <w:contextualSpacing/>
        <w:jc w:val="both"/>
        <w:rPr>
          <w:rFonts w:ascii="Arial" w:hAnsi="Arial" w:cs="Arial"/>
        </w:rPr>
      </w:pPr>
    </w:p>
    <w:p w14:paraId="0D92F6F6" w14:textId="77777777" w:rsidR="004B42B5" w:rsidRPr="004B42B5" w:rsidRDefault="004B42B5" w:rsidP="004B42B5">
      <w:pPr>
        <w:spacing w:line="240" w:lineRule="auto"/>
        <w:contextualSpacing/>
        <w:jc w:val="both"/>
        <w:rPr>
          <w:rFonts w:ascii="Arial" w:hAnsi="Arial" w:cs="Arial"/>
        </w:rPr>
      </w:pPr>
    </w:p>
    <w:p w14:paraId="5A18FAE8" w14:textId="77777777" w:rsidR="004B42B5" w:rsidRPr="004B42B5" w:rsidRDefault="004B42B5" w:rsidP="004B42B5">
      <w:pPr>
        <w:spacing w:line="240" w:lineRule="auto"/>
        <w:contextualSpacing/>
        <w:jc w:val="both"/>
        <w:rPr>
          <w:rFonts w:ascii="Arial" w:hAnsi="Arial" w:cs="Arial"/>
        </w:rPr>
      </w:pPr>
    </w:p>
    <w:p w14:paraId="0B5E7153" w14:textId="77777777" w:rsidR="004B42B5" w:rsidRPr="004B42B5" w:rsidRDefault="004B42B5" w:rsidP="004B42B5">
      <w:pPr>
        <w:spacing w:line="240" w:lineRule="auto"/>
        <w:contextualSpacing/>
        <w:jc w:val="both"/>
        <w:rPr>
          <w:rFonts w:ascii="Arial" w:hAnsi="Arial" w:cs="Arial"/>
        </w:rPr>
      </w:pPr>
    </w:p>
    <w:p w14:paraId="412E24DD" w14:textId="77777777" w:rsidR="004B42B5" w:rsidRPr="004B42B5" w:rsidRDefault="004B42B5" w:rsidP="004B42B5">
      <w:pPr>
        <w:spacing w:line="240" w:lineRule="auto"/>
        <w:contextualSpacing/>
        <w:jc w:val="both"/>
        <w:rPr>
          <w:rFonts w:ascii="Arial" w:hAnsi="Arial" w:cs="Arial"/>
        </w:rPr>
      </w:pPr>
    </w:p>
    <w:p w14:paraId="22491677" w14:textId="77777777" w:rsidR="004B42B5" w:rsidRPr="004B42B5" w:rsidRDefault="004B42B5" w:rsidP="004B42B5">
      <w:pPr>
        <w:spacing w:line="240" w:lineRule="auto"/>
        <w:contextualSpacing/>
        <w:jc w:val="both"/>
        <w:rPr>
          <w:rFonts w:ascii="Arial" w:hAnsi="Arial" w:cs="Arial"/>
        </w:rPr>
      </w:pPr>
    </w:p>
    <w:p w14:paraId="68EFA773" w14:textId="77777777" w:rsidR="004B42B5" w:rsidRPr="004B42B5" w:rsidRDefault="004B42B5" w:rsidP="004B42B5">
      <w:pPr>
        <w:spacing w:line="240" w:lineRule="auto"/>
        <w:contextualSpacing/>
        <w:jc w:val="both"/>
        <w:rPr>
          <w:rFonts w:ascii="Arial" w:hAnsi="Arial" w:cs="Arial"/>
        </w:rPr>
      </w:pPr>
    </w:p>
    <w:p w14:paraId="4CF7C6E9" w14:textId="77777777" w:rsidR="004B42B5" w:rsidRPr="004B42B5" w:rsidRDefault="004B42B5" w:rsidP="004B42B5">
      <w:pPr>
        <w:spacing w:line="240" w:lineRule="auto"/>
        <w:contextualSpacing/>
        <w:jc w:val="both"/>
        <w:rPr>
          <w:rFonts w:ascii="Arial" w:hAnsi="Arial" w:cs="Arial"/>
        </w:rPr>
      </w:pPr>
    </w:p>
    <w:p w14:paraId="5896B435" w14:textId="77777777" w:rsidR="004B42B5" w:rsidRPr="004B42B5" w:rsidRDefault="004B42B5" w:rsidP="004B42B5">
      <w:pPr>
        <w:pStyle w:val="Caption"/>
        <w:contextualSpacing/>
        <w:rPr>
          <w:rFonts w:ascii="Arial" w:hAnsi="Arial" w:cs="Arial"/>
          <w:color w:val="auto"/>
          <w:sz w:val="22"/>
          <w:szCs w:val="22"/>
        </w:rPr>
      </w:pPr>
      <w:r w:rsidRPr="004B42B5">
        <w:rPr>
          <w:rFonts w:ascii="Arial" w:hAnsi="Arial" w:cs="Arial"/>
          <w:color w:val="auto"/>
          <w:sz w:val="22"/>
          <w:szCs w:val="22"/>
        </w:rPr>
        <w:t>Table 2: Effects of climate change encountered</w:t>
      </w:r>
    </w:p>
    <w:p w14:paraId="288C2DBF" w14:textId="77777777" w:rsidR="004B42B5" w:rsidRPr="004B42B5" w:rsidRDefault="004B42B5" w:rsidP="004B42B5">
      <w:pPr>
        <w:pStyle w:val="Caption"/>
        <w:contextualSpacing/>
        <w:rPr>
          <w:rFonts w:ascii="Arial" w:hAnsi="Arial" w:cs="Arial"/>
          <w:color w:val="auto"/>
          <w:sz w:val="22"/>
          <w:szCs w:val="22"/>
        </w:rPr>
      </w:pPr>
      <w:r w:rsidRPr="004B42B5">
        <w:rPr>
          <w:rFonts w:ascii="Arial" w:hAnsi="Arial" w:cs="Arial"/>
          <w:color w:val="auto"/>
          <w:sz w:val="22"/>
          <w:szCs w:val="22"/>
        </w:rPr>
        <w:t>by the farmers</w:t>
      </w:r>
    </w:p>
    <w:tbl>
      <w:tblPr>
        <w:tblStyle w:val="TableGrid"/>
        <w:tblW w:w="949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693"/>
        <w:gridCol w:w="2552"/>
      </w:tblGrid>
      <w:tr w:rsidR="004B42B5" w:rsidRPr="004B42B5" w14:paraId="596A44A6" w14:textId="77777777" w:rsidTr="00A040E4">
        <w:tc>
          <w:tcPr>
            <w:tcW w:w="4253" w:type="dxa"/>
            <w:tcBorders>
              <w:top w:val="single" w:sz="4" w:space="0" w:color="000000"/>
              <w:left w:val="nil"/>
              <w:bottom w:val="single" w:sz="4" w:space="0" w:color="000000"/>
              <w:right w:val="nil"/>
            </w:tcBorders>
            <w:hideMark/>
          </w:tcPr>
          <w:p w14:paraId="24C3BFB8" w14:textId="77777777" w:rsidR="004B42B5" w:rsidRPr="004B42B5" w:rsidRDefault="004B42B5" w:rsidP="00A040E4">
            <w:pPr>
              <w:spacing w:after="255" w:line="240" w:lineRule="auto"/>
              <w:contextualSpacing/>
              <w:rPr>
                <w:rFonts w:ascii="Arial" w:hAnsi="Arial" w:cs="Arial"/>
              </w:rPr>
            </w:pPr>
            <w:r w:rsidRPr="004B42B5">
              <w:rPr>
                <w:rFonts w:ascii="Arial" w:hAnsi="Arial" w:cs="Arial"/>
              </w:rPr>
              <w:t>Climate change effects</w:t>
            </w:r>
          </w:p>
        </w:tc>
        <w:tc>
          <w:tcPr>
            <w:tcW w:w="2693" w:type="dxa"/>
            <w:tcBorders>
              <w:top w:val="single" w:sz="4" w:space="0" w:color="000000"/>
              <w:left w:val="nil"/>
              <w:bottom w:val="single" w:sz="4" w:space="0" w:color="000000"/>
              <w:right w:val="nil"/>
            </w:tcBorders>
            <w:hideMark/>
          </w:tcPr>
          <w:p w14:paraId="049ECCB1" w14:textId="77777777" w:rsidR="004B42B5" w:rsidRPr="004B42B5" w:rsidRDefault="004B42B5" w:rsidP="00A040E4">
            <w:pPr>
              <w:spacing w:after="255" w:line="240" w:lineRule="auto"/>
              <w:contextualSpacing/>
              <w:rPr>
                <w:rFonts w:ascii="Arial" w:hAnsi="Arial" w:cs="Arial"/>
              </w:rPr>
            </w:pPr>
            <w:r w:rsidRPr="004B42B5">
              <w:rPr>
                <w:rFonts w:ascii="Arial" w:hAnsi="Arial" w:cs="Arial"/>
              </w:rPr>
              <w:t>Number of respondents</w:t>
            </w:r>
          </w:p>
        </w:tc>
        <w:tc>
          <w:tcPr>
            <w:tcW w:w="2552" w:type="dxa"/>
            <w:tcBorders>
              <w:top w:val="single" w:sz="4" w:space="0" w:color="000000"/>
              <w:left w:val="nil"/>
              <w:bottom w:val="single" w:sz="4" w:space="0" w:color="000000"/>
              <w:right w:val="nil"/>
            </w:tcBorders>
            <w:hideMark/>
          </w:tcPr>
          <w:p w14:paraId="5B1F436B" w14:textId="77777777" w:rsidR="004B42B5" w:rsidRPr="004B42B5" w:rsidRDefault="004B42B5" w:rsidP="00A040E4">
            <w:pPr>
              <w:spacing w:after="255" w:line="240" w:lineRule="auto"/>
              <w:contextualSpacing/>
              <w:rPr>
                <w:rFonts w:ascii="Arial" w:hAnsi="Arial" w:cs="Arial"/>
              </w:rPr>
            </w:pPr>
            <w:r w:rsidRPr="004B42B5">
              <w:rPr>
                <w:rFonts w:ascii="Arial" w:hAnsi="Arial" w:cs="Arial"/>
              </w:rPr>
              <w:t>Percentage</w:t>
            </w:r>
          </w:p>
        </w:tc>
      </w:tr>
      <w:tr w:rsidR="004B42B5" w:rsidRPr="004B42B5" w14:paraId="46C07A4F" w14:textId="77777777" w:rsidTr="00A040E4">
        <w:tc>
          <w:tcPr>
            <w:tcW w:w="4253" w:type="dxa"/>
            <w:tcBorders>
              <w:top w:val="single" w:sz="4" w:space="0" w:color="000000"/>
              <w:left w:val="nil"/>
              <w:bottom w:val="nil"/>
              <w:right w:val="nil"/>
            </w:tcBorders>
            <w:hideMark/>
          </w:tcPr>
          <w:p w14:paraId="5CD879E8" w14:textId="77777777" w:rsidR="004B42B5" w:rsidRPr="004B42B5" w:rsidRDefault="004B42B5" w:rsidP="00A040E4">
            <w:pPr>
              <w:spacing w:after="255" w:line="240" w:lineRule="auto"/>
              <w:contextualSpacing/>
              <w:rPr>
                <w:rFonts w:ascii="Arial" w:hAnsi="Arial" w:cs="Arial"/>
              </w:rPr>
            </w:pPr>
            <w:r w:rsidRPr="004B42B5">
              <w:rPr>
                <w:rFonts w:ascii="Arial" w:hAnsi="Arial" w:cs="Arial"/>
              </w:rPr>
              <w:t>Reduced production and food insecurity</w:t>
            </w:r>
          </w:p>
        </w:tc>
        <w:tc>
          <w:tcPr>
            <w:tcW w:w="2693" w:type="dxa"/>
            <w:tcBorders>
              <w:top w:val="single" w:sz="4" w:space="0" w:color="000000"/>
              <w:left w:val="nil"/>
              <w:bottom w:val="nil"/>
              <w:right w:val="nil"/>
            </w:tcBorders>
            <w:hideMark/>
          </w:tcPr>
          <w:p w14:paraId="77C99ECE" w14:textId="77777777" w:rsidR="004B42B5" w:rsidRPr="004B42B5" w:rsidRDefault="004B42B5" w:rsidP="00A040E4">
            <w:pPr>
              <w:spacing w:after="255" w:line="240" w:lineRule="auto"/>
              <w:contextualSpacing/>
              <w:rPr>
                <w:rFonts w:ascii="Arial" w:hAnsi="Arial" w:cs="Arial"/>
              </w:rPr>
            </w:pPr>
            <w:r w:rsidRPr="004B42B5">
              <w:rPr>
                <w:rFonts w:ascii="Arial" w:hAnsi="Arial" w:cs="Arial"/>
              </w:rPr>
              <w:t>14</w:t>
            </w:r>
          </w:p>
        </w:tc>
        <w:tc>
          <w:tcPr>
            <w:tcW w:w="2552" w:type="dxa"/>
            <w:tcBorders>
              <w:top w:val="single" w:sz="4" w:space="0" w:color="000000"/>
              <w:left w:val="nil"/>
              <w:bottom w:val="nil"/>
              <w:right w:val="nil"/>
            </w:tcBorders>
            <w:hideMark/>
          </w:tcPr>
          <w:p w14:paraId="0CDE49C3" w14:textId="77777777" w:rsidR="004B42B5" w:rsidRPr="004B42B5" w:rsidRDefault="004B42B5" w:rsidP="00A040E4">
            <w:pPr>
              <w:spacing w:after="255" w:line="240" w:lineRule="auto"/>
              <w:contextualSpacing/>
              <w:rPr>
                <w:rFonts w:ascii="Arial" w:hAnsi="Arial" w:cs="Arial"/>
              </w:rPr>
            </w:pPr>
            <w:r w:rsidRPr="004B42B5">
              <w:rPr>
                <w:rFonts w:ascii="Arial" w:hAnsi="Arial" w:cs="Arial"/>
              </w:rPr>
              <w:t>25</w:t>
            </w:r>
          </w:p>
        </w:tc>
      </w:tr>
      <w:tr w:rsidR="004B42B5" w:rsidRPr="004B42B5" w14:paraId="570D5D1B" w14:textId="77777777" w:rsidTr="00A040E4">
        <w:tc>
          <w:tcPr>
            <w:tcW w:w="4253" w:type="dxa"/>
            <w:hideMark/>
          </w:tcPr>
          <w:p w14:paraId="6120F294" w14:textId="77777777" w:rsidR="004B42B5" w:rsidRPr="004B42B5" w:rsidRDefault="004B42B5" w:rsidP="00A040E4">
            <w:pPr>
              <w:spacing w:after="255" w:line="240" w:lineRule="auto"/>
              <w:contextualSpacing/>
              <w:rPr>
                <w:rFonts w:ascii="Arial" w:hAnsi="Arial" w:cs="Arial"/>
              </w:rPr>
            </w:pPr>
            <w:r w:rsidRPr="004B42B5">
              <w:rPr>
                <w:rFonts w:ascii="Arial" w:hAnsi="Arial" w:cs="Arial"/>
              </w:rPr>
              <w:t>Decline in income and job loss</w:t>
            </w:r>
          </w:p>
        </w:tc>
        <w:tc>
          <w:tcPr>
            <w:tcW w:w="2693" w:type="dxa"/>
            <w:hideMark/>
          </w:tcPr>
          <w:p w14:paraId="4806F55A" w14:textId="77777777" w:rsidR="004B42B5" w:rsidRPr="004B42B5" w:rsidRDefault="004B42B5" w:rsidP="00A040E4">
            <w:pPr>
              <w:spacing w:after="255" w:line="240" w:lineRule="auto"/>
              <w:contextualSpacing/>
              <w:rPr>
                <w:rFonts w:ascii="Arial" w:hAnsi="Arial" w:cs="Arial"/>
              </w:rPr>
            </w:pPr>
            <w:r w:rsidRPr="004B42B5">
              <w:rPr>
                <w:rFonts w:ascii="Arial" w:hAnsi="Arial" w:cs="Arial"/>
              </w:rPr>
              <w:t>13</w:t>
            </w:r>
          </w:p>
        </w:tc>
        <w:tc>
          <w:tcPr>
            <w:tcW w:w="2552" w:type="dxa"/>
            <w:hideMark/>
          </w:tcPr>
          <w:p w14:paraId="4DFF5283" w14:textId="77777777" w:rsidR="004B42B5" w:rsidRPr="004B42B5" w:rsidRDefault="004B42B5" w:rsidP="00A040E4">
            <w:pPr>
              <w:spacing w:after="255" w:line="240" w:lineRule="auto"/>
              <w:contextualSpacing/>
              <w:rPr>
                <w:rFonts w:ascii="Arial" w:hAnsi="Arial" w:cs="Arial"/>
              </w:rPr>
            </w:pPr>
            <w:r w:rsidRPr="004B42B5">
              <w:rPr>
                <w:rFonts w:ascii="Arial" w:hAnsi="Arial" w:cs="Arial"/>
              </w:rPr>
              <w:t>17.5</w:t>
            </w:r>
          </w:p>
        </w:tc>
      </w:tr>
      <w:tr w:rsidR="004B42B5" w:rsidRPr="004B42B5" w14:paraId="6C63181A" w14:textId="77777777" w:rsidTr="00A040E4">
        <w:tc>
          <w:tcPr>
            <w:tcW w:w="4253" w:type="dxa"/>
            <w:hideMark/>
          </w:tcPr>
          <w:p w14:paraId="36B9B5C4" w14:textId="77777777" w:rsidR="004B42B5" w:rsidRPr="004B42B5" w:rsidRDefault="004B42B5" w:rsidP="00A040E4">
            <w:pPr>
              <w:spacing w:after="255" w:line="240" w:lineRule="auto"/>
              <w:contextualSpacing/>
              <w:rPr>
                <w:rFonts w:ascii="Arial" w:hAnsi="Arial" w:cs="Arial"/>
              </w:rPr>
            </w:pPr>
            <w:r w:rsidRPr="004B42B5">
              <w:rPr>
                <w:rFonts w:ascii="Arial" w:hAnsi="Arial" w:cs="Arial"/>
              </w:rPr>
              <w:t>Loss of farms</w:t>
            </w:r>
          </w:p>
        </w:tc>
        <w:tc>
          <w:tcPr>
            <w:tcW w:w="2693" w:type="dxa"/>
            <w:hideMark/>
          </w:tcPr>
          <w:p w14:paraId="0D7EFBB2" w14:textId="77777777" w:rsidR="004B42B5" w:rsidRPr="004B42B5" w:rsidRDefault="004B42B5" w:rsidP="00A040E4">
            <w:pPr>
              <w:spacing w:after="255" w:line="240" w:lineRule="auto"/>
              <w:contextualSpacing/>
              <w:rPr>
                <w:rFonts w:ascii="Arial" w:hAnsi="Arial" w:cs="Arial"/>
              </w:rPr>
            </w:pPr>
            <w:r w:rsidRPr="004B42B5">
              <w:rPr>
                <w:rFonts w:ascii="Arial" w:hAnsi="Arial" w:cs="Arial"/>
              </w:rPr>
              <w:t>7</w:t>
            </w:r>
          </w:p>
        </w:tc>
        <w:tc>
          <w:tcPr>
            <w:tcW w:w="2552" w:type="dxa"/>
            <w:hideMark/>
          </w:tcPr>
          <w:p w14:paraId="5B8A86D2" w14:textId="77777777" w:rsidR="004B42B5" w:rsidRPr="004B42B5" w:rsidRDefault="004B42B5" w:rsidP="00A040E4">
            <w:pPr>
              <w:spacing w:after="255" w:line="240" w:lineRule="auto"/>
              <w:contextualSpacing/>
              <w:rPr>
                <w:rFonts w:ascii="Arial" w:hAnsi="Arial" w:cs="Arial"/>
              </w:rPr>
            </w:pPr>
            <w:r w:rsidRPr="004B42B5">
              <w:rPr>
                <w:rFonts w:ascii="Arial" w:hAnsi="Arial" w:cs="Arial"/>
              </w:rPr>
              <w:t>17.5</w:t>
            </w:r>
          </w:p>
        </w:tc>
      </w:tr>
      <w:tr w:rsidR="004B42B5" w:rsidRPr="004B42B5" w14:paraId="446EBA80" w14:textId="77777777" w:rsidTr="00A040E4">
        <w:tc>
          <w:tcPr>
            <w:tcW w:w="4253" w:type="dxa"/>
            <w:hideMark/>
          </w:tcPr>
          <w:p w14:paraId="30A09A47" w14:textId="77777777" w:rsidR="004B42B5" w:rsidRPr="004B42B5" w:rsidRDefault="004B42B5" w:rsidP="00A040E4">
            <w:pPr>
              <w:spacing w:after="255" w:line="240" w:lineRule="auto"/>
              <w:contextualSpacing/>
              <w:rPr>
                <w:rFonts w:ascii="Arial" w:hAnsi="Arial" w:cs="Arial"/>
              </w:rPr>
            </w:pPr>
            <w:r w:rsidRPr="004B42B5">
              <w:rPr>
                <w:rFonts w:ascii="Arial" w:hAnsi="Arial" w:cs="Arial"/>
              </w:rPr>
              <w:t>Water shortage</w:t>
            </w:r>
          </w:p>
        </w:tc>
        <w:tc>
          <w:tcPr>
            <w:tcW w:w="2693" w:type="dxa"/>
            <w:hideMark/>
          </w:tcPr>
          <w:p w14:paraId="1C4B60F3" w14:textId="77777777" w:rsidR="004B42B5" w:rsidRPr="004B42B5" w:rsidRDefault="004B42B5" w:rsidP="00A040E4">
            <w:pPr>
              <w:spacing w:after="255" w:line="240" w:lineRule="auto"/>
              <w:contextualSpacing/>
              <w:rPr>
                <w:rFonts w:ascii="Arial" w:hAnsi="Arial" w:cs="Arial"/>
              </w:rPr>
            </w:pPr>
            <w:r w:rsidRPr="004B42B5">
              <w:rPr>
                <w:rFonts w:ascii="Arial" w:hAnsi="Arial" w:cs="Arial"/>
              </w:rPr>
              <w:t>3</w:t>
            </w:r>
          </w:p>
        </w:tc>
        <w:tc>
          <w:tcPr>
            <w:tcW w:w="2552" w:type="dxa"/>
            <w:hideMark/>
          </w:tcPr>
          <w:p w14:paraId="12D304E0" w14:textId="77777777" w:rsidR="004B42B5" w:rsidRPr="004B42B5" w:rsidRDefault="004B42B5" w:rsidP="00A040E4">
            <w:pPr>
              <w:spacing w:after="255" w:line="240" w:lineRule="auto"/>
              <w:contextualSpacing/>
              <w:rPr>
                <w:rFonts w:ascii="Arial" w:hAnsi="Arial" w:cs="Arial"/>
              </w:rPr>
            </w:pPr>
            <w:r w:rsidRPr="004B42B5">
              <w:rPr>
                <w:rFonts w:ascii="Arial" w:hAnsi="Arial" w:cs="Arial"/>
              </w:rPr>
              <w:t>7.5</w:t>
            </w:r>
          </w:p>
        </w:tc>
      </w:tr>
      <w:tr w:rsidR="004B42B5" w:rsidRPr="004B42B5" w14:paraId="152B70F2" w14:textId="77777777" w:rsidTr="00A040E4">
        <w:tc>
          <w:tcPr>
            <w:tcW w:w="4253" w:type="dxa"/>
            <w:hideMark/>
          </w:tcPr>
          <w:p w14:paraId="66F59205" w14:textId="77777777" w:rsidR="004B42B5" w:rsidRPr="004B42B5" w:rsidRDefault="004B42B5" w:rsidP="00A040E4">
            <w:pPr>
              <w:spacing w:after="255" w:line="240" w:lineRule="auto"/>
              <w:contextualSpacing/>
              <w:rPr>
                <w:rFonts w:ascii="Arial" w:hAnsi="Arial" w:cs="Arial"/>
              </w:rPr>
            </w:pPr>
            <w:r w:rsidRPr="004B42B5">
              <w:rPr>
                <w:rFonts w:ascii="Arial" w:hAnsi="Arial" w:cs="Arial"/>
              </w:rPr>
              <w:t>Loss in ecological values</w:t>
            </w:r>
          </w:p>
        </w:tc>
        <w:tc>
          <w:tcPr>
            <w:tcW w:w="2693" w:type="dxa"/>
            <w:hideMark/>
          </w:tcPr>
          <w:p w14:paraId="75EFBBA1" w14:textId="77777777" w:rsidR="004B42B5" w:rsidRPr="004B42B5" w:rsidRDefault="004B42B5" w:rsidP="00A040E4">
            <w:pPr>
              <w:spacing w:after="255" w:line="240" w:lineRule="auto"/>
              <w:contextualSpacing/>
              <w:rPr>
                <w:rFonts w:ascii="Arial" w:hAnsi="Arial" w:cs="Arial"/>
              </w:rPr>
            </w:pPr>
            <w:r w:rsidRPr="004B42B5">
              <w:rPr>
                <w:rFonts w:ascii="Arial" w:hAnsi="Arial" w:cs="Arial"/>
              </w:rPr>
              <w:t>2</w:t>
            </w:r>
          </w:p>
        </w:tc>
        <w:tc>
          <w:tcPr>
            <w:tcW w:w="2552" w:type="dxa"/>
            <w:hideMark/>
          </w:tcPr>
          <w:p w14:paraId="08FE0C53" w14:textId="77777777" w:rsidR="004B42B5" w:rsidRPr="004B42B5" w:rsidRDefault="004B42B5" w:rsidP="00A040E4">
            <w:pPr>
              <w:spacing w:after="255" w:line="240" w:lineRule="auto"/>
              <w:contextualSpacing/>
              <w:rPr>
                <w:rFonts w:ascii="Arial" w:hAnsi="Arial" w:cs="Arial"/>
              </w:rPr>
            </w:pPr>
            <w:r w:rsidRPr="004B42B5">
              <w:rPr>
                <w:rFonts w:ascii="Arial" w:hAnsi="Arial" w:cs="Arial"/>
              </w:rPr>
              <w:t>5</w:t>
            </w:r>
          </w:p>
        </w:tc>
      </w:tr>
      <w:tr w:rsidR="004B42B5" w:rsidRPr="004B42B5" w14:paraId="32AC63D2" w14:textId="77777777" w:rsidTr="00A040E4">
        <w:tc>
          <w:tcPr>
            <w:tcW w:w="4253" w:type="dxa"/>
            <w:hideMark/>
          </w:tcPr>
          <w:p w14:paraId="3E98AE82" w14:textId="77777777" w:rsidR="004B42B5" w:rsidRPr="004B42B5" w:rsidRDefault="004B42B5" w:rsidP="00A040E4">
            <w:pPr>
              <w:spacing w:after="255" w:line="240" w:lineRule="auto"/>
              <w:contextualSpacing/>
              <w:rPr>
                <w:rFonts w:ascii="Arial" w:hAnsi="Arial" w:cs="Arial"/>
              </w:rPr>
            </w:pPr>
            <w:r w:rsidRPr="004B42B5">
              <w:rPr>
                <w:rFonts w:ascii="Arial" w:hAnsi="Arial" w:cs="Arial"/>
              </w:rPr>
              <w:lastRenderedPageBreak/>
              <w:t>Diseases outbreak</w:t>
            </w:r>
          </w:p>
        </w:tc>
        <w:tc>
          <w:tcPr>
            <w:tcW w:w="2693" w:type="dxa"/>
            <w:hideMark/>
          </w:tcPr>
          <w:p w14:paraId="026B8CB8" w14:textId="77777777" w:rsidR="004B42B5" w:rsidRPr="004B42B5" w:rsidRDefault="004B42B5" w:rsidP="00A040E4">
            <w:pPr>
              <w:spacing w:after="255" w:line="240" w:lineRule="auto"/>
              <w:contextualSpacing/>
              <w:rPr>
                <w:rFonts w:ascii="Arial" w:hAnsi="Arial" w:cs="Arial"/>
              </w:rPr>
            </w:pPr>
            <w:r w:rsidRPr="004B42B5">
              <w:rPr>
                <w:rFonts w:ascii="Arial" w:hAnsi="Arial" w:cs="Arial"/>
              </w:rPr>
              <w:t>2</w:t>
            </w:r>
          </w:p>
        </w:tc>
        <w:tc>
          <w:tcPr>
            <w:tcW w:w="2552" w:type="dxa"/>
            <w:hideMark/>
          </w:tcPr>
          <w:p w14:paraId="73021A00" w14:textId="77777777" w:rsidR="004B42B5" w:rsidRPr="004B42B5" w:rsidRDefault="004B42B5" w:rsidP="00A040E4">
            <w:pPr>
              <w:spacing w:after="255" w:line="240" w:lineRule="auto"/>
              <w:contextualSpacing/>
              <w:rPr>
                <w:rFonts w:ascii="Arial" w:hAnsi="Arial" w:cs="Arial"/>
              </w:rPr>
            </w:pPr>
            <w:r w:rsidRPr="004B42B5">
              <w:rPr>
                <w:rFonts w:ascii="Arial" w:hAnsi="Arial" w:cs="Arial"/>
              </w:rPr>
              <w:t>5</w:t>
            </w:r>
          </w:p>
        </w:tc>
      </w:tr>
      <w:tr w:rsidR="004B42B5" w:rsidRPr="004B42B5" w14:paraId="1D731EA1" w14:textId="77777777" w:rsidTr="00A040E4">
        <w:tc>
          <w:tcPr>
            <w:tcW w:w="4253" w:type="dxa"/>
            <w:tcBorders>
              <w:top w:val="nil"/>
              <w:left w:val="nil"/>
              <w:bottom w:val="single" w:sz="4" w:space="0" w:color="000000"/>
              <w:right w:val="nil"/>
            </w:tcBorders>
            <w:hideMark/>
          </w:tcPr>
          <w:p w14:paraId="1A7E3666" w14:textId="77777777" w:rsidR="004B42B5" w:rsidRPr="004B42B5" w:rsidRDefault="004B42B5" w:rsidP="00A040E4">
            <w:pPr>
              <w:spacing w:after="255" w:line="240" w:lineRule="auto"/>
              <w:contextualSpacing/>
              <w:rPr>
                <w:rFonts w:ascii="Arial" w:hAnsi="Arial" w:cs="Arial"/>
              </w:rPr>
            </w:pPr>
            <w:r w:rsidRPr="004B42B5">
              <w:rPr>
                <w:rFonts w:ascii="Arial" w:hAnsi="Arial" w:cs="Arial"/>
              </w:rPr>
              <w:t>Total</w:t>
            </w:r>
          </w:p>
        </w:tc>
        <w:tc>
          <w:tcPr>
            <w:tcW w:w="2693" w:type="dxa"/>
            <w:tcBorders>
              <w:top w:val="nil"/>
              <w:left w:val="nil"/>
              <w:bottom w:val="single" w:sz="4" w:space="0" w:color="000000"/>
              <w:right w:val="nil"/>
            </w:tcBorders>
            <w:hideMark/>
          </w:tcPr>
          <w:p w14:paraId="76F9A8FD" w14:textId="77777777" w:rsidR="004B42B5" w:rsidRPr="004B42B5" w:rsidRDefault="004B42B5" w:rsidP="00A040E4">
            <w:pPr>
              <w:spacing w:after="255" w:line="240" w:lineRule="auto"/>
              <w:contextualSpacing/>
              <w:rPr>
                <w:rFonts w:ascii="Arial" w:hAnsi="Arial" w:cs="Arial"/>
              </w:rPr>
            </w:pPr>
            <w:r w:rsidRPr="004B42B5">
              <w:rPr>
                <w:rFonts w:ascii="Arial" w:hAnsi="Arial" w:cs="Arial"/>
              </w:rPr>
              <w:t>40</w:t>
            </w:r>
          </w:p>
        </w:tc>
        <w:tc>
          <w:tcPr>
            <w:tcW w:w="2552" w:type="dxa"/>
            <w:tcBorders>
              <w:top w:val="nil"/>
              <w:left w:val="nil"/>
              <w:bottom w:val="single" w:sz="4" w:space="0" w:color="000000"/>
              <w:right w:val="nil"/>
            </w:tcBorders>
            <w:hideMark/>
          </w:tcPr>
          <w:p w14:paraId="62D4EC1E" w14:textId="77777777" w:rsidR="004B42B5" w:rsidRPr="004B42B5" w:rsidRDefault="004B42B5" w:rsidP="00A040E4">
            <w:pPr>
              <w:spacing w:after="255" w:line="240" w:lineRule="auto"/>
              <w:contextualSpacing/>
              <w:rPr>
                <w:rFonts w:ascii="Arial" w:hAnsi="Arial" w:cs="Arial"/>
              </w:rPr>
            </w:pPr>
            <w:r w:rsidRPr="004B42B5">
              <w:rPr>
                <w:rFonts w:ascii="Arial" w:hAnsi="Arial" w:cs="Arial"/>
              </w:rPr>
              <w:t>100</w:t>
            </w:r>
          </w:p>
        </w:tc>
      </w:tr>
    </w:tbl>
    <w:p w14:paraId="646AD742" w14:textId="77777777" w:rsidR="004B42B5" w:rsidRPr="004B42B5" w:rsidRDefault="004B42B5" w:rsidP="004B42B5">
      <w:pPr>
        <w:spacing w:line="240" w:lineRule="auto"/>
        <w:contextualSpacing/>
        <w:rPr>
          <w:rFonts w:ascii="Arial" w:hAnsi="Arial" w:cs="Arial"/>
        </w:rPr>
      </w:pPr>
    </w:p>
    <w:bookmarkEnd w:id="5"/>
    <w:p w14:paraId="71D0F7D5" w14:textId="77777777" w:rsidR="004B42B5" w:rsidRPr="004B42B5" w:rsidRDefault="004B42B5" w:rsidP="004B42B5">
      <w:pPr>
        <w:spacing w:line="240" w:lineRule="auto"/>
        <w:contextualSpacing/>
        <w:jc w:val="both"/>
        <w:rPr>
          <w:rFonts w:ascii="Arial" w:hAnsi="Arial" w:cs="Arial"/>
          <w:b/>
          <w:bCs/>
          <w:iCs/>
        </w:rPr>
      </w:pPr>
      <w:r w:rsidRPr="004B42B5">
        <w:rPr>
          <w:rFonts w:ascii="Arial" w:hAnsi="Arial" w:cs="Arial"/>
          <w:b/>
          <w:bCs/>
          <w:iCs/>
        </w:rPr>
        <w:t>3.2 Weather Fluctuations</w:t>
      </w:r>
    </w:p>
    <w:p w14:paraId="78C0A60E" w14:textId="77777777" w:rsidR="004B42B5" w:rsidRPr="004B42B5" w:rsidRDefault="004B42B5" w:rsidP="004B42B5">
      <w:pPr>
        <w:spacing w:line="240" w:lineRule="auto"/>
        <w:contextualSpacing/>
        <w:jc w:val="both"/>
        <w:rPr>
          <w:rFonts w:ascii="Arial" w:hAnsi="Arial" w:cs="Arial"/>
          <w:b/>
          <w:bCs/>
          <w:i/>
        </w:rPr>
      </w:pPr>
    </w:p>
    <w:p w14:paraId="11AF54B6" w14:textId="77777777" w:rsidR="004B42B5" w:rsidRPr="004B42B5" w:rsidRDefault="004B42B5" w:rsidP="004B42B5">
      <w:pPr>
        <w:spacing w:line="240" w:lineRule="auto"/>
        <w:contextualSpacing/>
        <w:jc w:val="both"/>
        <w:rPr>
          <w:rFonts w:ascii="Arial" w:hAnsi="Arial" w:cs="Arial"/>
        </w:rPr>
      </w:pPr>
      <w:r w:rsidRPr="004B42B5">
        <w:rPr>
          <w:rFonts w:ascii="Arial" w:hAnsi="Arial" w:cs="Arial"/>
        </w:rPr>
        <w:t>Information provided by the Bagamoyo Weather Station revealed that in the past, the village had a seasonal average temperature ranging between 13</w:t>
      </w:r>
      <w:r w:rsidRPr="004B42B5">
        <w:rPr>
          <w:rFonts w:ascii="Arial" w:hAnsi="Arial" w:cs="Arial"/>
          <w:vertAlign w:val="superscript"/>
        </w:rPr>
        <w:t>0</w:t>
      </w:r>
      <w:r w:rsidRPr="004B42B5">
        <w:rPr>
          <w:rFonts w:ascii="Arial" w:hAnsi="Arial" w:cs="Arial"/>
        </w:rPr>
        <w:t xml:space="preserve"> C and 30</w:t>
      </w:r>
      <w:r w:rsidRPr="004B42B5">
        <w:rPr>
          <w:rFonts w:ascii="Arial" w:hAnsi="Arial" w:cs="Arial"/>
          <w:vertAlign w:val="superscript"/>
        </w:rPr>
        <w:t>0</w:t>
      </w:r>
      <w:r w:rsidRPr="004B42B5">
        <w:rPr>
          <w:rFonts w:ascii="Arial" w:hAnsi="Arial" w:cs="Arial"/>
        </w:rPr>
        <w:t xml:space="preserve"> C. Rainfall amount ranged between 800 and 1200 mm per annum. It was further revealed that the area was experiencing three rain seasons, namely short rains which always started from October to December while the long rain season started from March to May. However, the total annual rainfall has been fluctuating. In some years, the area receives below average rainfall amounts while in some years the area receives above average rainfall amounts.  It was further revealed that the onset dates as well as dates of termination of rainfall varies significantly and therefore the rainfall seasons are no longer predictable. This change in rainfall pattern also causes the rainfall seasons to either last shorter or longer than expected, but in most cases the seasons last shorter with high rainfall intensities. This change in rainfall amount and distribution adds a layer of complication to adoption of adaptation measures by small scale farmers </w:t>
      </w:r>
      <w:r w:rsidRPr="004B42B5">
        <w:rPr>
          <w:rFonts w:ascii="Arial" w:hAnsi="Arial" w:cs="Arial"/>
        </w:rPr>
        <w:fldChar w:fldCharType="begin" w:fldLock="1"/>
      </w:r>
      <w:r w:rsidRPr="004B42B5">
        <w:rPr>
          <w:rFonts w:ascii="Arial" w:hAnsi="Arial" w:cs="Arial"/>
        </w:rPr>
        <w:instrText>ADDIN CSL_CITATION {"citationItems":[{"id":"ITEM-1","itemData":{"DOI":"10.1080/17565529.2018.1562862","ISSN":"17565537","abstract":"Crop failure due to climate shocks increases the risk of hunger for small-scale farmers. This paper identifies the major climate shocks affecting maize-legume farmers in Kenya, and the factors associated with their decision to adapt including the specific adaptation strategies to employ. During 2000–2010 surveyed farm households reported drought, crop pests and excessive rainfall as the most frequent and severe climate shocks. Probit regression results show that previous experiences of drought reduce the likelihood of adaptation to drought and excessive rainfall. Female-headed households are more inclined than male-headed households to adapt to excessive rainfall. Next, multivariate probit regression results identify farm adjustment (e.g. use of improved varieties and replanting) to be a substitution strategy for selling assets and borrowing for drought adaptation, while reducing consumption seems to be a complementary strategy for borrowing. To adapt to crop pests, farm adjustment seems to be a substitution strategy for selling assets and reducing consumption; however, selling assets is a complementary strategy for borrowing. Policy to encourage adaptation should incorporate implication of multiple shocks and target assistance to poor, food-insecure and female-headed households as these are often disadvantaged in terms of asset endowment and access to the technology necessary for adaptation.","author":[{"dropping-particle":"","family":"Tongruksawattana","given":"Songporne","non-dropping-particle":"","parse-names":false,"suffix":""},{"dropping-particle":"","family":"Wainaina","given":"Priscilla","non-dropping-particle":"","parse-names":false,"suffix":""}],"container-title":"Climate and Development","id":"ITEM-1","issue":"8","issued":{"date-parts":[["2019"]]},"page":"710-722","publisher":"Taylor &amp; Francis","title":"Climate shock adaptation for Kenyan maize-legume farmers: choice, complementarities and substitutions between strategies","type":"article-journal","volume":"11"},"uris":["http://www.mendeley.com/documents/?uuid=10843f80-9726-45f5-8325-c302644ebeea","http://www.mendeley.com/documents/?uuid=3d11ed1d-7f9f-4524-a08f-ce41c2b53127"]}],"mendeley":{"formattedCitation":"(Tongruksawattana &amp; Wainaina, 2019)","manualFormatting":"(Tongruksawattana and Wainaina, 2019)","plainTextFormattedCitation":"(Tongruksawattana &amp; Wainaina, 2019)","previouslyFormattedCitation":"(Tongruksawattana and Wainaina 2019)"},"properties":{"noteIndex":0},"schema":"https://github.com/citation-style-language/schema/raw/master/csl-citation.json"}</w:instrText>
      </w:r>
      <w:r w:rsidRPr="004B42B5">
        <w:rPr>
          <w:rFonts w:ascii="Arial" w:hAnsi="Arial" w:cs="Arial"/>
        </w:rPr>
        <w:fldChar w:fldCharType="separate"/>
      </w:r>
      <w:r w:rsidRPr="004B42B5">
        <w:rPr>
          <w:rFonts w:ascii="Arial" w:hAnsi="Arial" w:cs="Arial"/>
          <w:noProof/>
        </w:rPr>
        <w:t>(Tongruksawattana and Wainaina, 2019)</w:t>
      </w:r>
      <w:r w:rsidRPr="004B42B5">
        <w:rPr>
          <w:rFonts w:ascii="Arial" w:hAnsi="Arial" w:cs="Arial"/>
        </w:rPr>
        <w:fldChar w:fldCharType="end"/>
      </w:r>
      <w:r w:rsidRPr="004B42B5">
        <w:rPr>
          <w:rFonts w:ascii="Arial" w:hAnsi="Arial" w:cs="Arial"/>
        </w:rPr>
        <w:t xml:space="preserve">. This obstacle can be overcome through development of a locally adapted climate adaptation tool that will help farmers, extension officers and climatologists/meteorologists to forecast extreme weather events. Advancements in provision of weather and climate information provide opportunity to improve the use of weather information in decision making. </w:t>
      </w:r>
      <w:proofErr w:type="gramStart"/>
      <w:r w:rsidRPr="004B42B5">
        <w:rPr>
          <w:rFonts w:ascii="Arial" w:hAnsi="Arial" w:cs="Arial"/>
        </w:rPr>
        <w:t>Therefore</w:t>
      </w:r>
      <w:proofErr w:type="gramEnd"/>
      <w:r w:rsidRPr="004B42B5">
        <w:rPr>
          <w:rFonts w:ascii="Arial" w:hAnsi="Arial" w:cs="Arial"/>
        </w:rPr>
        <w:t xml:space="preserve"> policy makers can use the information to make decisions that can contribute towards enhancing climate change adaptation measures. Scientists therefore can produce information that is fit for purpose and produced in formats that can be integrated in decision making processes </w:t>
      </w:r>
      <w:r w:rsidRPr="004B42B5">
        <w:rPr>
          <w:rFonts w:ascii="Arial" w:hAnsi="Arial" w:cs="Arial"/>
        </w:rPr>
        <w:fldChar w:fldCharType="begin" w:fldLock="1"/>
      </w:r>
      <w:r w:rsidRPr="004B42B5">
        <w:rPr>
          <w:rFonts w:ascii="Arial" w:hAnsi="Arial" w:cs="Arial"/>
        </w:rPr>
        <w:instrText>ADDIN CSL_CITATION {"citationItems":[{"id":"ITEM-1","itemData":{"DOI":"10.1080/17565529.2017.1318744","ISSN":"1756-5529","author":[{"dropping-particle":"","family":"Singh","given":"Chandni","non-dropping-particle":"","parse-names":false,"suffix":""},{"dropping-particle":"","family":"Daron","given":"Joseph","non-dropping-particle":"","parse-names":false,"suffix":""},{"dropping-particle":"","family":"Bazaz","given":"Amir","non-dropping-particle":"","parse-names":false,"suffix":""},{"dropping-particle":"","family":"Ziervogel","given":"Gina","non-dropping-particle":"","parse-names":false,"suffix":""},{"dropping-particle":"","family":"Spear","given":"Dian","non-dropping-particle":"","parse-names":false,"suffix":""},{"dropping-particle":"","family":"Krishnaswamy","given":"Jagdish","non-dropping-particle":"","parse-names":false,"suffix":""},{"dropping-particle":"","family":"Zaroug","given":"Modathir","non-dropping-particle":"","parse-names":false,"suffix":""},{"dropping-particle":"","family":"Kituyi","given":"Evans","non-dropping-particle":"","parse-names":false,"suffix":""},{"dropping-particle":"","family":"Singh","given":"Chandni","non-dropping-particle":"","parse-names":false,"suffix":""},{"dropping-particle":"","family":"Daron","given":"Joseph","non-dropping-particle":"","parse-names":false,"suffix":""},{"dropping-particle":"","family":"Bazaz","given":"Amir","non-dropping-particle":"","parse-names":false,"suffix":""},{"dropping-particle":"","family":"Ziervogel","given":"Gina","non-dropping-particle":"","parse-names":false,"suffix":""},{"dropping-particle":"","family":"Spear","given":"Dian","non-dropping-particle":"","parse-names":false,"suffix":""}],"container-title":"Climate and Development","id":"ITEM-1","issue":"0","issued":{"date-parts":[["2017"]]},"page":"1-17","publisher":"Taylor &amp; Francis","title":"The utility of weather and climate information for adaptation decision-making : current uses and future prospects in Africa and India","type":"article-journal","volume":"0"},"uris":["http://www.mendeley.com/documents/?uuid=ef666b84-00c6-4584-bcaa-0afe5fd4e385","http://www.mendeley.com/documents/?uuid=b97eebaa-1c71-4331-99fd-237d7414e96f"]}],"mendeley":{"formattedCitation":"(C. Singh et al., 2017)","plainTextFormattedCitation":"(C. Singh et al., 2017)","previouslyFormattedCitation":"(Singh et al. 2017)"},"properties":{"noteIndex":0},"schema":"https://github.com/citation-style-language/schema/raw/master/csl-citation.json"}</w:instrText>
      </w:r>
      <w:r w:rsidRPr="004B42B5">
        <w:rPr>
          <w:rFonts w:ascii="Arial" w:hAnsi="Arial" w:cs="Arial"/>
        </w:rPr>
        <w:fldChar w:fldCharType="separate"/>
      </w:r>
      <w:r w:rsidRPr="004B42B5">
        <w:rPr>
          <w:rFonts w:ascii="Arial" w:hAnsi="Arial" w:cs="Arial"/>
          <w:noProof/>
        </w:rPr>
        <w:t>(C. Singh et al., 2017)</w:t>
      </w:r>
      <w:r w:rsidRPr="004B42B5">
        <w:rPr>
          <w:rFonts w:ascii="Arial" w:hAnsi="Arial" w:cs="Arial"/>
        </w:rPr>
        <w:fldChar w:fldCharType="end"/>
      </w:r>
      <w:r w:rsidRPr="004B42B5">
        <w:rPr>
          <w:rFonts w:ascii="Arial" w:hAnsi="Arial" w:cs="Arial"/>
        </w:rPr>
        <w:t xml:space="preserve">. However, lack of reliable historical observations that can be used to understand current climate and to evaluate climate models limits adoption of the use weather forecasts in Africa </w:t>
      </w:r>
      <w:r w:rsidRPr="004B42B5">
        <w:rPr>
          <w:rFonts w:ascii="Arial" w:hAnsi="Arial" w:cs="Arial"/>
        </w:rPr>
        <w:fldChar w:fldCharType="begin" w:fldLock="1"/>
      </w:r>
      <w:r w:rsidRPr="004B42B5">
        <w:rPr>
          <w:rFonts w:ascii="Arial" w:hAnsi="Arial" w:cs="Arial"/>
        </w:rPr>
        <w:instrText>ADDIN CSL_CITATION {"citationItems":[{"id":"ITEM-1","itemData":{"author":[{"dropping-particle":"","family":"Overpeck","given":"Jonathan T","non-dropping-particle":"","parse-names":false,"suffix":""},{"dropping-particle":"","family":"Meehl","given":"Gerald A","non-dropping-particle":"","parse-names":false,"suffix":""},{"dropping-particle":"","family":"Bony","given":"Sandrine","non-dropping-particle":"","parse-names":false,"suffix":""},{"dropping-particle":"","family":"Easterling","given":"David R","non-dropping-particle":"","parse-names":false,"suffix":""}],"id":"ITEM-1","issue":"February","issued":{"date-parts":[["2011"]]},"page":"700-702","title":"in the 21st Century","type":"article-journal","volume":"331"},"uris":["http://www.mendeley.com/documents/?uuid=4952477a-d07e-4b39-b9b7-c4e8dc11aa10","http://www.mendeley.com/documents/?uuid=85d8bf31-c547-47cf-a324-d5d30318cf43"]}],"mendeley":{"formattedCitation":"(Overpeck et al., 2011)","plainTextFormattedCitation":"(Overpeck et al., 2011)","previouslyFormattedCitation":"(Overpeck et al. 2011)"},"properties":{"noteIndex":0},"schema":"https://github.com/citation-style-language/schema/raw/master/csl-citation.json"}</w:instrText>
      </w:r>
      <w:r w:rsidRPr="004B42B5">
        <w:rPr>
          <w:rFonts w:ascii="Arial" w:hAnsi="Arial" w:cs="Arial"/>
        </w:rPr>
        <w:fldChar w:fldCharType="separate"/>
      </w:r>
      <w:r w:rsidRPr="004B42B5">
        <w:rPr>
          <w:rFonts w:ascii="Arial" w:hAnsi="Arial" w:cs="Arial"/>
          <w:noProof/>
        </w:rPr>
        <w:t>(Overpeck et al., 2011)</w:t>
      </w:r>
      <w:r w:rsidRPr="004B42B5">
        <w:rPr>
          <w:rFonts w:ascii="Arial" w:hAnsi="Arial" w:cs="Arial"/>
        </w:rPr>
        <w:fldChar w:fldCharType="end"/>
      </w:r>
      <w:r w:rsidRPr="004B42B5">
        <w:rPr>
          <w:rFonts w:ascii="Arial" w:hAnsi="Arial" w:cs="Arial"/>
        </w:rPr>
        <w:t xml:space="preserve">. Models such as General Circulation Models (GCMs), which is less computationally expensive, can be used. The Intergovernmental Authority on Development Climate Prediction and Applications Climate and Development Centre (ICPAC) is developing sector specific tools for supporting the use of weather and climate information in agriculture and in other sectors </w:t>
      </w:r>
      <w:r w:rsidRPr="004B42B5">
        <w:rPr>
          <w:rFonts w:ascii="Arial" w:hAnsi="Arial" w:cs="Arial"/>
        </w:rPr>
        <w:fldChar w:fldCharType="begin" w:fldLock="1"/>
      </w:r>
      <w:r w:rsidRPr="004B42B5">
        <w:rPr>
          <w:rFonts w:ascii="Arial" w:hAnsi="Arial" w:cs="Arial"/>
        </w:rPr>
        <w:instrText>ADDIN CSL_CITATION {"citationItems":[{"id":"ITEM-1","itemData":{"DOI":"10.1080/17565529.2017.1318744","ISSN":"1756-5529","author":[{"dropping-particle":"","family":"Singh","given":"Chandni","non-dropping-particle":"","parse-names":false,"suffix":""},{"dropping-particle":"","family":"Daron","given":"Joseph","non-dropping-particle":"","parse-names":false,"suffix":""},{"dropping-particle":"","family":"Bazaz","given":"Amir","non-dropping-particle":"","parse-names":false,"suffix":""},{"dropping-particle":"","family":"Ziervogel","given":"Gina","non-dropping-particle":"","parse-names":false,"suffix":""},{"dropping-particle":"","family":"Spear","given":"Dian","non-dropping-particle":"","parse-names":false,"suffix":""},{"dropping-particle":"","family":"Krishnaswamy","given":"Jagdish","non-dropping-particle":"","parse-names":false,"suffix":""},{"dropping-particle":"","family":"Zaroug","given":"Modathir","non-dropping-particle":"","parse-names":false,"suffix":""},{"dropping-particle":"","family":"Kituyi","given":"Evans","non-dropping-particle":"","parse-names":false,"suffix":""},{"dropping-particle":"","family":"Singh","given":"Chandni","non-dropping-particle":"","parse-names":false,"suffix":""},{"dropping-particle":"","family":"Daron","given":"Joseph","non-dropping-particle":"","parse-names":false,"suffix":""},{"dropping-particle":"","family":"Bazaz","given":"Amir","non-dropping-particle":"","parse-names":false,"suffix":""},{"dropping-particle":"","family":"Ziervogel","given":"Gina","non-dropping-particle":"","parse-names":false,"suffix":""},{"dropping-particle":"","family":"Spear","given":"Dian","non-dropping-particle":"","parse-names":false,"suffix":""}],"container-title":"Climate and Development","id":"ITEM-1","issue":"0","issued":{"date-parts":[["2017"]]},"page":"1-17","publisher":"Taylor &amp; Francis","title":"The utility of weather and climate information for adaptation decision-making : current uses and future prospects in Africa and India","type":"article-journal","volume":"0"},"uris":["http://www.mendeley.com/documents/?uuid=b97eebaa-1c71-4331-99fd-237d7414e96f","http://www.mendeley.com/documents/?uuid=ef666b84-00c6-4584-bcaa-0afe5fd4e385"]}],"mendeley":{"formattedCitation":"(C. Singh et al., 2017)","plainTextFormattedCitation":"(C. Singh et al., 2017)","previouslyFormattedCitation":"(Singh et al. 2017)"},"properties":{"noteIndex":0},"schema":"https://github.com/citation-style-language/schema/raw/master/csl-citation.json"}</w:instrText>
      </w:r>
      <w:r w:rsidRPr="004B42B5">
        <w:rPr>
          <w:rFonts w:ascii="Arial" w:hAnsi="Arial" w:cs="Arial"/>
        </w:rPr>
        <w:fldChar w:fldCharType="separate"/>
      </w:r>
      <w:r w:rsidRPr="004B42B5">
        <w:rPr>
          <w:rFonts w:ascii="Arial" w:hAnsi="Arial" w:cs="Arial"/>
          <w:noProof/>
        </w:rPr>
        <w:t>(C. Singh et al., 2017)</w:t>
      </w:r>
      <w:r w:rsidRPr="004B42B5">
        <w:rPr>
          <w:rFonts w:ascii="Arial" w:hAnsi="Arial" w:cs="Arial"/>
        </w:rPr>
        <w:fldChar w:fldCharType="end"/>
      </w:r>
      <w:r w:rsidRPr="004B42B5">
        <w:rPr>
          <w:rFonts w:ascii="Arial" w:hAnsi="Arial" w:cs="Arial"/>
        </w:rPr>
        <w:t xml:space="preserve">. These initiatives coupled with accumulated experiences by farmers over generations, including indications of future drought or good rainfall season or past behavior of different seasons can help to improve seasonal forecast of weather. Their experiences can be integrated in scientific weather forecasts to help farmers to plan for the type of adaptation strategy to employ in that particular season. There is also a need to integrate the weather information in local decision making at all levels. The way it is now, weather information is given in isolation of other factors such as agronomic, economic and social factors </w:t>
      </w:r>
      <w:r w:rsidRPr="004B42B5">
        <w:rPr>
          <w:rFonts w:ascii="Arial" w:hAnsi="Arial" w:cs="Arial"/>
        </w:rPr>
        <w:fldChar w:fldCharType="begin" w:fldLock="1"/>
      </w:r>
      <w:r w:rsidRPr="004B42B5">
        <w:rPr>
          <w:rFonts w:ascii="Arial" w:hAnsi="Arial" w:cs="Arial"/>
        </w:rPr>
        <w:instrText>ADDIN CSL_CITATION {"citationItems":[{"id":"ITEM-1","itemData":{"DOI":"10.1080/17565529.2017.1318744","ISSN":"1756-5529","author":[{"dropping-particle":"","family":"Singh","given":"Chandni","non-dropping-particle":"","parse-names":false,"suffix":""},{"dropping-particle":"","family":"Daron","given":"Joseph","non-dropping-particle":"","parse-names":false,"suffix":""},{"dropping-particle":"","family":"Bazaz","given":"Amir","non-dropping-particle":"","parse-names":false,"suffix":""},{"dropping-particle":"","family":"Ziervogel","given":"Gina","non-dropping-particle":"","parse-names":false,"suffix":""},{"dropping-particle":"","family":"Spear","given":"Dian","non-dropping-particle":"","parse-names":false,"suffix":""},{"dropping-particle":"","family":"Krishnaswamy","given":"Jagdish","non-dropping-particle":"","parse-names":false,"suffix":""},{"dropping-particle":"","family":"Zaroug","given":"Modathir","non-dropping-particle":"","parse-names":false,"suffix":""},{"dropping-particle":"","family":"Kituyi","given":"Evans","non-dropping-particle":"","parse-names":false,"suffix":""},{"dropping-particle":"","family":"Singh","given":"Chandni","non-dropping-particle":"","parse-names":false,"suffix":""},{"dropping-particle":"","family":"Daron","given":"Joseph","non-dropping-particle":"","parse-names":false,"suffix":""},{"dropping-particle":"","family":"Bazaz","given":"Amir","non-dropping-particle":"","parse-names":false,"suffix":""},{"dropping-particle":"","family":"Ziervogel","given":"Gina","non-dropping-particle":"","parse-names":false,"suffix":""},{"dropping-particle":"","family":"Spear","given":"Dian","non-dropping-particle":"","parse-names":false,"suffix":""}],"container-title":"Climate and Development","id":"ITEM-1","issue":"0","issued":{"date-parts":[["2017"]]},"page":"1-17","publisher":"Taylor &amp; Francis","title":"The utility of weather and climate information for adaptation decision-making : current uses and future prospects in Africa and India","type":"article-journal","volume":"0"},"uris":["http://www.mendeley.com/documents/?uuid=b97eebaa-1c71-4331-99fd-237d7414e96f","http://www.mendeley.com/documents/?uuid=ef666b84-00c6-4584-bcaa-0afe5fd4e385"]}],"mendeley":{"formattedCitation":"(C. Singh et al., 2017)","plainTextFormattedCitation":"(C. Singh et al., 2017)","previouslyFormattedCitation":"(Singh et al. 2017)"},"properties":{"noteIndex":0},"schema":"https://github.com/citation-style-language/schema/raw/master/csl-citation.json"}</w:instrText>
      </w:r>
      <w:r w:rsidRPr="004B42B5">
        <w:rPr>
          <w:rFonts w:ascii="Arial" w:hAnsi="Arial" w:cs="Arial"/>
        </w:rPr>
        <w:fldChar w:fldCharType="separate"/>
      </w:r>
      <w:r w:rsidRPr="004B42B5">
        <w:rPr>
          <w:rFonts w:ascii="Arial" w:hAnsi="Arial" w:cs="Arial"/>
          <w:noProof/>
        </w:rPr>
        <w:t>(C. Singh et al., 2017)</w:t>
      </w:r>
      <w:r w:rsidRPr="004B42B5">
        <w:rPr>
          <w:rFonts w:ascii="Arial" w:hAnsi="Arial" w:cs="Arial"/>
        </w:rPr>
        <w:fldChar w:fldCharType="end"/>
      </w:r>
      <w:r w:rsidRPr="004B42B5">
        <w:rPr>
          <w:rFonts w:ascii="Arial" w:hAnsi="Arial" w:cs="Arial"/>
        </w:rPr>
        <w:t xml:space="preserve">.  The tool will help farmers to plan for the right land utilization type that matches the projected weather extreme.  </w:t>
      </w:r>
      <w:proofErr w:type="spellStart"/>
      <w:r w:rsidRPr="004B42B5">
        <w:rPr>
          <w:rFonts w:ascii="Arial" w:hAnsi="Arial" w:cs="Arial"/>
        </w:rPr>
        <w:t>Chiputwa</w:t>
      </w:r>
      <w:proofErr w:type="spellEnd"/>
      <w:r w:rsidRPr="004B42B5">
        <w:rPr>
          <w:rFonts w:ascii="Arial" w:hAnsi="Arial" w:cs="Arial"/>
        </w:rPr>
        <w:t xml:space="preserve"> et al. (2022) reported that farmers who are accessible and utilized weather forecast information in Zambia were able to successfully apply the right climate adaptation measures thereby increasing their crop yields.</w:t>
      </w:r>
    </w:p>
    <w:p w14:paraId="0E5173B5" w14:textId="77777777" w:rsidR="004B42B5" w:rsidRPr="004B42B5" w:rsidRDefault="004B42B5" w:rsidP="004B42B5">
      <w:pPr>
        <w:spacing w:line="240" w:lineRule="auto"/>
        <w:contextualSpacing/>
        <w:jc w:val="both"/>
        <w:rPr>
          <w:rFonts w:ascii="Arial" w:hAnsi="Arial" w:cs="Arial"/>
        </w:rPr>
      </w:pPr>
    </w:p>
    <w:p w14:paraId="65D092F6" w14:textId="77777777" w:rsidR="004B42B5" w:rsidRPr="004B42B5" w:rsidRDefault="004B42B5" w:rsidP="004B42B5">
      <w:pPr>
        <w:pStyle w:val="Heading3"/>
        <w:spacing w:before="0" w:line="240" w:lineRule="auto"/>
        <w:ind w:left="11" w:right="6" w:hanging="11"/>
        <w:contextualSpacing/>
        <w:rPr>
          <w:rFonts w:ascii="Arial" w:hAnsi="Arial" w:cs="Arial"/>
          <w:bCs/>
          <w:iCs/>
          <w:color w:val="auto"/>
          <w:sz w:val="22"/>
          <w:szCs w:val="22"/>
        </w:rPr>
      </w:pPr>
      <w:r w:rsidRPr="004B42B5">
        <w:rPr>
          <w:rFonts w:ascii="Arial" w:hAnsi="Arial" w:cs="Arial"/>
          <w:bCs/>
          <w:iCs/>
          <w:color w:val="auto"/>
          <w:sz w:val="22"/>
          <w:szCs w:val="22"/>
        </w:rPr>
        <w:t>3.3 Farmers Perceptions on the Onset of the Rainfall Fluctuations Versus Rainfall Data</w:t>
      </w:r>
    </w:p>
    <w:p w14:paraId="0DA2C7A7" w14:textId="77777777" w:rsidR="004B42B5" w:rsidRPr="004B42B5" w:rsidRDefault="004B42B5" w:rsidP="004B42B5">
      <w:pPr>
        <w:spacing w:line="240" w:lineRule="auto"/>
        <w:contextualSpacing/>
        <w:jc w:val="both"/>
        <w:rPr>
          <w:rFonts w:ascii="Arial" w:hAnsi="Arial" w:cs="Arial"/>
        </w:rPr>
      </w:pPr>
    </w:p>
    <w:p w14:paraId="38D214CE" w14:textId="77777777" w:rsidR="004B42B5" w:rsidRPr="004B42B5" w:rsidRDefault="004B42B5" w:rsidP="004B42B5">
      <w:pPr>
        <w:spacing w:line="240" w:lineRule="auto"/>
        <w:contextualSpacing/>
        <w:jc w:val="both"/>
        <w:rPr>
          <w:rFonts w:ascii="Arial" w:hAnsi="Arial" w:cs="Arial"/>
        </w:rPr>
      </w:pPr>
      <w:r w:rsidRPr="004B42B5">
        <w:rPr>
          <w:rFonts w:ascii="Arial" w:hAnsi="Arial" w:cs="Arial"/>
        </w:rPr>
        <w:t xml:space="preserve">Farmer’s decision on the type of crops and the adaptation strategies to employ is very much dependent on farmer’s perception on the rainfall pattern </w:t>
      </w:r>
      <w:r w:rsidRPr="004B42B5">
        <w:rPr>
          <w:rFonts w:ascii="Arial" w:hAnsi="Arial" w:cs="Arial"/>
        </w:rPr>
        <w:fldChar w:fldCharType="begin" w:fldLock="1"/>
      </w:r>
      <w:r w:rsidRPr="004B42B5">
        <w:rPr>
          <w:rFonts w:ascii="Arial" w:hAnsi="Arial" w:cs="Arial"/>
        </w:rPr>
        <w:instrText>ADDIN CSL_CITATION {"citationItems":[{"id":"ITEM-1","itemData":{"DOI":"10.1016/j.ecolind.2020.106475","ISSN":"1470160X","abstract":"This paper aims at identifying the key determinants, which influence and motivate farmers to adopt a rational, cost-effective, climate-smart adaptation strategy. Macro data encompasses review of studies using “Scopus database” and Micro data from field survey in dry region of Bundelkhand (Uttar Pradesh), India. Multi-stage sampling technique was adopted to select study sites and respondents. A total of 200 sample households of various land size categories were contacted for collecting data using a well-structured and pre-tested schedule. Study findings revealed that variability in temperature and rainfall has affected adversely to the livelihoods of farmers. Low level of livelihood status, fewer non-farm employment opportunities and low cropped area under irrigation were the main barriers to climate change adaptation. Insurance and credit were the main positive determinants that motivated farmers to adjust farm practices. Early maturing seed varieties and less water consuming crop varieties were the most profitable adaptation strategies. Policy intervention should prioritize eliminating asymmetry in information and communication. Enhancing institutional capacities to forecast weather in small geographic regions accurately and warranting accountability of meteorological department is imperative.","author":[{"dropping-particle":"","family":"Singh","given":"Surendra","non-dropping-particle":"","parse-names":false,"suffix":""}],"container-title":"Ecological Indicators","id":"ITEM-1","issued":{"date-parts":[["2020","9","1"]]},"publisher":"Elsevier B.V.","title":"Farmers’ perception of climate change and adaptation decisions: A micro-level evidence from Bundelkhand Region, India","type":"article-journal","volume":"116"},"uris":["http://www.mendeley.com/documents/?uuid=f0cbf2e8-a5a5-3d03-b38c-f7f3de543dcf"]}],"mendeley":{"formattedCitation":"(S. Singh, 2020a)","manualFormatting":"(Singh, 2020)","plainTextFormattedCitation":"(S. Singh, 2020a)","previouslyFormattedCitation":"(Singh 2020a)"},"properties":{"noteIndex":0},"schema":"https://github.com/citation-style-language/schema/raw/master/csl-citation.json"}</w:instrText>
      </w:r>
      <w:r w:rsidRPr="004B42B5">
        <w:rPr>
          <w:rFonts w:ascii="Arial" w:hAnsi="Arial" w:cs="Arial"/>
        </w:rPr>
        <w:fldChar w:fldCharType="separate"/>
      </w:r>
      <w:r w:rsidRPr="004B42B5">
        <w:rPr>
          <w:rFonts w:ascii="Arial" w:hAnsi="Arial" w:cs="Arial"/>
          <w:noProof/>
        </w:rPr>
        <w:t>(Singh, 2020)</w:t>
      </w:r>
      <w:r w:rsidRPr="004B42B5">
        <w:rPr>
          <w:rFonts w:ascii="Arial" w:hAnsi="Arial" w:cs="Arial"/>
        </w:rPr>
        <w:fldChar w:fldCharType="end"/>
      </w:r>
      <w:r w:rsidRPr="004B42B5">
        <w:rPr>
          <w:rFonts w:ascii="Arial" w:hAnsi="Arial" w:cs="Arial"/>
        </w:rPr>
        <w:t>. This means that if a farmer has perceived that rainfall is declining he/she is likely to adopt measures that will ensure sustained productivity. A rainfall trend in Bagamoyo shows that there is no overall general trend of annual rainfall (</w:t>
      </w:r>
      <w:r w:rsidRPr="004B42B5">
        <w:rPr>
          <w:rFonts w:ascii="Arial" w:hAnsi="Arial" w:cs="Arial"/>
        </w:rPr>
        <w:fldChar w:fldCharType="begin"/>
      </w:r>
      <w:r w:rsidRPr="004B42B5">
        <w:rPr>
          <w:rFonts w:ascii="Arial" w:hAnsi="Arial" w:cs="Arial"/>
        </w:rPr>
        <w:instrText xml:space="preserve"> REF _Ref116890204 \h  \* MERGEFORMAT </w:instrText>
      </w:r>
      <w:r w:rsidRPr="004B42B5">
        <w:rPr>
          <w:rFonts w:ascii="Arial" w:hAnsi="Arial" w:cs="Arial"/>
        </w:rPr>
      </w:r>
      <w:r w:rsidRPr="004B42B5">
        <w:rPr>
          <w:rFonts w:ascii="Arial" w:hAnsi="Arial" w:cs="Arial"/>
        </w:rPr>
        <w:fldChar w:fldCharType="separate"/>
      </w:r>
      <w:r w:rsidRPr="004B42B5">
        <w:rPr>
          <w:rFonts w:ascii="Arial" w:hAnsi="Arial" w:cs="Arial"/>
        </w:rPr>
        <w:t xml:space="preserve">Figure </w:t>
      </w:r>
      <w:r w:rsidRPr="004B42B5">
        <w:rPr>
          <w:rFonts w:ascii="Arial" w:hAnsi="Arial" w:cs="Arial"/>
          <w:noProof/>
        </w:rPr>
        <w:t>2</w:t>
      </w:r>
      <w:r w:rsidRPr="004B42B5">
        <w:rPr>
          <w:rFonts w:ascii="Arial" w:hAnsi="Arial" w:cs="Arial"/>
        </w:rPr>
        <w:fldChar w:fldCharType="end"/>
      </w:r>
      <w:r w:rsidRPr="004B42B5">
        <w:rPr>
          <w:rFonts w:ascii="Arial" w:hAnsi="Arial" w:cs="Arial"/>
        </w:rPr>
        <w:t xml:space="preserve">). </w:t>
      </w:r>
    </w:p>
    <w:p w14:paraId="6E74F315" w14:textId="77777777" w:rsidR="004B42B5" w:rsidRPr="004B42B5" w:rsidRDefault="004B42B5" w:rsidP="004B42B5">
      <w:pPr>
        <w:spacing w:line="240" w:lineRule="auto"/>
        <w:contextualSpacing/>
        <w:jc w:val="both"/>
        <w:rPr>
          <w:rFonts w:ascii="Arial" w:hAnsi="Arial" w:cs="Arial"/>
        </w:rPr>
      </w:pPr>
    </w:p>
    <w:p w14:paraId="179E5B13" w14:textId="77777777" w:rsidR="004B42B5" w:rsidRPr="004B42B5" w:rsidRDefault="004B42B5" w:rsidP="004B42B5">
      <w:pPr>
        <w:spacing w:line="240" w:lineRule="auto"/>
        <w:contextualSpacing/>
        <w:jc w:val="both"/>
        <w:rPr>
          <w:rFonts w:ascii="Arial" w:hAnsi="Arial" w:cs="Arial"/>
        </w:rPr>
      </w:pPr>
      <w:r w:rsidRPr="004B42B5">
        <w:rPr>
          <w:rFonts w:ascii="Arial" w:hAnsi="Arial" w:cs="Arial"/>
          <w:b/>
          <w:noProof/>
        </w:rPr>
        <w:lastRenderedPageBreak/>
        <w:drawing>
          <wp:inline distT="0" distB="0" distL="0" distR="0" wp14:anchorId="30E08B99" wp14:editId="31583F87">
            <wp:extent cx="3249637" cy="1531620"/>
            <wp:effectExtent l="76200" t="76200" r="141605" b="125730"/>
            <wp:docPr id="1" name="Picture 2" descr="C:\Users\user\Desktop\EFRAZI\rainfall file\RAIN 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EFRAZI\rainfall file\RAIN DD.png"/>
                    <pic:cNvPicPr>
                      <a:picLocks noChangeAspect="1" noChangeArrowheads="1"/>
                    </pic:cNvPicPr>
                  </pic:nvPicPr>
                  <pic:blipFill>
                    <a:blip r:embed="rId13" cstate="print"/>
                    <a:srcRect/>
                    <a:stretch>
                      <a:fillRect/>
                    </a:stretch>
                  </pic:blipFill>
                  <pic:spPr bwMode="auto">
                    <a:xfrm>
                      <a:off x="0" y="0"/>
                      <a:ext cx="3249295" cy="153162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118B7DA" w14:textId="77777777" w:rsidR="004B42B5" w:rsidRPr="004B42B5" w:rsidRDefault="004B42B5" w:rsidP="004B42B5">
      <w:pPr>
        <w:pStyle w:val="Caption"/>
        <w:contextualSpacing/>
        <w:rPr>
          <w:rFonts w:ascii="Arial" w:hAnsi="Arial" w:cs="Arial"/>
          <w:b w:val="0"/>
          <w:color w:val="auto"/>
          <w:sz w:val="22"/>
          <w:szCs w:val="22"/>
        </w:rPr>
      </w:pPr>
      <w:r w:rsidRPr="004B42B5">
        <w:rPr>
          <w:rFonts w:ascii="Arial" w:hAnsi="Arial" w:cs="Arial"/>
          <w:b w:val="0"/>
          <w:color w:val="auto"/>
          <w:sz w:val="22"/>
          <w:szCs w:val="22"/>
        </w:rPr>
        <w:t xml:space="preserve">Figure </w:t>
      </w:r>
      <w:r w:rsidRPr="004B42B5">
        <w:rPr>
          <w:rFonts w:ascii="Arial" w:hAnsi="Arial" w:cs="Arial"/>
          <w:b w:val="0"/>
          <w:color w:val="auto"/>
          <w:sz w:val="22"/>
          <w:szCs w:val="22"/>
        </w:rPr>
        <w:fldChar w:fldCharType="begin"/>
      </w:r>
      <w:r w:rsidRPr="004B42B5">
        <w:rPr>
          <w:rFonts w:ascii="Arial" w:hAnsi="Arial" w:cs="Arial"/>
          <w:b w:val="0"/>
          <w:color w:val="auto"/>
          <w:sz w:val="22"/>
          <w:szCs w:val="22"/>
        </w:rPr>
        <w:instrText xml:space="preserve"> SEQ Figure \* ARABIC </w:instrText>
      </w:r>
      <w:r w:rsidRPr="004B42B5">
        <w:rPr>
          <w:rFonts w:ascii="Arial" w:hAnsi="Arial" w:cs="Arial"/>
          <w:b w:val="0"/>
          <w:color w:val="auto"/>
          <w:sz w:val="22"/>
          <w:szCs w:val="22"/>
        </w:rPr>
        <w:fldChar w:fldCharType="separate"/>
      </w:r>
      <w:r w:rsidRPr="004B42B5">
        <w:rPr>
          <w:rFonts w:ascii="Arial" w:hAnsi="Arial" w:cs="Arial"/>
          <w:b w:val="0"/>
          <w:noProof/>
          <w:color w:val="auto"/>
          <w:sz w:val="22"/>
          <w:szCs w:val="22"/>
        </w:rPr>
        <w:t>2</w:t>
      </w:r>
      <w:r w:rsidRPr="004B42B5">
        <w:rPr>
          <w:rFonts w:ascii="Arial" w:hAnsi="Arial" w:cs="Arial"/>
          <w:b w:val="0"/>
          <w:color w:val="auto"/>
          <w:sz w:val="22"/>
          <w:szCs w:val="22"/>
        </w:rPr>
        <w:fldChar w:fldCharType="end"/>
      </w:r>
      <w:r w:rsidRPr="004B42B5">
        <w:rPr>
          <w:rFonts w:ascii="Arial" w:hAnsi="Arial" w:cs="Arial"/>
          <w:b w:val="0"/>
          <w:color w:val="auto"/>
          <w:sz w:val="22"/>
          <w:szCs w:val="22"/>
        </w:rPr>
        <w:t>: Rainfall distribution between year 2000 and 2020</w:t>
      </w:r>
    </w:p>
    <w:p w14:paraId="1C51F8C5" w14:textId="77777777" w:rsidR="004B42B5" w:rsidRPr="004B42B5" w:rsidRDefault="004B42B5" w:rsidP="004B42B5">
      <w:pPr>
        <w:spacing w:line="240" w:lineRule="auto"/>
        <w:contextualSpacing/>
        <w:jc w:val="both"/>
        <w:rPr>
          <w:rFonts w:ascii="Arial" w:hAnsi="Arial" w:cs="Arial"/>
        </w:rPr>
      </w:pPr>
    </w:p>
    <w:p w14:paraId="0FC1577D" w14:textId="77777777" w:rsidR="004B42B5" w:rsidRPr="004B42B5" w:rsidRDefault="004B42B5" w:rsidP="004B42B5">
      <w:pPr>
        <w:spacing w:line="240" w:lineRule="auto"/>
        <w:contextualSpacing/>
        <w:jc w:val="both"/>
        <w:rPr>
          <w:rFonts w:ascii="Arial" w:hAnsi="Arial" w:cs="Arial"/>
        </w:rPr>
      </w:pPr>
      <w:r w:rsidRPr="004B42B5">
        <w:rPr>
          <w:rFonts w:ascii="Arial" w:hAnsi="Arial" w:cs="Arial"/>
        </w:rPr>
        <w:t>For a period between 2000 and 2020, maximum rainfall for Bagamoyo appeared to repeat after 11 years; thus, in 2006 the rainfall amount received was 1400 mm and during 2017 the amount was 1100 mm. The minimum amount of rainfall repeated after 12 years which is 2003 (400 mm) and 2015 (450 mm). It is noted that, as from 2000 to 2020 there has been a general decrease in rainfall amount.</w:t>
      </w:r>
    </w:p>
    <w:p w14:paraId="0746198D" w14:textId="77777777" w:rsidR="004B42B5" w:rsidRPr="004B42B5" w:rsidRDefault="004B42B5" w:rsidP="004B42B5">
      <w:pPr>
        <w:autoSpaceDE w:val="0"/>
        <w:autoSpaceDN w:val="0"/>
        <w:adjustRightInd w:val="0"/>
        <w:spacing w:line="240" w:lineRule="auto"/>
        <w:contextualSpacing/>
        <w:jc w:val="both"/>
        <w:rPr>
          <w:rFonts w:ascii="Arial" w:hAnsi="Arial" w:cs="Arial"/>
        </w:rPr>
      </w:pPr>
      <w:r w:rsidRPr="004B42B5">
        <w:rPr>
          <w:rFonts w:ascii="Arial" w:hAnsi="Arial" w:cs="Arial"/>
        </w:rPr>
        <w:t>Bagamoyo rainfall data for 2000 to 2020 (</w:t>
      </w:r>
      <w:r w:rsidRPr="004B42B5">
        <w:rPr>
          <w:rFonts w:ascii="Arial" w:hAnsi="Arial" w:cs="Arial"/>
        </w:rPr>
        <w:fldChar w:fldCharType="begin"/>
      </w:r>
      <w:r w:rsidRPr="004B42B5">
        <w:rPr>
          <w:rFonts w:ascii="Arial" w:hAnsi="Arial" w:cs="Arial"/>
        </w:rPr>
        <w:instrText xml:space="preserve"> REF _Ref116890204 \h  \* MERGEFORMAT </w:instrText>
      </w:r>
      <w:r w:rsidRPr="004B42B5">
        <w:rPr>
          <w:rFonts w:ascii="Arial" w:hAnsi="Arial" w:cs="Arial"/>
        </w:rPr>
      </w:r>
      <w:r w:rsidRPr="004B42B5">
        <w:rPr>
          <w:rFonts w:ascii="Arial" w:hAnsi="Arial" w:cs="Arial"/>
        </w:rPr>
        <w:fldChar w:fldCharType="separate"/>
      </w:r>
      <w:r w:rsidRPr="004B42B5">
        <w:rPr>
          <w:rFonts w:ascii="Arial" w:hAnsi="Arial" w:cs="Arial"/>
        </w:rPr>
        <w:t xml:space="preserve">Figure </w:t>
      </w:r>
      <w:r w:rsidRPr="004B42B5">
        <w:rPr>
          <w:rFonts w:ascii="Arial" w:hAnsi="Arial" w:cs="Arial"/>
          <w:noProof/>
        </w:rPr>
        <w:t>2</w:t>
      </w:r>
      <w:r w:rsidRPr="004B42B5">
        <w:rPr>
          <w:rFonts w:ascii="Arial" w:hAnsi="Arial" w:cs="Arial"/>
        </w:rPr>
        <w:fldChar w:fldCharType="end"/>
      </w:r>
      <w:r w:rsidRPr="004B42B5">
        <w:rPr>
          <w:rFonts w:ascii="Arial" w:hAnsi="Arial" w:cs="Arial"/>
        </w:rPr>
        <w:t xml:space="preserve">) reveals that the changes in the rainfall patterns persisted since 2000 and probably even before. The maximum reported amount of rainfall was slightly higher than 1400 and the lowest was 400 mm. No consecutive years that received the rainfall amounts that are close to the preceding/ following year. This shows that the adaptation measures employed in a particular year/season may not work in the following year/ season.  This phenomenon </w:t>
      </w:r>
    </w:p>
    <w:p w14:paraId="274EE01C" w14:textId="77777777" w:rsidR="004B42B5" w:rsidRPr="004B42B5" w:rsidRDefault="004B42B5" w:rsidP="004B42B5">
      <w:pPr>
        <w:autoSpaceDE w:val="0"/>
        <w:autoSpaceDN w:val="0"/>
        <w:adjustRightInd w:val="0"/>
        <w:spacing w:line="240" w:lineRule="auto"/>
        <w:contextualSpacing/>
        <w:jc w:val="both"/>
        <w:rPr>
          <w:rFonts w:ascii="Arial" w:hAnsi="Arial" w:cs="Arial"/>
        </w:rPr>
      </w:pPr>
    </w:p>
    <w:p w14:paraId="17F85A41" w14:textId="77777777" w:rsidR="004B42B5" w:rsidRPr="004B42B5" w:rsidRDefault="004B42B5" w:rsidP="004B42B5">
      <w:pPr>
        <w:autoSpaceDE w:val="0"/>
        <w:autoSpaceDN w:val="0"/>
        <w:adjustRightInd w:val="0"/>
        <w:spacing w:line="240" w:lineRule="auto"/>
        <w:contextualSpacing/>
        <w:jc w:val="both"/>
        <w:rPr>
          <w:rFonts w:ascii="Arial" w:hAnsi="Arial" w:cs="Arial"/>
        </w:rPr>
      </w:pPr>
      <w:r w:rsidRPr="004B42B5">
        <w:rPr>
          <w:rFonts w:ascii="Arial" w:hAnsi="Arial" w:cs="Arial"/>
        </w:rPr>
        <w:t xml:space="preserve">confuses farmers and makes it difficult to employ the same adaptation measures for more than one growing season/year.  </w:t>
      </w:r>
    </w:p>
    <w:p w14:paraId="2DAB3F6A" w14:textId="77777777" w:rsidR="004B42B5" w:rsidRPr="004B42B5" w:rsidRDefault="004B42B5" w:rsidP="004B42B5">
      <w:pPr>
        <w:autoSpaceDE w:val="0"/>
        <w:autoSpaceDN w:val="0"/>
        <w:adjustRightInd w:val="0"/>
        <w:spacing w:line="240" w:lineRule="auto"/>
        <w:contextualSpacing/>
        <w:jc w:val="both"/>
        <w:rPr>
          <w:rFonts w:ascii="Arial" w:hAnsi="Arial" w:cs="Arial"/>
        </w:rPr>
      </w:pPr>
      <w:r w:rsidRPr="004B42B5">
        <w:rPr>
          <w:rFonts w:ascii="Arial" w:hAnsi="Arial" w:cs="Arial"/>
        </w:rPr>
        <w:t>Comparing the rainfall data and the farmer’s perception on when the changes on the rainfall pattern started, it is clear that most farmers felt the changes in rainfall pattern when it already occurred long time ago. Only a few (5%), especially those aged between 55 and 66 had observed rainfall fluctuations for 16 years or longer (</w:t>
      </w:r>
      <w:r w:rsidRPr="004B42B5">
        <w:rPr>
          <w:rFonts w:ascii="Arial" w:hAnsi="Arial" w:cs="Arial"/>
        </w:rPr>
        <w:fldChar w:fldCharType="begin"/>
      </w:r>
      <w:r w:rsidRPr="004B42B5">
        <w:rPr>
          <w:rFonts w:ascii="Arial" w:hAnsi="Arial" w:cs="Arial"/>
        </w:rPr>
        <w:instrText xml:space="preserve"> REF _Ref116889891 \h  \* MERGEFORMAT </w:instrText>
      </w:r>
      <w:r w:rsidRPr="004B42B5">
        <w:rPr>
          <w:rFonts w:ascii="Arial" w:hAnsi="Arial" w:cs="Arial"/>
        </w:rPr>
      </w:r>
      <w:r w:rsidRPr="004B42B5">
        <w:rPr>
          <w:rFonts w:ascii="Arial" w:hAnsi="Arial" w:cs="Arial"/>
        </w:rPr>
        <w:fldChar w:fldCharType="separate"/>
      </w:r>
      <w:r w:rsidRPr="004B42B5">
        <w:rPr>
          <w:rFonts w:ascii="Arial" w:hAnsi="Arial" w:cs="Arial"/>
        </w:rPr>
        <w:t>Table 3</w:t>
      </w:r>
      <w:r w:rsidRPr="004B42B5">
        <w:rPr>
          <w:rFonts w:ascii="Arial" w:hAnsi="Arial" w:cs="Arial"/>
        </w:rPr>
        <w:fldChar w:fldCharType="end"/>
      </w:r>
      <w:r w:rsidRPr="004B42B5">
        <w:rPr>
          <w:rFonts w:ascii="Arial" w:hAnsi="Arial" w:cs="Arial"/>
        </w:rPr>
        <w:t xml:space="preserve">). </w:t>
      </w:r>
    </w:p>
    <w:p w14:paraId="1DAC8A25" w14:textId="77777777" w:rsidR="004B42B5" w:rsidRPr="004B42B5" w:rsidRDefault="004B42B5" w:rsidP="004B42B5">
      <w:pPr>
        <w:autoSpaceDE w:val="0"/>
        <w:autoSpaceDN w:val="0"/>
        <w:adjustRightInd w:val="0"/>
        <w:spacing w:line="240" w:lineRule="auto"/>
        <w:contextualSpacing/>
        <w:jc w:val="both"/>
        <w:rPr>
          <w:rFonts w:ascii="Arial" w:hAnsi="Arial" w:cs="Arial"/>
        </w:rPr>
      </w:pPr>
    </w:p>
    <w:p w14:paraId="7F3C6F99" w14:textId="77777777" w:rsidR="004B42B5" w:rsidRPr="004B42B5" w:rsidRDefault="004B42B5" w:rsidP="004B42B5">
      <w:pPr>
        <w:autoSpaceDE w:val="0"/>
        <w:autoSpaceDN w:val="0"/>
        <w:adjustRightInd w:val="0"/>
        <w:spacing w:line="240" w:lineRule="auto"/>
        <w:contextualSpacing/>
        <w:jc w:val="both"/>
        <w:rPr>
          <w:rFonts w:ascii="Arial" w:hAnsi="Arial" w:cs="Arial"/>
        </w:rPr>
      </w:pPr>
      <w:r w:rsidRPr="004B42B5">
        <w:rPr>
          <w:rFonts w:ascii="Arial" w:hAnsi="Arial" w:cs="Arial"/>
          <w:b/>
        </w:rPr>
        <w:t xml:space="preserve">Table </w:t>
      </w:r>
      <w:r w:rsidRPr="004B42B5">
        <w:rPr>
          <w:rFonts w:ascii="Arial" w:hAnsi="Arial" w:cs="Arial"/>
          <w:b/>
        </w:rPr>
        <w:fldChar w:fldCharType="begin"/>
      </w:r>
      <w:r w:rsidRPr="004B42B5">
        <w:rPr>
          <w:rFonts w:ascii="Arial" w:hAnsi="Arial" w:cs="Arial"/>
          <w:b/>
        </w:rPr>
        <w:instrText xml:space="preserve"> SEQ Table \* ARABIC </w:instrText>
      </w:r>
      <w:r w:rsidRPr="004B42B5">
        <w:rPr>
          <w:rFonts w:ascii="Arial" w:hAnsi="Arial" w:cs="Arial"/>
          <w:b/>
        </w:rPr>
        <w:fldChar w:fldCharType="separate"/>
      </w:r>
      <w:r w:rsidRPr="004B42B5">
        <w:rPr>
          <w:rFonts w:ascii="Arial" w:hAnsi="Arial" w:cs="Arial"/>
          <w:b/>
          <w:noProof/>
        </w:rPr>
        <w:t>3</w:t>
      </w:r>
      <w:r w:rsidRPr="004B42B5">
        <w:rPr>
          <w:rFonts w:ascii="Arial" w:hAnsi="Arial" w:cs="Arial"/>
          <w:b/>
        </w:rPr>
        <w:fldChar w:fldCharType="end"/>
      </w:r>
      <w:r w:rsidRPr="004B42B5">
        <w:rPr>
          <w:rFonts w:ascii="Arial" w:hAnsi="Arial" w:cs="Arial"/>
          <w:b/>
        </w:rPr>
        <w:t>: Years farmers started observing changes in rainfall patterns against age groups</w:t>
      </w:r>
    </w:p>
    <w:p w14:paraId="4C924FB2" w14:textId="77777777" w:rsidR="004B42B5" w:rsidRPr="004B42B5" w:rsidRDefault="004B42B5" w:rsidP="004B42B5">
      <w:pPr>
        <w:spacing w:after="0" w:line="240" w:lineRule="auto"/>
        <w:rPr>
          <w:rFonts w:ascii="Arial" w:hAnsi="Arial" w:cs="Arial"/>
        </w:rPr>
        <w:sectPr w:rsidR="004B42B5" w:rsidRPr="004B42B5" w:rsidSect="004B42B5">
          <w:type w:val="continuous"/>
          <w:pgSz w:w="12240" w:h="15840"/>
          <w:pgMar w:top="1440" w:right="1440" w:bottom="1440" w:left="1440" w:header="720" w:footer="720" w:gutter="0"/>
          <w:cols w:space="720"/>
        </w:sectPr>
      </w:pPr>
    </w:p>
    <w:tbl>
      <w:tblPr>
        <w:tblW w:w="97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4678"/>
        <w:gridCol w:w="37"/>
        <w:gridCol w:w="973"/>
        <w:gridCol w:w="37"/>
        <w:gridCol w:w="972"/>
        <w:gridCol w:w="37"/>
        <w:gridCol w:w="972"/>
        <w:gridCol w:w="37"/>
        <w:gridCol w:w="972"/>
        <w:gridCol w:w="37"/>
        <w:gridCol w:w="972"/>
        <w:gridCol w:w="37"/>
      </w:tblGrid>
      <w:tr w:rsidR="004B42B5" w:rsidRPr="004B42B5" w14:paraId="28C950C6" w14:textId="77777777" w:rsidTr="00A040E4">
        <w:trPr>
          <w:gridAfter w:val="1"/>
          <w:wAfter w:w="37" w:type="dxa"/>
          <w:cantSplit/>
        </w:trPr>
        <w:tc>
          <w:tcPr>
            <w:tcW w:w="4678" w:type="dxa"/>
            <w:vMerge w:val="restart"/>
            <w:tcBorders>
              <w:top w:val="single" w:sz="4" w:space="0" w:color="auto"/>
              <w:left w:val="nil"/>
              <w:bottom w:val="single" w:sz="4" w:space="0" w:color="auto"/>
              <w:right w:val="nil"/>
            </w:tcBorders>
            <w:shd w:val="clear" w:color="auto" w:fill="FFFFFF"/>
            <w:hideMark/>
          </w:tcPr>
          <w:p w14:paraId="2408371B" w14:textId="77777777" w:rsidR="004B42B5" w:rsidRPr="004B42B5" w:rsidRDefault="004B42B5" w:rsidP="00A040E4">
            <w:pPr>
              <w:autoSpaceDE w:val="0"/>
              <w:autoSpaceDN w:val="0"/>
              <w:adjustRightInd w:val="0"/>
              <w:spacing w:after="0" w:line="240" w:lineRule="auto"/>
              <w:ind w:left="60" w:right="60"/>
              <w:contextualSpacing/>
              <w:rPr>
                <w:rFonts w:ascii="Arial" w:hAnsi="Arial" w:cs="Arial"/>
              </w:rPr>
            </w:pPr>
            <w:r w:rsidRPr="004B42B5">
              <w:rPr>
                <w:rFonts w:ascii="Arial" w:hAnsi="Arial" w:cs="Arial"/>
              </w:rPr>
              <w:t xml:space="preserve">Time changes in </w:t>
            </w:r>
          </w:p>
          <w:p w14:paraId="6A36DFAC" w14:textId="77777777" w:rsidR="004B42B5" w:rsidRPr="004B42B5" w:rsidRDefault="004B42B5" w:rsidP="00A040E4">
            <w:pPr>
              <w:autoSpaceDE w:val="0"/>
              <w:autoSpaceDN w:val="0"/>
              <w:adjustRightInd w:val="0"/>
              <w:spacing w:after="0" w:line="240" w:lineRule="auto"/>
              <w:ind w:left="60" w:right="60"/>
              <w:contextualSpacing/>
              <w:rPr>
                <w:rFonts w:ascii="Arial" w:hAnsi="Arial" w:cs="Arial"/>
              </w:rPr>
            </w:pPr>
            <w:r w:rsidRPr="004B42B5">
              <w:rPr>
                <w:rFonts w:ascii="Arial" w:hAnsi="Arial" w:cs="Arial"/>
              </w:rPr>
              <w:t>rainfall</w:t>
            </w:r>
          </w:p>
          <w:p w14:paraId="562FB3A8" w14:textId="77777777" w:rsidR="004B42B5" w:rsidRPr="004B42B5" w:rsidRDefault="004B42B5" w:rsidP="00A040E4">
            <w:pPr>
              <w:autoSpaceDE w:val="0"/>
              <w:autoSpaceDN w:val="0"/>
              <w:adjustRightInd w:val="0"/>
              <w:spacing w:after="0" w:line="240" w:lineRule="auto"/>
              <w:ind w:left="60" w:right="60"/>
              <w:contextualSpacing/>
              <w:rPr>
                <w:rFonts w:ascii="Arial" w:hAnsi="Arial" w:cs="Arial"/>
              </w:rPr>
            </w:pPr>
            <w:r w:rsidRPr="004B42B5">
              <w:rPr>
                <w:rFonts w:ascii="Arial" w:hAnsi="Arial" w:cs="Arial"/>
              </w:rPr>
              <w:t>pattern observed</w:t>
            </w:r>
          </w:p>
          <w:p w14:paraId="7F0C1CA1" w14:textId="77777777" w:rsidR="004B42B5" w:rsidRPr="004B42B5" w:rsidRDefault="004B42B5" w:rsidP="00A040E4">
            <w:pPr>
              <w:autoSpaceDE w:val="0"/>
              <w:autoSpaceDN w:val="0"/>
              <w:adjustRightInd w:val="0"/>
              <w:spacing w:after="0" w:line="240" w:lineRule="auto"/>
              <w:ind w:left="60" w:right="60"/>
              <w:contextualSpacing/>
              <w:rPr>
                <w:rFonts w:ascii="Arial" w:hAnsi="Arial" w:cs="Arial"/>
              </w:rPr>
            </w:pPr>
            <w:r w:rsidRPr="004B42B5">
              <w:rPr>
                <w:rFonts w:ascii="Arial" w:hAnsi="Arial" w:cs="Arial"/>
              </w:rPr>
              <w:t xml:space="preserve"> (years ago)</w:t>
            </w:r>
          </w:p>
        </w:tc>
        <w:tc>
          <w:tcPr>
            <w:tcW w:w="4037" w:type="dxa"/>
            <w:gridSpan w:val="8"/>
            <w:tcBorders>
              <w:top w:val="single" w:sz="4" w:space="0" w:color="auto"/>
              <w:left w:val="nil"/>
              <w:bottom w:val="single" w:sz="4" w:space="0" w:color="auto"/>
              <w:right w:val="nil"/>
            </w:tcBorders>
            <w:shd w:val="clear" w:color="auto" w:fill="FFFFFF"/>
            <w:hideMark/>
          </w:tcPr>
          <w:p w14:paraId="0EB33C36" w14:textId="77777777" w:rsidR="004B42B5" w:rsidRPr="004B42B5" w:rsidRDefault="004B42B5" w:rsidP="00A040E4">
            <w:pPr>
              <w:autoSpaceDE w:val="0"/>
              <w:autoSpaceDN w:val="0"/>
              <w:adjustRightInd w:val="0"/>
              <w:spacing w:after="0" w:line="240" w:lineRule="auto"/>
              <w:ind w:left="60" w:right="60"/>
              <w:contextualSpacing/>
              <w:rPr>
                <w:rFonts w:ascii="Arial" w:hAnsi="Arial" w:cs="Arial"/>
              </w:rPr>
            </w:pPr>
            <w:r w:rsidRPr="004B42B5">
              <w:rPr>
                <w:rFonts w:ascii="Arial" w:hAnsi="Arial" w:cs="Arial"/>
              </w:rPr>
              <w:t>Age group (years)</w:t>
            </w:r>
          </w:p>
        </w:tc>
        <w:tc>
          <w:tcPr>
            <w:tcW w:w="1009" w:type="dxa"/>
            <w:gridSpan w:val="2"/>
            <w:vMerge w:val="restart"/>
            <w:tcBorders>
              <w:top w:val="single" w:sz="4" w:space="0" w:color="auto"/>
              <w:left w:val="nil"/>
              <w:bottom w:val="single" w:sz="4" w:space="0" w:color="auto"/>
              <w:right w:val="nil"/>
            </w:tcBorders>
            <w:shd w:val="clear" w:color="auto" w:fill="FFFFFF"/>
            <w:hideMark/>
          </w:tcPr>
          <w:p w14:paraId="0D199081" w14:textId="77777777" w:rsidR="004B42B5" w:rsidRPr="004B42B5" w:rsidRDefault="004B42B5" w:rsidP="00A040E4">
            <w:pPr>
              <w:autoSpaceDE w:val="0"/>
              <w:autoSpaceDN w:val="0"/>
              <w:adjustRightInd w:val="0"/>
              <w:spacing w:after="0" w:line="240" w:lineRule="auto"/>
              <w:ind w:left="60" w:right="60"/>
              <w:contextualSpacing/>
              <w:rPr>
                <w:rFonts w:ascii="Arial" w:hAnsi="Arial" w:cs="Arial"/>
              </w:rPr>
            </w:pPr>
            <w:r w:rsidRPr="004B42B5">
              <w:rPr>
                <w:rFonts w:ascii="Arial" w:hAnsi="Arial" w:cs="Arial"/>
              </w:rPr>
              <w:t>Total</w:t>
            </w:r>
          </w:p>
        </w:tc>
      </w:tr>
      <w:tr w:rsidR="004B42B5" w:rsidRPr="004B42B5" w14:paraId="52080C4F" w14:textId="77777777" w:rsidTr="00A040E4">
        <w:trPr>
          <w:gridAfter w:val="1"/>
          <w:wAfter w:w="37" w:type="dxa"/>
          <w:cantSplit/>
        </w:trPr>
        <w:tc>
          <w:tcPr>
            <w:tcW w:w="0" w:type="auto"/>
            <w:vMerge/>
            <w:tcBorders>
              <w:top w:val="single" w:sz="4" w:space="0" w:color="auto"/>
              <w:left w:val="nil"/>
              <w:bottom w:val="single" w:sz="4" w:space="0" w:color="auto"/>
              <w:right w:val="nil"/>
            </w:tcBorders>
            <w:vAlign w:val="center"/>
            <w:hideMark/>
          </w:tcPr>
          <w:p w14:paraId="4E2C8057" w14:textId="77777777" w:rsidR="004B42B5" w:rsidRPr="004B42B5" w:rsidRDefault="004B42B5" w:rsidP="00A040E4">
            <w:pPr>
              <w:spacing w:after="0"/>
              <w:rPr>
                <w:rFonts w:ascii="Arial" w:hAnsi="Arial" w:cs="Arial"/>
              </w:rPr>
            </w:pPr>
          </w:p>
        </w:tc>
        <w:tc>
          <w:tcPr>
            <w:tcW w:w="1010" w:type="dxa"/>
            <w:gridSpan w:val="2"/>
            <w:tcBorders>
              <w:top w:val="single" w:sz="4" w:space="0" w:color="auto"/>
              <w:left w:val="nil"/>
              <w:bottom w:val="single" w:sz="4" w:space="0" w:color="auto"/>
              <w:right w:val="nil"/>
            </w:tcBorders>
            <w:shd w:val="clear" w:color="auto" w:fill="FFFFFF"/>
            <w:hideMark/>
          </w:tcPr>
          <w:p w14:paraId="1C445D3A" w14:textId="77777777" w:rsidR="004B42B5" w:rsidRPr="004B42B5" w:rsidRDefault="004B42B5" w:rsidP="00A040E4">
            <w:pPr>
              <w:autoSpaceDE w:val="0"/>
              <w:autoSpaceDN w:val="0"/>
              <w:adjustRightInd w:val="0"/>
              <w:spacing w:after="0" w:line="240" w:lineRule="auto"/>
              <w:ind w:left="60" w:right="60"/>
              <w:contextualSpacing/>
              <w:rPr>
                <w:rFonts w:ascii="Arial" w:hAnsi="Arial" w:cs="Arial"/>
              </w:rPr>
            </w:pPr>
            <w:r w:rsidRPr="004B42B5">
              <w:rPr>
                <w:rFonts w:ascii="Arial" w:hAnsi="Arial" w:cs="Arial"/>
              </w:rPr>
              <w:t>34-44</w:t>
            </w:r>
          </w:p>
        </w:tc>
        <w:tc>
          <w:tcPr>
            <w:tcW w:w="1009" w:type="dxa"/>
            <w:gridSpan w:val="2"/>
            <w:tcBorders>
              <w:top w:val="single" w:sz="4" w:space="0" w:color="auto"/>
              <w:left w:val="nil"/>
              <w:bottom w:val="single" w:sz="4" w:space="0" w:color="auto"/>
              <w:right w:val="nil"/>
            </w:tcBorders>
            <w:shd w:val="clear" w:color="auto" w:fill="FFFFFF"/>
            <w:hideMark/>
          </w:tcPr>
          <w:p w14:paraId="05B948D3" w14:textId="77777777" w:rsidR="004B42B5" w:rsidRPr="004B42B5" w:rsidRDefault="004B42B5" w:rsidP="00A040E4">
            <w:pPr>
              <w:autoSpaceDE w:val="0"/>
              <w:autoSpaceDN w:val="0"/>
              <w:adjustRightInd w:val="0"/>
              <w:spacing w:after="0" w:line="240" w:lineRule="auto"/>
              <w:ind w:left="60" w:right="60"/>
              <w:contextualSpacing/>
              <w:rPr>
                <w:rFonts w:ascii="Arial" w:hAnsi="Arial" w:cs="Arial"/>
              </w:rPr>
            </w:pPr>
            <w:r w:rsidRPr="004B42B5">
              <w:rPr>
                <w:rFonts w:ascii="Arial" w:hAnsi="Arial" w:cs="Arial"/>
              </w:rPr>
              <w:t>45-55</w:t>
            </w:r>
          </w:p>
        </w:tc>
        <w:tc>
          <w:tcPr>
            <w:tcW w:w="1009" w:type="dxa"/>
            <w:gridSpan w:val="2"/>
            <w:tcBorders>
              <w:top w:val="single" w:sz="4" w:space="0" w:color="auto"/>
              <w:left w:val="nil"/>
              <w:bottom w:val="single" w:sz="4" w:space="0" w:color="auto"/>
              <w:right w:val="nil"/>
            </w:tcBorders>
            <w:shd w:val="clear" w:color="auto" w:fill="FFFFFF"/>
            <w:hideMark/>
          </w:tcPr>
          <w:p w14:paraId="302B7675" w14:textId="77777777" w:rsidR="004B42B5" w:rsidRPr="004B42B5" w:rsidRDefault="004B42B5" w:rsidP="00A040E4">
            <w:pPr>
              <w:autoSpaceDE w:val="0"/>
              <w:autoSpaceDN w:val="0"/>
              <w:adjustRightInd w:val="0"/>
              <w:spacing w:after="0" w:line="240" w:lineRule="auto"/>
              <w:ind w:left="60" w:right="60"/>
              <w:contextualSpacing/>
              <w:rPr>
                <w:rFonts w:ascii="Arial" w:hAnsi="Arial" w:cs="Arial"/>
              </w:rPr>
            </w:pPr>
            <w:r w:rsidRPr="004B42B5">
              <w:rPr>
                <w:rFonts w:ascii="Arial" w:hAnsi="Arial" w:cs="Arial"/>
              </w:rPr>
              <w:t>56-66</w:t>
            </w:r>
          </w:p>
        </w:tc>
        <w:tc>
          <w:tcPr>
            <w:tcW w:w="1009" w:type="dxa"/>
            <w:gridSpan w:val="2"/>
            <w:tcBorders>
              <w:top w:val="single" w:sz="4" w:space="0" w:color="auto"/>
              <w:left w:val="nil"/>
              <w:bottom w:val="single" w:sz="4" w:space="0" w:color="auto"/>
              <w:right w:val="nil"/>
            </w:tcBorders>
            <w:shd w:val="clear" w:color="auto" w:fill="FFFFFF"/>
            <w:hideMark/>
          </w:tcPr>
          <w:p w14:paraId="0E6C3C00" w14:textId="77777777" w:rsidR="004B42B5" w:rsidRPr="004B42B5" w:rsidRDefault="004B42B5" w:rsidP="00A040E4">
            <w:pPr>
              <w:autoSpaceDE w:val="0"/>
              <w:autoSpaceDN w:val="0"/>
              <w:adjustRightInd w:val="0"/>
              <w:spacing w:after="0" w:line="240" w:lineRule="auto"/>
              <w:ind w:left="60" w:right="60"/>
              <w:contextualSpacing/>
              <w:rPr>
                <w:rFonts w:ascii="Arial" w:hAnsi="Arial" w:cs="Arial"/>
              </w:rPr>
            </w:pPr>
            <w:r w:rsidRPr="004B42B5">
              <w:rPr>
                <w:rFonts w:ascii="Arial" w:hAnsi="Arial" w:cs="Arial"/>
              </w:rPr>
              <w:t>67-77</w:t>
            </w:r>
          </w:p>
        </w:tc>
        <w:tc>
          <w:tcPr>
            <w:tcW w:w="0" w:type="auto"/>
            <w:gridSpan w:val="2"/>
            <w:vMerge/>
            <w:tcBorders>
              <w:top w:val="single" w:sz="4" w:space="0" w:color="auto"/>
              <w:left w:val="nil"/>
              <w:bottom w:val="single" w:sz="4" w:space="0" w:color="auto"/>
              <w:right w:val="nil"/>
            </w:tcBorders>
            <w:vAlign w:val="center"/>
            <w:hideMark/>
          </w:tcPr>
          <w:p w14:paraId="69468924" w14:textId="77777777" w:rsidR="004B42B5" w:rsidRPr="004B42B5" w:rsidRDefault="004B42B5" w:rsidP="00A040E4">
            <w:pPr>
              <w:spacing w:after="0"/>
              <w:rPr>
                <w:rFonts w:ascii="Arial" w:hAnsi="Arial" w:cs="Arial"/>
              </w:rPr>
            </w:pPr>
          </w:p>
        </w:tc>
      </w:tr>
      <w:tr w:rsidR="004B42B5" w:rsidRPr="004B42B5" w14:paraId="14A6C7C9" w14:textId="77777777" w:rsidTr="00A040E4">
        <w:trPr>
          <w:cantSplit/>
        </w:trPr>
        <w:tc>
          <w:tcPr>
            <w:tcW w:w="4678" w:type="dxa"/>
            <w:vMerge w:val="restart"/>
            <w:tcBorders>
              <w:top w:val="nil"/>
              <w:left w:val="nil"/>
              <w:bottom w:val="nil"/>
              <w:right w:val="nil"/>
            </w:tcBorders>
            <w:shd w:val="clear" w:color="auto" w:fill="FFFFFF"/>
            <w:vAlign w:val="center"/>
            <w:hideMark/>
          </w:tcPr>
          <w:p w14:paraId="19CD1190" w14:textId="77777777" w:rsidR="004B42B5" w:rsidRPr="004B42B5" w:rsidRDefault="004B42B5" w:rsidP="00A040E4">
            <w:pPr>
              <w:autoSpaceDE w:val="0"/>
              <w:autoSpaceDN w:val="0"/>
              <w:adjustRightInd w:val="0"/>
              <w:spacing w:after="0" w:line="240" w:lineRule="auto"/>
              <w:ind w:right="60"/>
              <w:contextualSpacing/>
              <w:rPr>
                <w:rFonts w:ascii="Arial" w:hAnsi="Arial" w:cs="Arial"/>
              </w:rPr>
            </w:pPr>
            <w:r w:rsidRPr="004B42B5">
              <w:rPr>
                <w:rFonts w:ascii="Arial" w:hAnsi="Arial" w:cs="Arial"/>
              </w:rPr>
              <w:t xml:space="preserve">  6-10</w:t>
            </w:r>
          </w:p>
          <w:p w14:paraId="6B277323" w14:textId="77777777" w:rsidR="004B42B5" w:rsidRPr="004B42B5" w:rsidRDefault="004B42B5" w:rsidP="00A040E4">
            <w:pPr>
              <w:autoSpaceDE w:val="0"/>
              <w:autoSpaceDN w:val="0"/>
              <w:adjustRightInd w:val="0"/>
              <w:spacing w:after="0" w:line="240" w:lineRule="auto"/>
              <w:ind w:right="60"/>
              <w:contextualSpacing/>
              <w:rPr>
                <w:rFonts w:ascii="Arial" w:hAnsi="Arial" w:cs="Arial"/>
              </w:rPr>
            </w:pPr>
            <w:r w:rsidRPr="004B42B5">
              <w:rPr>
                <w:rFonts w:ascii="Arial" w:hAnsi="Arial" w:cs="Arial"/>
              </w:rPr>
              <w:t xml:space="preserve">  11-15</w:t>
            </w:r>
          </w:p>
          <w:p w14:paraId="6378FDE6" w14:textId="77777777" w:rsidR="004B42B5" w:rsidRPr="004B42B5" w:rsidRDefault="004B42B5" w:rsidP="00A040E4">
            <w:pPr>
              <w:autoSpaceDE w:val="0"/>
              <w:autoSpaceDN w:val="0"/>
              <w:adjustRightInd w:val="0"/>
              <w:spacing w:after="0" w:line="240" w:lineRule="auto"/>
              <w:ind w:right="60"/>
              <w:contextualSpacing/>
              <w:rPr>
                <w:rFonts w:ascii="Arial" w:hAnsi="Arial" w:cs="Arial"/>
              </w:rPr>
            </w:pPr>
            <w:r w:rsidRPr="004B42B5">
              <w:rPr>
                <w:rFonts w:ascii="Arial" w:hAnsi="Arial" w:cs="Arial"/>
              </w:rPr>
              <w:t xml:space="preserve">  16+</w:t>
            </w:r>
          </w:p>
        </w:tc>
        <w:tc>
          <w:tcPr>
            <w:tcW w:w="37" w:type="dxa"/>
            <w:tcBorders>
              <w:top w:val="nil"/>
              <w:left w:val="nil"/>
              <w:bottom w:val="nil"/>
              <w:right w:val="nil"/>
            </w:tcBorders>
            <w:shd w:val="clear" w:color="auto" w:fill="FFFFFF"/>
            <w:vAlign w:val="center"/>
          </w:tcPr>
          <w:p w14:paraId="33B147E2" w14:textId="77777777" w:rsidR="004B42B5" w:rsidRPr="004B42B5" w:rsidRDefault="004B42B5" w:rsidP="00A040E4">
            <w:pPr>
              <w:autoSpaceDE w:val="0"/>
              <w:autoSpaceDN w:val="0"/>
              <w:adjustRightInd w:val="0"/>
              <w:spacing w:after="0" w:line="240" w:lineRule="auto"/>
              <w:ind w:right="60"/>
              <w:contextualSpacing/>
              <w:rPr>
                <w:rFonts w:ascii="Arial" w:hAnsi="Arial" w:cs="Arial"/>
              </w:rPr>
            </w:pPr>
          </w:p>
        </w:tc>
        <w:tc>
          <w:tcPr>
            <w:tcW w:w="1010" w:type="dxa"/>
            <w:gridSpan w:val="2"/>
            <w:tcBorders>
              <w:top w:val="single" w:sz="4" w:space="0" w:color="auto"/>
              <w:left w:val="nil"/>
              <w:bottom w:val="nil"/>
              <w:right w:val="nil"/>
            </w:tcBorders>
            <w:shd w:val="clear" w:color="auto" w:fill="FFFFFF"/>
            <w:vAlign w:val="center"/>
            <w:hideMark/>
          </w:tcPr>
          <w:p w14:paraId="331F6F16" w14:textId="77777777" w:rsidR="004B42B5" w:rsidRPr="004B42B5" w:rsidRDefault="004B42B5" w:rsidP="00A040E4">
            <w:pPr>
              <w:autoSpaceDE w:val="0"/>
              <w:autoSpaceDN w:val="0"/>
              <w:adjustRightInd w:val="0"/>
              <w:spacing w:after="0" w:line="240" w:lineRule="auto"/>
              <w:ind w:left="60" w:right="60"/>
              <w:contextualSpacing/>
              <w:rPr>
                <w:rFonts w:ascii="Arial" w:hAnsi="Arial" w:cs="Arial"/>
              </w:rPr>
            </w:pPr>
            <w:r w:rsidRPr="004B42B5">
              <w:rPr>
                <w:rFonts w:ascii="Arial" w:hAnsi="Arial" w:cs="Arial"/>
              </w:rPr>
              <w:t>3</w:t>
            </w:r>
          </w:p>
        </w:tc>
        <w:tc>
          <w:tcPr>
            <w:tcW w:w="1009" w:type="dxa"/>
            <w:gridSpan w:val="2"/>
            <w:tcBorders>
              <w:top w:val="single" w:sz="4" w:space="0" w:color="auto"/>
              <w:left w:val="nil"/>
              <w:bottom w:val="nil"/>
              <w:right w:val="nil"/>
            </w:tcBorders>
            <w:shd w:val="clear" w:color="auto" w:fill="FFFFFF"/>
            <w:vAlign w:val="center"/>
            <w:hideMark/>
          </w:tcPr>
          <w:p w14:paraId="57F56B7E" w14:textId="77777777" w:rsidR="004B42B5" w:rsidRPr="004B42B5" w:rsidRDefault="004B42B5" w:rsidP="00A040E4">
            <w:pPr>
              <w:autoSpaceDE w:val="0"/>
              <w:autoSpaceDN w:val="0"/>
              <w:adjustRightInd w:val="0"/>
              <w:spacing w:after="0" w:line="240" w:lineRule="auto"/>
              <w:ind w:left="60" w:right="60"/>
              <w:contextualSpacing/>
              <w:rPr>
                <w:rFonts w:ascii="Arial" w:hAnsi="Arial" w:cs="Arial"/>
              </w:rPr>
            </w:pPr>
            <w:r w:rsidRPr="004B42B5">
              <w:rPr>
                <w:rFonts w:ascii="Arial" w:hAnsi="Arial" w:cs="Arial"/>
              </w:rPr>
              <w:t>6</w:t>
            </w:r>
          </w:p>
        </w:tc>
        <w:tc>
          <w:tcPr>
            <w:tcW w:w="1009" w:type="dxa"/>
            <w:gridSpan w:val="2"/>
            <w:tcBorders>
              <w:top w:val="single" w:sz="4" w:space="0" w:color="auto"/>
              <w:left w:val="nil"/>
              <w:bottom w:val="nil"/>
              <w:right w:val="nil"/>
            </w:tcBorders>
            <w:shd w:val="clear" w:color="auto" w:fill="FFFFFF"/>
            <w:vAlign w:val="center"/>
            <w:hideMark/>
          </w:tcPr>
          <w:p w14:paraId="7D29AC11" w14:textId="77777777" w:rsidR="004B42B5" w:rsidRPr="004B42B5" w:rsidRDefault="004B42B5" w:rsidP="00A040E4">
            <w:pPr>
              <w:autoSpaceDE w:val="0"/>
              <w:autoSpaceDN w:val="0"/>
              <w:adjustRightInd w:val="0"/>
              <w:spacing w:after="0" w:line="240" w:lineRule="auto"/>
              <w:ind w:left="60" w:right="60"/>
              <w:contextualSpacing/>
              <w:rPr>
                <w:rFonts w:ascii="Arial" w:hAnsi="Arial" w:cs="Arial"/>
              </w:rPr>
            </w:pPr>
            <w:r w:rsidRPr="004B42B5">
              <w:rPr>
                <w:rFonts w:ascii="Arial" w:hAnsi="Arial" w:cs="Arial"/>
              </w:rPr>
              <w:t>13</w:t>
            </w:r>
          </w:p>
        </w:tc>
        <w:tc>
          <w:tcPr>
            <w:tcW w:w="1009" w:type="dxa"/>
            <w:gridSpan w:val="2"/>
            <w:tcBorders>
              <w:top w:val="single" w:sz="4" w:space="0" w:color="auto"/>
              <w:left w:val="nil"/>
              <w:bottom w:val="nil"/>
              <w:right w:val="nil"/>
            </w:tcBorders>
            <w:shd w:val="clear" w:color="auto" w:fill="FFFFFF"/>
            <w:vAlign w:val="center"/>
            <w:hideMark/>
          </w:tcPr>
          <w:p w14:paraId="42BB0C93" w14:textId="77777777" w:rsidR="004B42B5" w:rsidRPr="004B42B5" w:rsidRDefault="004B42B5" w:rsidP="00A040E4">
            <w:pPr>
              <w:autoSpaceDE w:val="0"/>
              <w:autoSpaceDN w:val="0"/>
              <w:adjustRightInd w:val="0"/>
              <w:spacing w:after="0" w:line="240" w:lineRule="auto"/>
              <w:ind w:left="60" w:right="60"/>
              <w:contextualSpacing/>
              <w:rPr>
                <w:rFonts w:ascii="Arial" w:hAnsi="Arial" w:cs="Arial"/>
              </w:rPr>
            </w:pPr>
            <w:r w:rsidRPr="004B42B5">
              <w:rPr>
                <w:rFonts w:ascii="Arial" w:hAnsi="Arial" w:cs="Arial"/>
              </w:rPr>
              <w:t>5</w:t>
            </w:r>
          </w:p>
        </w:tc>
        <w:tc>
          <w:tcPr>
            <w:tcW w:w="1009" w:type="dxa"/>
            <w:gridSpan w:val="2"/>
            <w:tcBorders>
              <w:top w:val="single" w:sz="4" w:space="0" w:color="auto"/>
              <w:left w:val="nil"/>
              <w:bottom w:val="nil"/>
              <w:right w:val="nil"/>
            </w:tcBorders>
            <w:shd w:val="clear" w:color="auto" w:fill="FFFFFF"/>
            <w:vAlign w:val="center"/>
            <w:hideMark/>
          </w:tcPr>
          <w:p w14:paraId="1CDE3BBF" w14:textId="77777777" w:rsidR="004B42B5" w:rsidRPr="004B42B5" w:rsidRDefault="004B42B5" w:rsidP="00A040E4">
            <w:pPr>
              <w:autoSpaceDE w:val="0"/>
              <w:autoSpaceDN w:val="0"/>
              <w:adjustRightInd w:val="0"/>
              <w:spacing w:after="0" w:line="240" w:lineRule="auto"/>
              <w:ind w:left="60" w:right="60"/>
              <w:contextualSpacing/>
              <w:rPr>
                <w:rFonts w:ascii="Arial" w:hAnsi="Arial" w:cs="Arial"/>
              </w:rPr>
            </w:pPr>
            <w:r w:rsidRPr="004B42B5">
              <w:rPr>
                <w:rFonts w:ascii="Arial" w:hAnsi="Arial" w:cs="Arial"/>
              </w:rPr>
              <w:t>27</w:t>
            </w:r>
          </w:p>
        </w:tc>
      </w:tr>
      <w:tr w:rsidR="004B42B5" w:rsidRPr="004B42B5" w14:paraId="4F6F8AE3" w14:textId="77777777" w:rsidTr="00A040E4">
        <w:trPr>
          <w:cantSplit/>
        </w:trPr>
        <w:tc>
          <w:tcPr>
            <w:tcW w:w="0" w:type="auto"/>
            <w:vMerge/>
            <w:tcBorders>
              <w:top w:val="nil"/>
              <w:left w:val="nil"/>
              <w:bottom w:val="nil"/>
              <w:right w:val="nil"/>
            </w:tcBorders>
            <w:vAlign w:val="center"/>
            <w:hideMark/>
          </w:tcPr>
          <w:p w14:paraId="5D4B22BD" w14:textId="77777777" w:rsidR="004B42B5" w:rsidRPr="004B42B5" w:rsidRDefault="004B42B5" w:rsidP="00A040E4">
            <w:pPr>
              <w:spacing w:after="0"/>
              <w:rPr>
                <w:rFonts w:ascii="Arial" w:hAnsi="Arial" w:cs="Arial"/>
              </w:rPr>
            </w:pPr>
          </w:p>
        </w:tc>
        <w:tc>
          <w:tcPr>
            <w:tcW w:w="37" w:type="dxa"/>
            <w:tcBorders>
              <w:top w:val="nil"/>
              <w:left w:val="nil"/>
              <w:bottom w:val="nil"/>
              <w:right w:val="nil"/>
            </w:tcBorders>
            <w:shd w:val="clear" w:color="auto" w:fill="FFFFFF"/>
            <w:vAlign w:val="center"/>
          </w:tcPr>
          <w:p w14:paraId="268099C2" w14:textId="77777777" w:rsidR="004B42B5" w:rsidRPr="004B42B5" w:rsidRDefault="004B42B5" w:rsidP="00A040E4">
            <w:pPr>
              <w:autoSpaceDE w:val="0"/>
              <w:autoSpaceDN w:val="0"/>
              <w:adjustRightInd w:val="0"/>
              <w:spacing w:after="0" w:line="240" w:lineRule="auto"/>
              <w:ind w:right="60"/>
              <w:contextualSpacing/>
              <w:rPr>
                <w:rFonts w:ascii="Arial" w:hAnsi="Arial" w:cs="Arial"/>
              </w:rPr>
            </w:pPr>
          </w:p>
        </w:tc>
        <w:tc>
          <w:tcPr>
            <w:tcW w:w="1010" w:type="dxa"/>
            <w:gridSpan w:val="2"/>
            <w:tcBorders>
              <w:top w:val="nil"/>
              <w:left w:val="nil"/>
              <w:bottom w:val="nil"/>
              <w:right w:val="nil"/>
            </w:tcBorders>
            <w:shd w:val="clear" w:color="auto" w:fill="FFFFFF"/>
            <w:vAlign w:val="center"/>
            <w:hideMark/>
          </w:tcPr>
          <w:p w14:paraId="2E976CF0" w14:textId="77777777" w:rsidR="004B42B5" w:rsidRPr="004B42B5" w:rsidRDefault="004B42B5" w:rsidP="00A040E4">
            <w:pPr>
              <w:autoSpaceDE w:val="0"/>
              <w:autoSpaceDN w:val="0"/>
              <w:adjustRightInd w:val="0"/>
              <w:spacing w:after="0" w:line="240" w:lineRule="auto"/>
              <w:ind w:left="60" w:right="60"/>
              <w:contextualSpacing/>
              <w:rPr>
                <w:rFonts w:ascii="Arial" w:hAnsi="Arial" w:cs="Arial"/>
              </w:rPr>
            </w:pPr>
            <w:r w:rsidRPr="004B42B5">
              <w:rPr>
                <w:rFonts w:ascii="Arial" w:hAnsi="Arial" w:cs="Arial"/>
              </w:rPr>
              <w:t>0</w:t>
            </w:r>
          </w:p>
        </w:tc>
        <w:tc>
          <w:tcPr>
            <w:tcW w:w="1009" w:type="dxa"/>
            <w:gridSpan w:val="2"/>
            <w:tcBorders>
              <w:top w:val="nil"/>
              <w:left w:val="nil"/>
              <w:bottom w:val="nil"/>
              <w:right w:val="nil"/>
            </w:tcBorders>
            <w:shd w:val="clear" w:color="auto" w:fill="FFFFFF"/>
            <w:vAlign w:val="center"/>
            <w:hideMark/>
          </w:tcPr>
          <w:p w14:paraId="023AF547" w14:textId="77777777" w:rsidR="004B42B5" w:rsidRPr="004B42B5" w:rsidRDefault="004B42B5" w:rsidP="00A040E4">
            <w:pPr>
              <w:autoSpaceDE w:val="0"/>
              <w:autoSpaceDN w:val="0"/>
              <w:adjustRightInd w:val="0"/>
              <w:spacing w:after="0" w:line="240" w:lineRule="auto"/>
              <w:ind w:left="60" w:right="60"/>
              <w:contextualSpacing/>
              <w:rPr>
                <w:rFonts w:ascii="Arial" w:hAnsi="Arial" w:cs="Arial"/>
              </w:rPr>
            </w:pPr>
            <w:r w:rsidRPr="004B42B5">
              <w:rPr>
                <w:rFonts w:ascii="Arial" w:hAnsi="Arial" w:cs="Arial"/>
              </w:rPr>
              <w:t>1</w:t>
            </w:r>
          </w:p>
        </w:tc>
        <w:tc>
          <w:tcPr>
            <w:tcW w:w="1009" w:type="dxa"/>
            <w:gridSpan w:val="2"/>
            <w:tcBorders>
              <w:top w:val="nil"/>
              <w:left w:val="nil"/>
              <w:bottom w:val="nil"/>
              <w:right w:val="nil"/>
            </w:tcBorders>
            <w:shd w:val="clear" w:color="auto" w:fill="FFFFFF"/>
            <w:vAlign w:val="center"/>
            <w:hideMark/>
          </w:tcPr>
          <w:p w14:paraId="2AE06036" w14:textId="77777777" w:rsidR="004B42B5" w:rsidRPr="004B42B5" w:rsidRDefault="004B42B5" w:rsidP="00A040E4">
            <w:pPr>
              <w:autoSpaceDE w:val="0"/>
              <w:autoSpaceDN w:val="0"/>
              <w:adjustRightInd w:val="0"/>
              <w:spacing w:after="0" w:line="240" w:lineRule="auto"/>
              <w:ind w:left="60" w:right="60"/>
              <w:contextualSpacing/>
              <w:rPr>
                <w:rFonts w:ascii="Arial" w:hAnsi="Arial" w:cs="Arial"/>
              </w:rPr>
            </w:pPr>
            <w:r w:rsidRPr="004B42B5">
              <w:rPr>
                <w:rFonts w:ascii="Arial" w:hAnsi="Arial" w:cs="Arial"/>
              </w:rPr>
              <w:t>4</w:t>
            </w:r>
          </w:p>
        </w:tc>
        <w:tc>
          <w:tcPr>
            <w:tcW w:w="1009" w:type="dxa"/>
            <w:gridSpan w:val="2"/>
            <w:tcBorders>
              <w:top w:val="nil"/>
              <w:left w:val="nil"/>
              <w:bottom w:val="nil"/>
              <w:right w:val="nil"/>
            </w:tcBorders>
            <w:shd w:val="clear" w:color="auto" w:fill="FFFFFF"/>
            <w:vAlign w:val="center"/>
            <w:hideMark/>
          </w:tcPr>
          <w:p w14:paraId="7CD7D307" w14:textId="77777777" w:rsidR="004B42B5" w:rsidRPr="004B42B5" w:rsidRDefault="004B42B5" w:rsidP="00A040E4">
            <w:pPr>
              <w:autoSpaceDE w:val="0"/>
              <w:autoSpaceDN w:val="0"/>
              <w:adjustRightInd w:val="0"/>
              <w:spacing w:after="0" w:line="240" w:lineRule="auto"/>
              <w:ind w:left="60" w:right="60"/>
              <w:contextualSpacing/>
              <w:rPr>
                <w:rFonts w:ascii="Arial" w:hAnsi="Arial" w:cs="Arial"/>
              </w:rPr>
            </w:pPr>
            <w:r w:rsidRPr="004B42B5">
              <w:rPr>
                <w:rFonts w:ascii="Arial" w:hAnsi="Arial" w:cs="Arial"/>
              </w:rPr>
              <w:t>6</w:t>
            </w:r>
          </w:p>
        </w:tc>
        <w:tc>
          <w:tcPr>
            <w:tcW w:w="1009" w:type="dxa"/>
            <w:gridSpan w:val="2"/>
            <w:tcBorders>
              <w:top w:val="nil"/>
              <w:left w:val="nil"/>
              <w:bottom w:val="nil"/>
              <w:right w:val="nil"/>
            </w:tcBorders>
            <w:shd w:val="clear" w:color="auto" w:fill="FFFFFF"/>
            <w:vAlign w:val="center"/>
            <w:hideMark/>
          </w:tcPr>
          <w:p w14:paraId="7EC7BB76" w14:textId="77777777" w:rsidR="004B42B5" w:rsidRPr="004B42B5" w:rsidRDefault="004B42B5" w:rsidP="00A040E4">
            <w:pPr>
              <w:autoSpaceDE w:val="0"/>
              <w:autoSpaceDN w:val="0"/>
              <w:adjustRightInd w:val="0"/>
              <w:spacing w:after="0" w:line="240" w:lineRule="auto"/>
              <w:ind w:left="60" w:right="60"/>
              <w:contextualSpacing/>
              <w:rPr>
                <w:rFonts w:ascii="Arial" w:hAnsi="Arial" w:cs="Arial"/>
              </w:rPr>
            </w:pPr>
            <w:r w:rsidRPr="004B42B5">
              <w:rPr>
                <w:rFonts w:ascii="Arial" w:hAnsi="Arial" w:cs="Arial"/>
              </w:rPr>
              <w:t>11</w:t>
            </w:r>
          </w:p>
        </w:tc>
      </w:tr>
      <w:tr w:rsidR="004B42B5" w:rsidRPr="004B42B5" w14:paraId="2108556E" w14:textId="77777777" w:rsidTr="00A040E4">
        <w:trPr>
          <w:cantSplit/>
        </w:trPr>
        <w:tc>
          <w:tcPr>
            <w:tcW w:w="0" w:type="auto"/>
            <w:vMerge/>
            <w:tcBorders>
              <w:top w:val="nil"/>
              <w:left w:val="nil"/>
              <w:bottom w:val="nil"/>
              <w:right w:val="nil"/>
            </w:tcBorders>
            <w:vAlign w:val="center"/>
            <w:hideMark/>
          </w:tcPr>
          <w:p w14:paraId="05300B66" w14:textId="77777777" w:rsidR="004B42B5" w:rsidRPr="004B42B5" w:rsidRDefault="004B42B5" w:rsidP="00A040E4">
            <w:pPr>
              <w:spacing w:after="0"/>
              <w:rPr>
                <w:rFonts w:ascii="Arial" w:hAnsi="Arial" w:cs="Arial"/>
              </w:rPr>
            </w:pPr>
          </w:p>
        </w:tc>
        <w:tc>
          <w:tcPr>
            <w:tcW w:w="37" w:type="dxa"/>
            <w:tcBorders>
              <w:top w:val="nil"/>
              <w:left w:val="nil"/>
              <w:bottom w:val="nil"/>
              <w:right w:val="nil"/>
            </w:tcBorders>
            <w:shd w:val="clear" w:color="auto" w:fill="FFFFFF"/>
            <w:vAlign w:val="center"/>
          </w:tcPr>
          <w:p w14:paraId="1F31EEDF" w14:textId="77777777" w:rsidR="004B42B5" w:rsidRPr="004B42B5" w:rsidRDefault="004B42B5" w:rsidP="00A040E4">
            <w:pPr>
              <w:autoSpaceDE w:val="0"/>
              <w:autoSpaceDN w:val="0"/>
              <w:adjustRightInd w:val="0"/>
              <w:spacing w:after="0" w:line="240" w:lineRule="auto"/>
              <w:ind w:right="60"/>
              <w:contextualSpacing/>
              <w:rPr>
                <w:rFonts w:ascii="Arial" w:hAnsi="Arial" w:cs="Arial"/>
              </w:rPr>
            </w:pPr>
          </w:p>
        </w:tc>
        <w:tc>
          <w:tcPr>
            <w:tcW w:w="1010" w:type="dxa"/>
            <w:gridSpan w:val="2"/>
            <w:tcBorders>
              <w:top w:val="nil"/>
              <w:left w:val="nil"/>
              <w:bottom w:val="nil"/>
              <w:right w:val="nil"/>
            </w:tcBorders>
            <w:shd w:val="clear" w:color="auto" w:fill="FFFFFF"/>
            <w:vAlign w:val="center"/>
            <w:hideMark/>
          </w:tcPr>
          <w:p w14:paraId="59A597EF" w14:textId="77777777" w:rsidR="004B42B5" w:rsidRPr="004B42B5" w:rsidRDefault="004B42B5" w:rsidP="00A040E4">
            <w:pPr>
              <w:autoSpaceDE w:val="0"/>
              <w:autoSpaceDN w:val="0"/>
              <w:adjustRightInd w:val="0"/>
              <w:spacing w:after="0" w:line="240" w:lineRule="auto"/>
              <w:ind w:left="60" w:right="60"/>
              <w:contextualSpacing/>
              <w:rPr>
                <w:rFonts w:ascii="Arial" w:hAnsi="Arial" w:cs="Arial"/>
              </w:rPr>
            </w:pPr>
            <w:r w:rsidRPr="004B42B5">
              <w:rPr>
                <w:rFonts w:ascii="Arial" w:hAnsi="Arial" w:cs="Arial"/>
              </w:rPr>
              <w:t>0</w:t>
            </w:r>
          </w:p>
        </w:tc>
        <w:tc>
          <w:tcPr>
            <w:tcW w:w="1009" w:type="dxa"/>
            <w:gridSpan w:val="2"/>
            <w:tcBorders>
              <w:top w:val="nil"/>
              <w:left w:val="nil"/>
              <w:bottom w:val="nil"/>
              <w:right w:val="nil"/>
            </w:tcBorders>
            <w:shd w:val="clear" w:color="auto" w:fill="FFFFFF"/>
            <w:vAlign w:val="center"/>
            <w:hideMark/>
          </w:tcPr>
          <w:p w14:paraId="40C28B22" w14:textId="77777777" w:rsidR="004B42B5" w:rsidRPr="004B42B5" w:rsidRDefault="004B42B5" w:rsidP="00A040E4">
            <w:pPr>
              <w:autoSpaceDE w:val="0"/>
              <w:autoSpaceDN w:val="0"/>
              <w:adjustRightInd w:val="0"/>
              <w:spacing w:after="0" w:line="240" w:lineRule="auto"/>
              <w:ind w:left="60" w:right="60"/>
              <w:contextualSpacing/>
              <w:rPr>
                <w:rFonts w:ascii="Arial" w:hAnsi="Arial" w:cs="Arial"/>
              </w:rPr>
            </w:pPr>
            <w:r w:rsidRPr="004B42B5">
              <w:rPr>
                <w:rFonts w:ascii="Arial" w:hAnsi="Arial" w:cs="Arial"/>
              </w:rPr>
              <w:t>0</w:t>
            </w:r>
          </w:p>
        </w:tc>
        <w:tc>
          <w:tcPr>
            <w:tcW w:w="1009" w:type="dxa"/>
            <w:gridSpan w:val="2"/>
            <w:tcBorders>
              <w:top w:val="nil"/>
              <w:left w:val="nil"/>
              <w:bottom w:val="nil"/>
              <w:right w:val="nil"/>
            </w:tcBorders>
            <w:shd w:val="clear" w:color="auto" w:fill="FFFFFF"/>
            <w:vAlign w:val="center"/>
            <w:hideMark/>
          </w:tcPr>
          <w:p w14:paraId="026072FE" w14:textId="77777777" w:rsidR="004B42B5" w:rsidRPr="004B42B5" w:rsidRDefault="004B42B5" w:rsidP="00A040E4">
            <w:pPr>
              <w:autoSpaceDE w:val="0"/>
              <w:autoSpaceDN w:val="0"/>
              <w:adjustRightInd w:val="0"/>
              <w:spacing w:after="0" w:line="240" w:lineRule="auto"/>
              <w:ind w:left="60" w:right="60"/>
              <w:contextualSpacing/>
              <w:rPr>
                <w:rFonts w:ascii="Arial" w:hAnsi="Arial" w:cs="Arial"/>
              </w:rPr>
            </w:pPr>
            <w:r w:rsidRPr="004B42B5">
              <w:rPr>
                <w:rFonts w:ascii="Arial" w:hAnsi="Arial" w:cs="Arial"/>
              </w:rPr>
              <w:t>2</w:t>
            </w:r>
          </w:p>
        </w:tc>
        <w:tc>
          <w:tcPr>
            <w:tcW w:w="1009" w:type="dxa"/>
            <w:gridSpan w:val="2"/>
            <w:tcBorders>
              <w:top w:val="nil"/>
              <w:left w:val="nil"/>
              <w:bottom w:val="nil"/>
              <w:right w:val="nil"/>
            </w:tcBorders>
            <w:shd w:val="clear" w:color="auto" w:fill="FFFFFF"/>
            <w:vAlign w:val="center"/>
            <w:hideMark/>
          </w:tcPr>
          <w:p w14:paraId="4928335E" w14:textId="77777777" w:rsidR="004B42B5" w:rsidRPr="004B42B5" w:rsidRDefault="004B42B5" w:rsidP="00A040E4">
            <w:pPr>
              <w:autoSpaceDE w:val="0"/>
              <w:autoSpaceDN w:val="0"/>
              <w:adjustRightInd w:val="0"/>
              <w:spacing w:after="0" w:line="240" w:lineRule="auto"/>
              <w:ind w:left="60" w:right="60"/>
              <w:contextualSpacing/>
              <w:rPr>
                <w:rFonts w:ascii="Arial" w:hAnsi="Arial" w:cs="Arial"/>
              </w:rPr>
            </w:pPr>
            <w:r w:rsidRPr="004B42B5">
              <w:rPr>
                <w:rFonts w:ascii="Arial" w:hAnsi="Arial" w:cs="Arial"/>
              </w:rPr>
              <w:t>0</w:t>
            </w:r>
          </w:p>
        </w:tc>
        <w:tc>
          <w:tcPr>
            <w:tcW w:w="1009" w:type="dxa"/>
            <w:gridSpan w:val="2"/>
            <w:tcBorders>
              <w:top w:val="nil"/>
              <w:left w:val="nil"/>
              <w:bottom w:val="nil"/>
              <w:right w:val="nil"/>
            </w:tcBorders>
            <w:shd w:val="clear" w:color="auto" w:fill="FFFFFF"/>
            <w:vAlign w:val="center"/>
            <w:hideMark/>
          </w:tcPr>
          <w:p w14:paraId="264786BA" w14:textId="77777777" w:rsidR="004B42B5" w:rsidRPr="004B42B5" w:rsidRDefault="004B42B5" w:rsidP="00A040E4">
            <w:pPr>
              <w:autoSpaceDE w:val="0"/>
              <w:autoSpaceDN w:val="0"/>
              <w:adjustRightInd w:val="0"/>
              <w:spacing w:after="0" w:line="240" w:lineRule="auto"/>
              <w:ind w:left="60" w:right="60"/>
              <w:contextualSpacing/>
              <w:rPr>
                <w:rFonts w:ascii="Arial" w:hAnsi="Arial" w:cs="Arial"/>
              </w:rPr>
            </w:pPr>
            <w:r w:rsidRPr="004B42B5">
              <w:rPr>
                <w:rFonts w:ascii="Arial" w:hAnsi="Arial" w:cs="Arial"/>
              </w:rPr>
              <w:t>2</w:t>
            </w:r>
          </w:p>
        </w:tc>
      </w:tr>
      <w:tr w:rsidR="004B42B5" w:rsidRPr="004B42B5" w14:paraId="4E57F279" w14:textId="77777777" w:rsidTr="00A040E4">
        <w:trPr>
          <w:gridAfter w:val="1"/>
          <w:wAfter w:w="37" w:type="dxa"/>
          <w:cantSplit/>
        </w:trPr>
        <w:tc>
          <w:tcPr>
            <w:tcW w:w="4678" w:type="dxa"/>
            <w:tcBorders>
              <w:top w:val="nil"/>
              <w:left w:val="nil"/>
              <w:bottom w:val="single" w:sz="4" w:space="0" w:color="auto"/>
              <w:right w:val="nil"/>
            </w:tcBorders>
            <w:shd w:val="clear" w:color="auto" w:fill="FFFFFF"/>
            <w:vAlign w:val="center"/>
            <w:hideMark/>
          </w:tcPr>
          <w:p w14:paraId="57C217DA" w14:textId="77777777" w:rsidR="004B42B5" w:rsidRPr="004B42B5" w:rsidRDefault="004B42B5" w:rsidP="00A040E4">
            <w:pPr>
              <w:autoSpaceDE w:val="0"/>
              <w:autoSpaceDN w:val="0"/>
              <w:adjustRightInd w:val="0"/>
              <w:spacing w:after="0" w:line="240" w:lineRule="auto"/>
              <w:ind w:right="78"/>
              <w:contextualSpacing/>
              <w:rPr>
                <w:rFonts w:ascii="Arial" w:hAnsi="Arial" w:cs="Arial"/>
              </w:rPr>
            </w:pPr>
            <w:r w:rsidRPr="004B42B5">
              <w:rPr>
                <w:rFonts w:ascii="Arial" w:hAnsi="Arial" w:cs="Arial"/>
              </w:rPr>
              <w:t xml:space="preserve">  Total</w:t>
            </w:r>
          </w:p>
        </w:tc>
        <w:tc>
          <w:tcPr>
            <w:tcW w:w="1010" w:type="dxa"/>
            <w:gridSpan w:val="2"/>
            <w:tcBorders>
              <w:top w:val="nil"/>
              <w:left w:val="nil"/>
              <w:bottom w:val="single" w:sz="4" w:space="0" w:color="auto"/>
              <w:right w:val="nil"/>
            </w:tcBorders>
            <w:shd w:val="clear" w:color="auto" w:fill="FFFFFF"/>
            <w:vAlign w:val="center"/>
            <w:hideMark/>
          </w:tcPr>
          <w:p w14:paraId="4C19FD8E" w14:textId="77777777" w:rsidR="004B42B5" w:rsidRPr="004B42B5" w:rsidRDefault="004B42B5" w:rsidP="00A040E4">
            <w:pPr>
              <w:autoSpaceDE w:val="0"/>
              <w:autoSpaceDN w:val="0"/>
              <w:adjustRightInd w:val="0"/>
              <w:spacing w:after="0" w:line="240" w:lineRule="auto"/>
              <w:ind w:left="60" w:right="60"/>
              <w:contextualSpacing/>
              <w:rPr>
                <w:rFonts w:ascii="Arial" w:hAnsi="Arial" w:cs="Arial"/>
              </w:rPr>
            </w:pPr>
            <w:r w:rsidRPr="004B42B5">
              <w:rPr>
                <w:rFonts w:ascii="Arial" w:hAnsi="Arial" w:cs="Arial"/>
              </w:rPr>
              <w:t>3</w:t>
            </w:r>
          </w:p>
        </w:tc>
        <w:tc>
          <w:tcPr>
            <w:tcW w:w="1009" w:type="dxa"/>
            <w:gridSpan w:val="2"/>
            <w:tcBorders>
              <w:top w:val="nil"/>
              <w:left w:val="nil"/>
              <w:bottom w:val="single" w:sz="4" w:space="0" w:color="auto"/>
              <w:right w:val="nil"/>
            </w:tcBorders>
            <w:shd w:val="clear" w:color="auto" w:fill="FFFFFF"/>
            <w:vAlign w:val="center"/>
            <w:hideMark/>
          </w:tcPr>
          <w:p w14:paraId="1C2117FD" w14:textId="77777777" w:rsidR="004B42B5" w:rsidRPr="004B42B5" w:rsidRDefault="004B42B5" w:rsidP="00A040E4">
            <w:pPr>
              <w:autoSpaceDE w:val="0"/>
              <w:autoSpaceDN w:val="0"/>
              <w:adjustRightInd w:val="0"/>
              <w:spacing w:after="0" w:line="240" w:lineRule="auto"/>
              <w:ind w:left="60" w:right="60"/>
              <w:contextualSpacing/>
              <w:rPr>
                <w:rFonts w:ascii="Arial" w:hAnsi="Arial" w:cs="Arial"/>
              </w:rPr>
            </w:pPr>
            <w:r w:rsidRPr="004B42B5">
              <w:rPr>
                <w:rFonts w:ascii="Arial" w:hAnsi="Arial" w:cs="Arial"/>
              </w:rPr>
              <w:t>7</w:t>
            </w:r>
          </w:p>
        </w:tc>
        <w:tc>
          <w:tcPr>
            <w:tcW w:w="1009" w:type="dxa"/>
            <w:gridSpan w:val="2"/>
            <w:tcBorders>
              <w:top w:val="nil"/>
              <w:left w:val="nil"/>
              <w:bottom w:val="single" w:sz="4" w:space="0" w:color="auto"/>
              <w:right w:val="nil"/>
            </w:tcBorders>
            <w:shd w:val="clear" w:color="auto" w:fill="FFFFFF"/>
            <w:vAlign w:val="center"/>
            <w:hideMark/>
          </w:tcPr>
          <w:p w14:paraId="3CA211DD" w14:textId="77777777" w:rsidR="004B42B5" w:rsidRPr="004B42B5" w:rsidRDefault="004B42B5" w:rsidP="00A040E4">
            <w:pPr>
              <w:autoSpaceDE w:val="0"/>
              <w:autoSpaceDN w:val="0"/>
              <w:adjustRightInd w:val="0"/>
              <w:spacing w:after="0" w:line="240" w:lineRule="auto"/>
              <w:ind w:left="60" w:right="60"/>
              <w:contextualSpacing/>
              <w:rPr>
                <w:rFonts w:ascii="Arial" w:hAnsi="Arial" w:cs="Arial"/>
              </w:rPr>
            </w:pPr>
            <w:r w:rsidRPr="004B42B5">
              <w:rPr>
                <w:rFonts w:ascii="Arial" w:hAnsi="Arial" w:cs="Arial"/>
              </w:rPr>
              <w:t>19</w:t>
            </w:r>
          </w:p>
        </w:tc>
        <w:tc>
          <w:tcPr>
            <w:tcW w:w="1009" w:type="dxa"/>
            <w:gridSpan w:val="2"/>
            <w:tcBorders>
              <w:top w:val="nil"/>
              <w:left w:val="nil"/>
              <w:bottom w:val="single" w:sz="4" w:space="0" w:color="auto"/>
              <w:right w:val="nil"/>
            </w:tcBorders>
            <w:shd w:val="clear" w:color="auto" w:fill="FFFFFF"/>
            <w:vAlign w:val="center"/>
            <w:hideMark/>
          </w:tcPr>
          <w:p w14:paraId="309413AB" w14:textId="77777777" w:rsidR="004B42B5" w:rsidRPr="004B42B5" w:rsidRDefault="004B42B5" w:rsidP="00A040E4">
            <w:pPr>
              <w:autoSpaceDE w:val="0"/>
              <w:autoSpaceDN w:val="0"/>
              <w:adjustRightInd w:val="0"/>
              <w:spacing w:after="0" w:line="240" w:lineRule="auto"/>
              <w:ind w:left="60" w:right="60"/>
              <w:contextualSpacing/>
              <w:rPr>
                <w:rFonts w:ascii="Arial" w:hAnsi="Arial" w:cs="Arial"/>
              </w:rPr>
            </w:pPr>
            <w:r w:rsidRPr="004B42B5">
              <w:rPr>
                <w:rFonts w:ascii="Arial" w:hAnsi="Arial" w:cs="Arial"/>
              </w:rPr>
              <w:t>11</w:t>
            </w:r>
          </w:p>
        </w:tc>
        <w:tc>
          <w:tcPr>
            <w:tcW w:w="1009" w:type="dxa"/>
            <w:gridSpan w:val="2"/>
            <w:tcBorders>
              <w:top w:val="nil"/>
              <w:left w:val="nil"/>
              <w:bottom w:val="single" w:sz="4" w:space="0" w:color="auto"/>
              <w:right w:val="nil"/>
            </w:tcBorders>
            <w:shd w:val="clear" w:color="auto" w:fill="FFFFFF"/>
            <w:vAlign w:val="center"/>
            <w:hideMark/>
          </w:tcPr>
          <w:p w14:paraId="3BC34C6E" w14:textId="77777777" w:rsidR="004B42B5" w:rsidRPr="004B42B5" w:rsidRDefault="004B42B5" w:rsidP="00A040E4">
            <w:pPr>
              <w:autoSpaceDE w:val="0"/>
              <w:autoSpaceDN w:val="0"/>
              <w:adjustRightInd w:val="0"/>
              <w:spacing w:after="0" w:line="240" w:lineRule="auto"/>
              <w:ind w:left="60" w:right="60"/>
              <w:contextualSpacing/>
              <w:rPr>
                <w:rFonts w:ascii="Arial" w:hAnsi="Arial" w:cs="Arial"/>
              </w:rPr>
            </w:pPr>
            <w:r w:rsidRPr="004B42B5">
              <w:rPr>
                <w:rFonts w:ascii="Arial" w:hAnsi="Arial" w:cs="Arial"/>
              </w:rPr>
              <w:t>40</w:t>
            </w:r>
          </w:p>
        </w:tc>
      </w:tr>
    </w:tbl>
    <w:p w14:paraId="1EFDF5FC" w14:textId="77777777" w:rsidR="004B42B5" w:rsidRPr="004B42B5" w:rsidRDefault="004B42B5" w:rsidP="004B42B5">
      <w:pPr>
        <w:spacing w:after="0" w:line="240" w:lineRule="auto"/>
        <w:rPr>
          <w:rFonts w:ascii="Arial" w:hAnsi="Arial" w:cs="Arial"/>
        </w:rPr>
        <w:sectPr w:rsidR="004B42B5" w:rsidRPr="004B42B5" w:rsidSect="004B42B5">
          <w:type w:val="continuous"/>
          <w:pgSz w:w="12240" w:h="15840"/>
          <w:pgMar w:top="1440" w:right="1440" w:bottom="1440" w:left="1440" w:header="720" w:footer="720" w:gutter="0"/>
          <w:cols w:space="720"/>
        </w:sectPr>
      </w:pPr>
    </w:p>
    <w:p w14:paraId="0FD278DA" w14:textId="77777777" w:rsidR="004B42B5" w:rsidRPr="004B42B5" w:rsidRDefault="004B42B5" w:rsidP="004B42B5">
      <w:pPr>
        <w:autoSpaceDE w:val="0"/>
        <w:autoSpaceDN w:val="0"/>
        <w:adjustRightInd w:val="0"/>
        <w:spacing w:line="240" w:lineRule="auto"/>
        <w:contextualSpacing/>
        <w:jc w:val="both"/>
        <w:rPr>
          <w:rFonts w:ascii="Arial" w:hAnsi="Arial" w:cs="Arial"/>
        </w:rPr>
      </w:pPr>
      <w:r w:rsidRPr="004B42B5">
        <w:rPr>
          <w:rFonts w:ascii="Arial" w:hAnsi="Arial" w:cs="Arial"/>
        </w:rPr>
        <w:t>The rainfall pattern (</w:t>
      </w:r>
      <w:r w:rsidRPr="004B42B5">
        <w:rPr>
          <w:rFonts w:ascii="Arial" w:hAnsi="Arial" w:cs="Arial"/>
        </w:rPr>
        <w:fldChar w:fldCharType="begin"/>
      </w:r>
      <w:r w:rsidRPr="004B42B5">
        <w:rPr>
          <w:rFonts w:ascii="Arial" w:hAnsi="Arial" w:cs="Arial"/>
        </w:rPr>
        <w:instrText xml:space="preserve"> REF _Ref116890204 \h  \* MERGEFORMAT </w:instrText>
      </w:r>
      <w:r w:rsidRPr="004B42B5">
        <w:rPr>
          <w:rFonts w:ascii="Arial" w:hAnsi="Arial" w:cs="Arial"/>
        </w:rPr>
      </w:r>
      <w:r w:rsidRPr="004B42B5">
        <w:rPr>
          <w:rFonts w:ascii="Arial" w:hAnsi="Arial" w:cs="Arial"/>
        </w:rPr>
        <w:fldChar w:fldCharType="separate"/>
      </w:r>
      <w:r w:rsidRPr="004B42B5">
        <w:rPr>
          <w:rFonts w:ascii="Arial" w:hAnsi="Arial" w:cs="Arial"/>
        </w:rPr>
        <w:t xml:space="preserve">Figure </w:t>
      </w:r>
      <w:r w:rsidRPr="004B42B5">
        <w:rPr>
          <w:rFonts w:ascii="Arial" w:hAnsi="Arial" w:cs="Arial"/>
          <w:noProof/>
        </w:rPr>
        <w:t>2</w:t>
      </w:r>
      <w:r w:rsidRPr="004B42B5">
        <w:rPr>
          <w:rFonts w:ascii="Arial" w:hAnsi="Arial" w:cs="Arial"/>
        </w:rPr>
        <w:fldChar w:fldCharType="end"/>
      </w:r>
      <w:r w:rsidRPr="004B42B5">
        <w:rPr>
          <w:rFonts w:ascii="Arial" w:hAnsi="Arial" w:cs="Arial"/>
        </w:rPr>
        <w:t xml:space="preserve">) reveals that between 2008 and 2015, the area received less than 700 mm of rainfall and around 2017, the rainfall amount spiked and it fell again to below 600 mm. Probably the prolonged low rainfall amounts between 2008 and 2015 is the one that rose the awareness of the farmers on the fluctuations in the rainfall pattern. Probably there are other factors that could have contributed to the delayed awareness of the farmers and it is therefore imperative to carry-out further studies to explore why the overwhelming majority of the farmers could not detect the onset of changes in rainfall pattern. </w:t>
      </w:r>
    </w:p>
    <w:p w14:paraId="1872EE6F" w14:textId="77777777" w:rsidR="004B42B5" w:rsidRPr="004B42B5" w:rsidRDefault="004B42B5" w:rsidP="004B42B5">
      <w:pPr>
        <w:autoSpaceDE w:val="0"/>
        <w:autoSpaceDN w:val="0"/>
        <w:adjustRightInd w:val="0"/>
        <w:spacing w:line="240" w:lineRule="auto"/>
        <w:contextualSpacing/>
        <w:jc w:val="both"/>
        <w:rPr>
          <w:rFonts w:ascii="Arial" w:hAnsi="Arial" w:cs="Arial"/>
        </w:rPr>
      </w:pPr>
    </w:p>
    <w:p w14:paraId="0C31C463" w14:textId="77777777" w:rsidR="004B42B5" w:rsidRPr="004B42B5" w:rsidRDefault="004B42B5" w:rsidP="004B42B5">
      <w:pPr>
        <w:pStyle w:val="Heading2"/>
        <w:spacing w:before="0" w:line="240" w:lineRule="auto"/>
        <w:contextualSpacing/>
        <w:rPr>
          <w:rFonts w:ascii="Arial" w:hAnsi="Arial" w:cs="Arial"/>
          <w:iCs/>
          <w:color w:val="auto"/>
          <w:sz w:val="22"/>
          <w:szCs w:val="22"/>
        </w:rPr>
      </w:pPr>
      <w:r w:rsidRPr="004B42B5">
        <w:rPr>
          <w:rFonts w:ascii="Arial" w:hAnsi="Arial" w:cs="Arial"/>
          <w:bCs/>
          <w:iCs/>
          <w:color w:val="auto"/>
          <w:sz w:val="22"/>
          <w:szCs w:val="22"/>
        </w:rPr>
        <w:t>3.4 Human-environment Relationship in Agriculture</w:t>
      </w:r>
    </w:p>
    <w:p w14:paraId="6C47B5F2" w14:textId="77777777" w:rsidR="004B42B5" w:rsidRPr="004B42B5" w:rsidRDefault="004B42B5" w:rsidP="004B42B5">
      <w:pPr>
        <w:autoSpaceDE w:val="0"/>
        <w:autoSpaceDN w:val="0"/>
        <w:adjustRightInd w:val="0"/>
        <w:spacing w:line="240" w:lineRule="auto"/>
        <w:contextualSpacing/>
        <w:jc w:val="both"/>
        <w:rPr>
          <w:rFonts w:ascii="Arial" w:hAnsi="Arial" w:cs="Arial"/>
        </w:rPr>
      </w:pPr>
    </w:p>
    <w:p w14:paraId="161BF6A8" w14:textId="77777777" w:rsidR="004B42B5" w:rsidRPr="004B42B5" w:rsidRDefault="004B42B5" w:rsidP="004B42B5">
      <w:pPr>
        <w:autoSpaceDE w:val="0"/>
        <w:autoSpaceDN w:val="0"/>
        <w:adjustRightInd w:val="0"/>
        <w:spacing w:line="240" w:lineRule="auto"/>
        <w:contextualSpacing/>
        <w:jc w:val="both"/>
        <w:rPr>
          <w:rFonts w:ascii="Arial" w:hAnsi="Arial" w:cs="Arial"/>
        </w:rPr>
      </w:pPr>
      <w:r w:rsidRPr="004B42B5">
        <w:rPr>
          <w:rFonts w:ascii="Arial" w:hAnsi="Arial" w:cs="Arial"/>
        </w:rPr>
        <w:t xml:space="preserve">In order to manage effects of climate change, understanding livelihood vulnerability, resilience, and climate adaptation (indigenous and planned) are important. With increased years of </w:t>
      </w:r>
      <w:proofErr w:type="gramStart"/>
      <w:r w:rsidRPr="004B42B5">
        <w:rPr>
          <w:rFonts w:ascii="Arial" w:hAnsi="Arial" w:cs="Arial"/>
        </w:rPr>
        <w:t>farming,  one</w:t>
      </w:r>
      <w:proofErr w:type="gramEnd"/>
      <w:r w:rsidRPr="004B42B5">
        <w:rPr>
          <w:rFonts w:ascii="Arial" w:hAnsi="Arial" w:cs="Arial"/>
        </w:rPr>
        <w:t xml:space="preserve"> goes through different seasons and it is easy to recognize changes in weather patterns. In the present study, years farmers have been involved in farming had a significant positive relationship with the time farmers started observing changes in weather pattern (p=0.002; R</w:t>
      </w:r>
      <w:r w:rsidRPr="004B42B5">
        <w:rPr>
          <w:rFonts w:ascii="Arial" w:hAnsi="Arial" w:cs="Arial"/>
          <w:vertAlign w:val="superscript"/>
        </w:rPr>
        <w:t>2</w:t>
      </w:r>
      <w:r w:rsidRPr="004B42B5">
        <w:rPr>
          <w:rFonts w:ascii="Arial" w:hAnsi="Arial" w:cs="Arial"/>
        </w:rPr>
        <w:t>=0.2). This finding reveals that the longer the farmer has been involved in farming, the more they encounter different phases of weather patterns. This shows that farmers keep memory of weather events that seriously affect their production systems. The low coefficient of determination (20%) shows that there are other factors that govern perception of farmers on climate change.</w:t>
      </w:r>
    </w:p>
    <w:p w14:paraId="49D25AAE" w14:textId="77777777" w:rsidR="004B42B5" w:rsidRPr="004B42B5" w:rsidRDefault="004B42B5" w:rsidP="004B42B5">
      <w:pPr>
        <w:pStyle w:val="Heading2"/>
        <w:spacing w:before="0" w:line="240" w:lineRule="auto"/>
        <w:contextualSpacing/>
        <w:rPr>
          <w:rFonts w:ascii="Arial" w:hAnsi="Arial" w:cs="Arial"/>
          <w:i/>
          <w:color w:val="auto"/>
          <w:sz w:val="22"/>
          <w:szCs w:val="22"/>
        </w:rPr>
      </w:pPr>
      <w:bookmarkStart w:id="6" w:name="_Toc80264915"/>
    </w:p>
    <w:p w14:paraId="25EDA246" w14:textId="77777777" w:rsidR="004B42B5" w:rsidRPr="004B42B5" w:rsidRDefault="004B42B5" w:rsidP="004B42B5">
      <w:pPr>
        <w:pStyle w:val="Heading2"/>
        <w:spacing w:before="0" w:line="240" w:lineRule="auto"/>
        <w:contextualSpacing/>
        <w:rPr>
          <w:rFonts w:ascii="Arial" w:hAnsi="Arial" w:cs="Arial"/>
          <w:bCs/>
          <w:i/>
          <w:color w:val="auto"/>
          <w:sz w:val="22"/>
          <w:szCs w:val="22"/>
        </w:rPr>
      </w:pPr>
      <w:r w:rsidRPr="004B42B5">
        <w:rPr>
          <w:rFonts w:ascii="Arial" w:hAnsi="Arial" w:cs="Arial"/>
          <w:bCs/>
          <w:i/>
          <w:color w:val="auto"/>
          <w:sz w:val="22"/>
          <w:szCs w:val="22"/>
        </w:rPr>
        <w:t>3</w:t>
      </w:r>
      <w:r w:rsidRPr="004B42B5">
        <w:rPr>
          <w:rFonts w:ascii="Arial" w:hAnsi="Arial" w:cs="Arial"/>
          <w:bCs/>
          <w:iCs/>
          <w:color w:val="auto"/>
          <w:sz w:val="22"/>
          <w:szCs w:val="22"/>
        </w:rPr>
        <w:t>.5 Climate change adaptation strategies</w:t>
      </w:r>
    </w:p>
    <w:p w14:paraId="287721D6" w14:textId="77777777" w:rsidR="004B42B5" w:rsidRPr="004B42B5" w:rsidRDefault="004B42B5" w:rsidP="004B42B5">
      <w:pPr>
        <w:pStyle w:val="Heading2"/>
        <w:spacing w:before="0" w:line="240" w:lineRule="auto"/>
        <w:contextualSpacing/>
        <w:jc w:val="both"/>
        <w:rPr>
          <w:rFonts w:ascii="Arial" w:hAnsi="Arial" w:cs="Arial"/>
          <w:bCs/>
          <w:i/>
          <w:color w:val="auto"/>
          <w:sz w:val="22"/>
          <w:szCs w:val="22"/>
        </w:rPr>
      </w:pPr>
      <w:r w:rsidRPr="004B42B5">
        <w:rPr>
          <w:rFonts w:ascii="Arial" w:hAnsi="Arial" w:cs="Arial"/>
          <w:b/>
          <w:color w:val="auto"/>
          <w:sz w:val="22"/>
          <w:szCs w:val="22"/>
        </w:rPr>
        <w:t xml:space="preserve">Small scale farmers in the study area employ different measures to arrest effects emanating from climate change especially those related to </w:t>
      </w:r>
      <w:r w:rsidRPr="004B42B5">
        <w:rPr>
          <w:rFonts w:ascii="Arial" w:hAnsi="Arial" w:cs="Arial"/>
          <w:bCs/>
          <w:iCs/>
          <w:color w:val="auto"/>
          <w:sz w:val="22"/>
          <w:szCs w:val="22"/>
        </w:rPr>
        <w:t>crops cultivation and soil moisture</w:t>
      </w:r>
      <w:r w:rsidRPr="004B42B5">
        <w:rPr>
          <w:rFonts w:ascii="Arial" w:hAnsi="Arial" w:cs="Arial"/>
          <w:b/>
          <w:color w:val="auto"/>
          <w:sz w:val="22"/>
          <w:szCs w:val="22"/>
        </w:rPr>
        <w:t xml:space="preserve"> management as detailed under section below:</w:t>
      </w:r>
    </w:p>
    <w:bookmarkEnd w:id="6"/>
    <w:p w14:paraId="7D59D060" w14:textId="77777777" w:rsidR="004B42B5" w:rsidRPr="004B42B5" w:rsidRDefault="004B42B5" w:rsidP="004B42B5">
      <w:pPr>
        <w:spacing w:line="240" w:lineRule="auto"/>
        <w:contextualSpacing/>
        <w:jc w:val="both"/>
        <w:rPr>
          <w:rFonts w:ascii="Arial" w:hAnsi="Arial" w:cs="Arial"/>
        </w:rPr>
      </w:pPr>
      <w:r w:rsidRPr="004B42B5">
        <w:rPr>
          <w:rFonts w:ascii="Arial" w:hAnsi="Arial" w:cs="Arial"/>
        </w:rPr>
        <w:t xml:space="preserve">As a result of unpredictable weather, farmers have adopted different farming systems that enable them to continue to produce crops amid vagaries of weather fluctuations. They practice intercropping, where maize and pumpkin; cassava and banana are cropped on the same piece of land as a way of avoiding climate risks. If the rains are enough in that particular season, reasonable production of crops like maize is realized. If the rains are below average, production of drought tolerance crops like cassava and potatoes are realized. A combination of several crops at the same time on the same fields by using a mix of cultivars or intercropping is a common adaptation measure </w:t>
      </w:r>
      <w:r w:rsidRPr="004B42B5">
        <w:rPr>
          <w:rFonts w:ascii="Arial" w:hAnsi="Arial" w:cs="Arial"/>
        </w:rPr>
        <w:fldChar w:fldCharType="begin" w:fldLock="1"/>
      </w:r>
      <w:r w:rsidRPr="004B42B5">
        <w:rPr>
          <w:rFonts w:ascii="Arial" w:hAnsi="Arial" w:cs="Arial"/>
        </w:rPr>
        <w:instrText>ADDIN CSL_CITATION {"citationItems":[{"id":"ITEM-1","itemData":{"DOI":"10.1080/21683565.2018.1509166","ISSN":"21683573","abstract":"Climate change is expected to strongly affect African farming systems. As vast proportions of African countries’ populations rely on agriculture for livelihood and food security, there is a need to adapt current practices and develop new climate-resilient strategies and farming systems. Here, we inventory and review which agroecological practices currently implemented in semiarid and subhumid Africa can promote adaptation to climate change. This work was carried out through extensive literature research, plus interviews with 24 experts from different African and French NGOs active in agricultural development programs in Africa. We found that: (1) some inventoried practices may not specifically be implemented in response to climate change impacts, yet they aid in adapting to reduced or more variable rainfall and increased temperature, and/or enhance carbon sequestration; (2) other practices promote indirect adaptation by increasing resilience of cropping or livestock systems; (3) many farmers use combinations of different practices to increase overall farming system resilience and through this strategy can achieve efficient adaptation to climate changes, as single practices normally are not sufficient. Our review and evaluation show that a broad variety of agroecological practices provides high potential to adapt to climate change effects in semiarid and subhumid African farming systems.","author":[{"dropping-particle":"","family":"Debray","given":"Valentine","non-dropping-particle":"","parse-names":false,"suffix":""},{"dropping-particle":"","family":"Wezel","given":"Alexander","non-dropping-particle":"","parse-names":false,"suffix":""},{"dropping-particle":"","family":"Lambert-Derkimba","given":"Adeline","non-dropping-particle":"","parse-names":false,"suffix":""},{"dropping-particle":"","family":"Roesch","given":"Katia","non-dropping-particle":"","parse-names":false,"suffix":""},{"dropping-particle":"","family":"Lieblein","given":"Geir","non-dropping-particle":"","parse-names":false,"suffix":""},{"dropping-particle":"","family":"Francis","given":"Charles Andrew","non-dropping-particle":"","parse-names":false,"suffix":""}],"container-title":"Agroecology and Sustainable Food Systems","id":"ITEM-1","issue":"4","issued":{"date-parts":[["2019","4","21"]]},"page":"429-456","publisher":"Taylor and Francis Inc.","title":"Agroecological practices for climate change adaptation in semiarid and subhumid Africa","type":"article-journal","volume":"43"},"uris":["http://www.mendeley.com/documents/?uuid=3ae9ba1c-64d6-3960-a3b2-0a7ed5d9c139"]}],"mendeley":{"formattedCitation":"(Debray et al., 2019)","plainTextFormattedCitation":"(Debray et al., 2019)","previouslyFormattedCitation":"(Debray et al. 2019)"},"properties":{"noteIndex":0},"schema":"https://github.com/citation-style-language/schema/raw/master/csl-citation.json"}</w:instrText>
      </w:r>
      <w:r w:rsidRPr="004B42B5">
        <w:rPr>
          <w:rFonts w:ascii="Arial" w:hAnsi="Arial" w:cs="Arial"/>
        </w:rPr>
        <w:fldChar w:fldCharType="separate"/>
      </w:r>
      <w:r w:rsidRPr="004B42B5">
        <w:rPr>
          <w:rFonts w:ascii="Arial" w:hAnsi="Arial" w:cs="Arial"/>
          <w:noProof/>
        </w:rPr>
        <w:t>(Debray et al., 2019)</w:t>
      </w:r>
      <w:r w:rsidRPr="004B42B5">
        <w:rPr>
          <w:rFonts w:ascii="Arial" w:hAnsi="Arial" w:cs="Arial"/>
        </w:rPr>
        <w:fldChar w:fldCharType="end"/>
      </w:r>
      <w:r w:rsidRPr="004B42B5">
        <w:rPr>
          <w:rFonts w:ascii="Arial" w:hAnsi="Arial" w:cs="Arial"/>
        </w:rPr>
        <w:t xml:space="preserve">. However, such practices need knowledge about new crops, which majority of </w:t>
      </w:r>
      <w:proofErr w:type="gramStart"/>
      <w:r w:rsidRPr="004B42B5">
        <w:rPr>
          <w:rFonts w:ascii="Arial" w:hAnsi="Arial" w:cs="Arial"/>
        </w:rPr>
        <w:t>small scale</w:t>
      </w:r>
      <w:proofErr w:type="gramEnd"/>
      <w:r w:rsidRPr="004B42B5">
        <w:rPr>
          <w:rFonts w:ascii="Arial" w:hAnsi="Arial" w:cs="Arial"/>
        </w:rPr>
        <w:t xml:space="preserve"> farmers do not have. Furthermore, small scale farmers utilize low land zones (river valley) for production of vegetables (okra, </w:t>
      </w:r>
      <w:proofErr w:type="spellStart"/>
      <w:r w:rsidRPr="004B42B5">
        <w:rPr>
          <w:rFonts w:ascii="Arial" w:hAnsi="Arial" w:cs="Arial"/>
        </w:rPr>
        <w:t>amaranthus</w:t>
      </w:r>
      <w:proofErr w:type="spellEnd"/>
      <w:r w:rsidRPr="004B42B5">
        <w:rPr>
          <w:rFonts w:ascii="Arial" w:hAnsi="Arial" w:cs="Arial"/>
        </w:rPr>
        <w:t xml:space="preserve">, spinach, eggplant, tomatoes, and pumpkins) as a climate change adaptation strategy when other areas have soil moisture deficit. The combination of measures </w:t>
      </w:r>
      <w:proofErr w:type="gramStart"/>
      <w:r w:rsidRPr="004B42B5">
        <w:rPr>
          <w:rFonts w:ascii="Arial" w:hAnsi="Arial" w:cs="Arial"/>
        </w:rPr>
        <w:t>were</w:t>
      </w:r>
      <w:proofErr w:type="gramEnd"/>
      <w:r w:rsidRPr="004B42B5">
        <w:rPr>
          <w:rFonts w:ascii="Arial" w:hAnsi="Arial" w:cs="Arial"/>
        </w:rPr>
        <w:t xml:space="preserve"> developed as a result of integration of cultural methods, training from extension workers on modern farming technologies and experiences gained from one season to another. The diversification is a very important tool of minimizing the climate shocks related risks, which enhances the resilience of farmers. However, diversification can lead to decreased productivity because farmers will have low motivation to invest in yield enhancing endeavors like fertilizer application or use of improved seeds </w:t>
      </w:r>
      <w:r w:rsidRPr="004B42B5">
        <w:rPr>
          <w:rFonts w:ascii="Arial" w:hAnsi="Arial" w:cs="Arial"/>
        </w:rPr>
        <w:fldChar w:fldCharType="begin" w:fldLock="1"/>
      </w:r>
      <w:r w:rsidRPr="004B42B5">
        <w:rPr>
          <w:rFonts w:ascii="Arial" w:hAnsi="Arial" w:cs="Arial"/>
        </w:rPr>
        <w:instrText>ADDIN CSL_CITATION {"citationItems":[{"id":"ITEM-1","itemData":{"DOI":"10.1016/j.njas.2016.03.005","ISSN":"22121307","abstract":"Agriculture is the mainstay of the Kenyan economy, contributing to food security and employment of rural households. Climate variability and change have adversely affected this sector and the situation is expected to worsen in the future. We estimate the effect of climate variability and change on revenue from all crops, maize and tea separately, using a household fixed effects estimator. We find that climate variability and change affects agricultural production but effects differ across crops. Temperature has a negative effect on crop and maize revenues but a positive one on tea, while rainfall has a negative effect on tea. We find that tea relies on stable temperatures and consistent rainfall patterns and any excess would negatively affect production. Temperature has a greater impact on crop production than rainfall. Climate change will adversely affect agriculture in 2020, 2030 and 2040 with greater effects in the tea sector. Therefore, rethinking the likely harmful effects of rising temperatures and increasing rainfall uncertainty should be a priority in Kenya. Implementing adaptation measures at national, county and farm levels as well as putting in place policies that prevent destruction of the natural environment will assist to address the challenges posed by climate variability and change.","author":[{"dropping-particle":"","family":"Ochieng","given":"Justus","non-dropping-particle":"","parse-names":false,"suffix":""},{"dropping-particle":"","family":"Kirimi","given":"Lilian","non-dropping-particle":"","parse-names":false,"suffix":""},{"dropping-particle":"","family":"Mathenge","given":"Mary","non-dropping-particle":"","parse-names":false,"suffix":""}],"container-title":"NJAS - Wageningen Journal of Life Sciences","id":"ITEM-1","issued":{"date-parts":[["2016"]]},"page":"71-78","publisher":"Royal Netherlands Society for Agriculture Sciences","title":"Effects of climate variability and change on agricultural production: The case of small scale farmers in Kenya","type":"article-journal","volume":"77"},"uris":["http://www.mendeley.com/documents/?uuid=e5b06bfd-fc41-48b9-888d-ab0eee26eb11","http://www.mendeley.com/documents/?uuid=2eda2390-8b07-4d4e-801f-962befbb3415"]}],"mendeley":{"formattedCitation":"(Ochieng et al., 2016)","plainTextFormattedCitation":"(Ochieng et al., 2016)","previouslyFormattedCitation":"(Ochieng, Kirimi, and Mathenge 2016)"},"properties":{"noteIndex":0},"schema":"https://github.com/citation-style-language/schema/raw/master/csl-citation.json"}</w:instrText>
      </w:r>
      <w:r w:rsidRPr="004B42B5">
        <w:rPr>
          <w:rFonts w:ascii="Arial" w:hAnsi="Arial" w:cs="Arial"/>
        </w:rPr>
        <w:fldChar w:fldCharType="separate"/>
      </w:r>
      <w:r w:rsidRPr="004B42B5">
        <w:rPr>
          <w:rFonts w:ascii="Arial" w:hAnsi="Arial" w:cs="Arial"/>
          <w:noProof/>
        </w:rPr>
        <w:t>(Ochieng et al., 2016)</w:t>
      </w:r>
      <w:r w:rsidRPr="004B42B5">
        <w:rPr>
          <w:rFonts w:ascii="Arial" w:hAnsi="Arial" w:cs="Arial"/>
        </w:rPr>
        <w:fldChar w:fldCharType="end"/>
      </w:r>
      <w:r w:rsidRPr="004B42B5">
        <w:rPr>
          <w:rFonts w:ascii="Arial" w:hAnsi="Arial" w:cs="Arial"/>
        </w:rPr>
        <w:t xml:space="preserve">. </w:t>
      </w:r>
    </w:p>
    <w:p w14:paraId="799BF792" w14:textId="77777777" w:rsidR="004B42B5" w:rsidRPr="004B42B5" w:rsidRDefault="004B42B5" w:rsidP="004B42B5">
      <w:pPr>
        <w:spacing w:line="240" w:lineRule="auto"/>
        <w:contextualSpacing/>
        <w:jc w:val="both"/>
        <w:rPr>
          <w:rFonts w:ascii="Arial" w:hAnsi="Arial" w:cs="Arial"/>
        </w:rPr>
      </w:pPr>
      <w:r w:rsidRPr="004B42B5">
        <w:rPr>
          <w:rFonts w:ascii="Arial" w:hAnsi="Arial" w:cs="Arial"/>
        </w:rPr>
        <w:t xml:space="preserve">It was further observed that 10% of the respondents cultivate on wetlands and 9% opt for irrigation as one of the climate change adaptation measures (Table 1). Therefore, in total 19% of the respondents use adaptation measures that enhance availability of moisture in root zones. Multinomial regression logistic analysis did not show a significant relationship between respondent’s characteristics and the adoption of measures that ensure improved moisture in root zones. Availability of irrigation facilities is one of the factors that influence adaptation strategy. Under favorable irrigation conditions, farmers are likely to remain in agriculture, although they may be compelled to change cropping patterns and the type of crops they grow as witnessed in the present study. </w:t>
      </w:r>
    </w:p>
    <w:p w14:paraId="6F759040" w14:textId="77777777" w:rsidR="004B42B5" w:rsidRPr="004B42B5" w:rsidRDefault="004B42B5" w:rsidP="004B42B5">
      <w:pPr>
        <w:spacing w:line="240" w:lineRule="auto"/>
        <w:contextualSpacing/>
        <w:jc w:val="both"/>
        <w:rPr>
          <w:rFonts w:ascii="Arial" w:hAnsi="Arial" w:cs="Arial"/>
        </w:rPr>
      </w:pPr>
    </w:p>
    <w:p w14:paraId="0C2BDCF7" w14:textId="77777777" w:rsidR="004B42B5" w:rsidRPr="004B42B5" w:rsidRDefault="004B42B5" w:rsidP="004B42B5">
      <w:pPr>
        <w:pStyle w:val="Heading2"/>
        <w:spacing w:before="0" w:line="240" w:lineRule="auto"/>
        <w:contextualSpacing/>
        <w:rPr>
          <w:rFonts w:ascii="Arial" w:hAnsi="Arial" w:cs="Arial"/>
          <w:iCs/>
          <w:color w:val="auto"/>
          <w:sz w:val="22"/>
          <w:szCs w:val="22"/>
        </w:rPr>
      </w:pPr>
      <w:bookmarkStart w:id="7" w:name="_Toc80264920"/>
      <w:r w:rsidRPr="004B42B5">
        <w:rPr>
          <w:rFonts w:ascii="Arial" w:hAnsi="Arial" w:cs="Arial"/>
          <w:bCs/>
          <w:iCs/>
          <w:color w:val="auto"/>
          <w:sz w:val="22"/>
          <w:szCs w:val="22"/>
        </w:rPr>
        <w:t>3.6 Strategies Used to Cope with  Weather</w:t>
      </w:r>
      <w:bookmarkEnd w:id="7"/>
      <w:r w:rsidRPr="004B42B5">
        <w:rPr>
          <w:rFonts w:ascii="Arial" w:hAnsi="Arial" w:cs="Arial"/>
          <w:bCs/>
          <w:iCs/>
          <w:color w:val="auto"/>
          <w:sz w:val="22"/>
          <w:szCs w:val="22"/>
        </w:rPr>
        <w:t xml:space="preserve"> Fluctuation</w:t>
      </w:r>
    </w:p>
    <w:p w14:paraId="09C8B0FF" w14:textId="77777777" w:rsidR="004B42B5" w:rsidRPr="004B42B5" w:rsidRDefault="004B42B5" w:rsidP="004B42B5">
      <w:pPr>
        <w:spacing w:line="240" w:lineRule="auto"/>
        <w:contextualSpacing/>
        <w:jc w:val="both"/>
        <w:rPr>
          <w:rFonts w:ascii="Arial" w:hAnsi="Arial" w:cs="Arial"/>
        </w:rPr>
      </w:pPr>
    </w:p>
    <w:p w14:paraId="733AE221" w14:textId="77777777" w:rsidR="004B42B5" w:rsidRPr="004B42B5" w:rsidRDefault="004B42B5" w:rsidP="004B42B5">
      <w:pPr>
        <w:spacing w:line="240" w:lineRule="auto"/>
        <w:contextualSpacing/>
        <w:jc w:val="both"/>
        <w:rPr>
          <w:rFonts w:ascii="Arial" w:hAnsi="Arial" w:cs="Arial"/>
        </w:rPr>
      </w:pPr>
      <w:r w:rsidRPr="004B42B5">
        <w:rPr>
          <w:rFonts w:ascii="Arial" w:hAnsi="Arial" w:cs="Arial"/>
        </w:rPr>
        <w:lastRenderedPageBreak/>
        <w:t xml:space="preserve">One of the factors that determine application of climate change adaptation measures by farmers is the capacity of the farmers to forecast weather condition </w:t>
      </w:r>
      <w:r w:rsidRPr="004B42B5">
        <w:rPr>
          <w:rFonts w:ascii="Arial" w:hAnsi="Arial" w:cs="Arial"/>
        </w:rPr>
        <w:fldChar w:fldCharType="begin" w:fldLock="1"/>
      </w:r>
      <w:r w:rsidRPr="004B42B5">
        <w:rPr>
          <w:rFonts w:ascii="Arial" w:hAnsi="Arial" w:cs="Arial"/>
        </w:rPr>
        <w:instrText>ADDIN CSL_CITATION {"citationItems":[{"id":"ITEM-1","itemData":{"DOI":"10.1080/00330124.2015.1033670","ISSN":"14679272","abstract":"This article discusses the state of the art in geovisualization supporting climate change adaptation. We reviewed twenty selected map-based Web tools, classified by their content and functionality, and assessed them by visual representations, interactive functions, information type, target audience, and how vulnerability and adaptation to climate change are addressed. Our study concludes that the tools (1) can be classified as data viewers with basic functionality and data explorers offering more sophisticated interactive functions; (2) mostly feature moderate or high richness of data content; and (3) predominantly target expert users.","author":[{"dropping-particle":"","family":"Neset","given":"Tina Simone","non-dropping-particle":"","parse-names":false,"suffix":""},{"dropping-particle":"","family":"Opach","given":"Tomasz","non-dropping-particle":"","parse-names":false,"suffix":""},{"dropping-particle":"","family":"Lion","given":"Peter","non-dropping-particle":"","parse-names":false,"suffix":""},{"dropping-particle":"","family":"Lilja","given":"Anna","non-dropping-particle":"","parse-names":false,"suffix":""},{"dropping-particle":"","family":"Johansson","given":"Jimmy","non-dropping-particle":"","parse-names":false,"suffix":""}],"container-title":"Professional Geographer","id":"ITEM-1","issue":"1","issued":{"date-parts":[["2016"]]},"page":"103-114","title":"Map-Based Web Tools Supporting Climate Change Adaptation","type":"article-journal","volume":"68"},"uris":["http://www.mendeley.com/documents/?uuid=657ee8a4-05ae-4f4d-9da8-5cfb81effc65","http://www.mendeley.com/documents/?uuid=67eabcf4-0b6a-4585-b39a-51677009dc1a"]}],"mendeley":{"formattedCitation":"(Neset et al., 2016)","plainTextFormattedCitation":"(Neset et al., 2016)","previouslyFormattedCitation":"(Neset et al. 2016)"},"properties":{"noteIndex":0},"schema":"https://github.com/citation-style-language/schema/raw/master/csl-citation.json"}</w:instrText>
      </w:r>
      <w:r w:rsidRPr="004B42B5">
        <w:rPr>
          <w:rFonts w:ascii="Arial" w:hAnsi="Arial" w:cs="Arial"/>
        </w:rPr>
        <w:fldChar w:fldCharType="separate"/>
      </w:r>
      <w:r w:rsidRPr="004B42B5">
        <w:rPr>
          <w:rFonts w:ascii="Arial" w:hAnsi="Arial" w:cs="Arial"/>
          <w:noProof/>
        </w:rPr>
        <w:t>(Neset et al., 2016)</w:t>
      </w:r>
      <w:r w:rsidRPr="004B42B5">
        <w:rPr>
          <w:rFonts w:ascii="Arial" w:hAnsi="Arial" w:cs="Arial"/>
        </w:rPr>
        <w:fldChar w:fldCharType="end"/>
      </w:r>
      <w:r w:rsidRPr="004B42B5">
        <w:rPr>
          <w:rFonts w:ascii="Arial" w:hAnsi="Arial" w:cs="Arial"/>
        </w:rPr>
        <w:t xml:space="preserve">. For example, they may start immediately improving irrigation or conserve water. There is a 3.4 times higher probability of improving irrigation infrastructure if farmers have information on seasonal climate variability </w:t>
      </w:r>
      <w:r w:rsidRPr="004B42B5">
        <w:rPr>
          <w:rFonts w:ascii="Arial" w:hAnsi="Arial" w:cs="Arial"/>
        </w:rPr>
        <w:fldChar w:fldCharType="begin" w:fldLock="1"/>
      </w:r>
      <w:r w:rsidRPr="004B42B5">
        <w:rPr>
          <w:rFonts w:ascii="Arial" w:hAnsi="Arial" w:cs="Arial"/>
        </w:rPr>
        <w:instrText>ADDIN CSL_CITATION {"citationItems":[{"id":"ITEM-1","itemData":{"DOI":"10.1016/j.ecolind.2020.106475","ISSN":"1470160X","abstract":"This paper aims at identifying the key determinants, which influence and motivate farmers to adopt a rational, cost-effective, climate-smart adaptation strategy. Macro data encompasses review of studies using “Scopus database” and Micro data from field survey in dry region of Bundelkhand (Uttar Pradesh), India. Multi-stage sampling technique was adopted to select study sites and respondents. A total of 200 sample households of various land size categories were contacted for collecting data using a well-structured and pre-tested schedule. Study findings revealed that variability in temperature and rainfall has affected adversely to the livelihoods of farmers. Low level of livelihood status, fewer non-farm employment opportunities and low cropped area under irrigation were the main barriers to climate change adaptation. Insurance and credit were the main positive determinants that motivated farmers to adjust farm practices. Early maturing seed varieties and less water consuming crop varieties were the most profitable adaptation strategies. Policy intervention should prioritize eliminating asymmetry in information and communication. Enhancing institutional capacities to forecast weather in small geographic regions accurately and warranting accountability of meteorological department is imperative.","author":[{"dropping-particle":"","family":"Singh","given":"Surendra","non-dropping-particle":"","parse-names":false,"suffix":""}],"container-title":"Ecological Indicators","id":"ITEM-1","issued":{"date-parts":[["2020","9","1"]]},"publisher":"Elsevier B.V.","title":"Farmers’ perception of climate change and adaptation decisions: A micro-level evidence from Bundelkhand Region, India","type":"article-journal","volume":"116"},"uris":["http://www.mendeley.com/documents/?uuid=6fd9f620-71d5-499b-bd4f-dfd77f25fa27","http://www.mendeley.com/documents/?uuid=f0cbf2e8-a5a5-3d03-b38c-f7f3de543dcf"]}],"mendeley":{"formattedCitation":"(S. Singh, 2020a)","plainTextFormattedCitation":"(S. Singh, 2020a)","previouslyFormattedCitation":"(Singh 2020a)"},"properties":{"noteIndex":0},"schema":"https://github.com/citation-style-language/schema/raw/master/csl-citation.json"}</w:instrText>
      </w:r>
      <w:r w:rsidRPr="004B42B5">
        <w:rPr>
          <w:rFonts w:ascii="Arial" w:hAnsi="Arial" w:cs="Arial"/>
        </w:rPr>
        <w:fldChar w:fldCharType="separate"/>
      </w:r>
      <w:r w:rsidRPr="004B42B5">
        <w:rPr>
          <w:rFonts w:ascii="Arial" w:hAnsi="Arial" w:cs="Arial"/>
          <w:noProof/>
        </w:rPr>
        <w:t>(S. Singh, 2020a)</w:t>
      </w:r>
      <w:r w:rsidRPr="004B42B5">
        <w:rPr>
          <w:rFonts w:ascii="Arial" w:hAnsi="Arial" w:cs="Arial"/>
        </w:rPr>
        <w:fldChar w:fldCharType="end"/>
      </w:r>
      <w:r w:rsidRPr="004B42B5">
        <w:rPr>
          <w:rFonts w:ascii="Arial" w:hAnsi="Arial" w:cs="Arial"/>
        </w:rPr>
        <w:t xml:space="preserve">. Successful application of adaptation measures can be viewed as a way of keeping farmers in crop production activities because when a farmer encounters crop failure more than once, his financial capacity is highly eroded and he may abandon farming all together because he may not be willing to continue with unforeseen spending of household savings on replanting to make up for the lost crops </w:t>
      </w:r>
      <w:r w:rsidRPr="004B42B5">
        <w:rPr>
          <w:rFonts w:ascii="Arial" w:hAnsi="Arial" w:cs="Arial"/>
        </w:rPr>
        <w:fldChar w:fldCharType="begin" w:fldLock="1"/>
      </w:r>
      <w:r w:rsidRPr="004B42B5">
        <w:rPr>
          <w:rFonts w:ascii="Arial" w:hAnsi="Arial" w:cs="Arial"/>
        </w:rPr>
        <w:instrText>ADDIN CSL_CITATION {"citationItems":[{"id":"ITEM-1","itemData":{"DOI":"10.1080/20421338.2020.1816615","ISSN":"20421346","abstract":"Climate change poses major threats to people and ecosystems. In many areas, climate change impacts have affected the availability of basic necessities including freshwater, food security, and energy. Developing countries are more adversely impacted by climate change and are less prepared to cope with its impacts. Over the years, local communities in these countries have been using their local based knowledge commonly known as indigenous knowledge (IK) to adapt to any form of uncertainty including climate change. This article assesses the IK used by the mixed farmers in Tanzania to adapt to the impacts of climate change. The study that informed this article was conducted in Missenyi and Muleba Districts, Kagera Region along the Ngono River Basin in Tanzania. It employed different techniques and methods to gather information from both primary and secondary sources including focus group discussions, key informant interviews, observation and desk reviews. The findings revealed that local communities within the basin have developed a sophisticated body of knowledge to withstand impacts of climate change. This knowledge is socially constructed and embedded within the socio-cultural context of the local communities. The findings further established that IK is mostly used in a situation of long drought season, infestation of diseases and pests for both livestock and crops as well as during occurrence of strong winds. In such circumstances, most oft-cited adaptation practices used include farming and grazing in wetlands, growing of drought resistant crops, using locally made pesticides, and grain storage, to mention but a few. The article recommends that despite the fact that some IK seems to be helpful at the local level, it is necessary that local communities are assisted in their adaptive strategies so that they can respond to climate change effectively and enhance their resilience.","author":[{"dropping-particle":"","family":"Theodory","given":"Theobald Frank","non-dropping-particle":"","parse-names":false,"suffix":""}],"container-title":"African Journal of Science, Technology, Innovation and Development","id":"ITEM-1","issue":"1","issued":{"date-parts":[["2021"]]},"page":"51-59","title":"Understanding the relevance of indigenous knowledge on climate change adaptation among mixed farmers in the Ngono River Basin, Tanzania","type":"article-journal","volume":"13"},"uris":["http://www.mendeley.com/documents/?uuid=3554b443-216d-4127-95c9-1ae7776ce44f","http://www.mendeley.com/documents/?uuid=c0825013-6dc6-4f63-98cc-0413e9d19578"]}],"mendeley":{"formattedCitation":"(Theodory, 2021)","plainTextFormattedCitation":"(Theodory, 2021)","previouslyFormattedCitation":"(Theodory 2021)"},"properties":{"noteIndex":0},"schema":"https://github.com/citation-style-language/schema/raw/master/csl-citation.json"}</w:instrText>
      </w:r>
      <w:r w:rsidRPr="004B42B5">
        <w:rPr>
          <w:rFonts w:ascii="Arial" w:hAnsi="Arial" w:cs="Arial"/>
        </w:rPr>
        <w:fldChar w:fldCharType="separate"/>
      </w:r>
      <w:r w:rsidRPr="004B42B5">
        <w:rPr>
          <w:rFonts w:ascii="Arial" w:hAnsi="Arial" w:cs="Arial"/>
          <w:noProof/>
        </w:rPr>
        <w:t>(Theodory, 2021)</w:t>
      </w:r>
      <w:r w:rsidRPr="004B42B5">
        <w:rPr>
          <w:rFonts w:ascii="Arial" w:hAnsi="Arial" w:cs="Arial"/>
        </w:rPr>
        <w:fldChar w:fldCharType="end"/>
      </w:r>
      <w:r w:rsidRPr="004B42B5">
        <w:rPr>
          <w:rFonts w:ascii="Arial" w:hAnsi="Arial" w:cs="Arial"/>
        </w:rPr>
        <w:t xml:space="preserve">.  </w:t>
      </w:r>
    </w:p>
    <w:p w14:paraId="3501EE5F" w14:textId="77777777" w:rsidR="004B42B5" w:rsidRPr="004B42B5" w:rsidRDefault="004B42B5" w:rsidP="004B42B5">
      <w:pPr>
        <w:spacing w:line="240" w:lineRule="auto"/>
        <w:contextualSpacing/>
        <w:jc w:val="both"/>
        <w:rPr>
          <w:rFonts w:ascii="Arial" w:hAnsi="Arial" w:cs="Arial"/>
        </w:rPr>
      </w:pPr>
      <w:r w:rsidRPr="004B42B5">
        <w:rPr>
          <w:rFonts w:ascii="Arial" w:hAnsi="Arial" w:cs="Arial"/>
        </w:rPr>
        <w:t xml:space="preserve">Farmers diversify their farming systems to adapt to temporal weather fluctuations </w:t>
      </w:r>
      <w:r w:rsidRPr="004B42B5">
        <w:rPr>
          <w:rFonts w:ascii="Arial" w:hAnsi="Arial" w:cs="Arial"/>
        </w:rPr>
        <w:fldChar w:fldCharType="begin" w:fldLock="1"/>
      </w:r>
      <w:r w:rsidRPr="004B42B5">
        <w:rPr>
          <w:rFonts w:ascii="Arial" w:hAnsi="Arial" w:cs="Arial"/>
        </w:rPr>
        <w:instrText>ADDIN CSL_CITATION {"citationItems":[{"id":"ITEM-1","itemData":{"DOI":"10.1080/21683565.2018.1509166","ISSN":"21683573","abstract":"Climate change is expected to strongly affect African farming systems. As vast proportions of African countries’ populations rely on agriculture for livelihood and food security, there is a need to adapt current practices and develop new climate-resilient strategies and farming systems. Here, we inventory and review which agroecological practices currently implemented in semiarid and subhumid Africa can promote adaptation to climate change. This work was carried out through extensive literature research, plus interviews with 24 experts from different African and French NGOs active in agricultural development programs in Africa. We found that: (1) some inventoried practices may not specifically be implemented in response to climate change impacts, yet they aid in adapting to reduced or more variable rainfall and increased temperature, and/or enhance carbon sequestration; (2) other practices promote indirect adaptation by increasing resilience of cropping or livestock systems; (3) many farmers use combinations of different practices to increase overall farming system resilience and through this strategy can achieve efficient adaptation to climate changes, as single practices normally are not sufficient. Our review and evaluation show that a broad variety of agroecological practices provides high potential to adapt to climate change effects in semiarid and subhumid African farming systems.","author":[{"dropping-particle":"","family":"Debray","given":"Valentine","non-dropping-particle":"","parse-names":false,"suffix":""},{"dropping-particle":"","family":"Wezel","given":"Alexander","non-dropping-particle":"","parse-names":false,"suffix":""},{"dropping-particle":"","family":"Lambert-Derkimba","given":"Adeline","non-dropping-particle":"","parse-names":false,"suffix":""},{"dropping-particle":"","family":"Roesch","given":"Katia","non-dropping-particle":"","parse-names":false,"suffix":""},{"dropping-particle":"","family":"Lieblein","given":"Geir","non-dropping-particle":"","parse-names":false,"suffix":""},{"dropping-particle":"","family":"Francis","given":"Charles Andrew","non-dropping-particle":"","parse-names":false,"suffix":""}],"container-title":"Agroecology and Sustainable Food Systems","id":"ITEM-1","issue":"4","issued":{"date-parts":[["2019","4","21"]]},"page":"429-456","publisher":"Taylor and Francis Inc.","title":"Agroecological practices for climate change adaptation in semiarid and subhumid Africa","type":"article-journal","volume":"43"},"uris":["http://www.mendeley.com/documents/?uuid=3ae9ba1c-64d6-3960-a3b2-0a7ed5d9c139"]}],"mendeley":{"formattedCitation":"(Debray et al., 2019)","plainTextFormattedCitation":"(Debray et al., 2019)","previouslyFormattedCitation":"(Debray et al. 2019)"},"properties":{"noteIndex":0},"schema":"https://github.com/citation-style-language/schema/raw/master/csl-citation.json"}</w:instrText>
      </w:r>
      <w:r w:rsidRPr="004B42B5">
        <w:rPr>
          <w:rFonts w:ascii="Arial" w:hAnsi="Arial" w:cs="Arial"/>
        </w:rPr>
        <w:fldChar w:fldCharType="separate"/>
      </w:r>
      <w:r w:rsidRPr="004B42B5">
        <w:rPr>
          <w:rFonts w:ascii="Arial" w:hAnsi="Arial" w:cs="Arial"/>
          <w:noProof/>
        </w:rPr>
        <w:t>(Debray et al., 2019)</w:t>
      </w:r>
      <w:r w:rsidRPr="004B42B5">
        <w:rPr>
          <w:rFonts w:ascii="Arial" w:hAnsi="Arial" w:cs="Arial"/>
        </w:rPr>
        <w:fldChar w:fldCharType="end"/>
      </w:r>
      <w:r w:rsidRPr="004B42B5">
        <w:rPr>
          <w:rFonts w:ascii="Arial" w:hAnsi="Arial" w:cs="Arial"/>
        </w:rPr>
        <w:t xml:space="preserve">. A major strategy is to diversify farming systems, whereas the farmer’s adaptation at scale involves adjustment decisions usually taken in short time and are mostly based on onset of seasonal climate. This offers greater resilience to climate variability compared to sole crop planting. In the present study, the most adopted climate change adaptation measure was planting early matured crops followed by small scale irrigation, together accounting for up to 50% of the respondents. Multinomial regression analysis carried-out did not show any significant relationship (p=0.05) between the choice of these climate change adaptation measures and characteristics of the respondents (analysis output not shown). Other measures adopted included carrying off farm activities, farming in wetlands, adopting high yield varieties, migration, reducing herd size and reserving food for the future. These practices, implemented in isolation or in combination thereof, can, to a great extent minimize damage resulting from vagaries of climate change </w:t>
      </w:r>
      <w:r w:rsidRPr="004B42B5">
        <w:rPr>
          <w:rFonts w:ascii="Arial" w:hAnsi="Arial" w:cs="Arial"/>
        </w:rPr>
        <w:fldChar w:fldCharType="begin" w:fldLock="1"/>
      </w:r>
      <w:r w:rsidRPr="004B42B5">
        <w:rPr>
          <w:rFonts w:ascii="Arial" w:hAnsi="Arial" w:cs="Arial"/>
        </w:rPr>
        <w:instrText>ADDIN CSL_CITATION {"citationItems":[{"id":"ITEM-1","itemData":{"DOI":"10.1007/s00267-013-0139-0","ISBN":"0026701301390","author":[{"dropping-particle":"","family":"Valley","given":"Zangbo River","non-dropping-particle":"","parse-names":false,"suffix":""},{"dropping-particle":"","family":"Li","given":"Chunyan","non-dropping-particle":"","parse-names":false,"suffix":""},{"dropping-particle":"","family":"Tang","given":"Ya","non-dropping-particle":"","parse-names":false,"suffix":""},{"dropping-particle":"","family":"Luo","given":"Han","non-dropping-particle":"","parse-names":false,"suffix":""},{"dropping-particle":"","family":"Di","given":"Baofeng","non-dropping-particle":"","parse-names":false,"suffix":""}],"id":"ITEM-1","issue":"24","issued":{"date-parts":[["2013"]]},"title":"Local Farmers ’ Perceptions of Climate Change and Local Adaptive Strategies : A Case Study from the Middle Yarlung","type":"article-journal"},"uris":["http://www.mendeley.com/documents/?uuid=a4550926-e17b-4393-9890-54ccce4edc08","http://www.mendeley.com/documents/?uuid=4076234d-c2df-46eb-a61d-9eca5686ea5c"]}],"mendeley":{"formattedCitation":"(Valley et al., 2013)","plainTextFormattedCitation":"(Valley et al., 2013)","previouslyFormattedCitation":"(Valley et al. 2013)"},"properties":{"noteIndex":0},"schema":"https://github.com/citation-style-language/schema/raw/master/csl-citation.json"}</w:instrText>
      </w:r>
      <w:r w:rsidRPr="004B42B5">
        <w:rPr>
          <w:rFonts w:ascii="Arial" w:hAnsi="Arial" w:cs="Arial"/>
        </w:rPr>
        <w:fldChar w:fldCharType="separate"/>
      </w:r>
      <w:r w:rsidRPr="004B42B5">
        <w:rPr>
          <w:rFonts w:ascii="Arial" w:hAnsi="Arial" w:cs="Arial"/>
          <w:noProof/>
        </w:rPr>
        <w:t>(Valley et al., 2013)</w:t>
      </w:r>
      <w:r w:rsidRPr="004B42B5">
        <w:rPr>
          <w:rFonts w:ascii="Arial" w:hAnsi="Arial" w:cs="Arial"/>
        </w:rPr>
        <w:fldChar w:fldCharType="end"/>
      </w:r>
      <w:r w:rsidRPr="004B42B5">
        <w:rPr>
          <w:rFonts w:ascii="Arial" w:hAnsi="Arial" w:cs="Arial"/>
        </w:rPr>
        <w:t xml:space="preserve">. Taking into consideration the economic, social and environmental conditions of the farmers in the study area, there is no one adaptation measure that can be successfully used to arrest effects of weather fluctuation. A variety of adaptation measures that are practiced in the area can be combined and form a synergy. Integration of traditional measures, </w:t>
      </w:r>
      <w:proofErr w:type="spellStart"/>
      <w:r w:rsidRPr="004B42B5">
        <w:rPr>
          <w:rFonts w:ascii="Arial" w:hAnsi="Arial" w:cs="Arial"/>
        </w:rPr>
        <w:t>agro</w:t>
      </w:r>
      <w:proofErr w:type="spellEnd"/>
      <w:r w:rsidRPr="004B42B5">
        <w:rPr>
          <w:rFonts w:ascii="Arial" w:hAnsi="Arial" w:cs="Arial"/>
        </w:rPr>
        <w:t xml:space="preserve">-ecology –based management practices </w:t>
      </w:r>
      <w:r w:rsidRPr="004B42B5">
        <w:rPr>
          <w:rFonts w:ascii="Arial" w:hAnsi="Arial" w:cs="Arial"/>
        </w:rPr>
        <w:fldChar w:fldCharType="begin" w:fldLock="1"/>
      </w:r>
      <w:r w:rsidRPr="004B42B5">
        <w:rPr>
          <w:rFonts w:ascii="Arial" w:hAnsi="Arial" w:cs="Arial"/>
        </w:rPr>
        <w:instrText>ADDIN CSL_CITATION {"citationItems":[{"id":"ITEM-1","itemData":{"DOI":"10.1080/17565529.2020.1772706","ISSN":"17565537","abstract":"The direct and indirect impacts of climate change may jeopardize livelihoods of millions of poor coffee-growing farmers, unless the sector manages to deploy adequate adaptation measures. This study provides valuable insight into smallholder coffee farmers’ adaptation strategies to climate change impacts and factors determining their choices based on a survey of 240 smallholder farmers in Jimma zone, southwest Ethiopia. The assessment indicates that the most common adaptation measures used by the producers include adjustment of planting date, change of the crop type and variety, tree plantation, and mixed farming. Access to weather forecasts and formal extension services, level of education, age of the household head, farm size and income from coffee and agro-ecological setting affect the coffee growers’ decision to adapt to climate change. Enhancing smallholder coffee farmers’ adaptation to climate change requires further efforts from the government to improve farmers’ access to accurate and timely agro-meteorological forecasts, capacity building and technical support for income diversification through improved provision of agricultural extension services.","author":[{"dropping-particle":"","family":"Eshetu","given":"Girma","non-dropping-particle":"","parse-names":false,"suffix":""},{"dropping-particle":"","family":"Johansson","given":"Tino","non-dropping-particle":"","parse-names":false,"suffix":""},{"dropping-particle":"","family":"Garedew","given":"Weyessa","non-dropping-particle":"","parse-names":false,"suffix":""},{"dropping-particle":"","family":"Yisahak","given":"Tigist","non-dropping-particle":"","parse-names":false,"suffix":""}],"container-title":"Climate and Development","id":"ITEM-1","issue":"4","issued":{"date-parts":[["2021"]]},"page":"318-325","publisher":"Taylor &amp; Francis","title":"Determinants of smallholder farmers’ adaptation options to climate change in a coffee-based farming system of Southwest Ethiopia","type":"article-journal","volume":"13"},"uris":["http://www.mendeley.com/documents/?uuid=4b9243b4-420f-4b4e-8230-9f3ce04cc54b","http://www.mendeley.com/documents/?uuid=70c422e6-740c-4b1b-a1b4-4ee69878f5fc"]}],"mendeley":{"formattedCitation":"(Eshetu et al., 2021)","plainTextFormattedCitation":"(Eshetu et al., 2021)","previouslyFormattedCitation":"(Eshetu et al. 2021)"},"properties":{"noteIndex":0},"schema":"https://github.com/citation-style-language/schema/raw/master/csl-citation.json"}</w:instrText>
      </w:r>
      <w:r w:rsidRPr="004B42B5">
        <w:rPr>
          <w:rFonts w:ascii="Arial" w:hAnsi="Arial" w:cs="Arial"/>
        </w:rPr>
        <w:fldChar w:fldCharType="separate"/>
      </w:r>
      <w:r w:rsidRPr="004B42B5">
        <w:rPr>
          <w:rFonts w:ascii="Arial" w:hAnsi="Arial" w:cs="Arial"/>
          <w:noProof/>
        </w:rPr>
        <w:t>(Eshetu et al., 2021)</w:t>
      </w:r>
      <w:r w:rsidRPr="004B42B5">
        <w:rPr>
          <w:rFonts w:ascii="Arial" w:hAnsi="Arial" w:cs="Arial"/>
        </w:rPr>
        <w:fldChar w:fldCharType="end"/>
      </w:r>
      <w:r w:rsidRPr="004B42B5">
        <w:rPr>
          <w:rFonts w:ascii="Arial" w:hAnsi="Arial" w:cs="Arial"/>
        </w:rPr>
        <w:t xml:space="preserve"> and modern farming techniques can be viewed as a plausible approach to arrest effects of climate change.</w:t>
      </w:r>
    </w:p>
    <w:p w14:paraId="26227905" w14:textId="77777777" w:rsidR="004B42B5" w:rsidRPr="004B42B5" w:rsidRDefault="004B42B5" w:rsidP="004B42B5">
      <w:pPr>
        <w:spacing w:line="240" w:lineRule="auto"/>
        <w:contextualSpacing/>
        <w:jc w:val="both"/>
        <w:rPr>
          <w:rFonts w:ascii="Arial" w:hAnsi="Arial" w:cs="Arial"/>
        </w:rPr>
      </w:pPr>
    </w:p>
    <w:p w14:paraId="13898BBC" w14:textId="77777777" w:rsidR="004B42B5" w:rsidRPr="004B42B5" w:rsidRDefault="004B42B5" w:rsidP="004B42B5">
      <w:pPr>
        <w:pStyle w:val="Heading2"/>
        <w:spacing w:before="0" w:line="240" w:lineRule="auto"/>
        <w:contextualSpacing/>
        <w:jc w:val="both"/>
        <w:rPr>
          <w:rFonts w:ascii="Arial" w:hAnsi="Arial" w:cs="Arial"/>
          <w:iCs/>
          <w:color w:val="auto"/>
          <w:sz w:val="22"/>
          <w:szCs w:val="22"/>
        </w:rPr>
      </w:pPr>
      <w:r w:rsidRPr="004B42B5">
        <w:rPr>
          <w:rFonts w:ascii="Arial" w:hAnsi="Arial" w:cs="Arial"/>
          <w:bCs/>
          <w:iCs/>
          <w:color w:val="auto"/>
          <w:sz w:val="22"/>
          <w:szCs w:val="22"/>
        </w:rPr>
        <w:t>3.7 Traditional and Modern Weather Forecast for Enhanced Uptake of Adaptation Measures</w:t>
      </w:r>
    </w:p>
    <w:p w14:paraId="1EC279C0" w14:textId="77777777" w:rsidR="004B42B5" w:rsidRPr="004B42B5" w:rsidRDefault="004B42B5" w:rsidP="004B42B5">
      <w:pPr>
        <w:spacing w:line="240" w:lineRule="auto"/>
        <w:contextualSpacing/>
        <w:jc w:val="both"/>
        <w:rPr>
          <w:rFonts w:ascii="Arial" w:hAnsi="Arial" w:cs="Arial"/>
          <w:iCs/>
          <w:lang w:val="en-GB"/>
        </w:rPr>
      </w:pPr>
    </w:p>
    <w:p w14:paraId="25C5750C" w14:textId="77777777" w:rsidR="004B42B5" w:rsidRPr="004B42B5" w:rsidRDefault="004B42B5" w:rsidP="004B42B5">
      <w:pPr>
        <w:spacing w:line="240" w:lineRule="auto"/>
        <w:contextualSpacing/>
        <w:jc w:val="both"/>
        <w:rPr>
          <w:rFonts w:ascii="Arial" w:hAnsi="Arial" w:cs="Arial"/>
          <w:lang w:val="en-GB"/>
        </w:rPr>
      </w:pPr>
      <w:r w:rsidRPr="004B42B5">
        <w:rPr>
          <w:rFonts w:ascii="Arial" w:hAnsi="Arial" w:cs="Arial"/>
          <w:lang w:val="en-GB"/>
        </w:rPr>
        <w:t xml:space="preserve">Historically, farmers used a variety of traditional indicators in making farm level decisions regarding farming systems such as crops choice and planting time in a particular season. </w:t>
      </w:r>
      <w:r w:rsidRPr="004B42B5">
        <w:rPr>
          <w:rFonts w:ascii="Arial" w:hAnsi="Arial" w:cs="Arial"/>
        </w:rPr>
        <w:t xml:space="preserve">They used their indigenous knowledge to perceive the changing behavior of climate and make changes in their farming practices </w:t>
      </w:r>
      <w:r w:rsidRPr="004B42B5">
        <w:fldChar w:fldCharType="begin" w:fldLock="1"/>
      </w:r>
      <w:r w:rsidRPr="004B42B5">
        <w:rPr>
          <w:rFonts w:ascii="Arial" w:hAnsi="Arial" w:cs="Arial"/>
        </w:rPr>
        <w:instrText>ADDIN CSL_CITATION {"citationItems":[{"id":"ITEM-1","itemData":{"DOI":"10.1016/j.ecolind.2020.106475","ISSN":"1470-160X","author":[{"dropping-particle":"","family":"Singh","given":"Surendra","non-dropping-particle":"","parse-names":false,"suffix":""}],"container-title":"Ecological Indicators","id":"ITEM-1","issue":"April 2019","issued":{"date-parts":[["2020"]]},"page":"106475","publisher":"Elsevier","title":"Farmers ’ perception of climate change and adaptation decisions : A micro- level evidence from Bundelkhand Region , India","type":"article-journal","volume":"116"},"uris":["http://www.mendeley.com/documents/?uuid=50a0e08f-3077-42fe-9b8c-236a0f150554","http://www.mendeley.com/documents/?uuid=7a477bd7-cf8f-4150-a1ce-5eabddd11542"]}],"mendeley":{"formattedCitation":"(S. Singh, 2020b)","plainTextFormattedCitation":"(S. Singh, 2020b)","previouslyFormattedCitation":"(Singh 2020b)"},"properties":{"noteIndex":0},"schema":"https://github.com/citation-style-language/schema/raw/master/csl-citation.json"}</w:instrText>
      </w:r>
      <w:r w:rsidRPr="004B42B5">
        <w:fldChar w:fldCharType="separate"/>
      </w:r>
      <w:r w:rsidRPr="004B42B5">
        <w:rPr>
          <w:rFonts w:ascii="Arial" w:hAnsi="Arial" w:cs="Arial"/>
          <w:noProof/>
        </w:rPr>
        <w:t>(S. Singh, 2020b)</w:t>
      </w:r>
      <w:r w:rsidRPr="004B42B5">
        <w:fldChar w:fldCharType="end"/>
      </w:r>
      <w:r w:rsidRPr="004B42B5">
        <w:rPr>
          <w:rFonts w:ascii="Arial" w:hAnsi="Arial" w:cs="Arial"/>
        </w:rPr>
        <w:t xml:space="preserve">. In the past, farmers in </w:t>
      </w:r>
      <w:proofErr w:type="spellStart"/>
      <w:r w:rsidRPr="004B42B5">
        <w:rPr>
          <w:rFonts w:ascii="Arial" w:hAnsi="Arial" w:cs="Arial"/>
        </w:rPr>
        <w:t>Kiharaka</w:t>
      </w:r>
      <w:proofErr w:type="spellEnd"/>
      <w:r w:rsidRPr="004B42B5">
        <w:rPr>
          <w:rFonts w:ascii="Arial" w:hAnsi="Arial" w:cs="Arial"/>
        </w:rPr>
        <w:t xml:space="preserve"> village used </w:t>
      </w:r>
      <w:r w:rsidRPr="004B42B5">
        <w:rPr>
          <w:rFonts w:ascii="Arial" w:hAnsi="Arial" w:cs="Arial"/>
          <w:lang w:val="en-GB"/>
        </w:rPr>
        <w:t xml:space="preserve">indicators based on culture and traditional beliefs to predict the future weather. These included some insects or plants such as baobab and mango trees. Shedding of leaves and later production of flowers by these species before their normal period indicated drought. Occurrence of ants and termites were indications of good amount of rain for planting crops. These traditional methods of weather forecast can be blended with scientific forecast weather information to enhance the accuracy of forecast and help farmers adapt the right climate change adaptation measures. For example involvement of farmers who provided local weather forecast indigenous information such as behaviour of trees, animals and wind patterns  enhanced weather forecast in Ghana, Kenya and Niger </w:t>
      </w:r>
      <w:r w:rsidRPr="004B42B5">
        <w:fldChar w:fldCharType="begin" w:fldLock="1"/>
      </w:r>
      <w:r w:rsidRPr="004B42B5">
        <w:rPr>
          <w:rFonts w:ascii="Arial" w:hAnsi="Arial" w:cs="Arial"/>
          <w:lang w:val="en-GB"/>
        </w:rPr>
        <w:instrText>ADDIN CSL_CITATION {"citationItems":[{"id":"ITEM-1","itemData":{"DOI":"10.1080/17565529.2017.1318744","ISSN":"1756-5529","author":[{"dropping-particle":"","family":"Singh","given":"Chandni","non-dropping-particle":"","parse-names":false,"suffix":""},{"dropping-particle":"","family":"Daron","given":"Joseph","non-dropping-particle":"","parse-names":false,"suffix":""},{"dropping-particle":"","family":"Bazaz","given":"Amir","non-dropping-particle":"","parse-names":false,"suffix":""},{"dropping-particle":"","family":"Ziervogel","given":"Gina","non-dropping-particle":"","parse-names":false,"suffix":""},{"dropping-particle":"","family":"Spear","given":"Dian","non-dropping-particle":"","parse-names":false,"suffix":""},{"dropping-particle":"","family":"Krishnaswamy","given":"Jagdish","non-dropping-particle":"","parse-names":false,"suffix":""},{"dropping-particle":"","family":"Zaroug","given":"Modathir","non-dropping-particle":"","parse-names":false,"suffix":""},{"dropping-particle":"","family":"Kituyi","given":"Evans","non-dropping-particle":"","parse-names":false,"suffix":""},{"dropping-particle":"","family":"Singh","given":"Chandni","non-dropping-particle":"","parse-names":false,"suffix":""},{"dropping-particle":"","family":"Daron","given":"Joseph","non-dropping-particle":"","parse-names":false,"suffix":""},{"dropping-particle":"","family":"Bazaz","given":"Amir","non-dropping-particle":"","parse-names":false,"suffix":""},{"dropping-particle":"","family":"Ziervogel","given":"Gina","non-dropping-particle":"","parse-names":false,"suffix":""},{"dropping-particle":"","family":"Spear","given":"Dian","non-dropping-particle":"","parse-names":false,"suffix":""}],"container-title":"Climate and Development","id":"ITEM-1","issue":"0","issued":{"date-parts":[["2017"]]},"page":"1-17","publisher":"Taylor &amp; Francis","title":"The utility of weather and climate information for adaptation decision-making : current uses and future prospects in Africa and India","type":"article-journal","volume":"0"},"uris":["http://www.mendeley.com/documents/?uuid=b97eebaa-1c71-4331-99fd-237d7414e96f","http://www.mendeley.com/documents/?uuid=ef666b84-00c6-4584-bcaa-0afe5fd4e385"]}],"mendeley":{"formattedCitation":"(C. Singh et al., 2017)","plainTextFormattedCitation":"(C. Singh et al., 2017)","previouslyFormattedCitation":"(Singh et al. 2017)"},"properties":{"noteIndex":0},"schema":"https://github.com/citation-style-language/schema/raw/master/csl-citation.json"}</w:instrText>
      </w:r>
      <w:r w:rsidRPr="004B42B5">
        <w:fldChar w:fldCharType="separate"/>
      </w:r>
      <w:r w:rsidRPr="004B42B5">
        <w:rPr>
          <w:rFonts w:ascii="Arial" w:hAnsi="Arial" w:cs="Arial"/>
          <w:noProof/>
          <w:lang w:val="en-GB"/>
        </w:rPr>
        <w:t>(C. Singh et al., 2017)</w:t>
      </w:r>
      <w:r w:rsidRPr="004B42B5">
        <w:fldChar w:fldCharType="end"/>
      </w:r>
      <w:r w:rsidRPr="004B42B5">
        <w:rPr>
          <w:rFonts w:ascii="Arial" w:hAnsi="Arial" w:cs="Arial"/>
          <w:lang w:val="en-GB"/>
        </w:rPr>
        <w:t xml:space="preserve">.  However, nowadays due to climate change and environmental degradation, most of the natural prediction factors such as forest and biodiversity which were abundant in the past are no longer available. This is a very big setback against capacity of farmers to predict the weather in the coming seasons as a tool to plan for the appropriate adaptation measures. This is because the knowledge was useful in predicting disasters caused by climate variability and hence devise a coping strategy </w:t>
      </w:r>
      <w:r w:rsidRPr="004B42B5">
        <w:fldChar w:fldCharType="begin" w:fldLock="1"/>
      </w:r>
      <w:r w:rsidRPr="004B42B5">
        <w:rPr>
          <w:rFonts w:ascii="Arial" w:hAnsi="Arial" w:cs="Arial"/>
          <w:lang w:val="en-GB"/>
        </w:rPr>
        <w:instrText>ADDIN CSL_CITATION {"citationItems":[{"id":"ITEM-1","itemData":{"DOI":"10.1080/17565529.2014.998604","ISSN":"17565537","abstract":"A study was conducted in Makoni and Hwedza smallholder farming areas in eastern Zimbabwe to investigate local perceptions of the impacts of climate change and variability, and how indigenous knowledge may enable farmers to construct appropriate responses to these impacts and make key agricultural decisions. The study revealed evidence of increased climate variability and heightening vulnerability in farming systems. Rainfall seasons have shortened by up to four weeks, impacting on food sources and ecosystem services, and increasing pressure on women and children as traditional roles change. Communities depended primarily on indigenous knowledge and local biological and geographical indicators of seasonal forecasts in making major strategic, tactical and operational decisions on crop production, including management of food stocks and social safety nets. In providing climate and technical production information, researchers and development practitioners will therefore need to fit in with farmers’ local decision-making frameworks. However, it should be recognized that some of the indicators (e.g. biological) on which this indigenous knowledge is traditionally based are also adversely affected by increased climate variability, placing limits on its scope as a basis for decision-making. Despite this, efforts to build the adaptive capacity of these farming communities should still consider the current indigenous knowledge base as an entry point.","author":[{"dropping-particle":"","family":"Mapfumo","given":"Paul","non-dropping-particle":"","parse-names":false,"suffix":""},{"dropping-particle":"","family":"Mtambanengwe","given":"Florence","non-dropping-particle":"","parse-names":false,"suffix":""},{"dropping-particle":"","family":"Chikowo","given":"Regis","non-dropping-particle":"","parse-names":false,"suffix":""}],"container-title":"Climate and Development","id":"ITEM-1","issue":"1","issued":{"date-parts":[["2016"]]},"page":"72-82","title":"Building on indigenous knowledge to strengthen the capacity of smallholder farming communities to adapt to climate change and variability in southern Africa","type":"article-journal","volume":"8"},"uris":["http://www.mendeley.com/documents/?uuid=1489cfb1-06c0-43bd-9537-2406f7931f9e","http://www.mendeley.com/documents/?uuid=703ab722-c017-45b8-b1d7-0cca66e75d4b"]}],"mendeley":{"formattedCitation":"(Mapfumo et al., 2016)","plainTextFormattedCitation":"(Mapfumo et al., 2016)","previouslyFormattedCitation":"(Mapfumo, Mtambanengwe, and Chikowo 2016)"},"properties":{"noteIndex":0},"schema":"https://github.com/citation-style-language/schema/raw/master/csl-citation.json"}</w:instrText>
      </w:r>
      <w:r w:rsidRPr="004B42B5">
        <w:fldChar w:fldCharType="separate"/>
      </w:r>
      <w:r w:rsidRPr="004B42B5">
        <w:rPr>
          <w:rFonts w:ascii="Arial" w:hAnsi="Arial" w:cs="Arial"/>
          <w:noProof/>
          <w:lang w:val="en-GB"/>
        </w:rPr>
        <w:t>(Mapfumo et al., 2016)</w:t>
      </w:r>
      <w:r w:rsidRPr="004B42B5">
        <w:fldChar w:fldCharType="end"/>
      </w:r>
      <w:r w:rsidRPr="004B42B5">
        <w:rPr>
          <w:rFonts w:ascii="Arial" w:hAnsi="Arial" w:cs="Arial"/>
          <w:lang w:val="en-GB"/>
        </w:rPr>
        <w:t xml:space="preserve">. Seasonal climate forecast is a major tool for adaptation to climate variation </w:t>
      </w:r>
      <w:r w:rsidRPr="004B42B5">
        <w:fldChar w:fldCharType="begin" w:fldLock="1"/>
      </w:r>
      <w:r w:rsidRPr="004B42B5">
        <w:rPr>
          <w:rFonts w:ascii="Arial" w:hAnsi="Arial" w:cs="Arial"/>
          <w:lang w:val="en-GB"/>
        </w:rPr>
        <w:instrText>ADDIN CSL_CITATION {"citationItems":[{"id":"ITEM-1","itemData":{"DOI":"10.1016/j.wace.2018.06.001","ISSN":"22120947","abstract":"Climate variability is a key source of livelihood risks faced by smallholder farmers in drier environments in many developing countries. Climate information provided on seasonal time-scales can sometimes improve agricultural decision-making. However, there are many barriers to the effective dissemination, communication and use of such information on farm and across the value chain. We used a case study in southern India to explore ways of overcoming some of these barriers such as those limiting access to information and effective communication of probabilistic forecast information. Firstly, we used social network analysis at the village level to identify particular individuals, groups or/and institutions who are central in information networks so as to be able to support them to increase the efficiency, effectiveness, equity and robustness of information transfers. This allowed us to identify potential opportunities and challenges around access, communication and forecast use. Close linking of formal and informal networks appeared to be a common, positive influencing factor. Secondly, we used value chain analysis to assess how pre-and post-farm decision-makers could use seasonal climate forecasts (SCF) in their own businesses and how this may propagate up and down the value chain. We found that the motivation for using SCF varied across the value chain and was likely of limited use to smaller, off-farm value chain players who take a short-term adaptive management approach to planning. However, it was seen as having significant potential for larger businesses who take a more strategic approach. This identified a possible risk of increased competitive inequality between businesses of different sizes. Thirdly, we addressed the challenge of translating probabilistic climate forecast information into support for decision making by using decision analysis with intermediaries enabling them to structure clearly problems with embedded climate probabilities. The construction of decision-trees enabled farm advisers and local researchers to explore the potential value of SCF by using the decision trees as a “boundary object” around which farmers and other decision makers, agricultural scientists, climate scientists, economists, social scientists and policy-makers could have thoughtful discussion leading to useful strategies to better manage climate risk. This paper outlines approaches and outcomes associated with these three activities as a way of exploring effecti…","author":[{"dropping-particle":"","family":"Nidumolu","given":"Uday","non-dropping-particle":"","parse-names":false,"suffix":""},{"dropping-particle":"","family":"Lim-Camacho","given":"Lilly","non-dropping-particle":"","parse-names":false,"suffix":""},{"dropping-particle":"","family":"Gaillard","given":"Estelle","non-dropping-particle":"","parse-names":false,"suffix":""},{"dropping-particle":"","family":"Hayman","given":"Peter","non-dropping-particle":"","parse-names":false,"suffix":""},{"dropping-particle":"","family":"Howden","given":"Mark","non-dropping-particle":"","parse-names":false,"suffix":""}],"container-title":"Weather and Climate Extremes","id":"ITEM-1","issue":"June 2018","issued":{"date-parts":[["2020"]]},"page":"100174","publisher":"Elsevier B.V.","title":"Linking climate forecasts to rural livelihoods: Mapping decisions, information networks and value chains","type":"article-journal","volume":"27"},"uris":["http://www.mendeley.com/documents/?uuid=78ab0026-db87-4d2b-82c5-fc27e27ae36b","http://www.mendeley.com/documents/?uuid=6f34d2fd-5136-4950-97f2-2ee2c7f1b848"]}],"mendeley":{"formattedCitation":"(Nidumolu et al., 2020)","plainTextFormattedCitation":"(Nidumolu et al., 2020)","previouslyFormattedCitation":"(Nidumolu et al. 2020)"},"properties":{"noteIndex":0},"schema":"https://github.com/citation-style-language/schema/raw/master/csl-citation.json"}</w:instrText>
      </w:r>
      <w:r w:rsidRPr="004B42B5">
        <w:fldChar w:fldCharType="separate"/>
      </w:r>
      <w:r w:rsidRPr="004B42B5">
        <w:rPr>
          <w:rFonts w:ascii="Arial" w:hAnsi="Arial" w:cs="Arial"/>
          <w:noProof/>
          <w:lang w:val="en-GB"/>
        </w:rPr>
        <w:t>(Nidumolu et al., 2020)</w:t>
      </w:r>
      <w:r w:rsidRPr="004B42B5">
        <w:fldChar w:fldCharType="end"/>
      </w:r>
      <w:r w:rsidRPr="004B42B5">
        <w:rPr>
          <w:rFonts w:ascii="Arial" w:hAnsi="Arial" w:cs="Arial"/>
          <w:lang w:val="en-GB"/>
        </w:rPr>
        <w:t xml:space="preserve"> because it guides farmers in deciding on the type of crops to grow, the type of farming system to employ and deciding on </w:t>
      </w:r>
      <w:r w:rsidRPr="004B42B5">
        <w:rPr>
          <w:rFonts w:ascii="Arial" w:hAnsi="Arial" w:cs="Arial"/>
          <w:lang w:val="en-GB"/>
        </w:rPr>
        <w:lastRenderedPageBreak/>
        <w:t xml:space="preserve">the planting dates or even halting agriculture production for that particular season if forecasts show that the weather will be harsh. </w:t>
      </w:r>
    </w:p>
    <w:p w14:paraId="23280CFA" w14:textId="77777777" w:rsidR="004B42B5" w:rsidRPr="004B42B5" w:rsidRDefault="004B42B5" w:rsidP="004B42B5">
      <w:pPr>
        <w:spacing w:line="240" w:lineRule="auto"/>
        <w:contextualSpacing/>
        <w:jc w:val="both"/>
        <w:rPr>
          <w:rFonts w:ascii="Arial" w:hAnsi="Arial" w:cs="Arial"/>
          <w:lang w:val="en-GB"/>
        </w:rPr>
      </w:pPr>
    </w:p>
    <w:p w14:paraId="52868E76" w14:textId="77777777" w:rsidR="004B42B5" w:rsidRPr="004B42B5" w:rsidRDefault="004B42B5" w:rsidP="004B42B5">
      <w:pPr>
        <w:spacing w:line="240" w:lineRule="auto"/>
        <w:contextualSpacing/>
        <w:jc w:val="both"/>
        <w:rPr>
          <w:rFonts w:ascii="Arial" w:hAnsi="Arial" w:cs="Arial"/>
          <w:b/>
          <w:bCs/>
          <w:i/>
        </w:rPr>
      </w:pPr>
      <w:r w:rsidRPr="004B42B5">
        <w:rPr>
          <w:rFonts w:ascii="Arial" w:hAnsi="Arial" w:cs="Arial"/>
          <w:b/>
          <w:bCs/>
          <w:i/>
        </w:rPr>
        <w:t>3.8 Effect of Weather Fluctuations in Employing the Right Adaptation Measures</w:t>
      </w:r>
    </w:p>
    <w:p w14:paraId="0F143530" w14:textId="77777777" w:rsidR="004B42B5" w:rsidRPr="004B42B5" w:rsidRDefault="004B42B5" w:rsidP="004B42B5">
      <w:pPr>
        <w:spacing w:line="240" w:lineRule="auto"/>
        <w:contextualSpacing/>
        <w:jc w:val="both"/>
        <w:rPr>
          <w:rFonts w:ascii="Arial" w:hAnsi="Arial" w:cs="Arial"/>
          <w:i/>
          <w:lang w:val="en-GB"/>
        </w:rPr>
      </w:pPr>
    </w:p>
    <w:p w14:paraId="154930A2" w14:textId="77777777" w:rsidR="004B42B5" w:rsidRPr="004B42B5" w:rsidRDefault="004B42B5" w:rsidP="004B42B5">
      <w:pPr>
        <w:spacing w:line="240" w:lineRule="auto"/>
        <w:contextualSpacing/>
        <w:jc w:val="both"/>
        <w:rPr>
          <w:rFonts w:ascii="Arial" w:hAnsi="Arial" w:cs="Arial"/>
          <w:shd w:val="clear" w:color="auto" w:fill="92D050"/>
        </w:rPr>
      </w:pPr>
      <w:r w:rsidRPr="004B42B5">
        <w:rPr>
          <w:rFonts w:ascii="Arial" w:hAnsi="Arial" w:cs="Arial"/>
        </w:rPr>
        <w:t xml:space="preserve">Access of timely information had positive effect on adoption of climate change adaptation </w:t>
      </w:r>
      <w:r w:rsidRPr="004B42B5">
        <w:fldChar w:fldCharType="begin" w:fldLock="1"/>
      </w:r>
      <w:r w:rsidRPr="004B42B5">
        <w:rPr>
          <w:rFonts w:ascii="Arial" w:hAnsi="Arial" w:cs="Arial"/>
        </w:rPr>
        <w:instrText>ADDIN CSL_CITATION {"citationItems":[{"id":"ITEM-1","itemData":{"DOI":"10.1080/19315260.2020.1861160","ISSN":"19315279","abstract":"Challenges associated with climate change have reduced vegetable production. Adoption of adaptation strategies for increased production has not resulted in a yield increase. Factors affecting climate change adaptation among 118 farmers involved in sustainable vegetable production were assessed. Vegetable farmers used a mix of adaptation measures that included traditional practices (minimum tillage, construction of the local dam, construction of drainage, avoidance of flood-prone area, increase the use of organic manure), and modern technology (construction of a water harvester, listening to early warning information, increased use of herbicide, increased use of fertilizer, use of pumping machine, sprinkler irrigation furrow irrigation), membership of the religious organization, access to timely information about the occurrence of climate change (β = 0.24, p &lt; 05), and constraints to adaptation (β = 0.63, p &lt; 05) had positive, significant, consequences on climate change adaptation procedures. It was determined that inadequate-skilled labor and financial constraints discouraged adaptation to climate change; access to timely information encouraged adaptation. More timely exchange of information and availability of tools to meet adaptation needs for vegetable production sustainability and profitability could help grower address challenges of climate change. Understanding factors affecting adoption could reduce constraints associated with inadequate-skilled labor, financial inadequacy, and exchange of information on climate change adaptation.","author":[{"dropping-particle":"","family":"Arimi","given":"Kayode S.","non-dropping-particle":"","parse-names":false,"suffix":""}],"container-title":"International Journal of Vegetable Science","id":"ITEM-1","issue":"5","issued":{"date-parts":[["2021"]]},"page":"496-504","publisher":"Taylor &amp; Francis","title":"Climate change adaptation and resilience among vegetable farmers","type":"article-journal","volume":"27"},"uris":["http://www.mendeley.com/documents/?uuid=60313578-a4b2-4e66-b82a-3bfed6e4472c","http://www.mendeley.com/documents/?uuid=75bbaafc-be83-43cc-8dee-d3e62b1270be"]}],"mendeley":{"formattedCitation":"(Arimi, 2021)","plainTextFormattedCitation":"(Arimi, 2021)","previouslyFormattedCitation":"(Arimi 2021)"},"properties":{"noteIndex":0},"schema":"https://github.com/citation-style-language/schema/raw/master/csl-citation.json"}</w:instrText>
      </w:r>
      <w:r w:rsidRPr="004B42B5">
        <w:fldChar w:fldCharType="separate"/>
      </w:r>
      <w:r w:rsidRPr="004B42B5">
        <w:rPr>
          <w:rFonts w:ascii="Arial" w:hAnsi="Arial" w:cs="Arial"/>
          <w:noProof/>
        </w:rPr>
        <w:t>(Arimi, 2021)</w:t>
      </w:r>
      <w:r w:rsidRPr="004B42B5">
        <w:fldChar w:fldCharType="end"/>
      </w:r>
      <w:r w:rsidRPr="004B42B5">
        <w:rPr>
          <w:rFonts w:ascii="Arial" w:hAnsi="Arial" w:cs="Arial"/>
        </w:rPr>
        <w:t xml:space="preserve">. </w:t>
      </w:r>
      <w:r w:rsidRPr="004B42B5">
        <w:rPr>
          <w:rFonts w:ascii="Arial" w:hAnsi="Arial" w:cs="Arial"/>
          <w:lang w:val="en-GB"/>
        </w:rPr>
        <w:t xml:space="preserve">Although smallholder farmers employ adaptation measures that are within their reach, the fluctuating weather poses uncertainty in selecting the optimal adaptation strategy to employ. </w:t>
      </w:r>
      <w:r w:rsidRPr="004B42B5">
        <w:rPr>
          <w:rFonts w:ascii="Arial" w:hAnsi="Arial" w:cs="Arial"/>
        </w:rPr>
        <w:t xml:space="preserve">Under fluctuating weather conditions, farmers ought to act immediately to avoid losses while the window for a farmer to make decision under such circumstances is very narrow as the time lag between information gathering, processing and arriving at rational decision to adopt is quite small </w:t>
      </w:r>
      <w:r w:rsidRPr="004B42B5">
        <w:fldChar w:fldCharType="begin" w:fldLock="1"/>
      </w:r>
      <w:r w:rsidRPr="004B42B5">
        <w:rPr>
          <w:rFonts w:ascii="Arial" w:hAnsi="Arial" w:cs="Arial"/>
        </w:rPr>
        <w:instrText>ADDIN CSL_CITATION {"citationItems":[{"id":"ITEM-1","itemData":{"DOI":"10.1016/j.ecolind.2020.106475","ISSN":"1470-160X","author":[{"dropping-particle":"","family":"Singh","given":"Surendra","non-dropping-particle":"","parse-names":false,"suffix":""}],"container-title":"Ecological Indicators","id":"ITEM-1","issue":"April 2019","issued":{"date-parts":[["2020"]]},"page":"106475","publisher":"Elsevier","title":"Farmers ’ perception of climate change and adaptation decisions : A micro- level evidence from Bundelkhand Region , India","type":"article-journal","volume":"116"},"uris":["http://www.mendeley.com/documents/?uuid=50a0e08f-3077-42fe-9b8c-236a0f150554","http://www.mendeley.com/documents/?uuid=7a477bd7-cf8f-4150-a1ce-5eabddd11542"]}],"mendeley":{"formattedCitation":"(S. Singh, 2020b)","plainTextFormattedCitation":"(S. Singh, 2020b)","previouslyFormattedCitation":"(Singh 2020b)"},"properties":{"noteIndex":0},"schema":"https://github.com/citation-style-language/schema/raw/master/csl-citation.json"}</w:instrText>
      </w:r>
      <w:r w:rsidRPr="004B42B5">
        <w:fldChar w:fldCharType="separate"/>
      </w:r>
      <w:r w:rsidRPr="004B42B5">
        <w:rPr>
          <w:rFonts w:ascii="Arial" w:hAnsi="Arial" w:cs="Arial"/>
          <w:noProof/>
        </w:rPr>
        <w:t>(S. Singh, 2020b)</w:t>
      </w:r>
      <w:r w:rsidRPr="004B42B5">
        <w:fldChar w:fldCharType="end"/>
      </w:r>
      <w:r w:rsidRPr="004B42B5">
        <w:rPr>
          <w:rFonts w:ascii="Arial" w:hAnsi="Arial" w:cs="Arial"/>
        </w:rPr>
        <w:t>.</w:t>
      </w:r>
      <w:r w:rsidRPr="004B42B5">
        <w:rPr>
          <w:rFonts w:ascii="Arial" w:hAnsi="Arial" w:cs="Arial"/>
          <w:shd w:val="clear" w:color="auto" w:fill="92D050"/>
        </w:rPr>
        <w:t xml:space="preserve"> </w:t>
      </w:r>
    </w:p>
    <w:p w14:paraId="33DB6130" w14:textId="77777777" w:rsidR="004B42B5" w:rsidRPr="004B42B5" w:rsidRDefault="004B42B5" w:rsidP="004B42B5">
      <w:pPr>
        <w:spacing w:line="240" w:lineRule="auto"/>
        <w:contextualSpacing/>
        <w:jc w:val="both"/>
        <w:rPr>
          <w:rFonts w:ascii="Arial" w:hAnsi="Arial" w:cs="Arial"/>
          <w:lang w:val="en-GB"/>
        </w:rPr>
      </w:pPr>
      <w:r w:rsidRPr="004B42B5">
        <w:rPr>
          <w:rFonts w:ascii="Arial" w:hAnsi="Arial" w:cs="Arial"/>
          <w:lang w:val="en-GB"/>
        </w:rPr>
        <w:t xml:space="preserve">In the present study it was noted that limited </w:t>
      </w:r>
      <w:r w:rsidRPr="004B42B5">
        <w:rPr>
          <w:rFonts w:ascii="Arial" w:hAnsi="Arial" w:cs="Arial"/>
        </w:rPr>
        <w:t xml:space="preserve">information on the onset and distribution of the rains during the farming season was a serious challenge to adaptation strategies, including changing the timing of planting.  </w:t>
      </w:r>
      <w:r w:rsidRPr="004B42B5">
        <w:rPr>
          <w:rFonts w:ascii="Arial" w:hAnsi="Arial" w:cs="Arial"/>
          <w:lang w:val="en-GB"/>
        </w:rPr>
        <w:t xml:space="preserve">It was observed that about 86% of the respondents have felt the effects of the weather fluctuation. Due to climate change, farmers have adopted more adaptation measures such as </w:t>
      </w:r>
      <w:proofErr w:type="gramStart"/>
      <w:r w:rsidRPr="004B42B5">
        <w:rPr>
          <w:rFonts w:ascii="Arial" w:hAnsi="Arial" w:cs="Arial"/>
          <w:lang w:val="en-GB"/>
        </w:rPr>
        <w:t>small scale</w:t>
      </w:r>
      <w:proofErr w:type="gramEnd"/>
      <w:r w:rsidRPr="004B42B5">
        <w:rPr>
          <w:rFonts w:ascii="Arial" w:hAnsi="Arial" w:cs="Arial"/>
          <w:lang w:val="en-GB"/>
        </w:rPr>
        <w:t xml:space="preserve"> irrigation and expand cultivation to low land valley (wet) areas. </w:t>
      </w:r>
      <w:proofErr w:type="gramStart"/>
      <w:r w:rsidRPr="004B42B5">
        <w:rPr>
          <w:rFonts w:ascii="Arial" w:hAnsi="Arial" w:cs="Arial"/>
          <w:lang w:val="en-GB"/>
        </w:rPr>
        <w:t>Therefore</w:t>
      </w:r>
      <w:proofErr w:type="gramEnd"/>
      <w:r w:rsidRPr="004B42B5">
        <w:rPr>
          <w:rFonts w:ascii="Arial" w:hAnsi="Arial" w:cs="Arial"/>
          <w:lang w:val="en-GB"/>
        </w:rPr>
        <w:t xml:space="preserve"> farmers could adapt well to the vagaries of climate change if areas under irrigation could be expanded. This measure involves heavy investment and therefore smallholder farmers have limited resources to employ these adaptation measures and therefore government intervention is imperative. The capacity of farmers in the study area to invest in climate change adaptation measures is further being complicated by the fact that </w:t>
      </w:r>
      <w:r w:rsidRPr="004B42B5">
        <w:rPr>
          <w:rFonts w:ascii="Arial" w:hAnsi="Arial" w:cs="Arial"/>
        </w:rPr>
        <w:t xml:space="preserve">all farmers were using their personal capital to finance their farming operations and that they were not accessible to financial institutions that can offer loans. Inadequate capital is one of the constraints to the access of necessary climate change adaptation technology </w:t>
      </w:r>
      <w:r w:rsidRPr="004B42B5">
        <w:fldChar w:fldCharType="begin" w:fldLock="1"/>
      </w:r>
      <w:r w:rsidRPr="004B42B5">
        <w:rPr>
          <w:rFonts w:ascii="Arial" w:hAnsi="Arial" w:cs="Arial"/>
        </w:rPr>
        <w:instrText>ADDIN CSL_CITATION {"citationItems":[{"id":"ITEM-1","itemData":{"DOI":"10.1080/19315260.2020.1861160","ISSN":"19315279","abstract":"Challenges associated with climate change have reduced vegetable production. Adoption of adaptation strategies for increased production has not resulted in a yield increase. Factors affecting climate change adaptation among 118 farmers involved in sustainable vegetable production were assessed. Vegetable farmers used a mix of adaptation measures that included traditional practices (minimum tillage, construction of the local dam, construction of drainage, avoidance of flood-prone area, increase the use of organic manure), and modern technology (construction of a water harvester, listening to early warning information, increased use of herbicide, increased use of fertilizer, use of pumping machine, sprinkler irrigation furrow irrigation), membership of the religious organization, access to timely information about the occurrence of climate change (β = 0.24, p &lt; 05), and constraints to adaptation (β = 0.63, p &lt; 05) had positive, significant, consequences on climate change adaptation procedures. It was determined that inadequate-skilled labor and financial constraints discouraged adaptation to climate change; access to timely information encouraged adaptation. More timely exchange of information and availability of tools to meet adaptation needs for vegetable production sustainability and profitability could help grower address challenges of climate change. Understanding factors affecting adoption could reduce constraints associated with inadequate-skilled labor, financial inadequacy, and exchange of information on climate change adaptation.","author":[{"dropping-particle":"","family":"Arimi","given":"Kayode S.","non-dropping-particle":"","parse-names":false,"suffix":""}],"container-title":"International Journal of Vegetable Science","id":"ITEM-1","issue":"5","issued":{"date-parts":[["2021"]]},"page":"496-504","publisher":"Taylor &amp; Francis","title":"Climate change adaptation and resilience among vegetable farmers","type":"article-journal","volume":"27"},"uris":["http://www.mendeley.com/documents/?uuid=60313578-a4b2-4e66-b82a-3bfed6e4472c","http://www.mendeley.com/documents/?uuid=75bbaafc-be83-43cc-8dee-d3e62b1270be"]}],"mendeley":{"formattedCitation":"(Arimi, 2021)","plainTextFormattedCitation":"(Arimi, 2021)","previouslyFormattedCitation":"(Arimi 2021)"},"properties":{"noteIndex":0},"schema":"https://github.com/citation-style-language/schema/raw/master/csl-citation.json"}</w:instrText>
      </w:r>
      <w:r w:rsidRPr="004B42B5">
        <w:fldChar w:fldCharType="separate"/>
      </w:r>
      <w:r w:rsidRPr="004B42B5">
        <w:rPr>
          <w:rFonts w:ascii="Arial" w:hAnsi="Arial" w:cs="Arial"/>
          <w:noProof/>
        </w:rPr>
        <w:t>(Arimi, 2021)</w:t>
      </w:r>
      <w:r w:rsidRPr="004B42B5">
        <w:fldChar w:fldCharType="end"/>
      </w:r>
      <w:r w:rsidRPr="004B42B5">
        <w:rPr>
          <w:rFonts w:ascii="Arial" w:hAnsi="Arial" w:cs="Arial"/>
        </w:rPr>
        <w:t>.</w:t>
      </w:r>
    </w:p>
    <w:p w14:paraId="022C39F8" w14:textId="77777777" w:rsidR="004B42B5" w:rsidRPr="004B42B5" w:rsidRDefault="004B42B5" w:rsidP="004B42B5">
      <w:pPr>
        <w:spacing w:line="240" w:lineRule="auto"/>
        <w:contextualSpacing/>
        <w:jc w:val="both"/>
        <w:rPr>
          <w:rFonts w:ascii="Arial" w:hAnsi="Arial" w:cs="Arial"/>
          <w:lang w:val="en-GB"/>
        </w:rPr>
      </w:pPr>
      <w:r w:rsidRPr="004B42B5">
        <w:rPr>
          <w:rFonts w:ascii="Arial" w:hAnsi="Arial" w:cs="Arial"/>
          <w:lang w:val="en-GB"/>
        </w:rPr>
        <w:t xml:space="preserve">It was noted that farmers in the study area encountered heavy losses when they employed an adaptation measure that did not match with the weather situation that would prevail throughout the growing season. One of the respondents reported that, </w:t>
      </w:r>
      <w:r w:rsidRPr="004B42B5">
        <w:rPr>
          <w:rFonts w:ascii="Arial" w:hAnsi="Arial" w:cs="Arial"/>
          <w:i/>
          <w:lang w:val="en-GB"/>
        </w:rPr>
        <w:t xml:space="preserve">“it was December and characterized with long dry spell. I decided to employ irrigation in vegetables cultivation. I borrowed some money to drill wells in order to facilitate irrigation. Suddenly the rain with high intensity fell unexpectedly and destroyed my farm and I lost everything </w:t>
      </w:r>
      <w:proofErr w:type="gramStart"/>
      <w:r w:rsidRPr="004B42B5">
        <w:rPr>
          <w:rFonts w:ascii="Arial" w:hAnsi="Arial" w:cs="Arial"/>
          <w:i/>
          <w:lang w:val="en-GB"/>
        </w:rPr>
        <w:t>and  at</w:t>
      </w:r>
      <w:proofErr w:type="gramEnd"/>
      <w:r w:rsidRPr="004B42B5">
        <w:rPr>
          <w:rFonts w:ascii="Arial" w:hAnsi="Arial" w:cs="Arial"/>
          <w:i/>
          <w:lang w:val="en-GB"/>
        </w:rPr>
        <w:t xml:space="preserve"> the same time I was supposed to pay back the money I borrowed.” </w:t>
      </w:r>
      <w:r w:rsidRPr="004B42B5">
        <w:rPr>
          <w:rFonts w:ascii="Arial" w:hAnsi="Arial" w:cs="Arial"/>
          <w:lang w:val="en-GB"/>
        </w:rPr>
        <w:t xml:space="preserve">This situation has long-term impact to a farmer because the farmer has a double shock. The first shock is the crop loss and the second one is a debt that he had to service while he lost everything, including farm infrastructure. This is referred as </w:t>
      </w:r>
      <w:r w:rsidRPr="004B42B5">
        <w:rPr>
          <w:rFonts w:ascii="Arial" w:hAnsi="Arial" w:cs="Arial"/>
        </w:rPr>
        <w:t xml:space="preserve">the “double exposure” where farmers experience both the impacts of climate change and economic consequences simultaneously </w:t>
      </w:r>
      <w:r w:rsidRPr="004B42B5">
        <w:fldChar w:fldCharType="begin" w:fldLock="1"/>
      </w:r>
      <w:r w:rsidRPr="004B42B5">
        <w:rPr>
          <w:rFonts w:ascii="Arial" w:hAnsi="Arial" w:cs="Arial"/>
        </w:rPr>
        <w:instrText>ADDIN CSL_CITATION {"citationItems":[{"id":"ITEM-1","itemData":{"DOI":"10.1016/j.gloenvcha.2020.102165","ISSN":"0959-3780","author":[{"dropping-particle":"","family":"Walsh-dilley","given":"Marygold","non-dropping-particle":"","parse-names":false,"suffix":""}],"container-title":"Global Environmental  Change","id":"ITEM-1","issue":"September 2019","issued":{"date-parts":[["2020"]]},"page":"102165","publisher":"Elsevier Ltd","title":"Resilience compromised : Producing vulnerability to climate and market among quinoa producers in Southwestern Bolivia","type":"article-journal","volume":"65"},"uris":["http://www.mendeley.com/documents/?uuid=dcd064ee-b3d5-4a0c-b593-55523d1ef43d","http://www.mendeley.com/documents/?uuid=992b7f5f-51f9-456a-85c0-dbeb8d6d5c76"]}],"mendeley":{"formattedCitation":"(Walsh-dilley, 2020)","plainTextFormattedCitation":"(Walsh-dilley, 2020)","previouslyFormattedCitation":"(Walsh-dilley 2020)"},"properties":{"noteIndex":0},"schema":"https://github.com/citation-style-language/schema/raw/master/csl-citation.json"}</w:instrText>
      </w:r>
      <w:r w:rsidRPr="004B42B5">
        <w:fldChar w:fldCharType="separate"/>
      </w:r>
      <w:r w:rsidRPr="004B42B5">
        <w:rPr>
          <w:rFonts w:ascii="Arial" w:hAnsi="Arial" w:cs="Arial"/>
          <w:noProof/>
        </w:rPr>
        <w:t>(Walsh-dilley, 2020)</w:t>
      </w:r>
      <w:r w:rsidRPr="004B42B5">
        <w:fldChar w:fldCharType="end"/>
      </w:r>
      <w:r w:rsidRPr="004B42B5">
        <w:rPr>
          <w:rFonts w:ascii="Arial" w:hAnsi="Arial" w:cs="Arial"/>
        </w:rPr>
        <w:t>.</w:t>
      </w:r>
      <w:r w:rsidRPr="004B42B5">
        <w:rPr>
          <w:rFonts w:ascii="Arial" w:hAnsi="Arial" w:cs="Arial"/>
          <w:lang w:val="en-GB"/>
        </w:rPr>
        <w:t xml:space="preserve"> This phenomenon profoundly </w:t>
      </w:r>
      <w:proofErr w:type="gramStart"/>
      <w:r w:rsidRPr="004B42B5">
        <w:rPr>
          <w:rFonts w:ascii="Arial" w:hAnsi="Arial" w:cs="Arial"/>
          <w:lang w:val="en-GB"/>
        </w:rPr>
        <w:t>affect</w:t>
      </w:r>
      <w:proofErr w:type="gramEnd"/>
      <w:r w:rsidRPr="004B42B5">
        <w:rPr>
          <w:rFonts w:ascii="Arial" w:hAnsi="Arial" w:cs="Arial"/>
          <w:lang w:val="en-GB"/>
        </w:rPr>
        <w:t xml:space="preserve"> future adaptive capacity and resilience of farmers. Adaptive capacity to climate change is governed by the factors such as assets, affordability of different technologies and income </w:t>
      </w:r>
      <w:r w:rsidRPr="004B42B5">
        <w:fldChar w:fldCharType="begin" w:fldLock="1"/>
      </w:r>
      <w:r w:rsidRPr="004B42B5">
        <w:rPr>
          <w:rFonts w:ascii="Arial" w:hAnsi="Arial" w:cs="Arial"/>
          <w:lang w:val="en-GB"/>
        </w:rPr>
        <w:instrText>ADDIN CSL_CITATION {"citationItems":[{"id":"ITEM-1","itemData":{"DOI":"10.1080/21665095.2016.1238311","author":[{"dropping-particle":"","family":"Sewando","given":"Ponsian T","non-dropping-particle":"","parse-names":false,"suffix":""},{"dropping-particle":"","family":"Mutabazi","given":"Khamaldin D","non-dropping-particle":"","parse-names":false,"suffix":""},{"dropping-particle":"","family":"Mdoe","given":"Ntengua Y S","non-dropping-particle":"","parse-names":false,"suffix":""}],"id":"ITEM-1","issue":"November","issued":{"date-parts":[["2016"]]},"title":"Vulnerability of agro-pastoral farmers to climate risks in northern and central Tanzania","type":"article-journal","volume":"5095"},"uris":["http://www.mendeley.com/documents/?uuid=b92e3ff0-819d-467d-91e8-fde24108cf01","http://www.mendeley.com/documents/?uuid=0b420df5-b2b5-412f-a284-46c8405ab095"]}],"mendeley":{"formattedCitation":"(Sewando et al., 2016)","plainTextFormattedCitation":"(Sewando et al., 2016)","previouslyFormattedCitation":"(Sewando, Mutabazi, and Mdoe 2016)"},"properties":{"noteIndex":0},"schema":"https://github.com/citation-style-language/schema/raw/master/csl-citation.json"}</w:instrText>
      </w:r>
      <w:r w:rsidRPr="004B42B5">
        <w:fldChar w:fldCharType="separate"/>
      </w:r>
      <w:r w:rsidRPr="004B42B5">
        <w:rPr>
          <w:rFonts w:ascii="Arial" w:hAnsi="Arial" w:cs="Arial"/>
          <w:noProof/>
          <w:lang w:val="en-GB"/>
        </w:rPr>
        <w:t>(Sewando et al., 2016)</w:t>
      </w:r>
      <w:r w:rsidRPr="004B42B5">
        <w:fldChar w:fldCharType="end"/>
      </w:r>
      <w:r w:rsidRPr="004B42B5">
        <w:rPr>
          <w:rFonts w:ascii="Arial" w:hAnsi="Arial" w:cs="Arial"/>
          <w:lang w:val="en-GB"/>
        </w:rPr>
        <w:t xml:space="preserve">. Taking into consideration that all these determinants of adaptive capacity have been compromised, the adaptive capacity of the farmer has been highly compromised.  Therefore, the forecast should be as accurate as possible because it has a direct impact on farm production and famers’ income </w:t>
      </w:r>
      <w:r w:rsidRPr="004B42B5">
        <w:fldChar w:fldCharType="begin" w:fldLock="1"/>
      </w:r>
      <w:r w:rsidRPr="004B42B5">
        <w:rPr>
          <w:rFonts w:ascii="Arial" w:hAnsi="Arial" w:cs="Arial"/>
          <w:lang w:val="en-GB"/>
        </w:rPr>
        <w:instrText>ADDIN CSL_CITATION {"citationItems":[{"id":"ITEM-1","itemData":{"DOI":"10.1016/j.wace.2018.06.001","ISSN":"22120947","abstract":"Climate variability is a key source of livelihood risks faced by smallholder farmers in drier environments in many developing countries. Climate information provided on seasonal time-scales can sometimes improve agricultural decision-making. However, there are many barriers to the effective dissemination, communication and use of such information on farm and across the value chain. We used a case study in southern India to explore ways of overcoming some of these barriers such as those limiting access to information and effective communication of probabilistic forecast information. Firstly, we used social network analysis at the village level to identify particular individuals, groups or/and institutions who are central in information networks so as to be able to support them to increase the efficiency, effectiveness, equity and robustness of information transfers. This allowed us to identify potential opportunities and challenges around access, communication and forecast use. Close linking of formal and informal networks appeared to be a common, positive influencing factor. Secondly, we used value chain analysis to assess how pre-and post-farm decision-makers could use seasonal climate forecasts (SCF) in their own businesses and how this may propagate up and down the value chain. We found that the motivation for using SCF varied across the value chain and was likely of limited use to smaller, off-farm value chain players who take a short-term adaptive management approach to planning. However, it was seen as having significant potential for larger businesses who take a more strategic approach. This identified a possible risk of increased competitive inequality between businesses of different sizes. Thirdly, we addressed the challenge of translating probabilistic climate forecast information into support for decision making by using decision analysis with intermediaries enabling them to structure clearly problems with embedded climate probabilities. The construction of decision-trees enabled farm advisers and local researchers to explore the potential value of SCF by using the decision trees as a “boundary object” around which farmers and other decision makers, agricultural scientists, climate scientists, economists, social scientists and policy-makers could have thoughtful discussion leading to useful strategies to better manage climate risk. This paper outlines approaches and outcomes associated with these three activities as a way of exploring effecti…","author":[{"dropping-particle":"","family":"Nidumolu","given":"Uday","non-dropping-particle":"","parse-names":false,"suffix":""},{"dropping-particle":"","family":"Lim-Camacho","given":"Lilly","non-dropping-particle":"","parse-names":false,"suffix":""},{"dropping-particle":"","family":"Gaillard","given":"Estelle","non-dropping-particle":"","parse-names":false,"suffix":""},{"dropping-particle":"","family":"Hayman","given":"Peter","non-dropping-particle":"","parse-names":false,"suffix":""},{"dropping-particle":"","family":"Howden","given":"Mark","non-dropping-particle":"","parse-names":false,"suffix":""}],"container-title":"Weather and Climate Extremes","id":"ITEM-1","issue":"June 2018","issued":{"date-parts":[["2020"]]},"page":"100174","publisher":"Elsevier B.V.","title":"Linking climate forecasts to rural livelihoods: Mapping decisions, information networks and value chains","type":"article-journal","volume":"27"},"uris":["http://www.mendeley.com/documents/?uuid=6f34d2fd-5136-4950-97f2-2ee2c7f1b848","http://www.mendeley.com/documents/?uuid=78ab0026-db87-4d2b-82c5-fc27e27ae36b"]}],"mendeley":{"formattedCitation":"(Nidumolu et al., 2020)","plainTextFormattedCitation":"(Nidumolu et al., 2020)","previouslyFormattedCitation":"(Nidumolu et al. 2020)"},"properties":{"noteIndex":0},"schema":"https://github.com/citation-style-language/schema/raw/master/csl-citation.json"}</w:instrText>
      </w:r>
      <w:r w:rsidRPr="004B42B5">
        <w:fldChar w:fldCharType="separate"/>
      </w:r>
      <w:r w:rsidRPr="004B42B5">
        <w:rPr>
          <w:rFonts w:ascii="Arial" w:hAnsi="Arial" w:cs="Arial"/>
          <w:noProof/>
          <w:lang w:val="en-GB"/>
        </w:rPr>
        <w:t>(Nidumolu et al., 2020)</w:t>
      </w:r>
      <w:r w:rsidRPr="004B42B5">
        <w:fldChar w:fldCharType="end"/>
      </w:r>
      <w:r w:rsidRPr="004B42B5">
        <w:rPr>
          <w:rFonts w:ascii="Arial" w:hAnsi="Arial" w:cs="Arial"/>
          <w:lang w:val="en-GB"/>
        </w:rPr>
        <w:t xml:space="preserve">. Due to low predictability, the uptake of weather forecast information is very low in Africa </w:t>
      </w:r>
      <w:r w:rsidRPr="004B42B5">
        <w:fldChar w:fldCharType="begin" w:fldLock="1"/>
      </w:r>
      <w:r w:rsidRPr="004B42B5">
        <w:rPr>
          <w:rFonts w:ascii="Arial" w:hAnsi="Arial" w:cs="Arial"/>
          <w:lang w:val="en-GB"/>
        </w:rPr>
        <w:instrText>ADDIN CSL_CITATION {"citationItems":[{"id":"ITEM-1","itemData":{"DOI":"10.1080/17565529.2017.1318744","ISSN":"1756-5529","author":[{"dropping-particle":"","family":"Singh","given":"Chandni","non-dropping-particle":"","parse-names":false,"suffix":""},{"dropping-particle":"","family":"Daron","given":"Joseph","non-dropping-particle":"","parse-names":false,"suffix":""},{"dropping-particle":"","family":"Bazaz","given":"Amir","non-dropping-particle":"","parse-names":false,"suffix":""},{"dropping-particle":"","family":"Ziervogel","given":"Gina","non-dropping-particle":"","parse-names":false,"suffix":""},{"dropping-particle":"","family":"Spear","given":"Dian","non-dropping-particle":"","parse-names":false,"suffix":""},{"dropping-particle":"","family":"Krishnaswamy","given":"Jagdish","non-dropping-particle":"","parse-names":false,"suffix":""},{"dropping-particle":"","family":"Zaroug","given":"Modathir","non-dropping-particle":"","parse-names":false,"suffix":""},{"dropping-particle":"","family":"Kituyi","given":"Evans","non-dropping-particle":"","parse-names":false,"suffix":""},{"dropping-particle":"","family":"Singh","given":"Chandni","non-dropping-particle":"","parse-names":false,"suffix":""},{"dropping-particle":"","family":"Daron","given":"Joseph","non-dropping-particle":"","parse-names":false,"suffix":""},{"dropping-particle":"","family":"Bazaz","given":"Amir","non-dropping-particle":"","parse-names":false,"suffix":""},{"dropping-particle":"","family":"Ziervogel","given":"Gina","non-dropping-particle":"","parse-names":false,"suffix":""},{"dropping-particle":"","family":"Spear","given":"Dian","non-dropping-particle":"","parse-names":false,"suffix":""}],"container-title":"Climate and Development","id":"ITEM-1","issue":"0","issued":{"date-parts":[["2017"]]},"page":"1-17","publisher":"Taylor &amp; Francis","title":"The utility of weather and climate information for adaptation decision-making : current uses and future prospects in Africa and India","type":"article-journal","volume":"0"},"uris":["http://www.mendeley.com/documents/?uuid=b97eebaa-1c71-4331-99fd-237d7414e96f","http://www.mendeley.com/documents/?uuid=ef666b84-00c6-4584-bcaa-0afe5fd4e385"]}],"mendeley":{"formattedCitation":"(C. Singh et al., 2017)","plainTextFormattedCitation":"(C. Singh et al., 2017)","previouslyFormattedCitation":"(Singh et al. 2017)"},"properties":{"noteIndex":0},"schema":"https://github.com/citation-style-language/schema/raw/master/csl-citation.json"}</w:instrText>
      </w:r>
      <w:r w:rsidRPr="004B42B5">
        <w:fldChar w:fldCharType="separate"/>
      </w:r>
      <w:r w:rsidRPr="004B42B5">
        <w:rPr>
          <w:rFonts w:ascii="Arial" w:hAnsi="Arial" w:cs="Arial"/>
          <w:noProof/>
          <w:lang w:val="en-GB"/>
        </w:rPr>
        <w:t>(C. Singh et al., 2017)</w:t>
      </w:r>
      <w:r w:rsidRPr="004B42B5">
        <w:fldChar w:fldCharType="end"/>
      </w:r>
      <w:r w:rsidRPr="004B42B5">
        <w:rPr>
          <w:rFonts w:ascii="Arial" w:hAnsi="Arial" w:cs="Arial"/>
          <w:lang w:val="en-GB"/>
        </w:rPr>
        <w:t xml:space="preserve">. Furthermore, farmers are faced </w:t>
      </w:r>
      <w:proofErr w:type="gramStart"/>
      <w:r w:rsidRPr="004B42B5">
        <w:rPr>
          <w:rFonts w:ascii="Arial" w:hAnsi="Arial" w:cs="Arial"/>
          <w:lang w:val="en-GB"/>
        </w:rPr>
        <w:t xml:space="preserve">with </w:t>
      </w:r>
      <w:r w:rsidRPr="004B42B5">
        <w:rPr>
          <w:rFonts w:ascii="Arial" w:hAnsi="Arial" w:cs="Arial"/>
        </w:rPr>
        <w:t xml:space="preserve"> intra</w:t>
      </w:r>
      <w:proofErr w:type="gramEnd"/>
      <w:r w:rsidRPr="004B42B5">
        <w:rPr>
          <w:rFonts w:ascii="Arial" w:hAnsi="Arial" w:cs="Arial"/>
        </w:rPr>
        <w:t xml:space="preserve">-seasonal climate risks such as unequal distribution of rainfall in the season, extended dry spell after sowing, excess rainfall in peak flowering or harvesting season, untimely rains and inadequate amount of rainfall during the season. However, forecast information (timing and accuracy) currently is inadequate to deal with these risks </w:t>
      </w:r>
      <w:r w:rsidRPr="004B42B5">
        <w:fldChar w:fldCharType="begin" w:fldLock="1"/>
      </w:r>
      <w:r w:rsidRPr="004B42B5">
        <w:rPr>
          <w:rFonts w:ascii="Arial" w:hAnsi="Arial" w:cs="Arial"/>
        </w:rPr>
        <w:instrText>ADDIN CSL_CITATION {"citationItems":[{"id":"ITEM-1","itemData":{"DOI":"10.1016/j.wace.2018.06.001","ISSN":"22120947","abstract":"Climate variability is a key source of livelihood risks faced by smallholder farmers in drier environments in many developing countries. Climate information provided on seasonal time-scales can sometimes improve agricultural decision-making. However, there are many barriers to the effective dissemination, communication and use of such information on farm and across the value chain. We used a case study in southern India to explore ways of overcoming some of these barriers such as those limiting access to information and effective communication of probabilistic forecast information. Firstly, we used social network analysis at the village level to identify particular individuals, groups or/and institutions who are central in information networks so as to be able to support them to increase the efficiency, effectiveness, equity and robustness of information transfers. This allowed us to identify potential opportunities and challenges around access, communication and forecast use. Close linking of formal and informal networks appeared to be a common, positive influencing factor. Secondly, we used value chain analysis to assess how pre-and post-farm decision-makers could use seasonal climate forecasts (SCF) in their own businesses and how this may propagate up and down the value chain. We found that the motivation for using SCF varied across the value chain and was likely of limited use to smaller, off-farm value chain players who take a short-term adaptive management approach to planning. However, it was seen as having significant potential for larger businesses who take a more strategic approach. This identified a possible risk of increased competitive inequality between businesses of different sizes. Thirdly, we addressed the challenge of translating probabilistic climate forecast information into support for decision making by using decision analysis with intermediaries enabling them to structure clearly problems with embedded climate probabilities. The construction of decision-trees enabled farm advisers and local researchers to explore the potential value of SCF by using the decision trees as a “boundary object” around which farmers and other decision makers, agricultural scientists, climate scientists, economists, social scientists and policy-makers could have thoughtful discussion leading to useful strategies to better manage climate risk. This paper outlines approaches and outcomes associated with these three activities as a way of exploring effecti…","author":[{"dropping-particle":"","family":"Nidumolu","given":"Uday","non-dropping-particle":"","parse-names":false,"suffix":""},{"dropping-particle":"","family":"Lim-Camacho","given":"Lilly","non-dropping-particle":"","parse-names":false,"suffix":""},{"dropping-particle":"","family":"Gaillard","given":"Estelle","non-dropping-particle":"","parse-names":false,"suffix":""},{"dropping-particle":"","family":"Hayman","given":"Peter","non-dropping-particle":"","parse-names":false,"suffix":""},{"dropping-particle":"","family":"Howden","given":"Mark","non-dropping-particle":"","parse-names":false,"suffix":""}],"container-title":"Weather and Climate Extremes","id":"ITEM-1","issue":"June 2018","issued":{"date-parts":[["2020"]]},"page":"100174","publisher":"Elsevier B.V.","title":"Linking climate forecasts to rural livelihoods: Mapping decisions, information networks and value chains","type":"article-journal","volume":"27"},"uris":["http://www.mendeley.com/documents/?uuid=6f34d2fd-5136-4950-97f2-2ee2c7f1b848","http://www.mendeley.com/documents/?uuid=78ab0026-db87-4d2b-82c5-fc27e27ae36b"]}],"mendeley":{"formattedCitation":"(Nidumolu et al., 2020)","plainTextFormattedCitation":"(Nidumolu et al., 2020)","previouslyFormattedCitation":"(Nidumolu et al. 2020)"},"properties":{"noteIndex":0},"schema":"https://github.com/citation-style-language/schema/raw/master/csl-citation.json"}</w:instrText>
      </w:r>
      <w:r w:rsidRPr="004B42B5">
        <w:fldChar w:fldCharType="separate"/>
      </w:r>
      <w:r w:rsidRPr="004B42B5">
        <w:rPr>
          <w:rFonts w:ascii="Arial" w:hAnsi="Arial" w:cs="Arial"/>
          <w:noProof/>
        </w:rPr>
        <w:t>(Nidumolu et al., 2020)</w:t>
      </w:r>
      <w:r w:rsidRPr="004B42B5">
        <w:fldChar w:fldCharType="end"/>
      </w:r>
      <w:r w:rsidRPr="004B42B5">
        <w:rPr>
          <w:rFonts w:ascii="Arial" w:hAnsi="Arial" w:cs="Arial"/>
        </w:rPr>
        <w:t xml:space="preserve">. Development of a locally adapted climate adaptation tool as discussed in earlier can be one of the promising solutions to arrest effects of weather fluctuations. </w:t>
      </w:r>
      <w:r w:rsidRPr="004B42B5">
        <w:rPr>
          <w:rFonts w:ascii="Arial" w:hAnsi="Arial" w:cs="Arial"/>
          <w:lang w:val="en-GB"/>
        </w:rPr>
        <w:t xml:space="preserve">Once the forecast is inaccurate, farmers may get confused in subsequent seasons not knowing what to do. Inaccurate forecast has negative consequences on crop yield. For example </w:t>
      </w:r>
      <w:r w:rsidRPr="004B42B5">
        <w:fldChar w:fldCharType="begin" w:fldLock="1"/>
      </w:r>
      <w:r w:rsidRPr="004B42B5">
        <w:rPr>
          <w:rFonts w:ascii="Arial" w:hAnsi="Arial" w:cs="Arial"/>
          <w:lang w:val="en-GB"/>
        </w:rPr>
        <w:instrText>ADDIN CSL_CITATION {"citationItems":[{"id":"ITEM-1","itemData":{"DOI":"10.1016/j.heliyon.2019.e02360","ISSN":"2405-8440","author":[{"dropping-particle":"","family":"Kuswanto","given":"Heri","non-dropping-particle":"","parse-names":false,"suffix":""},{"dropping-particle":"","family":"Hibatullah","given":"Fausania","non-dropping-particle":"","parse-names":false,"suffix":""},{"dropping-particle":"","family":"Setiaji","given":"Eddy","non-dropping-particle":"","parse-names":false,"suffix":""}],"container-title":"Heliyon","id":"ITEM-1","issue":"January","issued":{"date-parts":[["2019"]]},"page":"e02360","publisher":"Elsevier Ltd","title":"Heliyon Perception of weather and seasonal drought forecasts and its impact on livelihood in East Nusa Tenggara , Indonesia","type":"article-journal","volume":"5"},"uris":["http://www.mendeley.com/documents/?uuid=84669116-a74c-4a51-aaac-30b324a60c7b","http://www.mendeley.com/documents/?uuid=0719003f-f9b2-4be6-997f-a7e54a49abf7"]}],"mendeley":{"formattedCitation":"(Kuswanto et al., 2019)","plainTextFormattedCitation":"(Kuswanto et al., 2019)","previouslyFormattedCitation":"(Kuswanto, Hibatullah, and Setiaji 2019)"},"properties":{"noteIndex":0},"schema":"https://github.com/citation-style-language/schema/raw/master/csl-citation.json"}</w:instrText>
      </w:r>
      <w:r w:rsidRPr="004B42B5">
        <w:fldChar w:fldCharType="separate"/>
      </w:r>
      <w:r w:rsidRPr="004B42B5">
        <w:rPr>
          <w:rFonts w:ascii="Arial" w:hAnsi="Arial" w:cs="Arial"/>
          <w:noProof/>
          <w:lang w:val="en-GB"/>
        </w:rPr>
        <w:t>(Kuswanto et al., 2019)</w:t>
      </w:r>
      <w:r w:rsidRPr="004B42B5">
        <w:fldChar w:fldCharType="end"/>
      </w:r>
      <w:r w:rsidRPr="004B42B5">
        <w:rPr>
          <w:rFonts w:ascii="Arial" w:hAnsi="Arial" w:cs="Arial"/>
          <w:lang w:val="en-GB"/>
        </w:rPr>
        <w:t xml:space="preserve"> reported that farmers who used weather forecast </w:t>
      </w:r>
      <w:r w:rsidRPr="004B42B5">
        <w:rPr>
          <w:rFonts w:ascii="Arial" w:hAnsi="Arial" w:cs="Arial"/>
          <w:lang w:val="en-GB"/>
        </w:rPr>
        <w:lastRenderedPageBreak/>
        <w:t xml:space="preserve">information encountered higher crop loss than farmers who did not use weather forecast information and they attributed the phenomenon with the inaccuracy of the weather forecast information received by the farmers. The situation is further complicated because the smallholder farmers seldom insure their operations. </w:t>
      </w:r>
      <w:r w:rsidRPr="004B42B5">
        <w:rPr>
          <w:rFonts w:ascii="Arial" w:hAnsi="Arial" w:cs="Arial"/>
        </w:rPr>
        <w:t xml:space="preserve">Weather based micro insurance has a potential of acting as an alternative solution to crop loss/farm damage due to unpredictable </w:t>
      </w:r>
      <w:proofErr w:type="gramStart"/>
      <w:r w:rsidRPr="004B42B5">
        <w:rPr>
          <w:rFonts w:ascii="Arial" w:hAnsi="Arial" w:cs="Arial"/>
        </w:rPr>
        <w:t>weather related</w:t>
      </w:r>
      <w:proofErr w:type="gramEnd"/>
      <w:r w:rsidRPr="004B42B5">
        <w:rPr>
          <w:rFonts w:ascii="Arial" w:hAnsi="Arial" w:cs="Arial"/>
        </w:rPr>
        <w:t xml:space="preserve"> risks as it insures against incidences of adverse weather events that can destroy crops. In the present study, no </w:t>
      </w:r>
      <w:proofErr w:type="gramStart"/>
      <w:r w:rsidRPr="004B42B5">
        <w:rPr>
          <w:rFonts w:ascii="Arial" w:hAnsi="Arial" w:cs="Arial"/>
        </w:rPr>
        <w:t>small scale</w:t>
      </w:r>
      <w:proofErr w:type="gramEnd"/>
      <w:r w:rsidRPr="004B42B5">
        <w:rPr>
          <w:rFonts w:ascii="Arial" w:hAnsi="Arial" w:cs="Arial"/>
        </w:rPr>
        <w:t xml:space="preserve"> farmer mentioned crop insurance as one of the adaptation measures employed. However, the insurance market development in Africa faces a number of barriers including; lack of risk information about current and future conditions. </w:t>
      </w:r>
      <w:r w:rsidRPr="004B42B5">
        <w:rPr>
          <w:rFonts w:ascii="Arial" w:hAnsi="Arial" w:cs="Arial"/>
          <w:lang w:val="en-GB"/>
        </w:rPr>
        <w:t xml:space="preserve">The farmers encounter a number of barriers in accessing crops insurance including lack of appetite of financial institutions to provide insurance to farmers. Apart from the lack of appetite by the insurers, </w:t>
      </w:r>
      <w:r w:rsidRPr="004B42B5">
        <w:rPr>
          <w:rFonts w:ascii="Arial" w:hAnsi="Arial" w:cs="Arial"/>
        </w:rPr>
        <w:t xml:space="preserve">farmers are reluctant to insure against weather shocks because they underestimate the true drought probability and that they need to learn more. First, about the climate change and secondly, the magnitude of risks associated with climate change </w:t>
      </w:r>
      <w:r w:rsidRPr="004B42B5">
        <w:fldChar w:fldCharType="begin" w:fldLock="1"/>
      </w:r>
      <w:r w:rsidRPr="004B42B5">
        <w:rPr>
          <w:rFonts w:ascii="Arial" w:hAnsi="Arial" w:cs="Arial"/>
        </w:rPr>
        <w:instrText>ADDIN CSL_CITATION {"citationItems":[{"id":"ITEM-1","itemData":{"DOI":"10.1016/j.jebo.2020.04.016","author":[{"dropping-particle":"","family":"Dougherty","given":"John P","non-dropping-particle":"","parse-names":false,"suffix":""},{"dropping-particle":"","family":"Einar","given":"Jon","non-dropping-particle":"","parse-names":false,"suffix":""},{"dropping-particle":"","family":"Gallenstein","given":"Richard A","non-dropping-particle":"","parse-names":false,"suffix":""},{"dropping-particle":"","family":"Miranda","given":"Mario J","non-dropping-particle":"","parse-names":false,"suffix":""},{"dropping-particle":"","family":"Sam","given":"Abdoul G","non-dropping-particle":"","parse-names":false,"suffix":""}],"id":"ITEM-1","issued":{"date-parts":[["2020"]]},"page":"155-184","publisher":"Elsevier B.V.","title":"Journal of Economic Behavior and Organization Climate change and index insurance demand : Evidence from a framed field experiment in Tanzania","type":"article-journal","volume":"175"},"uris":["http://www.mendeley.com/documents/?uuid=f4ce5d46-70ac-4234-9852-04896c9c1866","http://www.mendeley.com/documents/?uuid=6d8b0e16-7573-46d3-b59d-2eea0d9016e0"]}],"mendeley":{"formattedCitation":"(Dougherty et al., 2020)","plainTextFormattedCitation":"(Dougherty et al., 2020)","previouslyFormattedCitation":"(Dougherty et al. 2020)"},"properties":{"noteIndex":0},"schema":"https://github.com/citation-style-language/schema/raw/master/csl-citation.json"}</w:instrText>
      </w:r>
      <w:r w:rsidRPr="004B42B5">
        <w:fldChar w:fldCharType="separate"/>
      </w:r>
      <w:r w:rsidRPr="004B42B5">
        <w:rPr>
          <w:rFonts w:ascii="Arial" w:hAnsi="Arial" w:cs="Arial"/>
          <w:noProof/>
        </w:rPr>
        <w:t>(Dougherty et al., 2020)</w:t>
      </w:r>
      <w:r w:rsidRPr="004B42B5">
        <w:fldChar w:fldCharType="end"/>
      </w:r>
      <w:r w:rsidRPr="004B42B5">
        <w:rPr>
          <w:rFonts w:ascii="Arial" w:hAnsi="Arial" w:cs="Arial"/>
        </w:rPr>
        <w:t>. Despite these shortfalls, however,</w:t>
      </w:r>
      <w:r w:rsidRPr="004B42B5">
        <w:rPr>
          <w:rFonts w:ascii="Arial" w:hAnsi="Arial" w:cs="Arial"/>
          <w:lang w:val="en-GB"/>
        </w:rPr>
        <w:t xml:space="preserve"> international community and insurers in Tanzania have shown interest </w:t>
      </w:r>
      <w:r w:rsidRPr="004B42B5">
        <w:rPr>
          <w:rFonts w:ascii="Arial" w:hAnsi="Arial" w:cs="Arial"/>
        </w:rPr>
        <w:t>in crop and livestock insurance products</w:t>
      </w:r>
      <w:r w:rsidRPr="004B42B5">
        <w:rPr>
          <w:rFonts w:ascii="Arial" w:hAnsi="Arial" w:cs="Arial"/>
          <w:lang w:val="en-GB"/>
        </w:rPr>
        <w:t xml:space="preserve"> </w:t>
      </w:r>
      <w:r w:rsidRPr="004B42B5">
        <w:fldChar w:fldCharType="begin" w:fldLock="1"/>
      </w:r>
      <w:r w:rsidRPr="004B42B5">
        <w:rPr>
          <w:rFonts w:ascii="Arial" w:hAnsi="Arial" w:cs="Arial"/>
          <w:lang w:val="en-GB"/>
        </w:rPr>
        <w:instrText>ADDIN CSL_CITATION {"citationItems":[{"id":"ITEM-1","itemData":{"DOI":"10.1016/j.worlddev.2022.105830","ISSN":"18735991","abstract":"This paper explores how climate risk information produced in the context of insurance-related activities can support public climate adaptation planning. The central contribution is to outline how relevant climate risk information can translate into behaviour change, and the drivers and barriers that influence this in Sub-Saharan Africa. The insurance industry has the potential to catalyse greater use of climate information, either through existing insurance transactions or through capacity building and investment in data sharing and collaboration. We investigate the interplay of climate risk information and insurance processes from two angles: the use of climate risk data by those who provide insurance – with information as an input to the underwriting process; and the catalyst role of insurance for governments to move towards anticipatory climate risk management. We apply a multi-method approach, combining insights from a survey of 40 insurance experts with key informant interviews and document analysis from three complementary case studies: indemnity-based insurance of private assets in South Africa; parametric sovereign risk pool in Malawi; and collaboration on risk analytics and risk management advice (no insurance) in Tanzania. The analysis offers a new perspective on the catalyst role of insurance by focusing on the ways in which political economy factors, particularly incentives and relationships, influence this process. Overall, there appears to be clear scope for a dynamic interaction between insurers and governments where symbiotic use and generation of climate risk information can advance mutual goals. However, that ambition faces many challenges that go beyond availability and suitability of data. Limited trust, unclear risk ownership and/or lack of incentives are key barriers, even if there is risk awareness and overall motivation to manage climate risks. The three cases show the importance of sustained cross-sectoral collaboration and capacity building to increase awareness and utilization of insurance-related climate risk information.","author":[{"dropping-particle":"","family":"Surminski","given":"Swenja","non-dropping-particle":"","parse-names":false,"suffix":""},{"dropping-particle":"","family":"Barnes","given":"Jonathan","non-dropping-particle":"","parse-names":false,"suffix":""},{"dropping-particle":"","family":"Vincent","given":"Katharine","non-dropping-particle":"","parse-names":false,"suffix":""}],"container-title":"World Development","id":"ITEM-1","issued":{"date-parts":[["2022"]]},"page":"105830","publisher":"The Authors","title":"Can insurance catalyse government planning on climate? Emergent evidence from Sub-Saharan Africa","type":"article-journal","volume":"153"},"uris":["http://www.mendeley.com/documents/?uuid=70474122-6bd0-49d2-bc6e-d6f58b03afb0","http://www.mendeley.com/documents/?uuid=f84c6a7a-8783-4efc-8978-0b0b7ac1f63f"]}],"mendeley":{"formattedCitation":"(Surminski et al., 2022)","plainTextFormattedCitation":"(Surminski et al., 2022)","previouslyFormattedCitation":"(Surminski, Barnes, and Vincent 2022)"},"properties":{"noteIndex":0},"schema":"https://github.com/citation-style-language/schema/raw/master/csl-citation.json"}</w:instrText>
      </w:r>
      <w:r w:rsidRPr="004B42B5">
        <w:fldChar w:fldCharType="separate"/>
      </w:r>
      <w:r w:rsidRPr="004B42B5">
        <w:rPr>
          <w:rFonts w:ascii="Arial" w:hAnsi="Arial" w:cs="Arial"/>
          <w:noProof/>
          <w:lang w:val="en-GB"/>
        </w:rPr>
        <w:t>(Surminski et al., 2022)</w:t>
      </w:r>
      <w:r w:rsidRPr="004B42B5">
        <w:fldChar w:fldCharType="end"/>
      </w:r>
      <w:r w:rsidRPr="004B42B5">
        <w:rPr>
          <w:rFonts w:ascii="Arial" w:hAnsi="Arial" w:cs="Arial"/>
          <w:lang w:val="en-GB"/>
        </w:rPr>
        <w:t xml:space="preserve">. International funds like the Green Climate Fund responsible for enhancing resilience of farmers through adoption of adaptation of climate change can help to enhance the appetite of the financial institutions to insure farming activities. </w:t>
      </w:r>
      <w:r w:rsidRPr="004B42B5">
        <w:rPr>
          <w:rFonts w:ascii="Arial" w:hAnsi="Arial" w:cs="Arial"/>
        </w:rPr>
        <w:t xml:space="preserve">UNDP has a target to increase national coverage of the hydrometeorological network from 50% to 75% aimed at strengthening the capacity for evidence-based decision making in insurance </w:t>
      </w:r>
      <w:r w:rsidRPr="004B42B5">
        <w:fldChar w:fldCharType="begin" w:fldLock="1"/>
      </w:r>
      <w:r w:rsidRPr="004B42B5">
        <w:rPr>
          <w:rFonts w:ascii="Arial" w:hAnsi="Arial" w:cs="Arial"/>
        </w:rPr>
        <w:instrText>ADDIN CSL_CITATION {"citationItems":[{"id":"ITEM-1","itemData":{"DOI":"10.1016/j.worlddev.2022.105830","ISSN":"18735991","abstract":"This paper explores how climate risk information produced in the context of insurance-related activities can support public climate adaptation planning. The central contribution is to outline how relevant climate risk information can translate into behaviour change, and the drivers and barriers that influence this in Sub-Saharan Africa. The insurance industry has the potential to catalyse greater use of climate information, either through existing insurance transactions or through capacity building and investment in data sharing and collaboration. We investigate the interplay of climate risk information and insurance processes from two angles: the use of climate risk data by those who provide insurance – with information as an input to the underwriting process; and the catalyst role of insurance for governments to move towards anticipatory climate risk management. We apply a multi-method approach, combining insights from a survey of 40 insurance experts with key informant interviews and document analysis from three complementary case studies: indemnity-based insurance of private assets in South Africa; parametric sovereign risk pool in Malawi; and collaboration on risk analytics and risk management advice (no insurance) in Tanzania. The analysis offers a new perspective on the catalyst role of insurance by focusing on the ways in which political economy factors, particularly incentives and relationships, influence this process. Overall, there appears to be clear scope for a dynamic interaction between insurers and governments where symbiotic use and generation of climate risk information can advance mutual goals. However, that ambition faces many challenges that go beyond availability and suitability of data. Limited trust, unclear risk ownership and/or lack of incentives are key barriers, even if there is risk awareness and overall motivation to manage climate risks. The three cases show the importance of sustained cross-sectoral collaboration and capacity building to increase awareness and utilization of insurance-related climate risk information.","author":[{"dropping-particle":"","family":"Surminski","given":"Swenja","non-dropping-particle":"","parse-names":false,"suffix":""},{"dropping-particle":"","family":"Barnes","given":"Jonathan","non-dropping-particle":"","parse-names":false,"suffix":""},{"dropping-particle":"","family":"Vincent","given":"Katharine","non-dropping-particle":"","parse-names":false,"suffix":""}],"container-title":"World Development","id":"ITEM-1","issued":{"date-parts":[["2022"]]},"page":"105830","publisher":"The Authors","title":"Can insurance catalyse government planning on climate? Emergent evidence from Sub-Saharan Africa","type":"article-journal","volume":"153"},"uris":["http://www.mendeley.com/documents/?uuid=f84c6a7a-8783-4efc-8978-0b0b7ac1f63f","http://www.mendeley.com/documents/?uuid=70474122-6bd0-49d2-bc6e-d6f58b03afb0"]}],"mendeley":{"formattedCitation":"(Surminski et al., 2022)","plainTextFormattedCitation":"(Surminski et al., 2022)","previouslyFormattedCitation":"(Surminski et al. 2022)"},"properties":{"noteIndex":0},"schema":"https://github.com/citation-style-language/schema/raw/master/csl-citation.json"}</w:instrText>
      </w:r>
      <w:r w:rsidRPr="004B42B5">
        <w:fldChar w:fldCharType="separate"/>
      </w:r>
      <w:r w:rsidRPr="004B42B5">
        <w:rPr>
          <w:rFonts w:ascii="Arial" w:hAnsi="Arial" w:cs="Arial"/>
          <w:noProof/>
        </w:rPr>
        <w:t>(Surminski et al., 2022)</w:t>
      </w:r>
      <w:r w:rsidRPr="004B42B5">
        <w:fldChar w:fldCharType="end"/>
      </w:r>
      <w:r w:rsidRPr="004B42B5">
        <w:rPr>
          <w:rFonts w:ascii="Arial" w:hAnsi="Arial" w:cs="Arial"/>
        </w:rPr>
        <w:t>.</w:t>
      </w:r>
    </w:p>
    <w:p w14:paraId="75B8962A" w14:textId="77777777" w:rsidR="004B42B5" w:rsidRPr="004B42B5" w:rsidRDefault="004B42B5" w:rsidP="004B42B5">
      <w:pPr>
        <w:spacing w:line="240" w:lineRule="auto"/>
        <w:contextualSpacing/>
        <w:jc w:val="both"/>
        <w:rPr>
          <w:rFonts w:ascii="Arial" w:hAnsi="Arial" w:cs="Arial"/>
        </w:rPr>
      </w:pPr>
      <w:r w:rsidRPr="004B42B5">
        <w:rPr>
          <w:rFonts w:ascii="Arial" w:hAnsi="Arial" w:cs="Arial"/>
        </w:rPr>
        <w:t xml:space="preserve">Therefore, it is advised to develop and use climate model that will integrate a few locally available adaptation technologies and knowledge in weather forecast. This can be achieved with the help of experts and extension officers so as to make sure </w:t>
      </w:r>
      <w:proofErr w:type="gramStart"/>
      <w:r w:rsidRPr="004B42B5">
        <w:rPr>
          <w:rFonts w:ascii="Arial" w:hAnsi="Arial" w:cs="Arial"/>
        </w:rPr>
        <w:t>small scale</w:t>
      </w:r>
      <w:proofErr w:type="gramEnd"/>
      <w:r w:rsidRPr="004B42B5">
        <w:rPr>
          <w:rFonts w:ascii="Arial" w:hAnsi="Arial" w:cs="Arial"/>
        </w:rPr>
        <w:t xml:space="preserve"> farmers are provided with the reliable information that will help them to take action on the variety of measures to be used in crop cultivation. It is therefore important to enhance capacities of the responsible institutions involved in weather forecast to enable small geographic regions to accurately and warranting predict weather </w:t>
      </w:r>
      <w:r w:rsidRPr="004B42B5">
        <w:fldChar w:fldCharType="begin" w:fldLock="1"/>
      </w:r>
      <w:r w:rsidRPr="004B42B5">
        <w:rPr>
          <w:rFonts w:ascii="Arial" w:hAnsi="Arial" w:cs="Arial"/>
        </w:rPr>
        <w:instrText>ADDIN CSL_CITATION {"citationItems":[{"id":"ITEM-1","itemData":{"DOI":"10.1016/j.ecolind.2020.106475","ISSN":"1470-160X","author":[{"dropping-particle":"","family":"Singh","given":"Surendra","non-dropping-particle":"","parse-names":false,"suffix":""}],"container-title":"Ecological Indicators","id":"ITEM-1","issue":"April 2019","issued":{"date-parts":[["2020"]]},"page":"106475","publisher":"Elsevier","title":"Farmers ’ perception of climate change and adaptation decisions : A micro- level evidence from Bundelkhand Region , India","type":"article-journal","volume":"116"},"uris":["http://www.mendeley.com/documents/?uuid=50a0e08f-3077-42fe-9b8c-236a0f150554"]}],"mendeley":{"formattedCitation":"(S. Singh, 2020b)","plainTextFormattedCitation":"(S. Singh, 2020b)","previouslyFormattedCitation":"(Singh 2020b)"},"properties":{"noteIndex":0},"schema":"https://github.com/citation-style-language/schema/raw/master/csl-citation.json"}</w:instrText>
      </w:r>
      <w:r w:rsidRPr="004B42B5">
        <w:fldChar w:fldCharType="separate"/>
      </w:r>
      <w:r w:rsidRPr="004B42B5">
        <w:rPr>
          <w:rFonts w:ascii="Arial" w:hAnsi="Arial" w:cs="Arial"/>
          <w:noProof/>
        </w:rPr>
        <w:t>(S. Singh, 2020b)</w:t>
      </w:r>
      <w:r w:rsidRPr="004B42B5">
        <w:fldChar w:fldCharType="end"/>
      </w:r>
      <w:r w:rsidRPr="004B42B5">
        <w:rPr>
          <w:rFonts w:ascii="Arial" w:hAnsi="Arial" w:cs="Arial"/>
        </w:rPr>
        <w:t xml:space="preserve">. Access to timely information has a positive impact on climate change adaptation </w:t>
      </w:r>
      <w:r w:rsidRPr="004B42B5">
        <w:fldChar w:fldCharType="begin" w:fldLock="1"/>
      </w:r>
      <w:r w:rsidRPr="004B42B5">
        <w:rPr>
          <w:rFonts w:ascii="Arial" w:hAnsi="Arial" w:cs="Arial"/>
        </w:rPr>
        <w:instrText>ADDIN CSL_CITATION {"citationItems":[{"id":"ITEM-1","itemData":{"DOI":"10.1080/19315260.2020.1861160","ISSN":"19315279","abstract":"Challenges associated with climate change have reduced vegetable production. Adoption of adaptation strategies for increased production has not resulted in a yield increase. Factors affecting climate change adaptation among 118 farmers involved in sustainable vegetable production were assessed. Vegetable farmers used a mix of adaptation measures that included traditional practices (minimum tillage, construction of the local dam, construction of drainage, avoidance of flood-prone area, increase the use of organic manure), and modern technology (construction of a water harvester, listening to early warning information, increased use of herbicide, increased use of fertilizer, use of pumping machine, sprinkler irrigation furrow irrigation), membership of the religious organization, access to timely information about the occurrence of climate change (β = 0.24, p &lt; 05), and constraints to adaptation (β = 0.63, p &lt; 05) had positive, significant, consequences on climate change adaptation procedures. It was determined that inadequate-skilled labor and financial constraints discouraged adaptation to climate change; access to timely information encouraged adaptation. More timely exchange of information and availability of tools to meet adaptation needs for vegetable production sustainability and profitability could help grower address challenges of climate change. Understanding factors affecting adoption could reduce constraints associated with inadequate-skilled labor, financial inadequacy, and exchange of information on climate change adaptation.","author":[{"dropping-particle":"","family":"Arimi","given":"Kayode S.","non-dropping-particle":"","parse-names":false,"suffix":""}],"container-title":"International Journal of Vegetable Science","id":"ITEM-1","issue":"5","issued":{"date-parts":[["2021"]]},"page":"496-504","publisher":"Taylor &amp; Francis","title":"Climate change adaptation and resilience among vegetable farmers","type":"article-journal","volume":"27"},"uris":["http://www.mendeley.com/documents/?uuid=60313578-a4b2-4e66-b82a-3bfed6e4472c","http://www.mendeley.com/documents/?uuid=75bbaafc-be83-43cc-8dee-d3e62b1270be"]}],"mendeley":{"formattedCitation":"(Arimi, 2021)","plainTextFormattedCitation":"(Arimi, 2021)","previouslyFormattedCitation":"(Arimi 2021)"},"properties":{"noteIndex":0},"schema":"https://github.com/citation-style-language/schema/raw/master/csl-citation.json"}</w:instrText>
      </w:r>
      <w:r w:rsidRPr="004B42B5">
        <w:fldChar w:fldCharType="separate"/>
      </w:r>
      <w:r w:rsidRPr="004B42B5">
        <w:rPr>
          <w:rFonts w:ascii="Arial" w:hAnsi="Arial" w:cs="Arial"/>
          <w:noProof/>
        </w:rPr>
        <w:t>(Arimi, 2021)</w:t>
      </w:r>
      <w:r w:rsidRPr="004B42B5">
        <w:fldChar w:fldCharType="end"/>
      </w:r>
      <w:r w:rsidRPr="004B42B5">
        <w:rPr>
          <w:rFonts w:ascii="Arial" w:hAnsi="Arial" w:cs="Arial"/>
        </w:rPr>
        <w:t xml:space="preserve">. </w:t>
      </w:r>
    </w:p>
    <w:p w14:paraId="4565B681" w14:textId="77777777" w:rsidR="004B42B5" w:rsidRPr="004B42B5" w:rsidRDefault="004B42B5" w:rsidP="004B42B5">
      <w:pPr>
        <w:spacing w:line="240" w:lineRule="auto"/>
        <w:contextualSpacing/>
        <w:jc w:val="both"/>
        <w:rPr>
          <w:rFonts w:ascii="Arial" w:hAnsi="Arial" w:cs="Arial"/>
        </w:rPr>
      </w:pPr>
      <w:r w:rsidRPr="004B42B5">
        <w:rPr>
          <w:rFonts w:ascii="Arial" w:hAnsi="Arial" w:cs="Arial"/>
        </w:rPr>
        <w:t xml:space="preserve">The preceding discussion reveals that enhancement of capacity of farmers to adapt to climate change needs a holistic approach. In future, climate change may lead to a number of adverse effects probably exceeding the frontiers of the current levels of tolerance by farmers </w:t>
      </w:r>
      <w:r w:rsidRPr="004B42B5">
        <w:fldChar w:fldCharType="begin" w:fldLock="1"/>
      </w:r>
      <w:r w:rsidRPr="004B42B5">
        <w:rPr>
          <w:rFonts w:ascii="Arial" w:hAnsi="Arial" w:cs="Arial"/>
        </w:rPr>
        <w:instrText>ADDIN CSL_CITATION {"citationItems":[{"id":"ITEM-1","itemData":{"DOI":"10.2989/10220119.2013.845606","ISSN":"17279380","abstract":"Climate change is expected to adversely affect agriculture in South Africa. A rise in variable and unfavourable conditions is likely to surpass the limits of current coping mechanisms of farmers, compelling them to implement more resilient adaptive measures to decrease their vulnerability to heightened risks. This study assessed the perceptions and understanding of climate change amongst livestock farmers in the semi-arid Eastern Cape Karoo and their responses to perceived changes and associated risks. Questionnaires and semi-structured interviews revealed that, while commercial famers were well informed regarding global climate change, commonage farmers had little or no understanding of the phenomenon. Although changes in local climate parameters were identified by farmers, perceived changes were mostly ascribed to the expected climate variability of the region. It was found that commonage farmers are particularly vulnerable to future climate change, whereas commercial farmers, having experience in dealing with the already variable and marginal conditions of the region and facing fewer asset and informational constraints, possess a greater adaptive capacity to respond to projected changes. Furthermore, the results demonstrated that lack of funds, lack of government support and access to information on climate change and potential adaptation strategies are the main factors constraining farmers from adaptation. © 2014 NISC (Pty) Ltd.","author":[{"dropping-particle":"","family":"Muller","given":"Claudette","non-dropping-particle":"","parse-names":false,"suffix":""},{"dropping-particle":"","family":"Shackleton","given":"Sheona E.","non-dropping-particle":"","parse-names":false,"suffix":""}],"container-title":"African Journal of Range and Forage Science","id":"ITEM-1","issue":"1","issued":{"date-parts":[["2014"]]},"page":"1-12","title":"Perceptions of climate change and barriers to adaptation amongst commonage and commercial livestock farmers in the semi-arid Eastern Cape Karoo","type":"article-journal","volume":"31"},"uris":["http://www.mendeley.com/documents/?uuid=38a07e8e-818d-413f-b301-80beecdbfaf6","http://www.mendeley.com/documents/?uuid=165a0ac4-adaa-4fd3-a372-1c71b9e2081f"]}],"mendeley":{"formattedCitation":"(Muller &amp; Shackleton, 2014)","manualFormatting":"(Muller and Shackleton, 2014)","plainTextFormattedCitation":"(Muller &amp; Shackleton, 2014)","previouslyFormattedCitation":"(Muller and Shackleton 2014)"},"properties":{"noteIndex":0},"schema":"https://github.com/citation-style-language/schema/raw/master/csl-citation.json"}</w:instrText>
      </w:r>
      <w:r w:rsidRPr="004B42B5">
        <w:fldChar w:fldCharType="separate"/>
      </w:r>
      <w:r w:rsidRPr="004B42B5">
        <w:rPr>
          <w:rFonts w:ascii="Arial" w:hAnsi="Arial" w:cs="Arial"/>
          <w:noProof/>
        </w:rPr>
        <w:t>(Muller and Shackleton, 2014)</w:t>
      </w:r>
      <w:r w:rsidRPr="004B42B5">
        <w:fldChar w:fldCharType="end"/>
      </w:r>
      <w:r w:rsidRPr="004B42B5">
        <w:rPr>
          <w:rFonts w:ascii="Arial" w:hAnsi="Arial" w:cs="Arial"/>
        </w:rPr>
        <w:t xml:space="preserve"> and therefore farmers and policy makers will be required implement more innovative and resilient measures in order to lessen their vulnerability. Development of the measures calls for better understanding of farmer’s responses. These responses forms a very important inputs to policy formulations targeting climate change adaptation resources allocation by the government culminating into enabling environment supportive to the vulnerable farmers </w:t>
      </w:r>
      <w:r w:rsidRPr="004B42B5">
        <w:fldChar w:fldCharType="begin" w:fldLock="1"/>
      </w:r>
      <w:r w:rsidRPr="004B42B5">
        <w:rPr>
          <w:rFonts w:ascii="Arial" w:hAnsi="Arial" w:cs="Arial"/>
        </w:rPr>
        <w:instrText>ADDIN CSL_CITATION {"citationItems":[{"id":"ITEM-1","itemData":{"DOI":"10.1080/17565529.2020.1772706","ISSN":"17565537","abstract":"The direct and indirect impacts of climate change may jeopardize livelihoods of millions of poor coffee-growing farmers, unless the sector manages to deploy adequate adaptation measures. This study provides valuable insight into smallholder coffee farmers’ adaptation strategies to climate change impacts and factors determining their choices based on a survey of 240 smallholder farmers in Jimma zone, southwest Ethiopia. The assessment indicates that the most common adaptation measures used by the producers include adjustment of planting date, change of the crop type and variety, tree plantation, and mixed farming. Access to weather forecasts and formal extension services, level of education, age of the household head, farm size and income from coffee and agro-ecological setting affect the coffee growers’ decision to adapt to climate change. Enhancing smallholder coffee farmers’ adaptation to climate change requires further efforts from the government to improve farmers’ access to accurate and timely agro-meteorological forecasts, capacity building and technical support for income diversification through improved provision of agricultural extension services.","author":[{"dropping-particle":"","family":"Eshetu","given":"Girma","non-dropping-particle":"","parse-names":false,"suffix":""},{"dropping-particle":"","family":"Johansson","given":"Tino","non-dropping-particle":"","parse-names":false,"suffix":""},{"dropping-particle":"","family":"Garedew","given":"Weyessa","non-dropping-particle":"","parse-names":false,"suffix":""},{"dropping-particle":"","family":"Yisahak","given":"Tigist","non-dropping-particle":"","parse-names":false,"suffix":""}],"container-title":"Climate and Development","id":"ITEM-1","issue":"4","issued":{"date-parts":[["2021"]]},"page":"318-325","publisher":"Taylor &amp; Francis","title":"Determinants of smallholder farmers’ adaptation options to climate change in a coffee-based farming system of Southwest Ethiopia","type":"article-journal","volume":"13"},"uris":["http://www.mendeley.com/documents/?uuid=70c422e6-740c-4b1b-a1b4-4ee69878f5fc","http://www.mendeley.com/documents/?uuid=4b9243b4-420f-4b4e-8230-9f3ce04cc54b"]}],"mendeley":{"formattedCitation":"(Eshetu et al., 2021)","plainTextFormattedCitation":"(Eshetu et al., 2021)","previouslyFormattedCitation":"(Eshetu et al. 2021)"},"properties":{"noteIndex":0},"schema":"https://github.com/citation-style-language/schema/raw/master/csl-citation.json"}</w:instrText>
      </w:r>
      <w:r w:rsidRPr="004B42B5">
        <w:fldChar w:fldCharType="separate"/>
      </w:r>
      <w:r w:rsidRPr="004B42B5">
        <w:rPr>
          <w:rFonts w:ascii="Arial" w:hAnsi="Arial" w:cs="Arial"/>
          <w:noProof/>
        </w:rPr>
        <w:t>(Eshetu et al., 2021)</w:t>
      </w:r>
      <w:r w:rsidRPr="004B42B5">
        <w:fldChar w:fldCharType="end"/>
      </w:r>
      <w:r w:rsidRPr="004B42B5">
        <w:rPr>
          <w:rFonts w:ascii="Arial" w:hAnsi="Arial" w:cs="Arial"/>
        </w:rPr>
        <w:t>.</w:t>
      </w:r>
    </w:p>
    <w:p w14:paraId="6A175D56" w14:textId="77777777" w:rsidR="004B42B5" w:rsidRPr="004B42B5" w:rsidRDefault="004B42B5" w:rsidP="004B42B5">
      <w:pPr>
        <w:spacing w:line="240" w:lineRule="auto"/>
        <w:contextualSpacing/>
        <w:jc w:val="both"/>
        <w:rPr>
          <w:rFonts w:ascii="Arial" w:hAnsi="Arial" w:cs="Arial"/>
        </w:rPr>
      </w:pPr>
    </w:p>
    <w:p w14:paraId="1D648A5B" w14:textId="77777777" w:rsidR="004B42B5" w:rsidRPr="004B42B5" w:rsidRDefault="004B42B5" w:rsidP="004B42B5">
      <w:pPr>
        <w:spacing w:line="240" w:lineRule="auto"/>
        <w:contextualSpacing/>
        <w:jc w:val="both"/>
        <w:rPr>
          <w:rFonts w:ascii="Arial" w:hAnsi="Arial" w:cs="Arial"/>
        </w:rPr>
      </w:pPr>
    </w:p>
    <w:p w14:paraId="351C7DEE" w14:textId="25F31483" w:rsidR="004B42B5" w:rsidRPr="004B42B5" w:rsidRDefault="00A7641F" w:rsidP="004B42B5">
      <w:pPr>
        <w:spacing w:line="240" w:lineRule="auto"/>
        <w:contextualSpacing/>
        <w:jc w:val="both"/>
        <w:rPr>
          <w:rFonts w:ascii="Arial" w:hAnsi="Arial" w:cs="Arial"/>
          <w:b/>
          <w:bCs/>
        </w:rPr>
      </w:pPr>
      <w:r>
        <w:rPr>
          <w:rFonts w:ascii="Arial" w:hAnsi="Arial" w:cs="Arial"/>
          <w:b/>
          <w:bCs/>
        </w:rPr>
        <w:t xml:space="preserve">Conclusion </w:t>
      </w:r>
    </w:p>
    <w:p w14:paraId="2117E822" w14:textId="77777777" w:rsidR="004B42B5" w:rsidRPr="004B42B5" w:rsidRDefault="004B42B5" w:rsidP="004B42B5">
      <w:pPr>
        <w:spacing w:line="240" w:lineRule="auto"/>
        <w:contextualSpacing/>
        <w:jc w:val="both"/>
        <w:rPr>
          <w:rFonts w:ascii="Arial" w:hAnsi="Arial" w:cs="Arial"/>
          <w:b/>
          <w:bCs/>
        </w:rPr>
      </w:pPr>
    </w:p>
    <w:p w14:paraId="2D311D92" w14:textId="77777777" w:rsidR="004B42B5" w:rsidRPr="004B42B5" w:rsidRDefault="004B42B5" w:rsidP="004B42B5">
      <w:pPr>
        <w:spacing w:line="240" w:lineRule="auto"/>
        <w:contextualSpacing/>
        <w:jc w:val="both"/>
        <w:rPr>
          <w:rFonts w:ascii="Arial" w:hAnsi="Arial" w:cs="Arial"/>
          <w:lang w:val="en-GB"/>
        </w:rPr>
      </w:pPr>
      <w:r w:rsidRPr="004B42B5">
        <w:rPr>
          <w:rFonts w:ascii="Arial" w:hAnsi="Arial" w:cs="Arial"/>
          <w:lang w:val="en-GB"/>
        </w:rPr>
        <w:t xml:space="preserve">Farmers in </w:t>
      </w:r>
      <w:proofErr w:type="spellStart"/>
      <w:r w:rsidRPr="004B42B5">
        <w:rPr>
          <w:rFonts w:ascii="Arial" w:hAnsi="Arial" w:cs="Arial"/>
          <w:lang w:val="en-GB"/>
        </w:rPr>
        <w:t>Kiharaka</w:t>
      </w:r>
      <w:proofErr w:type="spellEnd"/>
      <w:r w:rsidRPr="004B42B5">
        <w:rPr>
          <w:rFonts w:ascii="Arial" w:hAnsi="Arial" w:cs="Arial"/>
          <w:lang w:val="en-GB"/>
        </w:rPr>
        <w:t xml:space="preserve"> village are aware of the effects climate change and the need to employ adaptation strategies to arrest the effects thereof. The farmers employ a number of climate change adaptation measures to ensure production. However, they lack technological and policy supporting infrastructures to enable them to adopt successfully adaptation measures. Furthermore, fluctuating weather patterns encountered from one season to another add another barrier for the adoption of the adaptation strategies by small scale farmers. It is therefore recommended that a tool that can be used in weather forecast be locally developed to help farmers to make informed decisions. Furthermore, international funding agents may help insurance companies to enhance the appetite of financial institutions to insure farming activities. </w:t>
      </w:r>
      <w:r w:rsidRPr="004B42B5">
        <w:rPr>
          <w:rFonts w:ascii="Arial" w:hAnsi="Arial" w:cs="Arial"/>
          <w:lang w:val="en-GB"/>
        </w:rPr>
        <w:lastRenderedPageBreak/>
        <w:t>These recommendations call for development of policies that would holistically address challenges facing farmers in adoption of the adaptation measures.</w:t>
      </w:r>
    </w:p>
    <w:p w14:paraId="50482CE0" w14:textId="77777777" w:rsidR="004B42B5" w:rsidRPr="004B42B5" w:rsidRDefault="004B42B5" w:rsidP="004B42B5">
      <w:pPr>
        <w:spacing w:line="240" w:lineRule="auto"/>
        <w:contextualSpacing/>
        <w:jc w:val="both"/>
        <w:rPr>
          <w:rFonts w:ascii="Arial" w:hAnsi="Arial" w:cs="Arial"/>
          <w:lang w:val="en-GB"/>
        </w:rPr>
      </w:pPr>
    </w:p>
    <w:p w14:paraId="7BEE681C" w14:textId="77777777" w:rsidR="004B42B5" w:rsidRPr="004B42B5" w:rsidRDefault="004B42B5" w:rsidP="004B42B5">
      <w:pPr>
        <w:spacing w:after="0" w:line="240" w:lineRule="auto"/>
        <w:rPr>
          <w:rFonts w:ascii="Arial" w:hAnsi="Arial" w:cs="Arial"/>
          <w:b/>
          <w:lang w:val="en-GB"/>
        </w:rPr>
        <w:sectPr w:rsidR="004B42B5" w:rsidRPr="004B42B5" w:rsidSect="004B42B5">
          <w:type w:val="continuous"/>
          <w:pgSz w:w="12240" w:h="15840"/>
          <w:pgMar w:top="1440" w:right="1440" w:bottom="1440" w:left="1440" w:header="720" w:footer="720" w:gutter="0"/>
          <w:cols w:space="720"/>
        </w:sectPr>
      </w:pPr>
    </w:p>
    <w:p w14:paraId="041CF91B" w14:textId="77777777" w:rsidR="004B42B5" w:rsidRPr="004B42B5" w:rsidRDefault="004B42B5" w:rsidP="004B42B5">
      <w:pPr>
        <w:widowControl w:val="0"/>
        <w:autoSpaceDE w:val="0"/>
        <w:autoSpaceDN w:val="0"/>
        <w:adjustRightInd w:val="0"/>
        <w:spacing w:after="0" w:line="240" w:lineRule="auto"/>
        <w:ind w:left="480" w:hanging="480"/>
        <w:contextualSpacing/>
        <w:jc w:val="both"/>
        <w:rPr>
          <w:rFonts w:ascii="Arial" w:hAnsi="Arial" w:cs="Arial"/>
          <w:b/>
          <w:lang w:val="en-GB"/>
        </w:rPr>
      </w:pPr>
      <w:r w:rsidRPr="004B42B5">
        <w:rPr>
          <w:rFonts w:ascii="Arial" w:hAnsi="Arial" w:cs="Arial"/>
          <w:b/>
          <w:lang w:val="en-GB"/>
        </w:rPr>
        <w:t>REFERENCES</w:t>
      </w:r>
    </w:p>
    <w:p w14:paraId="668D28E5"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r w:rsidRPr="004B42B5">
        <w:fldChar w:fldCharType="begin" w:fldLock="1"/>
      </w:r>
      <w:r w:rsidRPr="004B42B5">
        <w:rPr>
          <w:rFonts w:ascii="Arial" w:hAnsi="Arial" w:cs="Arial"/>
          <w:lang w:val="en-GB"/>
        </w:rPr>
        <w:instrText xml:space="preserve">ADDIN Mendeley Bibliography CSL_BIBLIOGRAPHY </w:instrText>
      </w:r>
      <w:r w:rsidRPr="004B42B5">
        <w:fldChar w:fldCharType="separate"/>
      </w:r>
      <w:r w:rsidRPr="004B42B5">
        <w:rPr>
          <w:rFonts w:ascii="Arial" w:hAnsi="Arial" w:cs="Arial"/>
          <w:noProof/>
        </w:rPr>
        <w:t xml:space="preserve">Akhtar, R., Afroz, R., Masud, M. M., &amp; Rahman, M. (2018). </w:t>
      </w:r>
      <w:r w:rsidRPr="004B42B5">
        <w:rPr>
          <w:rFonts w:ascii="Arial" w:hAnsi="Arial" w:cs="Arial"/>
          <w:i/>
          <w:iCs/>
          <w:noProof/>
        </w:rPr>
        <w:t>Farmers ’ perceptions , awareness , attitudes and adaption behaviour towards climate change</w:t>
      </w:r>
      <w:r w:rsidRPr="004B42B5">
        <w:rPr>
          <w:rFonts w:ascii="Arial" w:hAnsi="Arial" w:cs="Arial"/>
          <w:noProof/>
        </w:rPr>
        <w:t xml:space="preserve">. </w:t>
      </w:r>
      <w:r w:rsidRPr="004B42B5">
        <w:rPr>
          <w:rFonts w:ascii="Arial" w:hAnsi="Arial" w:cs="Arial"/>
          <w:i/>
          <w:iCs/>
          <w:noProof/>
        </w:rPr>
        <w:t>7860</w:t>
      </w:r>
      <w:r w:rsidRPr="004B42B5">
        <w:rPr>
          <w:rFonts w:ascii="Arial" w:hAnsi="Arial" w:cs="Arial"/>
          <w:noProof/>
        </w:rPr>
        <w:t>(May). https://doi.org/10.1080/13547860.2018.1442149</w:t>
      </w:r>
    </w:p>
    <w:p w14:paraId="5066B9D9"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p>
    <w:p w14:paraId="0FF49FD0"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r w:rsidRPr="004B42B5">
        <w:rPr>
          <w:rFonts w:ascii="Arial" w:hAnsi="Arial" w:cs="Arial"/>
          <w:noProof/>
        </w:rPr>
        <w:t xml:space="preserve">Antwi-Agyei, P., Dougill, A. J., &amp; Stringer, L. C. (2015). Barriers to climate change adaptation: evidence from northeast Ghana in the context of a systematic literature review. </w:t>
      </w:r>
      <w:r w:rsidRPr="004B42B5">
        <w:rPr>
          <w:rFonts w:ascii="Arial" w:hAnsi="Arial" w:cs="Arial"/>
          <w:i/>
          <w:iCs/>
          <w:noProof/>
        </w:rPr>
        <w:t>Climate and Development</w:t>
      </w:r>
      <w:r w:rsidRPr="004B42B5">
        <w:rPr>
          <w:rFonts w:ascii="Arial" w:hAnsi="Arial" w:cs="Arial"/>
          <w:noProof/>
        </w:rPr>
        <w:t xml:space="preserve">, </w:t>
      </w:r>
      <w:r w:rsidRPr="004B42B5">
        <w:rPr>
          <w:rFonts w:ascii="Arial" w:hAnsi="Arial" w:cs="Arial"/>
          <w:i/>
          <w:iCs/>
          <w:noProof/>
        </w:rPr>
        <w:t>7</w:t>
      </w:r>
      <w:r w:rsidRPr="004B42B5">
        <w:rPr>
          <w:rFonts w:ascii="Arial" w:hAnsi="Arial" w:cs="Arial"/>
          <w:noProof/>
        </w:rPr>
        <w:t>(4), 297–309. https://doi.org/10.1080/17565529.2014.951013</w:t>
      </w:r>
    </w:p>
    <w:p w14:paraId="36A3AA35"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p>
    <w:p w14:paraId="3FC57D35"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r w:rsidRPr="004B42B5">
        <w:rPr>
          <w:rFonts w:ascii="Arial" w:hAnsi="Arial" w:cs="Arial"/>
          <w:noProof/>
        </w:rPr>
        <w:t xml:space="preserve">Arimi, K. S. (2021). Climate change adaptation and resilience among vegetable farmers. </w:t>
      </w:r>
      <w:r w:rsidRPr="004B42B5">
        <w:rPr>
          <w:rFonts w:ascii="Arial" w:hAnsi="Arial" w:cs="Arial"/>
          <w:i/>
          <w:iCs/>
          <w:noProof/>
        </w:rPr>
        <w:t>International Journal of Vegetable Science</w:t>
      </w:r>
      <w:r w:rsidRPr="004B42B5">
        <w:rPr>
          <w:rFonts w:ascii="Arial" w:hAnsi="Arial" w:cs="Arial"/>
          <w:noProof/>
        </w:rPr>
        <w:t xml:space="preserve">, </w:t>
      </w:r>
      <w:r w:rsidRPr="004B42B5">
        <w:rPr>
          <w:rFonts w:ascii="Arial" w:hAnsi="Arial" w:cs="Arial"/>
          <w:i/>
          <w:iCs/>
          <w:noProof/>
        </w:rPr>
        <w:t>27</w:t>
      </w:r>
      <w:r w:rsidRPr="004B42B5">
        <w:rPr>
          <w:rFonts w:ascii="Arial" w:hAnsi="Arial" w:cs="Arial"/>
          <w:noProof/>
        </w:rPr>
        <w:t>(5), 496–504. https://doi.org/10.1080/19315260.2020.1861160</w:t>
      </w:r>
    </w:p>
    <w:p w14:paraId="16613ECF"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p>
    <w:p w14:paraId="2BB35BE6"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r w:rsidRPr="004B42B5">
        <w:rPr>
          <w:rFonts w:ascii="Arial" w:hAnsi="Arial" w:cs="Arial"/>
          <w:noProof/>
        </w:rPr>
        <w:t xml:space="preserve">Debray, V., Wezel, A., Lambert-Derkimba, A., Roesch, K., Lieblein, G., &amp; Francis, C. A. (2019). Agroecological practices for climate change adaptation in semiarid and subhumid Africa. </w:t>
      </w:r>
      <w:r w:rsidRPr="004B42B5">
        <w:rPr>
          <w:rFonts w:ascii="Arial" w:hAnsi="Arial" w:cs="Arial"/>
          <w:i/>
          <w:iCs/>
          <w:noProof/>
        </w:rPr>
        <w:t>Agroecology and Sustainable Food Systems</w:t>
      </w:r>
      <w:r w:rsidRPr="004B42B5">
        <w:rPr>
          <w:rFonts w:ascii="Arial" w:hAnsi="Arial" w:cs="Arial"/>
          <w:noProof/>
        </w:rPr>
        <w:t xml:space="preserve">, </w:t>
      </w:r>
      <w:r w:rsidRPr="004B42B5">
        <w:rPr>
          <w:rFonts w:ascii="Arial" w:hAnsi="Arial" w:cs="Arial"/>
          <w:i/>
          <w:iCs/>
          <w:noProof/>
        </w:rPr>
        <w:t>43</w:t>
      </w:r>
      <w:r w:rsidRPr="004B42B5">
        <w:rPr>
          <w:rFonts w:ascii="Arial" w:hAnsi="Arial" w:cs="Arial"/>
          <w:noProof/>
        </w:rPr>
        <w:t>(4), 429–456. https://doi.org/10.1080/21683565.2018.1509166</w:t>
      </w:r>
    </w:p>
    <w:p w14:paraId="1AD95216"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p>
    <w:p w14:paraId="1E2ECD11"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r w:rsidRPr="004B42B5">
        <w:rPr>
          <w:rFonts w:ascii="Arial" w:hAnsi="Arial" w:cs="Arial"/>
          <w:noProof/>
        </w:rPr>
        <w:t xml:space="preserve">Dougherty, J. P., Einar, J., Gallenstein, R. A., Miranda, M. J., &amp; Sam, A. G. (2020). </w:t>
      </w:r>
      <w:r w:rsidRPr="004B42B5">
        <w:rPr>
          <w:rFonts w:ascii="Arial" w:hAnsi="Arial" w:cs="Arial"/>
          <w:i/>
          <w:iCs/>
          <w:noProof/>
        </w:rPr>
        <w:t>Journal of Economic Behavior and Organization Climate change and index insurance demand : Evidence from a framed field experiment in Tanzania</w:t>
      </w:r>
      <w:r w:rsidRPr="004B42B5">
        <w:rPr>
          <w:rFonts w:ascii="Arial" w:hAnsi="Arial" w:cs="Arial"/>
          <w:noProof/>
        </w:rPr>
        <w:t xml:space="preserve">. </w:t>
      </w:r>
      <w:r w:rsidRPr="004B42B5">
        <w:rPr>
          <w:rFonts w:ascii="Arial" w:hAnsi="Arial" w:cs="Arial"/>
          <w:i/>
          <w:iCs/>
          <w:noProof/>
        </w:rPr>
        <w:t>175</w:t>
      </w:r>
      <w:r w:rsidRPr="004B42B5">
        <w:rPr>
          <w:rFonts w:ascii="Arial" w:hAnsi="Arial" w:cs="Arial"/>
          <w:noProof/>
        </w:rPr>
        <w:t>, 155–184. https://doi.org/10.1016/j.jebo.2020.04.016</w:t>
      </w:r>
    </w:p>
    <w:p w14:paraId="047DCC10"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p>
    <w:p w14:paraId="690A2ED8"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r w:rsidRPr="004B42B5">
        <w:rPr>
          <w:rFonts w:ascii="Arial" w:hAnsi="Arial" w:cs="Arial"/>
          <w:noProof/>
        </w:rPr>
        <w:t xml:space="preserve">Eshetu, G., Johansson, T., Garedew, W., &amp; Yisahak, T. (2021). Determinants of smallholder farmers’ adaptation options to climate change in a coffee-based farming system of Southwest Ethiopia. </w:t>
      </w:r>
      <w:r w:rsidRPr="004B42B5">
        <w:rPr>
          <w:rFonts w:ascii="Arial" w:hAnsi="Arial" w:cs="Arial"/>
          <w:i/>
          <w:iCs/>
          <w:noProof/>
        </w:rPr>
        <w:t>Climate and Development</w:t>
      </w:r>
      <w:r w:rsidRPr="004B42B5">
        <w:rPr>
          <w:rFonts w:ascii="Arial" w:hAnsi="Arial" w:cs="Arial"/>
          <w:noProof/>
        </w:rPr>
        <w:t xml:space="preserve">, </w:t>
      </w:r>
      <w:r w:rsidRPr="004B42B5">
        <w:rPr>
          <w:rFonts w:ascii="Arial" w:hAnsi="Arial" w:cs="Arial"/>
          <w:i/>
          <w:iCs/>
          <w:noProof/>
        </w:rPr>
        <w:t>13</w:t>
      </w:r>
      <w:r w:rsidRPr="004B42B5">
        <w:rPr>
          <w:rFonts w:ascii="Arial" w:hAnsi="Arial" w:cs="Arial"/>
          <w:noProof/>
        </w:rPr>
        <w:t>(4), 318–325. https://doi.org/10.1080/17565529.2020.1772706</w:t>
      </w:r>
    </w:p>
    <w:p w14:paraId="46B3F4AD"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p>
    <w:p w14:paraId="00BE7362"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r w:rsidRPr="004B42B5">
        <w:rPr>
          <w:rFonts w:ascii="Arial" w:hAnsi="Arial" w:cs="Arial"/>
          <w:noProof/>
        </w:rPr>
        <w:t xml:space="preserve">Koutroulis, A. G., Papadimitriou, L. V., Grillakis, M. G., Tsanis, I. K., Wyser, K., &amp; Betts, R. A. (2018). Freshwater vulnerability under high end climate change. A pan-European assessment. </w:t>
      </w:r>
      <w:r w:rsidRPr="004B42B5">
        <w:rPr>
          <w:rFonts w:ascii="Arial" w:hAnsi="Arial" w:cs="Arial"/>
          <w:i/>
          <w:iCs/>
          <w:noProof/>
        </w:rPr>
        <w:t>Science of the Total Environment</w:t>
      </w:r>
      <w:r w:rsidRPr="004B42B5">
        <w:rPr>
          <w:rFonts w:ascii="Arial" w:hAnsi="Arial" w:cs="Arial"/>
          <w:noProof/>
        </w:rPr>
        <w:t xml:space="preserve">, </w:t>
      </w:r>
      <w:r w:rsidRPr="004B42B5">
        <w:rPr>
          <w:rFonts w:ascii="Arial" w:hAnsi="Arial" w:cs="Arial"/>
          <w:i/>
          <w:iCs/>
          <w:noProof/>
        </w:rPr>
        <w:t>613</w:t>
      </w:r>
      <w:r w:rsidRPr="004B42B5">
        <w:rPr>
          <w:rFonts w:ascii="Arial" w:hAnsi="Arial" w:cs="Arial"/>
          <w:noProof/>
        </w:rPr>
        <w:t>–</w:t>
      </w:r>
      <w:r w:rsidRPr="004B42B5">
        <w:rPr>
          <w:rFonts w:ascii="Arial" w:hAnsi="Arial" w:cs="Arial"/>
          <w:i/>
          <w:iCs/>
          <w:noProof/>
        </w:rPr>
        <w:t>614</w:t>
      </w:r>
      <w:r w:rsidRPr="004B42B5">
        <w:rPr>
          <w:rFonts w:ascii="Arial" w:hAnsi="Arial" w:cs="Arial"/>
          <w:noProof/>
        </w:rPr>
        <w:t>, 271–286. https://doi.org/10.1016/j.scitotenv.2017.09.074</w:t>
      </w:r>
    </w:p>
    <w:p w14:paraId="255D249C"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p>
    <w:p w14:paraId="01523C62"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r w:rsidRPr="004B42B5">
        <w:rPr>
          <w:rFonts w:ascii="Arial" w:hAnsi="Arial" w:cs="Arial"/>
          <w:noProof/>
        </w:rPr>
        <w:t xml:space="preserve">Kuswanto, H., Hibatullah, F., &amp; Setiaji, E. (2019). Heliyon Perception of weather and seasonal drought forecasts and its impact on livelihood in East Nusa Tenggara , Indonesia. </w:t>
      </w:r>
      <w:r w:rsidRPr="004B42B5">
        <w:rPr>
          <w:rFonts w:ascii="Arial" w:hAnsi="Arial" w:cs="Arial"/>
          <w:i/>
          <w:iCs/>
          <w:noProof/>
        </w:rPr>
        <w:t>Heliyon</w:t>
      </w:r>
      <w:r w:rsidRPr="004B42B5">
        <w:rPr>
          <w:rFonts w:ascii="Arial" w:hAnsi="Arial" w:cs="Arial"/>
          <w:noProof/>
        </w:rPr>
        <w:t xml:space="preserve">, </w:t>
      </w:r>
      <w:r w:rsidRPr="004B42B5">
        <w:rPr>
          <w:rFonts w:ascii="Arial" w:hAnsi="Arial" w:cs="Arial"/>
          <w:i/>
          <w:iCs/>
          <w:noProof/>
        </w:rPr>
        <w:t>5</w:t>
      </w:r>
      <w:r w:rsidRPr="004B42B5">
        <w:rPr>
          <w:rFonts w:ascii="Arial" w:hAnsi="Arial" w:cs="Arial"/>
          <w:noProof/>
        </w:rPr>
        <w:t>(January), e02360. https://doi.org/10.1016/j.heliyon.2019.e02360</w:t>
      </w:r>
    </w:p>
    <w:p w14:paraId="4AE3340F"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p>
    <w:p w14:paraId="09510B58"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r w:rsidRPr="004B42B5">
        <w:rPr>
          <w:rFonts w:ascii="Arial" w:hAnsi="Arial" w:cs="Arial"/>
          <w:noProof/>
        </w:rPr>
        <w:t xml:space="preserve">Mapfumo, P., Mtambanengwe, F., &amp; Chikowo, R. (2016). Building on indigenous knowledge to strengthen the capacity of smallholder farming communities to adapt to climate change and variability in southern Africa. </w:t>
      </w:r>
      <w:r w:rsidRPr="004B42B5">
        <w:rPr>
          <w:rFonts w:ascii="Arial" w:hAnsi="Arial" w:cs="Arial"/>
          <w:i/>
          <w:iCs/>
          <w:noProof/>
        </w:rPr>
        <w:t>Climate and Development</w:t>
      </w:r>
      <w:r w:rsidRPr="004B42B5">
        <w:rPr>
          <w:rFonts w:ascii="Arial" w:hAnsi="Arial" w:cs="Arial"/>
          <w:noProof/>
        </w:rPr>
        <w:t xml:space="preserve">, </w:t>
      </w:r>
      <w:r w:rsidRPr="004B42B5">
        <w:rPr>
          <w:rFonts w:ascii="Arial" w:hAnsi="Arial" w:cs="Arial"/>
          <w:i/>
          <w:iCs/>
          <w:noProof/>
        </w:rPr>
        <w:t>8</w:t>
      </w:r>
      <w:r w:rsidRPr="004B42B5">
        <w:rPr>
          <w:rFonts w:ascii="Arial" w:hAnsi="Arial" w:cs="Arial"/>
          <w:noProof/>
        </w:rPr>
        <w:t>(1), 72–82. https://doi.org/10.1080/17565529.2014.998604</w:t>
      </w:r>
    </w:p>
    <w:p w14:paraId="052CD4D0"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p>
    <w:p w14:paraId="23ECD8A0"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r w:rsidRPr="004B42B5">
        <w:rPr>
          <w:rFonts w:ascii="Arial" w:hAnsi="Arial" w:cs="Arial"/>
          <w:noProof/>
        </w:rPr>
        <w:t xml:space="preserve">Muller, C., &amp; Shackleton, S. E. (2014). Perceptions of climate change and barriers to adaptation amongst commonage and commercial livestock farmers in the semi-arid Eastern Cape Karoo. </w:t>
      </w:r>
      <w:r w:rsidRPr="004B42B5">
        <w:rPr>
          <w:rFonts w:ascii="Arial" w:hAnsi="Arial" w:cs="Arial"/>
          <w:i/>
          <w:iCs/>
          <w:noProof/>
        </w:rPr>
        <w:t>African Journal of Range and Forage Science</w:t>
      </w:r>
      <w:r w:rsidRPr="004B42B5">
        <w:rPr>
          <w:rFonts w:ascii="Arial" w:hAnsi="Arial" w:cs="Arial"/>
          <w:noProof/>
        </w:rPr>
        <w:t xml:space="preserve">, </w:t>
      </w:r>
      <w:r w:rsidRPr="004B42B5">
        <w:rPr>
          <w:rFonts w:ascii="Arial" w:hAnsi="Arial" w:cs="Arial"/>
          <w:i/>
          <w:iCs/>
          <w:noProof/>
        </w:rPr>
        <w:t>31</w:t>
      </w:r>
      <w:r w:rsidRPr="004B42B5">
        <w:rPr>
          <w:rFonts w:ascii="Arial" w:hAnsi="Arial" w:cs="Arial"/>
          <w:noProof/>
        </w:rPr>
        <w:t>(1), 1–12. https://doi.org/10.2989/10220119.2013.845606</w:t>
      </w:r>
    </w:p>
    <w:p w14:paraId="503F3A48"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p>
    <w:p w14:paraId="24ABB2ED"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r w:rsidRPr="004B42B5">
        <w:rPr>
          <w:rFonts w:ascii="Arial" w:hAnsi="Arial" w:cs="Arial"/>
          <w:noProof/>
        </w:rPr>
        <w:t xml:space="preserve">Ndlovu, S., Mathe, B., Phiri, K., &amp; Nyathi, D. (2020). Factoring water harvesting into climate </w:t>
      </w:r>
      <w:r w:rsidRPr="004B42B5">
        <w:rPr>
          <w:rFonts w:ascii="Arial" w:hAnsi="Arial" w:cs="Arial"/>
          <w:noProof/>
        </w:rPr>
        <w:lastRenderedPageBreak/>
        <w:t xml:space="preserve">change adaptation: Endogenous responses by smallholder farmers in Gwanda district, Zimbabwe. </w:t>
      </w:r>
      <w:r w:rsidRPr="004B42B5">
        <w:rPr>
          <w:rFonts w:ascii="Arial" w:hAnsi="Arial" w:cs="Arial"/>
          <w:i/>
          <w:iCs/>
          <w:noProof/>
        </w:rPr>
        <w:t>Cogent Social Sciences</w:t>
      </w:r>
      <w:r w:rsidRPr="004B42B5">
        <w:rPr>
          <w:rFonts w:ascii="Arial" w:hAnsi="Arial" w:cs="Arial"/>
          <w:noProof/>
        </w:rPr>
        <w:t xml:space="preserve">, </w:t>
      </w:r>
      <w:r w:rsidRPr="004B42B5">
        <w:rPr>
          <w:rFonts w:ascii="Arial" w:hAnsi="Arial" w:cs="Arial"/>
          <w:i/>
          <w:iCs/>
          <w:noProof/>
        </w:rPr>
        <w:t>6</w:t>
      </w:r>
      <w:r w:rsidRPr="004B42B5">
        <w:rPr>
          <w:rFonts w:ascii="Arial" w:hAnsi="Arial" w:cs="Arial"/>
          <w:noProof/>
        </w:rPr>
        <w:t>(1). https://doi.org/10.1080/23311886.2020.1784652</w:t>
      </w:r>
    </w:p>
    <w:p w14:paraId="69FBEE9C"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p>
    <w:p w14:paraId="00FDBF93"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r w:rsidRPr="004B42B5">
        <w:rPr>
          <w:rFonts w:ascii="Arial" w:hAnsi="Arial" w:cs="Arial"/>
          <w:noProof/>
        </w:rPr>
        <w:t xml:space="preserve">Neset, T. S., Opach, T., Lion, P., Lilja, A., &amp; Johansson, J. (2016). Map-Based Web Tools Supporting Climate Change Adaptation. </w:t>
      </w:r>
      <w:r w:rsidRPr="004B42B5">
        <w:rPr>
          <w:rFonts w:ascii="Arial" w:hAnsi="Arial" w:cs="Arial"/>
          <w:i/>
          <w:iCs/>
          <w:noProof/>
        </w:rPr>
        <w:t>Professional Geographer</w:t>
      </w:r>
      <w:r w:rsidRPr="004B42B5">
        <w:rPr>
          <w:rFonts w:ascii="Arial" w:hAnsi="Arial" w:cs="Arial"/>
          <w:noProof/>
        </w:rPr>
        <w:t xml:space="preserve">, </w:t>
      </w:r>
      <w:r w:rsidRPr="004B42B5">
        <w:rPr>
          <w:rFonts w:ascii="Arial" w:hAnsi="Arial" w:cs="Arial"/>
          <w:i/>
          <w:iCs/>
          <w:noProof/>
        </w:rPr>
        <w:t>68</w:t>
      </w:r>
      <w:r w:rsidRPr="004B42B5">
        <w:rPr>
          <w:rFonts w:ascii="Arial" w:hAnsi="Arial" w:cs="Arial"/>
          <w:noProof/>
        </w:rPr>
        <w:t>(1), 103–114. https://doi.org/10.1080/00330124.2015.1033670</w:t>
      </w:r>
    </w:p>
    <w:p w14:paraId="21AB2945"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p>
    <w:p w14:paraId="3E5AFEC1"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r w:rsidRPr="004B42B5">
        <w:rPr>
          <w:rFonts w:ascii="Arial" w:hAnsi="Arial" w:cs="Arial"/>
          <w:noProof/>
        </w:rPr>
        <w:t xml:space="preserve">Nidumolu, U., Lim-Camacho, L., Gaillard, E., Hayman, P., &amp; Howden, M. (2020). Linking climate forecasts to rural livelihoods: Mapping decisions, information networks and value chains. </w:t>
      </w:r>
      <w:r w:rsidRPr="004B42B5">
        <w:rPr>
          <w:rFonts w:ascii="Arial" w:hAnsi="Arial" w:cs="Arial"/>
          <w:i/>
          <w:iCs/>
          <w:noProof/>
        </w:rPr>
        <w:t>Weather and Climate Extremes</w:t>
      </w:r>
      <w:r w:rsidRPr="004B42B5">
        <w:rPr>
          <w:rFonts w:ascii="Arial" w:hAnsi="Arial" w:cs="Arial"/>
          <w:noProof/>
        </w:rPr>
        <w:t xml:space="preserve">, </w:t>
      </w:r>
      <w:r w:rsidRPr="004B42B5">
        <w:rPr>
          <w:rFonts w:ascii="Arial" w:hAnsi="Arial" w:cs="Arial"/>
          <w:i/>
          <w:iCs/>
          <w:noProof/>
        </w:rPr>
        <w:t>27</w:t>
      </w:r>
      <w:r w:rsidRPr="004B42B5">
        <w:rPr>
          <w:rFonts w:ascii="Arial" w:hAnsi="Arial" w:cs="Arial"/>
          <w:noProof/>
        </w:rPr>
        <w:t>(June 2018), 100174. https://doi.org/10.1016/j.wace.2018.06.001</w:t>
      </w:r>
    </w:p>
    <w:p w14:paraId="43EC0A6B"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p>
    <w:p w14:paraId="51587400"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r w:rsidRPr="004B42B5">
        <w:rPr>
          <w:rFonts w:ascii="Arial" w:hAnsi="Arial" w:cs="Arial"/>
          <w:noProof/>
        </w:rPr>
        <w:t xml:space="preserve">Ochieng, J., Kirimi, L., &amp; Mathenge, M. (2016). Effects of climate variability and change on agricultural production: The case of small scale farmers in Kenya. </w:t>
      </w:r>
      <w:r w:rsidRPr="004B42B5">
        <w:rPr>
          <w:rFonts w:ascii="Arial" w:hAnsi="Arial" w:cs="Arial"/>
          <w:i/>
          <w:iCs/>
          <w:noProof/>
        </w:rPr>
        <w:t>NJAS - Wageningen Journal of Life Sciences</w:t>
      </w:r>
      <w:r w:rsidRPr="004B42B5">
        <w:rPr>
          <w:rFonts w:ascii="Arial" w:hAnsi="Arial" w:cs="Arial"/>
          <w:noProof/>
        </w:rPr>
        <w:t xml:space="preserve">, </w:t>
      </w:r>
      <w:r w:rsidRPr="004B42B5">
        <w:rPr>
          <w:rFonts w:ascii="Arial" w:hAnsi="Arial" w:cs="Arial"/>
          <w:i/>
          <w:iCs/>
          <w:noProof/>
        </w:rPr>
        <w:t>77</w:t>
      </w:r>
      <w:r w:rsidRPr="004B42B5">
        <w:rPr>
          <w:rFonts w:ascii="Arial" w:hAnsi="Arial" w:cs="Arial"/>
          <w:noProof/>
        </w:rPr>
        <w:t>, 71–78. https://doi.org/10.1016/j.njas.2016.03.005</w:t>
      </w:r>
    </w:p>
    <w:p w14:paraId="496708A1"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p>
    <w:p w14:paraId="10C2E028"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r w:rsidRPr="004B42B5">
        <w:rPr>
          <w:rFonts w:ascii="Arial" w:hAnsi="Arial" w:cs="Arial"/>
          <w:noProof/>
        </w:rPr>
        <w:t xml:space="preserve">Overpeck, J. T., Meehl, G. A., Bony, S., &amp; Easterling, D. R. (2011). </w:t>
      </w:r>
      <w:r w:rsidRPr="004B42B5">
        <w:rPr>
          <w:rFonts w:ascii="Arial" w:hAnsi="Arial" w:cs="Arial"/>
          <w:i/>
          <w:iCs/>
          <w:noProof/>
        </w:rPr>
        <w:t>in the 21st Century</w:t>
      </w:r>
      <w:r w:rsidRPr="004B42B5">
        <w:rPr>
          <w:rFonts w:ascii="Arial" w:hAnsi="Arial" w:cs="Arial"/>
          <w:noProof/>
        </w:rPr>
        <w:t xml:space="preserve">. </w:t>
      </w:r>
      <w:r w:rsidRPr="004B42B5">
        <w:rPr>
          <w:rFonts w:ascii="Arial" w:hAnsi="Arial" w:cs="Arial"/>
          <w:i/>
          <w:iCs/>
          <w:noProof/>
        </w:rPr>
        <w:t>331</w:t>
      </w:r>
      <w:r w:rsidRPr="004B42B5">
        <w:rPr>
          <w:rFonts w:ascii="Arial" w:hAnsi="Arial" w:cs="Arial"/>
          <w:noProof/>
        </w:rPr>
        <w:t>(February), 700–702.</w:t>
      </w:r>
    </w:p>
    <w:p w14:paraId="1F1E25F1"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p>
    <w:p w14:paraId="62A245FF"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r w:rsidRPr="004B42B5">
        <w:rPr>
          <w:rFonts w:ascii="Arial" w:hAnsi="Arial" w:cs="Arial"/>
          <w:noProof/>
        </w:rPr>
        <w:t xml:space="preserve">Paavola, J. (2008). Livelihoods, vulnerability and adaptation to climate change in Morogoro, Tanzania. </w:t>
      </w:r>
      <w:r w:rsidRPr="004B42B5">
        <w:rPr>
          <w:rFonts w:ascii="Arial" w:hAnsi="Arial" w:cs="Arial"/>
          <w:i/>
          <w:iCs/>
          <w:noProof/>
        </w:rPr>
        <w:t>Environmental Science and Policy</w:t>
      </w:r>
      <w:r w:rsidRPr="004B42B5">
        <w:rPr>
          <w:rFonts w:ascii="Arial" w:hAnsi="Arial" w:cs="Arial"/>
          <w:noProof/>
        </w:rPr>
        <w:t xml:space="preserve">, </w:t>
      </w:r>
      <w:r w:rsidRPr="004B42B5">
        <w:rPr>
          <w:rFonts w:ascii="Arial" w:hAnsi="Arial" w:cs="Arial"/>
          <w:i/>
          <w:iCs/>
          <w:noProof/>
        </w:rPr>
        <w:t>11</w:t>
      </w:r>
      <w:r w:rsidRPr="004B42B5">
        <w:rPr>
          <w:rFonts w:ascii="Arial" w:hAnsi="Arial" w:cs="Arial"/>
          <w:noProof/>
        </w:rPr>
        <w:t>(7), 642–654. https://doi.org/10.1016/j.envsci.2008.06.002</w:t>
      </w:r>
    </w:p>
    <w:p w14:paraId="0664315D"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p>
    <w:p w14:paraId="4CC67B93"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r w:rsidRPr="004B42B5">
        <w:rPr>
          <w:rFonts w:ascii="Arial" w:hAnsi="Arial" w:cs="Arial"/>
          <w:noProof/>
        </w:rPr>
        <w:t xml:space="preserve">Sewando, P. T., Mutabazi, K. D., &amp; Mdoe, N. Y. S. (2016). </w:t>
      </w:r>
      <w:r w:rsidRPr="004B42B5">
        <w:rPr>
          <w:rFonts w:ascii="Arial" w:hAnsi="Arial" w:cs="Arial"/>
          <w:i/>
          <w:iCs/>
          <w:noProof/>
        </w:rPr>
        <w:t>Vulnerability of agro-pastoral farmers to climate risks in northern and central Tanzania</w:t>
      </w:r>
      <w:r w:rsidRPr="004B42B5">
        <w:rPr>
          <w:rFonts w:ascii="Arial" w:hAnsi="Arial" w:cs="Arial"/>
          <w:noProof/>
        </w:rPr>
        <w:t xml:space="preserve">. </w:t>
      </w:r>
      <w:r w:rsidRPr="004B42B5">
        <w:rPr>
          <w:rFonts w:ascii="Arial" w:hAnsi="Arial" w:cs="Arial"/>
          <w:i/>
          <w:iCs/>
          <w:noProof/>
        </w:rPr>
        <w:t>5095</w:t>
      </w:r>
      <w:r w:rsidRPr="004B42B5">
        <w:rPr>
          <w:rFonts w:ascii="Arial" w:hAnsi="Arial" w:cs="Arial"/>
          <w:noProof/>
        </w:rPr>
        <w:t>(November). https://doi.org/10.1080/21665095.2016.1238311</w:t>
      </w:r>
    </w:p>
    <w:p w14:paraId="757F987B"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p>
    <w:p w14:paraId="3B099DF8"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r w:rsidRPr="004B42B5">
        <w:rPr>
          <w:rFonts w:ascii="Arial" w:hAnsi="Arial" w:cs="Arial"/>
          <w:noProof/>
        </w:rPr>
        <w:t xml:space="preserve">Singh, C., Daron, J., Bazaz, A., Ziervogel, G., Spear, D., Krishnaswamy, J., Zaroug, M., Kituyi, E., Singh, C., Daron, J., Bazaz, A., Ziervogel, G., &amp; Spear, D. (2017). The utility of weather and climate information for adaptation decision-making : current uses and future prospects in Africa and India. </w:t>
      </w:r>
      <w:r w:rsidRPr="004B42B5">
        <w:rPr>
          <w:rFonts w:ascii="Arial" w:hAnsi="Arial" w:cs="Arial"/>
          <w:i/>
          <w:iCs/>
          <w:noProof/>
        </w:rPr>
        <w:t>Climate and Development</w:t>
      </w:r>
      <w:r w:rsidRPr="004B42B5">
        <w:rPr>
          <w:rFonts w:ascii="Arial" w:hAnsi="Arial" w:cs="Arial"/>
          <w:noProof/>
        </w:rPr>
        <w:t xml:space="preserve">, </w:t>
      </w:r>
      <w:r w:rsidRPr="004B42B5">
        <w:rPr>
          <w:rFonts w:ascii="Arial" w:hAnsi="Arial" w:cs="Arial"/>
          <w:i/>
          <w:iCs/>
          <w:noProof/>
        </w:rPr>
        <w:t>0</w:t>
      </w:r>
      <w:r w:rsidRPr="004B42B5">
        <w:rPr>
          <w:rFonts w:ascii="Arial" w:hAnsi="Arial" w:cs="Arial"/>
          <w:noProof/>
        </w:rPr>
        <w:t>(0), 1–17. https://doi.org/10.1080/17565529.2017.1318744</w:t>
      </w:r>
    </w:p>
    <w:p w14:paraId="7AFE1386"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p>
    <w:p w14:paraId="003FF31F"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r w:rsidRPr="004B42B5">
        <w:rPr>
          <w:rFonts w:ascii="Arial" w:hAnsi="Arial" w:cs="Arial"/>
          <w:noProof/>
        </w:rPr>
        <w:t xml:space="preserve">Singh, S. (2020a). Farmers’ perception of climate change and adaptation decisions: A micro-level evidence from Bundelkhand Region, India. </w:t>
      </w:r>
      <w:r w:rsidRPr="004B42B5">
        <w:rPr>
          <w:rFonts w:ascii="Arial" w:hAnsi="Arial" w:cs="Arial"/>
          <w:i/>
          <w:iCs/>
          <w:noProof/>
        </w:rPr>
        <w:t>Ecological Indicators</w:t>
      </w:r>
      <w:r w:rsidRPr="004B42B5">
        <w:rPr>
          <w:rFonts w:ascii="Arial" w:hAnsi="Arial" w:cs="Arial"/>
          <w:noProof/>
        </w:rPr>
        <w:t xml:space="preserve">, </w:t>
      </w:r>
      <w:r w:rsidRPr="004B42B5">
        <w:rPr>
          <w:rFonts w:ascii="Arial" w:hAnsi="Arial" w:cs="Arial"/>
          <w:i/>
          <w:iCs/>
          <w:noProof/>
        </w:rPr>
        <w:t>116</w:t>
      </w:r>
      <w:r w:rsidRPr="004B42B5">
        <w:rPr>
          <w:rFonts w:ascii="Arial" w:hAnsi="Arial" w:cs="Arial"/>
          <w:noProof/>
        </w:rPr>
        <w:t>. https://doi.org/10.1016/j.ecolind.2020.106475</w:t>
      </w:r>
    </w:p>
    <w:p w14:paraId="305E8E0E"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p>
    <w:p w14:paraId="367C85DB"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r w:rsidRPr="004B42B5">
        <w:rPr>
          <w:rFonts w:ascii="Arial" w:hAnsi="Arial" w:cs="Arial"/>
          <w:noProof/>
        </w:rPr>
        <w:t xml:space="preserve">Singh, S. (2020b). Farmers ’ perception of climate change and adaptation decisions : A micro- level evidence from Bundelkhand Region , India. </w:t>
      </w:r>
      <w:r w:rsidRPr="004B42B5">
        <w:rPr>
          <w:rFonts w:ascii="Arial" w:hAnsi="Arial" w:cs="Arial"/>
          <w:i/>
          <w:iCs/>
          <w:noProof/>
        </w:rPr>
        <w:t>Ecological Indicators</w:t>
      </w:r>
      <w:r w:rsidRPr="004B42B5">
        <w:rPr>
          <w:rFonts w:ascii="Arial" w:hAnsi="Arial" w:cs="Arial"/>
          <w:noProof/>
        </w:rPr>
        <w:t xml:space="preserve">, </w:t>
      </w:r>
      <w:r w:rsidRPr="004B42B5">
        <w:rPr>
          <w:rFonts w:ascii="Arial" w:hAnsi="Arial" w:cs="Arial"/>
          <w:i/>
          <w:iCs/>
          <w:noProof/>
        </w:rPr>
        <w:t>116</w:t>
      </w:r>
      <w:r w:rsidRPr="004B42B5">
        <w:rPr>
          <w:rFonts w:ascii="Arial" w:hAnsi="Arial" w:cs="Arial"/>
          <w:noProof/>
        </w:rPr>
        <w:t>(April 2019), 106475. https://doi.org/10.1016/j.ecolind.2020.106475</w:t>
      </w:r>
    </w:p>
    <w:p w14:paraId="6227F175"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p>
    <w:p w14:paraId="3166F99C"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r w:rsidRPr="004B42B5">
        <w:rPr>
          <w:rFonts w:ascii="Arial" w:hAnsi="Arial" w:cs="Arial"/>
          <w:noProof/>
        </w:rPr>
        <w:t xml:space="preserve">Stuch, B., Alcamo, J., &amp; Schaldach, R. (2020). Projected climate change impacts on mean and year-to-year variability of yield of key smallholder crops in Sub-Saharan Africa. </w:t>
      </w:r>
      <w:r w:rsidRPr="004B42B5">
        <w:rPr>
          <w:rFonts w:ascii="Arial" w:hAnsi="Arial" w:cs="Arial"/>
          <w:i/>
          <w:iCs/>
          <w:noProof/>
        </w:rPr>
        <w:t>Climate and Development</w:t>
      </w:r>
      <w:r w:rsidRPr="004B42B5">
        <w:rPr>
          <w:rFonts w:ascii="Arial" w:hAnsi="Arial" w:cs="Arial"/>
          <w:noProof/>
        </w:rPr>
        <w:t>, 1–15. https://doi.org/10.1080/17565529.2020.1760771</w:t>
      </w:r>
    </w:p>
    <w:p w14:paraId="5682A2EC"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p>
    <w:p w14:paraId="6CB11BFC"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r w:rsidRPr="004B42B5">
        <w:rPr>
          <w:rFonts w:ascii="Arial" w:hAnsi="Arial" w:cs="Arial"/>
          <w:noProof/>
        </w:rPr>
        <w:t xml:space="preserve">Surminski, S., Barnes, J., &amp; Vincent, K. (2022). Can insurance catalyse government planning on climate? Emergent evidence from Sub-Saharan Africa. </w:t>
      </w:r>
      <w:r w:rsidRPr="004B42B5">
        <w:rPr>
          <w:rFonts w:ascii="Arial" w:hAnsi="Arial" w:cs="Arial"/>
          <w:i/>
          <w:iCs/>
          <w:noProof/>
        </w:rPr>
        <w:t>World Development</w:t>
      </w:r>
      <w:r w:rsidRPr="004B42B5">
        <w:rPr>
          <w:rFonts w:ascii="Arial" w:hAnsi="Arial" w:cs="Arial"/>
          <w:noProof/>
        </w:rPr>
        <w:t xml:space="preserve">, </w:t>
      </w:r>
      <w:r w:rsidRPr="004B42B5">
        <w:rPr>
          <w:rFonts w:ascii="Arial" w:hAnsi="Arial" w:cs="Arial"/>
          <w:i/>
          <w:iCs/>
          <w:noProof/>
        </w:rPr>
        <w:t>153</w:t>
      </w:r>
      <w:r w:rsidRPr="004B42B5">
        <w:rPr>
          <w:rFonts w:ascii="Arial" w:hAnsi="Arial" w:cs="Arial"/>
          <w:noProof/>
        </w:rPr>
        <w:t>, 105830. https://doi.org/10.1016/j.worlddev.2022.105830</w:t>
      </w:r>
    </w:p>
    <w:p w14:paraId="618B9419"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p>
    <w:p w14:paraId="42BD5F2B"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r w:rsidRPr="004B42B5">
        <w:rPr>
          <w:rFonts w:ascii="Arial" w:hAnsi="Arial" w:cs="Arial"/>
          <w:noProof/>
        </w:rPr>
        <w:t xml:space="preserve">Theodory, T. F. (2021). Understanding the relevance of indigenous knowledge on climate change adaptation among mixed farmers in the Ngono River Basin, Tanzania. </w:t>
      </w:r>
      <w:r w:rsidRPr="004B42B5">
        <w:rPr>
          <w:rFonts w:ascii="Arial" w:hAnsi="Arial" w:cs="Arial"/>
          <w:i/>
          <w:iCs/>
          <w:noProof/>
        </w:rPr>
        <w:t xml:space="preserve">African Journal of </w:t>
      </w:r>
      <w:r w:rsidRPr="004B42B5">
        <w:rPr>
          <w:rFonts w:ascii="Arial" w:hAnsi="Arial" w:cs="Arial"/>
          <w:i/>
          <w:iCs/>
          <w:noProof/>
        </w:rPr>
        <w:lastRenderedPageBreak/>
        <w:t>Science, Technology, Innovation and Development</w:t>
      </w:r>
      <w:r w:rsidRPr="004B42B5">
        <w:rPr>
          <w:rFonts w:ascii="Arial" w:hAnsi="Arial" w:cs="Arial"/>
          <w:noProof/>
        </w:rPr>
        <w:t xml:space="preserve">, </w:t>
      </w:r>
      <w:r w:rsidRPr="004B42B5">
        <w:rPr>
          <w:rFonts w:ascii="Arial" w:hAnsi="Arial" w:cs="Arial"/>
          <w:i/>
          <w:iCs/>
          <w:noProof/>
        </w:rPr>
        <w:t>13</w:t>
      </w:r>
      <w:r w:rsidRPr="004B42B5">
        <w:rPr>
          <w:rFonts w:ascii="Arial" w:hAnsi="Arial" w:cs="Arial"/>
          <w:noProof/>
        </w:rPr>
        <w:t>(1), 51–59. https://doi.org/10.1080/20421338.2020.1816615</w:t>
      </w:r>
    </w:p>
    <w:p w14:paraId="75F8D786"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p>
    <w:p w14:paraId="667126E3"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r w:rsidRPr="004B42B5">
        <w:rPr>
          <w:rFonts w:ascii="Arial" w:hAnsi="Arial" w:cs="Arial"/>
          <w:noProof/>
        </w:rPr>
        <w:t xml:space="preserve">Tongruksawattana, S., &amp; Wainaina, P. (2019). Climate shock adaptation for Kenyan maize-legume farmers: choice, complementarities and substitutions between strategies. </w:t>
      </w:r>
      <w:r w:rsidRPr="004B42B5">
        <w:rPr>
          <w:rFonts w:ascii="Arial" w:hAnsi="Arial" w:cs="Arial"/>
          <w:i/>
          <w:iCs/>
          <w:noProof/>
        </w:rPr>
        <w:t>Climate and Development</w:t>
      </w:r>
      <w:r w:rsidRPr="004B42B5">
        <w:rPr>
          <w:rFonts w:ascii="Arial" w:hAnsi="Arial" w:cs="Arial"/>
          <w:noProof/>
        </w:rPr>
        <w:t xml:space="preserve">, </w:t>
      </w:r>
      <w:r w:rsidRPr="004B42B5">
        <w:rPr>
          <w:rFonts w:ascii="Arial" w:hAnsi="Arial" w:cs="Arial"/>
          <w:i/>
          <w:iCs/>
          <w:noProof/>
        </w:rPr>
        <w:t>11</w:t>
      </w:r>
      <w:r w:rsidRPr="004B42B5">
        <w:rPr>
          <w:rFonts w:ascii="Arial" w:hAnsi="Arial" w:cs="Arial"/>
          <w:noProof/>
        </w:rPr>
        <w:t>(8), 710–722. https://doi.org/10.1080/17565529.2018.1562862</w:t>
      </w:r>
    </w:p>
    <w:p w14:paraId="1DEDD25F"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p>
    <w:p w14:paraId="47AC3C4F"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r w:rsidRPr="004B42B5">
        <w:rPr>
          <w:rFonts w:ascii="Arial" w:hAnsi="Arial" w:cs="Arial"/>
          <w:noProof/>
        </w:rPr>
        <w:t xml:space="preserve">Valley, Z. R., Li, C., Tang, Y., Luo, H., &amp; Di, B. (2013). </w:t>
      </w:r>
      <w:r w:rsidRPr="004B42B5">
        <w:rPr>
          <w:rFonts w:ascii="Arial" w:hAnsi="Arial" w:cs="Arial"/>
          <w:i/>
          <w:iCs/>
          <w:noProof/>
        </w:rPr>
        <w:t>Local Farmers ’ Perceptions of Climate Change and Local Adaptive Strategies : A Case Study from the Middle Yarlung</w:t>
      </w:r>
      <w:r w:rsidRPr="004B42B5">
        <w:rPr>
          <w:rFonts w:ascii="Arial" w:hAnsi="Arial" w:cs="Arial"/>
          <w:noProof/>
        </w:rPr>
        <w:t xml:space="preserve">. </w:t>
      </w:r>
      <w:r w:rsidRPr="004B42B5">
        <w:rPr>
          <w:rFonts w:ascii="Arial" w:hAnsi="Arial" w:cs="Arial"/>
          <w:i/>
          <w:iCs/>
          <w:noProof/>
        </w:rPr>
        <w:t>24</w:t>
      </w:r>
      <w:r w:rsidRPr="004B42B5">
        <w:rPr>
          <w:rFonts w:ascii="Arial" w:hAnsi="Arial" w:cs="Arial"/>
          <w:noProof/>
        </w:rPr>
        <w:t>. https://doi.org/10.1007/s00267-013-0139-0</w:t>
      </w:r>
    </w:p>
    <w:p w14:paraId="35928C93"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p>
    <w:p w14:paraId="5227B021"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r w:rsidRPr="004B42B5">
        <w:rPr>
          <w:rFonts w:ascii="Arial" w:hAnsi="Arial" w:cs="Arial"/>
          <w:noProof/>
        </w:rPr>
        <w:t xml:space="preserve">Walsh-dilley, M. (2020). Resilience compromised : Producing vulnerability to climate and market among quinoa producers in Southwestern Bolivia. </w:t>
      </w:r>
      <w:r w:rsidRPr="004B42B5">
        <w:rPr>
          <w:rFonts w:ascii="Arial" w:hAnsi="Arial" w:cs="Arial"/>
          <w:i/>
          <w:iCs/>
          <w:noProof/>
        </w:rPr>
        <w:t>Global Environmental  Change</w:t>
      </w:r>
      <w:r w:rsidRPr="004B42B5">
        <w:rPr>
          <w:rFonts w:ascii="Arial" w:hAnsi="Arial" w:cs="Arial"/>
          <w:noProof/>
        </w:rPr>
        <w:t xml:space="preserve">, </w:t>
      </w:r>
      <w:r w:rsidRPr="004B42B5">
        <w:rPr>
          <w:rFonts w:ascii="Arial" w:hAnsi="Arial" w:cs="Arial"/>
          <w:i/>
          <w:iCs/>
          <w:noProof/>
        </w:rPr>
        <w:t>65</w:t>
      </w:r>
      <w:r w:rsidRPr="004B42B5">
        <w:rPr>
          <w:rFonts w:ascii="Arial" w:hAnsi="Arial" w:cs="Arial"/>
          <w:noProof/>
        </w:rPr>
        <w:t>(September 2019), 102165. https://doi.org/10.1016/j.gloenvcha.2020.102165</w:t>
      </w:r>
    </w:p>
    <w:p w14:paraId="579CBBD4"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p>
    <w:p w14:paraId="32DE85B0"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r w:rsidRPr="004B42B5">
        <w:rPr>
          <w:rFonts w:ascii="Arial" w:hAnsi="Arial" w:cs="Arial"/>
          <w:noProof/>
        </w:rPr>
        <w:t xml:space="preserve">Warner, K., &amp; Afifi, T. (2014). Where the rain falls: Evidence from 8 countries on how vulnerable households use migration to manage the risk of rainfall variability and food insecurity. </w:t>
      </w:r>
      <w:r w:rsidRPr="004B42B5">
        <w:rPr>
          <w:rFonts w:ascii="Arial" w:hAnsi="Arial" w:cs="Arial"/>
          <w:i/>
          <w:iCs/>
          <w:noProof/>
        </w:rPr>
        <w:t>Climate and Development</w:t>
      </w:r>
      <w:r w:rsidRPr="004B42B5">
        <w:rPr>
          <w:rFonts w:ascii="Arial" w:hAnsi="Arial" w:cs="Arial"/>
          <w:noProof/>
        </w:rPr>
        <w:t xml:space="preserve">, </w:t>
      </w:r>
      <w:r w:rsidRPr="004B42B5">
        <w:rPr>
          <w:rFonts w:ascii="Arial" w:hAnsi="Arial" w:cs="Arial"/>
          <w:i/>
          <w:iCs/>
          <w:noProof/>
        </w:rPr>
        <w:t>6</w:t>
      </w:r>
      <w:r w:rsidRPr="004B42B5">
        <w:rPr>
          <w:rFonts w:ascii="Arial" w:hAnsi="Arial" w:cs="Arial"/>
          <w:noProof/>
        </w:rPr>
        <w:t>(1), 1–17. https://doi.org/10.1080/17565529.2013.835707</w:t>
      </w:r>
    </w:p>
    <w:p w14:paraId="1DBB8A54"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p>
    <w:p w14:paraId="3EB686BE" w14:textId="77777777" w:rsidR="004B42B5" w:rsidRPr="004B42B5" w:rsidRDefault="004B42B5" w:rsidP="004B42B5">
      <w:pPr>
        <w:widowControl w:val="0"/>
        <w:autoSpaceDE w:val="0"/>
        <w:autoSpaceDN w:val="0"/>
        <w:adjustRightInd w:val="0"/>
        <w:spacing w:after="0" w:line="240" w:lineRule="auto"/>
        <w:ind w:left="480" w:hanging="480"/>
        <w:jc w:val="both"/>
        <w:rPr>
          <w:rFonts w:ascii="Arial" w:hAnsi="Arial" w:cs="Arial"/>
          <w:noProof/>
        </w:rPr>
      </w:pPr>
      <w:r w:rsidRPr="004B42B5">
        <w:rPr>
          <w:rFonts w:ascii="Arial" w:hAnsi="Arial" w:cs="Arial"/>
          <w:noProof/>
        </w:rPr>
        <w:t xml:space="preserve">Wright, H., Vermeulen, S., Laganda, G., Olupot, M., Ampaire, E., &amp; Jat, M. L. (2014). Farmers, food and climate change: ensuring community-based adaptation is mainstreamed into agricultural programmes. </w:t>
      </w:r>
      <w:r w:rsidRPr="004B42B5">
        <w:rPr>
          <w:rFonts w:ascii="Arial" w:hAnsi="Arial" w:cs="Arial"/>
          <w:i/>
          <w:iCs/>
          <w:noProof/>
        </w:rPr>
        <w:t>Climate and Development</w:t>
      </w:r>
      <w:r w:rsidRPr="004B42B5">
        <w:rPr>
          <w:rFonts w:ascii="Arial" w:hAnsi="Arial" w:cs="Arial"/>
          <w:noProof/>
        </w:rPr>
        <w:t xml:space="preserve">, </w:t>
      </w:r>
      <w:r w:rsidRPr="004B42B5">
        <w:rPr>
          <w:rFonts w:ascii="Arial" w:hAnsi="Arial" w:cs="Arial"/>
          <w:i/>
          <w:iCs/>
          <w:noProof/>
        </w:rPr>
        <w:t>6</w:t>
      </w:r>
      <w:r w:rsidRPr="004B42B5">
        <w:rPr>
          <w:rFonts w:ascii="Arial" w:hAnsi="Arial" w:cs="Arial"/>
          <w:noProof/>
        </w:rPr>
        <w:t>(4), 318–328. https://doi.org/10.1080/17565529.2014.965654</w:t>
      </w:r>
    </w:p>
    <w:p w14:paraId="7B5BF2C6" w14:textId="77777777" w:rsidR="004B42B5" w:rsidRPr="004B42B5" w:rsidRDefault="004B42B5" w:rsidP="004B42B5">
      <w:pPr>
        <w:widowControl w:val="0"/>
        <w:autoSpaceDE w:val="0"/>
        <w:autoSpaceDN w:val="0"/>
        <w:adjustRightInd w:val="0"/>
        <w:spacing w:after="0" w:line="240" w:lineRule="auto"/>
        <w:ind w:left="480" w:hanging="480"/>
        <w:contextualSpacing/>
        <w:jc w:val="both"/>
        <w:rPr>
          <w:rFonts w:ascii="Arial" w:hAnsi="Arial" w:cs="Arial"/>
          <w:lang w:val="en-GB"/>
        </w:rPr>
      </w:pPr>
      <w:r w:rsidRPr="004B42B5">
        <w:fldChar w:fldCharType="end"/>
      </w:r>
    </w:p>
    <w:p w14:paraId="117D8846" w14:textId="77777777" w:rsidR="004B42B5" w:rsidRPr="004B42B5" w:rsidRDefault="004B42B5" w:rsidP="004B42B5">
      <w:pPr>
        <w:spacing w:after="0" w:line="240" w:lineRule="auto"/>
        <w:rPr>
          <w:rFonts w:ascii="Arial" w:hAnsi="Arial" w:cs="Arial"/>
          <w:lang w:val="en-GB"/>
        </w:rPr>
        <w:sectPr w:rsidR="004B42B5" w:rsidRPr="004B42B5" w:rsidSect="004B42B5">
          <w:type w:val="continuous"/>
          <w:pgSz w:w="12240" w:h="15840"/>
          <w:pgMar w:top="1440" w:right="1440" w:bottom="1440" w:left="1440" w:header="720" w:footer="720" w:gutter="0"/>
          <w:cols w:space="720"/>
        </w:sectPr>
      </w:pPr>
    </w:p>
    <w:p w14:paraId="17E1A01A" w14:textId="77777777" w:rsidR="004B42B5" w:rsidRPr="004B42B5" w:rsidRDefault="004B42B5" w:rsidP="004B42B5">
      <w:pPr>
        <w:widowControl w:val="0"/>
        <w:autoSpaceDE w:val="0"/>
        <w:autoSpaceDN w:val="0"/>
        <w:adjustRightInd w:val="0"/>
        <w:spacing w:after="0" w:line="240" w:lineRule="auto"/>
        <w:ind w:left="480" w:hanging="480"/>
        <w:contextualSpacing/>
        <w:jc w:val="both"/>
        <w:rPr>
          <w:rFonts w:ascii="Arial" w:hAnsi="Arial" w:cs="Arial"/>
          <w:lang w:val="en-GB"/>
        </w:rPr>
      </w:pPr>
    </w:p>
    <w:p w14:paraId="0E8994BD" w14:textId="77777777" w:rsidR="0027516D" w:rsidRPr="004B42B5" w:rsidRDefault="0027516D"/>
    <w:sectPr w:rsidR="0027516D" w:rsidRPr="004B42B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7C117" w14:textId="77777777" w:rsidR="006F2FB4" w:rsidRDefault="006F2FB4">
      <w:pPr>
        <w:spacing w:after="0" w:line="240" w:lineRule="auto"/>
      </w:pPr>
      <w:r>
        <w:separator/>
      </w:r>
    </w:p>
  </w:endnote>
  <w:endnote w:type="continuationSeparator" w:id="0">
    <w:p w14:paraId="21D61CAC" w14:textId="77777777" w:rsidR="006F2FB4" w:rsidRDefault="006F2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0B2DA" w14:textId="77777777" w:rsidR="0057662D" w:rsidRDefault="005766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9113468"/>
      <w:docPartObj>
        <w:docPartGallery w:val="Page Numbers (Bottom of Page)"/>
        <w:docPartUnique/>
      </w:docPartObj>
    </w:sdtPr>
    <w:sdtEndPr/>
    <w:sdtContent>
      <w:p w14:paraId="2189FACE" w14:textId="77777777" w:rsidR="00BB7BFF" w:rsidRDefault="006F2F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6785BB" w14:textId="77777777" w:rsidR="00BB7BFF" w:rsidRDefault="00BB7B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B8E4C" w14:textId="77777777" w:rsidR="0057662D" w:rsidRDefault="005766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E83D22" w14:textId="77777777" w:rsidR="006F2FB4" w:rsidRDefault="006F2FB4">
      <w:pPr>
        <w:spacing w:after="0" w:line="240" w:lineRule="auto"/>
      </w:pPr>
      <w:r>
        <w:separator/>
      </w:r>
    </w:p>
  </w:footnote>
  <w:footnote w:type="continuationSeparator" w:id="0">
    <w:p w14:paraId="41DCD655" w14:textId="77777777" w:rsidR="006F2FB4" w:rsidRDefault="006F2F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D8C4E" w14:textId="127CCAE6" w:rsidR="0057662D" w:rsidRDefault="0057662D">
    <w:pPr>
      <w:pStyle w:val="Header"/>
    </w:pPr>
    <w:r>
      <w:rPr>
        <w:noProof/>
      </w:rPr>
      <w:pict w14:anchorId="324B6C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9285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EBAEF" w14:textId="2555A31E" w:rsidR="0057662D" w:rsidRDefault="0057662D">
    <w:pPr>
      <w:pStyle w:val="Header"/>
    </w:pPr>
    <w:r>
      <w:rPr>
        <w:noProof/>
      </w:rPr>
      <w:pict w14:anchorId="7C7165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9285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CCFEE" w14:textId="6A356A39" w:rsidR="0057662D" w:rsidRDefault="0057662D">
    <w:pPr>
      <w:pStyle w:val="Header"/>
    </w:pPr>
    <w:r>
      <w:rPr>
        <w:noProof/>
      </w:rPr>
      <w:pict w14:anchorId="7D881F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39285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2B5"/>
    <w:rsid w:val="00100BD3"/>
    <w:rsid w:val="0027516D"/>
    <w:rsid w:val="00364DE1"/>
    <w:rsid w:val="004B42B5"/>
    <w:rsid w:val="0057662D"/>
    <w:rsid w:val="006F2FB4"/>
    <w:rsid w:val="008650F5"/>
    <w:rsid w:val="00933CC0"/>
    <w:rsid w:val="009E3C86"/>
    <w:rsid w:val="00A7641F"/>
    <w:rsid w:val="00BB7BFF"/>
    <w:rsid w:val="00E86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99925C"/>
  <w15:chartTrackingRefBased/>
  <w15:docId w15:val="{68CD2A6F-B483-4C50-8D4F-84B050C5C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42B5"/>
    <w:pPr>
      <w:spacing w:after="200" w:line="276" w:lineRule="auto"/>
    </w:pPr>
    <w:rPr>
      <w:kern w:val="0"/>
      <w14:ligatures w14:val="none"/>
    </w:rPr>
  </w:style>
  <w:style w:type="paragraph" w:styleId="Heading1">
    <w:name w:val="heading 1"/>
    <w:basedOn w:val="Normal"/>
    <w:next w:val="Normal"/>
    <w:link w:val="Heading1Char"/>
    <w:uiPriority w:val="9"/>
    <w:qFormat/>
    <w:rsid w:val="004B42B5"/>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B42B5"/>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B42B5"/>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B42B5"/>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B42B5"/>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B42B5"/>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B42B5"/>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B42B5"/>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B42B5"/>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2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42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42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42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42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4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4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4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42B5"/>
    <w:rPr>
      <w:rFonts w:eastAsiaTheme="majorEastAsia" w:cstheme="majorBidi"/>
      <w:color w:val="272727" w:themeColor="text1" w:themeTint="D8"/>
    </w:rPr>
  </w:style>
  <w:style w:type="paragraph" w:styleId="Title">
    <w:name w:val="Title"/>
    <w:basedOn w:val="Normal"/>
    <w:next w:val="Normal"/>
    <w:link w:val="TitleChar"/>
    <w:uiPriority w:val="10"/>
    <w:qFormat/>
    <w:rsid w:val="004B42B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B4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42B5"/>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B4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42B5"/>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4B42B5"/>
    <w:rPr>
      <w:i/>
      <w:iCs/>
      <w:color w:val="404040" w:themeColor="text1" w:themeTint="BF"/>
    </w:rPr>
  </w:style>
  <w:style w:type="paragraph" w:styleId="ListParagraph">
    <w:name w:val="List Paragraph"/>
    <w:basedOn w:val="Normal"/>
    <w:uiPriority w:val="34"/>
    <w:qFormat/>
    <w:rsid w:val="004B42B5"/>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4B42B5"/>
    <w:rPr>
      <w:i/>
      <w:iCs/>
      <w:color w:val="2F5496" w:themeColor="accent1" w:themeShade="BF"/>
    </w:rPr>
  </w:style>
  <w:style w:type="paragraph" w:styleId="IntenseQuote">
    <w:name w:val="Intense Quote"/>
    <w:basedOn w:val="Normal"/>
    <w:next w:val="Normal"/>
    <w:link w:val="IntenseQuoteChar"/>
    <w:uiPriority w:val="30"/>
    <w:qFormat/>
    <w:rsid w:val="004B42B5"/>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4B42B5"/>
    <w:rPr>
      <w:i/>
      <w:iCs/>
      <w:color w:val="2F5496" w:themeColor="accent1" w:themeShade="BF"/>
    </w:rPr>
  </w:style>
  <w:style w:type="character" w:styleId="IntenseReference">
    <w:name w:val="Intense Reference"/>
    <w:basedOn w:val="DefaultParagraphFont"/>
    <w:uiPriority w:val="32"/>
    <w:qFormat/>
    <w:rsid w:val="004B42B5"/>
    <w:rPr>
      <w:b/>
      <w:bCs/>
      <w:smallCaps/>
      <w:color w:val="2F5496" w:themeColor="accent1" w:themeShade="BF"/>
      <w:spacing w:val="5"/>
    </w:rPr>
  </w:style>
  <w:style w:type="paragraph" w:styleId="Footer">
    <w:name w:val="footer"/>
    <w:basedOn w:val="Normal"/>
    <w:link w:val="FooterChar"/>
    <w:uiPriority w:val="99"/>
    <w:unhideWhenUsed/>
    <w:rsid w:val="004B42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42B5"/>
    <w:rPr>
      <w:kern w:val="0"/>
      <w:lang w:val="en-US"/>
      <w14:ligatures w14:val="none"/>
    </w:rPr>
  </w:style>
  <w:style w:type="paragraph" w:styleId="Caption">
    <w:name w:val="caption"/>
    <w:basedOn w:val="Normal"/>
    <w:next w:val="Normal"/>
    <w:uiPriority w:val="35"/>
    <w:semiHidden/>
    <w:unhideWhenUsed/>
    <w:qFormat/>
    <w:rsid w:val="004B42B5"/>
    <w:pPr>
      <w:spacing w:line="240" w:lineRule="auto"/>
    </w:pPr>
    <w:rPr>
      <w:b/>
      <w:bCs/>
      <w:color w:val="4472C4" w:themeColor="accent1"/>
      <w:sz w:val="18"/>
      <w:szCs w:val="18"/>
    </w:rPr>
  </w:style>
  <w:style w:type="paragraph" w:customStyle="1" w:styleId="Author">
    <w:name w:val="Author"/>
    <w:basedOn w:val="Normal"/>
    <w:rsid w:val="004B42B5"/>
    <w:pPr>
      <w:spacing w:after="0" w:line="280" w:lineRule="exact"/>
      <w:jc w:val="right"/>
    </w:pPr>
    <w:rPr>
      <w:rFonts w:ascii="Helvetica" w:eastAsia="Times New Roman" w:hAnsi="Helvetica" w:cs="Times New Roman"/>
      <w:b/>
      <w:sz w:val="24"/>
      <w:szCs w:val="20"/>
    </w:rPr>
  </w:style>
  <w:style w:type="paragraph" w:customStyle="1" w:styleId="Affiliation">
    <w:name w:val="Affiliation"/>
    <w:basedOn w:val="Normal"/>
    <w:rsid w:val="004B42B5"/>
    <w:pPr>
      <w:spacing w:after="240" w:line="240" w:lineRule="exact"/>
      <w:jc w:val="right"/>
    </w:pPr>
    <w:rPr>
      <w:rFonts w:ascii="Helvetica" w:eastAsia="Times New Roman" w:hAnsi="Helvetica" w:cs="Times New Roman"/>
      <w:sz w:val="20"/>
      <w:szCs w:val="20"/>
    </w:rPr>
  </w:style>
  <w:style w:type="table" w:styleId="TableGrid">
    <w:name w:val="Table Grid"/>
    <w:basedOn w:val="TableNormal"/>
    <w:uiPriority w:val="39"/>
    <w:rsid w:val="004B42B5"/>
    <w:pPr>
      <w:spacing w:after="0" w:line="240" w:lineRule="auto"/>
    </w:pPr>
    <w:rPr>
      <w:rFonts w:eastAsiaTheme="minorEastAsia"/>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6FFE"/>
    <w:rPr>
      <w:color w:val="0563C1" w:themeColor="hyperlink"/>
      <w:u w:val="single"/>
    </w:rPr>
  </w:style>
  <w:style w:type="character" w:styleId="UnresolvedMention">
    <w:name w:val="Unresolved Mention"/>
    <w:basedOn w:val="DefaultParagraphFont"/>
    <w:uiPriority w:val="99"/>
    <w:semiHidden/>
    <w:unhideWhenUsed/>
    <w:rsid w:val="00E86FFE"/>
    <w:rPr>
      <w:color w:val="605E5C"/>
      <w:shd w:val="clear" w:color="auto" w:fill="E1DFDD"/>
    </w:rPr>
  </w:style>
  <w:style w:type="paragraph" w:styleId="Header">
    <w:name w:val="header"/>
    <w:basedOn w:val="Normal"/>
    <w:link w:val="HeaderChar"/>
    <w:uiPriority w:val="99"/>
    <w:unhideWhenUsed/>
    <w:rsid w:val="005766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62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2263</TotalTime>
  <Pages>14</Pages>
  <Words>24054</Words>
  <Characters>137108</Characters>
  <Application>Microsoft Office Word</Application>
  <DocSecurity>0</DocSecurity>
  <Lines>1142</Lines>
  <Paragraphs>321</Paragraphs>
  <ScaleCrop>false</ScaleCrop>
  <Company/>
  <LinksUpToDate>false</LinksUpToDate>
  <CharactersWithSpaces>160841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Yasin</dc:creator>
  <cp:keywords/>
  <dc:description/>
  <cp:lastModifiedBy>SDI 1084</cp:lastModifiedBy>
  <cp:revision>6</cp:revision>
  <dcterms:created xsi:type="dcterms:W3CDTF">2025-04-03T17:00:00Z</dcterms:created>
  <dcterms:modified xsi:type="dcterms:W3CDTF">2025-04-08T06:49:00Z</dcterms:modified>
</cp:coreProperties>
</file>