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5E2B7" w14:textId="13502A8C" w:rsidR="006C6C13" w:rsidRPr="00450E5B" w:rsidRDefault="00450E5B" w:rsidP="00B771AA">
      <w:pPr>
        <w:spacing w:after="0" w:line="240" w:lineRule="auto"/>
        <w:jc w:val="center"/>
        <w:rPr>
          <w:rFonts w:ascii="Times New Roman" w:eastAsia="Sitka Banner" w:hAnsi="Times New Roman" w:cs="Times New Roman"/>
          <w:b/>
          <w:bCs/>
          <w:sz w:val="28"/>
          <w:szCs w:val="28"/>
          <w:lang w:val="en-US"/>
        </w:rPr>
      </w:pPr>
      <w:r w:rsidRPr="00450E5B">
        <w:rPr>
          <w:rFonts w:ascii="Times New Roman" w:eastAsia="Sitka Banner" w:hAnsi="Times New Roman" w:cs="Times New Roman"/>
          <w:b/>
          <w:bCs/>
          <w:sz w:val="28"/>
          <w:szCs w:val="28"/>
          <w:lang w:val="en-US"/>
        </w:rPr>
        <w:t xml:space="preserve">The Role Political Stability, Profitability, And Liquidity </w:t>
      </w:r>
      <w:r>
        <w:rPr>
          <w:rFonts w:ascii="Times New Roman" w:eastAsia="Sitka Banner" w:hAnsi="Times New Roman" w:cs="Times New Roman"/>
          <w:b/>
          <w:bCs/>
          <w:sz w:val="28"/>
          <w:szCs w:val="28"/>
          <w:lang w:val="en-US"/>
        </w:rPr>
        <w:t>o</w:t>
      </w:r>
      <w:r w:rsidRPr="00450E5B">
        <w:rPr>
          <w:rFonts w:ascii="Times New Roman" w:eastAsia="Sitka Banner" w:hAnsi="Times New Roman" w:cs="Times New Roman"/>
          <w:b/>
          <w:bCs/>
          <w:sz w:val="28"/>
          <w:szCs w:val="28"/>
          <w:lang w:val="en-US"/>
        </w:rPr>
        <w:t xml:space="preserve">n Financial Distress </w:t>
      </w:r>
      <w:r>
        <w:rPr>
          <w:rFonts w:ascii="Times New Roman" w:eastAsia="Sitka Banner" w:hAnsi="Times New Roman" w:cs="Times New Roman"/>
          <w:b/>
          <w:bCs/>
          <w:sz w:val="28"/>
          <w:szCs w:val="28"/>
          <w:lang w:val="en-US"/>
        </w:rPr>
        <w:t>o</w:t>
      </w:r>
      <w:r w:rsidRPr="00450E5B">
        <w:rPr>
          <w:rFonts w:ascii="Times New Roman" w:eastAsia="Sitka Banner" w:hAnsi="Times New Roman" w:cs="Times New Roman"/>
          <w:b/>
          <w:bCs/>
          <w:sz w:val="28"/>
          <w:szCs w:val="28"/>
          <w:lang w:val="en-US"/>
        </w:rPr>
        <w:t xml:space="preserve">f Non-Bank State-Owned Enterprises </w:t>
      </w:r>
      <w:r>
        <w:rPr>
          <w:rFonts w:ascii="Times New Roman" w:eastAsia="Sitka Banner" w:hAnsi="Times New Roman" w:cs="Times New Roman"/>
          <w:b/>
          <w:bCs/>
          <w:sz w:val="28"/>
          <w:szCs w:val="28"/>
          <w:lang w:val="en-US"/>
        </w:rPr>
        <w:t>i</w:t>
      </w:r>
      <w:r w:rsidRPr="00450E5B">
        <w:rPr>
          <w:rFonts w:ascii="Times New Roman" w:eastAsia="Sitka Banner" w:hAnsi="Times New Roman" w:cs="Times New Roman"/>
          <w:b/>
          <w:bCs/>
          <w:sz w:val="28"/>
          <w:szCs w:val="28"/>
          <w:lang w:val="en-US"/>
        </w:rPr>
        <w:t>n Indonesia</w:t>
      </w:r>
    </w:p>
    <w:p w14:paraId="68526F3C" w14:textId="450F0EFA" w:rsidR="00C81EC3" w:rsidRPr="00B771AA" w:rsidRDefault="006C6C13" w:rsidP="00B771AA">
      <w:pPr>
        <w:spacing w:after="0" w:line="240" w:lineRule="auto"/>
        <w:jc w:val="center"/>
        <w:rPr>
          <w:rFonts w:ascii="Times New Roman" w:eastAsia="Sitka Banner" w:hAnsi="Times New Roman" w:cs="Times New Roman"/>
          <w:b/>
          <w:bCs/>
          <w:sz w:val="24"/>
          <w:szCs w:val="24"/>
          <w:lang w:val="en-US"/>
        </w:rPr>
      </w:pPr>
      <w:r w:rsidRPr="00B771AA">
        <w:rPr>
          <w:rFonts w:ascii="Times New Roman" w:eastAsia="Sitka Banner" w:hAnsi="Times New Roman" w:cs="Times New Roman"/>
          <w:b/>
          <w:bCs/>
          <w:sz w:val="24"/>
          <w:szCs w:val="24"/>
          <w:lang w:val="en-US"/>
        </w:rPr>
        <w:t>Abstra</w:t>
      </w:r>
      <w:r w:rsidR="004D525A">
        <w:rPr>
          <w:rFonts w:ascii="Times New Roman" w:eastAsia="Sitka Banner" w:hAnsi="Times New Roman" w:cs="Times New Roman"/>
          <w:b/>
          <w:bCs/>
          <w:sz w:val="24"/>
          <w:szCs w:val="24"/>
          <w:lang w:val="en-US"/>
        </w:rPr>
        <w:t>ct</w:t>
      </w:r>
    </w:p>
    <w:p w14:paraId="6EC6A181" w14:textId="77777777" w:rsidR="00FD56D2" w:rsidRDefault="00FD56D2" w:rsidP="00B771AA">
      <w:pPr>
        <w:spacing w:after="0" w:line="240" w:lineRule="auto"/>
        <w:ind w:firstLine="720"/>
        <w:jc w:val="both"/>
        <w:rPr>
          <w:rFonts w:ascii="Times New Roman" w:eastAsia="Sitka Banner" w:hAnsi="Times New Roman" w:cs="Times New Roman"/>
          <w:sz w:val="24"/>
          <w:szCs w:val="24"/>
          <w:lang w:val="en-US"/>
        </w:rPr>
      </w:pPr>
    </w:p>
    <w:p w14:paraId="2080E793" w14:textId="222AD371" w:rsidR="00C81EC3" w:rsidRDefault="001A36D0" w:rsidP="00B771AA">
      <w:pPr>
        <w:spacing w:after="0" w:line="240" w:lineRule="auto"/>
        <w:jc w:val="both"/>
        <w:rPr>
          <w:rFonts w:ascii="Times New Roman" w:eastAsia="Sitka Banner" w:hAnsi="Times New Roman" w:cs="Times New Roman"/>
          <w:sz w:val="24"/>
          <w:szCs w:val="24"/>
          <w:lang w:val="en-US"/>
        </w:rPr>
      </w:pPr>
      <w:r w:rsidRPr="001A36D0">
        <w:rPr>
          <w:rFonts w:ascii="Times New Roman" w:eastAsia="Sitka Banner" w:hAnsi="Times New Roman" w:cs="Times New Roman"/>
          <w:sz w:val="24"/>
          <w:szCs w:val="24"/>
          <w:lang w:val="en-US"/>
        </w:rPr>
        <w:t>Political stability in a country can have an impact on state-owned companies because state-owned companies are often used as cash cows by politicians, which can cause financial distress in state-owned companies. This study aims to analyze the effect of political stability, profitability and liquidity on financial distress in non-bank state-owned companies (</w:t>
      </w:r>
      <w:r w:rsidR="004D525A">
        <w:rPr>
          <w:rFonts w:ascii="Times New Roman" w:eastAsia="Sitka Banner" w:hAnsi="Times New Roman" w:cs="Times New Roman"/>
          <w:sz w:val="24"/>
          <w:szCs w:val="24"/>
          <w:lang w:val="en-US"/>
        </w:rPr>
        <w:t>SOE</w:t>
      </w:r>
      <w:r w:rsidRPr="001A36D0">
        <w:rPr>
          <w:rFonts w:ascii="Times New Roman" w:eastAsia="Sitka Banner" w:hAnsi="Times New Roman" w:cs="Times New Roman"/>
          <w:sz w:val="24"/>
          <w:szCs w:val="24"/>
          <w:lang w:val="en-US"/>
        </w:rPr>
        <w:t xml:space="preserve">) in Indonesia. The dependent variable in this study is financial distress which is measured using the Altman Z Score. While the independent variable consists of external factors in the form of political stability and internal variables represented by profitability and liquidity, with sales growth and company age as control variables. The population in this study were non-bank state-owned companies listed on the Indonesia Stock Exchange as many as 33 companies and the sample was taken as many as 15 companies with an observation period of five years. To test the hypothesis using panel data logistic regression. The results of the study showed that there were two outcome variables in accordance with the hypothesis, namely political stability and liquidity had a significant negative effect on financial distress. While profitability did not have a significant effect on financial distress. This finding confirms that high political stability and optimal liquidity reduce the risk of financial difficulties, while profitability is not a determinant of </w:t>
      </w:r>
      <w:r w:rsidR="004D525A">
        <w:rPr>
          <w:rFonts w:ascii="Times New Roman" w:eastAsia="Sitka Banner" w:hAnsi="Times New Roman" w:cs="Times New Roman"/>
          <w:sz w:val="24"/>
          <w:szCs w:val="24"/>
          <w:lang w:val="en-US"/>
        </w:rPr>
        <w:t>SOE</w:t>
      </w:r>
      <w:r w:rsidRPr="001A36D0">
        <w:rPr>
          <w:rFonts w:ascii="Times New Roman" w:eastAsia="Sitka Banner" w:hAnsi="Times New Roman" w:cs="Times New Roman"/>
          <w:sz w:val="24"/>
          <w:szCs w:val="24"/>
          <w:lang w:val="en-US"/>
        </w:rPr>
        <w:t xml:space="preserve"> financial distress.</w:t>
      </w:r>
    </w:p>
    <w:p w14:paraId="235C8C90" w14:textId="77777777" w:rsidR="001A36D0" w:rsidRPr="00B771AA" w:rsidRDefault="001A36D0" w:rsidP="00B771AA">
      <w:pPr>
        <w:spacing w:after="0" w:line="240" w:lineRule="auto"/>
        <w:jc w:val="both"/>
        <w:rPr>
          <w:rFonts w:ascii="Times New Roman" w:eastAsia="Sitka Banner" w:hAnsi="Times New Roman" w:cs="Times New Roman"/>
          <w:sz w:val="24"/>
          <w:szCs w:val="24"/>
          <w:lang w:val="en-US"/>
        </w:rPr>
      </w:pPr>
    </w:p>
    <w:p w14:paraId="7443A3C5" w14:textId="4A01F8C3" w:rsidR="004675F7" w:rsidRPr="00B771AA" w:rsidRDefault="007E6886" w:rsidP="00B771AA">
      <w:pPr>
        <w:spacing w:after="0" w:line="240" w:lineRule="auto"/>
        <w:jc w:val="both"/>
        <w:rPr>
          <w:rFonts w:ascii="Times New Roman" w:eastAsia="Sitka Banner" w:hAnsi="Times New Roman" w:cs="Times New Roman"/>
          <w:sz w:val="24"/>
          <w:szCs w:val="24"/>
          <w:lang w:val="en-US"/>
        </w:rPr>
      </w:pPr>
      <w:r>
        <w:rPr>
          <w:rFonts w:ascii="Times New Roman" w:eastAsia="Sitka Banner" w:hAnsi="Times New Roman" w:cs="Times New Roman"/>
          <w:sz w:val="24"/>
          <w:szCs w:val="24"/>
          <w:lang w:val="en-US"/>
        </w:rPr>
        <w:t>Keywords</w:t>
      </w:r>
      <w:r w:rsidR="00FB2897" w:rsidRPr="00B771AA">
        <w:rPr>
          <w:rFonts w:ascii="Times New Roman" w:eastAsia="Sitka Banner" w:hAnsi="Times New Roman" w:cs="Times New Roman"/>
          <w:sz w:val="24"/>
          <w:szCs w:val="24"/>
          <w:lang w:val="en-US"/>
        </w:rPr>
        <w:t xml:space="preserve">: Financial </w:t>
      </w:r>
      <w:r w:rsidR="004675F7" w:rsidRPr="00B771AA">
        <w:rPr>
          <w:rFonts w:ascii="Times New Roman" w:eastAsia="Sitka Banner" w:hAnsi="Times New Roman" w:cs="Times New Roman"/>
          <w:sz w:val="24"/>
          <w:szCs w:val="24"/>
          <w:lang w:val="en-US"/>
        </w:rPr>
        <w:t>D</w:t>
      </w:r>
      <w:r w:rsidR="00FB2897" w:rsidRPr="00B771AA">
        <w:rPr>
          <w:rFonts w:ascii="Times New Roman" w:eastAsia="Sitka Banner" w:hAnsi="Times New Roman" w:cs="Times New Roman"/>
          <w:sz w:val="24"/>
          <w:szCs w:val="24"/>
          <w:lang w:val="en-US"/>
        </w:rPr>
        <w:t xml:space="preserve">istress, </w:t>
      </w:r>
      <w:r w:rsidR="001A36D0">
        <w:rPr>
          <w:rFonts w:ascii="Times New Roman" w:eastAsia="Sitka Banner" w:hAnsi="Times New Roman" w:cs="Times New Roman"/>
          <w:sz w:val="24"/>
          <w:szCs w:val="24"/>
          <w:lang w:val="en-US"/>
        </w:rPr>
        <w:t>political s</w:t>
      </w:r>
      <w:r w:rsidR="00FB2897" w:rsidRPr="00B771AA">
        <w:rPr>
          <w:rFonts w:ascii="Times New Roman" w:eastAsia="Sitka Banner" w:hAnsi="Times New Roman" w:cs="Times New Roman"/>
          <w:sz w:val="24"/>
          <w:szCs w:val="24"/>
          <w:lang w:val="en-US"/>
        </w:rPr>
        <w:t>tabilit</w:t>
      </w:r>
      <w:r w:rsidR="001A36D0">
        <w:rPr>
          <w:rFonts w:ascii="Times New Roman" w:eastAsia="Sitka Banner" w:hAnsi="Times New Roman" w:cs="Times New Roman"/>
          <w:sz w:val="24"/>
          <w:szCs w:val="24"/>
          <w:lang w:val="en-US"/>
        </w:rPr>
        <w:t>y</w:t>
      </w:r>
      <w:r w:rsidR="00FB2897" w:rsidRPr="00B771AA">
        <w:rPr>
          <w:rFonts w:ascii="Times New Roman" w:eastAsia="Sitka Banner" w:hAnsi="Times New Roman" w:cs="Times New Roman"/>
          <w:sz w:val="24"/>
          <w:szCs w:val="24"/>
          <w:lang w:val="en-US"/>
        </w:rPr>
        <w:t>, Profitabilit</w:t>
      </w:r>
      <w:r w:rsidR="001A36D0">
        <w:rPr>
          <w:rFonts w:ascii="Times New Roman" w:eastAsia="Sitka Banner" w:hAnsi="Times New Roman" w:cs="Times New Roman"/>
          <w:sz w:val="24"/>
          <w:szCs w:val="24"/>
          <w:lang w:val="en-US"/>
        </w:rPr>
        <w:t>y</w:t>
      </w:r>
      <w:r w:rsidR="00FB2897" w:rsidRPr="00B771AA">
        <w:rPr>
          <w:rFonts w:ascii="Times New Roman" w:eastAsia="Sitka Banner" w:hAnsi="Times New Roman" w:cs="Times New Roman"/>
          <w:sz w:val="24"/>
          <w:szCs w:val="24"/>
          <w:lang w:val="en-US"/>
        </w:rPr>
        <w:t>, Li</w:t>
      </w:r>
      <w:r w:rsidR="001A36D0">
        <w:rPr>
          <w:rFonts w:ascii="Times New Roman" w:eastAsia="Sitka Banner" w:hAnsi="Times New Roman" w:cs="Times New Roman"/>
          <w:sz w:val="24"/>
          <w:szCs w:val="24"/>
          <w:lang w:val="en-US"/>
        </w:rPr>
        <w:t>q</w:t>
      </w:r>
      <w:r w:rsidR="00B57FBF" w:rsidRPr="00B771AA">
        <w:rPr>
          <w:rFonts w:ascii="Times New Roman" w:eastAsia="Sitka Banner" w:hAnsi="Times New Roman" w:cs="Times New Roman"/>
          <w:sz w:val="24"/>
          <w:szCs w:val="24"/>
          <w:lang w:val="en-US"/>
        </w:rPr>
        <w:t>uidit</w:t>
      </w:r>
      <w:r w:rsidR="001A36D0">
        <w:rPr>
          <w:rFonts w:ascii="Times New Roman" w:eastAsia="Sitka Banner" w:hAnsi="Times New Roman" w:cs="Times New Roman"/>
          <w:sz w:val="24"/>
          <w:szCs w:val="24"/>
          <w:lang w:val="en-US"/>
        </w:rPr>
        <w:t>y</w:t>
      </w:r>
      <w:r w:rsidR="00B57FBF" w:rsidRPr="00B771AA">
        <w:rPr>
          <w:rFonts w:ascii="Times New Roman" w:eastAsia="Sitka Banner" w:hAnsi="Times New Roman" w:cs="Times New Roman"/>
          <w:sz w:val="24"/>
          <w:szCs w:val="24"/>
          <w:lang w:val="en-US"/>
        </w:rPr>
        <w:t>,</w:t>
      </w:r>
      <w:r w:rsidR="004675F7" w:rsidRPr="00B771AA">
        <w:rPr>
          <w:rFonts w:ascii="Times New Roman" w:eastAsia="Sitka Banner" w:hAnsi="Times New Roman" w:cs="Times New Roman"/>
          <w:sz w:val="24"/>
          <w:szCs w:val="24"/>
          <w:lang w:val="en-US"/>
        </w:rPr>
        <w:t xml:space="preserve"> Altman Z-Score</w:t>
      </w:r>
    </w:p>
    <w:p w14:paraId="28E8FA6C" w14:textId="57B40073" w:rsidR="004675F7" w:rsidRPr="00B771AA" w:rsidRDefault="004675F7" w:rsidP="00B771AA">
      <w:pPr>
        <w:spacing w:line="240" w:lineRule="auto"/>
        <w:rPr>
          <w:rFonts w:ascii="Times New Roman" w:eastAsia="Sitka Banner" w:hAnsi="Times New Roman" w:cs="Times New Roman"/>
          <w:sz w:val="24"/>
          <w:szCs w:val="24"/>
          <w:lang w:val="en-US"/>
        </w:rPr>
      </w:pPr>
    </w:p>
    <w:p w14:paraId="0CDD36FB" w14:textId="77777777" w:rsidR="006C6C13" w:rsidRPr="00B771AA" w:rsidRDefault="006C6C13" w:rsidP="00B771AA">
      <w:pPr>
        <w:spacing w:after="0" w:line="240" w:lineRule="auto"/>
        <w:jc w:val="both"/>
        <w:rPr>
          <w:rFonts w:ascii="Times New Roman" w:eastAsia="Sitka Banner" w:hAnsi="Times New Roman" w:cs="Times New Roman"/>
          <w:sz w:val="24"/>
          <w:szCs w:val="24"/>
          <w:lang w:val="en-US"/>
        </w:rPr>
      </w:pPr>
    </w:p>
    <w:p w14:paraId="5BC07B0B" w14:textId="5A18753F" w:rsidR="006C6C13" w:rsidRPr="00B771AA" w:rsidRDefault="0076479D" w:rsidP="00B771AA">
      <w:pPr>
        <w:spacing w:after="0" w:line="240" w:lineRule="auto"/>
        <w:rPr>
          <w:rFonts w:ascii="Times New Roman" w:eastAsia="Sitka Banner" w:hAnsi="Times New Roman" w:cs="Times New Roman"/>
          <w:b/>
          <w:bCs/>
          <w:sz w:val="24"/>
          <w:szCs w:val="24"/>
          <w:lang w:val="en-US"/>
        </w:rPr>
      </w:pPr>
      <w:r>
        <w:rPr>
          <w:rFonts w:ascii="Times New Roman" w:eastAsia="Sitka Banner" w:hAnsi="Times New Roman" w:cs="Times New Roman"/>
          <w:b/>
          <w:bCs/>
          <w:sz w:val="24"/>
          <w:szCs w:val="24"/>
          <w:lang w:val="en-US"/>
        </w:rPr>
        <w:t>Introduction</w:t>
      </w:r>
    </w:p>
    <w:p w14:paraId="1463909A" w14:textId="77777777" w:rsidR="0076479D" w:rsidRPr="0076479D" w:rsidRDefault="0076479D" w:rsidP="0076479D">
      <w:pPr>
        <w:spacing w:line="240" w:lineRule="auto"/>
        <w:jc w:val="both"/>
        <w:rPr>
          <w:rFonts w:ascii="Times New Roman" w:eastAsia="Sitka Banner" w:hAnsi="Times New Roman" w:cs="Times New Roman"/>
          <w:sz w:val="24"/>
          <w:szCs w:val="24"/>
        </w:rPr>
      </w:pPr>
      <w:r w:rsidRPr="0076479D">
        <w:rPr>
          <w:rFonts w:ascii="Times New Roman" w:eastAsia="Sitka Banner" w:hAnsi="Times New Roman" w:cs="Times New Roman"/>
          <w:sz w:val="24"/>
          <w:szCs w:val="24"/>
        </w:rPr>
        <w:t>State-Owned Enterprises (SOEs) in Indonesia have a strategic role in national economic development. As an instrument of government policy, SOEs are expected to generate non-tax state revenues through dividends while encouraging economic stability and inclusive growth (Liahmad et al., 2021; Setiawati &amp; Wijaya, 2023). However, reality shows that many SOEs are experiencing ongoing financial difficulties, raising concerns about the sustainability of their operations. Several cases such as the major losses experienced by Garuda Indonesia, Waskita Beton Precast, and Krakatau Steel are clear evidence of these challenges (Aprilia, 2024; Idris, 2022; Nityakanti &amp; Rahmawati, 2024)</w:t>
      </w:r>
    </w:p>
    <w:p w14:paraId="3346B1B9" w14:textId="4AAF1BFE" w:rsidR="00FB159D" w:rsidRPr="00B771AA" w:rsidRDefault="0076479D" w:rsidP="0076479D">
      <w:pPr>
        <w:spacing w:line="240" w:lineRule="auto"/>
        <w:jc w:val="both"/>
        <w:rPr>
          <w:rFonts w:ascii="Times New Roman" w:eastAsia="Sitka Banner" w:hAnsi="Times New Roman" w:cs="Times New Roman"/>
          <w:sz w:val="24"/>
          <w:szCs w:val="24"/>
        </w:rPr>
      </w:pPr>
      <w:r w:rsidRPr="0076479D">
        <w:rPr>
          <w:rFonts w:ascii="Times New Roman" w:eastAsia="Sitka Banner" w:hAnsi="Times New Roman" w:cs="Times New Roman"/>
          <w:sz w:val="24"/>
          <w:szCs w:val="24"/>
        </w:rPr>
        <w:t>Financial difficulties or financial distress in companies can be influenced by internal and external factors. From an internal perspective, weak financial performance, especially in terms of profitability and liquidity, is often an early indicator of financial distress (Rahmawati et al., 2020). On the other hand, political instability as an external factor is also believed to have a significant impact on company performance, because it creates uncertainty in the business climate, hinders investment, and increases operational risks (Gerged et al., 2022; Mohsen et al., 2021). Indonesia's political stability index reported by the Worldwide Governance Indicators (WGI) for the 2019–2023 period shows a score that is still below the average of other ASEAN countries, such as Malaysia and Singapore (World Bank, 2023)</w:t>
      </w:r>
      <w:r w:rsidR="00FB159D" w:rsidRPr="00B771AA">
        <w:rPr>
          <w:rFonts w:ascii="Times New Roman" w:eastAsia="Sitka Banner" w:hAnsi="Times New Roman" w:cs="Times New Roman"/>
          <w:sz w:val="24"/>
          <w:szCs w:val="24"/>
        </w:rPr>
        <w:t>.</w:t>
      </w:r>
    </w:p>
    <w:p w14:paraId="66B573ED" w14:textId="2A917951" w:rsidR="00AC78B2" w:rsidRDefault="00AC78B2" w:rsidP="00AC78B2">
      <w:pPr>
        <w:spacing w:after="0" w:line="240" w:lineRule="auto"/>
        <w:jc w:val="center"/>
        <w:rPr>
          <w:rFonts w:ascii="Times New Roman" w:eastAsia="Sitka Banner" w:hAnsi="Times New Roman" w:cs="Times New Roman"/>
          <w:sz w:val="24"/>
          <w:szCs w:val="24"/>
        </w:rPr>
      </w:pPr>
      <w:r w:rsidRPr="00AC78B2">
        <w:rPr>
          <w:rFonts w:ascii="Times New Roman" w:eastAsia="Sitka Banner" w:hAnsi="Times New Roman" w:cs="Times New Roman"/>
          <w:noProof/>
          <w:sz w:val="24"/>
          <w:szCs w:val="24"/>
        </w:rPr>
        <w:lastRenderedPageBreak/>
        <w:drawing>
          <wp:inline distT="0" distB="0" distL="0" distR="0" wp14:anchorId="29E7E90D" wp14:editId="4DE67A43">
            <wp:extent cx="4510087" cy="2780760"/>
            <wp:effectExtent l="0" t="0" r="5080" b="635"/>
            <wp:docPr id="880830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830494" name=""/>
                    <pic:cNvPicPr/>
                  </pic:nvPicPr>
                  <pic:blipFill rotWithShape="1">
                    <a:blip r:embed="rId8"/>
                    <a:srcRect l="33746" t="26724" r="21368" b="24210"/>
                    <a:stretch/>
                  </pic:blipFill>
                  <pic:spPr bwMode="auto">
                    <a:xfrm>
                      <a:off x="0" y="0"/>
                      <a:ext cx="4551497" cy="2806292"/>
                    </a:xfrm>
                    <a:prstGeom prst="rect">
                      <a:avLst/>
                    </a:prstGeom>
                    <a:ln>
                      <a:noFill/>
                    </a:ln>
                    <a:extLst>
                      <a:ext uri="{53640926-AAD7-44D8-BBD7-CCE9431645EC}">
                        <a14:shadowObscured xmlns:a14="http://schemas.microsoft.com/office/drawing/2010/main"/>
                      </a:ext>
                    </a:extLst>
                  </pic:spPr>
                </pic:pic>
              </a:graphicData>
            </a:graphic>
          </wp:inline>
        </w:drawing>
      </w:r>
    </w:p>
    <w:p w14:paraId="1469F4C5" w14:textId="77777777" w:rsidR="00AC78B2" w:rsidRPr="00B771AA" w:rsidRDefault="00AC78B2" w:rsidP="00AC78B2">
      <w:pPr>
        <w:spacing w:after="0" w:line="240" w:lineRule="auto"/>
        <w:jc w:val="both"/>
        <w:rPr>
          <w:rFonts w:ascii="Times New Roman" w:eastAsia="Sitka Banner" w:hAnsi="Times New Roman" w:cs="Times New Roman"/>
          <w:sz w:val="24"/>
          <w:szCs w:val="24"/>
        </w:rPr>
      </w:pPr>
    </w:p>
    <w:p w14:paraId="58F16ECE" w14:textId="77777777" w:rsidR="00B771AA" w:rsidRPr="00B771AA" w:rsidRDefault="00B771AA" w:rsidP="00B771AA">
      <w:pPr>
        <w:spacing w:after="0" w:line="240" w:lineRule="auto"/>
        <w:jc w:val="both"/>
        <w:rPr>
          <w:rFonts w:ascii="Times New Roman" w:eastAsia="Sitka Banner" w:hAnsi="Times New Roman" w:cs="Times New Roman"/>
          <w:sz w:val="24"/>
          <w:szCs w:val="24"/>
        </w:rPr>
      </w:pPr>
    </w:p>
    <w:p w14:paraId="4266A9B8" w14:textId="49F31A50" w:rsidR="00A8206D" w:rsidRPr="00B771AA" w:rsidRDefault="0076479D" w:rsidP="00B771AA">
      <w:pPr>
        <w:spacing w:after="0" w:line="240" w:lineRule="auto"/>
        <w:ind w:firstLine="720"/>
        <w:jc w:val="both"/>
        <w:rPr>
          <w:rFonts w:ascii="Times New Roman" w:eastAsia="Sitka Banner" w:hAnsi="Times New Roman" w:cs="Times New Roman"/>
          <w:sz w:val="24"/>
          <w:szCs w:val="24"/>
        </w:rPr>
      </w:pPr>
      <w:r w:rsidRPr="0076479D">
        <w:rPr>
          <w:rFonts w:ascii="Times New Roman" w:eastAsia="Sitka Banner" w:hAnsi="Times New Roman" w:cs="Times New Roman"/>
          <w:sz w:val="24"/>
          <w:szCs w:val="24"/>
        </w:rPr>
        <w:t>Most previous studies have focused on internal factors such as leverage, profitability, and liquidity in explaining financial distress (Aan Marlinah, 2023; Ramadani &amp; Ratmono, 2023). However, this approach has not fully explained the complexity of a company's financial condition, especially in the context of developing countries. Political stability as an external macroeconomic factor is now beginning to be recognized as an important component that influences a company's financial resilience (Ceylan, 2021; Farkhan, 2023). This study aims to examine the effect of political stability (external factor), profitability, and liquidity (internal factors) on financial distress in non-bank state-owned companies in Indonesia. To measure the level of financial distress, the Altman Z-Score model is used which has been proven effective in classifying a company's financial condition. The analysis was carried out using panel data logistic regression by considering control variables in the form of sales growth and company age.</w:t>
      </w:r>
    </w:p>
    <w:p w14:paraId="3CE99801" w14:textId="77777777" w:rsidR="00B771AA" w:rsidRPr="00B771AA" w:rsidRDefault="00B771AA" w:rsidP="00B771AA">
      <w:pPr>
        <w:spacing w:line="240" w:lineRule="auto"/>
        <w:rPr>
          <w:rFonts w:ascii="Times New Roman" w:eastAsia="Sitka Banner" w:hAnsi="Times New Roman" w:cs="Times New Roman"/>
          <w:sz w:val="24"/>
          <w:szCs w:val="24"/>
        </w:rPr>
      </w:pPr>
    </w:p>
    <w:p w14:paraId="64830CFE" w14:textId="2D2117A6" w:rsidR="00EF0FA9" w:rsidRPr="00B771AA" w:rsidRDefault="0076479D" w:rsidP="00B771AA">
      <w:pPr>
        <w:spacing w:line="240" w:lineRule="auto"/>
        <w:rPr>
          <w:rFonts w:ascii="Times New Roman" w:eastAsia="Sitka Banner" w:hAnsi="Times New Roman" w:cs="Times New Roman"/>
          <w:b/>
          <w:bCs/>
          <w:sz w:val="24"/>
          <w:szCs w:val="24"/>
          <w:lang w:val="en-US"/>
        </w:rPr>
      </w:pPr>
      <w:r>
        <w:rPr>
          <w:rFonts w:ascii="Times New Roman" w:eastAsia="Sitka Banner" w:hAnsi="Times New Roman" w:cs="Times New Roman"/>
          <w:b/>
          <w:bCs/>
          <w:sz w:val="24"/>
          <w:szCs w:val="24"/>
          <w:lang w:val="en-US"/>
        </w:rPr>
        <w:t xml:space="preserve">Theoretical Review and </w:t>
      </w:r>
      <w:proofErr w:type="spellStart"/>
      <w:r w:rsidR="006B7831" w:rsidRPr="00B771AA">
        <w:rPr>
          <w:rFonts w:ascii="Times New Roman" w:eastAsia="Sitka Banner" w:hAnsi="Times New Roman" w:cs="Times New Roman"/>
          <w:b/>
          <w:bCs/>
          <w:sz w:val="24"/>
          <w:szCs w:val="24"/>
          <w:lang w:val="en-US"/>
        </w:rPr>
        <w:t>Hipot</w:t>
      </w:r>
      <w:r>
        <w:rPr>
          <w:rFonts w:ascii="Times New Roman" w:eastAsia="Sitka Banner" w:hAnsi="Times New Roman" w:cs="Times New Roman"/>
          <w:b/>
          <w:bCs/>
          <w:sz w:val="24"/>
          <w:szCs w:val="24"/>
          <w:lang w:val="en-US"/>
        </w:rPr>
        <w:t>h</w:t>
      </w:r>
      <w:r w:rsidR="006B7831" w:rsidRPr="00B771AA">
        <w:rPr>
          <w:rFonts w:ascii="Times New Roman" w:eastAsia="Sitka Banner" w:hAnsi="Times New Roman" w:cs="Times New Roman"/>
          <w:b/>
          <w:bCs/>
          <w:sz w:val="24"/>
          <w:szCs w:val="24"/>
          <w:lang w:val="en-US"/>
        </w:rPr>
        <w:t>esis</w:t>
      </w:r>
      <w:proofErr w:type="spellEnd"/>
      <w:r>
        <w:rPr>
          <w:rFonts w:ascii="Times New Roman" w:eastAsia="Sitka Banner" w:hAnsi="Times New Roman" w:cs="Times New Roman"/>
          <w:b/>
          <w:bCs/>
          <w:sz w:val="24"/>
          <w:szCs w:val="24"/>
          <w:lang w:val="en-US"/>
        </w:rPr>
        <w:t xml:space="preserve"> Development</w:t>
      </w:r>
    </w:p>
    <w:p w14:paraId="33EE67D2" w14:textId="77777777" w:rsidR="0076479D" w:rsidRPr="0076479D" w:rsidRDefault="0076479D" w:rsidP="0076479D">
      <w:pPr>
        <w:spacing w:after="0" w:line="240" w:lineRule="auto"/>
        <w:jc w:val="both"/>
        <w:rPr>
          <w:rFonts w:ascii="Times New Roman" w:eastAsia="Sitka Banner" w:hAnsi="Times New Roman" w:cs="Times New Roman"/>
          <w:i/>
          <w:iCs/>
          <w:sz w:val="24"/>
          <w:szCs w:val="24"/>
        </w:rPr>
      </w:pPr>
      <w:r w:rsidRPr="0076479D">
        <w:rPr>
          <w:rFonts w:ascii="Times New Roman" w:eastAsia="Sitka Banner" w:hAnsi="Times New Roman" w:cs="Times New Roman"/>
          <w:i/>
          <w:iCs/>
          <w:sz w:val="24"/>
          <w:szCs w:val="24"/>
        </w:rPr>
        <w:t>Financial Distress</w:t>
      </w:r>
    </w:p>
    <w:p w14:paraId="5C11BCD4" w14:textId="77777777" w:rsidR="0076479D" w:rsidRPr="0076479D" w:rsidRDefault="0076479D" w:rsidP="0076479D">
      <w:pPr>
        <w:spacing w:after="0" w:line="240" w:lineRule="auto"/>
        <w:jc w:val="both"/>
        <w:rPr>
          <w:rFonts w:ascii="Times New Roman" w:eastAsia="Sitka Banner" w:hAnsi="Times New Roman" w:cs="Times New Roman"/>
          <w:sz w:val="24"/>
          <w:szCs w:val="24"/>
        </w:rPr>
      </w:pPr>
      <w:r w:rsidRPr="0076479D">
        <w:rPr>
          <w:rFonts w:ascii="Times New Roman" w:eastAsia="Sitka Banner" w:hAnsi="Times New Roman" w:cs="Times New Roman"/>
          <w:sz w:val="24"/>
          <w:szCs w:val="24"/>
        </w:rPr>
        <w:t>Financial distress is a condition in which a company is unable to meet its financial obligations, which can be an early indicator of bankruptcy (Rafatnia et al., 2020; Sheng, 2023). One of the most popular methods for detecting financial distress is the Altman Z-Score model introduced by (Altman, 1968). This model combines five financial ratios that reflect aspects of liquidity, profitability, leverage, activity, and solvency. Z-Score&gt; 2.99 indicates a healthy company; &lt;1.81 indicates a company at risk of bankruptcy; while values ​​between 1.81 and 2.99 are in the grey area (Altman, 1968). Research by Liang et al. (2020) also supports the accuracy of the Altman Z-Score in predicting corporate bankruptcy.</w:t>
      </w:r>
    </w:p>
    <w:p w14:paraId="2ACED6DC" w14:textId="77777777" w:rsidR="0076479D" w:rsidRDefault="0076479D" w:rsidP="0076479D">
      <w:pPr>
        <w:spacing w:after="0" w:line="240" w:lineRule="auto"/>
        <w:jc w:val="both"/>
        <w:rPr>
          <w:rFonts w:ascii="Times New Roman" w:eastAsia="Sitka Banner" w:hAnsi="Times New Roman" w:cs="Times New Roman"/>
          <w:sz w:val="24"/>
          <w:szCs w:val="24"/>
        </w:rPr>
      </w:pPr>
    </w:p>
    <w:p w14:paraId="2F85ED2E" w14:textId="714D2C2A" w:rsidR="0076479D" w:rsidRPr="0076479D" w:rsidRDefault="0076479D" w:rsidP="0076479D">
      <w:pPr>
        <w:spacing w:after="0" w:line="240" w:lineRule="auto"/>
        <w:jc w:val="both"/>
        <w:rPr>
          <w:rFonts w:ascii="Times New Roman" w:eastAsia="Sitka Banner" w:hAnsi="Times New Roman" w:cs="Times New Roman"/>
          <w:i/>
          <w:iCs/>
          <w:sz w:val="24"/>
          <w:szCs w:val="24"/>
        </w:rPr>
      </w:pPr>
      <w:r w:rsidRPr="0076479D">
        <w:rPr>
          <w:rFonts w:ascii="Times New Roman" w:eastAsia="Sitka Banner" w:hAnsi="Times New Roman" w:cs="Times New Roman"/>
          <w:i/>
          <w:iCs/>
          <w:sz w:val="24"/>
          <w:szCs w:val="24"/>
        </w:rPr>
        <w:t>Political Stability</w:t>
      </w:r>
      <w:r w:rsidR="00344D38">
        <w:rPr>
          <w:rFonts w:ascii="Times New Roman" w:eastAsia="Sitka Banner" w:hAnsi="Times New Roman" w:cs="Times New Roman"/>
          <w:i/>
          <w:iCs/>
          <w:sz w:val="24"/>
          <w:szCs w:val="24"/>
        </w:rPr>
        <w:t xml:space="preserve"> and financial distress</w:t>
      </w:r>
    </w:p>
    <w:p w14:paraId="3FE8C139" w14:textId="77777777" w:rsidR="0076479D" w:rsidRPr="0076479D" w:rsidRDefault="0076479D" w:rsidP="0076479D">
      <w:pPr>
        <w:spacing w:after="0" w:line="240" w:lineRule="auto"/>
        <w:ind w:firstLine="720"/>
        <w:jc w:val="both"/>
        <w:rPr>
          <w:rFonts w:ascii="Times New Roman" w:eastAsia="Sitka Banner" w:hAnsi="Times New Roman" w:cs="Times New Roman"/>
          <w:sz w:val="24"/>
          <w:szCs w:val="24"/>
        </w:rPr>
      </w:pPr>
      <w:r w:rsidRPr="0076479D">
        <w:rPr>
          <w:rFonts w:ascii="Times New Roman" w:eastAsia="Sitka Banner" w:hAnsi="Times New Roman" w:cs="Times New Roman"/>
          <w:sz w:val="24"/>
          <w:szCs w:val="24"/>
        </w:rPr>
        <w:t>Political stability reflects the ability of a country's political system to avoid chaos, maintain order, and create certainty in economic decision-making (Wang, 2023; Zhang et al., 2022). In a business context, political stability affects the investment climate and operational risk. Political uncertainty can increase financing costs and reduce investor confidence, which leads to disruption of the company's financial health (Liu et al., 2024; Masulis &amp; Reza, 2023)</w:t>
      </w:r>
    </w:p>
    <w:p w14:paraId="5F49746F" w14:textId="77777777" w:rsidR="0076479D" w:rsidRPr="0076479D" w:rsidRDefault="0076479D" w:rsidP="0076479D">
      <w:pPr>
        <w:spacing w:after="0" w:line="240" w:lineRule="auto"/>
        <w:jc w:val="both"/>
        <w:rPr>
          <w:rFonts w:ascii="Times New Roman" w:eastAsia="Sitka Banner" w:hAnsi="Times New Roman" w:cs="Times New Roman"/>
          <w:sz w:val="24"/>
          <w:szCs w:val="24"/>
        </w:rPr>
      </w:pPr>
      <w:r w:rsidRPr="0076479D">
        <w:rPr>
          <w:rFonts w:ascii="Times New Roman" w:eastAsia="Sitka Banner" w:hAnsi="Times New Roman" w:cs="Times New Roman"/>
          <w:sz w:val="24"/>
          <w:szCs w:val="24"/>
        </w:rPr>
        <w:lastRenderedPageBreak/>
        <w:t>According to the World Bank, the political stability indicator is part of the Worldwide Governance Indicators (WGI), which includes six dimensions of governance: Voice and Accountability, Political Stability and Absence of Violence, Government Effectiveness, Regulatory Quality, Rule of Law, and Control of Corruption (Kaufmann et al., 2010). In this study, the political stability index is calculated as the average of the six dimensions.</w:t>
      </w:r>
    </w:p>
    <w:p w14:paraId="2004A02A" w14:textId="77777777" w:rsidR="0076479D" w:rsidRPr="0076479D" w:rsidRDefault="0076479D" w:rsidP="0076479D">
      <w:pPr>
        <w:spacing w:after="0" w:line="240" w:lineRule="auto"/>
        <w:jc w:val="both"/>
        <w:rPr>
          <w:rFonts w:ascii="Times New Roman" w:eastAsia="Sitka Banner" w:hAnsi="Times New Roman" w:cs="Times New Roman"/>
          <w:sz w:val="24"/>
          <w:szCs w:val="24"/>
        </w:rPr>
      </w:pPr>
    </w:p>
    <w:p w14:paraId="6C813CED" w14:textId="63007258" w:rsidR="0076479D" w:rsidRPr="0076479D" w:rsidRDefault="0076479D" w:rsidP="0076479D">
      <w:pPr>
        <w:spacing w:after="0" w:line="240" w:lineRule="auto"/>
        <w:jc w:val="both"/>
        <w:rPr>
          <w:rFonts w:ascii="Times New Roman" w:eastAsia="Sitka Banner" w:hAnsi="Times New Roman" w:cs="Times New Roman"/>
          <w:sz w:val="24"/>
          <w:szCs w:val="24"/>
        </w:rPr>
      </w:pPr>
      <w:r w:rsidRPr="0076479D">
        <w:rPr>
          <w:rFonts w:ascii="Times New Roman" w:eastAsia="Sitka Banner" w:hAnsi="Times New Roman" w:cs="Times New Roman"/>
          <w:sz w:val="24"/>
          <w:szCs w:val="24"/>
        </w:rPr>
        <w:t xml:space="preserve">Several studies have found that political stability has a significant impact on a company's financial performance. Companies operating in a stable political system have easier access to financing and a conducive business climate (Kong &amp; Shi, 2023; Mariath et al., 2022). Based on this literature, political stability is thought to have a positive effect on the ability of state-owned </w:t>
      </w:r>
      <w:r w:rsidR="00344D38">
        <w:rPr>
          <w:rFonts w:ascii="Times New Roman" w:eastAsia="Sitka Banner" w:hAnsi="Times New Roman" w:cs="Times New Roman"/>
          <w:sz w:val="24"/>
          <w:szCs w:val="24"/>
        </w:rPr>
        <w:t xml:space="preserve">enterprise (SOE) </w:t>
      </w:r>
      <w:r w:rsidRPr="0076479D">
        <w:rPr>
          <w:rFonts w:ascii="Times New Roman" w:eastAsia="Sitka Banner" w:hAnsi="Times New Roman" w:cs="Times New Roman"/>
          <w:sz w:val="24"/>
          <w:szCs w:val="24"/>
        </w:rPr>
        <w:t>to overcome financial distress.</w:t>
      </w:r>
    </w:p>
    <w:p w14:paraId="1A1C3EE4" w14:textId="2DF40B22" w:rsidR="00EF0FA9" w:rsidRPr="0076479D" w:rsidRDefault="0076479D" w:rsidP="0076479D">
      <w:pPr>
        <w:spacing w:after="0" w:line="240" w:lineRule="auto"/>
        <w:jc w:val="both"/>
        <w:rPr>
          <w:rFonts w:ascii="Times New Roman" w:hAnsi="Times New Roman" w:cs="Times New Roman"/>
          <w:i/>
          <w:iCs/>
          <w:sz w:val="24"/>
          <w:szCs w:val="24"/>
        </w:rPr>
      </w:pPr>
      <w:r w:rsidRPr="0076479D">
        <w:rPr>
          <w:rFonts w:ascii="Times New Roman" w:eastAsia="Sitka Banner" w:hAnsi="Times New Roman" w:cs="Times New Roman"/>
          <w:i/>
          <w:iCs/>
          <w:sz w:val="24"/>
          <w:szCs w:val="24"/>
        </w:rPr>
        <w:t>H</w:t>
      </w:r>
      <w:r w:rsidRPr="0076479D">
        <w:rPr>
          <w:rFonts w:ascii="Times New Roman" w:eastAsia="Sitka Banner" w:hAnsi="Times New Roman" w:cs="Times New Roman"/>
          <w:i/>
          <w:iCs/>
          <w:sz w:val="24"/>
          <w:szCs w:val="24"/>
          <w:vertAlign w:val="subscript"/>
        </w:rPr>
        <w:t>1</w:t>
      </w:r>
      <w:r w:rsidRPr="0076479D">
        <w:rPr>
          <w:rFonts w:ascii="Times New Roman" w:eastAsia="Sitka Banner" w:hAnsi="Times New Roman" w:cs="Times New Roman"/>
          <w:i/>
          <w:iCs/>
          <w:sz w:val="24"/>
          <w:szCs w:val="24"/>
        </w:rPr>
        <w:t xml:space="preserve">: Political stability has a negative effect on financial distress of </w:t>
      </w:r>
      <w:r w:rsidR="00344D38">
        <w:rPr>
          <w:rFonts w:ascii="Times New Roman" w:eastAsia="Sitka Banner" w:hAnsi="Times New Roman" w:cs="Times New Roman"/>
          <w:i/>
          <w:iCs/>
          <w:sz w:val="24"/>
          <w:szCs w:val="24"/>
        </w:rPr>
        <w:t>SOE</w:t>
      </w:r>
      <w:r w:rsidR="004D525A">
        <w:rPr>
          <w:rFonts w:ascii="Times New Roman" w:eastAsia="Sitka Banner" w:hAnsi="Times New Roman" w:cs="Times New Roman"/>
          <w:i/>
          <w:iCs/>
          <w:sz w:val="24"/>
          <w:szCs w:val="24"/>
        </w:rPr>
        <w:t>’s</w:t>
      </w:r>
      <w:r w:rsidR="00344D38">
        <w:rPr>
          <w:rFonts w:ascii="Times New Roman" w:eastAsia="Sitka Banner" w:hAnsi="Times New Roman" w:cs="Times New Roman"/>
          <w:i/>
          <w:iCs/>
          <w:sz w:val="24"/>
          <w:szCs w:val="24"/>
        </w:rPr>
        <w:t xml:space="preserve"> </w:t>
      </w:r>
      <w:r w:rsidRPr="0076479D">
        <w:rPr>
          <w:rFonts w:ascii="Times New Roman" w:eastAsia="Sitka Banner" w:hAnsi="Times New Roman" w:cs="Times New Roman"/>
          <w:i/>
          <w:iCs/>
          <w:sz w:val="24"/>
          <w:szCs w:val="24"/>
        </w:rPr>
        <w:t>in Indonesia.</w:t>
      </w:r>
    </w:p>
    <w:p w14:paraId="2F5A8DF1" w14:textId="77777777" w:rsidR="00AC78B2" w:rsidRPr="00B771AA" w:rsidRDefault="00AC78B2" w:rsidP="00B771AA">
      <w:pPr>
        <w:spacing w:after="0" w:line="240" w:lineRule="auto"/>
        <w:jc w:val="both"/>
        <w:rPr>
          <w:rFonts w:ascii="Times New Roman" w:hAnsi="Times New Roman" w:cs="Times New Roman"/>
          <w:i/>
          <w:iCs/>
          <w:sz w:val="24"/>
          <w:szCs w:val="24"/>
        </w:rPr>
      </w:pPr>
    </w:p>
    <w:p w14:paraId="3806CD50" w14:textId="77777777" w:rsidR="00344D38" w:rsidRPr="00344D38" w:rsidRDefault="00344D38" w:rsidP="00344D38">
      <w:pPr>
        <w:spacing w:after="0" w:line="240" w:lineRule="auto"/>
        <w:jc w:val="both"/>
        <w:rPr>
          <w:rFonts w:ascii="Times New Roman" w:eastAsia="Sitka Banner" w:hAnsi="Times New Roman" w:cs="Times New Roman"/>
          <w:sz w:val="24"/>
          <w:szCs w:val="24"/>
        </w:rPr>
      </w:pPr>
      <w:r w:rsidRPr="00344D38">
        <w:rPr>
          <w:rFonts w:ascii="Times New Roman" w:eastAsia="Sitka Banner" w:hAnsi="Times New Roman" w:cs="Times New Roman"/>
          <w:sz w:val="24"/>
          <w:szCs w:val="24"/>
        </w:rPr>
        <w:t>Profitability and financial distress</w:t>
      </w:r>
    </w:p>
    <w:p w14:paraId="77FF3BAB" w14:textId="3DA1A050" w:rsidR="00344D38" w:rsidRPr="00344D38" w:rsidRDefault="00344D38" w:rsidP="00344D38">
      <w:pPr>
        <w:spacing w:after="0" w:line="240" w:lineRule="auto"/>
        <w:jc w:val="both"/>
        <w:rPr>
          <w:rFonts w:ascii="Times New Roman" w:eastAsia="Sitka Banner" w:hAnsi="Times New Roman" w:cs="Times New Roman"/>
          <w:sz w:val="24"/>
          <w:szCs w:val="24"/>
        </w:rPr>
      </w:pPr>
      <w:r w:rsidRPr="00344D38">
        <w:rPr>
          <w:rFonts w:ascii="Times New Roman" w:eastAsia="Sitka Banner" w:hAnsi="Times New Roman" w:cs="Times New Roman"/>
          <w:sz w:val="24"/>
          <w:szCs w:val="24"/>
        </w:rPr>
        <w:t xml:space="preserve">Profitability reflects a company's ability to generate profits from its operational activities, and is a key indicator of a company's financial health (Dewi &amp; Abundanti, 2023; Sukmawati et al., 2022). One commonly used ratio is Return on Equity (ROE), which measures the efficiency of using equity in generating profits (Atmaja &amp; Davianti, 2022). However, the findings of Pratiwi &amp; Sudiyanto (2022) show that profitability does not always have a significant effect on financial distress, especially if external pressures are more dominant. Given the important role of </w:t>
      </w:r>
      <w:r w:rsidR="004D525A">
        <w:rPr>
          <w:rFonts w:ascii="Times New Roman" w:eastAsia="Sitka Banner" w:hAnsi="Times New Roman" w:cs="Times New Roman"/>
          <w:sz w:val="24"/>
          <w:szCs w:val="24"/>
        </w:rPr>
        <w:t>SOE</w:t>
      </w:r>
      <w:r w:rsidRPr="00344D38">
        <w:rPr>
          <w:rFonts w:ascii="Times New Roman" w:eastAsia="Sitka Banner" w:hAnsi="Times New Roman" w:cs="Times New Roman"/>
          <w:sz w:val="24"/>
          <w:szCs w:val="24"/>
        </w:rPr>
        <w:t xml:space="preserve"> in maintaining national financial stability, an analysis of the effect of profitability is relevant to determine whether profit performance contributes to preventing financial distress.</w:t>
      </w:r>
    </w:p>
    <w:p w14:paraId="15A10583" w14:textId="747EE39E" w:rsidR="00344D38" w:rsidRPr="00344D38" w:rsidRDefault="00344D38" w:rsidP="00344D38">
      <w:pPr>
        <w:spacing w:after="0" w:line="240" w:lineRule="auto"/>
        <w:jc w:val="both"/>
        <w:rPr>
          <w:rFonts w:ascii="Times New Roman" w:eastAsia="Sitka Banner" w:hAnsi="Times New Roman" w:cs="Times New Roman"/>
          <w:i/>
          <w:iCs/>
          <w:sz w:val="24"/>
          <w:szCs w:val="24"/>
        </w:rPr>
      </w:pPr>
      <w:r w:rsidRPr="00344D38">
        <w:rPr>
          <w:rFonts w:ascii="Times New Roman" w:eastAsia="Sitka Banner" w:hAnsi="Times New Roman" w:cs="Times New Roman"/>
          <w:i/>
          <w:iCs/>
          <w:sz w:val="24"/>
          <w:szCs w:val="24"/>
        </w:rPr>
        <w:t>H</w:t>
      </w:r>
      <w:r w:rsidRPr="00344D38">
        <w:rPr>
          <w:rFonts w:ascii="Times New Roman" w:eastAsia="Sitka Banner" w:hAnsi="Times New Roman" w:cs="Times New Roman"/>
          <w:i/>
          <w:iCs/>
          <w:sz w:val="24"/>
          <w:szCs w:val="24"/>
          <w:vertAlign w:val="subscript"/>
        </w:rPr>
        <w:t>2</w:t>
      </w:r>
      <w:r w:rsidRPr="00344D38">
        <w:rPr>
          <w:rFonts w:ascii="Times New Roman" w:eastAsia="Sitka Banner" w:hAnsi="Times New Roman" w:cs="Times New Roman"/>
          <w:i/>
          <w:iCs/>
          <w:sz w:val="24"/>
          <w:szCs w:val="24"/>
        </w:rPr>
        <w:t xml:space="preserve">: Profitability has a negative effect on </w:t>
      </w:r>
      <w:r w:rsidR="004D525A">
        <w:rPr>
          <w:rFonts w:ascii="Times New Roman" w:eastAsia="Sitka Banner" w:hAnsi="Times New Roman" w:cs="Times New Roman"/>
          <w:i/>
          <w:iCs/>
          <w:sz w:val="24"/>
          <w:szCs w:val="24"/>
        </w:rPr>
        <w:t>SOE’s</w:t>
      </w:r>
      <w:r w:rsidRPr="00344D38">
        <w:rPr>
          <w:rFonts w:ascii="Times New Roman" w:eastAsia="Sitka Banner" w:hAnsi="Times New Roman" w:cs="Times New Roman"/>
          <w:i/>
          <w:iCs/>
          <w:sz w:val="24"/>
          <w:szCs w:val="24"/>
        </w:rPr>
        <w:t xml:space="preserve"> financial distress in Indonesia.</w:t>
      </w:r>
    </w:p>
    <w:p w14:paraId="5D5D25C4" w14:textId="77777777" w:rsidR="00344D38" w:rsidRPr="00344D38" w:rsidRDefault="00344D38" w:rsidP="00344D38">
      <w:pPr>
        <w:spacing w:after="0" w:line="240" w:lineRule="auto"/>
        <w:jc w:val="both"/>
        <w:rPr>
          <w:rFonts w:ascii="Times New Roman" w:eastAsia="Sitka Banner" w:hAnsi="Times New Roman" w:cs="Times New Roman"/>
          <w:sz w:val="24"/>
          <w:szCs w:val="24"/>
        </w:rPr>
      </w:pPr>
    </w:p>
    <w:p w14:paraId="597EAC5D" w14:textId="77777777" w:rsidR="00344D38" w:rsidRPr="00344D38" w:rsidRDefault="00344D38" w:rsidP="00344D38">
      <w:pPr>
        <w:spacing w:after="0" w:line="240" w:lineRule="auto"/>
        <w:jc w:val="both"/>
        <w:rPr>
          <w:rFonts w:ascii="Times New Roman" w:eastAsia="Sitka Banner" w:hAnsi="Times New Roman" w:cs="Times New Roman"/>
          <w:sz w:val="24"/>
          <w:szCs w:val="24"/>
        </w:rPr>
      </w:pPr>
      <w:r w:rsidRPr="00344D38">
        <w:rPr>
          <w:rFonts w:ascii="Times New Roman" w:eastAsia="Sitka Banner" w:hAnsi="Times New Roman" w:cs="Times New Roman"/>
          <w:sz w:val="24"/>
          <w:szCs w:val="24"/>
        </w:rPr>
        <w:t>Liquidity and financial distress</w:t>
      </w:r>
    </w:p>
    <w:p w14:paraId="6BA755A8" w14:textId="77777777" w:rsidR="00344D38" w:rsidRPr="00344D38" w:rsidRDefault="00344D38" w:rsidP="00344D38">
      <w:pPr>
        <w:spacing w:after="0" w:line="240" w:lineRule="auto"/>
        <w:jc w:val="both"/>
        <w:rPr>
          <w:rFonts w:ascii="Times New Roman" w:eastAsia="Sitka Banner" w:hAnsi="Times New Roman" w:cs="Times New Roman"/>
          <w:sz w:val="24"/>
          <w:szCs w:val="24"/>
        </w:rPr>
      </w:pPr>
      <w:r w:rsidRPr="00344D38">
        <w:rPr>
          <w:rFonts w:ascii="Times New Roman" w:eastAsia="Sitka Banner" w:hAnsi="Times New Roman" w:cs="Times New Roman"/>
          <w:sz w:val="24"/>
          <w:szCs w:val="24"/>
        </w:rPr>
        <w:t>Liquidity reflects a company's ability to meet its short-term obligations and is usually measured through ratios such as the Current Ratio. Several studies have shown that adequate liquidity levels can reduce a company's chances of experiencing financial distress. For example, Damajanti et al., (2021) found that companies with good liquidity tend to be more resistant to liquidity pressures and are able to maintain financial stability so that the risk of financial distress is reduced. On the other hand, Salim &amp; Yanti, (2023) highlighted that excessive liquidity sometimes reflects inefficient use of current assets or less than optimal managerial policies, so that it can actually increase the risk of financial distress. Thus, although liquidity is generally viewed as a buffer against short-term financial pressures, its impact on financial distress is context-specific and depends on the optimal level of company liquidity.</w:t>
      </w:r>
    </w:p>
    <w:p w14:paraId="0A3D6F47" w14:textId="2065D1C6" w:rsidR="00777096" w:rsidRPr="00344D38" w:rsidRDefault="00344D38" w:rsidP="00344D38">
      <w:pPr>
        <w:spacing w:after="0" w:line="240" w:lineRule="auto"/>
        <w:jc w:val="both"/>
        <w:rPr>
          <w:rFonts w:ascii="Times New Roman" w:eastAsia="Sitka Banner" w:hAnsi="Times New Roman" w:cs="Times New Roman"/>
          <w:i/>
          <w:iCs/>
          <w:sz w:val="24"/>
          <w:szCs w:val="24"/>
        </w:rPr>
      </w:pPr>
      <w:r w:rsidRPr="00344D38">
        <w:rPr>
          <w:rFonts w:ascii="Times New Roman" w:eastAsia="Sitka Banner" w:hAnsi="Times New Roman" w:cs="Times New Roman"/>
          <w:i/>
          <w:iCs/>
          <w:sz w:val="24"/>
          <w:szCs w:val="24"/>
        </w:rPr>
        <w:t>H</w:t>
      </w:r>
      <w:r w:rsidRPr="00344D38">
        <w:rPr>
          <w:rFonts w:ascii="Times New Roman" w:eastAsia="Sitka Banner" w:hAnsi="Times New Roman" w:cs="Times New Roman"/>
          <w:i/>
          <w:iCs/>
          <w:sz w:val="24"/>
          <w:szCs w:val="24"/>
          <w:vertAlign w:val="subscript"/>
        </w:rPr>
        <w:t>3</w:t>
      </w:r>
      <w:r w:rsidRPr="00344D38">
        <w:rPr>
          <w:rFonts w:ascii="Times New Roman" w:eastAsia="Sitka Banner" w:hAnsi="Times New Roman" w:cs="Times New Roman"/>
          <w:i/>
          <w:iCs/>
          <w:sz w:val="24"/>
          <w:szCs w:val="24"/>
        </w:rPr>
        <w:t xml:space="preserve">: Liquidity has a negative effect on financial distress of </w:t>
      </w:r>
      <w:r w:rsidR="004D525A">
        <w:rPr>
          <w:rFonts w:ascii="Times New Roman" w:eastAsia="Sitka Banner" w:hAnsi="Times New Roman" w:cs="Times New Roman"/>
          <w:i/>
          <w:iCs/>
          <w:sz w:val="24"/>
          <w:szCs w:val="24"/>
        </w:rPr>
        <w:t>SOE’s</w:t>
      </w:r>
      <w:r w:rsidRPr="00344D38">
        <w:rPr>
          <w:rFonts w:ascii="Times New Roman" w:eastAsia="Sitka Banner" w:hAnsi="Times New Roman" w:cs="Times New Roman"/>
          <w:i/>
          <w:iCs/>
          <w:sz w:val="24"/>
          <w:szCs w:val="24"/>
        </w:rPr>
        <w:t xml:space="preserve"> in Indonesia.</w:t>
      </w:r>
    </w:p>
    <w:p w14:paraId="099EF807" w14:textId="181331BC" w:rsidR="00472AC8" w:rsidRDefault="00591AC9" w:rsidP="00B771AA">
      <w:pPr>
        <w:spacing w:after="0" w:line="240" w:lineRule="auto"/>
        <w:ind w:firstLine="720"/>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t>.</w:t>
      </w:r>
    </w:p>
    <w:p w14:paraId="5C330E47" w14:textId="77777777" w:rsidR="00926BBF" w:rsidRDefault="00926BBF" w:rsidP="00344D38">
      <w:pPr>
        <w:spacing w:after="0" w:line="240" w:lineRule="auto"/>
        <w:jc w:val="both"/>
        <w:rPr>
          <w:rFonts w:ascii="Times New Roman" w:eastAsia="Sitka Banner" w:hAnsi="Times New Roman" w:cs="Times New Roman"/>
          <w:b/>
          <w:bCs/>
          <w:sz w:val="24"/>
          <w:szCs w:val="24"/>
        </w:rPr>
      </w:pPr>
    </w:p>
    <w:p w14:paraId="176BA919" w14:textId="5A006517" w:rsidR="00344D38" w:rsidRPr="00344D38" w:rsidRDefault="00344D38" w:rsidP="00344D38">
      <w:pPr>
        <w:spacing w:after="0" w:line="240" w:lineRule="auto"/>
        <w:jc w:val="both"/>
        <w:rPr>
          <w:rFonts w:ascii="Times New Roman" w:eastAsia="Sitka Banner" w:hAnsi="Times New Roman" w:cs="Times New Roman"/>
          <w:b/>
          <w:bCs/>
          <w:sz w:val="24"/>
          <w:szCs w:val="24"/>
          <w:lang w:val="en-US"/>
        </w:rPr>
      </w:pPr>
      <w:r w:rsidRPr="00344D38">
        <w:rPr>
          <w:rFonts w:ascii="Times New Roman" w:eastAsia="Sitka Banner" w:hAnsi="Times New Roman" w:cs="Times New Roman"/>
          <w:b/>
          <w:bCs/>
          <w:sz w:val="24"/>
          <w:szCs w:val="24"/>
          <w:lang w:val="en-US"/>
        </w:rPr>
        <w:t>Research Method</w:t>
      </w:r>
    </w:p>
    <w:p w14:paraId="1842D264" w14:textId="77777777" w:rsidR="00344D38" w:rsidRPr="00344D38" w:rsidRDefault="00344D38" w:rsidP="00344D38">
      <w:pPr>
        <w:spacing w:after="0" w:line="240" w:lineRule="auto"/>
        <w:jc w:val="both"/>
        <w:rPr>
          <w:rFonts w:ascii="Times New Roman" w:eastAsia="Sitka Banner" w:hAnsi="Times New Roman" w:cs="Times New Roman"/>
          <w:sz w:val="24"/>
          <w:szCs w:val="24"/>
          <w:lang w:val="en-US"/>
        </w:rPr>
      </w:pPr>
      <w:r w:rsidRPr="00344D38">
        <w:rPr>
          <w:rFonts w:ascii="Times New Roman" w:eastAsia="Sitka Banner" w:hAnsi="Times New Roman" w:cs="Times New Roman"/>
          <w:sz w:val="24"/>
          <w:szCs w:val="24"/>
          <w:lang w:val="en-US"/>
        </w:rPr>
        <w:t>Population and Sample</w:t>
      </w:r>
    </w:p>
    <w:p w14:paraId="568E038B" w14:textId="77777777" w:rsidR="00344D38" w:rsidRPr="00344D38" w:rsidRDefault="00344D38" w:rsidP="00344D38">
      <w:pPr>
        <w:spacing w:after="0" w:line="240" w:lineRule="auto"/>
        <w:ind w:firstLine="720"/>
        <w:jc w:val="both"/>
        <w:rPr>
          <w:rFonts w:ascii="Times New Roman" w:eastAsia="Sitka Banner" w:hAnsi="Times New Roman" w:cs="Times New Roman"/>
          <w:sz w:val="24"/>
          <w:szCs w:val="24"/>
          <w:lang w:val="en-US"/>
        </w:rPr>
      </w:pPr>
      <w:r w:rsidRPr="00344D38">
        <w:rPr>
          <w:rFonts w:ascii="Times New Roman" w:eastAsia="Sitka Banner" w:hAnsi="Times New Roman" w:cs="Times New Roman"/>
          <w:sz w:val="24"/>
          <w:szCs w:val="24"/>
          <w:lang w:val="en-US"/>
        </w:rPr>
        <w:t>The population in this study were all non-bank state-owned enterprises in Indonesia, totaling 33 companies. Through purposive sampling technique, 15 companies were selected that met the criteria: having non-bank state-owned enterprise status, listed on the IDX, presenting complete financial reports during the study period, and presenting financial data in rupiah currency. With a five-year observation period, the total observations in this study were 75 data units (15 companies × 5 years).</w:t>
      </w:r>
    </w:p>
    <w:p w14:paraId="212AD4B3" w14:textId="77777777" w:rsidR="00344D38" w:rsidRPr="00344D38" w:rsidRDefault="00344D38" w:rsidP="00344D38">
      <w:pPr>
        <w:spacing w:after="0" w:line="240" w:lineRule="auto"/>
        <w:ind w:firstLine="720"/>
        <w:jc w:val="both"/>
        <w:rPr>
          <w:rFonts w:ascii="Times New Roman" w:eastAsia="Sitka Banner" w:hAnsi="Times New Roman" w:cs="Times New Roman"/>
          <w:sz w:val="24"/>
          <w:szCs w:val="24"/>
          <w:lang w:val="en-US"/>
        </w:rPr>
      </w:pPr>
    </w:p>
    <w:p w14:paraId="032E8B68" w14:textId="77777777" w:rsidR="00344D38" w:rsidRPr="00344D38" w:rsidRDefault="00344D38" w:rsidP="00344D38">
      <w:pPr>
        <w:spacing w:after="0" w:line="240" w:lineRule="auto"/>
        <w:jc w:val="both"/>
        <w:rPr>
          <w:rFonts w:ascii="Times New Roman" w:eastAsia="Sitka Banner" w:hAnsi="Times New Roman" w:cs="Times New Roman"/>
          <w:sz w:val="24"/>
          <w:szCs w:val="24"/>
          <w:lang w:val="en-US"/>
        </w:rPr>
      </w:pPr>
      <w:r w:rsidRPr="00344D38">
        <w:rPr>
          <w:rFonts w:ascii="Times New Roman" w:eastAsia="Sitka Banner" w:hAnsi="Times New Roman" w:cs="Times New Roman"/>
          <w:sz w:val="24"/>
          <w:szCs w:val="24"/>
          <w:lang w:val="en-US"/>
        </w:rPr>
        <w:t>Research Variables</w:t>
      </w:r>
    </w:p>
    <w:p w14:paraId="2C0B611F" w14:textId="2BA6C6FC" w:rsidR="003B02B9" w:rsidRPr="00B771AA" w:rsidRDefault="00344D38" w:rsidP="00344D38">
      <w:pPr>
        <w:spacing w:after="0" w:line="240" w:lineRule="auto"/>
        <w:ind w:firstLine="720"/>
        <w:jc w:val="both"/>
        <w:rPr>
          <w:rFonts w:ascii="Times New Roman" w:eastAsia="Sitka Banner" w:hAnsi="Times New Roman" w:cs="Times New Roman"/>
          <w:sz w:val="24"/>
          <w:szCs w:val="24"/>
        </w:rPr>
      </w:pPr>
      <w:r w:rsidRPr="00344D38">
        <w:rPr>
          <w:rFonts w:ascii="Times New Roman" w:eastAsia="Sitka Banner" w:hAnsi="Times New Roman" w:cs="Times New Roman"/>
          <w:sz w:val="24"/>
          <w:szCs w:val="24"/>
          <w:lang w:val="en-US"/>
        </w:rPr>
        <w:t xml:space="preserve">The dependent variable in this study is financial distress which is measured using the Altman Z-Score model. Companies are classified into two categories: companies in distress (Z </w:t>
      </w:r>
      <w:r w:rsidRPr="00344D38">
        <w:rPr>
          <w:rFonts w:ascii="Times New Roman" w:eastAsia="Sitka Banner" w:hAnsi="Times New Roman" w:cs="Times New Roman"/>
          <w:sz w:val="24"/>
          <w:szCs w:val="24"/>
          <w:lang w:val="en-US"/>
        </w:rPr>
        <w:lastRenderedPageBreak/>
        <w:t xml:space="preserve">&lt; 1.81) and not in distress (Z ≥ 1.81) which are expressed in dummy form (1 = distress, 0 = not in distress) (Altman, 1968; </w:t>
      </w:r>
      <w:proofErr w:type="spellStart"/>
      <w:r w:rsidRPr="00344D38">
        <w:rPr>
          <w:rFonts w:ascii="Times New Roman" w:eastAsia="Sitka Banner" w:hAnsi="Times New Roman" w:cs="Times New Roman"/>
          <w:sz w:val="24"/>
          <w:szCs w:val="24"/>
          <w:lang w:val="en-US"/>
        </w:rPr>
        <w:t>Lagasio</w:t>
      </w:r>
      <w:proofErr w:type="spellEnd"/>
      <w:r w:rsidRPr="00344D38">
        <w:rPr>
          <w:rFonts w:ascii="Times New Roman" w:eastAsia="Sitka Banner" w:hAnsi="Times New Roman" w:cs="Times New Roman"/>
          <w:sz w:val="24"/>
          <w:szCs w:val="24"/>
          <w:lang w:val="en-US"/>
        </w:rPr>
        <w:t xml:space="preserve"> et al., 2023). The independent variables consist of political stability (SP), profitability (PF), and liquidity (LQ). Political stability is measured through the World Bank's Worldwide Governance Indicators (WGI) index, with six governance indicators converted on a scale of −2.5 to +2.5 (Kaufmann et al., 2010). Profitability is measured by Return on Equity (ROE), while liquidity is measured using the Current Ratio (CR) (</w:t>
      </w:r>
      <w:proofErr w:type="spellStart"/>
      <w:r w:rsidRPr="00344D38">
        <w:rPr>
          <w:rFonts w:ascii="Times New Roman" w:eastAsia="Sitka Banner" w:hAnsi="Times New Roman" w:cs="Times New Roman"/>
          <w:sz w:val="24"/>
          <w:szCs w:val="24"/>
          <w:lang w:val="en-US"/>
        </w:rPr>
        <w:t>Friska</w:t>
      </w:r>
      <w:proofErr w:type="spellEnd"/>
      <w:r w:rsidRPr="00344D38">
        <w:rPr>
          <w:rFonts w:ascii="Times New Roman" w:eastAsia="Sitka Banner" w:hAnsi="Times New Roman" w:cs="Times New Roman"/>
          <w:sz w:val="24"/>
          <w:szCs w:val="24"/>
          <w:lang w:val="en-US"/>
        </w:rPr>
        <w:t xml:space="preserve"> &amp; </w:t>
      </w:r>
      <w:proofErr w:type="spellStart"/>
      <w:r w:rsidRPr="00344D38">
        <w:rPr>
          <w:rFonts w:ascii="Times New Roman" w:eastAsia="Sitka Banner" w:hAnsi="Times New Roman" w:cs="Times New Roman"/>
          <w:sz w:val="24"/>
          <w:szCs w:val="24"/>
          <w:lang w:val="en-US"/>
        </w:rPr>
        <w:t>Pudjolaksono</w:t>
      </w:r>
      <w:proofErr w:type="spellEnd"/>
      <w:r w:rsidRPr="00344D38">
        <w:rPr>
          <w:rFonts w:ascii="Times New Roman" w:eastAsia="Sitka Banner" w:hAnsi="Times New Roman" w:cs="Times New Roman"/>
          <w:sz w:val="24"/>
          <w:szCs w:val="24"/>
          <w:lang w:val="en-US"/>
        </w:rPr>
        <w:t xml:space="preserve">, 2023; Hiba &amp; </w:t>
      </w:r>
      <w:proofErr w:type="spellStart"/>
      <w:r w:rsidRPr="00344D38">
        <w:rPr>
          <w:rFonts w:ascii="Times New Roman" w:eastAsia="Sitka Banner" w:hAnsi="Times New Roman" w:cs="Times New Roman"/>
          <w:sz w:val="24"/>
          <w:szCs w:val="24"/>
          <w:lang w:val="en-US"/>
        </w:rPr>
        <w:t>Prasetyo</w:t>
      </w:r>
      <w:proofErr w:type="spellEnd"/>
      <w:r w:rsidRPr="00344D38">
        <w:rPr>
          <w:rFonts w:ascii="Times New Roman" w:eastAsia="Sitka Banner" w:hAnsi="Times New Roman" w:cs="Times New Roman"/>
          <w:sz w:val="24"/>
          <w:szCs w:val="24"/>
          <w:lang w:val="en-US"/>
        </w:rPr>
        <w:t>, 2024).</w:t>
      </w:r>
    </w:p>
    <w:p w14:paraId="0CF819DE" w14:textId="77777777" w:rsidR="00B771AA" w:rsidRPr="00B771AA" w:rsidRDefault="00B771AA" w:rsidP="00B771AA">
      <w:pPr>
        <w:spacing w:after="0" w:line="240" w:lineRule="auto"/>
        <w:ind w:firstLine="720"/>
        <w:jc w:val="both"/>
        <w:rPr>
          <w:rFonts w:ascii="Times New Roman" w:eastAsia="Sitka Banner" w:hAnsi="Times New Roman" w:cs="Times New Roman"/>
          <w:sz w:val="24"/>
          <w:szCs w:val="24"/>
        </w:rPr>
      </w:pPr>
    </w:p>
    <w:p w14:paraId="40DEB211" w14:textId="0FAAC077" w:rsidR="0047623D" w:rsidRPr="00344D38" w:rsidRDefault="0047623D" w:rsidP="00B771AA">
      <w:pPr>
        <w:spacing w:after="0" w:line="240" w:lineRule="auto"/>
        <w:jc w:val="center"/>
        <w:rPr>
          <w:rFonts w:ascii="Times New Roman" w:eastAsia="Sitka Banner" w:hAnsi="Times New Roman" w:cs="Times New Roman"/>
          <w:sz w:val="24"/>
          <w:szCs w:val="24"/>
        </w:rPr>
      </w:pPr>
      <w:r w:rsidRPr="00344D38">
        <w:rPr>
          <w:rFonts w:ascii="Times New Roman" w:eastAsia="Sitka Banner" w:hAnsi="Times New Roman" w:cs="Times New Roman"/>
          <w:sz w:val="24"/>
          <w:szCs w:val="24"/>
        </w:rPr>
        <w:t>Tab</w:t>
      </w:r>
      <w:r w:rsidR="004D525A">
        <w:rPr>
          <w:rFonts w:ascii="Times New Roman" w:eastAsia="Sitka Banner" w:hAnsi="Times New Roman" w:cs="Times New Roman"/>
          <w:sz w:val="24"/>
          <w:szCs w:val="24"/>
        </w:rPr>
        <w:t>le</w:t>
      </w:r>
      <w:r w:rsidRPr="00344D38">
        <w:rPr>
          <w:rFonts w:ascii="Times New Roman" w:eastAsia="Sitka Banner" w:hAnsi="Times New Roman" w:cs="Times New Roman"/>
          <w:sz w:val="24"/>
          <w:szCs w:val="24"/>
        </w:rPr>
        <w:t xml:space="preserve"> 1</w:t>
      </w:r>
      <w:r w:rsidR="004D525A">
        <w:rPr>
          <w:rFonts w:ascii="Times New Roman" w:eastAsia="Sitka Banner" w:hAnsi="Times New Roman" w:cs="Times New Roman"/>
          <w:sz w:val="24"/>
          <w:szCs w:val="24"/>
        </w:rPr>
        <w:t>:</w:t>
      </w:r>
      <w:r w:rsidRPr="00344D38">
        <w:rPr>
          <w:rFonts w:ascii="Times New Roman" w:eastAsia="Sitka Banner" w:hAnsi="Times New Roman" w:cs="Times New Roman"/>
          <w:sz w:val="24"/>
          <w:szCs w:val="24"/>
        </w:rPr>
        <w:t xml:space="preserve"> Variab</w:t>
      </w:r>
      <w:r w:rsidR="004D525A">
        <w:rPr>
          <w:rFonts w:ascii="Times New Roman" w:eastAsia="Sitka Banner" w:hAnsi="Times New Roman" w:cs="Times New Roman"/>
          <w:sz w:val="24"/>
          <w:szCs w:val="24"/>
        </w:rPr>
        <w:t>le and Measurement</w:t>
      </w:r>
    </w:p>
    <w:tbl>
      <w:tblPr>
        <w:tblStyle w:val="TableGrid"/>
        <w:tblW w:w="0" w:type="auto"/>
        <w:tblLook w:val="04A0" w:firstRow="1" w:lastRow="0" w:firstColumn="1" w:lastColumn="0" w:noHBand="0" w:noVBand="1"/>
      </w:tblPr>
      <w:tblGrid>
        <w:gridCol w:w="2785"/>
        <w:gridCol w:w="3225"/>
        <w:gridCol w:w="3006"/>
      </w:tblGrid>
      <w:tr w:rsidR="00FE55D6" w:rsidRPr="00344D38" w14:paraId="680FFF27" w14:textId="77777777" w:rsidTr="00344D38">
        <w:trPr>
          <w:trHeight w:val="447"/>
        </w:trPr>
        <w:tc>
          <w:tcPr>
            <w:tcW w:w="2785" w:type="dxa"/>
          </w:tcPr>
          <w:p w14:paraId="79EC563F" w14:textId="7473602A" w:rsidR="00FE55D6" w:rsidRPr="00344D38" w:rsidRDefault="00FE55D6" w:rsidP="00B771AA">
            <w:pPr>
              <w:spacing w:line="240" w:lineRule="auto"/>
              <w:jc w:val="center"/>
              <w:rPr>
                <w:rFonts w:ascii="Times New Roman" w:eastAsia="Sitka Banner" w:hAnsi="Times New Roman" w:cs="Times New Roman"/>
                <w:sz w:val="24"/>
                <w:szCs w:val="24"/>
              </w:rPr>
            </w:pPr>
            <w:r w:rsidRPr="00344D38">
              <w:rPr>
                <w:rFonts w:ascii="Times New Roman" w:eastAsia="Sitka Banner" w:hAnsi="Times New Roman" w:cs="Times New Roman"/>
                <w:sz w:val="24"/>
                <w:szCs w:val="24"/>
              </w:rPr>
              <w:t>Variab</w:t>
            </w:r>
            <w:r w:rsidR="004D525A">
              <w:rPr>
                <w:rFonts w:ascii="Times New Roman" w:eastAsia="Sitka Banner" w:hAnsi="Times New Roman" w:cs="Times New Roman"/>
                <w:sz w:val="24"/>
                <w:szCs w:val="24"/>
              </w:rPr>
              <w:t>le</w:t>
            </w:r>
          </w:p>
        </w:tc>
        <w:tc>
          <w:tcPr>
            <w:tcW w:w="3225" w:type="dxa"/>
          </w:tcPr>
          <w:p w14:paraId="7AB5A80B" w14:textId="163BBC92" w:rsidR="00FE55D6" w:rsidRPr="00344D38" w:rsidRDefault="004D525A" w:rsidP="00B771AA">
            <w:pPr>
              <w:spacing w:line="240" w:lineRule="auto"/>
              <w:jc w:val="center"/>
              <w:rPr>
                <w:rFonts w:ascii="Times New Roman" w:eastAsia="Sitka Banner" w:hAnsi="Times New Roman" w:cs="Times New Roman"/>
                <w:sz w:val="24"/>
                <w:szCs w:val="24"/>
              </w:rPr>
            </w:pPr>
            <w:r>
              <w:rPr>
                <w:rFonts w:ascii="Times New Roman" w:eastAsia="Sitka Banner" w:hAnsi="Times New Roman" w:cs="Times New Roman"/>
                <w:sz w:val="24"/>
                <w:szCs w:val="24"/>
              </w:rPr>
              <w:t>Measurement</w:t>
            </w:r>
          </w:p>
        </w:tc>
        <w:tc>
          <w:tcPr>
            <w:tcW w:w="3006" w:type="dxa"/>
          </w:tcPr>
          <w:p w14:paraId="25FCA343" w14:textId="0CCEB81D" w:rsidR="00FE55D6" w:rsidRPr="00344D38" w:rsidRDefault="004D525A" w:rsidP="004D525A">
            <w:pPr>
              <w:spacing w:line="240" w:lineRule="auto"/>
              <w:jc w:val="center"/>
              <w:rPr>
                <w:rFonts w:ascii="Times New Roman" w:eastAsia="Sitka Banner" w:hAnsi="Times New Roman" w:cs="Times New Roman"/>
                <w:sz w:val="24"/>
                <w:szCs w:val="24"/>
              </w:rPr>
            </w:pPr>
            <w:r>
              <w:rPr>
                <w:rFonts w:ascii="Times New Roman" w:eastAsia="Sitka Banner" w:hAnsi="Times New Roman" w:cs="Times New Roman"/>
                <w:sz w:val="24"/>
                <w:szCs w:val="24"/>
              </w:rPr>
              <w:t>Source</w:t>
            </w:r>
          </w:p>
        </w:tc>
      </w:tr>
      <w:tr w:rsidR="00FE55D6" w:rsidRPr="00B771AA" w14:paraId="2E2F5D40" w14:textId="77777777" w:rsidTr="00344D38">
        <w:tc>
          <w:tcPr>
            <w:tcW w:w="2785" w:type="dxa"/>
          </w:tcPr>
          <w:p w14:paraId="48BC75C0" w14:textId="342E04F9" w:rsidR="00FE55D6" w:rsidRPr="00B771AA" w:rsidRDefault="006043F1" w:rsidP="00B771AA">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t>Dependen</w:t>
            </w:r>
            <w:r w:rsidR="004D525A">
              <w:rPr>
                <w:rFonts w:ascii="Times New Roman" w:eastAsia="Sitka Banner" w:hAnsi="Times New Roman" w:cs="Times New Roman"/>
                <w:sz w:val="24"/>
                <w:szCs w:val="24"/>
              </w:rPr>
              <w:t>t Variable</w:t>
            </w:r>
          </w:p>
        </w:tc>
        <w:tc>
          <w:tcPr>
            <w:tcW w:w="3225" w:type="dxa"/>
          </w:tcPr>
          <w:p w14:paraId="00FE26E3" w14:textId="77777777" w:rsidR="00FE55D6" w:rsidRPr="00B771AA" w:rsidRDefault="00FE55D6" w:rsidP="00B771AA">
            <w:pPr>
              <w:spacing w:line="240" w:lineRule="auto"/>
              <w:jc w:val="both"/>
              <w:rPr>
                <w:rFonts w:ascii="Times New Roman" w:eastAsia="Sitka Banner" w:hAnsi="Times New Roman" w:cs="Times New Roman"/>
                <w:sz w:val="24"/>
                <w:szCs w:val="24"/>
              </w:rPr>
            </w:pPr>
          </w:p>
        </w:tc>
        <w:tc>
          <w:tcPr>
            <w:tcW w:w="3006" w:type="dxa"/>
          </w:tcPr>
          <w:p w14:paraId="312687AA" w14:textId="77777777" w:rsidR="00FE55D6" w:rsidRPr="00B771AA" w:rsidRDefault="00FE55D6" w:rsidP="00B771AA">
            <w:pPr>
              <w:spacing w:line="240" w:lineRule="auto"/>
              <w:jc w:val="both"/>
              <w:rPr>
                <w:rFonts w:ascii="Times New Roman" w:eastAsia="Sitka Banner" w:hAnsi="Times New Roman" w:cs="Times New Roman"/>
                <w:sz w:val="24"/>
                <w:szCs w:val="24"/>
              </w:rPr>
            </w:pPr>
          </w:p>
        </w:tc>
      </w:tr>
      <w:tr w:rsidR="00FE55D6" w:rsidRPr="00B771AA" w14:paraId="1EA47B07" w14:textId="77777777" w:rsidTr="00344D38">
        <w:tc>
          <w:tcPr>
            <w:tcW w:w="2785" w:type="dxa"/>
          </w:tcPr>
          <w:p w14:paraId="6A193315" w14:textId="4B459DAC" w:rsidR="00FE55D6" w:rsidRPr="00B771AA" w:rsidRDefault="006043F1" w:rsidP="00B771AA">
            <w:pPr>
              <w:spacing w:line="240" w:lineRule="auto"/>
              <w:jc w:val="both"/>
              <w:rPr>
                <w:rFonts w:ascii="Times New Roman" w:eastAsia="Sitka Banner" w:hAnsi="Times New Roman" w:cs="Times New Roman"/>
                <w:i/>
                <w:iCs/>
                <w:sz w:val="24"/>
                <w:szCs w:val="24"/>
              </w:rPr>
            </w:pPr>
            <w:r w:rsidRPr="00B771AA">
              <w:rPr>
                <w:rFonts w:ascii="Times New Roman" w:eastAsia="Sitka Banner" w:hAnsi="Times New Roman" w:cs="Times New Roman"/>
                <w:i/>
                <w:iCs/>
                <w:sz w:val="24"/>
                <w:szCs w:val="24"/>
              </w:rPr>
              <w:t>Financial Distress</w:t>
            </w:r>
          </w:p>
        </w:tc>
        <w:tc>
          <w:tcPr>
            <w:tcW w:w="3225" w:type="dxa"/>
          </w:tcPr>
          <w:p w14:paraId="63C9921E" w14:textId="72C80518" w:rsidR="00FE55D6" w:rsidRPr="00B771AA" w:rsidRDefault="008F2FE3" w:rsidP="00B771AA">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t>Z-Score = 1,2 X</w:t>
            </w:r>
            <w:r w:rsidRPr="00A52288">
              <w:rPr>
                <w:rFonts w:ascii="Times New Roman" w:eastAsia="Sitka Banner" w:hAnsi="Times New Roman" w:cs="Times New Roman"/>
                <w:sz w:val="24"/>
                <w:szCs w:val="24"/>
                <w:vertAlign w:val="subscript"/>
              </w:rPr>
              <w:t>1</w:t>
            </w:r>
            <w:r w:rsidRPr="00B771AA">
              <w:rPr>
                <w:rFonts w:ascii="Times New Roman" w:eastAsia="Sitka Banner" w:hAnsi="Times New Roman" w:cs="Times New Roman"/>
                <w:sz w:val="24"/>
                <w:szCs w:val="24"/>
              </w:rPr>
              <w:t xml:space="preserve"> + 1,4 X</w:t>
            </w:r>
            <w:r w:rsidRPr="00A52288">
              <w:rPr>
                <w:rFonts w:ascii="Times New Roman" w:eastAsia="Sitka Banner" w:hAnsi="Times New Roman" w:cs="Times New Roman"/>
                <w:sz w:val="24"/>
                <w:szCs w:val="24"/>
                <w:vertAlign w:val="subscript"/>
              </w:rPr>
              <w:t>2</w:t>
            </w:r>
            <w:r w:rsidRPr="00B771AA">
              <w:rPr>
                <w:rFonts w:ascii="Times New Roman" w:eastAsia="Sitka Banner" w:hAnsi="Times New Roman" w:cs="Times New Roman"/>
                <w:sz w:val="24"/>
                <w:szCs w:val="24"/>
              </w:rPr>
              <w:t xml:space="preserve"> + 3,3 X</w:t>
            </w:r>
            <w:r w:rsidRPr="00A52288">
              <w:rPr>
                <w:rFonts w:ascii="Times New Roman" w:eastAsia="Sitka Banner" w:hAnsi="Times New Roman" w:cs="Times New Roman"/>
                <w:sz w:val="24"/>
                <w:szCs w:val="24"/>
                <w:vertAlign w:val="subscript"/>
              </w:rPr>
              <w:t>3</w:t>
            </w:r>
            <w:r w:rsidRPr="00B771AA">
              <w:rPr>
                <w:rFonts w:ascii="Times New Roman" w:eastAsia="Sitka Banner" w:hAnsi="Times New Roman" w:cs="Times New Roman"/>
                <w:sz w:val="24"/>
                <w:szCs w:val="24"/>
              </w:rPr>
              <w:t xml:space="preserve"> + 0,6 X</w:t>
            </w:r>
            <w:r w:rsidRPr="00A52288">
              <w:rPr>
                <w:rFonts w:ascii="Times New Roman" w:eastAsia="Sitka Banner" w:hAnsi="Times New Roman" w:cs="Times New Roman"/>
                <w:sz w:val="24"/>
                <w:szCs w:val="24"/>
                <w:vertAlign w:val="subscript"/>
              </w:rPr>
              <w:t>4</w:t>
            </w:r>
            <w:r w:rsidRPr="00B771AA">
              <w:rPr>
                <w:rFonts w:ascii="Times New Roman" w:eastAsia="Sitka Banner" w:hAnsi="Times New Roman" w:cs="Times New Roman"/>
                <w:sz w:val="24"/>
                <w:szCs w:val="24"/>
              </w:rPr>
              <w:t xml:space="preserve"> + 1,0 X</w:t>
            </w:r>
            <w:r w:rsidRPr="00A52288">
              <w:rPr>
                <w:rFonts w:ascii="Times New Roman" w:eastAsia="Sitka Banner" w:hAnsi="Times New Roman" w:cs="Times New Roman"/>
                <w:sz w:val="24"/>
                <w:szCs w:val="24"/>
                <w:vertAlign w:val="subscript"/>
              </w:rPr>
              <w:t>5</w:t>
            </w:r>
          </w:p>
        </w:tc>
        <w:tc>
          <w:tcPr>
            <w:tcW w:w="3006" w:type="dxa"/>
          </w:tcPr>
          <w:p w14:paraId="46F77731" w14:textId="3C0ADAFB" w:rsidR="00FE55D6" w:rsidRPr="00B771AA" w:rsidRDefault="00133954" w:rsidP="00B771AA">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fldChar w:fldCharType="begin" w:fldLock="1"/>
            </w:r>
            <w:r w:rsidR="0047623D" w:rsidRPr="00B771AA">
              <w:rPr>
                <w:rFonts w:ascii="Times New Roman" w:eastAsia="Sitka Banner" w:hAnsi="Times New Roman" w:cs="Times New Roman"/>
                <w:sz w:val="24"/>
                <w:szCs w:val="24"/>
              </w:rPr>
              <w:instrText>ADDIN CSL_CITATION {"citationItems":[{"id":"ITEM-1","itemData":{"abstract":"Participation in the ONS Foundation-supported Breast Cancer Care Quality Measures Set pilot study defined areas of need for compliance with proposed standards. Key outcomes were the revision of nursing assessment and documentation tools. Subsequent to those efforts, a walking track was made available for patients within the clinical cancer center. The track serves as an exercise resource for patients and family members to use while waiting for and after appointments. The planning involved multiple disciplines, and criteria established by the multidisciplinary team defined what group of patients should be advised of or encouraged to use the walking track without provider consultation. The scheduled nurse-patient education appointment prior to start of chemotherapy provides the venue for the discussion. The goal is to assist patients in staying active during and after treatment.","author":[{"dropping-particle":"","family":"Altman","given":"Edward I","non-dropping-particle":"","parse-names":false,"suffix":""}],"container-title":"The Journal ofFinance","id":"ITEM-1","issue":"9","issued":{"date-parts":[["1968"]]},"page":"589-609","title":"Financial Ratios, Discriminant Analysis and the Prediction of Corporate Bankruptcy","type":"article-journal","volume":"23"},"uris":["http://www.mendeley.com/documents/?uuid=a45a970c-8e01-44d2-b938-237ac9b4628b"]},{"id":"ITEM-2","itemData":{"DOI":"10.1016/j.irfa.2023.102561","ISSN":"1057-5219","author":[{"dropping-particle":"","family":"Lagasio","given":"Valentina","non-dropping-particle":"","parse-names":false,"suffix":""},{"dropping-particle":"","family":"Brogi","given":"Marina","non-dropping-particle":"","parse-names":false,"suffix":""},{"dropping-particle":"","family":"Gallucci","given":"Carmen","non-dropping-particle":"","parse-names":false,"suffix":""},{"dropping-particle":"","family":"Santulli","given":"Rosalia","non-dropping-particle":"","parse-names":false,"suffix":""}],"container-title":"International Review of Financial Analysis","id":"ITEM-2","issue":"February","issued":{"date-parts":[["2023"]]},"page":"102561","publisher":"Elsevier Inc.","title":"May board committees reduce the probability of financial distress? A survival analysis on Italian listed companies Valentina","type":"article-journal","volume":"87"},"uris":["http://www.mendeley.com/documents/?uuid=556ff413-0681-4dd3-ab61-68c2540076a0"]}],"mendeley":{"formattedCitation":"(Altman, 1968; Lagasio et al., 2023)","plainTextFormattedCitation":"(Altman, 1968; Lagasio et al., 2023)","previouslyFormattedCitation":"(Altman, 1968; Lagasio et al., 2023)"},"properties":{"noteIndex":0},"schema":"https://github.com/citation-style-language/schema/raw/master/csl-citation.json"}</w:instrText>
            </w:r>
            <w:r w:rsidRPr="00B771AA">
              <w:rPr>
                <w:rFonts w:ascii="Times New Roman" w:eastAsia="Sitka Banner" w:hAnsi="Times New Roman" w:cs="Times New Roman"/>
                <w:sz w:val="24"/>
                <w:szCs w:val="24"/>
              </w:rPr>
              <w:fldChar w:fldCharType="separate"/>
            </w:r>
            <w:r w:rsidRPr="00B771AA">
              <w:rPr>
                <w:rFonts w:ascii="Times New Roman" w:eastAsia="Sitka Banner" w:hAnsi="Times New Roman" w:cs="Times New Roman"/>
                <w:noProof/>
                <w:sz w:val="24"/>
                <w:szCs w:val="24"/>
              </w:rPr>
              <w:t>(Altman, 1968; Lagasio et al., 2023)</w:t>
            </w:r>
            <w:r w:rsidRPr="00B771AA">
              <w:rPr>
                <w:rFonts w:ascii="Times New Roman" w:eastAsia="Sitka Banner" w:hAnsi="Times New Roman" w:cs="Times New Roman"/>
                <w:sz w:val="24"/>
                <w:szCs w:val="24"/>
              </w:rPr>
              <w:fldChar w:fldCharType="end"/>
            </w:r>
          </w:p>
        </w:tc>
      </w:tr>
      <w:tr w:rsidR="006043F1" w:rsidRPr="00B771AA" w14:paraId="1214A75A" w14:textId="77777777" w:rsidTr="00344D38">
        <w:tc>
          <w:tcPr>
            <w:tcW w:w="2785" w:type="dxa"/>
          </w:tcPr>
          <w:p w14:paraId="54ED741A" w14:textId="2514FA33" w:rsidR="006043F1" w:rsidRPr="00B771AA" w:rsidRDefault="006043F1" w:rsidP="00B771AA">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t>Independen</w:t>
            </w:r>
            <w:r w:rsidR="004D525A">
              <w:rPr>
                <w:rFonts w:ascii="Times New Roman" w:eastAsia="Sitka Banner" w:hAnsi="Times New Roman" w:cs="Times New Roman"/>
                <w:sz w:val="24"/>
                <w:szCs w:val="24"/>
              </w:rPr>
              <w:t>t Variable</w:t>
            </w:r>
          </w:p>
        </w:tc>
        <w:tc>
          <w:tcPr>
            <w:tcW w:w="3225" w:type="dxa"/>
          </w:tcPr>
          <w:p w14:paraId="348BE53C" w14:textId="77777777" w:rsidR="006043F1" w:rsidRPr="00B771AA" w:rsidRDefault="006043F1" w:rsidP="00B771AA">
            <w:pPr>
              <w:spacing w:line="240" w:lineRule="auto"/>
              <w:jc w:val="both"/>
              <w:rPr>
                <w:rFonts w:ascii="Times New Roman" w:eastAsia="Sitka Banner" w:hAnsi="Times New Roman" w:cs="Times New Roman"/>
                <w:sz w:val="24"/>
                <w:szCs w:val="24"/>
              </w:rPr>
            </w:pPr>
          </w:p>
        </w:tc>
        <w:tc>
          <w:tcPr>
            <w:tcW w:w="3006" w:type="dxa"/>
          </w:tcPr>
          <w:p w14:paraId="75E5F5D3" w14:textId="77777777" w:rsidR="006043F1" w:rsidRPr="00B771AA" w:rsidRDefault="006043F1" w:rsidP="00B771AA">
            <w:pPr>
              <w:spacing w:line="240" w:lineRule="auto"/>
              <w:jc w:val="both"/>
              <w:rPr>
                <w:rFonts w:ascii="Times New Roman" w:eastAsia="Sitka Banner" w:hAnsi="Times New Roman" w:cs="Times New Roman"/>
                <w:sz w:val="24"/>
                <w:szCs w:val="24"/>
              </w:rPr>
            </w:pPr>
          </w:p>
        </w:tc>
      </w:tr>
      <w:tr w:rsidR="006043F1" w:rsidRPr="00B771AA" w14:paraId="365B50F8" w14:textId="77777777" w:rsidTr="00344D38">
        <w:tc>
          <w:tcPr>
            <w:tcW w:w="2785" w:type="dxa"/>
          </w:tcPr>
          <w:p w14:paraId="5FED5ED0" w14:textId="6F040DD7" w:rsidR="006043F1" w:rsidRPr="00B771AA" w:rsidRDefault="006043F1" w:rsidP="00B771AA">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t>Politi</w:t>
            </w:r>
            <w:r w:rsidR="004D525A">
              <w:rPr>
                <w:rFonts w:ascii="Times New Roman" w:eastAsia="Sitka Banner" w:hAnsi="Times New Roman" w:cs="Times New Roman"/>
                <w:sz w:val="24"/>
                <w:szCs w:val="24"/>
              </w:rPr>
              <w:t>cal</w:t>
            </w:r>
            <w:r w:rsidRPr="00B771AA">
              <w:rPr>
                <w:rFonts w:ascii="Times New Roman" w:eastAsia="Sitka Banner" w:hAnsi="Times New Roman" w:cs="Times New Roman"/>
                <w:sz w:val="24"/>
                <w:szCs w:val="24"/>
              </w:rPr>
              <w:t xml:space="preserve"> </w:t>
            </w:r>
            <w:r w:rsidR="004D525A">
              <w:rPr>
                <w:rFonts w:ascii="Times New Roman" w:eastAsia="Sitka Banner" w:hAnsi="Times New Roman" w:cs="Times New Roman"/>
                <w:sz w:val="24"/>
                <w:szCs w:val="24"/>
              </w:rPr>
              <w:t>Stability (PS)</w:t>
            </w:r>
          </w:p>
        </w:tc>
        <w:tc>
          <w:tcPr>
            <w:tcW w:w="3225" w:type="dxa"/>
          </w:tcPr>
          <w:p w14:paraId="305B300C" w14:textId="7411479B" w:rsidR="006043F1" w:rsidRPr="00B771AA" w:rsidRDefault="00EB1607" w:rsidP="00B771AA">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t>(VA+PI+GE+RL+RQ+CC)/6</w:t>
            </w:r>
          </w:p>
        </w:tc>
        <w:tc>
          <w:tcPr>
            <w:tcW w:w="3006" w:type="dxa"/>
          </w:tcPr>
          <w:p w14:paraId="354F1813" w14:textId="370329EA" w:rsidR="006043F1" w:rsidRPr="00B771AA" w:rsidRDefault="00145BEE" w:rsidP="00B771AA">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fldChar w:fldCharType="begin" w:fldLock="1"/>
            </w:r>
            <w:r w:rsidRPr="00B771AA">
              <w:rPr>
                <w:rFonts w:ascii="Times New Roman" w:eastAsia="Sitka Banner" w:hAnsi="Times New Roman" w:cs="Times New Roman"/>
                <w:sz w:val="24"/>
                <w:szCs w:val="24"/>
              </w:rPr>
              <w:instrText>ADDIN CSL_CITATION {"citationItems":[{"id":"ITEM-1","itemData":{"author":[{"dropping-particle":"","family":"Kaufmann","given":"Daniel","non-dropping-particle":"","parse-names":false,"suffix":""},{"dropping-particle":"","family":"Kraay","given":"Aart","non-dropping-particle":"","parse-names":false,"suffix":""},{"dropping-particle":"","family":"The","given":"Massimo Mastruzzi","non-dropping-particle":"","parse-names":false,"suffix":""},{"dropping-particle":"","family":"Bank","given":"World","non-dropping-particle":"","parse-names":false,"suffix":""}],"id":"ITEM-1","issue":"September","issued":{"date-parts":[["2010"]]},"title":"Worldwide Governance Indicator","type":"article-journal"},"uris":["http://www.mendeley.com/documents/?uuid=b17cd238-032f-4dc2-93e3-69d2e27f70da"]}],"mendeley":{"formattedCitation":"(Kaufmann et al., 2010)","plainTextFormattedCitation":"(Kaufmann et al., 2010)","previouslyFormattedCitation":"(Kaufmann et al., 2010)"},"properties":{"noteIndex":0},"schema":"https://github.com/citation-style-language/schema/raw/master/csl-citation.json"}</w:instrText>
            </w:r>
            <w:r w:rsidRPr="00B771AA">
              <w:rPr>
                <w:rFonts w:ascii="Times New Roman" w:eastAsia="Sitka Banner" w:hAnsi="Times New Roman" w:cs="Times New Roman"/>
                <w:sz w:val="24"/>
                <w:szCs w:val="24"/>
              </w:rPr>
              <w:fldChar w:fldCharType="separate"/>
            </w:r>
            <w:r w:rsidRPr="00B771AA">
              <w:rPr>
                <w:rFonts w:ascii="Times New Roman" w:eastAsia="Sitka Banner" w:hAnsi="Times New Roman" w:cs="Times New Roman"/>
                <w:noProof/>
                <w:sz w:val="24"/>
                <w:szCs w:val="24"/>
              </w:rPr>
              <w:t>(Kaufmann et al., 2010)</w:t>
            </w:r>
            <w:r w:rsidRPr="00B771AA">
              <w:rPr>
                <w:rFonts w:ascii="Times New Roman" w:eastAsia="Sitka Banner" w:hAnsi="Times New Roman" w:cs="Times New Roman"/>
                <w:sz w:val="24"/>
                <w:szCs w:val="24"/>
              </w:rPr>
              <w:fldChar w:fldCharType="end"/>
            </w:r>
          </w:p>
        </w:tc>
      </w:tr>
      <w:tr w:rsidR="006043F1" w:rsidRPr="00B771AA" w14:paraId="6B676C67" w14:textId="77777777" w:rsidTr="00344D38">
        <w:tc>
          <w:tcPr>
            <w:tcW w:w="2785" w:type="dxa"/>
          </w:tcPr>
          <w:p w14:paraId="5976FFC9" w14:textId="647FB905" w:rsidR="006043F1" w:rsidRPr="00B771AA" w:rsidRDefault="006043F1" w:rsidP="00B771AA">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t>Profitabilt</w:t>
            </w:r>
            <w:r w:rsidR="004D525A">
              <w:rPr>
                <w:rFonts w:ascii="Times New Roman" w:eastAsia="Sitka Banner" w:hAnsi="Times New Roman" w:cs="Times New Roman"/>
                <w:sz w:val="24"/>
                <w:szCs w:val="24"/>
              </w:rPr>
              <w:t>y (PRO)</w:t>
            </w:r>
          </w:p>
        </w:tc>
        <w:tc>
          <w:tcPr>
            <w:tcW w:w="3225" w:type="dxa"/>
          </w:tcPr>
          <w:p w14:paraId="453F97E3" w14:textId="3EDB9B63" w:rsidR="006043F1" w:rsidRPr="00B771AA" w:rsidRDefault="00572760" w:rsidP="00B771AA">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t>EAT/Ekuitas</w:t>
            </w:r>
          </w:p>
        </w:tc>
        <w:tc>
          <w:tcPr>
            <w:tcW w:w="3006" w:type="dxa"/>
          </w:tcPr>
          <w:p w14:paraId="33B2BF73" w14:textId="3C9E67D8" w:rsidR="006043F1" w:rsidRPr="00B771AA" w:rsidRDefault="005C076E" w:rsidP="00344D38">
            <w:pPr>
              <w:spacing w:line="240" w:lineRule="auto"/>
              <w:rPr>
                <w:rFonts w:ascii="Times New Roman" w:eastAsia="Sitka Banner" w:hAnsi="Times New Roman" w:cs="Times New Roman"/>
                <w:sz w:val="24"/>
                <w:szCs w:val="24"/>
              </w:rPr>
            </w:pPr>
            <w:r w:rsidRPr="00B771AA">
              <w:rPr>
                <w:rFonts w:ascii="Times New Roman" w:hAnsi="Times New Roman" w:cs="Times New Roman"/>
                <w:sz w:val="24"/>
                <w:szCs w:val="24"/>
              </w:rPr>
              <w:fldChar w:fldCharType="begin" w:fldLock="1"/>
            </w:r>
            <w:r w:rsidRPr="00B771AA">
              <w:rPr>
                <w:rFonts w:ascii="Times New Roman" w:hAnsi="Times New Roman" w:cs="Times New Roman"/>
                <w:sz w:val="24"/>
                <w:szCs w:val="24"/>
              </w:rPr>
              <w:instrText>ADDIN CSL_CITATION {"citationItems":[{"id":"ITEM-1","itemData":{"DOI":"10.38043/jiab.v7i2.3692","ISSN":"2528-1216","abstract":"Kinerja Keuangan Ditinjau Dari Analisis Rasio Profitabilitas (Studi Pada PT Erajaya Swasembada Periode 2018-2021). Tujuan penelitian ini untuk dapat melihat kinerja keuangan perusahaan ditinjau dari analisis rasio profitabilitas pada PT Erajaya Swasembada periode 2018-2021.Metode penelitian yang digunakan yaitu deskriptif kualitatif. Sumber data berasal dari data laporan keuangan PT Erajaya Swasembada (data sekunder) pada periode 2018-2021. Hasil penelitian ditemukan bahwa kinerja keuangan perusahaan berdasarkan rasio profitabilitas diantaranya menggunakan Net Profit Margin (NPM),Return On Asset (ROA), Return On Equity (ROE), dan Gross Profit Margin (GPM)masih belum mencapai standar industri. Meskipun terlihat bahwa penjualan PT Erajaya Swasembada tergolong besar bahkan mengalami peningkatan secara signifikan namun belum tentu dapat dikategorikan perusahaan memiliki kinerja yang baik. Laba yang dihasilkan perusahaan juga harus dapat mengcover aset dan ekuitas perusahaan sehingga dapat dikatakan kinerja keuangan baik namun pada PT Erajaya Swasembada laba belum dapat mengembalikan aset dan modal melihat belum tercapainya standar industri rasio profitabilitas. Kondisi ini menunjukkan bahwa PT Erajaya Swasembada perlu melakukan evaluasi dan meningkatkan efisiensi serta efektivitas pengelolaan laba, aset dan ekuitas guna meningkatkan profitabilitas PT Erajaya Swasembada.","author":[{"dropping-particle":"","family":"Sukmawati","given":"Vita Diah","non-dropping-particle":"","parse-names":false,"suffix":""},{"dropping-particle":"","family":"Soviana","given":"Hanik","non-dropping-particle":"","parse-names":false,"suffix":""},{"dropping-particle":"","family":"Ariyantina","given":"Bheta","non-dropping-particle":"","parse-names":false,"suffix":""},{"dropping-particle":"","family":"Citradewi","given":"Adelina","non-dropping-particle":"","parse-names":false,"suffix":""}],"container-title":"Jurnal Ilmiah Akuntansi dan Bisnis","id":"ITEM-1","issue":"2","issued":{"date-parts":[["2022","12","25"]]},"page":"189-206","title":"Kinerja Keuangan Ditinjau Dari Analisis Rasio Profitabilitas (Studi Pada Pt Erajaya Swasembada Periode 2018-2021)","type":"article-journal","volume":"7"},"uris":["http://www.mendeley.com/documents/?uuid=9a29d90d-d17b-4231-ac6f-37406fe76d50"]},{"id":"ITEM-2","itemData":{"DOI":"10.56943/joe.v2i3.355","ISSN":"2809-8501","abstract":"The ability of a company to compete is determined by the company’s performance. If there is a lack of effectiveness in the company’s performance, then company leaders can take the right action to ensure that things become more efficient. Moreover, performance measurement is closely related to the company’s financial condition. Every company should create and use financial reports in the process of managing the company’s finances. Therefore, this research is needed to find out the effect of profitability, liquidity, leverage, sales growth on financial distress in consumer and non-consumer cyclicals companies listed on the IDX during the 2019-2021. The sampling method used in this research is nonprobability sampling by applying purposive sampling technique. The sample used in this research consists of trading companies listed on the Indonesia Stock Exchange (IDX) during the 2019-2021 that are engaged in buying and selling activities without production. The results of this research indicate that (1) the profitability ratio measured using Return on Asset has a positive effect on financial distress; (2) the profitability ratio measured using Return on Equity has a negative effect on financial distress; (3) the liquidity ratio measured using the Current Ratio has no effect on financial distress; (4) the leverage ratio measured using the Debt Equity Ratio has an effect on financial distress; and (5) the sales growth ratio has no effect on financial distress in trading sector companies listed on the IDX during 2019-2021.","author":[{"dropping-particle":"","family":"Friska","given":"Gracelia","non-dropping-particle":"","parse-names":false,"suffix":""},{"dropping-particle":"","family":"Pudjolaksono","given":"Drs. Eko","non-dropping-particle":"","parse-names":false,"suffix":""}],"container-title":"Journal of Entrepreneurship","id":"ITEM-2","issued":{"date-parts":[["2023","7","28"]]},"page":"93-106","title":"The Effect Of Profitability, Liquidity, Leverage, Sales Growth On Financial Distress In Consumer And Non-Consumer Cyclicals Companies Listed On The Idx During The 2019-2021","type":"article-journal"},"uris":["http://www.mendeley.com/documents/?uuid=fed351b5-9f69-4825-a032-cbd73e52579a"]}],"mendeley":{"formattedCitation":"(Friska &amp; Pudjolaksono, 2023; Sukmawati et al., 2022)","plainTextFormattedCitation":"(Friska &amp; Pudjolaksono, 2023; Sukmawati et al., 2022)","previouslyFormattedCitation":"(Friska &amp; Pudjolaksono, 2023; Sukmawati et al., 2022)"},"properties":{"noteIndex":0},"schema":"https://github.com/citation-style-language/schema/raw/master/csl-citation.json"}</w:instrText>
            </w:r>
            <w:r w:rsidRPr="00B771AA">
              <w:rPr>
                <w:rFonts w:ascii="Times New Roman" w:hAnsi="Times New Roman" w:cs="Times New Roman"/>
                <w:sz w:val="24"/>
                <w:szCs w:val="24"/>
              </w:rPr>
              <w:fldChar w:fldCharType="separate"/>
            </w:r>
            <w:r w:rsidRPr="00B771AA">
              <w:rPr>
                <w:rFonts w:ascii="Times New Roman" w:hAnsi="Times New Roman" w:cs="Times New Roman"/>
                <w:noProof/>
                <w:sz w:val="24"/>
                <w:szCs w:val="24"/>
              </w:rPr>
              <w:t>(Friska &amp; Pudjolaksono, 2023; Sukmawati et al., 2022)</w:t>
            </w:r>
            <w:r w:rsidRPr="00B771AA">
              <w:rPr>
                <w:rFonts w:ascii="Times New Roman" w:hAnsi="Times New Roman" w:cs="Times New Roman"/>
                <w:sz w:val="24"/>
                <w:szCs w:val="24"/>
              </w:rPr>
              <w:fldChar w:fldCharType="end"/>
            </w:r>
            <w:r w:rsidRPr="00B771AA">
              <w:rPr>
                <w:rFonts w:ascii="Times New Roman" w:hAnsi="Times New Roman" w:cs="Times New Roman"/>
                <w:sz w:val="24"/>
                <w:szCs w:val="24"/>
              </w:rPr>
              <w:t>.</w:t>
            </w:r>
          </w:p>
        </w:tc>
      </w:tr>
      <w:tr w:rsidR="00A52288" w:rsidRPr="00B771AA" w14:paraId="4E8B3C62" w14:textId="77777777" w:rsidTr="00344D38">
        <w:tc>
          <w:tcPr>
            <w:tcW w:w="2785" w:type="dxa"/>
          </w:tcPr>
          <w:p w14:paraId="0D1B2FEF" w14:textId="3BD54EA6" w:rsidR="00A52288" w:rsidRPr="00B771AA" w:rsidRDefault="00A52288" w:rsidP="00D1156D">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t>Li</w:t>
            </w:r>
            <w:r w:rsidR="004D525A">
              <w:rPr>
                <w:rFonts w:ascii="Times New Roman" w:eastAsia="Sitka Banner" w:hAnsi="Times New Roman" w:cs="Times New Roman"/>
                <w:sz w:val="24"/>
                <w:szCs w:val="24"/>
              </w:rPr>
              <w:t>quidity (LIQ)</w:t>
            </w:r>
          </w:p>
        </w:tc>
        <w:tc>
          <w:tcPr>
            <w:tcW w:w="3225" w:type="dxa"/>
          </w:tcPr>
          <w:p w14:paraId="670AA3A0" w14:textId="77777777" w:rsidR="00A52288" w:rsidRPr="00B771AA" w:rsidRDefault="00A52288" w:rsidP="00D1156D">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t>Aset lancar/ Utang lancar</w:t>
            </w:r>
          </w:p>
        </w:tc>
        <w:tc>
          <w:tcPr>
            <w:tcW w:w="3006" w:type="dxa"/>
          </w:tcPr>
          <w:p w14:paraId="1E34115F" w14:textId="77777777" w:rsidR="00A52288" w:rsidRPr="00B771AA" w:rsidRDefault="00A52288" w:rsidP="00D1156D">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fldChar w:fldCharType="begin" w:fldLock="1"/>
            </w:r>
            <w:r w:rsidRPr="00B771AA">
              <w:rPr>
                <w:rFonts w:ascii="Times New Roman" w:eastAsia="Sitka Banner" w:hAnsi="Times New Roman" w:cs="Times New Roman"/>
                <w:sz w:val="24"/>
                <w:szCs w:val="24"/>
              </w:rPr>
              <w:instrText>ADDIN CSL_CITATION {"citationItems":[{"id":"ITEM-1","itemData":{"DOI":"10.24912/ijaeb.v1i2.814-827","ISSN":"2987-1972","abstract":"In this study, the causes of financial distress in manufacturing firms listed on the Indonesia Stock Exchange from 2018 to 2020 were investigated. These factors include profitability (as measured by return on assets [ROA]), liquidity (as measured by current ratio [CR]), sales growth (as measured by sales growth rate), leverage (as measured by debt to assets [DAR]), firm size (as measured by the logarithm of total assets), and operating capacity (as measured by total assets turnover [TATO]). Based on the purposive sampling strategy, 99 data from 33 organizations were chosen as research samples. The EViews 12 was used to test the data processing in this investigation. This study's analysis employed a multiple regression analysis approach. The findings of this study indicate that financial distress is significantly and negatively influenced by firm size. Profitability, liquidity, and operating capacity, on the other hand, have a positive and significant impact on financial distress. Leverage and sales growth have no impact on financial distress.","author":[{"dropping-particle":"","family":"Salim","given":"Agusti Fransisca","non-dropping-particle":"","parse-names":false,"suffix":""},{"dropping-particle":"","family":"Yanti","given":"Yanti","non-dropping-particle":"","parse-names":false,"suffix":""}],"container-title":"International Journal of Application on Economics and Business","id":"ITEM-1","issue":"2","issued":{"date-parts":[["2023","8","6"]]},"page":"814-827","title":"Factors Affecting Financial Distress In Manufacturing Companies Listed On The Idx","type":"article-journal","volume":"1"},"uris":["http://www.mendeley.com/documents/?uuid=a0012bbd-440a-4391-9a2f-ab3f89c687ed"]},{"id":"ITEM-2","itemData":{"abstract":"Covid-19 has directly and significantly impacted economic conditions, both in the real sector and the capital market. In the Capital Market, a stock index is often the target of investors, namely the LQ45 index. The LQ45 index is one of the stock index indicators on the Indonesia Stock Exchange, which can be used as a reference for assessing stock trading performance. The increase and decrease in the LQ45 Index is a benchmark for investors to invest their funds. One of the actions companies can take to make financial reports look better is increasing company profits (profitability). One of the indicators used in profitability ratios is return on assets (ROA) and return on equity (ROE). In addition, various factors can affect business profitability, including leverage and liquidity, measured using the current ratio. This study researched profitability in various industrial sector companies regarding liquidity, leverage, and company size. This research shows that the CR variable has a positive and significant influence on ROA. The DER variable has a negative and significant influence on ROA. The CR variable has no significant effect on ROE. DER has a negative and significant influence on ROE .","author":[{"dropping-particle":"","family":"Hiba","given":"Hakan","non-dropping-particle":"","parse-names":false,"suffix":""},{"dropping-particle":"","family":"Prasetyo","given":"Andrian Budi","non-dropping-particle":"","parse-names":false,"suffix":""}],"container-title":"Diponegoro Journal of Accounting; Volume 13, Nomor 1, Tahun 2024","id":"ITEM-2","issued":{"date-parts":[["2024","1","12"]]},"title":"Pengaruh Rasio Likuiditas Dan Rasio Leverage Keuangan terhadap Profitabilitas Perusahaan","type":"article-journal"},"uris":["http://www.mendeley.com/documents/?uuid=0835e3e8-f366-4fc5-bfc5-c49820c33b00"]}],"mendeley":{"formattedCitation":"(Hiba &amp; Prasetyo, 2024; Salim &amp; Yanti, 2023)","plainTextFormattedCitation":"(Hiba &amp; Prasetyo, 2024; Salim &amp; Yanti, 2023)"},"properties":{"noteIndex":0},"schema":"https://github.com/citation-style-language/schema/raw/master/csl-citation.json"}</w:instrText>
            </w:r>
            <w:r w:rsidRPr="00B771AA">
              <w:rPr>
                <w:rFonts w:ascii="Times New Roman" w:eastAsia="Sitka Banner" w:hAnsi="Times New Roman" w:cs="Times New Roman"/>
                <w:sz w:val="24"/>
                <w:szCs w:val="24"/>
              </w:rPr>
              <w:fldChar w:fldCharType="separate"/>
            </w:r>
            <w:r w:rsidRPr="00B771AA">
              <w:rPr>
                <w:rFonts w:ascii="Times New Roman" w:eastAsia="Sitka Banner" w:hAnsi="Times New Roman" w:cs="Times New Roman"/>
                <w:noProof/>
                <w:sz w:val="24"/>
                <w:szCs w:val="24"/>
              </w:rPr>
              <w:t>(Hiba &amp; Prasetyo, 2024; Salim &amp; Yanti, 2023)</w:t>
            </w:r>
            <w:r w:rsidRPr="00B771AA">
              <w:rPr>
                <w:rFonts w:ascii="Times New Roman" w:eastAsia="Sitka Banner" w:hAnsi="Times New Roman" w:cs="Times New Roman"/>
                <w:sz w:val="24"/>
                <w:szCs w:val="24"/>
              </w:rPr>
              <w:fldChar w:fldCharType="end"/>
            </w:r>
          </w:p>
        </w:tc>
      </w:tr>
      <w:tr w:rsidR="00A52288" w:rsidRPr="00B771AA" w14:paraId="67F143DB" w14:textId="77777777" w:rsidTr="00344D38">
        <w:tc>
          <w:tcPr>
            <w:tcW w:w="2785" w:type="dxa"/>
          </w:tcPr>
          <w:p w14:paraId="4E985165" w14:textId="111A4E31" w:rsidR="00A52288" w:rsidRPr="00B771AA" w:rsidRDefault="00A52288" w:rsidP="00D1156D">
            <w:pPr>
              <w:spacing w:line="240" w:lineRule="auto"/>
              <w:jc w:val="both"/>
              <w:rPr>
                <w:rFonts w:ascii="Times New Roman" w:eastAsia="Sitka Banner" w:hAnsi="Times New Roman" w:cs="Times New Roman"/>
                <w:sz w:val="24"/>
                <w:szCs w:val="24"/>
              </w:rPr>
            </w:pPr>
            <w:r>
              <w:rPr>
                <w:rFonts w:ascii="Times New Roman" w:eastAsia="Sitka Banner" w:hAnsi="Times New Roman" w:cs="Times New Roman"/>
                <w:sz w:val="24"/>
                <w:szCs w:val="24"/>
              </w:rPr>
              <w:t>Sales growth</w:t>
            </w:r>
            <w:r w:rsidR="004D525A">
              <w:rPr>
                <w:rFonts w:ascii="Times New Roman" w:eastAsia="Sitka Banner" w:hAnsi="Times New Roman" w:cs="Times New Roman"/>
                <w:sz w:val="24"/>
                <w:szCs w:val="24"/>
              </w:rPr>
              <w:t xml:space="preserve"> (GRW)</w:t>
            </w:r>
          </w:p>
        </w:tc>
        <w:tc>
          <w:tcPr>
            <w:tcW w:w="3225" w:type="dxa"/>
          </w:tcPr>
          <w:p w14:paraId="447768B5" w14:textId="5FAC3448" w:rsidR="00A52288" w:rsidRPr="00A52288" w:rsidRDefault="00A52288" w:rsidP="00D1156D">
            <w:pPr>
              <w:spacing w:line="240" w:lineRule="auto"/>
              <w:jc w:val="both"/>
              <w:rPr>
                <w:rFonts w:ascii="Times New Roman" w:eastAsia="Sitka Banner" w:hAnsi="Times New Roman" w:cs="Times New Roman"/>
                <w:sz w:val="24"/>
                <w:szCs w:val="24"/>
                <w:vertAlign w:val="subscript"/>
              </w:rPr>
            </w:pPr>
            <w:r>
              <w:rPr>
                <w:rFonts w:ascii="Times New Roman" w:eastAsia="Sitka Banner" w:hAnsi="Times New Roman" w:cs="Times New Roman"/>
                <w:sz w:val="24"/>
                <w:szCs w:val="24"/>
              </w:rPr>
              <w:t>(Sales</w:t>
            </w:r>
            <w:r>
              <w:rPr>
                <w:rFonts w:ascii="Times New Roman" w:eastAsia="Sitka Banner" w:hAnsi="Times New Roman" w:cs="Times New Roman"/>
                <w:sz w:val="24"/>
                <w:szCs w:val="24"/>
                <w:vertAlign w:val="subscript"/>
              </w:rPr>
              <w:t>t</w:t>
            </w:r>
            <w:r>
              <w:rPr>
                <w:rFonts w:ascii="Times New Roman" w:eastAsia="Sitka Banner" w:hAnsi="Times New Roman" w:cs="Times New Roman"/>
                <w:sz w:val="24"/>
                <w:szCs w:val="24"/>
              </w:rPr>
              <w:t xml:space="preserve"> – Sales</w:t>
            </w:r>
            <w:r>
              <w:rPr>
                <w:rFonts w:ascii="Times New Roman" w:eastAsia="Sitka Banner" w:hAnsi="Times New Roman" w:cs="Times New Roman"/>
                <w:sz w:val="24"/>
                <w:szCs w:val="24"/>
                <w:vertAlign w:val="subscript"/>
              </w:rPr>
              <w:t>t-1</w:t>
            </w:r>
            <w:r>
              <w:rPr>
                <w:rFonts w:ascii="Times New Roman" w:eastAsia="Sitka Banner" w:hAnsi="Times New Roman" w:cs="Times New Roman"/>
                <w:sz w:val="24"/>
                <w:szCs w:val="24"/>
              </w:rPr>
              <w:t>)</w:t>
            </w:r>
            <w:r w:rsidRPr="00B771AA">
              <w:rPr>
                <w:rFonts w:ascii="Times New Roman" w:eastAsia="Sitka Banner" w:hAnsi="Times New Roman" w:cs="Times New Roman"/>
                <w:sz w:val="24"/>
                <w:szCs w:val="24"/>
              </w:rPr>
              <w:t>/</w:t>
            </w:r>
            <w:r>
              <w:rPr>
                <w:rFonts w:ascii="Times New Roman" w:eastAsia="Sitka Banner" w:hAnsi="Times New Roman" w:cs="Times New Roman"/>
                <w:sz w:val="24"/>
                <w:szCs w:val="24"/>
              </w:rPr>
              <w:t>Sales</w:t>
            </w:r>
            <w:r>
              <w:rPr>
                <w:rFonts w:ascii="Times New Roman" w:eastAsia="Sitka Banner" w:hAnsi="Times New Roman" w:cs="Times New Roman"/>
                <w:sz w:val="24"/>
                <w:szCs w:val="24"/>
                <w:vertAlign w:val="subscript"/>
              </w:rPr>
              <w:t>t-1</w:t>
            </w:r>
          </w:p>
        </w:tc>
        <w:tc>
          <w:tcPr>
            <w:tcW w:w="3006" w:type="dxa"/>
          </w:tcPr>
          <w:p w14:paraId="33F8B980" w14:textId="3438B4D8" w:rsidR="00A52288" w:rsidRPr="00B771AA" w:rsidRDefault="00A52288" w:rsidP="00D1156D">
            <w:pPr>
              <w:spacing w:line="240" w:lineRule="auto"/>
              <w:jc w:val="both"/>
              <w:rPr>
                <w:rFonts w:ascii="Times New Roman" w:eastAsia="Sitka Banner" w:hAnsi="Times New Roman" w:cs="Times New Roman"/>
                <w:sz w:val="24"/>
                <w:szCs w:val="24"/>
              </w:rPr>
            </w:pPr>
            <w:r w:rsidRPr="00B771AA">
              <w:rPr>
                <w:rFonts w:ascii="Times New Roman" w:eastAsia="Sitka Banner" w:hAnsi="Times New Roman" w:cs="Times New Roman"/>
                <w:sz w:val="24"/>
                <w:szCs w:val="24"/>
              </w:rPr>
              <w:fldChar w:fldCharType="begin" w:fldLock="1"/>
            </w:r>
            <w:r w:rsidRPr="00B771AA">
              <w:rPr>
                <w:rFonts w:ascii="Times New Roman" w:eastAsia="Sitka Banner" w:hAnsi="Times New Roman" w:cs="Times New Roman"/>
                <w:sz w:val="24"/>
                <w:szCs w:val="24"/>
              </w:rPr>
              <w:instrText>ADDIN CSL_CITATION {"citationItems":[{"id":"ITEM-1","itemData":{"DOI":"10.24912/ijaeb.v1i2.814-827","ISSN":"2987-1972","abstract":"In this study, the causes of financial distress in manufacturing firms listed on the Indonesia Stock Exchange from 2018 to 2020 were investigated. These factors include profitability (as measured by return on assets [ROA]), liquidity (as measured by current ratio [CR]), sales growth (as measured by sales growth rate), leverage (as measured by debt to assets [DAR]), firm size (as measured by the logarithm of total assets), and operating capacity (as measured by total assets turnover [TATO]). Based on the purposive sampling strategy, 99 data from 33 organizations were chosen as research samples. The EViews 12 was used to test the data processing in this investigation. This study's analysis employed a multiple regression analysis approach. The findings of this study indicate that financial distress is significantly and negatively influenced by firm size. Profitability, liquidity, and operating capacity, on the other hand, have a positive and significant impact on financial distress. Leverage and sales growth have no impact on financial distress.","author":[{"dropping-particle":"","family":"Salim","given":"Agusti Fransisca","non-dropping-particle":"","parse-names":false,"suffix":""},{"dropping-particle":"","family":"Yanti","given":"Yanti","non-dropping-particle":"","parse-names":false,"suffix":""}],"container-title":"International Journal of Application on Economics and Business","id":"ITEM-1","issue":"2","issued":{"date-parts":[["2023","8","6"]]},"page":"814-827","title":"Factors Affecting Financial Distress In Manufacturing Companies Listed On The Idx","type":"article-journal","volume":"1"},"uris":["http://www.mendeley.com/documents/?uuid=a0012bbd-440a-4391-9a2f-ab3f89c687ed"]},{"id":"ITEM-2","itemData":{"abstract":"Covid-19 has directly and significantly impacted economic conditions, both in the real sector and the capital market. In the Capital Market, a stock index is often the target of investors, namely the LQ45 index. The LQ45 index is one of the stock index indicators on the Indonesia Stock Exchange, which can be used as a reference for assessing stock trading performance. The increase and decrease in the LQ45 Index is a benchmark for investors to invest their funds. One of the actions companies can take to make financial reports look better is increasing company profits (profitability). One of the indicators used in profitability ratios is return on assets (ROA) and return on equity (ROE). In addition, various factors can affect business profitability, including leverage and liquidity, measured using the current ratio. This study researched profitability in various industrial sector companies regarding liquidity, leverage, and company size. This research shows that the CR variable has a positive and significant influence on ROA. The DER variable has a negative and significant influence on ROA. The CR variable has no significant effect on ROE. DER has a negative and significant influence on ROE .","author":[{"dropping-particle":"","family":"Hiba","given":"Hakan","non-dropping-particle":"","parse-names":false,"suffix":""},{"dropping-particle":"","family":"Prasetyo","given":"Andrian Budi","non-dropping-particle":"","parse-names":false,"suffix":""}],"container-title":"Diponegoro Journal of Accounting; Volume 13, Nomor 1, Tahun 2024","id":"ITEM-2","issued":{"date-parts":[["2024","1","12"]]},"title":"Pengaruh Rasio Likuiditas Dan Rasio Leverage Keuangan terhadap Profitabilitas Perusahaan","type":"article-journal"},"uris":["http://www.mendeley.com/documents/?uuid=0835e3e8-f366-4fc5-bfc5-c49820c33b00"]}],"mendeley":{"formattedCitation":"(Hiba &amp; Prasetyo, 2024; Salim &amp; Yanti, 2023)","plainTextFormattedCitation":"(Hiba &amp; Prasetyo, 2024; Salim &amp; Yanti, 2023)"},"properties":{"noteIndex":0},"schema":"https://github.com/citation-style-language/schema/raw/master/csl-citation.json"}</w:instrText>
            </w:r>
            <w:r w:rsidRPr="00B771AA">
              <w:rPr>
                <w:rFonts w:ascii="Times New Roman" w:eastAsia="Sitka Banner" w:hAnsi="Times New Roman" w:cs="Times New Roman"/>
                <w:sz w:val="24"/>
                <w:szCs w:val="24"/>
              </w:rPr>
              <w:fldChar w:fldCharType="end"/>
            </w:r>
            <w:r w:rsidR="000A1129" w:rsidRPr="00B771AA">
              <w:rPr>
                <w:rFonts w:ascii="Times New Roman" w:eastAsia="Sitka Banner" w:hAnsi="Times New Roman" w:cs="Times New Roman"/>
                <w:sz w:val="24"/>
                <w:szCs w:val="24"/>
              </w:rPr>
              <w:t xml:space="preserve"> </w:t>
            </w:r>
            <w:r w:rsidR="000A1129" w:rsidRPr="00B771AA">
              <w:rPr>
                <w:rFonts w:ascii="Times New Roman" w:eastAsia="Sitka Banner" w:hAnsi="Times New Roman" w:cs="Times New Roman"/>
                <w:noProof/>
                <w:sz w:val="24"/>
                <w:szCs w:val="24"/>
              </w:rPr>
              <w:t>(Datun &amp; Indrati, 2022</w:t>
            </w:r>
            <w:r w:rsidR="000A1129">
              <w:rPr>
                <w:rFonts w:ascii="Times New Roman" w:eastAsia="Sitka Banner" w:hAnsi="Times New Roman" w:cs="Times New Roman"/>
                <w:noProof/>
                <w:sz w:val="24"/>
                <w:szCs w:val="24"/>
              </w:rPr>
              <w:t>)</w:t>
            </w:r>
          </w:p>
        </w:tc>
      </w:tr>
      <w:tr w:rsidR="006043F1" w:rsidRPr="00B771AA" w14:paraId="6AAB4D8D" w14:textId="77777777" w:rsidTr="00344D38">
        <w:tc>
          <w:tcPr>
            <w:tcW w:w="2785" w:type="dxa"/>
          </w:tcPr>
          <w:p w14:paraId="2251B94F" w14:textId="4EECF311" w:rsidR="006043F1" w:rsidRPr="00B771AA" w:rsidRDefault="00A52288" w:rsidP="00B771AA">
            <w:pPr>
              <w:spacing w:line="240" w:lineRule="auto"/>
              <w:jc w:val="both"/>
              <w:rPr>
                <w:rFonts w:ascii="Times New Roman" w:eastAsia="Sitka Banner" w:hAnsi="Times New Roman" w:cs="Times New Roman"/>
                <w:sz w:val="24"/>
                <w:szCs w:val="24"/>
              </w:rPr>
            </w:pPr>
            <w:r>
              <w:rPr>
                <w:rFonts w:ascii="Times New Roman" w:eastAsia="Sitka Banner" w:hAnsi="Times New Roman" w:cs="Times New Roman"/>
                <w:sz w:val="24"/>
                <w:szCs w:val="24"/>
              </w:rPr>
              <w:t>Age</w:t>
            </w:r>
          </w:p>
        </w:tc>
        <w:tc>
          <w:tcPr>
            <w:tcW w:w="3225" w:type="dxa"/>
          </w:tcPr>
          <w:p w14:paraId="343EC937" w14:textId="780658F6" w:rsidR="006043F1" w:rsidRPr="00B771AA" w:rsidRDefault="00A52288" w:rsidP="00B771AA">
            <w:pPr>
              <w:spacing w:line="240" w:lineRule="auto"/>
              <w:jc w:val="both"/>
              <w:rPr>
                <w:rFonts w:ascii="Times New Roman" w:eastAsia="Sitka Banner" w:hAnsi="Times New Roman" w:cs="Times New Roman"/>
                <w:sz w:val="24"/>
                <w:szCs w:val="24"/>
              </w:rPr>
            </w:pPr>
            <w:r>
              <w:rPr>
                <w:rFonts w:ascii="Times New Roman" w:eastAsia="Sitka Banner" w:hAnsi="Times New Roman" w:cs="Times New Roman"/>
                <w:sz w:val="24"/>
                <w:szCs w:val="24"/>
              </w:rPr>
              <w:t>Age of company</w:t>
            </w:r>
          </w:p>
        </w:tc>
        <w:tc>
          <w:tcPr>
            <w:tcW w:w="3006" w:type="dxa"/>
          </w:tcPr>
          <w:p w14:paraId="67BA21B0" w14:textId="7E7E8A3F" w:rsidR="006043F1" w:rsidRPr="00B771AA" w:rsidRDefault="000A1129" w:rsidP="00B771AA">
            <w:pPr>
              <w:spacing w:line="240" w:lineRule="auto"/>
              <w:jc w:val="both"/>
              <w:rPr>
                <w:rFonts w:ascii="Times New Roman" w:eastAsia="Sitka Banner" w:hAnsi="Times New Roman" w:cs="Times New Roman"/>
                <w:sz w:val="24"/>
                <w:szCs w:val="24"/>
              </w:rPr>
            </w:pPr>
            <w:r>
              <w:rPr>
                <w:rFonts w:ascii="Times New Roman" w:eastAsia="Sitka Banner" w:hAnsi="Times New Roman" w:cs="Times New Roman"/>
                <w:noProof/>
                <w:sz w:val="24"/>
                <w:szCs w:val="24"/>
              </w:rPr>
              <w:t>(</w:t>
            </w:r>
            <w:r w:rsidRPr="00B771AA">
              <w:rPr>
                <w:rFonts w:ascii="Times New Roman" w:eastAsia="Sitka Banner" w:hAnsi="Times New Roman" w:cs="Times New Roman"/>
                <w:noProof/>
                <w:sz w:val="24"/>
                <w:szCs w:val="24"/>
              </w:rPr>
              <w:t>Usman et al., 2022)</w:t>
            </w:r>
          </w:p>
        </w:tc>
      </w:tr>
    </w:tbl>
    <w:p w14:paraId="4FCE33D7" w14:textId="15E198C4" w:rsidR="00FE55D6" w:rsidRPr="00B771AA" w:rsidRDefault="00344D38" w:rsidP="00B771AA">
      <w:pPr>
        <w:spacing w:after="0" w:line="240" w:lineRule="auto"/>
        <w:jc w:val="both"/>
        <w:rPr>
          <w:rFonts w:ascii="Times New Roman" w:eastAsia="Sitka Banner" w:hAnsi="Times New Roman" w:cs="Times New Roman"/>
          <w:sz w:val="24"/>
          <w:szCs w:val="24"/>
        </w:rPr>
      </w:pPr>
      <w:r w:rsidRPr="00344D38">
        <w:rPr>
          <w:rFonts w:ascii="Times New Roman" w:eastAsia="Sitka Banner" w:hAnsi="Times New Roman" w:cs="Times New Roman"/>
          <w:sz w:val="24"/>
          <w:szCs w:val="24"/>
        </w:rPr>
        <w:t>Note for dummy variables: Value 1 if present, and value 0 if not present.</w:t>
      </w:r>
    </w:p>
    <w:p w14:paraId="50171C4D" w14:textId="77777777" w:rsidR="00B771AA" w:rsidRPr="00B771AA" w:rsidRDefault="00B771AA" w:rsidP="00B771AA">
      <w:pPr>
        <w:spacing w:after="0" w:line="240" w:lineRule="auto"/>
        <w:ind w:firstLine="720"/>
        <w:jc w:val="both"/>
        <w:rPr>
          <w:rFonts w:ascii="Times New Roman" w:eastAsia="Sitka Banner" w:hAnsi="Times New Roman" w:cs="Times New Roman"/>
          <w:sz w:val="24"/>
          <w:szCs w:val="24"/>
        </w:rPr>
      </w:pPr>
    </w:p>
    <w:p w14:paraId="5352D15E" w14:textId="77777777" w:rsidR="00344D38" w:rsidRPr="00344D38" w:rsidRDefault="00344D38" w:rsidP="00344D38">
      <w:pPr>
        <w:spacing w:after="0" w:line="240" w:lineRule="auto"/>
        <w:ind w:firstLine="720"/>
        <w:jc w:val="both"/>
        <w:rPr>
          <w:rFonts w:ascii="Times New Roman" w:eastAsia="Sitka Banner" w:hAnsi="Times New Roman" w:cs="Times New Roman"/>
          <w:sz w:val="24"/>
          <w:szCs w:val="24"/>
        </w:rPr>
      </w:pPr>
      <w:r w:rsidRPr="00344D38">
        <w:rPr>
          <w:rFonts w:ascii="Times New Roman" w:eastAsia="Sitka Banner" w:hAnsi="Times New Roman" w:cs="Times New Roman"/>
          <w:sz w:val="24"/>
          <w:szCs w:val="24"/>
        </w:rPr>
        <w:t>As control variables, this study added sales growth and company age. Sales growth reflects the company's revenue performance from year to year, while company age represents the level of maturity and operational experience that can affect resilience to financial distress (Datun &amp; Indrati, 2022; Usman et al., 2022). Political stability data was obtained from the official website of the World Bank, while financial data was obtained from the annual reports of each company and the official website of the Indonesia Stock Exchange (IDX).</w:t>
      </w:r>
    </w:p>
    <w:p w14:paraId="2B36D964" w14:textId="77777777" w:rsidR="00344D38" w:rsidRPr="00344D38" w:rsidRDefault="00344D38" w:rsidP="00344D38">
      <w:pPr>
        <w:spacing w:after="0" w:line="240" w:lineRule="auto"/>
        <w:ind w:firstLine="720"/>
        <w:jc w:val="both"/>
        <w:rPr>
          <w:rFonts w:ascii="Times New Roman" w:eastAsia="Sitka Banner" w:hAnsi="Times New Roman" w:cs="Times New Roman"/>
          <w:sz w:val="24"/>
          <w:szCs w:val="24"/>
        </w:rPr>
      </w:pPr>
    </w:p>
    <w:p w14:paraId="723EADC9" w14:textId="77777777" w:rsidR="00344D38" w:rsidRPr="00344D38" w:rsidRDefault="00344D38" w:rsidP="00344D38">
      <w:pPr>
        <w:spacing w:after="0" w:line="240" w:lineRule="auto"/>
        <w:jc w:val="both"/>
        <w:rPr>
          <w:rFonts w:ascii="Times New Roman" w:eastAsia="Sitka Banner" w:hAnsi="Times New Roman" w:cs="Times New Roman"/>
          <w:sz w:val="24"/>
          <w:szCs w:val="24"/>
        </w:rPr>
      </w:pPr>
      <w:r w:rsidRPr="00344D38">
        <w:rPr>
          <w:rFonts w:ascii="Times New Roman" w:eastAsia="Sitka Banner" w:hAnsi="Times New Roman" w:cs="Times New Roman"/>
          <w:sz w:val="24"/>
          <w:szCs w:val="24"/>
        </w:rPr>
        <w:t>Data Analysis</w:t>
      </w:r>
    </w:p>
    <w:p w14:paraId="5B45C46C" w14:textId="699DFDC4" w:rsidR="00280CEF" w:rsidRPr="00B771AA" w:rsidRDefault="00344D38" w:rsidP="00344D38">
      <w:pPr>
        <w:spacing w:after="0" w:line="240" w:lineRule="auto"/>
        <w:ind w:firstLine="720"/>
        <w:jc w:val="both"/>
        <w:rPr>
          <w:rFonts w:ascii="Times New Roman" w:eastAsia="Sitka Banner" w:hAnsi="Times New Roman" w:cs="Times New Roman"/>
          <w:sz w:val="24"/>
          <w:szCs w:val="24"/>
        </w:rPr>
      </w:pPr>
      <w:r w:rsidRPr="00344D38">
        <w:rPr>
          <w:rFonts w:ascii="Times New Roman" w:eastAsia="Sitka Banner" w:hAnsi="Times New Roman" w:cs="Times New Roman"/>
          <w:sz w:val="24"/>
          <w:szCs w:val="24"/>
        </w:rPr>
        <w:t>This study uses a quantitative approach with a causal associative research design that aims to determine the effect of political stability, profitability, and liquidity on financial distress in non-bank state-owned companies in Indonesia. According to Sugiyono &amp; Lestari (2021), the quantitative approach relies on numerical data processing and hypothesis testing, and is used to explain the relationship between variables through statistical analysis techniques. This study adopts a panel data logistic regression model, considering that the data used is a combination of time-series data (period 2019–2023) and cross-section (15 non-bank state-owned companies listed on the Indonesia Stock Exchange). This technique was chosen because it is able to handle data variability between times and between entities, as well as control heterogeneity and heteroscedasticity in observations (Gujarati, 2021). Data analysis was carried out with the help of Eviews 12 and SPSS software using panel logistic regression. With the following regression model equation:</w:t>
      </w:r>
    </w:p>
    <w:p w14:paraId="69D275FB" w14:textId="77777777" w:rsidR="00B771AA" w:rsidRPr="00B771AA" w:rsidRDefault="00B771AA" w:rsidP="00B771AA">
      <w:pPr>
        <w:spacing w:after="0" w:line="240" w:lineRule="auto"/>
        <w:ind w:firstLine="720"/>
        <w:jc w:val="both"/>
        <w:rPr>
          <w:rFonts w:ascii="Times New Roman" w:eastAsia="Sitka Banner" w:hAnsi="Times New Roman" w:cs="Times New Roman"/>
          <w:sz w:val="24"/>
          <w:szCs w:val="24"/>
        </w:rPr>
      </w:pPr>
    </w:p>
    <w:p w14:paraId="2C94E641" w14:textId="579F721A" w:rsidR="00280CEF" w:rsidRPr="00344D38" w:rsidRDefault="00280CEF" w:rsidP="00B771AA">
      <w:pPr>
        <w:tabs>
          <w:tab w:val="left" w:pos="2160"/>
          <w:tab w:val="left" w:pos="3060"/>
        </w:tabs>
        <w:spacing w:after="0" w:line="240" w:lineRule="auto"/>
        <w:rPr>
          <w:rFonts w:ascii="Times New Roman" w:hAnsi="Times New Roman" w:cs="Times New Roman"/>
          <w:sz w:val="24"/>
          <w:szCs w:val="24"/>
        </w:rPr>
      </w:pPr>
      <w:bookmarkStart w:id="0" w:name="_Hlk189174384"/>
      <w:r w:rsidRPr="00344D38">
        <w:rPr>
          <w:rFonts w:ascii="Times New Roman" w:hAnsi="Times New Roman" w:cs="Times New Roman"/>
          <w:i/>
          <w:iCs/>
          <w:sz w:val="24"/>
          <w:szCs w:val="24"/>
        </w:rPr>
        <w:t xml:space="preserve">Ln </w:t>
      </w:r>
      <w:r w:rsidRPr="00344D38">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1-p</m:t>
            </m:r>
          </m:den>
        </m:f>
        <m:r>
          <w:rPr>
            <w:rFonts w:ascii="Cambria Math" w:hAnsi="Cambria Math" w:cs="Times New Roman"/>
            <w:sz w:val="24"/>
            <w:szCs w:val="24"/>
          </w:rPr>
          <m:t>)</m:t>
        </m:r>
      </m:oMath>
      <w:r w:rsidRPr="00344D38">
        <w:rPr>
          <w:rFonts w:ascii="Times New Roman" w:hAnsi="Times New Roman" w:cs="Times New Roman"/>
          <w:sz w:val="24"/>
          <w:szCs w:val="24"/>
        </w:rPr>
        <w:t xml:space="preserve"> = α</w:t>
      </w:r>
      <w:bookmarkEnd w:id="0"/>
      <w:r w:rsidRPr="00344D38">
        <w:rPr>
          <w:rFonts w:ascii="Times New Roman" w:hAnsi="Times New Roman" w:cs="Times New Roman"/>
          <w:sz w:val="24"/>
          <w:szCs w:val="24"/>
        </w:rPr>
        <w:t xml:space="preserve"> + β</w:t>
      </w:r>
      <w:r w:rsidRPr="00C667B3">
        <w:rPr>
          <w:rFonts w:ascii="Times New Roman" w:hAnsi="Times New Roman" w:cs="Times New Roman"/>
          <w:sz w:val="24"/>
          <w:szCs w:val="24"/>
          <w:vertAlign w:val="subscript"/>
        </w:rPr>
        <w:t>1</w:t>
      </w:r>
      <w:r w:rsidR="00C667B3">
        <w:rPr>
          <w:rFonts w:ascii="Times New Roman" w:hAnsi="Times New Roman" w:cs="Times New Roman"/>
          <w:sz w:val="24"/>
          <w:szCs w:val="24"/>
        </w:rPr>
        <w:t>PS</w:t>
      </w:r>
      <w:r w:rsidRPr="00C667B3">
        <w:rPr>
          <w:rFonts w:ascii="Times New Roman" w:hAnsi="Times New Roman" w:cs="Times New Roman"/>
          <w:sz w:val="24"/>
          <w:szCs w:val="24"/>
          <w:vertAlign w:val="subscript"/>
        </w:rPr>
        <w:t>it</w:t>
      </w:r>
      <w:r w:rsidRPr="00344D38">
        <w:rPr>
          <w:rFonts w:ascii="Times New Roman" w:hAnsi="Times New Roman" w:cs="Times New Roman"/>
          <w:sz w:val="24"/>
          <w:szCs w:val="24"/>
        </w:rPr>
        <w:t xml:space="preserve"> + β</w:t>
      </w:r>
      <w:r w:rsidRPr="00C667B3">
        <w:rPr>
          <w:rFonts w:ascii="Times New Roman" w:hAnsi="Times New Roman" w:cs="Times New Roman"/>
          <w:sz w:val="24"/>
          <w:szCs w:val="24"/>
          <w:vertAlign w:val="subscript"/>
        </w:rPr>
        <w:t>2</w:t>
      </w:r>
      <w:r w:rsidRPr="00344D38">
        <w:rPr>
          <w:rFonts w:ascii="Times New Roman" w:hAnsi="Times New Roman" w:cs="Times New Roman"/>
          <w:sz w:val="24"/>
          <w:szCs w:val="24"/>
        </w:rPr>
        <w:t>P</w:t>
      </w:r>
      <w:r w:rsidR="00C667B3">
        <w:rPr>
          <w:rFonts w:ascii="Times New Roman" w:hAnsi="Times New Roman" w:cs="Times New Roman"/>
          <w:sz w:val="24"/>
          <w:szCs w:val="24"/>
        </w:rPr>
        <w:t>RO</w:t>
      </w:r>
      <w:r w:rsidRPr="00C667B3">
        <w:rPr>
          <w:rFonts w:ascii="Times New Roman" w:hAnsi="Times New Roman" w:cs="Times New Roman"/>
          <w:sz w:val="24"/>
          <w:szCs w:val="24"/>
          <w:vertAlign w:val="subscript"/>
        </w:rPr>
        <w:t>it</w:t>
      </w:r>
      <w:r w:rsidRPr="00344D38">
        <w:rPr>
          <w:rFonts w:ascii="Times New Roman" w:hAnsi="Times New Roman" w:cs="Times New Roman"/>
          <w:sz w:val="24"/>
          <w:szCs w:val="24"/>
        </w:rPr>
        <w:t xml:space="preserve"> + β</w:t>
      </w:r>
      <w:r w:rsidRPr="00C667B3">
        <w:rPr>
          <w:rFonts w:ascii="Times New Roman" w:hAnsi="Times New Roman" w:cs="Times New Roman"/>
          <w:sz w:val="24"/>
          <w:szCs w:val="24"/>
          <w:vertAlign w:val="subscript"/>
        </w:rPr>
        <w:t>3</w:t>
      </w:r>
      <w:r w:rsidRPr="00344D38">
        <w:rPr>
          <w:rFonts w:ascii="Times New Roman" w:hAnsi="Times New Roman" w:cs="Times New Roman"/>
          <w:sz w:val="24"/>
          <w:szCs w:val="24"/>
        </w:rPr>
        <w:t>L</w:t>
      </w:r>
      <w:r w:rsidR="00C667B3">
        <w:rPr>
          <w:rFonts w:ascii="Times New Roman" w:hAnsi="Times New Roman" w:cs="Times New Roman"/>
          <w:sz w:val="24"/>
          <w:szCs w:val="24"/>
        </w:rPr>
        <w:t>I</w:t>
      </w:r>
      <w:r w:rsidRPr="00344D38">
        <w:rPr>
          <w:rFonts w:ascii="Times New Roman" w:hAnsi="Times New Roman" w:cs="Times New Roman"/>
          <w:sz w:val="24"/>
          <w:szCs w:val="24"/>
        </w:rPr>
        <w:t>Qit + β</w:t>
      </w:r>
      <w:r w:rsidRPr="00C667B3">
        <w:rPr>
          <w:rFonts w:ascii="Times New Roman" w:hAnsi="Times New Roman" w:cs="Times New Roman"/>
          <w:sz w:val="24"/>
          <w:szCs w:val="24"/>
          <w:vertAlign w:val="subscript"/>
        </w:rPr>
        <w:t>4</w:t>
      </w:r>
      <w:r w:rsidRPr="00344D38">
        <w:rPr>
          <w:rFonts w:ascii="Times New Roman" w:hAnsi="Times New Roman" w:cs="Times New Roman"/>
          <w:sz w:val="24"/>
          <w:szCs w:val="24"/>
        </w:rPr>
        <w:t>G</w:t>
      </w:r>
      <w:r w:rsidR="00C667B3">
        <w:rPr>
          <w:rFonts w:ascii="Times New Roman" w:hAnsi="Times New Roman" w:cs="Times New Roman"/>
          <w:sz w:val="24"/>
          <w:szCs w:val="24"/>
        </w:rPr>
        <w:t>R</w:t>
      </w:r>
      <w:r w:rsidRPr="00344D38">
        <w:rPr>
          <w:rFonts w:ascii="Times New Roman" w:hAnsi="Times New Roman" w:cs="Times New Roman"/>
          <w:sz w:val="24"/>
          <w:szCs w:val="24"/>
        </w:rPr>
        <w:t>W</w:t>
      </w:r>
      <w:r w:rsidRPr="00C667B3">
        <w:rPr>
          <w:rFonts w:ascii="Times New Roman" w:hAnsi="Times New Roman" w:cs="Times New Roman"/>
          <w:sz w:val="24"/>
          <w:szCs w:val="24"/>
          <w:vertAlign w:val="subscript"/>
        </w:rPr>
        <w:t>it</w:t>
      </w:r>
      <w:r w:rsidRPr="00344D38">
        <w:rPr>
          <w:rFonts w:ascii="Times New Roman" w:hAnsi="Times New Roman" w:cs="Times New Roman"/>
          <w:sz w:val="24"/>
          <w:szCs w:val="24"/>
        </w:rPr>
        <w:t xml:space="preserve"> + β</w:t>
      </w:r>
      <w:r w:rsidRPr="00C667B3">
        <w:rPr>
          <w:rFonts w:ascii="Times New Roman" w:hAnsi="Times New Roman" w:cs="Times New Roman"/>
          <w:sz w:val="24"/>
          <w:szCs w:val="24"/>
          <w:vertAlign w:val="subscript"/>
        </w:rPr>
        <w:t>5</w:t>
      </w:r>
      <w:r w:rsidRPr="00344D38">
        <w:rPr>
          <w:rFonts w:ascii="Times New Roman" w:hAnsi="Times New Roman" w:cs="Times New Roman"/>
          <w:sz w:val="24"/>
          <w:szCs w:val="24"/>
        </w:rPr>
        <w:t>AGE</w:t>
      </w:r>
      <w:r w:rsidRPr="00C667B3">
        <w:rPr>
          <w:rFonts w:ascii="Times New Roman" w:hAnsi="Times New Roman" w:cs="Times New Roman"/>
          <w:sz w:val="24"/>
          <w:szCs w:val="24"/>
          <w:vertAlign w:val="subscript"/>
        </w:rPr>
        <w:t>it</w:t>
      </w:r>
      <w:r w:rsidRPr="00344D38">
        <w:rPr>
          <w:rFonts w:ascii="Times New Roman" w:hAnsi="Times New Roman" w:cs="Times New Roman"/>
          <w:sz w:val="24"/>
          <w:szCs w:val="24"/>
        </w:rPr>
        <w:t xml:space="preserve"> + ɛit</w:t>
      </w:r>
    </w:p>
    <w:p w14:paraId="3CB723D3" w14:textId="77777777" w:rsidR="00B771AA" w:rsidRPr="00B771AA" w:rsidRDefault="00B771AA" w:rsidP="00B771AA">
      <w:pPr>
        <w:spacing w:after="0" w:line="240" w:lineRule="auto"/>
        <w:ind w:firstLine="720"/>
        <w:jc w:val="both"/>
        <w:rPr>
          <w:rFonts w:ascii="Times New Roman" w:eastAsia="Sitka Banner" w:hAnsi="Times New Roman" w:cs="Times New Roman"/>
          <w:sz w:val="24"/>
          <w:szCs w:val="24"/>
        </w:rPr>
      </w:pPr>
    </w:p>
    <w:p w14:paraId="60C9E609" w14:textId="18691E8E" w:rsidR="003B02B9" w:rsidRPr="00B771AA" w:rsidRDefault="00344D38" w:rsidP="00B771AA">
      <w:pPr>
        <w:spacing w:after="0" w:line="240" w:lineRule="auto"/>
        <w:ind w:firstLine="720"/>
        <w:jc w:val="both"/>
        <w:rPr>
          <w:rFonts w:ascii="Times New Roman" w:eastAsia="Sitka Banner" w:hAnsi="Times New Roman" w:cs="Times New Roman"/>
          <w:sz w:val="24"/>
          <w:szCs w:val="24"/>
        </w:rPr>
      </w:pPr>
      <w:r w:rsidRPr="00344D38">
        <w:rPr>
          <w:rFonts w:ascii="Times New Roman" w:eastAsia="Sitka Banner" w:hAnsi="Times New Roman" w:cs="Times New Roman"/>
          <w:sz w:val="24"/>
          <w:szCs w:val="24"/>
        </w:rPr>
        <w:t xml:space="preserve">The logistic regression model used predicts the probability of financial distress based on the independent and control variables mentioned. The validity test of the model is carried </w:t>
      </w:r>
      <w:r w:rsidRPr="00344D38">
        <w:rPr>
          <w:rFonts w:ascii="Times New Roman" w:eastAsia="Sitka Banner" w:hAnsi="Times New Roman" w:cs="Times New Roman"/>
          <w:sz w:val="24"/>
          <w:szCs w:val="24"/>
        </w:rPr>
        <w:lastRenderedPageBreak/>
        <w:t>out through several stages, including the Goodness of Fit test (Hosmer &amp; Lemeshow Test), the Likelihood Ratio test (Overall Model Fit), the Wald test (variable significance), the determination test (McFadden R²), and the model accuracy test through the confusion matrix (Ghozali, 2016). Interpretation of the logistic regression results is carried out by observing the odds ratio coefficient value which indicates the probability of financial distress based on changes in the value of each independent variable (Hosmer &amp; Lemeshow, 2000).</w:t>
      </w:r>
      <w:r w:rsidR="00D2019E" w:rsidRPr="00B771AA">
        <w:rPr>
          <w:rFonts w:ascii="Times New Roman" w:eastAsia="Sitka Banner" w:hAnsi="Times New Roman" w:cs="Times New Roman"/>
          <w:sz w:val="24"/>
          <w:szCs w:val="24"/>
        </w:rPr>
        <w:t xml:space="preserve"> </w:t>
      </w:r>
    </w:p>
    <w:p w14:paraId="13B610D6" w14:textId="77777777" w:rsidR="00520349" w:rsidRPr="00C667B3" w:rsidRDefault="006C6C13" w:rsidP="00520349">
      <w:pPr>
        <w:spacing w:after="0" w:line="240" w:lineRule="auto"/>
        <w:rPr>
          <w:rFonts w:ascii="Times New Roman" w:eastAsia="Sitka Banner" w:hAnsi="Times New Roman" w:cs="Times New Roman"/>
          <w:b/>
          <w:bCs/>
          <w:sz w:val="24"/>
          <w:szCs w:val="24"/>
          <w:lang w:val="en-US"/>
        </w:rPr>
      </w:pPr>
      <w:r w:rsidRPr="00B771AA">
        <w:rPr>
          <w:rFonts w:ascii="Times New Roman" w:eastAsia="Sitka Banner" w:hAnsi="Times New Roman" w:cs="Times New Roman"/>
          <w:b/>
          <w:bCs/>
          <w:sz w:val="24"/>
          <w:szCs w:val="24"/>
        </w:rPr>
        <w:br/>
      </w:r>
      <w:r w:rsidR="00520349" w:rsidRPr="00C667B3">
        <w:rPr>
          <w:rFonts w:ascii="Times New Roman" w:eastAsia="Sitka Banner" w:hAnsi="Times New Roman" w:cs="Times New Roman"/>
          <w:b/>
          <w:bCs/>
          <w:sz w:val="24"/>
          <w:szCs w:val="24"/>
          <w:lang w:val="en-US"/>
        </w:rPr>
        <w:t>Research Results</w:t>
      </w:r>
    </w:p>
    <w:p w14:paraId="4AB09D29" w14:textId="77777777" w:rsidR="00520349" w:rsidRPr="00C667B3" w:rsidRDefault="00520349" w:rsidP="00520349">
      <w:pPr>
        <w:spacing w:after="0" w:line="240" w:lineRule="auto"/>
        <w:rPr>
          <w:rFonts w:ascii="Times New Roman" w:eastAsia="Sitka Banner" w:hAnsi="Times New Roman" w:cs="Times New Roman"/>
          <w:i/>
          <w:iCs/>
          <w:sz w:val="24"/>
          <w:szCs w:val="24"/>
          <w:lang w:val="en-US"/>
        </w:rPr>
      </w:pPr>
      <w:r w:rsidRPr="00C667B3">
        <w:rPr>
          <w:rFonts w:ascii="Times New Roman" w:eastAsia="Sitka Banner" w:hAnsi="Times New Roman" w:cs="Times New Roman"/>
          <w:i/>
          <w:iCs/>
          <w:sz w:val="24"/>
          <w:szCs w:val="24"/>
          <w:lang w:val="en-US"/>
        </w:rPr>
        <w:t>Descriptive Statistics</w:t>
      </w:r>
    </w:p>
    <w:p w14:paraId="2D31B4CC" w14:textId="748A094E" w:rsidR="00344D38" w:rsidRDefault="00520349" w:rsidP="00C667B3">
      <w:pPr>
        <w:spacing w:after="0" w:line="240" w:lineRule="auto"/>
        <w:ind w:firstLine="720"/>
        <w:rPr>
          <w:rFonts w:ascii="Times New Roman" w:eastAsia="Sitka Banner" w:hAnsi="Times New Roman" w:cs="Times New Roman"/>
          <w:sz w:val="24"/>
          <w:szCs w:val="24"/>
          <w:lang w:val="en-US"/>
        </w:rPr>
      </w:pPr>
      <w:r w:rsidRPr="00520349">
        <w:rPr>
          <w:rFonts w:ascii="Times New Roman" w:eastAsia="Sitka Banner" w:hAnsi="Times New Roman" w:cs="Times New Roman"/>
          <w:sz w:val="24"/>
          <w:szCs w:val="24"/>
          <w:lang w:val="en-US"/>
        </w:rPr>
        <w:t>Based on the data that has been collected and tabulated, the following is a description of the data in the form of minimum, maximum, average and standard deviation:</w:t>
      </w:r>
    </w:p>
    <w:p w14:paraId="2DB8F483" w14:textId="77777777" w:rsidR="00520349" w:rsidRDefault="00520349" w:rsidP="00520349">
      <w:pPr>
        <w:spacing w:after="0" w:line="240" w:lineRule="auto"/>
        <w:rPr>
          <w:rFonts w:ascii="Times New Roman" w:eastAsia="Sitka Banner" w:hAnsi="Times New Roman" w:cs="Times New Roman"/>
          <w:sz w:val="24"/>
          <w:szCs w:val="24"/>
          <w:lang w:val="en-US"/>
        </w:rPr>
      </w:pPr>
    </w:p>
    <w:tbl>
      <w:tblPr>
        <w:tblW w:w="8140" w:type="dxa"/>
        <w:jc w:val="center"/>
        <w:tblLook w:val="04A0" w:firstRow="1" w:lastRow="0" w:firstColumn="1" w:lastColumn="0" w:noHBand="0" w:noVBand="1"/>
      </w:tblPr>
      <w:tblGrid>
        <w:gridCol w:w="1560"/>
        <w:gridCol w:w="880"/>
        <w:gridCol w:w="1300"/>
        <w:gridCol w:w="1320"/>
        <w:gridCol w:w="1460"/>
        <w:gridCol w:w="1620"/>
      </w:tblGrid>
      <w:tr w:rsidR="00520349" w:rsidRPr="00520349" w14:paraId="4154562D" w14:textId="77777777" w:rsidTr="00520349">
        <w:trPr>
          <w:trHeight w:val="285"/>
          <w:jc w:val="center"/>
        </w:trPr>
        <w:tc>
          <w:tcPr>
            <w:tcW w:w="8140" w:type="dxa"/>
            <w:gridSpan w:val="6"/>
            <w:tcBorders>
              <w:top w:val="nil"/>
              <w:left w:val="nil"/>
              <w:bottom w:val="single" w:sz="4" w:space="0" w:color="auto"/>
              <w:right w:val="nil"/>
            </w:tcBorders>
            <w:shd w:val="clear" w:color="auto" w:fill="auto"/>
            <w:noWrap/>
            <w:vAlign w:val="bottom"/>
            <w:hideMark/>
          </w:tcPr>
          <w:p w14:paraId="47090D69"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ID" w:eastAsia="zh-CN"/>
              </w:rPr>
              <w:t>Table 2: Statistics Descriptive</w:t>
            </w:r>
          </w:p>
        </w:tc>
      </w:tr>
      <w:tr w:rsidR="00520349" w:rsidRPr="00520349" w14:paraId="3A1B44B2" w14:textId="77777777" w:rsidTr="00520349">
        <w:trPr>
          <w:trHeight w:val="30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7ADECD"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proofErr w:type="spellStart"/>
            <w:r w:rsidRPr="00520349">
              <w:rPr>
                <w:rFonts w:ascii="Times New Roman" w:eastAsia="Times New Roman" w:hAnsi="Times New Roman" w:cs="Times New Roman"/>
                <w:color w:val="000000"/>
                <w:sz w:val="24"/>
                <w:szCs w:val="24"/>
                <w:lang w:val="en-US" w:eastAsia="zh-CN"/>
              </w:rPr>
              <w:t>Variabel</w:t>
            </w:r>
            <w:proofErr w:type="spellEnd"/>
          </w:p>
        </w:tc>
        <w:tc>
          <w:tcPr>
            <w:tcW w:w="880" w:type="dxa"/>
            <w:tcBorders>
              <w:top w:val="nil"/>
              <w:left w:val="nil"/>
              <w:bottom w:val="single" w:sz="4" w:space="0" w:color="auto"/>
              <w:right w:val="single" w:sz="4" w:space="0" w:color="auto"/>
            </w:tcBorders>
            <w:shd w:val="clear" w:color="auto" w:fill="auto"/>
            <w:vAlign w:val="center"/>
            <w:hideMark/>
          </w:tcPr>
          <w:p w14:paraId="13C2523D"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US" w:eastAsia="zh-CN"/>
              </w:rPr>
              <w:t>N</w:t>
            </w:r>
          </w:p>
        </w:tc>
        <w:tc>
          <w:tcPr>
            <w:tcW w:w="1300" w:type="dxa"/>
            <w:tcBorders>
              <w:top w:val="nil"/>
              <w:left w:val="nil"/>
              <w:bottom w:val="single" w:sz="4" w:space="0" w:color="auto"/>
              <w:right w:val="single" w:sz="4" w:space="0" w:color="auto"/>
            </w:tcBorders>
            <w:shd w:val="clear" w:color="auto" w:fill="auto"/>
            <w:vAlign w:val="center"/>
            <w:hideMark/>
          </w:tcPr>
          <w:p w14:paraId="20D9B9FD"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US" w:eastAsia="zh-CN"/>
              </w:rPr>
              <w:t>Minimum</w:t>
            </w:r>
          </w:p>
        </w:tc>
        <w:tc>
          <w:tcPr>
            <w:tcW w:w="1320" w:type="dxa"/>
            <w:tcBorders>
              <w:top w:val="nil"/>
              <w:left w:val="nil"/>
              <w:bottom w:val="single" w:sz="4" w:space="0" w:color="auto"/>
              <w:right w:val="single" w:sz="4" w:space="0" w:color="auto"/>
            </w:tcBorders>
            <w:shd w:val="clear" w:color="auto" w:fill="auto"/>
            <w:vAlign w:val="center"/>
            <w:hideMark/>
          </w:tcPr>
          <w:p w14:paraId="5BC0F1DB"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US" w:eastAsia="zh-CN"/>
              </w:rPr>
              <w:t>Maximum</w:t>
            </w:r>
          </w:p>
        </w:tc>
        <w:tc>
          <w:tcPr>
            <w:tcW w:w="1460" w:type="dxa"/>
            <w:tcBorders>
              <w:top w:val="nil"/>
              <w:left w:val="nil"/>
              <w:bottom w:val="single" w:sz="4" w:space="0" w:color="auto"/>
              <w:right w:val="single" w:sz="4" w:space="0" w:color="auto"/>
            </w:tcBorders>
            <w:shd w:val="clear" w:color="auto" w:fill="auto"/>
            <w:vAlign w:val="center"/>
            <w:hideMark/>
          </w:tcPr>
          <w:p w14:paraId="140B3B53"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US" w:eastAsia="zh-CN"/>
              </w:rPr>
              <w:t>Mean</w:t>
            </w:r>
          </w:p>
        </w:tc>
        <w:tc>
          <w:tcPr>
            <w:tcW w:w="1620" w:type="dxa"/>
            <w:tcBorders>
              <w:top w:val="nil"/>
              <w:left w:val="nil"/>
              <w:bottom w:val="single" w:sz="4" w:space="0" w:color="auto"/>
              <w:right w:val="single" w:sz="4" w:space="0" w:color="auto"/>
            </w:tcBorders>
            <w:shd w:val="clear" w:color="auto" w:fill="auto"/>
            <w:vAlign w:val="center"/>
            <w:hideMark/>
          </w:tcPr>
          <w:p w14:paraId="0DEF8DB0"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US" w:eastAsia="zh-CN"/>
              </w:rPr>
              <w:t xml:space="preserve">Std. </w:t>
            </w:r>
            <w:proofErr w:type="spellStart"/>
            <w:r w:rsidRPr="00520349">
              <w:rPr>
                <w:rFonts w:ascii="Times New Roman" w:eastAsia="Times New Roman" w:hAnsi="Times New Roman" w:cs="Times New Roman"/>
                <w:color w:val="000000"/>
                <w:sz w:val="24"/>
                <w:szCs w:val="24"/>
                <w:lang w:val="en-US" w:eastAsia="zh-CN"/>
              </w:rPr>
              <w:t>Deviasi</w:t>
            </w:r>
            <w:proofErr w:type="spellEnd"/>
          </w:p>
        </w:tc>
      </w:tr>
      <w:tr w:rsidR="00520349" w:rsidRPr="00520349" w14:paraId="0673952D" w14:textId="77777777" w:rsidTr="00520349">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3273D80" w14:textId="107DB36A" w:rsidR="00520349" w:rsidRPr="00520349" w:rsidRDefault="00C667B3" w:rsidP="00520349">
            <w:pPr>
              <w:spacing w:after="0" w:line="240" w:lineRule="auto"/>
              <w:rPr>
                <w:rFonts w:ascii="Times New Roman" w:eastAsia="Times New Roman" w:hAnsi="Times New Roman" w:cs="Times New Roman"/>
                <w:color w:val="000000"/>
                <w:sz w:val="24"/>
                <w:szCs w:val="24"/>
                <w:lang w:val="en-ID" w:eastAsia="zh-CN"/>
              </w:rPr>
            </w:pPr>
            <w:r>
              <w:rPr>
                <w:rFonts w:ascii="Times New Roman" w:eastAsia="Times New Roman" w:hAnsi="Times New Roman" w:cs="Times New Roman"/>
                <w:color w:val="000000"/>
                <w:sz w:val="24"/>
                <w:szCs w:val="24"/>
                <w:lang w:val="en-ID" w:eastAsia="zh-CN"/>
              </w:rPr>
              <w:t>PS</w:t>
            </w:r>
          </w:p>
        </w:tc>
        <w:tc>
          <w:tcPr>
            <w:tcW w:w="880" w:type="dxa"/>
            <w:tcBorders>
              <w:top w:val="nil"/>
              <w:left w:val="nil"/>
              <w:bottom w:val="single" w:sz="4" w:space="0" w:color="auto"/>
              <w:right w:val="single" w:sz="4" w:space="0" w:color="auto"/>
            </w:tcBorders>
            <w:shd w:val="clear" w:color="auto" w:fill="auto"/>
            <w:vAlign w:val="center"/>
            <w:hideMark/>
          </w:tcPr>
          <w:p w14:paraId="536F335C" w14:textId="77777777" w:rsidR="00520349" w:rsidRPr="00520349" w:rsidRDefault="00520349" w:rsidP="00520349">
            <w:pPr>
              <w:spacing w:after="0" w:line="240" w:lineRule="auto"/>
              <w:jc w:val="right"/>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75</w:t>
            </w:r>
          </w:p>
        </w:tc>
        <w:tc>
          <w:tcPr>
            <w:tcW w:w="1300" w:type="dxa"/>
            <w:tcBorders>
              <w:top w:val="nil"/>
              <w:left w:val="nil"/>
              <w:bottom w:val="single" w:sz="4" w:space="0" w:color="auto"/>
              <w:right w:val="single" w:sz="4" w:space="0" w:color="auto"/>
            </w:tcBorders>
            <w:shd w:val="clear" w:color="auto" w:fill="auto"/>
            <w:vAlign w:val="center"/>
            <w:hideMark/>
          </w:tcPr>
          <w:p w14:paraId="6C1244C8"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-0.171</w:t>
            </w:r>
          </w:p>
        </w:tc>
        <w:tc>
          <w:tcPr>
            <w:tcW w:w="1320" w:type="dxa"/>
            <w:tcBorders>
              <w:top w:val="nil"/>
              <w:left w:val="nil"/>
              <w:bottom w:val="single" w:sz="4" w:space="0" w:color="auto"/>
              <w:right w:val="single" w:sz="4" w:space="0" w:color="auto"/>
            </w:tcBorders>
            <w:shd w:val="clear" w:color="auto" w:fill="auto"/>
            <w:vAlign w:val="center"/>
            <w:hideMark/>
          </w:tcPr>
          <w:p w14:paraId="13E5B03C"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-0.004</w:t>
            </w:r>
          </w:p>
        </w:tc>
        <w:tc>
          <w:tcPr>
            <w:tcW w:w="1460" w:type="dxa"/>
            <w:tcBorders>
              <w:top w:val="nil"/>
              <w:left w:val="nil"/>
              <w:bottom w:val="single" w:sz="4" w:space="0" w:color="auto"/>
              <w:right w:val="single" w:sz="4" w:space="0" w:color="auto"/>
            </w:tcBorders>
            <w:shd w:val="clear" w:color="auto" w:fill="auto"/>
            <w:vAlign w:val="center"/>
            <w:hideMark/>
          </w:tcPr>
          <w:p w14:paraId="6DA69FC6"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-0.0846</w:t>
            </w:r>
          </w:p>
        </w:tc>
        <w:tc>
          <w:tcPr>
            <w:tcW w:w="1620" w:type="dxa"/>
            <w:tcBorders>
              <w:top w:val="nil"/>
              <w:left w:val="nil"/>
              <w:bottom w:val="single" w:sz="4" w:space="0" w:color="auto"/>
              <w:right w:val="single" w:sz="4" w:space="0" w:color="auto"/>
            </w:tcBorders>
            <w:shd w:val="clear" w:color="auto" w:fill="auto"/>
            <w:vAlign w:val="center"/>
            <w:hideMark/>
          </w:tcPr>
          <w:p w14:paraId="2C4C4EB1"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0.055114</w:t>
            </w:r>
          </w:p>
        </w:tc>
      </w:tr>
      <w:tr w:rsidR="00520349" w:rsidRPr="00520349" w14:paraId="6B69D068" w14:textId="77777777" w:rsidTr="00520349">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B2E8DA8" w14:textId="2FD337CD" w:rsidR="00520349" w:rsidRPr="00520349" w:rsidRDefault="00520349" w:rsidP="00520349">
            <w:pPr>
              <w:spacing w:after="0" w:line="240" w:lineRule="auto"/>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P</w:t>
            </w:r>
            <w:r w:rsidR="00C667B3">
              <w:rPr>
                <w:rFonts w:ascii="Times New Roman" w:eastAsia="Times New Roman" w:hAnsi="Times New Roman" w:cs="Times New Roman"/>
                <w:color w:val="000000"/>
                <w:sz w:val="24"/>
                <w:szCs w:val="24"/>
                <w:lang w:eastAsia="zh-CN"/>
              </w:rPr>
              <w:t>RO</w:t>
            </w:r>
          </w:p>
        </w:tc>
        <w:tc>
          <w:tcPr>
            <w:tcW w:w="880" w:type="dxa"/>
            <w:tcBorders>
              <w:top w:val="nil"/>
              <w:left w:val="nil"/>
              <w:bottom w:val="single" w:sz="4" w:space="0" w:color="auto"/>
              <w:right w:val="single" w:sz="4" w:space="0" w:color="auto"/>
            </w:tcBorders>
            <w:shd w:val="clear" w:color="auto" w:fill="auto"/>
            <w:vAlign w:val="center"/>
            <w:hideMark/>
          </w:tcPr>
          <w:p w14:paraId="63FD233F" w14:textId="77777777" w:rsidR="00520349" w:rsidRPr="00520349" w:rsidRDefault="00520349" w:rsidP="00520349">
            <w:pPr>
              <w:spacing w:after="0" w:line="240" w:lineRule="auto"/>
              <w:jc w:val="right"/>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US" w:eastAsia="zh-CN"/>
              </w:rPr>
              <w:t>75</w:t>
            </w:r>
          </w:p>
        </w:tc>
        <w:tc>
          <w:tcPr>
            <w:tcW w:w="1300" w:type="dxa"/>
            <w:tcBorders>
              <w:top w:val="nil"/>
              <w:left w:val="nil"/>
              <w:bottom w:val="single" w:sz="4" w:space="0" w:color="auto"/>
              <w:right w:val="single" w:sz="4" w:space="0" w:color="auto"/>
            </w:tcBorders>
            <w:shd w:val="clear" w:color="auto" w:fill="auto"/>
            <w:vAlign w:val="center"/>
            <w:hideMark/>
          </w:tcPr>
          <w:p w14:paraId="013E1117"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-4.11</w:t>
            </w:r>
          </w:p>
        </w:tc>
        <w:tc>
          <w:tcPr>
            <w:tcW w:w="1320" w:type="dxa"/>
            <w:tcBorders>
              <w:top w:val="nil"/>
              <w:left w:val="nil"/>
              <w:bottom w:val="single" w:sz="4" w:space="0" w:color="auto"/>
              <w:right w:val="single" w:sz="4" w:space="0" w:color="auto"/>
            </w:tcBorders>
            <w:shd w:val="clear" w:color="auto" w:fill="auto"/>
            <w:vAlign w:val="center"/>
            <w:hideMark/>
          </w:tcPr>
          <w:p w14:paraId="452253BB"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5.300000</w:t>
            </w:r>
          </w:p>
        </w:tc>
        <w:tc>
          <w:tcPr>
            <w:tcW w:w="1460" w:type="dxa"/>
            <w:tcBorders>
              <w:top w:val="nil"/>
              <w:left w:val="nil"/>
              <w:bottom w:val="single" w:sz="4" w:space="0" w:color="auto"/>
              <w:right w:val="single" w:sz="4" w:space="0" w:color="auto"/>
            </w:tcBorders>
            <w:shd w:val="clear" w:color="auto" w:fill="auto"/>
            <w:vAlign w:val="center"/>
            <w:hideMark/>
          </w:tcPr>
          <w:p w14:paraId="50F30580"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0.079467</w:t>
            </w:r>
          </w:p>
        </w:tc>
        <w:tc>
          <w:tcPr>
            <w:tcW w:w="1620" w:type="dxa"/>
            <w:tcBorders>
              <w:top w:val="nil"/>
              <w:left w:val="nil"/>
              <w:bottom w:val="single" w:sz="4" w:space="0" w:color="auto"/>
              <w:right w:val="single" w:sz="4" w:space="0" w:color="auto"/>
            </w:tcBorders>
            <w:shd w:val="clear" w:color="auto" w:fill="auto"/>
            <w:vAlign w:val="center"/>
            <w:hideMark/>
          </w:tcPr>
          <w:p w14:paraId="1626D944"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0.804027</w:t>
            </w:r>
          </w:p>
        </w:tc>
      </w:tr>
      <w:tr w:rsidR="00520349" w:rsidRPr="00520349" w14:paraId="23BCF658" w14:textId="77777777" w:rsidTr="00520349">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56D034A" w14:textId="551080CD" w:rsidR="00520349" w:rsidRPr="00520349" w:rsidRDefault="00520349" w:rsidP="00520349">
            <w:pPr>
              <w:spacing w:after="0" w:line="240" w:lineRule="auto"/>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L</w:t>
            </w:r>
            <w:r w:rsidR="00C667B3">
              <w:rPr>
                <w:rFonts w:ascii="Times New Roman" w:eastAsia="Times New Roman" w:hAnsi="Times New Roman" w:cs="Times New Roman"/>
                <w:color w:val="000000"/>
                <w:sz w:val="24"/>
                <w:szCs w:val="24"/>
                <w:lang w:eastAsia="zh-CN"/>
              </w:rPr>
              <w:t>I</w:t>
            </w:r>
            <w:r w:rsidRPr="00520349">
              <w:rPr>
                <w:rFonts w:ascii="Times New Roman" w:eastAsia="Times New Roman" w:hAnsi="Times New Roman" w:cs="Times New Roman"/>
                <w:color w:val="000000"/>
                <w:sz w:val="24"/>
                <w:szCs w:val="24"/>
                <w:lang w:eastAsia="zh-CN"/>
              </w:rPr>
              <w:t>Q</w:t>
            </w:r>
          </w:p>
        </w:tc>
        <w:tc>
          <w:tcPr>
            <w:tcW w:w="880" w:type="dxa"/>
            <w:tcBorders>
              <w:top w:val="nil"/>
              <w:left w:val="nil"/>
              <w:bottom w:val="single" w:sz="4" w:space="0" w:color="auto"/>
              <w:right w:val="single" w:sz="4" w:space="0" w:color="auto"/>
            </w:tcBorders>
            <w:shd w:val="clear" w:color="auto" w:fill="auto"/>
            <w:vAlign w:val="center"/>
            <w:hideMark/>
          </w:tcPr>
          <w:p w14:paraId="52242219" w14:textId="77777777" w:rsidR="00520349" w:rsidRPr="00520349" w:rsidRDefault="00520349" w:rsidP="00520349">
            <w:pPr>
              <w:spacing w:after="0" w:line="240" w:lineRule="auto"/>
              <w:jc w:val="right"/>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US" w:eastAsia="zh-CN"/>
              </w:rPr>
              <w:t>75</w:t>
            </w:r>
          </w:p>
        </w:tc>
        <w:tc>
          <w:tcPr>
            <w:tcW w:w="1300" w:type="dxa"/>
            <w:tcBorders>
              <w:top w:val="nil"/>
              <w:left w:val="nil"/>
              <w:bottom w:val="single" w:sz="4" w:space="0" w:color="auto"/>
              <w:right w:val="single" w:sz="4" w:space="0" w:color="auto"/>
            </w:tcBorders>
            <w:shd w:val="clear" w:color="auto" w:fill="auto"/>
            <w:vAlign w:val="center"/>
            <w:hideMark/>
          </w:tcPr>
          <w:p w14:paraId="4F3CE85B"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0.280000</w:t>
            </w:r>
          </w:p>
        </w:tc>
        <w:tc>
          <w:tcPr>
            <w:tcW w:w="1320" w:type="dxa"/>
            <w:tcBorders>
              <w:top w:val="nil"/>
              <w:left w:val="nil"/>
              <w:bottom w:val="single" w:sz="4" w:space="0" w:color="auto"/>
              <w:right w:val="single" w:sz="4" w:space="0" w:color="auto"/>
            </w:tcBorders>
            <w:shd w:val="clear" w:color="auto" w:fill="auto"/>
            <w:vAlign w:val="center"/>
            <w:hideMark/>
          </w:tcPr>
          <w:p w14:paraId="6EAACBA3"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4.170000</w:t>
            </w:r>
          </w:p>
        </w:tc>
        <w:tc>
          <w:tcPr>
            <w:tcW w:w="1460" w:type="dxa"/>
            <w:tcBorders>
              <w:top w:val="nil"/>
              <w:left w:val="nil"/>
              <w:bottom w:val="single" w:sz="4" w:space="0" w:color="auto"/>
              <w:right w:val="single" w:sz="4" w:space="0" w:color="auto"/>
            </w:tcBorders>
            <w:shd w:val="clear" w:color="auto" w:fill="auto"/>
            <w:vAlign w:val="center"/>
            <w:hideMark/>
          </w:tcPr>
          <w:p w14:paraId="29533197"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1.323200</w:t>
            </w:r>
          </w:p>
        </w:tc>
        <w:tc>
          <w:tcPr>
            <w:tcW w:w="1620" w:type="dxa"/>
            <w:tcBorders>
              <w:top w:val="nil"/>
              <w:left w:val="nil"/>
              <w:bottom w:val="single" w:sz="4" w:space="0" w:color="auto"/>
              <w:right w:val="single" w:sz="4" w:space="0" w:color="auto"/>
            </w:tcBorders>
            <w:shd w:val="clear" w:color="auto" w:fill="auto"/>
            <w:vAlign w:val="center"/>
            <w:hideMark/>
          </w:tcPr>
          <w:p w14:paraId="77A22D9E"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0.623445</w:t>
            </w:r>
          </w:p>
        </w:tc>
      </w:tr>
      <w:tr w:rsidR="00520349" w:rsidRPr="00520349" w14:paraId="6A5B2A08" w14:textId="77777777" w:rsidTr="00520349">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3434FD5" w14:textId="752A08D5" w:rsidR="00520349" w:rsidRPr="00520349" w:rsidRDefault="00520349" w:rsidP="00520349">
            <w:pPr>
              <w:spacing w:after="0" w:line="240" w:lineRule="auto"/>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G</w:t>
            </w:r>
            <w:r w:rsidR="00C667B3">
              <w:rPr>
                <w:rFonts w:ascii="Times New Roman" w:eastAsia="Times New Roman" w:hAnsi="Times New Roman" w:cs="Times New Roman"/>
                <w:color w:val="000000"/>
                <w:sz w:val="24"/>
                <w:szCs w:val="24"/>
                <w:lang w:eastAsia="zh-CN"/>
              </w:rPr>
              <w:t>R</w:t>
            </w:r>
            <w:r w:rsidRPr="00520349">
              <w:rPr>
                <w:rFonts w:ascii="Times New Roman" w:eastAsia="Times New Roman" w:hAnsi="Times New Roman" w:cs="Times New Roman"/>
                <w:color w:val="000000"/>
                <w:sz w:val="24"/>
                <w:szCs w:val="24"/>
                <w:lang w:eastAsia="zh-CN"/>
              </w:rPr>
              <w:t>W</w:t>
            </w:r>
          </w:p>
        </w:tc>
        <w:tc>
          <w:tcPr>
            <w:tcW w:w="880" w:type="dxa"/>
            <w:tcBorders>
              <w:top w:val="nil"/>
              <w:left w:val="nil"/>
              <w:bottom w:val="single" w:sz="4" w:space="0" w:color="auto"/>
              <w:right w:val="single" w:sz="4" w:space="0" w:color="auto"/>
            </w:tcBorders>
            <w:shd w:val="clear" w:color="auto" w:fill="auto"/>
            <w:vAlign w:val="center"/>
            <w:hideMark/>
          </w:tcPr>
          <w:p w14:paraId="685A6B41" w14:textId="77777777" w:rsidR="00520349" w:rsidRPr="00520349" w:rsidRDefault="00520349" w:rsidP="00520349">
            <w:pPr>
              <w:spacing w:after="0" w:line="240" w:lineRule="auto"/>
              <w:jc w:val="right"/>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US" w:eastAsia="zh-CN"/>
              </w:rPr>
              <w:t>75</w:t>
            </w:r>
          </w:p>
        </w:tc>
        <w:tc>
          <w:tcPr>
            <w:tcW w:w="1300" w:type="dxa"/>
            <w:tcBorders>
              <w:top w:val="nil"/>
              <w:left w:val="nil"/>
              <w:bottom w:val="single" w:sz="4" w:space="0" w:color="auto"/>
              <w:right w:val="single" w:sz="4" w:space="0" w:color="auto"/>
            </w:tcBorders>
            <w:shd w:val="clear" w:color="auto" w:fill="auto"/>
            <w:vAlign w:val="center"/>
            <w:hideMark/>
          </w:tcPr>
          <w:p w14:paraId="6FD18463"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-2.377</w:t>
            </w:r>
          </w:p>
        </w:tc>
        <w:tc>
          <w:tcPr>
            <w:tcW w:w="1320" w:type="dxa"/>
            <w:tcBorders>
              <w:top w:val="nil"/>
              <w:left w:val="nil"/>
              <w:bottom w:val="single" w:sz="4" w:space="0" w:color="auto"/>
              <w:right w:val="single" w:sz="4" w:space="0" w:color="auto"/>
            </w:tcBorders>
            <w:shd w:val="clear" w:color="auto" w:fill="auto"/>
            <w:vAlign w:val="center"/>
            <w:hideMark/>
          </w:tcPr>
          <w:p w14:paraId="53D0B9C2"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0.494000</w:t>
            </w:r>
          </w:p>
        </w:tc>
        <w:tc>
          <w:tcPr>
            <w:tcW w:w="1460" w:type="dxa"/>
            <w:tcBorders>
              <w:top w:val="nil"/>
              <w:left w:val="nil"/>
              <w:bottom w:val="single" w:sz="4" w:space="0" w:color="auto"/>
              <w:right w:val="single" w:sz="4" w:space="0" w:color="auto"/>
            </w:tcBorders>
            <w:shd w:val="clear" w:color="auto" w:fill="auto"/>
            <w:vAlign w:val="center"/>
            <w:hideMark/>
          </w:tcPr>
          <w:p w14:paraId="0973219E"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-0.10796</w:t>
            </w:r>
          </w:p>
        </w:tc>
        <w:tc>
          <w:tcPr>
            <w:tcW w:w="1620" w:type="dxa"/>
            <w:tcBorders>
              <w:top w:val="nil"/>
              <w:left w:val="nil"/>
              <w:bottom w:val="single" w:sz="4" w:space="0" w:color="auto"/>
              <w:right w:val="single" w:sz="4" w:space="0" w:color="auto"/>
            </w:tcBorders>
            <w:shd w:val="clear" w:color="auto" w:fill="auto"/>
            <w:vAlign w:val="center"/>
            <w:hideMark/>
          </w:tcPr>
          <w:p w14:paraId="20DD7195"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0.493444</w:t>
            </w:r>
          </w:p>
        </w:tc>
      </w:tr>
      <w:tr w:rsidR="00520349" w:rsidRPr="00520349" w14:paraId="2C7FAF58" w14:textId="77777777" w:rsidTr="00520349">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6686AFE" w14:textId="77777777" w:rsidR="00520349" w:rsidRPr="00520349" w:rsidRDefault="00520349" w:rsidP="00520349">
            <w:pPr>
              <w:spacing w:after="0" w:line="240" w:lineRule="auto"/>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AGE</w:t>
            </w:r>
          </w:p>
        </w:tc>
        <w:tc>
          <w:tcPr>
            <w:tcW w:w="880" w:type="dxa"/>
            <w:tcBorders>
              <w:top w:val="nil"/>
              <w:left w:val="nil"/>
              <w:bottom w:val="single" w:sz="4" w:space="0" w:color="auto"/>
              <w:right w:val="single" w:sz="4" w:space="0" w:color="auto"/>
            </w:tcBorders>
            <w:shd w:val="clear" w:color="auto" w:fill="auto"/>
            <w:vAlign w:val="center"/>
            <w:hideMark/>
          </w:tcPr>
          <w:p w14:paraId="2EDD764E" w14:textId="77777777" w:rsidR="00520349" w:rsidRPr="00520349" w:rsidRDefault="00520349" w:rsidP="00520349">
            <w:pPr>
              <w:spacing w:after="0" w:line="240" w:lineRule="auto"/>
              <w:jc w:val="right"/>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US" w:eastAsia="zh-CN"/>
              </w:rPr>
              <w:t>75</w:t>
            </w:r>
          </w:p>
        </w:tc>
        <w:tc>
          <w:tcPr>
            <w:tcW w:w="1300" w:type="dxa"/>
            <w:tcBorders>
              <w:top w:val="nil"/>
              <w:left w:val="nil"/>
              <w:bottom w:val="single" w:sz="4" w:space="0" w:color="auto"/>
              <w:right w:val="single" w:sz="4" w:space="0" w:color="auto"/>
            </w:tcBorders>
            <w:shd w:val="clear" w:color="auto" w:fill="auto"/>
            <w:vAlign w:val="center"/>
            <w:hideMark/>
          </w:tcPr>
          <w:p w14:paraId="0110549F"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8.000000</w:t>
            </w:r>
          </w:p>
        </w:tc>
        <w:tc>
          <w:tcPr>
            <w:tcW w:w="1320" w:type="dxa"/>
            <w:tcBorders>
              <w:top w:val="nil"/>
              <w:left w:val="nil"/>
              <w:bottom w:val="single" w:sz="4" w:space="0" w:color="auto"/>
              <w:right w:val="single" w:sz="4" w:space="0" w:color="auto"/>
            </w:tcBorders>
            <w:shd w:val="clear" w:color="auto" w:fill="auto"/>
            <w:vAlign w:val="center"/>
            <w:hideMark/>
          </w:tcPr>
          <w:p w14:paraId="6A8B19C5"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33.00000</w:t>
            </w:r>
          </w:p>
        </w:tc>
        <w:tc>
          <w:tcPr>
            <w:tcW w:w="1460" w:type="dxa"/>
            <w:tcBorders>
              <w:top w:val="nil"/>
              <w:left w:val="nil"/>
              <w:bottom w:val="single" w:sz="4" w:space="0" w:color="auto"/>
              <w:right w:val="single" w:sz="4" w:space="0" w:color="auto"/>
            </w:tcBorders>
            <w:shd w:val="clear" w:color="auto" w:fill="auto"/>
            <w:vAlign w:val="center"/>
            <w:hideMark/>
          </w:tcPr>
          <w:p w14:paraId="75689BBE"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19.60000</w:t>
            </w:r>
          </w:p>
        </w:tc>
        <w:tc>
          <w:tcPr>
            <w:tcW w:w="1620" w:type="dxa"/>
            <w:tcBorders>
              <w:top w:val="nil"/>
              <w:left w:val="nil"/>
              <w:bottom w:val="single" w:sz="4" w:space="0" w:color="auto"/>
              <w:right w:val="single" w:sz="4" w:space="0" w:color="auto"/>
            </w:tcBorders>
            <w:shd w:val="clear" w:color="auto" w:fill="auto"/>
            <w:vAlign w:val="center"/>
            <w:hideMark/>
          </w:tcPr>
          <w:p w14:paraId="492BB305"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7.709243</w:t>
            </w:r>
          </w:p>
        </w:tc>
      </w:tr>
      <w:tr w:rsidR="00520349" w:rsidRPr="00520349" w14:paraId="16FC981E" w14:textId="77777777" w:rsidTr="00520349">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976855B" w14:textId="77777777" w:rsidR="00520349" w:rsidRPr="00520349" w:rsidRDefault="00520349" w:rsidP="00520349">
            <w:pPr>
              <w:spacing w:after="0" w:line="240" w:lineRule="auto"/>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FD</w:t>
            </w:r>
          </w:p>
        </w:tc>
        <w:tc>
          <w:tcPr>
            <w:tcW w:w="880" w:type="dxa"/>
            <w:tcBorders>
              <w:top w:val="nil"/>
              <w:left w:val="nil"/>
              <w:bottom w:val="single" w:sz="4" w:space="0" w:color="auto"/>
              <w:right w:val="single" w:sz="4" w:space="0" w:color="auto"/>
            </w:tcBorders>
            <w:shd w:val="clear" w:color="auto" w:fill="auto"/>
            <w:vAlign w:val="center"/>
            <w:hideMark/>
          </w:tcPr>
          <w:p w14:paraId="12E6CB5A" w14:textId="77777777" w:rsidR="00520349" w:rsidRPr="00520349" w:rsidRDefault="00520349" w:rsidP="00520349">
            <w:pPr>
              <w:spacing w:after="0" w:line="240" w:lineRule="auto"/>
              <w:jc w:val="right"/>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US" w:eastAsia="zh-CN"/>
              </w:rPr>
              <w:t>75</w:t>
            </w:r>
          </w:p>
        </w:tc>
        <w:tc>
          <w:tcPr>
            <w:tcW w:w="1300" w:type="dxa"/>
            <w:tcBorders>
              <w:top w:val="nil"/>
              <w:left w:val="nil"/>
              <w:bottom w:val="single" w:sz="4" w:space="0" w:color="auto"/>
              <w:right w:val="single" w:sz="4" w:space="0" w:color="auto"/>
            </w:tcBorders>
            <w:shd w:val="clear" w:color="auto" w:fill="auto"/>
            <w:vAlign w:val="center"/>
            <w:hideMark/>
          </w:tcPr>
          <w:p w14:paraId="3B1406A0"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0.000000</w:t>
            </w:r>
          </w:p>
        </w:tc>
        <w:tc>
          <w:tcPr>
            <w:tcW w:w="1320" w:type="dxa"/>
            <w:tcBorders>
              <w:top w:val="nil"/>
              <w:left w:val="nil"/>
              <w:bottom w:val="single" w:sz="4" w:space="0" w:color="auto"/>
              <w:right w:val="single" w:sz="4" w:space="0" w:color="auto"/>
            </w:tcBorders>
            <w:shd w:val="clear" w:color="auto" w:fill="auto"/>
            <w:vAlign w:val="center"/>
            <w:hideMark/>
          </w:tcPr>
          <w:p w14:paraId="0A4EF42E"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1.000000</w:t>
            </w:r>
          </w:p>
        </w:tc>
        <w:tc>
          <w:tcPr>
            <w:tcW w:w="1460" w:type="dxa"/>
            <w:tcBorders>
              <w:top w:val="nil"/>
              <w:left w:val="nil"/>
              <w:bottom w:val="single" w:sz="4" w:space="0" w:color="auto"/>
              <w:right w:val="single" w:sz="4" w:space="0" w:color="auto"/>
            </w:tcBorders>
            <w:shd w:val="clear" w:color="auto" w:fill="auto"/>
            <w:vAlign w:val="center"/>
            <w:hideMark/>
          </w:tcPr>
          <w:p w14:paraId="11FA4A34"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0.786667</w:t>
            </w:r>
          </w:p>
        </w:tc>
        <w:tc>
          <w:tcPr>
            <w:tcW w:w="1620" w:type="dxa"/>
            <w:tcBorders>
              <w:top w:val="nil"/>
              <w:left w:val="nil"/>
              <w:bottom w:val="single" w:sz="4" w:space="0" w:color="auto"/>
              <w:right w:val="single" w:sz="4" w:space="0" w:color="auto"/>
            </w:tcBorders>
            <w:shd w:val="clear" w:color="auto" w:fill="auto"/>
            <w:vAlign w:val="center"/>
            <w:hideMark/>
          </w:tcPr>
          <w:p w14:paraId="49FD56ED" w14:textId="77777777" w:rsidR="00520349" w:rsidRPr="00520349" w:rsidRDefault="00520349" w:rsidP="00520349">
            <w:pPr>
              <w:spacing w:after="0" w:line="240"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 0.412420</w:t>
            </w:r>
          </w:p>
        </w:tc>
      </w:tr>
      <w:tr w:rsidR="00520349" w:rsidRPr="00520349" w14:paraId="715413E3" w14:textId="77777777" w:rsidTr="00520349">
        <w:trPr>
          <w:trHeight w:val="285"/>
          <w:jc w:val="center"/>
        </w:trPr>
        <w:tc>
          <w:tcPr>
            <w:tcW w:w="8140" w:type="dxa"/>
            <w:gridSpan w:val="6"/>
            <w:tcBorders>
              <w:top w:val="single" w:sz="4" w:space="0" w:color="auto"/>
              <w:left w:val="nil"/>
              <w:bottom w:val="nil"/>
              <w:right w:val="nil"/>
            </w:tcBorders>
            <w:shd w:val="clear" w:color="auto" w:fill="auto"/>
            <w:noWrap/>
            <w:vAlign w:val="bottom"/>
            <w:hideMark/>
          </w:tcPr>
          <w:p w14:paraId="73647E74" w14:textId="77777777" w:rsidR="00520349" w:rsidRPr="00520349" w:rsidRDefault="00520349" w:rsidP="00520349">
            <w:pPr>
              <w:spacing w:after="0" w:line="240" w:lineRule="auto"/>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ID" w:eastAsia="zh-CN"/>
              </w:rPr>
              <w:t>Source: Data Processed</w:t>
            </w:r>
          </w:p>
        </w:tc>
      </w:tr>
    </w:tbl>
    <w:p w14:paraId="4448AA7F" w14:textId="77777777" w:rsidR="00520349" w:rsidRDefault="00520349" w:rsidP="00520349">
      <w:pPr>
        <w:spacing w:after="0" w:line="240" w:lineRule="auto"/>
        <w:rPr>
          <w:rFonts w:ascii="Times New Roman" w:eastAsia="Sitka Banner" w:hAnsi="Times New Roman" w:cs="Times New Roman"/>
          <w:sz w:val="24"/>
          <w:szCs w:val="24"/>
          <w:lang w:val="en-US"/>
        </w:rPr>
      </w:pPr>
    </w:p>
    <w:p w14:paraId="7A0FF61F" w14:textId="50A3BF01" w:rsidR="00D518B5" w:rsidRDefault="00520349" w:rsidP="00B771AA">
      <w:pPr>
        <w:spacing w:after="0" w:line="240" w:lineRule="auto"/>
        <w:ind w:firstLine="720"/>
        <w:jc w:val="both"/>
        <w:rPr>
          <w:rFonts w:ascii="Times New Roman" w:eastAsia="Sitka Banner" w:hAnsi="Times New Roman" w:cs="Times New Roman"/>
          <w:sz w:val="24"/>
          <w:szCs w:val="24"/>
        </w:rPr>
      </w:pPr>
      <w:r w:rsidRPr="00520349">
        <w:rPr>
          <w:rFonts w:ascii="Times New Roman" w:eastAsia="Sitka Banner" w:hAnsi="Times New Roman" w:cs="Times New Roman"/>
          <w:sz w:val="24"/>
          <w:szCs w:val="24"/>
        </w:rPr>
        <w:t>The results of this study were obtained through panel data logistic regression analysis of 75 observations from 15 non-bank state-owned companies listed on the Indonesia Stock Exchange during the 2019–2023 period. The dependent variable financial distress is measured using the Altman Z-Score, which is converted into a dummy variable, while the independent variables include political stability (SP), profitability (PF), and liquidity (LQ), as well as two control variables, namely sales growth and company age. The data were processed using EViews 12 and SPSS software with a logistic regression model to test the effect of each variable on the probability of financial distress. This study uses 75 observations from the financial statements of 15 non-bank state-owned companies for the 2019–2023 period. Descriptive statistical analysis shows: Political Stability (SP) has a minimum value of -0.170 (2019) and a maximum of -0.004 (2023), with an average of -0.0846 and a standard deviation of 0.0551. This indicates relatively stable political fluctuations between years. Profitability (PF) shows a minimum value of -4.11 (WSBP 2020) and a maximum of 5.30 (INAF 2022), with an average of 0.079 and a standard deviation of 0.804. The distribution of data is very heterogeneous, indicating that profitability performance between companies varies greatly. Liquidity (LQ) has a minimum value of 0.28 (JSMR 2019) and a maximum of 4.17 (INAF 2019), with an average of 1.323 and a standard deviation of 0.623. This shows relatively good liquidity consistency between companies. A binary logistic regression model is used to analyze the effect of political stability, profitability, and liquidity on financial distress, with sales growth and company age as control variables. The test results show that the regression model has good feasibility, indicated by:</w:t>
      </w:r>
    </w:p>
    <w:p w14:paraId="143BDE3A" w14:textId="77777777" w:rsidR="00520349" w:rsidRDefault="00520349" w:rsidP="00B771AA">
      <w:pPr>
        <w:spacing w:after="0" w:line="240" w:lineRule="auto"/>
        <w:ind w:firstLine="720"/>
        <w:jc w:val="both"/>
        <w:rPr>
          <w:rFonts w:ascii="Times New Roman" w:eastAsia="Sitka Banner" w:hAnsi="Times New Roman" w:cs="Times New Roman"/>
          <w:sz w:val="24"/>
          <w:szCs w:val="24"/>
        </w:rPr>
      </w:pPr>
    </w:p>
    <w:tbl>
      <w:tblPr>
        <w:tblW w:w="7180" w:type="dxa"/>
        <w:jc w:val="center"/>
        <w:tblLook w:val="04A0" w:firstRow="1" w:lastRow="0" w:firstColumn="1" w:lastColumn="0" w:noHBand="0" w:noVBand="1"/>
      </w:tblPr>
      <w:tblGrid>
        <w:gridCol w:w="2740"/>
        <w:gridCol w:w="1320"/>
        <w:gridCol w:w="2100"/>
        <w:gridCol w:w="1020"/>
      </w:tblGrid>
      <w:tr w:rsidR="00520349" w:rsidRPr="00520349" w14:paraId="195FB885" w14:textId="77777777" w:rsidTr="00963E2E">
        <w:trPr>
          <w:trHeight w:val="308"/>
          <w:jc w:val="center"/>
        </w:trPr>
        <w:tc>
          <w:tcPr>
            <w:tcW w:w="7180" w:type="dxa"/>
            <w:gridSpan w:val="4"/>
            <w:tcBorders>
              <w:top w:val="nil"/>
              <w:left w:val="nil"/>
              <w:bottom w:val="single" w:sz="4" w:space="0" w:color="auto"/>
              <w:right w:val="nil"/>
            </w:tcBorders>
            <w:shd w:val="clear" w:color="auto" w:fill="auto"/>
            <w:vAlign w:val="center"/>
            <w:hideMark/>
          </w:tcPr>
          <w:p w14:paraId="7B697FFB" w14:textId="687894B7" w:rsidR="00520349" w:rsidRPr="00520349" w:rsidRDefault="00520349" w:rsidP="00963E2E">
            <w:pPr>
              <w:spacing w:after="0" w:line="276" w:lineRule="auto"/>
              <w:jc w:val="center"/>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Table 3</w:t>
            </w:r>
            <w:r w:rsidR="00963E2E">
              <w:rPr>
                <w:rFonts w:ascii="Times New Roman" w:eastAsia="Times New Roman" w:hAnsi="Times New Roman" w:cs="Times New Roman"/>
                <w:color w:val="000000"/>
                <w:sz w:val="24"/>
                <w:szCs w:val="24"/>
                <w:lang w:eastAsia="zh-CN"/>
              </w:rPr>
              <w:t xml:space="preserve"> Homes-Lemeshow Test (HL-Test)</w:t>
            </w:r>
          </w:p>
        </w:tc>
      </w:tr>
      <w:tr w:rsidR="00520349" w:rsidRPr="00520349" w14:paraId="6DE40237" w14:textId="77777777" w:rsidTr="00963E2E">
        <w:trPr>
          <w:trHeight w:val="308"/>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0836955F" w14:textId="77777777" w:rsidR="00520349" w:rsidRPr="00520349" w:rsidRDefault="00520349" w:rsidP="00963E2E">
            <w:pPr>
              <w:spacing w:after="0" w:line="276" w:lineRule="auto"/>
              <w:jc w:val="both"/>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H-L Statistic</w:t>
            </w:r>
          </w:p>
        </w:tc>
        <w:tc>
          <w:tcPr>
            <w:tcW w:w="1320" w:type="dxa"/>
            <w:tcBorders>
              <w:top w:val="nil"/>
              <w:left w:val="nil"/>
              <w:bottom w:val="single" w:sz="4" w:space="0" w:color="auto"/>
              <w:right w:val="single" w:sz="4" w:space="0" w:color="auto"/>
            </w:tcBorders>
            <w:shd w:val="clear" w:color="auto" w:fill="auto"/>
            <w:vAlign w:val="center"/>
            <w:hideMark/>
          </w:tcPr>
          <w:p w14:paraId="310D02D4" w14:textId="77777777" w:rsidR="00520349" w:rsidRPr="00520349" w:rsidRDefault="00520349" w:rsidP="00963E2E">
            <w:pPr>
              <w:spacing w:after="0" w:line="276" w:lineRule="auto"/>
              <w:jc w:val="both"/>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4.8667</w:t>
            </w:r>
          </w:p>
        </w:tc>
        <w:tc>
          <w:tcPr>
            <w:tcW w:w="2100" w:type="dxa"/>
            <w:tcBorders>
              <w:top w:val="nil"/>
              <w:left w:val="nil"/>
              <w:bottom w:val="single" w:sz="4" w:space="0" w:color="auto"/>
              <w:right w:val="single" w:sz="4" w:space="0" w:color="auto"/>
            </w:tcBorders>
            <w:shd w:val="clear" w:color="auto" w:fill="auto"/>
            <w:vAlign w:val="center"/>
            <w:hideMark/>
          </w:tcPr>
          <w:p w14:paraId="5B324406" w14:textId="77777777" w:rsidR="00520349" w:rsidRPr="00520349" w:rsidRDefault="00520349" w:rsidP="00963E2E">
            <w:pPr>
              <w:spacing w:after="0" w:line="276" w:lineRule="auto"/>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Prob. Chi-Sq(8)</w:t>
            </w:r>
          </w:p>
        </w:tc>
        <w:tc>
          <w:tcPr>
            <w:tcW w:w="1020" w:type="dxa"/>
            <w:tcBorders>
              <w:top w:val="nil"/>
              <w:left w:val="nil"/>
              <w:bottom w:val="single" w:sz="4" w:space="0" w:color="auto"/>
              <w:right w:val="single" w:sz="4" w:space="0" w:color="auto"/>
            </w:tcBorders>
            <w:shd w:val="clear" w:color="auto" w:fill="auto"/>
            <w:vAlign w:val="center"/>
            <w:hideMark/>
          </w:tcPr>
          <w:p w14:paraId="32687F2F" w14:textId="77777777" w:rsidR="00520349" w:rsidRPr="00520349" w:rsidRDefault="00520349" w:rsidP="00963E2E">
            <w:pPr>
              <w:spacing w:after="0" w:line="276" w:lineRule="auto"/>
              <w:jc w:val="both"/>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0.7717</w:t>
            </w:r>
          </w:p>
        </w:tc>
      </w:tr>
      <w:tr w:rsidR="00520349" w:rsidRPr="00520349" w14:paraId="628FE427" w14:textId="77777777" w:rsidTr="00963E2E">
        <w:trPr>
          <w:trHeight w:val="308"/>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5F35F782" w14:textId="77777777" w:rsidR="00520349" w:rsidRPr="00520349" w:rsidRDefault="00520349" w:rsidP="00963E2E">
            <w:pPr>
              <w:spacing w:after="0" w:line="276" w:lineRule="auto"/>
              <w:jc w:val="both"/>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Andrews Statistic</w:t>
            </w:r>
          </w:p>
        </w:tc>
        <w:tc>
          <w:tcPr>
            <w:tcW w:w="1320" w:type="dxa"/>
            <w:tcBorders>
              <w:top w:val="nil"/>
              <w:left w:val="nil"/>
              <w:bottom w:val="single" w:sz="4" w:space="0" w:color="auto"/>
              <w:right w:val="single" w:sz="4" w:space="0" w:color="auto"/>
            </w:tcBorders>
            <w:shd w:val="clear" w:color="auto" w:fill="auto"/>
            <w:vAlign w:val="center"/>
            <w:hideMark/>
          </w:tcPr>
          <w:p w14:paraId="34651610" w14:textId="77777777" w:rsidR="00520349" w:rsidRPr="00520349" w:rsidRDefault="00520349" w:rsidP="00963E2E">
            <w:pPr>
              <w:spacing w:after="0" w:line="276" w:lineRule="auto"/>
              <w:jc w:val="both"/>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24.7783</w:t>
            </w:r>
          </w:p>
        </w:tc>
        <w:tc>
          <w:tcPr>
            <w:tcW w:w="2100" w:type="dxa"/>
            <w:tcBorders>
              <w:top w:val="nil"/>
              <w:left w:val="nil"/>
              <w:bottom w:val="single" w:sz="4" w:space="0" w:color="auto"/>
              <w:right w:val="single" w:sz="4" w:space="0" w:color="auto"/>
            </w:tcBorders>
            <w:shd w:val="clear" w:color="auto" w:fill="auto"/>
            <w:vAlign w:val="center"/>
            <w:hideMark/>
          </w:tcPr>
          <w:p w14:paraId="250C2381" w14:textId="77777777" w:rsidR="00520349" w:rsidRPr="00520349" w:rsidRDefault="00520349" w:rsidP="00963E2E">
            <w:pPr>
              <w:spacing w:after="0" w:line="276" w:lineRule="auto"/>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Prob. Chi-Sq(10)</w:t>
            </w:r>
          </w:p>
        </w:tc>
        <w:tc>
          <w:tcPr>
            <w:tcW w:w="1020" w:type="dxa"/>
            <w:tcBorders>
              <w:top w:val="nil"/>
              <w:left w:val="nil"/>
              <w:bottom w:val="single" w:sz="4" w:space="0" w:color="auto"/>
              <w:right w:val="single" w:sz="4" w:space="0" w:color="auto"/>
            </w:tcBorders>
            <w:shd w:val="clear" w:color="auto" w:fill="auto"/>
            <w:vAlign w:val="center"/>
            <w:hideMark/>
          </w:tcPr>
          <w:p w14:paraId="5DBACE79" w14:textId="77777777" w:rsidR="00520349" w:rsidRPr="00520349" w:rsidRDefault="00520349" w:rsidP="00963E2E">
            <w:pPr>
              <w:spacing w:after="0" w:line="276" w:lineRule="auto"/>
              <w:jc w:val="both"/>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eastAsia="zh-CN"/>
              </w:rPr>
              <w:t>0.0058</w:t>
            </w:r>
          </w:p>
        </w:tc>
      </w:tr>
      <w:tr w:rsidR="00520349" w:rsidRPr="00520349" w14:paraId="733B3941" w14:textId="77777777" w:rsidTr="00963E2E">
        <w:trPr>
          <w:trHeight w:val="285"/>
          <w:jc w:val="center"/>
        </w:trPr>
        <w:tc>
          <w:tcPr>
            <w:tcW w:w="7180" w:type="dxa"/>
            <w:gridSpan w:val="4"/>
            <w:tcBorders>
              <w:top w:val="single" w:sz="4" w:space="0" w:color="auto"/>
              <w:left w:val="nil"/>
              <w:bottom w:val="nil"/>
              <w:right w:val="nil"/>
            </w:tcBorders>
            <w:shd w:val="clear" w:color="auto" w:fill="auto"/>
            <w:noWrap/>
            <w:vAlign w:val="bottom"/>
            <w:hideMark/>
          </w:tcPr>
          <w:p w14:paraId="45309119" w14:textId="77777777" w:rsidR="00520349" w:rsidRPr="00520349" w:rsidRDefault="00520349" w:rsidP="00963E2E">
            <w:pPr>
              <w:spacing w:after="0" w:line="276" w:lineRule="auto"/>
              <w:rPr>
                <w:rFonts w:ascii="Times New Roman" w:eastAsia="Times New Roman" w:hAnsi="Times New Roman" w:cs="Times New Roman"/>
                <w:color w:val="000000"/>
                <w:sz w:val="24"/>
                <w:szCs w:val="24"/>
                <w:lang w:val="en-ID" w:eastAsia="zh-CN"/>
              </w:rPr>
            </w:pPr>
            <w:r w:rsidRPr="00520349">
              <w:rPr>
                <w:rFonts w:ascii="Times New Roman" w:eastAsia="Times New Roman" w:hAnsi="Times New Roman" w:cs="Times New Roman"/>
                <w:color w:val="000000"/>
                <w:sz w:val="24"/>
                <w:szCs w:val="24"/>
                <w:lang w:val="en-ID" w:eastAsia="zh-CN"/>
              </w:rPr>
              <w:t>Source: Data processed</w:t>
            </w:r>
          </w:p>
        </w:tc>
      </w:tr>
    </w:tbl>
    <w:p w14:paraId="75D4D46D" w14:textId="2DD84786" w:rsidR="00947D66" w:rsidRDefault="00963E2E" w:rsidP="00C667B3">
      <w:pPr>
        <w:spacing w:after="0" w:line="240" w:lineRule="auto"/>
        <w:ind w:firstLine="720"/>
        <w:jc w:val="both"/>
        <w:rPr>
          <w:rFonts w:ascii="Times New Roman" w:eastAsia="Sitka Banner" w:hAnsi="Times New Roman" w:cs="Times New Roman"/>
          <w:sz w:val="24"/>
          <w:szCs w:val="24"/>
        </w:rPr>
      </w:pPr>
      <w:r w:rsidRPr="00963E2E">
        <w:rPr>
          <w:rFonts w:ascii="Times New Roman" w:eastAsia="Sitka Banner" w:hAnsi="Times New Roman" w:cs="Times New Roman"/>
          <w:sz w:val="24"/>
          <w:szCs w:val="24"/>
        </w:rPr>
        <w:lastRenderedPageBreak/>
        <w:t>The Hosmer-Lemeshow Test value of 0.7717 &gt; 0.05 indicates a good model fit (Sihombing, 2022).</w:t>
      </w:r>
    </w:p>
    <w:p w14:paraId="57B535B9" w14:textId="77777777" w:rsidR="00963E2E" w:rsidRDefault="00963E2E" w:rsidP="00B771AA">
      <w:pPr>
        <w:spacing w:after="0" w:line="240" w:lineRule="auto"/>
        <w:jc w:val="both"/>
        <w:rPr>
          <w:rFonts w:ascii="Times New Roman" w:eastAsia="Sitka Banner" w:hAnsi="Times New Roman" w:cs="Times New Roman"/>
          <w:sz w:val="24"/>
          <w:szCs w:val="24"/>
        </w:rPr>
      </w:pPr>
    </w:p>
    <w:tbl>
      <w:tblPr>
        <w:tblW w:w="5340" w:type="dxa"/>
        <w:jc w:val="center"/>
        <w:tblLook w:val="04A0" w:firstRow="1" w:lastRow="0" w:firstColumn="1" w:lastColumn="0" w:noHBand="0" w:noVBand="1"/>
      </w:tblPr>
      <w:tblGrid>
        <w:gridCol w:w="3600"/>
        <w:gridCol w:w="1740"/>
      </w:tblGrid>
      <w:tr w:rsidR="00963E2E" w:rsidRPr="00963E2E" w14:paraId="341E2A30" w14:textId="77777777" w:rsidTr="00963E2E">
        <w:trPr>
          <w:trHeight w:val="308"/>
          <w:jc w:val="center"/>
        </w:trPr>
        <w:tc>
          <w:tcPr>
            <w:tcW w:w="5340" w:type="dxa"/>
            <w:gridSpan w:val="2"/>
            <w:tcBorders>
              <w:top w:val="nil"/>
              <w:left w:val="nil"/>
              <w:bottom w:val="single" w:sz="4" w:space="0" w:color="auto"/>
              <w:right w:val="nil"/>
            </w:tcBorders>
            <w:shd w:val="clear" w:color="auto" w:fill="auto"/>
            <w:vAlign w:val="center"/>
            <w:hideMark/>
          </w:tcPr>
          <w:p w14:paraId="72D36D8A" w14:textId="63E8F335"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Table 4:</w:t>
            </w:r>
            <w:r>
              <w:rPr>
                <w:rFonts w:ascii="Times New Roman" w:eastAsia="Times New Roman" w:hAnsi="Times New Roman" w:cs="Times New Roman"/>
                <w:color w:val="000000"/>
                <w:sz w:val="24"/>
                <w:szCs w:val="24"/>
                <w:lang w:eastAsia="zh-CN"/>
              </w:rPr>
              <w:t xml:space="preserve"> Overall Model Fit Test</w:t>
            </w:r>
          </w:p>
        </w:tc>
      </w:tr>
      <w:tr w:rsidR="00963E2E" w:rsidRPr="00963E2E" w14:paraId="2FF8C530" w14:textId="77777777" w:rsidTr="00963E2E">
        <w:trPr>
          <w:trHeight w:val="308"/>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04455260" w14:textId="77777777" w:rsidR="00963E2E" w:rsidRPr="00963E2E" w:rsidRDefault="00963E2E" w:rsidP="00963E2E">
            <w:pPr>
              <w:spacing w:after="0" w:line="240" w:lineRule="auto"/>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LR statistic</w:t>
            </w:r>
          </w:p>
        </w:tc>
        <w:tc>
          <w:tcPr>
            <w:tcW w:w="1740" w:type="dxa"/>
            <w:tcBorders>
              <w:top w:val="nil"/>
              <w:left w:val="nil"/>
              <w:bottom w:val="single" w:sz="4" w:space="0" w:color="auto"/>
              <w:right w:val="single" w:sz="4" w:space="0" w:color="auto"/>
            </w:tcBorders>
            <w:shd w:val="clear" w:color="auto" w:fill="auto"/>
            <w:vAlign w:val="center"/>
            <w:hideMark/>
          </w:tcPr>
          <w:p w14:paraId="7275E5AB" w14:textId="77777777" w:rsidR="00963E2E" w:rsidRPr="00963E2E" w:rsidRDefault="00963E2E" w:rsidP="00963E2E">
            <w:pPr>
              <w:spacing w:after="0" w:line="240" w:lineRule="auto"/>
              <w:jc w:val="right"/>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19.05255</w:t>
            </w:r>
          </w:p>
        </w:tc>
      </w:tr>
      <w:tr w:rsidR="00963E2E" w:rsidRPr="00963E2E" w14:paraId="6CF6D343" w14:textId="77777777" w:rsidTr="00963E2E">
        <w:trPr>
          <w:trHeight w:val="308"/>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75B183D9" w14:textId="77777777" w:rsidR="00963E2E" w:rsidRPr="00963E2E" w:rsidRDefault="00963E2E" w:rsidP="00963E2E">
            <w:pPr>
              <w:spacing w:after="0" w:line="240" w:lineRule="auto"/>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Prob(LR statistic)</w:t>
            </w:r>
          </w:p>
        </w:tc>
        <w:tc>
          <w:tcPr>
            <w:tcW w:w="1740" w:type="dxa"/>
            <w:tcBorders>
              <w:top w:val="nil"/>
              <w:left w:val="nil"/>
              <w:bottom w:val="single" w:sz="4" w:space="0" w:color="auto"/>
              <w:right w:val="single" w:sz="4" w:space="0" w:color="auto"/>
            </w:tcBorders>
            <w:shd w:val="clear" w:color="auto" w:fill="auto"/>
            <w:vAlign w:val="center"/>
            <w:hideMark/>
          </w:tcPr>
          <w:p w14:paraId="361C0BA0" w14:textId="77777777" w:rsidR="00963E2E" w:rsidRPr="00963E2E" w:rsidRDefault="00963E2E" w:rsidP="00963E2E">
            <w:pPr>
              <w:spacing w:after="0" w:line="240" w:lineRule="auto"/>
              <w:jc w:val="right"/>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0.001879</w:t>
            </w:r>
          </w:p>
        </w:tc>
      </w:tr>
      <w:tr w:rsidR="00963E2E" w:rsidRPr="00963E2E" w14:paraId="0FC33386" w14:textId="77777777" w:rsidTr="00963E2E">
        <w:trPr>
          <w:trHeight w:val="308"/>
          <w:jc w:val="center"/>
        </w:trPr>
        <w:tc>
          <w:tcPr>
            <w:tcW w:w="5340" w:type="dxa"/>
            <w:gridSpan w:val="2"/>
            <w:tcBorders>
              <w:top w:val="single" w:sz="4" w:space="0" w:color="auto"/>
              <w:left w:val="nil"/>
              <w:bottom w:val="nil"/>
              <w:right w:val="nil"/>
            </w:tcBorders>
            <w:shd w:val="clear" w:color="auto" w:fill="auto"/>
            <w:vAlign w:val="center"/>
            <w:hideMark/>
          </w:tcPr>
          <w:p w14:paraId="54139EE2" w14:textId="77777777" w:rsidR="00963E2E" w:rsidRPr="00963E2E" w:rsidRDefault="00963E2E" w:rsidP="00963E2E">
            <w:pPr>
              <w:spacing w:after="0" w:line="240" w:lineRule="auto"/>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Source; Data processed</w:t>
            </w:r>
          </w:p>
        </w:tc>
      </w:tr>
    </w:tbl>
    <w:p w14:paraId="2EAF65EA" w14:textId="77777777" w:rsidR="00963E2E" w:rsidRPr="00B771AA" w:rsidRDefault="00963E2E" w:rsidP="00B771AA">
      <w:pPr>
        <w:spacing w:after="0" w:line="240" w:lineRule="auto"/>
        <w:jc w:val="both"/>
        <w:rPr>
          <w:rFonts w:ascii="Times New Roman" w:eastAsia="Sitka Banner" w:hAnsi="Times New Roman" w:cs="Times New Roman"/>
          <w:sz w:val="24"/>
          <w:szCs w:val="24"/>
        </w:rPr>
      </w:pPr>
    </w:p>
    <w:p w14:paraId="34FE4281" w14:textId="2FE3F015" w:rsidR="00D518B5" w:rsidRDefault="00963E2E" w:rsidP="00C667B3">
      <w:pPr>
        <w:spacing w:after="0" w:line="240" w:lineRule="auto"/>
        <w:ind w:firstLine="720"/>
        <w:jc w:val="both"/>
        <w:rPr>
          <w:rFonts w:ascii="Times New Roman" w:eastAsia="Sitka Banner" w:hAnsi="Times New Roman" w:cs="Times New Roman"/>
          <w:sz w:val="24"/>
          <w:szCs w:val="24"/>
        </w:rPr>
      </w:pPr>
      <w:r w:rsidRPr="00963E2E">
        <w:rPr>
          <w:rFonts w:ascii="Times New Roman" w:eastAsia="Sitka Banner" w:hAnsi="Times New Roman" w:cs="Times New Roman"/>
          <w:sz w:val="24"/>
          <w:szCs w:val="24"/>
        </w:rPr>
        <w:t>Overall Model Fit is significant with an LR statistic value of 19.05 (p = 0.001879 &lt; 0.05), meaning that there is at least one significant variable (Widarjono, 2010).</w:t>
      </w:r>
    </w:p>
    <w:p w14:paraId="4D9473C5" w14:textId="77777777" w:rsidR="00963E2E" w:rsidRDefault="00963E2E" w:rsidP="00B771AA">
      <w:pPr>
        <w:spacing w:after="0" w:line="240" w:lineRule="auto"/>
        <w:jc w:val="both"/>
        <w:rPr>
          <w:rFonts w:ascii="Times New Roman" w:eastAsia="Sitka Banner" w:hAnsi="Times New Roman" w:cs="Times New Roman"/>
          <w:sz w:val="24"/>
          <w:szCs w:val="24"/>
        </w:rPr>
      </w:pPr>
    </w:p>
    <w:tbl>
      <w:tblPr>
        <w:tblW w:w="5340" w:type="dxa"/>
        <w:jc w:val="center"/>
        <w:tblLook w:val="04A0" w:firstRow="1" w:lastRow="0" w:firstColumn="1" w:lastColumn="0" w:noHBand="0" w:noVBand="1"/>
      </w:tblPr>
      <w:tblGrid>
        <w:gridCol w:w="3600"/>
        <w:gridCol w:w="1740"/>
      </w:tblGrid>
      <w:tr w:rsidR="00963E2E" w:rsidRPr="00963E2E" w14:paraId="338A7D34" w14:textId="77777777" w:rsidTr="00963E2E">
        <w:trPr>
          <w:trHeight w:val="308"/>
          <w:jc w:val="center"/>
        </w:trPr>
        <w:tc>
          <w:tcPr>
            <w:tcW w:w="5340" w:type="dxa"/>
            <w:gridSpan w:val="2"/>
            <w:tcBorders>
              <w:top w:val="nil"/>
              <w:left w:val="nil"/>
              <w:bottom w:val="single" w:sz="4" w:space="0" w:color="auto"/>
              <w:right w:val="nil"/>
            </w:tcBorders>
            <w:shd w:val="clear" w:color="auto" w:fill="auto"/>
            <w:vAlign w:val="center"/>
            <w:hideMark/>
          </w:tcPr>
          <w:p w14:paraId="01D3C072" w14:textId="5151D57E" w:rsidR="00963E2E" w:rsidRPr="00963E2E" w:rsidRDefault="00963E2E" w:rsidP="00963E2E">
            <w:pPr>
              <w:spacing w:after="0" w:line="276"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 xml:space="preserve">Table </w:t>
            </w:r>
            <w:r w:rsidR="00227DD3">
              <w:rPr>
                <w:rFonts w:ascii="Times New Roman" w:eastAsia="Times New Roman" w:hAnsi="Times New Roman" w:cs="Times New Roman"/>
                <w:color w:val="000000"/>
                <w:sz w:val="24"/>
                <w:szCs w:val="24"/>
                <w:lang w:eastAsia="zh-CN"/>
              </w:rPr>
              <w:t>5</w:t>
            </w:r>
            <w:r w:rsidRPr="00963E2E">
              <w:rPr>
                <w:rFonts w:ascii="Times New Roman" w:eastAsia="Times New Roman" w:hAnsi="Times New Roman" w:cs="Times New Roman"/>
                <w:color w:val="000000"/>
                <w:sz w:val="24"/>
                <w:szCs w:val="24"/>
                <w:lang w:eastAsia="zh-CN"/>
              </w:rPr>
              <w:t>: Peseudo R-Square (McFadden)</w:t>
            </w:r>
          </w:p>
        </w:tc>
      </w:tr>
      <w:tr w:rsidR="00963E2E" w:rsidRPr="00963E2E" w14:paraId="17B1A0B9" w14:textId="77777777" w:rsidTr="00963E2E">
        <w:trPr>
          <w:trHeight w:val="308"/>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62F1F8AD" w14:textId="77777777" w:rsidR="00963E2E" w:rsidRPr="00963E2E" w:rsidRDefault="00963E2E" w:rsidP="00963E2E">
            <w:pPr>
              <w:spacing w:after="0" w:line="360" w:lineRule="auto"/>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McFadden R-squared</w:t>
            </w:r>
          </w:p>
        </w:tc>
        <w:tc>
          <w:tcPr>
            <w:tcW w:w="1740" w:type="dxa"/>
            <w:tcBorders>
              <w:top w:val="nil"/>
              <w:left w:val="nil"/>
              <w:bottom w:val="single" w:sz="4" w:space="0" w:color="auto"/>
              <w:right w:val="single" w:sz="4" w:space="0" w:color="auto"/>
            </w:tcBorders>
            <w:shd w:val="clear" w:color="auto" w:fill="auto"/>
            <w:vAlign w:val="center"/>
            <w:hideMark/>
          </w:tcPr>
          <w:p w14:paraId="77DDEBF2" w14:textId="77777777" w:rsidR="00963E2E" w:rsidRPr="00963E2E" w:rsidRDefault="00963E2E" w:rsidP="00963E2E">
            <w:pPr>
              <w:spacing w:after="0" w:line="360" w:lineRule="auto"/>
              <w:jc w:val="right"/>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0.245046</w:t>
            </w:r>
          </w:p>
        </w:tc>
      </w:tr>
      <w:tr w:rsidR="00963E2E" w:rsidRPr="00963E2E" w14:paraId="165268CD" w14:textId="77777777" w:rsidTr="00963E2E">
        <w:trPr>
          <w:trHeight w:val="308"/>
          <w:jc w:val="center"/>
        </w:trPr>
        <w:tc>
          <w:tcPr>
            <w:tcW w:w="5340" w:type="dxa"/>
            <w:gridSpan w:val="2"/>
            <w:tcBorders>
              <w:top w:val="single" w:sz="4" w:space="0" w:color="auto"/>
              <w:left w:val="nil"/>
              <w:bottom w:val="nil"/>
              <w:right w:val="nil"/>
            </w:tcBorders>
            <w:shd w:val="clear" w:color="auto" w:fill="auto"/>
            <w:vAlign w:val="center"/>
            <w:hideMark/>
          </w:tcPr>
          <w:p w14:paraId="146F8BC9" w14:textId="77777777" w:rsidR="00963E2E" w:rsidRPr="00963E2E" w:rsidRDefault="00963E2E" w:rsidP="00963E2E">
            <w:pPr>
              <w:spacing w:after="0" w:line="360" w:lineRule="auto"/>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Source; Data processed</w:t>
            </w:r>
          </w:p>
        </w:tc>
      </w:tr>
    </w:tbl>
    <w:p w14:paraId="11D403AF" w14:textId="77777777" w:rsidR="00963E2E" w:rsidRDefault="00963E2E" w:rsidP="00B771AA">
      <w:pPr>
        <w:spacing w:after="0" w:line="240" w:lineRule="auto"/>
        <w:jc w:val="both"/>
        <w:rPr>
          <w:rFonts w:ascii="Times New Roman" w:eastAsia="Sitka Banner" w:hAnsi="Times New Roman" w:cs="Times New Roman"/>
          <w:sz w:val="24"/>
          <w:szCs w:val="24"/>
        </w:rPr>
      </w:pPr>
    </w:p>
    <w:p w14:paraId="194A1141" w14:textId="39B6EE08" w:rsidR="00D518B5" w:rsidRDefault="00963E2E" w:rsidP="00C667B3">
      <w:pPr>
        <w:spacing w:after="0" w:line="240" w:lineRule="auto"/>
        <w:ind w:firstLine="720"/>
        <w:jc w:val="both"/>
        <w:rPr>
          <w:rFonts w:ascii="Times New Roman" w:eastAsia="Sitka Banner" w:hAnsi="Times New Roman" w:cs="Times New Roman"/>
          <w:sz w:val="24"/>
          <w:szCs w:val="24"/>
        </w:rPr>
      </w:pPr>
      <w:r w:rsidRPr="00963E2E">
        <w:rPr>
          <w:rFonts w:ascii="Times New Roman" w:eastAsia="Sitka Banner" w:hAnsi="Times New Roman" w:cs="Times New Roman"/>
          <w:sz w:val="24"/>
          <w:szCs w:val="24"/>
        </w:rPr>
        <w:t>McFadden's pseudo R² of 0.245, indicates that 24.5% of the variation in financial distress can be explained by the independent variables.</w:t>
      </w:r>
    </w:p>
    <w:p w14:paraId="72F5C6FD" w14:textId="77777777" w:rsidR="00963E2E" w:rsidRDefault="00963E2E" w:rsidP="00B771AA">
      <w:pPr>
        <w:spacing w:after="0" w:line="240" w:lineRule="auto"/>
        <w:jc w:val="both"/>
        <w:rPr>
          <w:rFonts w:ascii="Times New Roman" w:eastAsia="Sitka Banner" w:hAnsi="Times New Roman" w:cs="Times New Roman"/>
          <w:sz w:val="24"/>
          <w:szCs w:val="24"/>
        </w:rPr>
      </w:pPr>
    </w:p>
    <w:p w14:paraId="626C311E" w14:textId="77777777" w:rsidR="00C667B3" w:rsidRPr="00C667B3" w:rsidRDefault="00C667B3" w:rsidP="00C667B3">
      <w:pPr>
        <w:spacing w:after="0" w:line="240" w:lineRule="auto"/>
        <w:jc w:val="both"/>
        <w:rPr>
          <w:rFonts w:ascii="Times New Roman" w:eastAsia="Sitka Banner" w:hAnsi="Times New Roman" w:cs="Times New Roman"/>
          <w:sz w:val="24"/>
          <w:szCs w:val="24"/>
        </w:rPr>
      </w:pPr>
      <w:r w:rsidRPr="00C667B3">
        <w:rPr>
          <w:rFonts w:ascii="Times New Roman" w:eastAsia="Sitka Banner" w:hAnsi="Times New Roman" w:cs="Times New Roman"/>
          <w:sz w:val="24"/>
          <w:szCs w:val="24"/>
        </w:rPr>
        <w:t>Discussion</w:t>
      </w:r>
    </w:p>
    <w:p w14:paraId="3A64E410" w14:textId="5B9231D3" w:rsidR="00C667B3" w:rsidRDefault="00C667B3" w:rsidP="00C667B3">
      <w:pPr>
        <w:spacing w:after="0" w:line="240" w:lineRule="auto"/>
        <w:jc w:val="both"/>
        <w:rPr>
          <w:rFonts w:ascii="Times New Roman" w:eastAsia="Sitka Banner" w:hAnsi="Times New Roman" w:cs="Times New Roman"/>
          <w:sz w:val="24"/>
          <w:szCs w:val="24"/>
        </w:rPr>
      </w:pPr>
      <w:r w:rsidRPr="00C667B3">
        <w:rPr>
          <w:rFonts w:ascii="Times New Roman" w:eastAsia="Sitka Banner" w:hAnsi="Times New Roman" w:cs="Times New Roman"/>
          <w:sz w:val="24"/>
          <w:szCs w:val="24"/>
        </w:rPr>
        <w:t xml:space="preserve">By using logistic regression analysis, the results of the hypothesis test estimates are obtained as in table </w:t>
      </w:r>
      <w:r w:rsidR="00227DD3">
        <w:rPr>
          <w:rFonts w:ascii="Times New Roman" w:eastAsia="Sitka Banner" w:hAnsi="Times New Roman" w:cs="Times New Roman"/>
          <w:sz w:val="24"/>
          <w:szCs w:val="24"/>
        </w:rPr>
        <w:t>6</w:t>
      </w:r>
      <w:r w:rsidRPr="00C667B3">
        <w:rPr>
          <w:rFonts w:ascii="Times New Roman" w:eastAsia="Sitka Banner" w:hAnsi="Times New Roman" w:cs="Times New Roman"/>
          <w:sz w:val="24"/>
          <w:szCs w:val="24"/>
        </w:rPr>
        <w:t xml:space="preserve"> below:</w:t>
      </w:r>
    </w:p>
    <w:p w14:paraId="1613528B" w14:textId="77777777" w:rsidR="00C667B3" w:rsidRPr="00B771AA" w:rsidRDefault="00C667B3" w:rsidP="00B771AA">
      <w:pPr>
        <w:spacing w:after="0" w:line="240" w:lineRule="auto"/>
        <w:jc w:val="both"/>
        <w:rPr>
          <w:rFonts w:ascii="Times New Roman" w:eastAsia="Sitka Banner" w:hAnsi="Times New Roman" w:cs="Times New Roman"/>
          <w:sz w:val="24"/>
          <w:szCs w:val="24"/>
        </w:rPr>
      </w:pPr>
    </w:p>
    <w:tbl>
      <w:tblPr>
        <w:tblW w:w="7100" w:type="dxa"/>
        <w:jc w:val="center"/>
        <w:tblLook w:val="04A0" w:firstRow="1" w:lastRow="0" w:firstColumn="1" w:lastColumn="0" w:noHBand="0" w:noVBand="1"/>
      </w:tblPr>
      <w:tblGrid>
        <w:gridCol w:w="1560"/>
        <w:gridCol w:w="1460"/>
        <w:gridCol w:w="1300"/>
        <w:gridCol w:w="1320"/>
        <w:gridCol w:w="1460"/>
      </w:tblGrid>
      <w:tr w:rsidR="00963E2E" w:rsidRPr="00963E2E" w14:paraId="55119559" w14:textId="77777777" w:rsidTr="00C667B3">
        <w:trPr>
          <w:trHeight w:hRule="exact" w:val="308"/>
          <w:jc w:val="center"/>
        </w:trPr>
        <w:tc>
          <w:tcPr>
            <w:tcW w:w="7100" w:type="dxa"/>
            <w:gridSpan w:val="5"/>
            <w:tcBorders>
              <w:top w:val="nil"/>
              <w:left w:val="nil"/>
              <w:bottom w:val="single" w:sz="4" w:space="0" w:color="auto"/>
              <w:right w:val="nil"/>
            </w:tcBorders>
            <w:shd w:val="clear" w:color="auto" w:fill="auto"/>
            <w:vAlign w:val="center"/>
            <w:hideMark/>
          </w:tcPr>
          <w:p w14:paraId="3DF0AC5F" w14:textId="78CD3044"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 xml:space="preserve">Table </w:t>
            </w:r>
            <w:r w:rsidR="00227DD3">
              <w:rPr>
                <w:rFonts w:ascii="Times New Roman" w:eastAsia="Times New Roman" w:hAnsi="Times New Roman" w:cs="Times New Roman"/>
                <w:color w:val="000000"/>
                <w:sz w:val="24"/>
                <w:szCs w:val="24"/>
                <w:lang w:eastAsia="zh-CN"/>
              </w:rPr>
              <w:t>6</w:t>
            </w:r>
            <w:r w:rsidRPr="00963E2E">
              <w:rPr>
                <w:rFonts w:ascii="Times New Roman" w:eastAsia="Times New Roman" w:hAnsi="Times New Roman" w:cs="Times New Roman"/>
                <w:color w:val="000000"/>
                <w:sz w:val="24"/>
                <w:szCs w:val="24"/>
                <w:lang w:eastAsia="zh-CN"/>
              </w:rPr>
              <w:t xml:space="preserve">: </w:t>
            </w:r>
            <w:r w:rsidR="00C667B3" w:rsidRPr="00C667B3">
              <w:rPr>
                <w:rFonts w:ascii="Times New Roman" w:eastAsia="Times New Roman" w:hAnsi="Times New Roman" w:cs="Times New Roman"/>
                <w:color w:val="000000"/>
                <w:sz w:val="24"/>
                <w:szCs w:val="24"/>
                <w:lang w:eastAsia="zh-CN"/>
              </w:rPr>
              <w:t>Logistic Regression Estimation Results</w:t>
            </w:r>
          </w:p>
        </w:tc>
      </w:tr>
      <w:tr w:rsidR="00963E2E" w:rsidRPr="00963E2E" w14:paraId="3D737937" w14:textId="77777777" w:rsidTr="00C667B3">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E9B5332"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Variable</w:t>
            </w:r>
          </w:p>
        </w:tc>
        <w:tc>
          <w:tcPr>
            <w:tcW w:w="1460" w:type="dxa"/>
            <w:tcBorders>
              <w:top w:val="nil"/>
              <w:left w:val="nil"/>
              <w:bottom w:val="single" w:sz="4" w:space="0" w:color="auto"/>
              <w:right w:val="single" w:sz="4" w:space="0" w:color="auto"/>
            </w:tcBorders>
            <w:shd w:val="clear" w:color="auto" w:fill="auto"/>
            <w:vAlign w:val="center"/>
            <w:hideMark/>
          </w:tcPr>
          <w:p w14:paraId="47D3732A"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Coefficient</w:t>
            </w:r>
          </w:p>
        </w:tc>
        <w:tc>
          <w:tcPr>
            <w:tcW w:w="1300" w:type="dxa"/>
            <w:tcBorders>
              <w:top w:val="nil"/>
              <w:left w:val="nil"/>
              <w:bottom w:val="single" w:sz="4" w:space="0" w:color="auto"/>
              <w:right w:val="single" w:sz="4" w:space="0" w:color="auto"/>
            </w:tcBorders>
            <w:shd w:val="clear" w:color="auto" w:fill="auto"/>
            <w:vAlign w:val="center"/>
            <w:hideMark/>
          </w:tcPr>
          <w:p w14:paraId="15F5EF79"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Std. Error</w:t>
            </w:r>
          </w:p>
        </w:tc>
        <w:tc>
          <w:tcPr>
            <w:tcW w:w="1320" w:type="dxa"/>
            <w:tcBorders>
              <w:top w:val="nil"/>
              <w:left w:val="nil"/>
              <w:bottom w:val="single" w:sz="4" w:space="0" w:color="auto"/>
              <w:right w:val="single" w:sz="4" w:space="0" w:color="auto"/>
            </w:tcBorders>
            <w:shd w:val="clear" w:color="auto" w:fill="auto"/>
            <w:vAlign w:val="center"/>
            <w:hideMark/>
          </w:tcPr>
          <w:p w14:paraId="16F0A6F0"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z-Statistic</w:t>
            </w:r>
          </w:p>
        </w:tc>
        <w:tc>
          <w:tcPr>
            <w:tcW w:w="1460" w:type="dxa"/>
            <w:tcBorders>
              <w:top w:val="nil"/>
              <w:left w:val="nil"/>
              <w:bottom w:val="single" w:sz="4" w:space="0" w:color="auto"/>
              <w:right w:val="single" w:sz="4" w:space="0" w:color="auto"/>
            </w:tcBorders>
            <w:shd w:val="clear" w:color="auto" w:fill="auto"/>
            <w:vAlign w:val="center"/>
            <w:hideMark/>
          </w:tcPr>
          <w:p w14:paraId="2940FE96"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Prob</w:t>
            </w:r>
          </w:p>
        </w:tc>
      </w:tr>
      <w:tr w:rsidR="00963E2E" w:rsidRPr="00963E2E" w14:paraId="01D76648" w14:textId="77777777" w:rsidTr="00C667B3">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1FDF9B7"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FD</w:t>
            </w:r>
          </w:p>
        </w:tc>
        <w:tc>
          <w:tcPr>
            <w:tcW w:w="1460" w:type="dxa"/>
            <w:tcBorders>
              <w:top w:val="nil"/>
              <w:left w:val="nil"/>
              <w:bottom w:val="single" w:sz="4" w:space="0" w:color="auto"/>
              <w:right w:val="single" w:sz="4" w:space="0" w:color="auto"/>
            </w:tcBorders>
            <w:shd w:val="clear" w:color="auto" w:fill="auto"/>
            <w:vAlign w:val="center"/>
            <w:hideMark/>
          </w:tcPr>
          <w:p w14:paraId="5761A6F0"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3.214246</w:t>
            </w:r>
          </w:p>
        </w:tc>
        <w:tc>
          <w:tcPr>
            <w:tcW w:w="1300" w:type="dxa"/>
            <w:tcBorders>
              <w:top w:val="nil"/>
              <w:left w:val="nil"/>
              <w:bottom w:val="single" w:sz="4" w:space="0" w:color="auto"/>
              <w:right w:val="single" w:sz="4" w:space="0" w:color="auto"/>
            </w:tcBorders>
            <w:shd w:val="clear" w:color="auto" w:fill="auto"/>
            <w:vAlign w:val="center"/>
            <w:hideMark/>
          </w:tcPr>
          <w:p w14:paraId="584E2DA3"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1.281915</w:t>
            </w:r>
          </w:p>
        </w:tc>
        <w:tc>
          <w:tcPr>
            <w:tcW w:w="1320" w:type="dxa"/>
            <w:tcBorders>
              <w:top w:val="nil"/>
              <w:left w:val="nil"/>
              <w:bottom w:val="single" w:sz="4" w:space="0" w:color="auto"/>
              <w:right w:val="single" w:sz="4" w:space="0" w:color="auto"/>
            </w:tcBorders>
            <w:shd w:val="clear" w:color="auto" w:fill="auto"/>
            <w:vAlign w:val="center"/>
            <w:hideMark/>
          </w:tcPr>
          <w:p w14:paraId="4A39A7FF"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2.507378</w:t>
            </w:r>
          </w:p>
        </w:tc>
        <w:tc>
          <w:tcPr>
            <w:tcW w:w="1460" w:type="dxa"/>
            <w:tcBorders>
              <w:top w:val="nil"/>
              <w:left w:val="nil"/>
              <w:bottom w:val="single" w:sz="4" w:space="0" w:color="auto"/>
              <w:right w:val="single" w:sz="4" w:space="0" w:color="auto"/>
            </w:tcBorders>
            <w:shd w:val="clear" w:color="auto" w:fill="auto"/>
            <w:vAlign w:val="center"/>
            <w:hideMark/>
          </w:tcPr>
          <w:p w14:paraId="20EEBD0D"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0.0122</w:t>
            </w:r>
          </w:p>
        </w:tc>
      </w:tr>
      <w:tr w:rsidR="00963E2E" w:rsidRPr="00963E2E" w14:paraId="1F557938" w14:textId="77777777" w:rsidTr="00C667B3">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F7B815E" w14:textId="7EC401B6" w:rsidR="00963E2E" w:rsidRPr="00963E2E" w:rsidRDefault="00C667B3" w:rsidP="00963E2E">
            <w:pPr>
              <w:spacing w:after="0" w:line="240" w:lineRule="auto"/>
              <w:jc w:val="center"/>
              <w:rPr>
                <w:rFonts w:ascii="Times New Roman" w:eastAsia="Times New Roman" w:hAnsi="Times New Roman" w:cs="Times New Roman"/>
                <w:color w:val="000000"/>
                <w:sz w:val="24"/>
                <w:szCs w:val="24"/>
                <w:lang w:val="en-ID" w:eastAsia="zh-CN"/>
              </w:rPr>
            </w:pPr>
            <w:r>
              <w:rPr>
                <w:rFonts w:ascii="Times New Roman" w:eastAsia="Times New Roman" w:hAnsi="Times New Roman" w:cs="Times New Roman"/>
                <w:color w:val="000000"/>
                <w:sz w:val="24"/>
                <w:szCs w:val="24"/>
                <w:lang w:val="en-ID" w:eastAsia="zh-CN"/>
              </w:rPr>
              <w:t>PS</w:t>
            </w:r>
          </w:p>
        </w:tc>
        <w:tc>
          <w:tcPr>
            <w:tcW w:w="1460" w:type="dxa"/>
            <w:tcBorders>
              <w:top w:val="nil"/>
              <w:left w:val="nil"/>
              <w:bottom w:val="single" w:sz="4" w:space="0" w:color="auto"/>
              <w:right w:val="single" w:sz="4" w:space="0" w:color="auto"/>
            </w:tcBorders>
            <w:shd w:val="clear" w:color="auto" w:fill="auto"/>
            <w:vAlign w:val="center"/>
            <w:hideMark/>
          </w:tcPr>
          <w:p w14:paraId="001EC93F"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-14.77886</w:t>
            </w:r>
          </w:p>
        </w:tc>
        <w:tc>
          <w:tcPr>
            <w:tcW w:w="1300" w:type="dxa"/>
            <w:tcBorders>
              <w:top w:val="nil"/>
              <w:left w:val="nil"/>
              <w:bottom w:val="single" w:sz="4" w:space="0" w:color="auto"/>
              <w:right w:val="single" w:sz="4" w:space="0" w:color="auto"/>
            </w:tcBorders>
            <w:shd w:val="clear" w:color="auto" w:fill="auto"/>
            <w:vAlign w:val="center"/>
            <w:hideMark/>
          </w:tcPr>
          <w:p w14:paraId="381B350D"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7.269161</w:t>
            </w:r>
          </w:p>
        </w:tc>
        <w:tc>
          <w:tcPr>
            <w:tcW w:w="1320" w:type="dxa"/>
            <w:tcBorders>
              <w:top w:val="nil"/>
              <w:left w:val="nil"/>
              <w:bottom w:val="single" w:sz="4" w:space="0" w:color="auto"/>
              <w:right w:val="single" w:sz="4" w:space="0" w:color="auto"/>
            </w:tcBorders>
            <w:shd w:val="clear" w:color="auto" w:fill="auto"/>
            <w:vAlign w:val="center"/>
            <w:hideMark/>
          </w:tcPr>
          <w:p w14:paraId="06CF124A"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-2.03309</w:t>
            </w:r>
          </w:p>
        </w:tc>
        <w:tc>
          <w:tcPr>
            <w:tcW w:w="1460" w:type="dxa"/>
            <w:tcBorders>
              <w:top w:val="nil"/>
              <w:left w:val="nil"/>
              <w:bottom w:val="single" w:sz="4" w:space="0" w:color="auto"/>
              <w:right w:val="single" w:sz="4" w:space="0" w:color="auto"/>
            </w:tcBorders>
            <w:shd w:val="clear" w:color="auto" w:fill="auto"/>
            <w:vAlign w:val="center"/>
            <w:hideMark/>
          </w:tcPr>
          <w:p w14:paraId="50FD4539"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0.042</w:t>
            </w:r>
          </w:p>
        </w:tc>
      </w:tr>
      <w:tr w:rsidR="00963E2E" w:rsidRPr="00963E2E" w14:paraId="5B620A8F" w14:textId="77777777" w:rsidTr="00C667B3">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D182732" w14:textId="61225116"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P</w:t>
            </w:r>
            <w:r w:rsidR="00C667B3">
              <w:rPr>
                <w:rFonts w:ascii="Times New Roman" w:eastAsia="Times New Roman" w:hAnsi="Times New Roman" w:cs="Times New Roman"/>
                <w:color w:val="000000"/>
                <w:sz w:val="24"/>
                <w:szCs w:val="24"/>
                <w:lang w:eastAsia="zh-CN"/>
              </w:rPr>
              <w:t>RO</w:t>
            </w:r>
          </w:p>
        </w:tc>
        <w:tc>
          <w:tcPr>
            <w:tcW w:w="1460" w:type="dxa"/>
            <w:tcBorders>
              <w:top w:val="nil"/>
              <w:left w:val="nil"/>
              <w:bottom w:val="single" w:sz="4" w:space="0" w:color="auto"/>
              <w:right w:val="single" w:sz="4" w:space="0" w:color="auto"/>
            </w:tcBorders>
            <w:shd w:val="clear" w:color="auto" w:fill="auto"/>
            <w:vAlign w:val="center"/>
            <w:hideMark/>
          </w:tcPr>
          <w:p w14:paraId="12A47871"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-0.729841</w:t>
            </w:r>
          </w:p>
        </w:tc>
        <w:tc>
          <w:tcPr>
            <w:tcW w:w="1300" w:type="dxa"/>
            <w:tcBorders>
              <w:top w:val="nil"/>
              <w:left w:val="nil"/>
              <w:bottom w:val="single" w:sz="4" w:space="0" w:color="auto"/>
              <w:right w:val="single" w:sz="4" w:space="0" w:color="auto"/>
            </w:tcBorders>
            <w:shd w:val="clear" w:color="auto" w:fill="auto"/>
            <w:vAlign w:val="center"/>
            <w:hideMark/>
          </w:tcPr>
          <w:p w14:paraId="4AAD4145"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0.653652</w:t>
            </w:r>
          </w:p>
        </w:tc>
        <w:tc>
          <w:tcPr>
            <w:tcW w:w="1320" w:type="dxa"/>
            <w:tcBorders>
              <w:top w:val="nil"/>
              <w:left w:val="nil"/>
              <w:bottom w:val="single" w:sz="4" w:space="0" w:color="auto"/>
              <w:right w:val="single" w:sz="4" w:space="0" w:color="auto"/>
            </w:tcBorders>
            <w:shd w:val="clear" w:color="auto" w:fill="auto"/>
            <w:vAlign w:val="center"/>
            <w:hideMark/>
          </w:tcPr>
          <w:p w14:paraId="73ADD313"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-1.116559</w:t>
            </w:r>
          </w:p>
        </w:tc>
        <w:tc>
          <w:tcPr>
            <w:tcW w:w="1460" w:type="dxa"/>
            <w:tcBorders>
              <w:top w:val="nil"/>
              <w:left w:val="nil"/>
              <w:bottom w:val="single" w:sz="4" w:space="0" w:color="auto"/>
              <w:right w:val="single" w:sz="4" w:space="0" w:color="auto"/>
            </w:tcBorders>
            <w:shd w:val="clear" w:color="auto" w:fill="auto"/>
            <w:vAlign w:val="center"/>
            <w:hideMark/>
          </w:tcPr>
          <w:p w14:paraId="6E876607"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0.2642</w:t>
            </w:r>
          </w:p>
        </w:tc>
      </w:tr>
      <w:tr w:rsidR="00963E2E" w:rsidRPr="00963E2E" w14:paraId="5641F671" w14:textId="77777777" w:rsidTr="00C667B3">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3BFF11" w14:textId="7C8D923A"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L</w:t>
            </w:r>
            <w:r w:rsidR="00C667B3">
              <w:rPr>
                <w:rFonts w:ascii="Times New Roman" w:eastAsia="Times New Roman" w:hAnsi="Times New Roman" w:cs="Times New Roman"/>
                <w:color w:val="000000"/>
                <w:sz w:val="24"/>
                <w:szCs w:val="24"/>
                <w:lang w:eastAsia="zh-CN"/>
              </w:rPr>
              <w:t>I</w:t>
            </w:r>
            <w:r w:rsidRPr="00963E2E">
              <w:rPr>
                <w:rFonts w:ascii="Times New Roman" w:eastAsia="Times New Roman" w:hAnsi="Times New Roman" w:cs="Times New Roman"/>
                <w:color w:val="000000"/>
                <w:sz w:val="24"/>
                <w:szCs w:val="24"/>
                <w:lang w:eastAsia="zh-CN"/>
              </w:rPr>
              <w:t>Q</w:t>
            </w:r>
          </w:p>
        </w:tc>
        <w:tc>
          <w:tcPr>
            <w:tcW w:w="1460" w:type="dxa"/>
            <w:tcBorders>
              <w:top w:val="nil"/>
              <w:left w:val="nil"/>
              <w:bottom w:val="single" w:sz="4" w:space="0" w:color="auto"/>
              <w:right w:val="single" w:sz="4" w:space="0" w:color="auto"/>
            </w:tcBorders>
            <w:shd w:val="clear" w:color="auto" w:fill="auto"/>
            <w:vAlign w:val="center"/>
            <w:hideMark/>
          </w:tcPr>
          <w:p w14:paraId="27B51754"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-1.93087</w:t>
            </w:r>
          </w:p>
        </w:tc>
        <w:tc>
          <w:tcPr>
            <w:tcW w:w="1300" w:type="dxa"/>
            <w:tcBorders>
              <w:top w:val="nil"/>
              <w:left w:val="nil"/>
              <w:bottom w:val="single" w:sz="4" w:space="0" w:color="auto"/>
              <w:right w:val="single" w:sz="4" w:space="0" w:color="auto"/>
            </w:tcBorders>
            <w:shd w:val="clear" w:color="auto" w:fill="auto"/>
            <w:vAlign w:val="center"/>
            <w:hideMark/>
          </w:tcPr>
          <w:p w14:paraId="694CB76C"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0.618474</w:t>
            </w:r>
          </w:p>
        </w:tc>
        <w:tc>
          <w:tcPr>
            <w:tcW w:w="1320" w:type="dxa"/>
            <w:tcBorders>
              <w:top w:val="nil"/>
              <w:left w:val="nil"/>
              <w:bottom w:val="single" w:sz="4" w:space="0" w:color="auto"/>
              <w:right w:val="single" w:sz="4" w:space="0" w:color="auto"/>
            </w:tcBorders>
            <w:shd w:val="clear" w:color="auto" w:fill="auto"/>
            <w:vAlign w:val="center"/>
            <w:hideMark/>
          </w:tcPr>
          <w:p w14:paraId="3F259622"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-3.121991</w:t>
            </w:r>
          </w:p>
        </w:tc>
        <w:tc>
          <w:tcPr>
            <w:tcW w:w="1460" w:type="dxa"/>
            <w:tcBorders>
              <w:top w:val="nil"/>
              <w:left w:val="nil"/>
              <w:bottom w:val="single" w:sz="4" w:space="0" w:color="auto"/>
              <w:right w:val="single" w:sz="4" w:space="0" w:color="auto"/>
            </w:tcBorders>
            <w:shd w:val="clear" w:color="auto" w:fill="auto"/>
            <w:vAlign w:val="center"/>
            <w:hideMark/>
          </w:tcPr>
          <w:p w14:paraId="1FFD5F69"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0.0018</w:t>
            </w:r>
          </w:p>
        </w:tc>
      </w:tr>
      <w:tr w:rsidR="00963E2E" w:rsidRPr="00963E2E" w14:paraId="732231B9" w14:textId="77777777" w:rsidTr="00C667B3">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B9828D7" w14:textId="5E2FC815"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G</w:t>
            </w:r>
            <w:r w:rsidR="00C667B3">
              <w:rPr>
                <w:rFonts w:ascii="Times New Roman" w:eastAsia="Times New Roman" w:hAnsi="Times New Roman" w:cs="Times New Roman"/>
                <w:color w:val="000000"/>
                <w:sz w:val="24"/>
                <w:szCs w:val="24"/>
                <w:lang w:eastAsia="zh-CN"/>
              </w:rPr>
              <w:t>R</w:t>
            </w:r>
            <w:r w:rsidRPr="00963E2E">
              <w:rPr>
                <w:rFonts w:ascii="Times New Roman" w:eastAsia="Times New Roman" w:hAnsi="Times New Roman" w:cs="Times New Roman"/>
                <w:color w:val="000000"/>
                <w:sz w:val="24"/>
                <w:szCs w:val="24"/>
                <w:lang w:eastAsia="zh-CN"/>
              </w:rPr>
              <w:t>W</w:t>
            </w:r>
          </w:p>
        </w:tc>
        <w:tc>
          <w:tcPr>
            <w:tcW w:w="1460" w:type="dxa"/>
            <w:tcBorders>
              <w:top w:val="nil"/>
              <w:left w:val="nil"/>
              <w:bottom w:val="single" w:sz="4" w:space="0" w:color="auto"/>
              <w:right w:val="single" w:sz="4" w:space="0" w:color="auto"/>
            </w:tcBorders>
            <w:shd w:val="clear" w:color="auto" w:fill="auto"/>
            <w:vAlign w:val="center"/>
            <w:hideMark/>
          </w:tcPr>
          <w:p w14:paraId="57638723"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-1.51518</w:t>
            </w:r>
          </w:p>
        </w:tc>
        <w:tc>
          <w:tcPr>
            <w:tcW w:w="1300" w:type="dxa"/>
            <w:tcBorders>
              <w:top w:val="nil"/>
              <w:left w:val="nil"/>
              <w:bottom w:val="single" w:sz="4" w:space="0" w:color="auto"/>
              <w:right w:val="single" w:sz="4" w:space="0" w:color="auto"/>
            </w:tcBorders>
            <w:shd w:val="clear" w:color="auto" w:fill="auto"/>
            <w:vAlign w:val="center"/>
            <w:hideMark/>
          </w:tcPr>
          <w:p w14:paraId="20442B0D"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1.198175</w:t>
            </w:r>
          </w:p>
        </w:tc>
        <w:tc>
          <w:tcPr>
            <w:tcW w:w="1320" w:type="dxa"/>
            <w:tcBorders>
              <w:top w:val="nil"/>
              <w:left w:val="nil"/>
              <w:bottom w:val="single" w:sz="4" w:space="0" w:color="auto"/>
              <w:right w:val="single" w:sz="4" w:space="0" w:color="auto"/>
            </w:tcBorders>
            <w:shd w:val="clear" w:color="auto" w:fill="auto"/>
            <w:vAlign w:val="center"/>
            <w:hideMark/>
          </w:tcPr>
          <w:p w14:paraId="72344353"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-1.264573</w:t>
            </w:r>
          </w:p>
        </w:tc>
        <w:tc>
          <w:tcPr>
            <w:tcW w:w="1460" w:type="dxa"/>
            <w:tcBorders>
              <w:top w:val="nil"/>
              <w:left w:val="nil"/>
              <w:bottom w:val="single" w:sz="4" w:space="0" w:color="auto"/>
              <w:right w:val="single" w:sz="4" w:space="0" w:color="auto"/>
            </w:tcBorders>
            <w:shd w:val="clear" w:color="auto" w:fill="auto"/>
            <w:vAlign w:val="center"/>
            <w:hideMark/>
          </w:tcPr>
          <w:p w14:paraId="5A07AA6E"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0.206</w:t>
            </w:r>
          </w:p>
        </w:tc>
      </w:tr>
      <w:tr w:rsidR="00963E2E" w:rsidRPr="00963E2E" w14:paraId="6F7B9D23" w14:textId="77777777" w:rsidTr="00C667B3">
        <w:trPr>
          <w:trHeight w:val="308"/>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1DA7867"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AGE</w:t>
            </w:r>
          </w:p>
        </w:tc>
        <w:tc>
          <w:tcPr>
            <w:tcW w:w="1460" w:type="dxa"/>
            <w:tcBorders>
              <w:top w:val="nil"/>
              <w:left w:val="nil"/>
              <w:bottom w:val="single" w:sz="4" w:space="0" w:color="auto"/>
              <w:right w:val="single" w:sz="4" w:space="0" w:color="auto"/>
            </w:tcBorders>
            <w:shd w:val="clear" w:color="auto" w:fill="auto"/>
            <w:vAlign w:val="center"/>
            <w:hideMark/>
          </w:tcPr>
          <w:p w14:paraId="3549B400"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-0.009286</w:t>
            </w:r>
          </w:p>
        </w:tc>
        <w:tc>
          <w:tcPr>
            <w:tcW w:w="1300" w:type="dxa"/>
            <w:tcBorders>
              <w:top w:val="nil"/>
              <w:left w:val="nil"/>
              <w:bottom w:val="single" w:sz="4" w:space="0" w:color="auto"/>
              <w:right w:val="single" w:sz="4" w:space="0" w:color="auto"/>
            </w:tcBorders>
            <w:shd w:val="clear" w:color="auto" w:fill="auto"/>
            <w:vAlign w:val="center"/>
            <w:hideMark/>
          </w:tcPr>
          <w:p w14:paraId="678B40C3"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0.044918</w:t>
            </w:r>
          </w:p>
        </w:tc>
        <w:tc>
          <w:tcPr>
            <w:tcW w:w="1320" w:type="dxa"/>
            <w:tcBorders>
              <w:top w:val="nil"/>
              <w:left w:val="nil"/>
              <w:bottom w:val="single" w:sz="4" w:space="0" w:color="auto"/>
              <w:right w:val="single" w:sz="4" w:space="0" w:color="auto"/>
            </w:tcBorders>
            <w:shd w:val="clear" w:color="auto" w:fill="auto"/>
            <w:vAlign w:val="center"/>
            <w:hideMark/>
          </w:tcPr>
          <w:p w14:paraId="644064BC"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-0.206726</w:t>
            </w:r>
          </w:p>
        </w:tc>
        <w:tc>
          <w:tcPr>
            <w:tcW w:w="1460" w:type="dxa"/>
            <w:tcBorders>
              <w:top w:val="nil"/>
              <w:left w:val="nil"/>
              <w:bottom w:val="single" w:sz="4" w:space="0" w:color="auto"/>
              <w:right w:val="single" w:sz="4" w:space="0" w:color="auto"/>
            </w:tcBorders>
            <w:shd w:val="clear" w:color="auto" w:fill="auto"/>
            <w:vAlign w:val="center"/>
            <w:hideMark/>
          </w:tcPr>
          <w:p w14:paraId="15656FB8" w14:textId="77777777" w:rsidR="00963E2E" w:rsidRPr="00963E2E" w:rsidRDefault="00963E2E" w:rsidP="00963E2E">
            <w:pPr>
              <w:spacing w:after="0" w:line="240" w:lineRule="auto"/>
              <w:jc w:val="center"/>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0.8362</w:t>
            </w:r>
          </w:p>
        </w:tc>
      </w:tr>
      <w:tr w:rsidR="00963E2E" w:rsidRPr="00963E2E" w14:paraId="144690C2" w14:textId="77777777" w:rsidTr="00C667B3">
        <w:trPr>
          <w:trHeight w:val="308"/>
          <w:jc w:val="center"/>
        </w:trPr>
        <w:tc>
          <w:tcPr>
            <w:tcW w:w="7100" w:type="dxa"/>
            <w:gridSpan w:val="5"/>
            <w:tcBorders>
              <w:top w:val="single" w:sz="4" w:space="0" w:color="auto"/>
              <w:left w:val="nil"/>
              <w:bottom w:val="nil"/>
              <w:right w:val="nil"/>
            </w:tcBorders>
            <w:shd w:val="clear" w:color="auto" w:fill="auto"/>
            <w:vAlign w:val="center"/>
            <w:hideMark/>
          </w:tcPr>
          <w:p w14:paraId="744849DD" w14:textId="77777777" w:rsidR="00963E2E" w:rsidRPr="00963E2E" w:rsidRDefault="00963E2E" w:rsidP="00963E2E">
            <w:pPr>
              <w:spacing w:after="0" w:line="240" w:lineRule="auto"/>
              <w:rPr>
                <w:rFonts w:ascii="Times New Roman" w:eastAsia="Times New Roman" w:hAnsi="Times New Roman" w:cs="Times New Roman"/>
                <w:color w:val="000000"/>
                <w:sz w:val="24"/>
                <w:szCs w:val="24"/>
                <w:lang w:val="en-ID" w:eastAsia="zh-CN"/>
              </w:rPr>
            </w:pPr>
            <w:r w:rsidRPr="00963E2E">
              <w:rPr>
                <w:rFonts w:ascii="Times New Roman" w:eastAsia="Times New Roman" w:hAnsi="Times New Roman" w:cs="Times New Roman"/>
                <w:color w:val="000000"/>
                <w:sz w:val="24"/>
                <w:szCs w:val="24"/>
                <w:lang w:eastAsia="zh-CN"/>
              </w:rPr>
              <w:t>Source: Data processed</w:t>
            </w:r>
          </w:p>
        </w:tc>
      </w:tr>
    </w:tbl>
    <w:p w14:paraId="4D161DBE" w14:textId="77777777" w:rsidR="00C667B3" w:rsidRDefault="00C667B3" w:rsidP="00B771AA">
      <w:pPr>
        <w:spacing w:after="0" w:line="240" w:lineRule="auto"/>
        <w:ind w:firstLine="720"/>
        <w:jc w:val="both"/>
        <w:rPr>
          <w:rFonts w:ascii="Times New Roman" w:eastAsia="Sitka Banner" w:hAnsi="Times New Roman" w:cs="Times New Roman"/>
          <w:sz w:val="24"/>
          <w:szCs w:val="24"/>
        </w:rPr>
      </w:pPr>
    </w:p>
    <w:p w14:paraId="419B51C4" w14:textId="1CF98783" w:rsidR="004D525A" w:rsidRDefault="004D525A" w:rsidP="004D525A">
      <w:pPr>
        <w:spacing w:after="0" w:line="240" w:lineRule="auto"/>
        <w:ind w:firstLine="720"/>
        <w:jc w:val="both"/>
        <w:rPr>
          <w:rFonts w:ascii="Times New Roman" w:eastAsia="Sitka Banner" w:hAnsi="Times New Roman" w:cs="Times New Roman"/>
          <w:sz w:val="24"/>
          <w:szCs w:val="24"/>
        </w:rPr>
      </w:pPr>
      <w:r w:rsidRPr="004D525A">
        <w:rPr>
          <w:rFonts w:ascii="Times New Roman" w:eastAsia="Sitka Banner" w:hAnsi="Times New Roman" w:cs="Times New Roman"/>
          <w:sz w:val="24"/>
          <w:szCs w:val="24"/>
        </w:rPr>
        <w:t xml:space="preserve">Based on the results of logistic regression, it was found that political stability (SP) has a negative and significant effect on financial distress at a significance level of 5%. This means that the higher the political stability of a country, the less likely it is for a </w:t>
      </w:r>
      <w:r>
        <w:rPr>
          <w:rFonts w:ascii="Times New Roman" w:eastAsia="Sitka Banner" w:hAnsi="Times New Roman" w:cs="Times New Roman"/>
          <w:sz w:val="24"/>
          <w:szCs w:val="24"/>
        </w:rPr>
        <w:t>SOE</w:t>
      </w:r>
      <w:r w:rsidRPr="004D525A">
        <w:rPr>
          <w:rFonts w:ascii="Times New Roman" w:eastAsia="Sitka Banner" w:hAnsi="Times New Roman" w:cs="Times New Roman"/>
          <w:sz w:val="24"/>
          <w:szCs w:val="24"/>
        </w:rPr>
        <w:t xml:space="preserve"> company to experience financial distress. If political conditions are stable, the economy will also be stable, so that the operations of </w:t>
      </w:r>
      <w:r>
        <w:rPr>
          <w:rFonts w:ascii="Times New Roman" w:eastAsia="Sitka Banner" w:hAnsi="Times New Roman" w:cs="Times New Roman"/>
          <w:sz w:val="24"/>
          <w:szCs w:val="24"/>
        </w:rPr>
        <w:t>SOE</w:t>
      </w:r>
      <w:r w:rsidRPr="004D525A">
        <w:rPr>
          <w:rFonts w:ascii="Times New Roman" w:eastAsia="Sitka Banner" w:hAnsi="Times New Roman" w:cs="Times New Roman"/>
          <w:sz w:val="24"/>
          <w:szCs w:val="24"/>
        </w:rPr>
        <w:t xml:space="preserve"> companies will also improve, reducing the possibility of financial distress. This finding is consistent with research by Gerged et al., (2022) and Wahid (2020) which shows that a stable political environment creates legal certainty and encourages the sustainability of company operations through a conducive investment climate. In the context of Indonesia, this is in line with the findings (Farkhan, 2023) that political uncertainty increases business risks and causes financial pressure on </w:t>
      </w:r>
      <w:r>
        <w:rPr>
          <w:rFonts w:ascii="Times New Roman" w:eastAsia="Sitka Banner" w:hAnsi="Times New Roman" w:cs="Times New Roman"/>
          <w:sz w:val="24"/>
          <w:szCs w:val="24"/>
        </w:rPr>
        <w:t>SOE</w:t>
      </w:r>
      <w:r w:rsidRPr="004D525A">
        <w:rPr>
          <w:rFonts w:ascii="Times New Roman" w:eastAsia="Sitka Banner" w:hAnsi="Times New Roman" w:cs="Times New Roman"/>
          <w:sz w:val="24"/>
          <w:szCs w:val="24"/>
        </w:rPr>
        <w:t xml:space="preserve">. </w:t>
      </w:r>
    </w:p>
    <w:p w14:paraId="0EC65F8D" w14:textId="0EA1AE9C" w:rsidR="004D525A" w:rsidRPr="004D525A" w:rsidRDefault="004D525A" w:rsidP="004D525A">
      <w:pPr>
        <w:spacing w:after="0" w:line="240" w:lineRule="auto"/>
        <w:ind w:firstLine="720"/>
        <w:jc w:val="both"/>
        <w:rPr>
          <w:rFonts w:ascii="Times New Roman" w:eastAsia="Sitka Banner" w:hAnsi="Times New Roman" w:cs="Times New Roman"/>
          <w:sz w:val="24"/>
          <w:szCs w:val="24"/>
        </w:rPr>
      </w:pPr>
      <w:r w:rsidRPr="004D525A">
        <w:rPr>
          <w:rFonts w:ascii="Times New Roman" w:eastAsia="Sitka Banner" w:hAnsi="Times New Roman" w:cs="Times New Roman"/>
          <w:sz w:val="24"/>
          <w:szCs w:val="24"/>
        </w:rPr>
        <w:t xml:space="preserve">Meanwhile, the results of the analysis show that profitability (PRO) as measured by the Return on Equity (ROE) ratio does not have a significant negative effect on the company's financial distress. This means that the level of net profit obtained from equity is not sufficient to explain the financial distress conditions of non-bank </w:t>
      </w:r>
      <w:r>
        <w:rPr>
          <w:rFonts w:ascii="Times New Roman" w:eastAsia="Sitka Banner" w:hAnsi="Times New Roman" w:cs="Times New Roman"/>
          <w:sz w:val="24"/>
          <w:szCs w:val="24"/>
        </w:rPr>
        <w:t>SOE</w:t>
      </w:r>
      <w:r w:rsidRPr="004D525A">
        <w:rPr>
          <w:rFonts w:ascii="Times New Roman" w:eastAsia="Sitka Banner" w:hAnsi="Times New Roman" w:cs="Times New Roman"/>
          <w:sz w:val="24"/>
          <w:szCs w:val="24"/>
        </w:rPr>
        <w:t xml:space="preserve"> during the study period. This finding supports the research results of Pratiwi &amp; Sudiyanto (2022), which states that in the </w:t>
      </w:r>
      <w:r w:rsidRPr="004D525A">
        <w:rPr>
          <w:rFonts w:ascii="Times New Roman" w:eastAsia="Sitka Banner" w:hAnsi="Times New Roman" w:cs="Times New Roman"/>
          <w:sz w:val="24"/>
          <w:szCs w:val="24"/>
        </w:rPr>
        <w:lastRenderedPageBreak/>
        <w:t xml:space="preserve">context of large companies such as </w:t>
      </w:r>
      <w:r>
        <w:rPr>
          <w:rFonts w:ascii="Times New Roman" w:eastAsia="Sitka Banner" w:hAnsi="Times New Roman" w:cs="Times New Roman"/>
          <w:sz w:val="24"/>
          <w:szCs w:val="24"/>
        </w:rPr>
        <w:t>SOE</w:t>
      </w:r>
      <w:r w:rsidRPr="004D525A">
        <w:rPr>
          <w:rFonts w:ascii="Times New Roman" w:eastAsia="Sitka Banner" w:hAnsi="Times New Roman" w:cs="Times New Roman"/>
          <w:sz w:val="24"/>
          <w:szCs w:val="24"/>
        </w:rPr>
        <w:t>, external factors and strategic policies are more dominant than profitability in determining the risk of bankruptcy. This also indicates that profitability is not the only indicator of financial health, because companies can still be vulnerable to distress even though they have positive profits.</w:t>
      </w:r>
    </w:p>
    <w:p w14:paraId="6B4C6076" w14:textId="7ECCA2A1" w:rsidR="004D525A" w:rsidRPr="004D525A" w:rsidRDefault="004D525A" w:rsidP="004D525A">
      <w:pPr>
        <w:spacing w:after="0" w:line="240" w:lineRule="auto"/>
        <w:ind w:firstLine="720"/>
        <w:jc w:val="both"/>
        <w:rPr>
          <w:rFonts w:ascii="Times New Roman" w:eastAsia="Sitka Banner" w:hAnsi="Times New Roman" w:cs="Times New Roman"/>
          <w:sz w:val="24"/>
          <w:szCs w:val="24"/>
        </w:rPr>
      </w:pPr>
      <w:r w:rsidRPr="004D525A">
        <w:rPr>
          <w:rFonts w:ascii="Times New Roman" w:eastAsia="Sitka Banner" w:hAnsi="Times New Roman" w:cs="Times New Roman"/>
          <w:sz w:val="24"/>
          <w:szCs w:val="24"/>
        </w:rPr>
        <w:t xml:space="preserve">Liquidity (LQ) as measured by the current ratio shows a negative and significant effect on financial distress. These results strengthen the argument that companies with high liquidity have a better ability to meet short-term obligations and avoid acute financial pressures. This finding is in line with research by Ria &amp; Susilo, (2023) and Sugiharto et al., (2022), which emphasizes that liquidity is one of the key indicators in detecting potential bankruptcy. </w:t>
      </w:r>
      <w:r>
        <w:rPr>
          <w:rFonts w:ascii="Times New Roman" w:eastAsia="Sitka Banner" w:hAnsi="Times New Roman" w:cs="Times New Roman"/>
          <w:sz w:val="24"/>
          <w:szCs w:val="24"/>
        </w:rPr>
        <w:t>SOE</w:t>
      </w:r>
      <w:r w:rsidRPr="004D525A">
        <w:rPr>
          <w:rFonts w:ascii="Times New Roman" w:eastAsia="Sitka Banner" w:hAnsi="Times New Roman" w:cs="Times New Roman"/>
          <w:sz w:val="24"/>
          <w:szCs w:val="24"/>
        </w:rPr>
        <w:t xml:space="preserve"> companies that manage their current assets efficiently tend to be more resilient to economic shocks or policy changes.</w:t>
      </w:r>
    </w:p>
    <w:p w14:paraId="0314E0B3" w14:textId="2C9CAC2B" w:rsidR="00BF14BB" w:rsidRPr="00B771AA" w:rsidRDefault="004D525A" w:rsidP="004D525A">
      <w:pPr>
        <w:spacing w:after="0" w:line="240" w:lineRule="auto"/>
        <w:ind w:firstLine="720"/>
        <w:jc w:val="both"/>
        <w:rPr>
          <w:rFonts w:ascii="Times New Roman" w:eastAsia="Sitka Banner" w:hAnsi="Times New Roman" w:cs="Times New Roman"/>
          <w:sz w:val="24"/>
          <w:szCs w:val="24"/>
        </w:rPr>
      </w:pPr>
      <w:r w:rsidRPr="004D525A">
        <w:rPr>
          <w:rFonts w:ascii="Times New Roman" w:eastAsia="Sitka Banner" w:hAnsi="Times New Roman" w:cs="Times New Roman"/>
          <w:sz w:val="24"/>
          <w:szCs w:val="24"/>
        </w:rPr>
        <w:t xml:space="preserve">Overall, the research results emphasize that external factors in the form of political stability and internal factors in the form of liquidity have a crucial role in determining the risk of financial distress in non-bank </w:t>
      </w:r>
      <w:r>
        <w:rPr>
          <w:rFonts w:ascii="Times New Roman" w:eastAsia="Sitka Banner" w:hAnsi="Times New Roman" w:cs="Times New Roman"/>
          <w:sz w:val="24"/>
          <w:szCs w:val="24"/>
        </w:rPr>
        <w:t>SOE</w:t>
      </w:r>
      <w:r w:rsidRPr="004D525A">
        <w:rPr>
          <w:rFonts w:ascii="Times New Roman" w:eastAsia="Sitka Banner" w:hAnsi="Times New Roman" w:cs="Times New Roman"/>
          <w:sz w:val="24"/>
          <w:szCs w:val="24"/>
        </w:rPr>
        <w:t xml:space="preserve"> companies. On the other hand, profitability as a general indicator of financial performance has not been shown to be significant in this context. These findings provide important implications for policy makers and corporate management, that strengthening national political stability and efficient liquidity management need to be a priority in efforts to mitigate the risk of </w:t>
      </w:r>
      <w:r>
        <w:rPr>
          <w:rFonts w:ascii="Times New Roman" w:eastAsia="Sitka Banner" w:hAnsi="Times New Roman" w:cs="Times New Roman"/>
          <w:sz w:val="24"/>
          <w:szCs w:val="24"/>
        </w:rPr>
        <w:t>SOE</w:t>
      </w:r>
      <w:r w:rsidRPr="004D525A">
        <w:rPr>
          <w:rFonts w:ascii="Times New Roman" w:eastAsia="Sitka Banner" w:hAnsi="Times New Roman" w:cs="Times New Roman"/>
          <w:sz w:val="24"/>
          <w:szCs w:val="24"/>
        </w:rPr>
        <w:t xml:space="preserve"> bankruptcy.</w:t>
      </w:r>
    </w:p>
    <w:p w14:paraId="63091755" w14:textId="77777777" w:rsidR="00B771AA" w:rsidRPr="00B771AA" w:rsidRDefault="00B771AA" w:rsidP="00B771AA">
      <w:pPr>
        <w:spacing w:line="240" w:lineRule="auto"/>
        <w:rPr>
          <w:rFonts w:ascii="Times New Roman" w:eastAsia="Sitka Banner" w:hAnsi="Times New Roman" w:cs="Times New Roman"/>
          <w:sz w:val="24"/>
          <w:szCs w:val="24"/>
        </w:rPr>
      </w:pPr>
    </w:p>
    <w:p w14:paraId="57318FF0" w14:textId="15BA0DE5" w:rsidR="004D525A" w:rsidRPr="004D525A" w:rsidRDefault="004D525A" w:rsidP="004D525A">
      <w:pPr>
        <w:spacing w:after="0" w:line="240" w:lineRule="auto"/>
        <w:rPr>
          <w:rFonts w:ascii="Times New Roman" w:eastAsia="Sitka Banner" w:hAnsi="Times New Roman" w:cs="Times New Roman"/>
          <w:b/>
          <w:bCs/>
          <w:sz w:val="24"/>
          <w:szCs w:val="24"/>
        </w:rPr>
      </w:pPr>
      <w:r w:rsidRPr="004D525A">
        <w:rPr>
          <w:rFonts w:ascii="Times New Roman" w:eastAsia="Sitka Banner" w:hAnsi="Times New Roman" w:cs="Times New Roman"/>
          <w:b/>
          <w:bCs/>
          <w:sz w:val="24"/>
          <w:szCs w:val="24"/>
        </w:rPr>
        <w:t>Conclusion and Recommendations</w:t>
      </w:r>
    </w:p>
    <w:p w14:paraId="236BD9FC" w14:textId="77777777" w:rsidR="004D525A" w:rsidRPr="004D525A" w:rsidRDefault="004D525A" w:rsidP="004D525A">
      <w:pPr>
        <w:spacing w:after="0" w:line="240" w:lineRule="auto"/>
        <w:ind w:firstLine="720"/>
        <w:jc w:val="both"/>
        <w:rPr>
          <w:rFonts w:ascii="Times New Roman" w:eastAsia="Sitka Banner" w:hAnsi="Times New Roman" w:cs="Times New Roman"/>
          <w:sz w:val="24"/>
          <w:szCs w:val="24"/>
        </w:rPr>
      </w:pPr>
      <w:r w:rsidRPr="004D525A">
        <w:rPr>
          <w:rFonts w:ascii="Times New Roman" w:eastAsia="Sitka Banner" w:hAnsi="Times New Roman" w:cs="Times New Roman"/>
          <w:sz w:val="24"/>
          <w:szCs w:val="24"/>
        </w:rPr>
        <w:t>This study analyzes the effect of political stability, profitability, and liquidity on financial distress in non-bank state-owned enterprises in Indonesia for the period 2019–2023. The results of logistic regression show that political stability and liquidity have a negative and significant effect on financial distress, while profitability has no significant effect.</w:t>
      </w:r>
    </w:p>
    <w:p w14:paraId="7B964C52" w14:textId="77777777" w:rsidR="004D525A" w:rsidRPr="004D525A" w:rsidRDefault="004D525A" w:rsidP="004D525A">
      <w:pPr>
        <w:spacing w:after="0" w:line="240" w:lineRule="auto"/>
        <w:ind w:firstLine="720"/>
        <w:jc w:val="both"/>
        <w:rPr>
          <w:rFonts w:ascii="Times New Roman" w:eastAsia="Sitka Banner" w:hAnsi="Times New Roman" w:cs="Times New Roman"/>
          <w:sz w:val="24"/>
          <w:szCs w:val="24"/>
        </w:rPr>
      </w:pPr>
      <w:r w:rsidRPr="004D525A">
        <w:rPr>
          <w:rFonts w:ascii="Times New Roman" w:eastAsia="Sitka Banner" w:hAnsi="Times New Roman" w:cs="Times New Roman"/>
          <w:sz w:val="24"/>
          <w:szCs w:val="24"/>
        </w:rPr>
        <w:t>This finding confirms that conducive political stability and good liquidity conditions can reduce the risk of financial distress. Although profitability is not statistically significant, profit performance remains important in maintaining financial resilience.</w:t>
      </w:r>
    </w:p>
    <w:p w14:paraId="4FFAD355" w14:textId="77777777" w:rsidR="004D525A" w:rsidRPr="004D525A" w:rsidRDefault="004D525A" w:rsidP="004D525A">
      <w:pPr>
        <w:spacing w:after="0" w:line="240" w:lineRule="auto"/>
        <w:jc w:val="both"/>
        <w:rPr>
          <w:rFonts w:ascii="Times New Roman" w:eastAsia="Sitka Banner" w:hAnsi="Times New Roman" w:cs="Times New Roman"/>
          <w:sz w:val="24"/>
          <w:szCs w:val="24"/>
        </w:rPr>
      </w:pPr>
      <w:r w:rsidRPr="004D525A">
        <w:rPr>
          <w:rFonts w:ascii="Times New Roman" w:eastAsia="Sitka Banner" w:hAnsi="Times New Roman" w:cs="Times New Roman"/>
          <w:sz w:val="24"/>
          <w:szCs w:val="24"/>
        </w:rPr>
        <w:t>The practical implications of this study indicate that state-owned enterprise management needs to strengthen internal management, especially liquidity and operational efficiency. The government also needs to maintain policy stability to support a healthy business climate. For investors, integration between macro and micro indicators needs to be a reference in financial risk analysis.</w:t>
      </w:r>
    </w:p>
    <w:p w14:paraId="618269C1" w14:textId="648A534C" w:rsidR="00B771AA" w:rsidRDefault="004D525A" w:rsidP="004D525A">
      <w:pPr>
        <w:spacing w:after="0" w:line="240" w:lineRule="auto"/>
        <w:ind w:firstLine="720"/>
        <w:jc w:val="both"/>
        <w:rPr>
          <w:rFonts w:ascii="Times New Roman" w:eastAsia="Sitka Banner" w:hAnsi="Times New Roman" w:cs="Times New Roman"/>
          <w:sz w:val="24"/>
          <w:szCs w:val="24"/>
        </w:rPr>
      </w:pPr>
      <w:r w:rsidRPr="004D525A">
        <w:rPr>
          <w:rFonts w:ascii="Times New Roman" w:eastAsia="Sitka Banner" w:hAnsi="Times New Roman" w:cs="Times New Roman"/>
          <w:sz w:val="24"/>
          <w:szCs w:val="24"/>
        </w:rPr>
        <w:t>Academically, this study adds insight into the determinants of financial distress in developing countries. Further research is recommended to include other variables such as leverage, governance, or conduct comparisons between sectors and countries to expand the generalizability of the results, as well as extend the research period.</w:t>
      </w:r>
    </w:p>
    <w:p w14:paraId="170C71EE" w14:textId="77777777" w:rsidR="004D525A" w:rsidRDefault="004D525A" w:rsidP="00C13656">
      <w:pPr>
        <w:spacing w:after="0" w:line="240" w:lineRule="auto"/>
        <w:jc w:val="both"/>
        <w:rPr>
          <w:rFonts w:ascii="Times New Roman" w:eastAsia="Sitka Banner" w:hAnsi="Times New Roman" w:cs="Times New Roman"/>
          <w:sz w:val="24"/>
          <w:szCs w:val="24"/>
        </w:rPr>
      </w:pPr>
    </w:p>
    <w:p w14:paraId="41018804" w14:textId="77777777" w:rsidR="004D525A" w:rsidRPr="004D525A" w:rsidRDefault="004D525A" w:rsidP="004D525A">
      <w:pPr>
        <w:spacing w:after="0" w:line="240" w:lineRule="auto"/>
        <w:ind w:firstLine="720"/>
        <w:jc w:val="both"/>
        <w:rPr>
          <w:rFonts w:ascii="Times New Roman" w:eastAsia="Sitka Banner" w:hAnsi="Times New Roman" w:cs="Times New Roman"/>
          <w:sz w:val="24"/>
          <w:szCs w:val="24"/>
        </w:rPr>
      </w:pPr>
    </w:p>
    <w:p w14:paraId="006E8251" w14:textId="64C36300" w:rsidR="006C6C13" w:rsidRDefault="00C93D87" w:rsidP="004D525A">
      <w:pPr>
        <w:spacing w:after="0" w:line="240" w:lineRule="auto"/>
        <w:rPr>
          <w:rFonts w:ascii="Times New Roman" w:eastAsia="Sitka Banner" w:hAnsi="Times New Roman" w:cs="Times New Roman"/>
          <w:b/>
          <w:bCs/>
          <w:sz w:val="24"/>
          <w:szCs w:val="24"/>
        </w:rPr>
      </w:pPr>
      <w:r>
        <w:rPr>
          <w:rFonts w:ascii="Times New Roman" w:eastAsia="Sitka Banner" w:hAnsi="Times New Roman" w:cs="Times New Roman"/>
          <w:b/>
          <w:bCs/>
          <w:sz w:val="24"/>
          <w:szCs w:val="24"/>
        </w:rPr>
        <w:t>REFERENCES</w:t>
      </w:r>
    </w:p>
    <w:p w14:paraId="0F80B6C0" w14:textId="77777777" w:rsidR="004D525A" w:rsidRPr="00B771AA" w:rsidRDefault="004D525A" w:rsidP="004D525A">
      <w:pPr>
        <w:spacing w:after="0" w:line="240" w:lineRule="auto"/>
        <w:rPr>
          <w:rFonts w:ascii="Times New Roman" w:eastAsia="Sitka Banner" w:hAnsi="Times New Roman" w:cs="Times New Roman"/>
          <w:b/>
          <w:bCs/>
          <w:sz w:val="24"/>
          <w:szCs w:val="24"/>
        </w:rPr>
      </w:pPr>
    </w:p>
    <w:p w14:paraId="0859D599" w14:textId="10F1AEC3"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Aan Marlinah, H. (2023). The Influence of Financial Ratios, Audit Committees, and Corporate Governance on Financial Distress. Media Bisnis, 15(1), 103–120. https://doi.org/10.34208/mb.v15i1.2102</w:t>
      </w:r>
    </w:p>
    <w:p w14:paraId="7963FA1D" w14:textId="1344958F"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Altman, E. I. (1968). Financial Ratios, Discriminant Analysis and the Prediction of Corporate Bankruptcy. The Journal Of Fina</w:t>
      </w:r>
      <w:bookmarkStart w:id="1" w:name="_GoBack"/>
      <w:bookmarkEnd w:id="1"/>
      <w:r w:rsidRPr="00454F17">
        <w:rPr>
          <w:rFonts w:ascii="Times New Roman" w:eastAsia="Sitka Banner" w:hAnsi="Times New Roman" w:cs="Times New Roman"/>
          <w:sz w:val="24"/>
          <w:szCs w:val="24"/>
        </w:rPr>
        <w:t>nce, 23(9), 589–609.</w:t>
      </w:r>
    </w:p>
    <w:p w14:paraId="0B7F18D5" w14:textId="1E5C5C27"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Aprilia, Z. (2024). Krakatau Steel (KRAS) Losses Swell 59% YoY, to IDR 476.57 Billion. https://www.cnbcindonesia.com/market/20240701125955-17-550790/rugi-krakatau-steel--kras--bengkak-59-yoy-jadi-rp-47657-m#:~:text=The losses swelled 59%2C50, equivalent to IDR 38%2C51 trillion.</w:t>
      </w:r>
    </w:p>
    <w:p w14:paraId="25E8653E" w14:textId="10C85E39"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lastRenderedPageBreak/>
        <w:t>Atmaja, M. Y. H., &amp; Davianti, A. (2022). Financial Performance of SOE and Non-SOE Pharmaceutical Companies Before and During the Pandemic. Owner, 6(3), 1657–1675. https://doi.org/10.33395/owner.v6i3.874</w:t>
      </w:r>
    </w:p>
    <w:p w14:paraId="5F80C866" w14:textId="3E1392CD"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Ceylan, I. E. (2021). The impact of firm-specific and macroeconomic factors on financial distress risk: A case study from Turkey. Universal Journal of Accounting and Finance, 9(3), 506–517. https://doi.org/10.13189/ujaf.2021.090325</w:t>
      </w:r>
    </w:p>
    <w:p w14:paraId="6A94D8D4" w14:textId="22CF5BB7"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Damajanti, A., Wulandari, H., &amp; Rosyati, R. (2021). THE EFFECT OF FINANCIAL RATIOS ON FINANCIAL DISTRESS IN RETAIL TRADING SECTOR COMPANIES ON THE INDONESIA STOCK EXCHANGE IN 2015-2018. Solusi, 19(1), 29. https://doi.org/10.26623/slsi.v19i1.2998</w:t>
      </w:r>
    </w:p>
    <w:p w14:paraId="6B4F2CCE" w14:textId="74CED790"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Datun, F. W., &amp; Indrati, M. (2022). The effect of leverage, debt maturity, company size, and company age on company performance. Fair Value: Scientific Journal of Accounting and Finance, 5(5), 2136–2146. https://doi.org/10.32670/fairvalue.v5i5.2725</w:t>
      </w:r>
    </w:p>
    <w:p w14:paraId="5776DB56" w14:textId="244D80B3"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Dewi, L. G. R. P., &amp; Abundanti, N. (2023). The Effect of Liquidity, Company Size, Working Capital Management &amp; Leverage on Company Profitability. E-Journal of Economics and Business, Udayana University, 1239. https://doi.org/10.24843/EEB.2023.v12.i07.p01</w:t>
      </w:r>
    </w:p>
    <w:p w14:paraId="05C95FDE" w14:textId="48A540F7"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Farkhan, M. (2023). Analysis of the Relationship Between Political Stability and Economic Growth. 1–13.</w:t>
      </w:r>
    </w:p>
    <w:p w14:paraId="196F7129" w14:textId="01E5F1A9"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Friska, G., &amp; Pudjolaksono, D. E. (2023). The Effect Of Profitability, Liquidity, Leverage, Sales Growth On Financial Distress In Consumer And Non-Consumer Cyclical Companies Listed On The Idx During The 2019-2021. Journal of Entrepreneurship, 93–106. https://doi.org/10.56943/joe.v2i3.355</w:t>
      </w:r>
    </w:p>
    <w:p w14:paraId="6354FD7F" w14:textId="13A59E85"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Gerged, A. M., Marie, M., &amp; Elbendary, I. (2022). Estimating the Risk of Financial Distress Using a Multi-Layered Governance Criterion: Insights from Middle Eastern and North African Banks. Journal of Risk and Financial Management, 15(12). https://doi.org/10.3390/jrfm15120588</w:t>
      </w:r>
    </w:p>
    <w:p w14:paraId="4E8DD58A" w14:textId="29A168B1"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Ghozali, I. (2016). Multivariate Analysis Application with the IBM SPSS 23 Program. Diponegoro University Publishing Agency.</w:t>
      </w:r>
    </w:p>
    <w:p w14:paraId="3245F842" w14:textId="49428AAD"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Gujarati, D. N. (2021). Essentials of econometrics. Sage Publications.</w:t>
      </w:r>
    </w:p>
    <w:p w14:paraId="4151CFBF" w14:textId="4E94BDE0"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Hapsoro, D., &amp; Falih, Z. N. (2020). The Effect of Firm Size, Profitability, and Liquidity on The Firm Value Moderated by Carbon Emission Disclosure. Journal of Accounting and Investment, 21(2). https://doi.org/10.18196/jai.2102147</w:t>
      </w:r>
    </w:p>
    <w:p w14:paraId="7A9BAF12" w14:textId="10FC7CEA"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Hiba, H., &amp; Prasetyo, A. B. (2024). The Effect of Liquidity Ratio and Financial Leverage Ratio on Company Profitability. Diponegoro Journal of Accounting; Volume 13, Number 1, Year 2024. https://ejournal3.undip.ac.id/index.php/accounting/article/view/42628</w:t>
      </w:r>
    </w:p>
    <w:p w14:paraId="419839D4" w14:textId="1C5D4657"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Hosmer, D. W., &amp; Lemeshow, S. (2000). Applied Logistic Regression. Wiley. https://doi.org/10.1002/0471722146</w:t>
      </w:r>
    </w:p>
    <w:p w14:paraId="07EF5043" w14:textId="7159042E"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Idris, M. (2022). Garuda's Fate: Loss of IDR 62.3 Trillion, then Injected with IDR 7.5 Trillion from the State Budget. Kompas.Com. https://money.kompas.com/read/2022/07/15/082451426/nasib-garuda-rugi-rp-623-triliun-lalu-disuntik-apbn-rp-75-triliun</w:t>
      </w:r>
    </w:p>
    <w:p w14:paraId="02E6D071" w14:textId="7DA2CCFD"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Kaufmann, D., Kraay, A., The, M. M., &amp; Bank, W. (2010). Worldwide Governance Indicator. September. https://www.worldbank.org/en/publication/worldwide-governance-indicators</w:t>
      </w:r>
    </w:p>
    <w:p w14:paraId="6BD73812" w14:textId="09CA142D"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Kong, D., &amp; Shi, L. (2023). Financial constraints and political catering disclosures of non‐state‐owned firms: Evidence from textual analysis. Accounting &amp; Finance, 63(4), 4533–4563. https://doi.org/10.1111/acfi.13107</w:t>
      </w:r>
    </w:p>
    <w:p w14:paraId="3A8EED26" w14:textId="58539BAD"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 xml:space="preserve">Lagasio, V., Brogi, M., Gallucci, C., &amp; Santulli, R. (2023). May board committees reduce the probability of financial distress? A survival analysis on Italian listed companies </w:t>
      </w:r>
      <w:r w:rsidRPr="00454F17">
        <w:rPr>
          <w:rFonts w:ascii="Times New Roman" w:eastAsia="Sitka Banner" w:hAnsi="Times New Roman" w:cs="Times New Roman"/>
          <w:sz w:val="24"/>
          <w:szCs w:val="24"/>
        </w:rPr>
        <w:lastRenderedPageBreak/>
        <w:t>Valentina. International Review of Financial Analysis, 87(February), 102561. https://doi.org/10.1016/j.irfa.2023.102561</w:t>
      </w:r>
    </w:p>
    <w:p w14:paraId="182C96DC" w14:textId="7ABC91D1"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Lerrick, Y. F. (2021). The Effect of Financial Distress, Company Size and Sales Growth on Accounts Payable in Manufacturing Companies on the Indonesia Stock Exchange. Ekopem: Journal of Development Economics, 6(1), 22–28. https://doi.org/10.32938/jep.v6i1.1089</w:t>
      </w:r>
    </w:p>
    <w:p w14:paraId="01A4376A" w14:textId="6B5104C1"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Liahmad, L., Rusnindita, K., Utami, Y. P., &amp; Sitompul, S. (2021). Financial and Non-Financial Factors to Financial Distress Insurance Companies That Are Listed on the Indonesia Stock Exchange. Budapest International Research and Critics Institute (BIRCI-Journal): Humanities and Social Sciences, 4(1), 1305–1312. https://doi.org/10.33258/birci.v4i1.1757</w:t>
      </w:r>
    </w:p>
    <w:p w14:paraId="67D7C15F" w14:textId="4ABFEEFB"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Liang, D., Tsai, C., Lu, H. R., &amp; Chang, L. (2020). Combining corporate governance indicators with stacking ensembles for financial distress prediction. Journal of Business Research, 120(July), 137–146. https://doi.org/10.1016/j.jbusres.2020.07.052</w:t>
      </w:r>
    </w:p>
    <w:p w14:paraId="5B225571" w14:textId="1057D585"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Liu, C., Tang, J., &amp; Huang, C. (2024). Corporate philanthropy, political connections, and costs of equity capital. Kyklos, 77(3), 546–573. https://doi.org/10.1111/kykl.12376</w:t>
      </w:r>
    </w:p>
    <w:p w14:paraId="4F34BA86" w14:textId="72162F64"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Mariath, A. B., Baraldi, L. G., &amp; Martins, A. P. B. (2022). Electoral campaign contributions: an obstacle to sugary drink industry regulation in Brazil? Public Health Nutrition, 25(11), 3215–3224. https://doi.org/10.1017/S1368980021005036</w:t>
      </w:r>
    </w:p>
    <w:p w14:paraId="34E484CA" w14:textId="1C9D1737"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Masulis, R. W., &amp; Reza, S. W. (2023). Private benefits of corporate philanthropy and distortions to corporate financing and investment decisions. Corporate Governance: An International Review, 31(3), 464–490. https://doi.org/10.1111/corg.12476</w:t>
      </w:r>
    </w:p>
    <w:p w14:paraId="3DC7189E" w14:textId="638FE1E8"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Mohsen, A., Haidary, J., &amp; Sadat, S. F. (2021). Effects of the macroeconomic variables on GDP growth of Afghanistan. International Journal of Research and Analytical Reviews, 8(2), 678–689.</w:t>
      </w:r>
    </w:p>
    <w:p w14:paraId="1A083A12" w14:textId="4DD3037F"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Nityakanti, P., &amp; Rahmawati, W. T. (2024). Rugi Waskita Karya (WSKT) Menyentuh Rp 3,77 Triliun di Tahun 2023. Kontan.Co.Id. https://investasi.kontan.co.id/news/rugi-waskita-karya-wskt-menyentuh-rp-377-triliun-di-tahun-2023-ini-kata-analis</w:t>
      </w:r>
    </w:p>
    <w:p w14:paraId="48A881C1" w14:textId="6CE00C1E"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Pratiwi, E. Y., &amp; Sudiyanto, B. (2022). Pengaruh Likuiditas, Leverage dan Profitabilitas terhadap Financial Distress pada PT. Modern Internasional Tbk. All Fields of Science Journal Liaison Academia and Sosiety, 2(3), 49–55. https://doi.org/10.58939/afosj-las.v2i3.334</w:t>
      </w:r>
    </w:p>
    <w:p w14:paraId="0386B251" w14:textId="216855EB"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Rafatnia, A. A., Ramakrishnan, S. A. L., Abdullah, D. F., Fazel, Nodeh, M. M., &amp; Farajnezhad, M. (2020). Financial Distress Prediction across Firms. https://api.semanticscholar.org/CorpusID:214613579</w:t>
      </w:r>
    </w:p>
    <w:p w14:paraId="617381CD" w14:textId="5C19267C"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Rahmawati, I., Pandansari, T., &amp; Khasanah, F. (2020). Liquidity Ratio Analysis, Profitability Ratio, Leverage Ratio, And Cash Flow Operations To Predict The Financial Distress In Manufacturing Companies Listed In Indonesia Stock Exchange (2015-2018). Proceedings of the 2nd International Conference of Business, Accounting and Economics, ICBAE 2020, 5 - 6 August 2020, Purwokerto, Indonesia. https://doi.org/10.4108/eai.5-8-2020.2301126</w:t>
      </w:r>
    </w:p>
    <w:p w14:paraId="27476E0A" w14:textId="413F89EC"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Ramadani, A. W., &amp; Ratmono, D. (2023). Financial Distress Prediction: The Role Of Financial Ratio And Firm Size. Jurnal Riset Akuntansi Kontemporer, 15(1), 19–26. https://doi.org/10.23969/jrak.v15i1.6428</w:t>
      </w:r>
    </w:p>
    <w:p w14:paraId="7A5543EE" w14:textId="3869051B"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Ria, &amp; Susilo, B. (2023). Intensi Penggunaan Teknologi Cloud Accounting Pada Usaha Mikro Kecil dan Menengah (UMKM). Briliant: Jurnal Riset Dan Konseptual, 8(1), 261. https://doi.org/10.28926/briliant.v8i1.1180</w:t>
      </w:r>
    </w:p>
    <w:p w14:paraId="341BFA8C" w14:textId="40630E56"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Salim, A. F., &amp; Yanti, Y. (2023). Factors Affecting Financial Distress In Manufacturing Companies Listed On The Idx. International Journal of Application on Economics and Business, 1(2), 814–827. https://doi.org/10.24912/ijaeb.v1i2.814-827</w:t>
      </w:r>
    </w:p>
    <w:p w14:paraId="306794B8" w14:textId="1F91A49E"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lastRenderedPageBreak/>
        <w:t>Setiawati, P. N., &amp; Wijaya, A. L. (2023). Pengaruh Kinerja Keuangan Dan Komite Audit terhadap Nilai Perusahaan SOE Di Bursa Efek Indonesia. Kompartemen : Jurnal Ilmiah Akuntansi, 20(2), 203. https://doi.org/10.30595/kompartemen.v20i2.13320</w:t>
      </w:r>
    </w:p>
    <w:p w14:paraId="10C111BE" w14:textId="6D353E25"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Sheng, Z. (2023). The Impact of Financial Distress on Corporate Performance in the Chinese Securities Market. Journal of Digitainability, Realism &amp; Mastery (DREAM), 2(05), 33–37. https://doi.org/10.56982/dream.v2i05.110</w:t>
      </w:r>
    </w:p>
    <w:p w14:paraId="59D250A8" w14:textId="734A0AF0"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Sugiharto, B., Putri, T. eka, &amp; Nur’alim, R. M. (2022). The Effect of Liquidity, Leverage and Sales Growth on Financial Distress with Profitability as a Moderating Variable. Journal Intelektual, 1(2), 165–181. https://doi.org/10.61635/jin.v1i2.102</w:t>
      </w:r>
    </w:p>
    <w:p w14:paraId="746D246E" w14:textId="20C50F71"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Sugiyono, S., &amp; Lestari, P. (2021). Metode penelitian komunikasi (Kuantitatif, kualitatif, dan cara mudah menulis artikel pada jurnal internasional). Alvabeta Bandung, CV.</w:t>
      </w:r>
    </w:p>
    <w:p w14:paraId="1A1B8347" w14:textId="2EE3DC51"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Sukmawati, V. D., Soviana, H., Ariyantina, B., &amp; Citradewi, A. (2022). Kinerja Keuangan Ditinjau Dari Analisis Rasio Profitabilitas (Studi Pada Pt Erajaya Swasembada Periode 2018-2021). Jurnal Ilmiah Akuntansi Dan Bisnis, 7(2), 189–206. https://doi.org/10.38043/jiab.v7i2.3692</w:t>
      </w:r>
    </w:p>
    <w:p w14:paraId="2C880340" w14:textId="21437EA3"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Usman, S. N., Rinofah, R., &amp; Maulida, A. (2022). Pengaruh Good Corporate Governance terhadap Financial Distress pada Perusahaan Manufaktur yang Terdaftar di BEI. Jurnal Kolaboratif Sains, 5(7), 406–413. https://doi.org/10.56338/jks.v5i7.2593</w:t>
      </w:r>
    </w:p>
    <w:p w14:paraId="78F17A86" w14:textId="35F36235"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Wahid, M. A. (2020). Analisis Pengaruh Stabilitas Politik Dan Faktor Ekonomi Terhadap Jakarta Islamic Index (JII). Skripsi Fakultas Ekonomi Dan Bisnis Universitas Islam Negeri Syarif Hidayatullah Jakarta. https://repository.uinjkt.ac.id/dspace/handle/123456789/46272%0Ahttps://repository.uinjkt.ac.id/dspace/bitstream/123456789/46272/1/MUHAMMAD AMINUL WAHID-FEB.pdf</w:t>
      </w:r>
    </w:p>
    <w:p w14:paraId="62F6636F" w14:textId="1C76E1B9"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Wang, M. (2023). Economic Policy Uncertainty, Corporate ESG Performance, and the Cost of Financing Debt. Advances in Economics, Management and Political Sciences, 6(1), 532–542. https://doi.org/10.54254/2754-1169/6/20220203</w:t>
      </w:r>
    </w:p>
    <w:p w14:paraId="215183CD" w14:textId="20C46218" w:rsidR="00454F17"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World Bank. (2023). Political Stability and Absence of Violence/Terrorism: Percentile Rank, Upper Bound of 90% Confidence Interval. https://data.worldbank.org/indicator/PV.PER.RNK.UPPER?skipRedirection=true&amp;view=map</w:t>
      </w:r>
    </w:p>
    <w:p w14:paraId="0FAF873B" w14:textId="7661033B" w:rsidR="0037202C" w:rsidRPr="00454F17" w:rsidRDefault="00454F17" w:rsidP="00454F17">
      <w:pPr>
        <w:spacing w:after="0" w:line="240" w:lineRule="auto"/>
        <w:ind w:left="360"/>
        <w:jc w:val="both"/>
        <w:rPr>
          <w:rFonts w:ascii="Times New Roman" w:eastAsia="Sitka Banner" w:hAnsi="Times New Roman" w:cs="Times New Roman"/>
          <w:sz w:val="24"/>
          <w:szCs w:val="24"/>
        </w:rPr>
      </w:pPr>
      <w:r w:rsidRPr="00454F17">
        <w:rPr>
          <w:rFonts w:ascii="Times New Roman" w:eastAsia="Sitka Banner" w:hAnsi="Times New Roman" w:cs="Times New Roman"/>
          <w:sz w:val="24"/>
          <w:szCs w:val="24"/>
        </w:rPr>
        <w:t>Zhang, W., Ausaf, M. A., &amp; Jahangir, J. (2022). Indicators From China’s Listed Corporations on Corporate Financing Behavior and Policy-Related Risk. Frontiers in Psychology, 13. https://doi.org/10.3389/fpsyg.2022.930929</w:t>
      </w:r>
    </w:p>
    <w:p w14:paraId="5FF59CCC" w14:textId="77777777" w:rsidR="006C6C13" w:rsidRPr="00B771AA" w:rsidRDefault="006C6C13" w:rsidP="00B771AA">
      <w:pPr>
        <w:spacing w:after="0" w:line="240" w:lineRule="auto"/>
        <w:rPr>
          <w:rFonts w:ascii="Times New Roman" w:eastAsia="Sitka Banner" w:hAnsi="Times New Roman" w:cs="Times New Roman"/>
          <w:b/>
          <w:bCs/>
          <w:sz w:val="24"/>
          <w:szCs w:val="24"/>
        </w:rPr>
      </w:pPr>
    </w:p>
    <w:p w14:paraId="252EEBBB" w14:textId="77777777" w:rsidR="006C6C13" w:rsidRPr="00B771AA" w:rsidRDefault="006C6C13" w:rsidP="00B771AA">
      <w:pPr>
        <w:spacing w:after="0" w:line="240" w:lineRule="auto"/>
        <w:rPr>
          <w:rFonts w:ascii="Times New Roman" w:eastAsia="Sitka Banner" w:hAnsi="Times New Roman" w:cs="Times New Roman"/>
          <w:b/>
          <w:bCs/>
          <w:sz w:val="24"/>
          <w:szCs w:val="24"/>
        </w:rPr>
      </w:pPr>
    </w:p>
    <w:sectPr w:rsidR="006C6C13" w:rsidRPr="00B771A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1D3EE" w14:textId="77777777" w:rsidR="00943BB7" w:rsidRDefault="00943BB7" w:rsidP="00B233E6">
      <w:pPr>
        <w:spacing w:after="0" w:line="240" w:lineRule="auto"/>
      </w:pPr>
      <w:r>
        <w:separator/>
      </w:r>
    </w:p>
  </w:endnote>
  <w:endnote w:type="continuationSeparator" w:id="0">
    <w:p w14:paraId="32D58298" w14:textId="77777777" w:rsidR="00943BB7" w:rsidRDefault="00943BB7" w:rsidP="00B2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tka Banner">
    <w:panose1 w:val="02000505000000020004"/>
    <w:charset w:val="00"/>
    <w:family w:val="auto"/>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2E731" w14:textId="77777777" w:rsidR="00B233E6" w:rsidRDefault="00B23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26294" w14:textId="77777777" w:rsidR="00B233E6" w:rsidRDefault="00B23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BE35E" w14:textId="77777777" w:rsidR="00B233E6" w:rsidRDefault="00B23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82C4C" w14:textId="77777777" w:rsidR="00943BB7" w:rsidRDefault="00943BB7" w:rsidP="00B233E6">
      <w:pPr>
        <w:spacing w:after="0" w:line="240" w:lineRule="auto"/>
      </w:pPr>
      <w:r>
        <w:separator/>
      </w:r>
    </w:p>
  </w:footnote>
  <w:footnote w:type="continuationSeparator" w:id="0">
    <w:p w14:paraId="576C6930" w14:textId="77777777" w:rsidR="00943BB7" w:rsidRDefault="00943BB7" w:rsidP="00B23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EE2B4" w14:textId="45AD07FA" w:rsidR="00B233E6" w:rsidRDefault="00B233E6">
    <w:pPr>
      <w:pStyle w:val="Header"/>
    </w:pPr>
    <w:r>
      <w:rPr>
        <w:noProof/>
      </w:rPr>
      <w:pict w14:anchorId="3AE03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2813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FF6FC" w14:textId="0FFD0138" w:rsidR="00B233E6" w:rsidRDefault="00B233E6">
    <w:pPr>
      <w:pStyle w:val="Header"/>
    </w:pPr>
    <w:r>
      <w:rPr>
        <w:noProof/>
      </w:rPr>
      <w:pict w14:anchorId="257B8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2813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3EFA2" w14:textId="57A10217" w:rsidR="00B233E6" w:rsidRDefault="00B233E6">
    <w:pPr>
      <w:pStyle w:val="Header"/>
    </w:pPr>
    <w:r>
      <w:rPr>
        <w:noProof/>
      </w:rPr>
      <w:pict w14:anchorId="38A61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2813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88F"/>
    <w:multiLevelType w:val="multilevel"/>
    <w:tmpl w:val="B42E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55BA4"/>
    <w:multiLevelType w:val="hybridMultilevel"/>
    <w:tmpl w:val="39306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001E1"/>
    <w:multiLevelType w:val="multilevel"/>
    <w:tmpl w:val="9CF6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C5CBD"/>
    <w:multiLevelType w:val="multilevel"/>
    <w:tmpl w:val="3690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97C6D"/>
    <w:multiLevelType w:val="multilevel"/>
    <w:tmpl w:val="75BA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558CC"/>
    <w:multiLevelType w:val="multilevel"/>
    <w:tmpl w:val="AD98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D6C0A"/>
    <w:multiLevelType w:val="multilevel"/>
    <w:tmpl w:val="0AEE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66B2E"/>
    <w:multiLevelType w:val="multilevel"/>
    <w:tmpl w:val="33EEA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E73DD"/>
    <w:multiLevelType w:val="multilevel"/>
    <w:tmpl w:val="74D6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B45349"/>
    <w:multiLevelType w:val="hybridMultilevel"/>
    <w:tmpl w:val="D592E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E5024"/>
    <w:multiLevelType w:val="multilevel"/>
    <w:tmpl w:val="9848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B376B"/>
    <w:multiLevelType w:val="multilevel"/>
    <w:tmpl w:val="804A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186401"/>
    <w:multiLevelType w:val="multilevel"/>
    <w:tmpl w:val="84DA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722C25"/>
    <w:multiLevelType w:val="multilevel"/>
    <w:tmpl w:val="6070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88388A"/>
    <w:multiLevelType w:val="multilevel"/>
    <w:tmpl w:val="92AA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3C64FD"/>
    <w:multiLevelType w:val="multilevel"/>
    <w:tmpl w:val="354A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EA2FCB"/>
    <w:multiLevelType w:val="hybridMultilevel"/>
    <w:tmpl w:val="923A5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3D453F"/>
    <w:multiLevelType w:val="multilevel"/>
    <w:tmpl w:val="9AD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E27384"/>
    <w:multiLevelType w:val="multilevel"/>
    <w:tmpl w:val="D3921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8C18AE"/>
    <w:multiLevelType w:val="multilevel"/>
    <w:tmpl w:val="1F66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5"/>
  </w:num>
  <w:num w:numId="4">
    <w:abstractNumId w:val="19"/>
  </w:num>
  <w:num w:numId="5">
    <w:abstractNumId w:val="18"/>
  </w:num>
  <w:num w:numId="6">
    <w:abstractNumId w:val="8"/>
  </w:num>
  <w:num w:numId="7">
    <w:abstractNumId w:val="12"/>
  </w:num>
  <w:num w:numId="8">
    <w:abstractNumId w:val="13"/>
  </w:num>
  <w:num w:numId="9">
    <w:abstractNumId w:val="7"/>
  </w:num>
  <w:num w:numId="10">
    <w:abstractNumId w:val="14"/>
  </w:num>
  <w:num w:numId="11">
    <w:abstractNumId w:val="10"/>
  </w:num>
  <w:num w:numId="12">
    <w:abstractNumId w:val="4"/>
  </w:num>
  <w:num w:numId="13">
    <w:abstractNumId w:val="3"/>
  </w:num>
  <w:num w:numId="14">
    <w:abstractNumId w:val="17"/>
  </w:num>
  <w:num w:numId="15">
    <w:abstractNumId w:val="11"/>
  </w:num>
  <w:num w:numId="16">
    <w:abstractNumId w:val="0"/>
  </w:num>
  <w:num w:numId="17">
    <w:abstractNumId w:val="2"/>
  </w:num>
  <w:num w:numId="18">
    <w:abstractNumId w:val="16"/>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13"/>
    <w:rsid w:val="00022CCC"/>
    <w:rsid w:val="00023486"/>
    <w:rsid w:val="00024994"/>
    <w:rsid w:val="000355CB"/>
    <w:rsid w:val="000540CB"/>
    <w:rsid w:val="00054258"/>
    <w:rsid w:val="00074CA0"/>
    <w:rsid w:val="0008592C"/>
    <w:rsid w:val="000A1129"/>
    <w:rsid w:val="000C5D5C"/>
    <w:rsid w:val="000D385B"/>
    <w:rsid w:val="00125825"/>
    <w:rsid w:val="00133954"/>
    <w:rsid w:val="00133FCD"/>
    <w:rsid w:val="00145BEE"/>
    <w:rsid w:val="0014712C"/>
    <w:rsid w:val="001A2407"/>
    <w:rsid w:val="001A36D0"/>
    <w:rsid w:val="001C5164"/>
    <w:rsid w:val="001D6337"/>
    <w:rsid w:val="001E6DFF"/>
    <w:rsid w:val="002000D6"/>
    <w:rsid w:val="00215DCF"/>
    <w:rsid w:val="00227DD3"/>
    <w:rsid w:val="00235D74"/>
    <w:rsid w:val="00251C46"/>
    <w:rsid w:val="002576B3"/>
    <w:rsid w:val="00265D36"/>
    <w:rsid w:val="0026724F"/>
    <w:rsid w:val="00273EB2"/>
    <w:rsid w:val="00280B1D"/>
    <w:rsid w:val="00280CEF"/>
    <w:rsid w:val="002B553C"/>
    <w:rsid w:val="002C277B"/>
    <w:rsid w:val="002C7A0B"/>
    <w:rsid w:val="002F0C4B"/>
    <w:rsid w:val="00323948"/>
    <w:rsid w:val="00344D38"/>
    <w:rsid w:val="00365E90"/>
    <w:rsid w:val="00366FC7"/>
    <w:rsid w:val="0037202C"/>
    <w:rsid w:val="003B02B9"/>
    <w:rsid w:val="003C2E0F"/>
    <w:rsid w:val="00402B82"/>
    <w:rsid w:val="004361C9"/>
    <w:rsid w:val="004507EC"/>
    <w:rsid w:val="00450E5B"/>
    <w:rsid w:val="00454811"/>
    <w:rsid w:val="00454F17"/>
    <w:rsid w:val="004675F7"/>
    <w:rsid w:val="00472AC8"/>
    <w:rsid w:val="0047623D"/>
    <w:rsid w:val="0048058F"/>
    <w:rsid w:val="004C25D6"/>
    <w:rsid w:val="004C2650"/>
    <w:rsid w:val="004D1256"/>
    <w:rsid w:val="004D525A"/>
    <w:rsid w:val="004E39EB"/>
    <w:rsid w:val="004E3C53"/>
    <w:rsid w:val="004E724A"/>
    <w:rsid w:val="00504E3E"/>
    <w:rsid w:val="00514587"/>
    <w:rsid w:val="0051676E"/>
    <w:rsid w:val="00520349"/>
    <w:rsid w:val="0052687C"/>
    <w:rsid w:val="00531AA5"/>
    <w:rsid w:val="0053329E"/>
    <w:rsid w:val="00572760"/>
    <w:rsid w:val="00587F23"/>
    <w:rsid w:val="00591AC9"/>
    <w:rsid w:val="005B51C0"/>
    <w:rsid w:val="005B5D39"/>
    <w:rsid w:val="005C076E"/>
    <w:rsid w:val="005D02CE"/>
    <w:rsid w:val="005D553E"/>
    <w:rsid w:val="006043F1"/>
    <w:rsid w:val="006053A5"/>
    <w:rsid w:val="006155A9"/>
    <w:rsid w:val="00637C6F"/>
    <w:rsid w:val="00643A1F"/>
    <w:rsid w:val="006441F8"/>
    <w:rsid w:val="00686642"/>
    <w:rsid w:val="00694DF6"/>
    <w:rsid w:val="006B7831"/>
    <w:rsid w:val="006C6082"/>
    <w:rsid w:val="006C6C13"/>
    <w:rsid w:val="006D4B6B"/>
    <w:rsid w:val="006E73C8"/>
    <w:rsid w:val="00704F7E"/>
    <w:rsid w:val="00720428"/>
    <w:rsid w:val="0076479D"/>
    <w:rsid w:val="0077457B"/>
    <w:rsid w:val="00777096"/>
    <w:rsid w:val="0079015E"/>
    <w:rsid w:val="007D5C6F"/>
    <w:rsid w:val="007D78AA"/>
    <w:rsid w:val="007E2FEA"/>
    <w:rsid w:val="007E6886"/>
    <w:rsid w:val="00816AD0"/>
    <w:rsid w:val="00823494"/>
    <w:rsid w:val="008425FA"/>
    <w:rsid w:val="0085215A"/>
    <w:rsid w:val="00855D9B"/>
    <w:rsid w:val="008E3227"/>
    <w:rsid w:val="008E4097"/>
    <w:rsid w:val="008E6634"/>
    <w:rsid w:val="008F2FE3"/>
    <w:rsid w:val="00904D80"/>
    <w:rsid w:val="00905C27"/>
    <w:rsid w:val="00906005"/>
    <w:rsid w:val="00926BBF"/>
    <w:rsid w:val="00937349"/>
    <w:rsid w:val="00943BB7"/>
    <w:rsid w:val="00947D66"/>
    <w:rsid w:val="00963E2E"/>
    <w:rsid w:val="009A08DA"/>
    <w:rsid w:val="009A2902"/>
    <w:rsid w:val="009C22C3"/>
    <w:rsid w:val="009C7D18"/>
    <w:rsid w:val="00A127CF"/>
    <w:rsid w:val="00A15D0D"/>
    <w:rsid w:val="00A32D1B"/>
    <w:rsid w:val="00A460DD"/>
    <w:rsid w:val="00A52288"/>
    <w:rsid w:val="00A67638"/>
    <w:rsid w:val="00A8206D"/>
    <w:rsid w:val="00A91F8F"/>
    <w:rsid w:val="00AC291A"/>
    <w:rsid w:val="00AC45AF"/>
    <w:rsid w:val="00AC78B2"/>
    <w:rsid w:val="00AE06E7"/>
    <w:rsid w:val="00AE416F"/>
    <w:rsid w:val="00AE758F"/>
    <w:rsid w:val="00B233E6"/>
    <w:rsid w:val="00B46988"/>
    <w:rsid w:val="00B52213"/>
    <w:rsid w:val="00B57FBF"/>
    <w:rsid w:val="00B64A8D"/>
    <w:rsid w:val="00B657D8"/>
    <w:rsid w:val="00B771AA"/>
    <w:rsid w:val="00B816EC"/>
    <w:rsid w:val="00BB4F27"/>
    <w:rsid w:val="00BE13D6"/>
    <w:rsid w:val="00BF14BB"/>
    <w:rsid w:val="00BF7000"/>
    <w:rsid w:val="00C13656"/>
    <w:rsid w:val="00C225C1"/>
    <w:rsid w:val="00C36108"/>
    <w:rsid w:val="00C37CAF"/>
    <w:rsid w:val="00C46619"/>
    <w:rsid w:val="00C64E21"/>
    <w:rsid w:val="00C667B3"/>
    <w:rsid w:val="00C81EC3"/>
    <w:rsid w:val="00C93D87"/>
    <w:rsid w:val="00CB0783"/>
    <w:rsid w:val="00CC0123"/>
    <w:rsid w:val="00CC3054"/>
    <w:rsid w:val="00CC60AD"/>
    <w:rsid w:val="00CD1719"/>
    <w:rsid w:val="00CD67FB"/>
    <w:rsid w:val="00CE4BD7"/>
    <w:rsid w:val="00CF74E4"/>
    <w:rsid w:val="00D2019E"/>
    <w:rsid w:val="00D26CED"/>
    <w:rsid w:val="00D406E9"/>
    <w:rsid w:val="00D518B5"/>
    <w:rsid w:val="00D54238"/>
    <w:rsid w:val="00D76726"/>
    <w:rsid w:val="00DA4B6E"/>
    <w:rsid w:val="00DD5CA4"/>
    <w:rsid w:val="00E01628"/>
    <w:rsid w:val="00E1732B"/>
    <w:rsid w:val="00E21A5B"/>
    <w:rsid w:val="00E236AD"/>
    <w:rsid w:val="00E40512"/>
    <w:rsid w:val="00E42739"/>
    <w:rsid w:val="00E43556"/>
    <w:rsid w:val="00E45879"/>
    <w:rsid w:val="00E465EA"/>
    <w:rsid w:val="00E7404B"/>
    <w:rsid w:val="00E74CB4"/>
    <w:rsid w:val="00E77AB4"/>
    <w:rsid w:val="00EB1607"/>
    <w:rsid w:val="00ED0C52"/>
    <w:rsid w:val="00EF0FA9"/>
    <w:rsid w:val="00EF51E0"/>
    <w:rsid w:val="00F03680"/>
    <w:rsid w:val="00F2317D"/>
    <w:rsid w:val="00F319E6"/>
    <w:rsid w:val="00F43305"/>
    <w:rsid w:val="00F708F3"/>
    <w:rsid w:val="00F75D43"/>
    <w:rsid w:val="00FB159D"/>
    <w:rsid w:val="00FB2897"/>
    <w:rsid w:val="00FB351D"/>
    <w:rsid w:val="00FC3877"/>
    <w:rsid w:val="00FD56D2"/>
    <w:rsid w:val="00FE55D6"/>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B8C6F0"/>
  <w15:chartTrackingRefBased/>
  <w15:docId w15:val="{081E9FD4-652B-4A0E-A267-42C47562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d-ID"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DFF"/>
    <w:pPr>
      <w:spacing w:line="259" w:lineRule="auto"/>
    </w:pPr>
    <w:rPr>
      <w:rFonts w:ascii="Calibri" w:eastAsia="Calibri" w:hAnsi="Calibri" w:cs="Calibri"/>
      <w:kern w:val="0"/>
      <w:sz w:val="22"/>
      <w:szCs w:val="22"/>
      <w:lang w:eastAsia="en-ID"/>
      <w14:ligatures w14:val="none"/>
    </w:rPr>
  </w:style>
  <w:style w:type="paragraph" w:styleId="Heading1">
    <w:name w:val="heading 1"/>
    <w:basedOn w:val="Normal"/>
    <w:next w:val="Normal"/>
    <w:link w:val="Heading1Char"/>
    <w:uiPriority w:val="9"/>
    <w:qFormat/>
    <w:rsid w:val="006C6C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6C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6C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6C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6C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6C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C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C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C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C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6C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6C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6C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6C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6C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C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C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C13"/>
    <w:rPr>
      <w:rFonts w:eastAsiaTheme="majorEastAsia" w:cstheme="majorBidi"/>
      <w:color w:val="272727" w:themeColor="text1" w:themeTint="D8"/>
    </w:rPr>
  </w:style>
  <w:style w:type="paragraph" w:styleId="Title">
    <w:name w:val="Title"/>
    <w:basedOn w:val="Normal"/>
    <w:next w:val="Normal"/>
    <w:link w:val="TitleChar"/>
    <w:uiPriority w:val="10"/>
    <w:qFormat/>
    <w:rsid w:val="006C6C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C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C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C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C13"/>
    <w:pPr>
      <w:spacing w:before="160"/>
      <w:jc w:val="center"/>
    </w:pPr>
    <w:rPr>
      <w:i/>
      <w:iCs/>
      <w:color w:val="404040" w:themeColor="text1" w:themeTint="BF"/>
    </w:rPr>
  </w:style>
  <w:style w:type="character" w:customStyle="1" w:styleId="QuoteChar">
    <w:name w:val="Quote Char"/>
    <w:basedOn w:val="DefaultParagraphFont"/>
    <w:link w:val="Quote"/>
    <w:uiPriority w:val="29"/>
    <w:rsid w:val="006C6C13"/>
    <w:rPr>
      <w:i/>
      <w:iCs/>
      <w:color w:val="404040" w:themeColor="text1" w:themeTint="BF"/>
    </w:rPr>
  </w:style>
  <w:style w:type="paragraph" w:styleId="ListParagraph">
    <w:name w:val="List Paragraph"/>
    <w:basedOn w:val="Normal"/>
    <w:uiPriority w:val="34"/>
    <w:qFormat/>
    <w:rsid w:val="006C6C13"/>
    <w:pPr>
      <w:ind w:left="720"/>
      <w:contextualSpacing/>
    </w:pPr>
  </w:style>
  <w:style w:type="character" w:styleId="IntenseEmphasis">
    <w:name w:val="Intense Emphasis"/>
    <w:basedOn w:val="DefaultParagraphFont"/>
    <w:uiPriority w:val="21"/>
    <w:qFormat/>
    <w:rsid w:val="006C6C13"/>
    <w:rPr>
      <w:i/>
      <w:iCs/>
      <w:color w:val="2F5496" w:themeColor="accent1" w:themeShade="BF"/>
    </w:rPr>
  </w:style>
  <w:style w:type="paragraph" w:styleId="IntenseQuote">
    <w:name w:val="Intense Quote"/>
    <w:basedOn w:val="Normal"/>
    <w:next w:val="Normal"/>
    <w:link w:val="IntenseQuoteChar"/>
    <w:uiPriority w:val="30"/>
    <w:qFormat/>
    <w:rsid w:val="006C6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6C13"/>
    <w:rPr>
      <w:i/>
      <w:iCs/>
      <w:color w:val="2F5496" w:themeColor="accent1" w:themeShade="BF"/>
    </w:rPr>
  </w:style>
  <w:style w:type="character" w:styleId="IntenseReference">
    <w:name w:val="Intense Reference"/>
    <w:basedOn w:val="DefaultParagraphFont"/>
    <w:uiPriority w:val="32"/>
    <w:qFormat/>
    <w:rsid w:val="006C6C13"/>
    <w:rPr>
      <w:b/>
      <w:bCs/>
      <w:smallCaps/>
      <w:color w:val="2F5496" w:themeColor="accent1" w:themeShade="BF"/>
      <w:spacing w:val="5"/>
    </w:rPr>
  </w:style>
  <w:style w:type="character" w:styleId="Hyperlink">
    <w:name w:val="Hyperlink"/>
    <w:basedOn w:val="DefaultParagraphFont"/>
    <w:uiPriority w:val="99"/>
    <w:unhideWhenUsed/>
    <w:rsid w:val="004675F7"/>
    <w:rPr>
      <w:color w:val="0563C1" w:themeColor="hyperlink"/>
      <w:u w:val="single"/>
    </w:rPr>
  </w:style>
  <w:style w:type="character" w:styleId="UnresolvedMention">
    <w:name w:val="Unresolved Mention"/>
    <w:basedOn w:val="DefaultParagraphFont"/>
    <w:uiPriority w:val="99"/>
    <w:semiHidden/>
    <w:unhideWhenUsed/>
    <w:rsid w:val="004675F7"/>
    <w:rPr>
      <w:color w:val="605E5C"/>
      <w:shd w:val="clear" w:color="auto" w:fill="E1DFDD"/>
    </w:rPr>
  </w:style>
  <w:style w:type="table" w:styleId="TableGrid">
    <w:name w:val="Table Grid"/>
    <w:basedOn w:val="TableNormal"/>
    <w:uiPriority w:val="39"/>
    <w:rsid w:val="00FE5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3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3E6"/>
    <w:rPr>
      <w:rFonts w:ascii="Calibri" w:eastAsia="Calibri" w:hAnsi="Calibri" w:cs="Calibri"/>
      <w:kern w:val="0"/>
      <w:sz w:val="22"/>
      <w:szCs w:val="22"/>
      <w:lang w:eastAsia="en-ID"/>
      <w14:ligatures w14:val="none"/>
    </w:rPr>
  </w:style>
  <w:style w:type="paragraph" w:styleId="Footer">
    <w:name w:val="footer"/>
    <w:basedOn w:val="Normal"/>
    <w:link w:val="FooterChar"/>
    <w:uiPriority w:val="99"/>
    <w:unhideWhenUsed/>
    <w:rsid w:val="00B23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3E6"/>
    <w:rPr>
      <w:rFonts w:ascii="Calibri" w:eastAsia="Calibri" w:hAnsi="Calibri" w:cs="Calibri"/>
      <w:kern w:val="0"/>
      <w:sz w:val="22"/>
      <w:szCs w:val="22"/>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7139">
      <w:bodyDiv w:val="1"/>
      <w:marLeft w:val="0"/>
      <w:marRight w:val="0"/>
      <w:marTop w:val="0"/>
      <w:marBottom w:val="0"/>
      <w:divBdr>
        <w:top w:val="none" w:sz="0" w:space="0" w:color="auto"/>
        <w:left w:val="none" w:sz="0" w:space="0" w:color="auto"/>
        <w:bottom w:val="none" w:sz="0" w:space="0" w:color="auto"/>
        <w:right w:val="none" w:sz="0" w:space="0" w:color="auto"/>
      </w:divBdr>
    </w:div>
    <w:div w:id="26299574">
      <w:bodyDiv w:val="1"/>
      <w:marLeft w:val="0"/>
      <w:marRight w:val="0"/>
      <w:marTop w:val="0"/>
      <w:marBottom w:val="0"/>
      <w:divBdr>
        <w:top w:val="none" w:sz="0" w:space="0" w:color="auto"/>
        <w:left w:val="none" w:sz="0" w:space="0" w:color="auto"/>
        <w:bottom w:val="none" w:sz="0" w:space="0" w:color="auto"/>
        <w:right w:val="none" w:sz="0" w:space="0" w:color="auto"/>
      </w:divBdr>
    </w:div>
    <w:div w:id="61292865">
      <w:bodyDiv w:val="1"/>
      <w:marLeft w:val="0"/>
      <w:marRight w:val="0"/>
      <w:marTop w:val="0"/>
      <w:marBottom w:val="0"/>
      <w:divBdr>
        <w:top w:val="none" w:sz="0" w:space="0" w:color="auto"/>
        <w:left w:val="none" w:sz="0" w:space="0" w:color="auto"/>
        <w:bottom w:val="none" w:sz="0" w:space="0" w:color="auto"/>
        <w:right w:val="none" w:sz="0" w:space="0" w:color="auto"/>
      </w:divBdr>
    </w:div>
    <w:div w:id="73204216">
      <w:bodyDiv w:val="1"/>
      <w:marLeft w:val="0"/>
      <w:marRight w:val="0"/>
      <w:marTop w:val="0"/>
      <w:marBottom w:val="0"/>
      <w:divBdr>
        <w:top w:val="none" w:sz="0" w:space="0" w:color="auto"/>
        <w:left w:val="none" w:sz="0" w:space="0" w:color="auto"/>
        <w:bottom w:val="none" w:sz="0" w:space="0" w:color="auto"/>
        <w:right w:val="none" w:sz="0" w:space="0" w:color="auto"/>
      </w:divBdr>
    </w:div>
    <w:div w:id="143354111">
      <w:bodyDiv w:val="1"/>
      <w:marLeft w:val="0"/>
      <w:marRight w:val="0"/>
      <w:marTop w:val="0"/>
      <w:marBottom w:val="0"/>
      <w:divBdr>
        <w:top w:val="none" w:sz="0" w:space="0" w:color="auto"/>
        <w:left w:val="none" w:sz="0" w:space="0" w:color="auto"/>
        <w:bottom w:val="none" w:sz="0" w:space="0" w:color="auto"/>
        <w:right w:val="none" w:sz="0" w:space="0" w:color="auto"/>
      </w:divBdr>
    </w:div>
    <w:div w:id="169490333">
      <w:bodyDiv w:val="1"/>
      <w:marLeft w:val="0"/>
      <w:marRight w:val="0"/>
      <w:marTop w:val="0"/>
      <w:marBottom w:val="0"/>
      <w:divBdr>
        <w:top w:val="none" w:sz="0" w:space="0" w:color="auto"/>
        <w:left w:val="none" w:sz="0" w:space="0" w:color="auto"/>
        <w:bottom w:val="none" w:sz="0" w:space="0" w:color="auto"/>
        <w:right w:val="none" w:sz="0" w:space="0" w:color="auto"/>
      </w:divBdr>
    </w:div>
    <w:div w:id="191266270">
      <w:bodyDiv w:val="1"/>
      <w:marLeft w:val="0"/>
      <w:marRight w:val="0"/>
      <w:marTop w:val="0"/>
      <w:marBottom w:val="0"/>
      <w:divBdr>
        <w:top w:val="none" w:sz="0" w:space="0" w:color="auto"/>
        <w:left w:val="none" w:sz="0" w:space="0" w:color="auto"/>
        <w:bottom w:val="none" w:sz="0" w:space="0" w:color="auto"/>
        <w:right w:val="none" w:sz="0" w:space="0" w:color="auto"/>
      </w:divBdr>
    </w:div>
    <w:div w:id="244460214">
      <w:bodyDiv w:val="1"/>
      <w:marLeft w:val="0"/>
      <w:marRight w:val="0"/>
      <w:marTop w:val="0"/>
      <w:marBottom w:val="0"/>
      <w:divBdr>
        <w:top w:val="none" w:sz="0" w:space="0" w:color="auto"/>
        <w:left w:val="none" w:sz="0" w:space="0" w:color="auto"/>
        <w:bottom w:val="none" w:sz="0" w:space="0" w:color="auto"/>
        <w:right w:val="none" w:sz="0" w:space="0" w:color="auto"/>
      </w:divBdr>
    </w:div>
    <w:div w:id="280764399">
      <w:bodyDiv w:val="1"/>
      <w:marLeft w:val="0"/>
      <w:marRight w:val="0"/>
      <w:marTop w:val="0"/>
      <w:marBottom w:val="0"/>
      <w:divBdr>
        <w:top w:val="none" w:sz="0" w:space="0" w:color="auto"/>
        <w:left w:val="none" w:sz="0" w:space="0" w:color="auto"/>
        <w:bottom w:val="none" w:sz="0" w:space="0" w:color="auto"/>
        <w:right w:val="none" w:sz="0" w:space="0" w:color="auto"/>
      </w:divBdr>
    </w:div>
    <w:div w:id="309940718">
      <w:bodyDiv w:val="1"/>
      <w:marLeft w:val="0"/>
      <w:marRight w:val="0"/>
      <w:marTop w:val="0"/>
      <w:marBottom w:val="0"/>
      <w:divBdr>
        <w:top w:val="none" w:sz="0" w:space="0" w:color="auto"/>
        <w:left w:val="none" w:sz="0" w:space="0" w:color="auto"/>
        <w:bottom w:val="none" w:sz="0" w:space="0" w:color="auto"/>
        <w:right w:val="none" w:sz="0" w:space="0" w:color="auto"/>
      </w:divBdr>
    </w:div>
    <w:div w:id="392585193">
      <w:bodyDiv w:val="1"/>
      <w:marLeft w:val="0"/>
      <w:marRight w:val="0"/>
      <w:marTop w:val="0"/>
      <w:marBottom w:val="0"/>
      <w:divBdr>
        <w:top w:val="none" w:sz="0" w:space="0" w:color="auto"/>
        <w:left w:val="none" w:sz="0" w:space="0" w:color="auto"/>
        <w:bottom w:val="none" w:sz="0" w:space="0" w:color="auto"/>
        <w:right w:val="none" w:sz="0" w:space="0" w:color="auto"/>
      </w:divBdr>
    </w:div>
    <w:div w:id="410851363">
      <w:bodyDiv w:val="1"/>
      <w:marLeft w:val="0"/>
      <w:marRight w:val="0"/>
      <w:marTop w:val="0"/>
      <w:marBottom w:val="0"/>
      <w:divBdr>
        <w:top w:val="none" w:sz="0" w:space="0" w:color="auto"/>
        <w:left w:val="none" w:sz="0" w:space="0" w:color="auto"/>
        <w:bottom w:val="none" w:sz="0" w:space="0" w:color="auto"/>
        <w:right w:val="none" w:sz="0" w:space="0" w:color="auto"/>
      </w:divBdr>
    </w:div>
    <w:div w:id="476802280">
      <w:bodyDiv w:val="1"/>
      <w:marLeft w:val="0"/>
      <w:marRight w:val="0"/>
      <w:marTop w:val="0"/>
      <w:marBottom w:val="0"/>
      <w:divBdr>
        <w:top w:val="none" w:sz="0" w:space="0" w:color="auto"/>
        <w:left w:val="none" w:sz="0" w:space="0" w:color="auto"/>
        <w:bottom w:val="none" w:sz="0" w:space="0" w:color="auto"/>
        <w:right w:val="none" w:sz="0" w:space="0" w:color="auto"/>
      </w:divBdr>
    </w:div>
    <w:div w:id="478494377">
      <w:bodyDiv w:val="1"/>
      <w:marLeft w:val="0"/>
      <w:marRight w:val="0"/>
      <w:marTop w:val="0"/>
      <w:marBottom w:val="0"/>
      <w:divBdr>
        <w:top w:val="none" w:sz="0" w:space="0" w:color="auto"/>
        <w:left w:val="none" w:sz="0" w:space="0" w:color="auto"/>
        <w:bottom w:val="none" w:sz="0" w:space="0" w:color="auto"/>
        <w:right w:val="none" w:sz="0" w:space="0" w:color="auto"/>
      </w:divBdr>
    </w:div>
    <w:div w:id="501090259">
      <w:bodyDiv w:val="1"/>
      <w:marLeft w:val="0"/>
      <w:marRight w:val="0"/>
      <w:marTop w:val="0"/>
      <w:marBottom w:val="0"/>
      <w:divBdr>
        <w:top w:val="none" w:sz="0" w:space="0" w:color="auto"/>
        <w:left w:val="none" w:sz="0" w:space="0" w:color="auto"/>
        <w:bottom w:val="none" w:sz="0" w:space="0" w:color="auto"/>
        <w:right w:val="none" w:sz="0" w:space="0" w:color="auto"/>
      </w:divBdr>
    </w:div>
    <w:div w:id="570698581">
      <w:bodyDiv w:val="1"/>
      <w:marLeft w:val="0"/>
      <w:marRight w:val="0"/>
      <w:marTop w:val="0"/>
      <w:marBottom w:val="0"/>
      <w:divBdr>
        <w:top w:val="none" w:sz="0" w:space="0" w:color="auto"/>
        <w:left w:val="none" w:sz="0" w:space="0" w:color="auto"/>
        <w:bottom w:val="none" w:sz="0" w:space="0" w:color="auto"/>
        <w:right w:val="none" w:sz="0" w:space="0" w:color="auto"/>
      </w:divBdr>
    </w:div>
    <w:div w:id="669453427">
      <w:bodyDiv w:val="1"/>
      <w:marLeft w:val="0"/>
      <w:marRight w:val="0"/>
      <w:marTop w:val="0"/>
      <w:marBottom w:val="0"/>
      <w:divBdr>
        <w:top w:val="none" w:sz="0" w:space="0" w:color="auto"/>
        <w:left w:val="none" w:sz="0" w:space="0" w:color="auto"/>
        <w:bottom w:val="none" w:sz="0" w:space="0" w:color="auto"/>
        <w:right w:val="none" w:sz="0" w:space="0" w:color="auto"/>
      </w:divBdr>
    </w:div>
    <w:div w:id="676346790">
      <w:bodyDiv w:val="1"/>
      <w:marLeft w:val="0"/>
      <w:marRight w:val="0"/>
      <w:marTop w:val="0"/>
      <w:marBottom w:val="0"/>
      <w:divBdr>
        <w:top w:val="none" w:sz="0" w:space="0" w:color="auto"/>
        <w:left w:val="none" w:sz="0" w:space="0" w:color="auto"/>
        <w:bottom w:val="none" w:sz="0" w:space="0" w:color="auto"/>
        <w:right w:val="none" w:sz="0" w:space="0" w:color="auto"/>
      </w:divBdr>
    </w:div>
    <w:div w:id="691882002">
      <w:bodyDiv w:val="1"/>
      <w:marLeft w:val="0"/>
      <w:marRight w:val="0"/>
      <w:marTop w:val="0"/>
      <w:marBottom w:val="0"/>
      <w:divBdr>
        <w:top w:val="none" w:sz="0" w:space="0" w:color="auto"/>
        <w:left w:val="none" w:sz="0" w:space="0" w:color="auto"/>
        <w:bottom w:val="none" w:sz="0" w:space="0" w:color="auto"/>
        <w:right w:val="none" w:sz="0" w:space="0" w:color="auto"/>
      </w:divBdr>
    </w:div>
    <w:div w:id="738946242">
      <w:bodyDiv w:val="1"/>
      <w:marLeft w:val="0"/>
      <w:marRight w:val="0"/>
      <w:marTop w:val="0"/>
      <w:marBottom w:val="0"/>
      <w:divBdr>
        <w:top w:val="none" w:sz="0" w:space="0" w:color="auto"/>
        <w:left w:val="none" w:sz="0" w:space="0" w:color="auto"/>
        <w:bottom w:val="none" w:sz="0" w:space="0" w:color="auto"/>
        <w:right w:val="none" w:sz="0" w:space="0" w:color="auto"/>
      </w:divBdr>
    </w:div>
    <w:div w:id="832991769">
      <w:bodyDiv w:val="1"/>
      <w:marLeft w:val="0"/>
      <w:marRight w:val="0"/>
      <w:marTop w:val="0"/>
      <w:marBottom w:val="0"/>
      <w:divBdr>
        <w:top w:val="none" w:sz="0" w:space="0" w:color="auto"/>
        <w:left w:val="none" w:sz="0" w:space="0" w:color="auto"/>
        <w:bottom w:val="none" w:sz="0" w:space="0" w:color="auto"/>
        <w:right w:val="none" w:sz="0" w:space="0" w:color="auto"/>
      </w:divBdr>
    </w:div>
    <w:div w:id="912197677">
      <w:bodyDiv w:val="1"/>
      <w:marLeft w:val="0"/>
      <w:marRight w:val="0"/>
      <w:marTop w:val="0"/>
      <w:marBottom w:val="0"/>
      <w:divBdr>
        <w:top w:val="none" w:sz="0" w:space="0" w:color="auto"/>
        <w:left w:val="none" w:sz="0" w:space="0" w:color="auto"/>
        <w:bottom w:val="none" w:sz="0" w:space="0" w:color="auto"/>
        <w:right w:val="none" w:sz="0" w:space="0" w:color="auto"/>
      </w:divBdr>
    </w:div>
    <w:div w:id="1010718609">
      <w:bodyDiv w:val="1"/>
      <w:marLeft w:val="0"/>
      <w:marRight w:val="0"/>
      <w:marTop w:val="0"/>
      <w:marBottom w:val="0"/>
      <w:divBdr>
        <w:top w:val="none" w:sz="0" w:space="0" w:color="auto"/>
        <w:left w:val="none" w:sz="0" w:space="0" w:color="auto"/>
        <w:bottom w:val="none" w:sz="0" w:space="0" w:color="auto"/>
        <w:right w:val="none" w:sz="0" w:space="0" w:color="auto"/>
      </w:divBdr>
    </w:div>
    <w:div w:id="1040210141">
      <w:bodyDiv w:val="1"/>
      <w:marLeft w:val="0"/>
      <w:marRight w:val="0"/>
      <w:marTop w:val="0"/>
      <w:marBottom w:val="0"/>
      <w:divBdr>
        <w:top w:val="none" w:sz="0" w:space="0" w:color="auto"/>
        <w:left w:val="none" w:sz="0" w:space="0" w:color="auto"/>
        <w:bottom w:val="none" w:sz="0" w:space="0" w:color="auto"/>
        <w:right w:val="none" w:sz="0" w:space="0" w:color="auto"/>
      </w:divBdr>
    </w:div>
    <w:div w:id="1078288046">
      <w:bodyDiv w:val="1"/>
      <w:marLeft w:val="0"/>
      <w:marRight w:val="0"/>
      <w:marTop w:val="0"/>
      <w:marBottom w:val="0"/>
      <w:divBdr>
        <w:top w:val="none" w:sz="0" w:space="0" w:color="auto"/>
        <w:left w:val="none" w:sz="0" w:space="0" w:color="auto"/>
        <w:bottom w:val="none" w:sz="0" w:space="0" w:color="auto"/>
        <w:right w:val="none" w:sz="0" w:space="0" w:color="auto"/>
      </w:divBdr>
    </w:div>
    <w:div w:id="1108887226">
      <w:bodyDiv w:val="1"/>
      <w:marLeft w:val="0"/>
      <w:marRight w:val="0"/>
      <w:marTop w:val="0"/>
      <w:marBottom w:val="0"/>
      <w:divBdr>
        <w:top w:val="none" w:sz="0" w:space="0" w:color="auto"/>
        <w:left w:val="none" w:sz="0" w:space="0" w:color="auto"/>
        <w:bottom w:val="none" w:sz="0" w:space="0" w:color="auto"/>
        <w:right w:val="none" w:sz="0" w:space="0" w:color="auto"/>
      </w:divBdr>
    </w:div>
    <w:div w:id="1150363074">
      <w:bodyDiv w:val="1"/>
      <w:marLeft w:val="0"/>
      <w:marRight w:val="0"/>
      <w:marTop w:val="0"/>
      <w:marBottom w:val="0"/>
      <w:divBdr>
        <w:top w:val="none" w:sz="0" w:space="0" w:color="auto"/>
        <w:left w:val="none" w:sz="0" w:space="0" w:color="auto"/>
        <w:bottom w:val="none" w:sz="0" w:space="0" w:color="auto"/>
        <w:right w:val="none" w:sz="0" w:space="0" w:color="auto"/>
      </w:divBdr>
    </w:div>
    <w:div w:id="1166820593">
      <w:bodyDiv w:val="1"/>
      <w:marLeft w:val="0"/>
      <w:marRight w:val="0"/>
      <w:marTop w:val="0"/>
      <w:marBottom w:val="0"/>
      <w:divBdr>
        <w:top w:val="none" w:sz="0" w:space="0" w:color="auto"/>
        <w:left w:val="none" w:sz="0" w:space="0" w:color="auto"/>
        <w:bottom w:val="none" w:sz="0" w:space="0" w:color="auto"/>
        <w:right w:val="none" w:sz="0" w:space="0" w:color="auto"/>
      </w:divBdr>
    </w:div>
    <w:div w:id="1193106048">
      <w:bodyDiv w:val="1"/>
      <w:marLeft w:val="0"/>
      <w:marRight w:val="0"/>
      <w:marTop w:val="0"/>
      <w:marBottom w:val="0"/>
      <w:divBdr>
        <w:top w:val="none" w:sz="0" w:space="0" w:color="auto"/>
        <w:left w:val="none" w:sz="0" w:space="0" w:color="auto"/>
        <w:bottom w:val="none" w:sz="0" w:space="0" w:color="auto"/>
        <w:right w:val="none" w:sz="0" w:space="0" w:color="auto"/>
      </w:divBdr>
    </w:div>
    <w:div w:id="1255630138">
      <w:bodyDiv w:val="1"/>
      <w:marLeft w:val="0"/>
      <w:marRight w:val="0"/>
      <w:marTop w:val="0"/>
      <w:marBottom w:val="0"/>
      <w:divBdr>
        <w:top w:val="none" w:sz="0" w:space="0" w:color="auto"/>
        <w:left w:val="none" w:sz="0" w:space="0" w:color="auto"/>
        <w:bottom w:val="none" w:sz="0" w:space="0" w:color="auto"/>
        <w:right w:val="none" w:sz="0" w:space="0" w:color="auto"/>
      </w:divBdr>
    </w:div>
    <w:div w:id="1286622041">
      <w:bodyDiv w:val="1"/>
      <w:marLeft w:val="0"/>
      <w:marRight w:val="0"/>
      <w:marTop w:val="0"/>
      <w:marBottom w:val="0"/>
      <w:divBdr>
        <w:top w:val="none" w:sz="0" w:space="0" w:color="auto"/>
        <w:left w:val="none" w:sz="0" w:space="0" w:color="auto"/>
        <w:bottom w:val="none" w:sz="0" w:space="0" w:color="auto"/>
        <w:right w:val="none" w:sz="0" w:space="0" w:color="auto"/>
      </w:divBdr>
    </w:div>
    <w:div w:id="1293828772">
      <w:bodyDiv w:val="1"/>
      <w:marLeft w:val="0"/>
      <w:marRight w:val="0"/>
      <w:marTop w:val="0"/>
      <w:marBottom w:val="0"/>
      <w:divBdr>
        <w:top w:val="none" w:sz="0" w:space="0" w:color="auto"/>
        <w:left w:val="none" w:sz="0" w:space="0" w:color="auto"/>
        <w:bottom w:val="none" w:sz="0" w:space="0" w:color="auto"/>
        <w:right w:val="none" w:sz="0" w:space="0" w:color="auto"/>
      </w:divBdr>
    </w:div>
    <w:div w:id="1329480779">
      <w:bodyDiv w:val="1"/>
      <w:marLeft w:val="0"/>
      <w:marRight w:val="0"/>
      <w:marTop w:val="0"/>
      <w:marBottom w:val="0"/>
      <w:divBdr>
        <w:top w:val="none" w:sz="0" w:space="0" w:color="auto"/>
        <w:left w:val="none" w:sz="0" w:space="0" w:color="auto"/>
        <w:bottom w:val="none" w:sz="0" w:space="0" w:color="auto"/>
        <w:right w:val="none" w:sz="0" w:space="0" w:color="auto"/>
      </w:divBdr>
    </w:div>
    <w:div w:id="1357392025">
      <w:bodyDiv w:val="1"/>
      <w:marLeft w:val="0"/>
      <w:marRight w:val="0"/>
      <w:marTop w:val="0"/>
      <w:marBottom w:val="0"/>
      <w:divBdr>
        <w:top w:val="none" w:sz="0" w:space="0" w:color="auto"/>
        <w:left w:val="none" w:sz="0" w:space="0" w:color="auto"/>
        <w:bottom w:val="none" w:sz="0" w:space="0" w:color="auto"/>
        <w:right w:val="none" w:sz="0" w:space="0" w:color="auto"/>
      </w:divBdr>
    </w:div>
    <w:div w:id="1381203345">
      <w:bodyDiv w:val="1"/>
      <w:marLeft w:val="0"/>
      <w:marRight w:val="0"/>
      <w:marTop w:val="0"/>
      <w:marBottom w:val="0"/>
      <w:divBdr>
        <w:top w:val="none" w:sz="0" w:space="0" w:color="auto"/>
        <w:left w:val="none" w:sz="0" w:space="0" w:color="auto"/>
        <w:bottom w:val="none" w:sz="0" w:space="0" w:color="auto"/>
        <w:right w:val="none" w:sz="0" w:space="0" w:color="auto"/>
      </w:divBdr>
    </w:div>
    <w:div w:id="1402412635">
      <w:bodyDiv w:val="1"/>
      <w:marLeft w:val="0"/>
      <w:marRight w:val="0"/>
      <w:marTop w:val="0"/>
      <w:marBottom w:val="0"/>
      <w:divBdr>
        <w:top w:val="none" w:sz="0" w:space="0" w:color="auto"/>
        <w:left w:val="none" w:sz="0" w:space="0" w:color="auto"/>
        <w:bottom w:val="none" w:sz="0" w:space="0" w:color="auto"/>
        <w:right w:val="none" w:sz="0" w:space="0" w:color="auto"/>
      </w:divBdr>
    </w:div>
    <w:div w:id="1414664050">
      <w:bodyDiv w:val="1"/>
      <w:marLeft w:val="0"/>
      <w:marRight w:val="0"/>
      <w:marTop w:val="0"/>
      <w:marBottom w:val="0"/>
      <w:divBdr>
        <w:top w:val="none" w:sz="0" w:space="0" w:color="auto"/>
        <w:left w:val="none" w:sz="0" w:space="0" w:color="auto"/>
        <w:bottom w:val="none" w:sz="0" w:space="0" w:color="auto"/>
        <w:right w:val="none" w:sz="0" w:space="0" w:color="auto"/>
      </w:divBdr>
      <w:divsChild>
        <w:div w:id="1849054112">
          <w:marLeft w:val="0"/>
          <w:marRight w:val="0"/>
          <w:marTop w:val="0"/>
          <w:marBottom w:val="0"/>
          <w:divBdr>
            <w:top w:val="none" w:sz="0" w:space="0" w:color="auto"/>
            <w:left w:val="none" w:sz="0" w:space="0" w:color="auto"/>
            <w:bottom w:val="none" w:sz="0" w:space="0" w:color="auto"/>
            <w:right w:val="none" w:sz="0" w:space="0" w:color="auto"/>
          </w:divBdr>
        </w:div>
      </w:divsChild>
    </w:div>
    <w:div w:id="1418593761">
      <w:bodyDiv w:val="1"/>
      <w:marLeft w:val="0"/>
      <w:marRight w:val="0"/>
      <w:marTop w:val="0"/>
      <w:marBottom w:val="0"/>
      <w:divBdr>
        <w:top w:val="none" w:sz="0" w:space="0" w:color="auto"/>
        <w:left w:val="none" w:sz="0" w:space="0" w:color="auto"/>
        <w:bottom w:val="none" w:sz="0" w:space="0" w:color="auto"/>
        <w:right w:val="none" w:sz="0" w:space="0" w:color="auto"/>
      </w:divBdr>
    </w:div>
    <w:div w:id="1487743115">
      <w:bodyDiv w:val="1"/>
      <w:marLeft w:val="0"/>
      <w:marRight w:val="0"/>
      <w:marTop w:val="0"/>
      <w:marBottom w:val="0"/>
      <w:divBdr>
        <w:top w:val="none" w:sz="0" w:space="0" w:color="auto"/>
        <w:left w:val="none" w:sz="0" w:space="0" w:color="auto"/>
        <w:bottom w:val="none" w:sz="0" w:space="0" w:color="auto"/>
        <w:right w:val="none" w:sz="0" w:space="0" w:color="auto"/>
      </w:divBdr>
    </w:div>
    <w:div w:id="1565607377">
      <w:bodyDiv w:val="1"/>
      <w:marLeft w:val="0"/>
      <w:marRight w:val="0"/>
      <w:marTop w:val="0"/>
      <w:marBottom w:val="0"/>
      <w:divBdr>
        <w:top w:val="none" w:sz="0" w:space="0" w:color="auto"/>
        <w:left w:val="none" w:sz="0" w:space="0" w:color="auto"/>
        <w:bottom w:val="none" w:sz="0" w:space="0" w:color="auto"/>
        <w:right w:val="none" w:sz="0" w:space="0" w:color="auto"/>
      </w:divBdr>
    </w:div>
    <w:div w:id="1625042784">
      <w:bodyDiv w:val="1"/>
      <w:marLeft w:val="0"/>
      <w:marRight w:val="0"/>
      <w:marTop w:val="0"/>
      <w:marBottom w:val="0"/>
      <w:divBdr>
        <w:top w:val="none" w:sz="0" w:space="0" w:color="auto"/>
        <w:left w:val="none" w:sz="0" w:space="0" w:color="auto"/>
        <w:bottom w:val="none" w:sz="0" w:space="0" w:color="auto"/>
        <w:right w:val="none" w:sz="0" w:space="0" w:color="auto"/>
      </w:divBdr>
    </w:div>
    <w:div w:id="1627737747">
      <w:bodyDiv w:val="1"/>
      <w:marLeft w:val="0"/>
      <w:marRight w:val="0"/>
      <w:marTop w:val="0"/>
      <w:marBottom w:val="0"/>
      <w:divBdr>
        <w:top w:val="none" w:sz="0" w:space="0" w:color="auto"/>
        <w:left w:val="none" w:sz="0" w:space="0" w:color="auto"/>
        <w:bottom w:val="none" w:sz="0" w:space="0" w:color="auto"/>
        <w:right w:val="none" w:sz="0" w:space="0" w:color="auto"/>
      </w:divBdr>
    </w:div>
    <w:div w:id="1678271369">
      <w:bodyDiv w:val="1"/>
      <w:marLeft w:val="0"/>
      <w:marRight w:val="0"/>
      <w:marTop w:val="0"/>
      <w:marBottom w:val="0"/>
      <w:divBdr>
        <w:top w:val="none" w:sz="0" w:space="0" w:color="auto"/>
        <w:left w:val="none" w:sz="0" w:space="0" w:color="auto"/>
        <w:bottom w:val="none" w:sz="0" w:space="0" w:color="auto"/>
        <w:right w:val="none" w:sz="0" w:space="0" w:color="auto"/>
      </w:divBdr>
      <w:divsChild>
        <w:div w:id="459029671">
          <w:marLeft w:val="0"/>
          <w:marRight w:val="0"/>
          <w:marTop w:val="0"/>
          <w:marBottom w:val="0"/>
          <w:divBdr>
            <w:top w:val="none" w:sz="0" w:space="0" w:color="auto"/>
            <w:left w:val="none" w:sz="0" w:space="0" w:color="auto"/>
            <w:bottom w:val="none" w:sz="0" w:space="0" w:color="auto"/>
            <w:right w:val="none" w:sz="0" w:space="0" w:color="auto"/>
          </w:divBdr>
        </w:div>
      </w:divsChild>
    </w:div>
    <w:div w:id="1710300167">
      <w:bodyDiv w:val="1"/>
      <w:marLeft w:val="0"/>
      <w:marRight w:val="0"/>
      <w:marTop w:val="0"/>
      <w:marBottom w:val="0"/>
      <w:divBdr>
        <w:top w:val="none" w:sz="0" w:space="0" w:color="auto"/>
        <w:left w:val="none" w:sz="0" w:space="0" w:color="auto"/>
        <w:bottom w:val="none" w:sz="0" w:space="0" w:color="auto"/>
        <w:right w:val="none" w:sz="0" w:space="0" w:color="auto"/>
      </w:divBdr>
    </w:div>
    <w:div w:id="1773043060">
      <w:bodyDiv w:val="1"/>
      <w:marLeft w:val="0"/>
      <w:marRight w:val="0"/>
      <w:marTop w:val="0"/>
      <w:marBottom w:val="0"/>
      <w:divBdr>
        <w:top w:val="none" w:sz="0" w:space="0" w:color="auto"/>
        <w:left w:val="none" w:sz="0" w:space="0" w:color="auto"/>
        <w:bottom w:val="none" w:sz="0" w:space="0" w:color="auto"/>
        <w:right w:val="none" w:sz="0" w:space="0" w:color="auto"/>
      </w:divBdr>
    </w:div>
    <w:div w:id="1837066735">
      <w:bodyDiv w:val="1"/>
      <w:marLeft w:val="0"/>
      <w:marRight w:val="0"/>
      <w:marTop w:val="0"/>
      <w:marBottom w:val="0"/>
      <w:divBdr>
        <w:top w:val="none" w:sz="0" w:space="0" w:color="auto"/>
        <w:left w:val="none" w:sz="0" w:space="0" w:color="auto"/>
        <w:bottom w:val="none" w:sz="0" w:space="0" w:color="auto"/>
        <w:right w:val="none" w:sz="0" w:space="0" w:color="auto"/>
      </w:divBdr>
    </w:div>
    <w:div w:id="1863781454">
      <w:bodyDiv w:val="1"/>
      <w:marLeft w:val="0"/>
      <w:marRight w:val="0"/>
      <w:marTop w:val="0"/>
      <w:marBottom w:val="0"/>
      <w:divBdr>
        <w:top w:val="none" w:sz="0" w:space="0" w:color="auto"/>
        <w:left w:val="none" w:sz="0" w:space="0" w:color="auto"/>
        <w:bottom w:val="none" w:sz="0" w:space="0" w:color="auto"/>
        <w:right w:val="none" w:sz="0" w:space="0" w:color="auto"/>
      </w:divBdr>
    </w:div>
    <w:div w:id="1877041084">
      <w:bodyDiv w:val="1"/>
      <w:marLeft w:val="0"/>
      <w:marRight w:val="0"/>
      <w:marTop w:val="0"/>
      <w:marBottom w:val="0"/>
      <w:divBdr>
        <w:top w:val="none" w:sz="0" w:space="0" w:color="auto"/>
        <w:left w:val="none" w:sz="0" w:space="0" w:color="auto"/>
        <w:bottom w:val="none" w:sz="0" w:space="0" w:color="auto"/>
        <w:right w:val="none" w:sz="0" w:space="0" w:color="auto"/>
      </w:divBdr>
    </w:div>
    <w:div w:id="1950427579">
      <w:bodyDiv w:val="1"/>
      <w:marLeft w:val="0"/>
      <w:marRight w:val="0"/>
      <w:marTop w:val="0"/>
      <w:marBottom w:val="0"/>
      <w:divBdr>
        <w:top w:val="none" w:sz="0" w:space="0" w:color="auto"/>
        <w:left w:val="none" w:sz="0" w:space="0" w:color="auto"/>
        <w:bottom w:val="none" w:sz="0" w:space="0" w:color="auto"/>
        <w:right w:val="none" w:sz="0" w:space="0" w:color="auto"/>
      </w:divBdr>
    </w:div>
    <w:div w:id="1997688234">
      <w:bodyDiv w:val="1"/>
      <w:marLeft w:val="0"/>
      <w:marRight w:val="0"/>
      <w:marTop w:val="0"/>
      <w:marBottom w:val="0"/>
      <w:divBdr>
        <w:top w:val="none" w:sz="0" w:space="0" w:color="auto"/>
        <w:left w:val="none" w:sz="0" w:space="0" w:color="auto"/>
        <w:bottom w:val="none" w:sz="0" w:space="0" w:color="auto"/>
        <w:right w:val="none" w:sz="0" w:space="0" w:color="auto"/>
      </w:divBdr>
    </w:div>
    <w:div w:id="2035037686">
      <w:bodyDiv w:val="1"/>
      <w:marLeft w:val="0"/>
      <w:marRight w:val="0"/>
      <w:marTop w:val="0"/>
      <w:marBottom w:val="0"/>
      <w:divBdr>
        <w:top w:val="none" w:sz="0" w:space="0" w:color="auto"/>
        <w:left w:val="none" w:sz="0" w:space="0" w:color="auto"/>
        <w:bottom w:val="none" w:sz="0" w:space="0" w:color="auto"/>
        <w:right w:val="none" w:sz="0" w:space="0" w:color="auto"/>
      </w:divBdr>
    </w:div>
    <w:div w:id="2057123604">
      <w:bodyDiv w:val="1"/>
      <w:marLeft w:val="0"/>
      <w:marRight w:val="0"/>
      <w:marTop w:val="0"/>
      <w:marBottom w:val="0"/>
      <w:divBdr>
        <w:top w:val="none" w:sz="0" w:space="0" w:color="auto"/>
        <w:left w:val="none" w:sz="0" w:space="0" w:color="auto"/>
        <w:bottom w:val="none" w:sz="0" w:space="0" w:color="auto"/>
        <w:right w:val="none" w:sz="0" w:space="0" w:color="auto"/>
      </w:divBdr>
    </w:div>
    <w:div w:id="206013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A4422-CBEE-4994-80BB-163C8249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7144</Words>
  <Characters>40726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TAUFIQI</dc:creator>
  <cp:keywords/>
  <dc:description/>
  <cp:lastModifiedBy>SDI 1084</cp:lastModifiedBy>
  <cp:revision>16</cp:revision>
  <dcterms:created xsi:type="dcterms:W3CDTF">2025-04-22T03:04:00Z</dcterms:created>
  <dcterms:modified xsi:type="dcterms:W3CDTF">2025-05-14T08:37:00Z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ce98cc0d-c9de-311b-a0c8-5bf720615e3e</vt:lpwstr>
  </property>
  <property fmtid="{D5CDD505-2E9C-101B-9397-08002B2CF9AE}" pid="24" name="Mendeley Citation Style_1">
    <vt:lpwstr>http://www.zotero.org/styles/apa</vt:lpwstr>
  </property>
</Properties>
</file>