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208334" w14:textId="543BF94C" w:rsidR="00A75795" w:rsidRDefault="00057555">
      <w:pPr>
        <w:pStyle w:val="Heading1"/>
        <w:spacing w:before="0"/>
        <w:ind w:left="0"/>
      </w:pPr>
      <w:r w:rsidRPr="00057555">
        <w:t>DEVELOPMENT OF A COMMUNITY-BASED TOURISM MODEL IN THE BOROBUDUR TEMPLE AREA, TO SUPPORT SUSTAINABLE TOURISM PERFORMANCE</w:t>
      </w:r>
      <w:r w:rsidR="00985916">
        <w:t xml:space="preserve"> </w:t>
      </w:r>
    </w:p>
    <w:p w14:paraId="3C7B5C3C" w14:textId="77777777" w:rsidR="00057555" w:rsidRDefault="00057555">
      <w:pPr>
        <w:pStyle w:val="Heading1"/>
        <w:spacing w:before="0"/>
        <w:ind w:left="0"/>
      </w:pPr>
    </w:p>
    <w:p w14:paraId="285FE9CD" w14:textId="762B0788" w:rsidR="0086096D" w:rsidRDefault="0086096D">
      <w:pPr>
        <w:pStyle w:val="Heading1"/>
        <w:spacing w:before="0"/>
        <w:ind w:left="0"/>
      </w:pPr>
    </w:p>
    <w:p w14:paraId="2FB4ED63" w14:textId="77777777" w:rsidR="00C116BC" w:rsidRDefault="00C116BC">
      <w:pPr>
        <w:pStyle w:val="Heading1"/>
        <w:spacing w:before="0"/>
        <w:ind w:left="0"/>
      </w:pPr>
    </w:p>
    <w:p w14:paraId="4642DF68" w14:textId="33C273EB" w:rsidR="0086096D" w:rsidRPr="004F4EA5" w:rsidRDefault="004F4EA5">
      <w:pPr>
        <w:pStyle w:val="Heading1"/>
        <w:spacing w:before="0"/>
        <w:ind w:left="0"/>
        <w:rPr>
          <w:sz w:val="22"/>
          <w:szCs w:val="22"/>
        </w:rPr>
      </w:pPr>
      <w:bookmarkStart w:id="0" w:name="_Hlk180988904"/>
      <w:r w:rsidRPr="004F4EA5">
        <w:rPr>
          <w:sz w:val="22"/>
          <w:szCs w:val="22"/>
        </w:rPr>
        <w:t>ABSTRACT</w:t>
      </w:r>
    </w:p>
    <w:bookmarkEnd w:id="0"/>
    <w:p w14:paraId="338D0B84" w14:textId="77777777" w:rsidR="009A7D6D" w:rsidRPr="009A7D6D" w:rsidRDefault="009A7D6D" w:rsidP="009A7D6D">
      <w:pPr>
        <w:jc w:val="both"/>
        <w:rPr>
          <w:lang w:val="id-ID"/>
        </w:rPr>
      </w:pPr>
      <w:r w:rsidRPr="009A7D6D">
        <w:rPr>
          <w:lang w:val="id-ID"/>
        </w:rPr>
        <w:t>This study aims to analyze the influence of Collaboration, Pentahelix Synergy, and Innovative Leadership on Community-Based Tourism (CBT) development, as well as evaluate the impact of CBT on Sustainable Tourism by considering the moderating role of Government Policy. Employing a quantitative approach and the Partial Least Squares Structural Equation Modeling (PLS-SEM) method, data were collected from 218 respondents across 20 villages surrounding the Borobudur Temple area. The findings indicate that Collaboration, Pentahelix Synergy, and Innovative Leadership significantly influence CBT. Moreover, CBT was found to mediate the relationship between Pentahelix Synergy and Sustainable Tourism, while Government Policy plays a significant moderating role in strengthening this relationship. These results underscore the importance of enhancing cross-sector collaboration, formulating supportive policies for Pentahelix actor synergy, and contributing to the theoretical framework by bridging research gaps related to the determinants of sustainable tourism in the context of CBT.</w:t>
      </w:r>
    </w:p>
    <w:p w14:paraId="54FEEA58" w14:textId="1CD1288B" w:rsidR="0086096D" w:rsidRPr="009A7D6D" w:rsidRDefault="009A7D6D" w:rsidP="009A7D6D">
      <w:pPr>
        <w:ind w:left="993" w:hanging="993"/>
        <w:jc w:val="both"/>
        <w:rPr>
          <w:lang w:val="id-ID"/>
        </w:rPr>
      </w:pPr>
      <w:r w:rsidRPr="009A7D6D">
        <w:rPr>
          <w:b/>
          <w:bCs/>
          <w:lang w:val="id-ID"/>
        </w:rPr>
        <w:t>Keywords:</w:t>
      </w:r>
      <w:r w:rsidRPr="009A7D6D">
        <w:rPr>
          <w:lang w:val="id-ID"/>
        </w:rPr>
        <w:t xml:space="preserve"> </w:t>
      </w:r>
      <w:bookmarkStart w:id="1" w:name="OLE_LINK1"/>
      <w:r w:rsidRPr="009A7D6D">
        <w:rPr>
          <w:lang w:val="id-ID"/>
        </w:rPr>
        <w:t>Collaboration, Pentahelix Synergy, Innovative Leadership, Community-Based Tourism, Sustainable Tourism, Government Policy</w:t>
      </w:r>
      <w:bookmarkStart w:id="2" w:name="_GoBack"/>
      <w:bookmarkEnd w:id="2"/>
    </w:p>
    <w:p w14:paraId="7C3524A9" w14:textId="77777777" w:rsidR="009A7D6D" w:rsidRPr="006A7B78" w:rsidRDefault="009A7D6D" w:rsidP="00793C47">
      <w:pPr>
        <w:pStyle w:val="Heading1"/>
        <w:spacing w:before="0"/>
        <w:ind w:left="0"/>
        <w:jc w:val="left"/>
        <w:rPr>
          <w:lang w:val="id-ID"/>
        </w:rPr>
      </w:pPr>
    </w:p>
    <w:p w14:paraId="515637C2" w14:textId="77777777" w:rsidR="00A75795" w:rsidRDefault="0091215A" w:rsidP="009D2CB6">
      <w:pPr>
        <w:pStyle w:val="Heading2"/>
        <w:spacing w:before="0" w:line="360" w:lineRule="auto"/>
        <w:ind w:left="0" w:right="2937"/>
        <w:jc w:val="left"/>
        <w:rPr>
          <w:b w:val="0"/>
          <w:i w:val="0"/>
        </w:rPr>
      </w:pPr>
      <w:bookmarkStart w:id="3" w:name="_heading=h.3q5sasy" w:colFirst="0" w:colLast="0"/>
      <w:bookmarkEnd w:id="1"/>
      <w:bookmarkEnd w:id="3"/>
      <w:r>
        <w:rPr>
          <w:i w:val="0"/>
        </w:rPr>
        <w:t>BACKGROUND</w:t>
      </w:r>
    </w:p>
    <w:p w14:paraId="26ED88C3" w14:textId="163E1A19" w:rsidR="009A7D6D" w:rsidRPr="009A7D6D" w:rsidRDefault="009A7D6D" w:rsidP="009A7D6D">
      <w:pPr>
        <w:ind w:right="28" w:firstLine="720"/>
        <w:jc w:val="both"/>
        <w:rPr>
          <w:lang w:val="id-ID"/>
        </w:rPr>
      </w:pPr>
      <w:r w:rsidRPr="009A7D6D">
        <w:rPr>
          <w:lang w:val="id-ID"/>
        </w:rPr>
        <w:t>Indonesia, as the world's largest archipelagic country with more than 84,000 villages, holds immense potential for the development of community-based tourism (CBT). The nation's rich natural and cultural diversity—from Sabang to Merauke—positions villages as the center of local economic growth. Its diverse landscape—mountains, forests, seas, and local culture—constitutes a vital resource for sustainable development [1]. The Jayabaya Prophecy offers an interesting cultural perspective, suggesting that villages will rise to become leaders in the nation's future. This prophecy can be interpreted as a prediction of the transformation of villages from passive objects of development into key subjects driving social and economic justice [2]. On a global scale, tourism plays a significant role in the economy, with 1.4 billion international travelers and a contribution of nearly 10% to global GDP [3]. In Indonesia, the tourism sector contributed 4.1% to the national GDP in 2022 and is projected to grow in the post-pandemic period [</w:t>
      </w:r>
      <w:r w:rsidR="00057555">
        <w:rPr>
          <w:lang w:val="id-ID"/>
        </w:rPr>
        <w:t>1</w:t>
      </w:r>
      <w:r w:rsidRPr="009A7D6D">
        <w:rPr>
          <w:lang w:val="id-ID"/>
        </w:rPr>
        <w:t>]. Village tourism is now a focal point in the advancement of CBT, aimed at fostering sustainable development at the local level.</w:t>
      </w:r>
    </w:p>
    <w:p w14:paraId="19D30720" w14:textId="77777777" w:rsidR="009A7D6D" w:rsidRPr="009A7D6D" w:rsidRDefault="009A7D6D" w:rsidP="009A7D6D">
      <w:pPr>
        <w:ind w:right="28" w:firstLine="720"/>
        <w:jc w:val="both"/>
        <w:rPr>
          <w:lang w:val="id-ID"/>
        </w:rPr>
      </w:pPr>
      <w:r w:rsidRPr="009A7D6D">
        <w:rPr>
          <w:lang w:val="id-ID"/>
        </w:rPr>
        <w:t>Each village in Indonesia holds unique local wisdom and tourism potential that can be developed into key attractions. These villages possess great opportunities to improve community welfare through management based on mutual cooperation and inter-group collaboration. When managed sustainably, village potential can significantly contribute to improving the quality of life of local communities [4]. One prominent example is the area surrounding Borobudur Temple, which encompasses 20 villages applying a community-based tourism approach. Wanurejo Tourism Village, which ranked among the top 50 villages in the 2024 Indonesia Tourism Village Awards, reflects the vast potential for optimizing CBT models.</w:t>
      </w:r>
    </w:p>
    <w:p w14:paraId="5574C0DE" w14:textId="77777777" w:rsidR="009A7D6D" w:rsidRPr="009A7D6D" w:rsidRDefault="009A7D6D" w:rsidP="009A7D6D">
      <w:pPr>
        <w:ind w:right="28" w:firstLine="720"/>
        <w:jc w:val="both"/>
        <w:rPr>
          <w:lang w:val="id-ID"/>
        </w:rPr>
      </w:pPr>
      <w:r w:rsidRPr="009A7D6D">
        <w:rPr>
          <w:lang w:val="id-ID"/>
        </w:rPr>
        <w:t xml:space="preserve">Borobudur Temple, a UNESCO World Heritage Site, holds extraordinary potential to support the development of sustainable community-based tourism. A development approach that actively involves the community in every aspect not only benefits Borobudur itself but also enhances the quality of life of the surrounding communities through tourism </w:t>
      </w:r>
      <w:r w:rsidRPr="009A7D6D">
        <w:rPr>
          <w:lang w:val="id-ID"/>
        </w:rPr>
        <w:lastRenderedPageBreak/>
        <w:t>activities. The success of CBT in Borobudur illustrates that the achievements in the tourism sector are not merely measured by visitor numbers but also by positive impacts on local economic, social, and cultural dynamics [5]. Community empowerment programs initiated by the government and local organizations further reinforce tourism sustainability that benefits all stakeholders [6].</w:t>
      </w:r>
    </w:p>
    <w:p w14:paraId="35BB05A6" w14:textId="5F37C224" w:rsidR="006A7B78" w:rsidRDefault="009A7D6D" w:rsidP="009A7D6D">
      <w:pPr>
        <w:ind w:right="28" w:firstLine="720"/>
        <w:jc w:val="both"/>
        <w:rPr>
          <w:lang w:val="id-ID"/>
        </w:rPr>
      </w:pPr>
      <w:r w:rsidRPr="009A7D6D">
        <w:rPr>
          <w:lang w:val="id-ID"/>
        </w:rPr>
        <w:t>Tourist visits to Borobudur Temple experienced significant fluctuations between 2019 and 2023. In 2019, prior to the COVID-19 pandemic, domestic tourist visits peaked at 3.78 million, while international tourist visits reached 249,000. However, in 2020, a sharp decline occurred, with local visitors falling to 965,000 and international visits dropping to only 31,000. Recovery began to appear in 2023, as domestic tourist visits rose to 982,000, and foreign tourist arrivals rebounded significantly to 167,000. Overall, these data suggest that although the tourism sector was severely affected by the pandemic, the 2023 trend signals a recovery—particularly through the return of international tourists to leading destinations such as Borobudur Temple.</w:t>
      </w:r>
    </w:p>
    <w:p w14:paraId="508D2679" w14:textId="77777777" w:rsidR="009A7D6D" w:rsidRPr="009A7D6D" w:rsidRDefault="009A7D6D" w:rsidP="009A7D6D">
      <w:pPr>
        <w:ind w:right="28" w:firstLine="720"/>
        <w:jc w:val="both"/>
        <w:rPr>
          <w:lang w:val="id-ID"/>
        </w:rPr>
      </w:pPr>
    </w:p>
    <w:p w14:paraId="0DFD7CAC" w14:textId="3850B1C2" w:rsidR="006A7B78" w:rsidRDefault="006A7B78" w:rsidP="0037792B">
      <w:pPr>
        <w:spacing w:after="120"/>
        <w:ind w:right="28"/>
        <w:jc w:val="center"/>
        <w:rPr>
          <w:lang w:val="sv-SE"/>
        </w:rPr>
      </w:pPr>
      <w:r>
        <w:rPr>
          <w:noProof/>
        </w:rPr>
        <w:drawing>
          <wp:inline distT="0" distB="0" distL="0" distR="0" wp14:anchorId="0AC02B75" wp14:editId="7BCC93C2">
            <wp:extent cx="3632200" cy="2184400"/>
            <wp:effectExtent l="0" t="0" r="0" b="0"/>
            <wp:docPr id="2134510757" name="Chart 1">
              <a:extLst xmlns:a="http://schemas.openxmlformats.org/drawingml/2006/main">
                <a:ext uri="{FF2B5EF4-FFF2-40B4-BE49-F238E27FC236}">
                  <a16:creationId xmlns:a16="http://schemas.microsoft.com/office/drawing/2014/main" id="{37B74CB3-B9C5-86B3-D4F1-BA09624F6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03F91D" w14:textId="77777777" w:rsidR="006A7B78" w:rsidRDefault="006A7B78" w:rsidP="0037792B">
      <w:pPr>
        <w:spacing w:line="480" w:lineRule="auto"/>
        <w:ind w:left="720" w:firstLine="720"/>
        <w:rPr>
          <w:i/>
          <w:iCs/>
          <w:sz w:val="24"/>
          <w:szCs w:val="24"/>
        </w:rPr>
      </w:pPr>
      <w:r w:rsidRPr="007C1C1F">
        <w:rPr>
          <w:i/>
          <w:iCs/>
          <w:sz w:val="24"/>
          <w:szCs w:val="24"/>
        </w:rPr>
        <w:t xml:space="preserve">*Sumber : PT TWC </w:t>
      </w:r>
    </w:p>
    <w:p w14:paraId="7E78AFD6" w14:textId="5572E3FC" w:rsidR="006A7B78" w:rsidRDefault="009A7D6D" w:rsidP="006A7B78">
      <w:pPr>
        <w:jc w:val="center"/>
        <w:rPr>
          <w:b/>
          <w:bCs/>
          <w:sz w:val="24"/>
          <w:szCs w:val="24"/>
          <w:lang w:val="it-IT"/>
        </w:rPr>
      </w:pPr>
      <w:bookmarkStart w:id="4" w:name="_Toc195899799"/>
      <w:r>
        <w:rPr>
          <w:b/>
          <w:bCs/>
          <w:sz w:val="24"/>
          <w:szCs w:val="24"/>
        </w:rPr>
        <w:t xml:space="preserve">Figure </w:t>
      </w:r>
      <w:r w:rsidR="006A7B78" w:rsidRPr="008E3037">
        <w:rPr>
          <w:b/>
          <w:bCs/>
          <w:sz w:val="24"/>
          <w:szCs w:val="24"/>
        </w:rPr>
        <w:t>1</w:t>
      </w:r>
      <w:r w:rsidR="006A7B78" w:rsidRPr="008E3037">
        <w:rPr>
          <w:b/>
          <w:bCs/>
          <w:sz w:val="24"/>
          <w:szCs w:val="24"/>
        </w:rPr>
        <w:br/>
      </w:r>
      <w:bookmarkEnd w:id="4"/>
      <w:r w:rsidRPr="009A7D6D">
        <w:rPr>
          <w:b/>
          <w:bCs/>
          <w:sz w:val="24"/>
          <w:szCs w:val="24"/>
          <w:lang w:val="it-IT"/>
        </w:rPr>
        <w:t>Borobudur Temple Tourism Park Visitor Data 2019-2023</w:t>
      </w:r>
    </w:p>
    <w:p w14:paraId="3DD7F48F" w14:textId="77777777" w:rsidR="006A7B78" w:rsidRPr="008E3037" w:rsidRDefault="006A7B78" w:rsidP="000A7177">
      <w:pPr>
        <w:jc w:val="center"/>
        <w:rPr>
          <w:b/>
          <w:bCs/>
          <w:i/>
          <w:iCs/>
          <w:sz w:val="24"/>
          <w:szCs w:val="24"/>
        </w:rPr>
      </w:pPr>
    </w:p>
    <w:p w14:paraId="4BCD8D0D" w14:textId="77777777" w:rsidR="009A7D6D" w:rsidRPr="009A7D6D" w:rsidRDefault="009A7D6D" w:rsidP="009A7D6D">
      <w:pPr>
        <w:ind w:right="28" w:firstLine="720"/>
        <w:jc w:val="both"/>
        <w:rPr>
          <w:bCs/>
          <w:lang w:val="id-ID"/>
        </w:rPr>
      </w:pPr>
      <w:r w:rsidRPr="009A7D6D">
        <w:rPr>
          <w:bCs/>
          <w:lang w:val="id-ID"/>
        </w:rPr>
        <w:t>Although Borobudur Temple succeeded in attracting more than 3.7 million domestic tourists and nearly 250,000 international visitors in 2019 [1], the economic impact on surrounding communities remains limited. To address this gap, the government initiated the Village Economic Center (Balai Ekonomi Desa or Balkondes) program as a tourism-based economic development strategy that actively involves local residents. Designed as a buffer zone surrounding Borobudur, Balkondes integrates economic, cultural, social, and local wisdom components. Rini M. Soemarno, the Minister of State-Owned Enterprises (SOEs) during the 2014–2019 period, expressed her hope that Balkondes would remain sustainable and provide long-term socio-economic and environmental benefits for local communities.</w:t>
      </w:r>
    </w:p>
    <w:p w14:paraId="1886CB29" w14:textId="7C1B06B9" w:rsidR="009A7D6D" w:rsidRPr="009A7D6D" w:rsidRDefault="009A7D6D" w:rsidP="009A7D6D">
      <w:pPr>
        <w:ind w:right="28" w:firstLine="720"/>
        <w:jc w:val="both"/>
        <w:rPr>
          <w:bCs/>
          <w:lang w:val="id-ID"/>
        </w:rPr>
      </w:pPr>
      <w:r w:rsidRPr="009A7D6D">
        <w:rPr>
          <w:bCs/>
          <w:lang w:val="id-ID"/>
        </w:rPr>
        <w:t>Nevertheless, the implementation of the Balkondes program faces various challenges, including disparities in infrastructure quality among Balkondes units, which affect the tourist experience. Inconsistencies in facility standards and services have created gaps in quality, potentially leading to negative perceptions of the destination as a whole [</w:t>
      </w:r>
      <w:r w:rsidR="00057555">
        <w:rPr>
          <w:bCs/>
          <w:lang w:val="id-ID"/>
        </w:rPr>
        <w:t>7</w:t>
      </w:r>
      <w:r w:rsidRPr="009A7D6D">
        <w:rPr>
          <w:bCs/>
          <w:lang w:val="id-ID"/>
        </w:rPr>
        <w:t>]. Moreover, fragmented marketing coordination has resulted in inefficiencies and the risk of internal competition, which could prove counterproductive [</w:t>
      </w:r>
      <w:r w:rsidR="00057555">
        <w:rPr>
          <w:bCs/>
          <w:lang w:val="id-ID"/>
        </w:rPr>
        <w:t>8</w:t>
      </w:r>
      <w:r w:rsidRPr="009A7D6D">
        <w:rPr>
          <w:bCs/>
          <w:lang w:val="id-ID"/>
        </w:rPr>
        <w:t xml:space="preserve">]. Therefore, an integrated approach to marketing and destination management is essential to foster synergy among villages and to strengthen the overall competitiveness of the Borobudur tourism </w:t>
      </w:r>
      <w:r w:rsidRPr="009A7D6D">
        <w:rPr>
          <w:bCs/>
          <w:lang w:val="id-ID"/>
        </w:rPr>
        <w:lastRenderedPageBreak/>
        <w:t>area.</w:t>
      </w:r>
    </w:p>
    <w:p w14:paraId="1A8813C4" w14:textId="7C01F7C7" w:rsidR="00793C47" w:rsidRPr="00793C47" w:rsidRDefault="009A7D6D" w:rsidP="009A7D6D">
      <w:pPr>
        <w:ind w:right="28" w:firstLine="720"/>
        <w:jc w:val="both"/>
        <w:rPr>
          <w:bCs/>
          <w:lang w:val="id-ID"/>
        </w:rPr>
      </w:pPr>
      <w:r w:rsidRPr="009A7D6D">
        <w:rPr>
          <w:bCs/>
          <w:lang w:val="id-ID"/>
        </w:rPr>
        <w:t>The development of Community-Based Tourism (CBT) must adhere to the principles of sustainability, equity, and empowerment. Building community capacity is critical, as infrastructure development alone risks becoming unsustainable without it. With rural poverty reaching 12.29% in 2022 [1], an inclusive development model becomes increasingly necessary. The Pentahelix collaborative model—which engages the government, academia, businesses, communities, and media—is vital to ensuring the effectiveness of tourism programs in Borobudur. While tourism villages offer significant potential to alleviate poverty and preserve cultural heritage [4], progress is often hindered by resource limitations and poor coordination. Clear management structures involving all stakeholders are essential to realize sustainable tourism villages and activate the local economy [5]. Cross-sector collaboration and innovative leadership are key foundations of CBT [6], with village heads playing a crucial role in encouraging public participation and highlighting local potential</w:t>
      </w:r>
      <w:r w:rsidR="00793C47" w:rsidRPr="00793C47">
        <w:rPr>
          <w:bCs/>
          <w:lang w:val="id-ID"/>
        </w:rPr>
        <w:t>.</w:t>
      </w:r>
    </w:p>
    <w:p w14:paraId="66CF8A1F" w14:textId="38FE5A8B" w:rsidR="009A7D6D" w:rsidRPr="009A7D6D" w:rsidRDefault="009A7D6D" w:rsidP="009A7D6D">
      <w:pPr>
        <w:ind w:right="28" w:firstLine="720"/>
        <w:jc w:val="both"/>
        <w:rPr>
          <w:bCs/>
          <w:lang w:val="id-ID"/>
        </w:rPr>
      </w:pPr>
      <w:r w:rsidRPr="009A7D6D">
        <w:rPr>
          <w:bCs/>
          <w:lang w:val="id-ID"/>
        </w:rPr>
        <w:t>This study positions sustainable tourism as the dependent variable, reflecting the direction of development in priority destinations such as Borobudur Temple. Modern tourism development requires a balance between economic, social, cultural, and environmental aspects [</w:t>
      </w:r>
      <w:r w:rsidR="00057555">
        <w:rPr>
          <w:bCs/>
          <w:lang w:val="id-ID"/>
        </w:rPr>
        <w:t>9</w:t>
      </w:r>
      <w:r w:rsidRPr="009A7D6D">
        <w:rPr>
          <w:bCs/>
          <w:lang w:val="id-ID"/>
        </w:rPr>
        <w:t>], [</w:t>
      </w:r>
      <w:r w:rsidR="00057555">
        <w:rPr>
          <w:bCs/>
          <w:lang w:val="id-ID"/>
        </w:rPr>
        <w:t>10</w:t>
      </w:r>
      <w:r w:rsidRPr="009A7D6D">
        <w:rPr>
          <w:bCs/>
          <w:lang w:val="id-ID"/>
        </w:rPr>
        <w:t>]. Active community involvement is a crucial requirement in managing inclusive and adaptive destinations [</w:t>
      </w:r>
      <w:r w:rsidR="00057555">
        <w:rPr>
          <w:bCs/>
          <w:lang w:val="id-ID"/>
        </w:rPr>
        <w:t>11</w:t>
      </w:r>
      <w:r w:rsidRPr="009A7D6D">
        <w:rPr>
          <w:bCs/>
          <w:lang w:val="id-ID"/>
        </w:rPr>
        <w:t>]. Community-Based Tourism (CBT) acts as a mediator bridging the relationship between stakeholder collaboration and sustainability. In addition to being a management framework, CBT promotes equitable benefit distribution [</w:t>
      </w:r>
      <w:r w:rsidR="00057555">
        <w:rPr>
          <w:bCs/>
          <w:lang w:val="id-ID"/>
        </w:rPr>
        <w:t>12</w:t>
      </w:r>
      <w:r w:rsidRPr="009A7D6D">
        <w:rPr>
          <w:bCs/>
          <w:lang w:val="id-ID"/>
        </w:rPr>
        <w:t>], and its effectiveness heavily depends on the community’s social capacity and open communication [</w:t>
      </w:r>
      <w:r w:rsidR="00057555">
        <w:rPr>
          <w:bCs/>
          <w:lang w:val="id-ID"/>
        </w:rPr>
        <w:t>13</w:t>
      </w:r>
      <w:r w:rsidRPr="009A7D6D">
        <w:rPr>
          <w:bCs/>
          <w:lang w:val="id-ID"/>
        </w:rPr>
        <w:t>].</w:t>
      </w:r>
    </w:p>
    <w:p w14:paraId="76091B57" w14:textId="77777777" w:rsidR="009A7D6D" w:rsidRPr="009A7D6D" w:rsidRDefault="009A7D6D" w:rsidP="009A7D6D">
      <w:pPr>
        <w:ind w:right="28" w:firstLine="720"/>
        <w:jc w:val="both"/>
        <w:rPr>
          <w:bCs/>
          <w:lang w:val="id-ID"/>
        </w:rPr>
      </w:pPr>
      <w:r w:rsidRPr="009A7D6D">
        <w:rPr>
          <w:bCs/>
          <w:lang w:val="id-ID"/>
        </w:rPr>
        <w:t>The success of CBT in supporting sustainable tourism is influenced by innovative leadership and collaborative practices within the Pentahelix framework [6], [7]. Synergistic collaboration strengthens social legitimacy and ensures long-term sustainability. Government policy serves as a moderator that enhances the relationship between collaboration and leadership in CBT management. Inclusive governance can increase community participation and representation [8], creating a more adaptive tourism ecosystem. This study is expected to provide both theoretical and practical contributions to CBT development, as well as offer solutions to issues such as unemployment, economic inequality, and environmental sustainability in tourism areas [9].</w:t>
      </w:r>
    </w:p>
    <w:p w14:paraId="10374870" w14:textId="5B123A1F" w:rsidR="000A7177" w:rsidRDefault="009A7D6D" w:rsidP="009A7D6D">
      <w:pPr>
        <w:ind w:right="28" w:firstLine="720"/>
        <w:jc w:val="both"/>
        <w:rPr>
          <w:bCs/>
          <w:lang w:val="id-ID"/>
        </w:rPr>
      </w:pPr>
      <w:r w:rsidRPr="009A7D6D">
        <w:rPr>
          <w:bCs/>
          <w:lang w:val="id-ID"/>
        </w:rPr>
        <w:t>Based on this background, the study is entitled: “Development of a Community-Based Tourism Model in the Borobudur Temple Area to Support Sustainable Tourism Performance.” Its main focus is how CBT can promote fair, inclusive, and sustainable tourism management in one of the nation's super-priority destinations.</w:t>
      </w:r>
    </w:p>
    <w:p w14:paraId="03B51C41" w14:textId="77777777" w:rsidR="009A7D6D" w:rsidRDefault="009A7D6D" w:rsidP="000A7177">
      <w:pPr>
        <w:ind w:right="28" w:firstLine="720"/>
        <w:jc w:val="both"/>
        <w:rPr>
          <w:bCs/>
          <w:lang w:val="id-ID"/>
        </w:rPr>
      </w:pPr>
    </w:p>
    <w:p w14:paraId="17454201" w14:textId="77777777" w:rsidR="000A7177" w:rsidRPr="000A7177" w:rsidRDefault="000A7177" w:rsidP="000A7177">
      <w:pPr>
        <w:ind w:right="28" w:firstLine="720"/>
        <w:jc w:val="both"/>
        <w:rPr>
          <w:bCs/>
          <w:lang w:val="id-ID"/>
        </w:rPr>
      </w:pPr>
    </w:p>
    <w:p w14:paraId="55D70CED" w14:textId="2132DDB3" w:rsidR="00A75795" w:rsidRPr="000A7177" w:rsidRDefault="006D51D0" w:rsidP="000A7177">
      <w:pPr>
        <w:spacing w:after="120"/>
        <w:ind w:right="28"/>
        <w:jc w:val="both"/>
        <w:rPr>
          <w:b/>
        </w:rPr>
      </w:pPr>
      <w:r w:rsidRPr="000A7177">
        <w:rPr>
          <w:b/>
        </w:rPr>
        <w:t>LITERATURE STUD</w:t>
      </w:r>
      <w:r w:rsidR="000A7177">
        <w:rPr>
          <w:b/>
        </w:rPr>
        <w:t>IES</w:t>
      </w:r>
    </w:p>
    <w:p w14:paraId="2B7F7533" w14:textId="4458957B" w:rsidR="00A2326F" w:rsidRPr="000A7177" w:rsidRDefault="00BF4A4E" w:rsidP="0037792B">
      <w:pPr>
        <w:jc w:val="both"/>
        <w:rPr>
          <w:b/>
          <w:bCs/>
          <w:lang w:val="id-ID"/>
        </w:rPr>
      </w:pPr>
      <w:r>
        <w:rPr>
          <w:b/>
          <w:bCs/>
          <w:lang w:val="id-ID"/>
        </w:rPr>
        <w:t>SUSTAINABILITY</w:t>
      </w:r>
    </w:p>
    <w:p w14:paraId="5BE2D806" w14:textId="3F83EA8A" w:rsidR="009A7D6D" w:rsidRPr="009A7D6D" w:rsidRDefault="009A7D6D" w:rsidP="009A7D6D">
      <w:pPr>
        <w:ind w:firstLine="720"/>
        <w:jc w:val="both"/>
        <w:rPr>
          <w:lang w:val="id-ID"/>
        </w:rPr>
      </w:pPr>
      <w:r w:rsidRPr="009A7D6D">
        <w:rPr>
          <w:lang w:val="id-ID"/>
        </w:rPr>
        <w:t>The concept of sustainability was formally introduced through the Brundtland Report, published by the World Commission on Environment and Development (WCED) in 1987. In the report, sustainable development is defined as the effort to meet the needs of the present generation without compromising the ability of future generations to meet their own needs [1</w:t>
      </w:r>
      <w:r w:rsidR="00370454">
        <w:rPr>
          <w:lang w:val="id-ID"/>
        </w:rPr>
        <w:t>3</w:t>
      </w:r>
      <w:r w:rsidRPr="009A7D6D">
        <w:rPr>
          <w:lang w:val="id-ID"/>
        </w:rPr>
        <w:t>]. Over time, this concept has evolved to encompass three interrelated core dimensions: economic, social, and environmental.</w:t>
      </w:r>
    </w:p>
    <w:p w14:paraId="1B161803" w14:textId="1977E8E4" w:rsidR="009A7D6D" w:rsidRPr="009A7D6D" w:rsidRDefault="009A7D6D" w:rsidP="009A7D6D">
      <w:pPr>
        <w:ind w:firstLine="720"/>
        <w:jc w:val="both"/>
        <w:rPr>
          <w:lang w:val="id-ID"/>
        </w:rPr>
      </w:pPr>
      <w:r w:rsidRPr="009A7D6D">
        <w:rPr>
          <w:lang w:val="id-ID"/>
        </w:rPr>
        <w:t>The economic dimension emphasizes stable growth, resource-use efficiency, and the sustainability of production and consumption systems [</w:t>
      </w:r>
      <w:r w:rsidR="00370454">
        <w:rPr>
          <w:lang w:val="id-ID"/>
        </w:rPr>
        <w:t>14</w:t>
      </w:r>
      <w:r w:rsidRPr="009A7D6D">
        <w:rPr>
          <w:lang w:val="id-ID"/>
        </w:rPr>
        <w:t>]. The social dimension focuses on achieving social justice, reducing inequality, and empowering local communities and vulnerable groups [</w:t>
      </w:r>
      <w:r w:rsidR="00370454">
        <w:rPr>
          <w:lang w:val="id-ID"/>
        </w:rPr>
        <w:t>15</w:t>
      </w:r>
      <w:r w:rsidRPr="009A7D6D">
        <w:rPr>
          <w:lang w:val="id-ID"/>
        </w:rPr>
        <w:t>]. Meanwhile, the environmental dimension highlights the importance of conserving natural resources, protecting biodiversity, and restoring degraded ecosystems [</w:t>
      </w:r>
      <w:r w:rsidR="00370454">
        <w:rPr>
          <w:lang w:val="id-ID"/>
        </w:rPr>
        <w:t>16</w:t>
      </w:r>
      <w:r w:rsidRPr="009A7D6D">
        <w:rPr>
          <w:lang w:val="id-ID"/>
        </w:rPr>
        <w:t>], [</w:t>
      </w:r>
      <w:r w:rsidR="00370454">
        <w:rPr>
          <w:lang w:val="id-ID"/>
        </w:rPr>
        <w:t>17</w:t>
      </w:r>
      <w:r w:rsidRPr="009A7D6D">
        <w:rPr>
          <w:lang w:val="id-ID"/>
        </w:rPr>
        <w:t>].</w:t>
      </w:r>
    </w:p>
    <w:p w14:paraId="39A3F066" w14:textId="1704A0CE" w:rsidR="009A7D6D" w:rsidRPr="009A7D6D" w:rsidRDefault="009A7D6D" w:rsidP="009A7D6D">
      <w:pPr>
        <w:ind w:firstLine="720"/>
        <w:jc w:val="both"/>
        <w:rPr>
          <w:lang w:val="id-ID"/>
        </w:rPr>
      </w:pPr>
      <w:r w:rsidRPr="009A7D6D">
        <w:rPr>
          <w:lang w:val="id-ID"/>
        </w:rPr>
        <w:lastRenderedPageBreak/>
        <w:t>The integration of these three dimensions forms the foundation of a holistic approach to sustainable development. This approach aims not only to improve overall quality of life, but also to ensure a long-term balance between human interests and environmental preservation [</w:t>
      </w:r>
      <w:r w:rsidR="00370454">
        <w:rPr>
          <w:lang w:val="id-ID"/>
        </w:rPr>
        <w:t>18</w:t>
      </w:r>
      <w:r w:rsidRPr="009A7D6D">
        <w:rPr>
          <w:lang w:val="id-ID"/>
        </w:rPr>
        <w:t>. Thus, sustainability is not only a normative goal but also a strategic framework for policymaking and cross-sectoral development program implementation.</w:t>
      </w:r>
    </w:p>
    <w:p w14:paraId="047A6B18" w14:textId="52AF35D6" w:rsidR="00A2326F" w:rsidRPr="009A7D6D" w:rsidRDefault="00A2326F" w:rsidP="009A7D6D">
      <w:pPr>
        <w:ind w:firstLine="720"/>
        <w:jc w:val="both"/>
        <w:rPr>
          <w:lang w:val="sv-SE"/>
        </w:rPr>
      </w:pPr>
    </w:p>
    <w:p w14:paraId="16C39F10" w14:textId="3AC4127F" w:rsidR="00A2326F" w:rsidRPr="000A7177" w:rsidRDefault="00BF4A4E" w:rsidP="000A7177">
      <w:pPr>
        <w:jc w:val="both"/>
        <w:rPr>
          <w:b/>
          <w:bCs/>
          <w:lang w:val="id-ID"/>
        </w:rPr>
      </w:pPr>
      <w:r>
        <w:rPr>
          <w:b/>
          <w:bCs/>
          <w:lang w:val="id-ID"/>
        </w:rPr>
        <w:t>SUSTAINABLE TOURISM</w:t>
      </w:r>
    </w:p>
    <w:p w14:paraId="3161CDAE" w14:textId="7B5ACD19" w:rsidR="009A7D6D" w:rsidRDefault="00BF4A4E" w:rsidP="00BF4A4E">
      <w:pPr>
        <w:ind w:firstLine="720"/>
        <w:jc w:val="both"/>
        <w:rPr>
          <w:lang w:val="id-ID"/>
        </w:rPr>
      </w:pPr>
      <w:r w:rsidRPr="00BF4A4E">
        <w:rPr>
          <w:lang w:val="id-ID"/>
        </w:rPr>
        <w:t>Sustainable tourism aims to create a balance between the needs of tourists, local communities, environmental conservation, and the long-term viability of the tourism industry itself. Its principles encompass the three main dimensions of sustainable development: environmental, economic, and socio-cultural [</w:t>
      </w:r>
      <w:r w:rsidR="00370454">
        <w:rPr>
          <w:lang w:val="id-ID"/>
        </w:rPr>
        <w:t>19</w:t>
      </w:r>
      <w:r w:rsidRPr="00BF4A4E">
        <w:rPr>
          <w:lang w:val="id-ID"/>
        </w:rPr>
        <w:t>]</w:t>
      </w:r>
      <w:r w:rsidR="00370454">
        <w:rPr>
          <w:lang w:val="id-ID"/>
        </w:rPr>
        <w:t>.</w:t>
      </w:r>
      <w:r w:rsidRPr="00BF4A4E">
        <w:rPr>
          <w:lang w:val="id-ID"/>
        </w:rPr>
        <w:t xml:space="preserve"> According to the UNWTO</w:t>
      </w:r>
      <w:r w:rsidR="00370454">
        <w:rPr>
          <w:lang w:val="id-ID"/>
        </w:rPr>
        <w:t xml:space="preserve"> </w:t>
      </w:r>
      <w:r w:rsidRPr="00BF4A4E">
        <w:rPr>
          <w:lang w:val="id-ID"/>
        </w:rPr>
        <w:t>sustainable tourism is defined as tourism that takes full account of its current and future economic, social, and environmental impacts.</w:t>
      </w:r>
      <w:r>
        <w:rPr>
          <w:lang w:val="id-ID"/>
        </w:rPr>
        <w:t xml:space="preserve"> </w:t>
      </w:r>
      <w:r w:rsidRPr="00BF4A4E">
        <w:rPr>
          <w:lang w:val="id-ID"/>
        </w:rPr>
        <w:t>This concept emphasizes environmental conservation, local community empowerment, cultural preservation, and active community participation in tourism planning and management [</w:t>
      </w:r>
      <w:r w:rsidR="00370454">
        <w:rPr>
          <w:lang w:val="id-ID"/>
        </w:rPr>
        <w:t>20</w:t>
      </w:r>
      <w:r w:rsidRPr="00BF4A4E">
        <w:rPr>
          <w:lang w:val="id-ID"/>
        </w:rPr>
        <w:t>]</w:t>
      </w:r>
      <w:r>
        <w:rPr>
          <w:lang w:val="id-ID"/>
        </w:rPr>
        <w:t xml:space="preserve"> </w:t>
      </w:r>
      <w:r w:rsidRPr="00BF4A4E">
        <w:rPr>
          <w:lang w:val="id-ID"/>
        </w:rPr>
        <w:t>[</w:t>
      </w:r>
      <w:r w:rsidR="00370454">
        <w:rPr>
          <w:lang w:val="id-ID"/>
        </w:rPr>
        <w:t>21</w:t>
      </w:r>
      <w:r w:rsidRPr="00BF4A4E">
        <w:rPr>
          <w:lang w:val="id-ID"/>
        </w:rPr>
        <w:t>].</w:t>
      </w:r>
    </w:p>
    <w:p w14:paraId="70E2A7C6" w14:textId="77777777" w:rsidR="00BF4A4E" w:rsidRDefault="00BF4A4E" w:rsidP="00BF4A4E">
      <w:pPr>
        <w:ind w:firstLine="720"/>
        <w:jc w:val="both"/>
        <w:rPr>
          <w:lang w:val="id-ID"/>
        </w:rPr>
      </w:pPr>
    </w:p>
    <w:p w14:paraId="6A83481B" w14:textId="1129731A" w:rsidR="00A2326F" w:rsidRPr="00A2326F" w:rsidRDefault="00BF4A4E" w:rsidP="000A7177">
      <w:pPr>
        <w:jc w:val="both"/>
        <w:rPr>
          <w:b/>
          <w:bCs/>
          <w:lang w:val="id-ID"/>
        </w:rPr>
      </w:pPr>
      <w:r>
        <w:rPr>
          <w:b/>
          <w:bCs/>
          <w:lang w:val="id-ID"/>
        </w:rPr>
        <w:t>COLLABORATION</w:t>
      </w:r>
    </w:p>
    <w:p w14:paraId="0E694DEF" w14:textId="7987CA3E" w:rsidR="00BF4A4E" w:rsidRPr="00BF4A4E" w:rsidRDefault="00BF4A4E" w:rsidP="00BF4A4E">
      <w:pPr>
        <w:ind w:firstLine="360"/>
        <w:jc w:val="both"/>
        <w:rPr>
          <w:bCs/>
          <w:lang w:val="id-ID"/>
        </w:rPr>
      </w:pPr>
      <w:r w:rsidRPr="00BF4A4E">
        <w:rPr>
          <w:bCs/>
          <w:lang w:val="id-ID"/>
        </w:rPr>
        <w:t>Collaboration is understood as a form of cooperation between two or more parties directed toward achieving a shared goal, with its success highly influenced by levels of trust, communication effectiveness, and the alignment of visions and missions among actors [</w:t>
      </w:r>
      <w:r w:rsidR="00370454">
        <w:rPr>
          <w:bCs/>
          <w:lang w:val="id-ID"/>
        </w:rPr>
        <w:t>22</w:t>
      </w:r>
      <w:r w:rsidRPr="00BF4A4E">
        <w:rPr>
          <w:bCs/>
          <w:lang w:val="id-ID"/>
        </w:rPr>
        <w:t>], [2</w:t>
      </w:r>
      <w:r w:rsidR="00370454">
        <w:rPr>
          <w:bCs/>
          <w:lang w:val="id-ID"/>
        </w:rPr>
        <w:t>3</w:t>
      </w:r>
      <w:r w:rsidRPr="00BF4A4E">
        <w:rPr>
          <w:bCs/>
          <w:lang w:val="id-ID"/>
        </w:rPr>
        <w:t>]. Trust serves as the foundation for building productive relationships and facilitates open and constructive information exchange [</w:t>
      </w:r>
      <w:r w:rsidR="00370454">
        <w:rPr>
          <w:bCs/>
          <w:lang w:val="id-ID"/>
        </w:rPr>
        <w:t>24</w:t>
      </w:r>
      <w:r w:rsidRPr="00BF4A4E">
        <w:rPr>
          <w:bCs/>
          <w:lang w:val="id-ID"/>
        </w:rPr>
        <w:t>]. Structured and clear communication plays a vital role in avoiding meaning distortion and potential misunderstandings among the involved parties [</w:t>
      </w:r>
      <w:r w:rsidR="00370454">
        <w:rPr>
          <w:bCs/>
          <w:lang w:val="id-ID"/>
        </w:rPr>
        <w:t>25</w:t>
      </w:r>
      <w:r w:rsidRPr="00BF4A4E">
        <w:rPr>
          <w:bCs/>
          <w:lang w:val="id-ID"/>
        </w:rPr>
        <w:t>]. Additionally, the presence of a collectively agreed-upon common goal can minimize conflict potential and strengthen commitment to collaborative outcomes</w:t>
      </w:r>
      <w:r w:rsidR="00370454">
        <w:rPr>
          <w:bCs/>
          <w:lang w:val="id-ID"/>
        </w:rPr>
        <w:t>.</w:t>
      </w:r>
    </w:p>
    <w:p w14:paraId="7D2C510E" w14:textId="573ACC92" w:rsidR="00E90468" w:rsidRPr="00E90468" w:rsidRDefault="00BF4A4E" w:rsidP="00BF4A4E">
      <w:pPr>
        <w:ind w:firstLine="360"/>
        <w:jc w:val="both"/>
        <w:rPr>
          <w:bCs/>
          <w:lang w:val="id-ID"/>
        </w:rPr>
      </w:pPr>
      <w:r w:rsidRPr="00BF4A4E">
        <w:rPr>
          <w:bCs/>
          <w:lang w:val="id-ID"/>
        </w:rPr>
        <w:t>A systematic work structure and clear role distribution are also necessary to prevent overlapping functions and ensure efficient program implementation [</w:t>
      </w:r>
      <w:r w:rsidR="00370454">
        <w:rPr>
          <w:bCs/>
          <w:lang w:val="id-ID"/>
        </w:rPr>
        <w:t>26</w:t>
      </w:r>
      <w:r w:rsidRPr="00BF4A4E">
        <w:rPr>
          <w:bCs/>
          <w:lang w:val="id-ID"/>
        </w:rPr>
        <w:t>]. Collaboration can take various forms, ranging from intra-organizational collaboration</w:t>
      </w:r>
      <w:r w:rsidR="00370454">
        <w:rPr>
          <w:bCs/>
          <w:lang w:val="id-ID"/>
        </w:rPr>
        <w:t xml:space="preserve"> </w:t>
      </w:r>
      <w:r w:rsidRPr="00BF4A4E">
        <w:rPr>
          <w:bCs/>
          <w:lang w:val="id-ID"/>
        </w:rPr>
        <w:t>cooperation between units or departments within a single organization; inter-organizational collaboratio</w:t>
      </w:r>
      <w:r w:rsidR="00370454">
        <w:rPr>
          <w:bCs/>
          <w:lang w:val="id-ID"/>
        </w:rPr>
        <w:t>n w</w:t>
      </w:r>
      <w:r w:rsidRPr="00BF4A4E">
        <w:rPr>
          <w:bCs/>
          <w:lang w:val="id-ID"/>
        </w:rPr>
        <w:t>hich involves synergy across institutions or sectors; to multidisciplinary collaboration</w:t>
      </w:r>
      <w:r w:rsidR="00370454">
        <w:rPr>
          <w:bCs/>
          <w:lang w:val="id-ID"/>
        </w:rPr>
        <w:t xml:space="preserve"> </w:t>
      </w:r>
      <w:r w:rsidRPr="00BF4A4E">
        <w:rPr>
          <w:bCs/>
          <w:lang w:val="id-ID"/>
        </w:rPr>
        <w:t>which integrates diverse fields of expertise to address complex, cross-sectoral issues [</w:t>
      </w:r>
      <w:r w:rsidR="00370454">
        <w:rPr>
          <w:bCs/>
          <w:lang w:val="id-ID"/>
        </w:rPr>
        <w:t>28</w:t>
      </w:r>
      <w:r w:rsidRPr="00BF4A4E">
        <w:rPr>
          <w:bCs/>
          <w:lang w:val="id-ID"/>
        </w:rPr>
        <w:t>]. In the context of sustainable development, cross-actor and cross-disciplinary collaboration is a key prerequisite for formulating innovative and consensus-based solutions to systemic and interrelated challenges.</w:t>
      </w:r>
      <w:r w:rsidR="00E90468" w:rsidRPr="00E90468">
        <w:rPr>
          <w:bCs/>
          <w:lang w:val="id-ID"/>
        </w:rPr>
        <w:t>.</w:t>
      </w:r>
    </w:p>
    <w:p w14:paraId="3DE5126B" w14:textId="54F17D28" w:rsidR="00A2326F" w:rsidRPr="00A2326F" w:rsidRDefault="0037792B" w:rsidP="000A7177">
      <w:pPr>
        <w:ind w:firstLine="360"/>
        <w:jc w:val="both"/>
        <w:rPr>
          <w:bCs/>
          <w:lang w:val="id-ID"/>
        </w:rPr>
      </w:pPr>
      <w:r w:rsidRPr="0037792B">
        <w:rPr>
          <w:bCs/>
          <w:lang w:val="id-ID"/>
        </w:rPr>
        <w:t>.</w:t>
      </w:r>
    </w:p>
    <w:p w14:paraId="6334D557" w14:textId="54F7EDD4" w:rsidR="00A2326F" w:rsidRPr="00A2326F" w:rsidRDefault="00A2326F" w:rsidP="000A7177">
      <w:pPr>
        <w:jc w:val="both"/>
        <w:rPr>
          <w:b/>
          <w:bCs/>
          <w:lang w:val="id-ID"/>
        </w:rPr>
      </w:pPr>
      <w:r w:rsidRPr="000A7177">
        <w:rPr>
          <w:b/>
          <w:bCs/>
          <w:lang w:val="id-ID"/>
        </w:rPr>
        <w:t>PENTAHELIX</w:t>
      </w:r>
    </w:p>
    <w:p w14:paraId="28568281" w14:textId="4E8BB032" w:rsidR="009A7D6D" w:rsidRDefault="00BF4A4E" w:rsidP="00370454">
      <w:pPr>
        <w:ind w:firstLine="720"/>
        <w:jc w:val="both"/>
        <w:rPr>
          <w:bCs/>
        </w:rPr>
      </w:pPr>
      <w:r w:rsidRPr="00BF4A4E">
        <w:rPr>
          <w:bCs/>
        </w:rPr>
        <w:t>The Pentahelix model is a collaborative approach that involves five key actors—government, business sector, academia, local communities, and media—to promote sustainable economic development. Each actor plays a strategic and complementary role in creating synergy for the development of sustainable tourism [</w:t>
      </w:r>
      <w:r w:rsidR="00370454">
        <w:rPr>
          <w:bCs/>
        </w:rPr>
        <w:t>29</w:t>
      </w:r>
      <w:r w:rsidRPr="00BF4A4E">
        <w:rPr>
          <w:bCs/>
        </w:rPr>
        <w:t>], [</w:t>
      </w:r>
      <w:r w:rsidR="00370454">
        <w:rPr>
          <w:bCs/>
        </w:rPr>
        <w:t>30</w:t>
      </w:r>
      <w:r w:rsidRPr="00BF4A4E">
        <w:rPr>
          <w:bCs/>
        </w:rPr>
        <w:t>].</w:t>
      </w:r>
      <w:r w:rsidR="00370454">
        <w:rPr>
          <w:bCs/>
        </w:rPr>
        <w:t xml:space="preserve"> </w:t>
      </w:r>
      <w:r w:rsidRPr="00BF4A4E">
        <w:rPr>
          <w:bCs/>
        </w:rPr>
        <w:t>The government is responsible for formulating inclusive and adaptive policies that respond to local dynamics [3</w:t>
      </w:r>
      <w:r w:rsidR="00370454">
        <w:rPr>
          <w:bCs/>
        </w:rPr>
        <w:t>1</w:t>
      </w:r>
      <w:r w:rsidRPr="00BF4A4E">
        <w:rPr>
          <w:bCs/>
        </w:rPr>
        <w:t>]. The academic sector contributes through research and innovation to support data-driven decision-making [</w:t>
      </w:r>
      <w:r w:rsidR="00370454">
        <w:rPr>
          <w:bCs/>
        </w:rPr>
        <w:t>32</w:t>
      </w:r>
      <w:r w:rsidRPr="00BF4A4E">
        <w:rPr>
          <w:bCs/>
        </w:rPr>
        <w:t>]. The business sector provides capital investment and develops tourism-supporting infrastructure . Local communities act as custodians of cultural values and environmental conservation, both of which are vital pillars of destination sustainability [</w:t>
      </w:r>
      <w:r w:rsidR="00370454">
        <w:rPr>
          <w:bCs/>
        </w:rPr>
        <w:t>33</w:t>
      </w:r>
      <w:r w:rsidRPr="00BF4A4E">
        <w:rPr>
          <w:bCs/>
        </w:rPr>
        <w:t>]. Meanwhile, the media serves a strategic function in disseminating information, shaping public perception, and enhancing the positive image of tourism destinations [</w:t>
      </w:r>
      <w:r w:rsidR="00370454">
        <w:rPr>
          <w:bCs/>
        </w:rPr>
        <w:t>34</w:t>
      </w:r>
      <w:r w:rsidRPr="00BF4A4E">
        <w:rPr>
          <w:bCs/>
        </w:rPr>
        <w:t>].</w:t>
      </w:r>
      <w:r>
        <w:rPr>
          <w:bCs/>
        </w:rPr>
        <w:t xml:space="preserve"> </w:t>
      </w:r>
      <w:r w:rsidRPr="00BF4A4E">
        <w:rPr>
          <w:bCs/>
        </w:rPr>
        <w:t>This approach aligns with the principles of collaborative governance and underscores the importance of cross-sector partnerships in achieving sustainable tourism development goals.</w:t>
      </w:r>
    </w:p>
    <w:p w14:paraId="50CCC373" w14:textId="77777777" w:rsidR="00BF4A4E" w:rsidRDefault="00BF4A4E" w:rsidP="00BF4A4E">
      <w:pPr>
        <w:ind w:firstLine="720"/>
        <w:jc w:val="both"/>
        <w:rPr>
          <w:bCs/>
        </w:rPr>
      </w:pPr>
    </w:p>
    <w:p w14:paraId="6F78EC39" w14:textId="7B3941AB" w:rsidR="00A2326F" w:rsidRPr="000A7177" w:rsidRDefault="00BF4A4E" w:rsidP="000A7177">
      <w:pPr>
        <w:jc w:val="both"/>
        <w:rPr>
          <w:b/>
          <w:lang w:val="id-ID"/>
        </w:rPr>
      </w:pPr>
      <w:r>
        <w:rPr>
          <w:b/>
          <w:lang w:val="id-ID"/>
        </w:rPr>
        <w:lastRenderedPageBreak/>
        <w:t>INNOVATIVE LEADERSHIP</w:t>
      </w:r>
    </w:p>
    <w:p w14:paraId="65FC9902" w14:textId="342AA33C" w:rsidR="00BF4A4E" w:rsidRPr="00BF4A4E" w:rsidRDefault="00BF4A4E" w:rsidP="00BF4A4E">
      <w:pPr>
        <w:ind w:firstLine="720"/>
        <w:jc w:val="both"/>
        <w:rPr>
          <w:lang w:val="id-ID"/>
        </w:rPr>
      </w:pPr>
      <w:r w:rsidRPr="00BF4A4E">
        <w:rPr>
          <w:lang w:val="id-ID"/>
        </w:rPr>
        <w:t>Leadership is a fundamental component in achieving organizational goals and in driving social transformation and community development in a sustainable manner. Winardi [</w:t>
      </w:r>
      <w:r w:rsidR="00370454">
        <w:rPr>
          <w:lang w:val="id-ID"/>
        </w:rPr>
        <w:t>35]</w:t>
      </w:r>
      <w:r w:rsidRPr="00BF4A4E">
        <w:rPr>
          <w:lang w:val="id-ID"/>
        </w:rPr>
        <w:t xml:space="preserve"> defines a leader as an individual with the capacity to influence group behavior in order to accomplish specific objectives. Conceptually, leadership can be understood as a conscious and responsible process of guiding, influencing, and mobilizing individuals or groups toward the realization of a shared vision.</w:t>
      </w:r>
    </w:p>
    <w:p w14:paraId="1A0D18E5" w14:textId="393415B0" w:rsidR="00BF4A4E" w:rsidRPr="00BF4A4E" w:rsidRDefault="00BF4A4E" w:rsidP="00BF4A4E">
      <w:pPr>
        <w:ind w:firstLine="720"/>
        <w:jc w:val="both"/>
        <w:rPr>
          <w:lang w:val="id-ID"/>
        </w:rPr>
      </w:pPr>
      <w:r w:rsidRPr="00BF4A4E">
        <w:rPr>
          <w:lang w:val="id-ID"/>
        </w:rPr>
        <w:t>In the contemporary context, characterized by complexity and rapid change, the paradigm of innovative leadership emerges as a relevant and adaptive approach. According to Mumford et al. [</w:t>
      </w:r>
      <w:r w:rsidR="00370454">
        <w:rPr>
          <w:lang w:val="id-ID"/>
        </w:rPr>
        <w:t>36</w:t>
      </w:r>
      <w:r w:rsidRPr="00BF4A4E">
        <w:rPr>
          <w:lang w:val="id-ID"/>
        </w:rPr>
        <w:t>], innovative leadership is the ability to formulate a creative vision, initiate renewal, and drive transformation within organizations and communities. Innovative leaders are characterized by openness to new ideas, support for continuous learning, and their ability to create organizational environments that are flexible and responsive to change [</w:t>
      </w:r>
      <w:r w:rsidR="00370454">
        <w:rPr>
          <w:lang w:val="id-ID"/>
        </w:rPr>
        <w:t>37</w:t>
      </w:r>
      <w:r w:rsidRPr="00BF4A4E">
        <w:rPr>
          <w:lang w:val="id-ID"/>
        </w:rPr>
        <w:t>], [</w:t>
      </w:r>
      <w:r w:rsidR="00370454">
        <w:rPr>
          <w:lang w:val="id-ID"/>
        </w:rPr>
        <w:t>38</w:t>
      </w:r>
      <w:r w:rsidRPr="00BF4A4E">
        <w:rPr>
          <w:lang w:val="id-ID"/>
        </w:rPr>
        <w:t>].</w:t>
      </w:r>
    </w:p>
    <w:p w14:paraId="08CA388C" w14:textId="7C852148" w:rsidR="00A2326F" w:rsidRDefault="00BF4A4E" w:rsidP="00BF4A4E">
      <w:pPr>
        <w:ind w:firstLine="720"/>
        <w:jc w:val="both"/>
        <w:rPr>
          <w:lang w:val="id-ID"/>
        </w:rPr>
      </w:pPr>
      <w:r w:rsidRPr="00BF4A4E">
        <w:rPr>
          <w:lang w:val="id-ID"/>
        </w:rPr>
        <w:t>In the context of community-based tourism, innovative leadership plays a strategic role in bridging the interests of multiple stakeholders and creating cross-sectoral synergy. This becomes especially crucial in the implementation of the Pentahelix model, which demands the integration of government, academia, business, community, and media roles to promote sustainable tourism development [5]. Thus, innovative leadership serves not only as a catalyst for change but also as a key instrument in strengthening collaboration and participatory governance in community-based tourism development.</w:t>
      </w:r>
    </w:p>
    <w:p w14:paraId="4E5B5A71" w14:textId="77777777" w:rsidR="00807F11" w:rsidRDefault="00807F11" w:rsidP="000A7177">
      <w:pPr>
        <w:jc w:val="both"/>
        <w:rPr>
          <w:b/>
          <w:bCs/>
          <w:lang w:val="id-ID"/>
        </w:rPr>
      </w:pPr>
    </w:p>
    <w:p w14:paraId="6AE8E687" w14:textId="175AEE0F" w:rsidR="000A7177" w:rsidRPr="000A7177" w:rsidRDefault="00BF4A4E" w:rsidP="000A7177">
      <w:pPr>
        <w:jc w:val="both"/>
        <w:rPr>
          <w:b/>
          <w:bCs/>
          <w:lang w:val="id-ID"/>
        </w:rPr>
      </w:pPr>
      <w:r>
        <w:rPr>
          <w:b/>
          <w:bCs/>
          <w:lang w:val="id-ID"/>
        </w:rPr>
        <w:t>COMMUNITY BASED TOURISM</w:t>
      </w:r>
    </w:p>
    <w:p w14:paraId="114550BA" w14:textId="7625BA45" w:rsidR="00BF4A4E" w:rsidRPr="00BF4A4E" w:rsidRDefault="00BF4A4E" w:rsidP="00BF4A4E">
      <w:pPr>
        <w:ind w:firstLine="720"/>
        <w:jc w:val="both"/>
        <w:rPr>
          <w:lang w:val="id-ID"/>
        </w:rPr>
      </w:pPr>
      <w:r w:rsidRPr="00BF4A4E">
        <w:rPr>
          <w:lang w:val="id-ID"/>
        </w:rPr>
        <w:t>Community-Based Tourism (CBT) is a tourism development approach that positions local communities as the primary actors in all stages of tourism planning, management, and evaluation. This approach emphasizes active community participation with the aim of generating long-term economic, social, and environmental benefits [</w:t>
      </w:r>
      <w:r w:rsidR="00370454">
        <w:rPr>
          <w:lang w:val="id-ID"/>
        </w:rPr>
        <w:t>39]</w:t>
      </w:r>
      <w:r w:rsidRPr="00BF4A4E">
        <w:rPr>
          <w:lang w:val="id-ID"/>
        </w:rPr>
        <w:t>. Within the CBT framework, communities are not merely beneficiaries but are also subjects who hold control over the direction and dynamics of tourism development in their areas.</w:t>
      </w:r>
    </w:p>
    <w:p w14:paraId="69EBD719" w14:textId="6F840AC2" w:rsidR="00BF4A4E" w:rsidRPr="00BF4A4E" w:rsidRDefault="00BF4A4E" w:rsidP="00BF4A4E">
      <w:pPr>
        <w:ind w:firstLine="720"/>
        <w:jc w:val="both"/>
        <w:rPr>
          <w:lang w:val="id-ID"/>
        </w:rPr>
      </w:pPr>
      <w:r w:rsidRPr="00BF4A4E">
        <w:rPr>
          <w:lang w:val="id-ID"/>
        </w:rPr>
        <w:t>Conceptually, CBT is oriented toward the principles of inclusivity, preservation of local cultural values, and sustainable resource management [</w:t>
      </w:r>
      <w:r w:rsidR="00370454">
        <w:rPr>
          <w:lang w:val="id-ID"/>
        </w:rPr>
        <w:t>40</w:t>
      </w:r>
      <w:r w:rsidRPr="00BF4A4E">
        <w:rPr>
          <w:lang w:val="id-ID"/>
        </w:rPr>
        <w:t>]. It aims to strengthen collective identity, foster a sense of ownership, and increase citizen engagement in maintaining the sustainability of tourism destinations [</w:t>
      </w:r>
      <w:r w:rsidR="00370454">
        <w:rPr>
          <w:lang w:val="id-ID"/>
        </w:rPr>
        <w:t>41</w:t>
      </w:r>
      <w:r w:rsidRPr="00BF4A4E">
        <w:rPr>
          <w:lang w:val="id-ID"/>
        </w:rPr>
        <w:t>], [</w:t>
      </w:r>
      <w:r w:rsidR="00370454">
        <w:rPr>
          <w:lang w:val="id-ID"/>
        </w:rPr>
        <w:t>42</w:t>
      </w:r>
      <w:r w:rsidRPr="00BF4A4E">
        <w:rPr>
          <w:lang w:val="id-ID"/>
        </w:rPr>
        <w:t>]. Active community participation has also been shown to contribute to the preservation of environmental quality and local cultural values [6].</w:t>
      </w:r>
    </w:p>
    <w:p w14:paraId="16229AF2" w14:textId="743F855C" w:rsidR="005B5B8D" w:rsidRDefault="00BF4A4E" w:rsidP="00BF4A4E">
      <w:pPr>
        <w:ind w:firstLine="720"/>
        <w:jc w:val="both"/>
        <w:rPr>
          <w:lang w:val="id-ID"/>
        </w:rPr>
      </w:pPr>
      <w:r w:rsidRPr="00BF4A4E">
        <w:rPr>
          <w:lang w:val="id-ID"/>
        </w:rPr>
        <w:t>Furthermore, CBT promotes community empowerment through the utilization of local potential as the foundation for developing creative economies and community-based entrepreneurship [</w:t>
      </w:r>
      <w:r w:rsidR="00370454">
        <w:rPr>
          <w:lang w:val="id-ID"/>
        </w:rPr>
        <w:t>43</w:t>
      </w:r>
      <w:r w:rsidRPr="00BF4A4E">
        <w:rPr>
          <w:lang w:val="id-ID"/>
        </w:rPr>
        <w:t>]. Nevertheless, the implementation of CBT often faces structural challenges, such as limited human resource capacity, inadequate supporting infrastructure, and weak access to markets and financing [</w:t>
      </w:r>
      <w:r w:rsidR="00370454">
        <w:rPr>
          <w:lang w:val="id-ID"/>
        </w:rPr>
        <w:t>44</w:t>
      </w:r>
      <w:r w:rsidRPr="00BF4A4E">
        <w:rPr>
          <w:lang w:val="id-ID"/>
        </w:rPr>
        <w:t>], [</w:t>
      </w:r>
      <w:r w:rsidR="00370454">
        <w:rPr>
          <w:lang w:val="id-ID"/>
        </w:rPr>
        <w:t>45</w:t>
      </w:r>
      <w:r w:rsidRPr="00BF4A4E">
        <w:rPr>
          <w:lang w:val="id-ID"/>
        </w:rPr>
        <w:t>]. Therefore, the success of this approach heavily depends on responsive public policies that are facilitative and focused on strengthening local institutions</w:t>
      </w:r>
      <w:r w:rsidR="005B5B8D" w:rsidRPr="009A7D6D">
        <w:rPr>
          <w:lang w:val="id-ID"/>
        </w:rPr>
        <w:t>.</w:t>
      </w:r>
    </w:p>
    <w:p w14:paraId="429222CB" w14:textId="77777777" w:rsidR="00361403" w:rsidRPr="009A7D6D" w:rsidRDefault="00361403" w:rsidP="00BF4A4E">
      <w:pPr>
        <w:ind w:firstLine="720"/>
        <w:jc w:val="both"/>
        <w:rPr>
          <w:lang w:val="id-ID"/>
        </w:rPr>
      </w:pPr>
    </w:p>
    <w:p w14:paraId="0F8AFE13" w14:textId="6B986F72" w:rsidR="0037792B" w:rsidRPr="009A7D6D" w:rsidRDefault="0037792B" w:rsidP="0037792B">
      <w:pPr>
        <w:ind w:firstLine="720"/>
        <w:jc w:val="both"/>
        <w:rPr>
          <w:lang w:val="id-ID"/>
        </w:rPr>
      </w:pPr>
    </w:p>
    <w:p w14:paraId="52534D37" w14:textId="59CD76DE" w:rsidR="000A7177" w:rsidRPr="000A7177" w:rsidRDefault="00BF4A4E" w:rsidP="0037792B">
      <w:pPr>
        <w:jc w:val="both"/>
        <w:rPr>
          <w:b/>
          <w:bCs/>
          <w:lang w:val="id-ID"/>
        </w:rPr>
      </w:pPr>
      <w:r>
        <w:rPr>
          <w:b/>
          <w:bCs/>
          <w:lang w:val="id-ID"/>
        </w:rPr>
        <w:t>GOVERNMENT POLICY</w:t>
      </w:r>
    </w:p>
    <w:p w14:paraId="2926969E" w14:textId="39ACED33" w:rsidR="00BF4A4E" w:rsidRPr="00BF4A4E" w:rsidRDefault="00BF4A4E" w:rsidP="00BF4A4E">
      <w:pPr>
        <w:ind w:firstLine="720"/>
        <w:jc w:val="both"/>
        <w:rPr>
          <w:lang w:val="id-ID"/>
        </w:rPr>
      </w:pPr>
      <w:r w:rsidRPr="00BF4A4E">
        <w:rPr>
          <w:lang w:val="id-ID"/>
        </w:rPr>
        <w:t>Government policy refers to a series of strategic actions undertaken collectively to address public issues [</w:t>
      </w:r>
      <w:r w:rsidR="00361403">
        <w:rPr>
          <w:lang w:val="id-ID"/>
        </w:rPr>
        <w:t>34</w:t>
      </w:r>
      <w:r w:rsidRPr="00BF4A4E">
        <w:rPr>
          <w:lang w:val="id-ID"/>
        </w:rPr>
        <w:t>]. In the context of tourism, public policy plays a vital role in creating a conducive ecosystem, grounded in the principles of inclusivity and sustainability. An effective tourism policy must be able to accommodate the diversity of local potentials while balancing economic, social, and environmental interests [</w:t>
      </w:r>
      <w:r w:rsidR="00361403">
        <w:rPr>
          <w:lang w:val="id-ID"/>
        </w:rPr>
        <w:t>31</w:t>
      </w:r>
      <w:r w:rsidRPr="00BF4A4E">
        <w:rPr>
          <w:lang w:val="id-ID"/>
        </w:rPr>
        <w:t>].</w:t>
      </w:r>
    </w:p>
    <w:p w14:paraId="1840F46A" w14:textId="515C7B17" w:rsidR="00BF4A4E" w:rsidRPr="00BF4A4E" w:rsidRDefault="00BF4A4E" w:rsidP="00BF4A4E">
      <w:pPr>
        <w:ind w:firstLine="720"/>
        <w:jc w:val="both"/>
        <w:rPr>
          <w:lang w:val="id-ID"/>
        </w:rPr>
      </w:pPr>
      <w:r w:rsidRPr="00BF4A4E">
        <w:rPr>
          <w:lang w:val="id-ID"/>
        </w:rPr>
        <w:t>The policy-making process includes problem identification, formulation, implementation, and evaluation. Each of these stages requires active participation from stakeholders to ensure that the resulting policy is both adaptive and well-targeted [3</w:t>
      </w:r>
      <w:r w:rsidR="00361403">
        <w:rPr>
          <w:lang w:val="id-ID"/>
        </w:rPr>
        <w:t>0</w:t>
      </w:r>
      <w:r w:rsidRPr="00BF4A4E">
        <w:rPr>
          <w:lang w:val="id-ID"/>
        </w:rPr>
        <w:t xml:space="preserve">]. </w:t>
      </w:r>
      <w:r w:rsidRPr="00BF4A4E">
        <w:rPr>
          <w:lang w:val="id-ID"/>
        </w:rPr>
        <w:lastRenderedPageBreak/>
        <w:t>Among all these stages, implementation often becomes the primary challenge. Pressman and Wildavsky emphasize that inter-agency coordination and sufficient resource availability are prerequisites for successful policy execution [</w:t>
      </w:r>
      <w:r w:rsidR="00361403">
        <w:rPr>
          <w:lang w:val="id-ID"/>
        </w:rPr>
        <w:t>28</w:t>
      </w:r>
      <w:r w:rsidRPr="00BF4A4E">
        <w:rPr>
          <w:lang w:val="id-ID"/>
        </w:rPr>
        <w:t>].</w:t>
      </w:r>
    </w:p>
    <w:p w14:paraId="3E6FF36D" w14:textId="6498CAC1" w:rsidR="005B5B8D" w:rsidRPr="00BF4A4E" w:rsidRDefault="00BF4A4E" w:rsidP="00BF4A4E">
      <w:pPr>
        <w:ind w:firstLine="720"/>
        <w:jc w:val="both"/>
        <w:rPr>
          <w:lang w:val="en-US"/>
        </w:rPr>
      </w:pPr>
      <w:r w:rsidRPr="00BF4A4E">
        <w:rPr>
          <w:lang w:val="id-ID"/>
        </w:rPr>
        <w:t>Therefore, cross-sector synergy and alignment between central and local governments are crucial to ensuring policy effectiveness. In the tourism sector, such consistency not only strengthens governance but also enhances the resilience and adaptability of local tourism systems</w:t>
      </w:r>
      <w:r w:rsidR="005B5B8D" w:rsidRPr="00BF4A4E">
        <w:rPr>
          <w:lang w:val="en-US"/>
        </w:rPr>
        <w:t>.</w:t>
      </w:r>
    </w:p>
    <w:p w14:paraId="04AB0929" w14:textId="637F57F2" w:rsidR="000A7177" w:rsidRPr="005B5B8D" w:rsidRDefault="000A7177" w:rsidP="0037792B">
      <w:pPr>
        <w:ind w:firstLine="720"/>
        <w:jc w:val="both"/>
        <w:rPr>
          <w:lang w:val="id-ID"/>
        </w:rPr>
      </w:pPr>
    </w:p>
    <w:p w14:paraId="3BBE73FD" w14:textId="77777777" w:rsidR="0037792B" w:rsidRDefault="0037792B" w:rsidP="0037792B">
      <w:pPr>
        <w:ind w:firstLine="720"/>
        <w:jc w:val="center"/>
        <w:rPr>
          <w:b/>
          <w:bCs/>
          <w:color w:val="000000" w:themeColor="text1"/>
          <w:sz w:val="24"/>
          <w:szCs w:val="24"/>
        </w:rPr>
      </w:pPr>
      <w:r>
        <w:rPr>
          <w:noProof/>
          <w:lang w:val="en-US"/>
        </w:rPr>
        <w:drawing>
          <wp:inline distT="0" distB="0" distL="0" distR="0" wp14:anchorId="51D11F27" wp14:editId="48C88C9A">
            <wp:extent cx="3543300" cy="2436189"/>
            <wp:effectExtent l="0" t="0" r="0" b="2540"/>
            <wp:docPr id="33335661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56614" name="Picture 1" descr="A diagram of a diagram&#10;&#10;Description automatically generated"/>
                    <pic:cNvPicPr>
                      <a:picLocks noChangeAspect="1"/>
                    </pic:cNvPicPr>
                  </pic:nvPicPr>
                  <pic:blipFill rotWithShape="1">
                    <a:blip r:embed="rId10"/>
                    <a:srcRect t="4095"/>
                    <a:stretch/>
                  </pic:blipFill>
                  <pic:spPr bwMode="auto">
                    <a:xfrm>
                      <a:off x="0" y="0"/>
                      <a:ext cx="3570446" cy="2454854"/>
                    </a:xfrm>
                    <a:prstGeom prst="rect">
                      <a:avLst/>
                    </a:prstGeom>
                    <a:ln>
                      <a:noFill/>
                    </a:ln>
                    <a:extLst>
                      <a:ext uri="{53640926-AAD7-44D8-BBD7-CCE9431645EC}">
                        <a14:shadowObscured xmlns:a14="http://schemas.microsoft.com/office/drawing/2010/main"/>
                      </a:ext>
                    </a:extLst>
                  </pic:spPr>
                </pic:pic>
              </a:graphicData>
            </a:graphic>
          </wp:inline>
        </w:drawing>
      </w:r>
      <w:bookmarkStart w:id="5" w:name="_Toc181344428"/>
    </w:p>
    <w:p w14:paraId="74F98B39" w14:textId="1CED31DC" w:rsidR="008C756B" w:rsidRPr="0037792B" w:rsidRDefault="008C756B" w:rsidP="00361403">
      <w:pPr>
        <w:jc w:val="center"/>
        <w:rPr>
          <w:lang w:val="id-ID"/>
        </w:rPr>
      </w:pPr>
      <w:r w:rsidRPr="00C06774">
        <w:rPr>
          <w:b/>
          <w:bCs/>
          <w:color w:val="000000" w:themeColor="text1"/>
          <w:sz w:val="24"/>
          <w:szCs w:val="24"/>
        </w:rPr>
        <w:t xml:space="preserve">Figure </w:t>
      </w:r>
      <w:r w:rsidR="00361403">
        <w:rPr>
          <w:b/>
          <w:bCs/>
          <w:color w:val="000000" w:themeColor="text1"/>
          <w:sz w:val="24"/>
          <w:szCs w:val="24"/>
        </w:rPr>
        <w:t>2</w:t>
      </w:r>
      <w:r w:rsidRPr="00C06774">
        <w:rPr>
          <w:b/>
          <w:bCs/>
          <w:color w:val="000000" w:themeColor="text1"/>
          <w:sz w:val="24"/>
          <w:szCs w:val="24"/>
        </w:rPr>
        <w:t xml:space="preserve"> Conceptual Framework of the Research</w:t>
      </w:r>
      <w:bookmarkEnd w:id="5"/>
    </w:p>
    <w:p w14:paraId="65DA6729" w14:textId="77777777" w:rsidR="00C95B7E" w:rsidRPr="00361403" w:rsidRDefault="00C95B7E" w:rsidP="009D2CB6">
      <w:pPr>
        <w:spacing w:line="360" w:lineRule="auto"/>
        <w:jc w:val="both"/>
        <w:rPr>
          <w:bCs/>
          <w:lang w:val="id-ID"/>
        </w:rPr>
      </w:pPr>
      <w:bookmarkStart w:id="6" w:name="_heading=h.2lwamvv" w:colFirst="0" w:colLast="0"/>
      <w:bookmarkStart w:id="7" w:name="bookmark=id.111kx3o" w:colFirst="0" w:colLast="0"/>
      <w:bookmarkEnd w:id="6"/>
      <w:bookmarkEnd w:id="7"/>
    </w:p>
    <w:p w14:paraId="7F785CEA" w14:textId="55F7EC84" w:rsidR="00A75795" w:rsidRPr="000A19C4" w:rsidRDefault="00BF4A4E" w:rsidP="000A19C4">
      <w:pPr>
        <w:spacing w:after="120"/>
        <w:jc w:val="both"/>
        <w:rPr>
          <w:b/>
        </w:rPr>
      </w:pPr>
      <w:r>
        <w:rPr>
          <w:b/>
        </w:rPr>
        <w:t>RESEARCH METHODOLOGY</w:t>
      </w:r>
    </w:p>
    <w:p w14:paraId="2C7558E0" w14:textId="77777777" w:rsidR="00BF4A4E" w:rsidRPr="00BF4A4E" w:rsidRDefault="00BF4A4E" w:rsidP="00BF4A4E">
      <w:pPr>
        <w:spacing w:after="120"/>
        <w:ind w:firstLine="720"/>
        <w:jc w:val="both"/>
        <w:rPr>
          <w:lang w:val="id-ID"/>
        </w:rPr>
      </w:pPr>
      <w:r w:rsidRPr="00BF4A4E">
        <w:rPr>
          <w:lang w:val="id-ID"/>
        </w:rPr>
        <w:t>This study employed a quantitative approach with the primary aim of examining the relationships among independent, mediating, moderating, and dependent variables. The unit of analysis included village heads, BUMDes (village-owned enterprises) administrators, and tourism actors around the Borobudur Temple area, with a total of 218 respondents. Sampling was conducted using a quota sampling technique due to population limitations, ensuring that each relevant group was proportionally represented.</w:t>
      </w:r>
    </w:p>
    <w:p w14:paraId="1FA6DC61" w14:textId="54A3CD5C" w:rsidR="00BF4A4E" w:rsidRPr="00BF4A4E" w:rsidRDefault="00BF4A4E" w:rsidP="00BF4A4E">
      <w:pPr>
        <w:spacing w:after="120"/>
        <w:ind w:firstLine="720"/>
        <w:jc w:val="both"/>
        <w:rPr>
          <w:lang w:val="id-ID"/>
        </w:rPr>
      </w:pPr>
      <w:r w:rsidRPr="00BF4A4E">
        <w:rPr>
          <w:lang w:val="id-ID"/>
        </w:rPr>
        <w:t>The analytical method used was Partial Least Squares Structural Equation Modeling (PLS-SEM), which is suitable for complex models and small to medium sample sizes. There were seven key variables in this study: three independent variables (Collaboration, Pentahelix Synergy, and Innovative Leadership), one mediating variable (Community-Based Tourism), one dependent variable (Sustainable Tourism), and one moderating variable (Government Policy). All variables were measured using a Likert scale ranging from 1 to 5.</w:t>
      </w:r>
      <w:r>
        <w:rPr>
          <w:lang w:val="id-ID"/>
        </w:rPr>
        <w:t xml:space="preserve"> </w:t>
      </w:r>
      <w:r w:rsidRPr="00BF4A4E">
        <w:rPr>
          <w:lang w:val="id-ID"/>
        </w:rPr>
        <w:t>Data analysis was conducted in three main stages:</w:t>
      </w:r>
    </w:p>
    <w:p w14:paraId="2D07CA4B" w14:textId="77777777" w:rsidR="00BF4A4E" w:rsidRPr="00BF4A4E" w:rsidRDefault="00BF4A4E" w:rsidP="00BF4A4E">
      <w:pPr>
        <w:pStyle w:val="ListParagraph"/>
        <w:numPr>
          <w:ilvl w:val="0"/>
          <w:numId w:val="23"/>
        </w:numPr>
        <w:spacing w:after="120"/>
        <w:ind w:left="567"/>
        <w:jc w:val="both"/>
        <w:rPr>
          <w:lang w:val="id-ID"/>
        </w:rPr>
      </w:pPr>
      <w:r w:rsidRPr="00BF4A4E">
        <w:rPr>
          <w:lang w:val="id-ID"/>
        </w:rPr>
        <w:t>Outer Model Evaluation, assessing validity (with outer loading &gt; 0.6 and AVE &gt; 0.5) and reliability (with composite reliability &gt; 0.90);</w:t>
      </w:r>
    </w:p>
    <w:p w14:paraId="542CF8AF" w14:textId="77777777" w:rsidR="00BF4A4E" w:rsidRPr="00BF4A4E" w:rsidRDefault="00BF4A4E" w:rsidP="00BF4A4E">
      <w:pPr>
        <w:pStyle w:val="ListParagraph"/>
        <w:numPr>
          <w:ilvl w:val="0"/>
          <w:numId w:val="23"/>
        </w:numPr>
        <w:spacing w:after="120"/>
        <w:ind w:left="567"/>
        <w:jc w:val="both"/>
        <w:rPr>
          <w:lang w:val="id-ID"/>
        </w:rPr>
      </w:pPr>
      <w:r w:rsidRPr="00BF4A4E">
        <w:rPr>
          <w:lang w:val="id-ID"/>
        </w:rPr>
        <w:t>Inner Model Evaluation, analyzing R² values to assess the model’s predictive power and VIF values (&lt; 5) to ensure no multicollinearity;</w:t>
      </w:r>
    </w:p>
    <w:p w14:paraId="54EE4C0E" w14:textId="6B31B1FE" w:rsidR="00C14CE5" w:rsidRPr="00BF4A4E" w:rsidRDefault="00BF4A4E" w:rsidP="00BF4A4E">
      <w:pPr>
        <w:pStyle w:val="ListParagraph"/>
        <w:numPr>
          <w:ilvl w:val="0"/>
          <w:numId w:val="23"/>
        </w:numPr>
        <w:spacing w:after="120"/>
        <w:ind w:left="567"/>
        <w:jc w:val="both"/>
        <w:rPr>
          <w:lang w:val="id-ID"/>
        </w:rPr>
      </w:pPr>
      <w:r w:rsidRPr="00BF4A4E">
        <w:rPr>
          <w:lang w:val="id-ID"/>
        </w:rPr>
        <w:t>Hypothesis Testing, using t-statistics and p-values (≤ 0.05) to determine the significance of relationships among variables, including mediation and moderation tests</w:t>
      </w:r>
      <w:r w:rsidR="00C14CE5" w:rsidRPr="00BF4A4E">
        <w:rPr>
          <w:lang w:val="id-ID"/>
        </w:rPr>
        <w:t>.</w:t>
      </w:r>
    </w:p>
    <w:p w14:paraId="220E20DC" w14:textId="77777777" w:rsidR="00A75795" w:rsidRPr="000A19C4" w:rsidRDefault="00A75795">
      <w:pPr>
        <w:spacing w:after="120"/>
        <w:jc w:val="both"/>
        <w:rPr>
          <w:lang w:val="id-ID"/>
        </w:rPr>
      </w:pPr>
    </w:p>
    <w:p w14:paraId="130F6B2C" w14:textId="6606DBEE" w:rsidR="00A75795" w:rsidRDefault="005040E8">
      <w:pPr>
        <w:spacing w:after="120"/>
        <w:jc w:val="both"/>
        <w:rPr>
          <w:b/>
          <w:sz w:val="24"/>
          <w:szCs w:val="24"/>
        </w:rPr>
      </w:pPr>
      <w:r>
        <w:rPr>
          <w:b/>
          <w:sz w:val="24"/>
          <w:szCs w:val="24"/>
        </w:rPr>
        <w:t>RESULT AND DISCUSSION</w:t>
      </w:r>
    </w:p>
    <w:p w14:paraId="73172A6E" w14:textId="77777777" w:rsidR="000A19C4" w:rsidRPr="00C14CE5" w:rsidRDefault="000A19C4" w:rsidP="000A19C4">
      <w:pPr>
        <w:pStyle w:val="Heading1"/>
        <w:spacing w:after="120" w:line="276" w:lineRule="auto"/>
        <w:ind w:left="360" w:hanging="360"/>
        <w:jc w:val="left"/>
        <w:rPr>
          <w:lang w:val="id-ID"/>
        </w:rPr>
      </w:pPr>
      <w:r w:rsidRPr="00A146DA">
        <w:lastRenderedPageBreak/>
        <w:t>Result</w:t>
      </w:r>
    </w:p>
    <w:p w14:paraId="392BA547" w14:textId="1026426F" w:rsidR="00BF4A4E" w:rsidRPr="00BF4A4E" w:rsidRDefault="00BF4A4E" w:rsidP="00BF4A4E">
      <w:pPr>
        <w:ind w:firstLine="720"/>
        <w:jc w:val="both"/>
        <w:rPr>
          <w:lang w:val="id-ID"/>
        </w:rPr>
      </w:pPr>
      <w:r w:rsidRPr="00BF4A4E">
        <w:rPr>
          <w:lang w:val="id-ID"/>
        </w:rPr>
        <w:t>The test results indicated that all indicators had factor loadings above 0.7 and composite reliability values above 0.8, confirming that all indicators within each variable are valid and reliable. This implies that the instruments used in this study meet the standards for good measurement and are suitable for further analysis.</w:t>
      </w:r>
      <w:r>
        <w:rPr>
          <w:lang w:val="id-ID"/>
        </w:rPr>
        <w:t xml:space="preserve"> </w:t>
      </w:r>
      <w:r w:rsidRPr="00BF4A4E">
        <w:rPr>
          <w:lang w:val="id-ID"/>
        </w:rPr>
        <w:t>Based on the mean score calculations, the variable Community-Based Tourism (CBT) received the highest score of 4.08, followed by Government Policy (4.03) and Pentahelix Synergy (3.96), reflecting a high level of positive perception from respondents regarding these variables. Meanwhile, the highest standard deviation was observed in the Innovative Leadership variable (0.97), indicating a greater diversity of responses for this variable compared to others.</w:t>
      </w:r>
    </w:p>
    <w:p w14:paraId="373EBD9D" w14:textId="79AB4359" w:rsidR="00BF4A4E" w:rsidRPr="00BF4A4E" w:rsidRDefault="00BF4A4E" w:rsidP="00BF4A4E">
      <w:pPr>
        <w:ind w:firstLine="720"/>
        <w:jc w:val="both"/>
        <w:rPr>
          <w:lang w:val="id-ID"/>
        </w:rPr>
      </w:pPr>
      <w:r w:rsidRPr="00BF4A4E">
        <w:rPr>
          <w:lang w:val="id-ID"/>
        </w:rPr>
        <w:t>To evaluate the model’s explanatory power, adjusted R-squared and multicollinearity assessments were conducted. In the Sustainable Tourism model, the adjusted R² value of 0.822 indicates that 82.2% of the variance in Sustainable Tourism can be explained by Government Policy, Innovative Leadership, Collaboration, CBT, and Pentahelix Synergy. Similarly, in the CBT model, the adjusted R² value of 0.823 shows that 82.3% of the variance in CBT is accounted for by the independent variables. These values demonstrate that the model has a good fit.</w:t>
      </w:r>
      <w:r>
        <w:rPr>
          <w:lang w:val="id-ID"/>
        </w:rPr>
        <w:t xml:space="preserve"> </w:t>
      </w:r>
      <w:r w:rsidRPr="00BF4A4E">
        <w:rPr>
          <w:lang w:val="id-ID"/>
        </w:rPr>
        <w:t>Regarding multicollinearity, all variables showed VIF values below 10, indicating that there are no multicollinearity issues among the independent variables in either model. Thus, the model is statistically valid for analysis.</w:t>
      </w:r>
    </w:p>
    <w:p w14:paraId="6DA1856C" w14:textId="77777777" w:rsidR="00C14CE5" w:rsidRPr="008547DC" w:rsidRDefault="00C14CE5" w:rsidP="00C14CE5">
      <w:pPr>
        <w:ind w:firstLine="720"/>
        <w:jc w:val="both"/>
        <w:rPr>
          <w:lang w:val="id-ID"/>
        </w:rPr>
      </w:pPr>
    </w:p>
    <w:p w14:paraId="10F3F869" w14:textId="0047158F" w:rsidR="00A75795" w:rsidRDefault="0091215A">
      <w:pPr>
        <w:spacing w:after="120"/>
        <w:jc w:val="center"/>
        <w:rPr>
          <w:b/>
        </w:rPr>
      </w:pPr>
      <w:r w:rsidRPr="00E613D2">
        <w:rPr>
          <w:b/>
        </w:rPr>
        <w:t xml:space="preserve">Table </w:t>
      </w:r>
      <w:r w:rsidR="00361403">
        <w:rPr>
          <w:b/>
        </w:rPr>
        <w:t>1</w:t>
      </w:r>
      <w:r w:rsidRPr="00E613D2">
        <w:rPr>
          <w:b/>
        </w:rPr>
        <w:t xml:space="preserve">. </w:t>
      </w:r>
      <w:r w:rsidR="009C31D7" w:rsidRPr="00BF4A4E">
        <w:rPr>
          <w:b/>
          <w:i/>
          <w:iCs/>
        </w:rPr>
        <w:t>Inner Model</w:t>
      </w:r>
    </w:p>
    <w:tbl>
      <w:tblPr>
        <w:tblW w:w="7936" w:type="dxa"/>
        <w:tblInd w:w="142"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3118"/>
        <w:gridCol w:w="2547"/>
        <w:gridCol w:w="2271"/>
      </w:tblGrid>
      <w:tr w:rsidR="008547DC" w:rsidRPr="008547DC" w14:paraId="08886B1B" w14:textId="77777777" w:rsidTr="008547DC">
        <w:trPr>
          <w:trHeight w:val="655"/>
          <w:tblHeader/>
        </w:trPr>
        <w:tc>
          <w:tcPr>
            <w:tcW w:w="3118" w:type="dxa"/>
            <w:vMerge w:val="restart"/>
            <w:vAlign w:val="center"/>
          </w:tcPr>
          <w:p w14:paraId="047A2D13" w14:textId="77777777" w:rsidR="008547DC" w:rsidRPr="008547DC" w:rsidRDefault="008547DC" w:rsidP="00744E60">
            <w:pPr>
              <w:pBdr>
                <w:top w:val="nil"/>
                <w:left w:val="nil"/>
                <w:bottom w:val="nil"/>
                <w:right w:val="nil"/>
                <w:between w:val="nil"/>
              </w:pBdr>
              <w:ind w:right="138"/>
              <w:jc w:val="center"/>
              <w:rPr>
                <w:b/>
                <w:color w:val="000000"/>
              </w:rPr>
            </w:pPr>
            <w:bookmarkStart w:id="8" w:name="_Hlk195986838"/>
            <w:r w:rsidRPr="008547DC">
              <w:rPr>
                <w:b/>
                <w:color w:val="000000"/>
              </w:rPr>
              <w:t xml:space="preserve">Dependen </w:t>
            </w:r>
          </w:p>
          <w:p w14:paraId="5E1FF5DC" w14:textId="77777777" w:rsidR="008547DC" w:rsidRPr="008547DC" w:rsidRDefault="008547DC" w:rsidP="00744E60">
            <w:pPr>
              <w:pBdr>
                <w:top w:val="nil"/>
                <w:left w:val="nil"/>
                <w:bottom w:val="nil"/>
                <w:right w:val="nil"/>
                <w:between w:val="nil"/>
              </w:pBdr>
              <w:ind w:right="138"/>
              <w:jc w:val="center"/>
              <w:rPr>
                <w:b/>
                <w:color w:val="000000"/>
              </w:rPr>
            </w:pPr>
            <w:r w:rsidRPr="008547DC">
              <w:rPr>
                <w:b/>
                <w:color w:val="000000"/>
              </w:rPr>
              <w:t>Indep</w:t>
            </w:r>
            <w:r w:rsidRPr="008547DC">
              <w:rPr>
                <w:b/>
                <w:color w:val="000000"/>
                <w:lang w:val="id-ID"/>
              </w:rPr>
              <w:t>e</w:t>
            </w:r>
            <w:r w:rsidRPr="008547DC">
              <w:rPr>
                <w:b/>
                <w:color w:val="000000"/>
              </w:rPr>
              <w:t>nden</w:t>
            </w:r>
          </w:p>
        </w:tc>
        <w:tc>
          <w:tcPr>
            <w:tcW w:w="2547" w:type="dxa"/>
            <w:vAlign w:val="center"/>
          </w:tcPr>
          <w:p w14:paraId="0B27EF76" w14:textId="77777777" w:rsidR="008547DC" w:rsidRPr="008547DC" w:rsidRDefault="008547DC" w:rsidP="00744E60">
            <w:pPr>
              <w:pBdr>
                <w:top w:val="nil"/>
                <w:left w:val="nil"/>
                <w:bottom w:val="nil"/>
                <w:right w:val="nil"/>
                <w:between w:val="nil"/>
              </w:pBdr>
              <w:ind w:left="335" w:right="323" w:hanging="5"/>
              <w:jc w:val="center"/>
              <w:rPr>
                <w:b/>
                <w:color w:val="000000"/>
              </w:rPr>
            </w:pPr>
            <w:r w:rsidRPr="008547DC">
              <w:rPr>
                <w:b/>
                <w:color w:val="000000"/>
              </w:rPr>
              <w:t>Pariwisata</w:t>
            </w:r>
            <w:r w:rsidRPr="008547DC">
              <w:rPr>
                <w:b/>
                <w:color w:val="000000"/>
              </w:rPr>
              <w:br/>
              <w:t>Berkelanjutan</w:t>
            </w:r>
          </w:p>
        </w:tc>
        <w:tc>
          <w:tcPr>
            <w:tcW w:w="2271" w:type="dxa"/>
            <w:vAlign w:val="center"/>
          </w:tcPr>
          <w:p w14:paraId="161A42FC" w14:textId="77777777" w:rsidR="008547DC" w:rsidRPr="008547DC" w:rsidRDefault="008547DC" w:rsidP="00744E60">
            <w:pPr>
              <w:pBdr>
                <w:top w:val="nil"/>
                <w:left w:val="nil"/>
                <w:bottom w:val="nil"/>
                <w:right w:val="nil"/>
                <w:between w:val="nil"/>
              </w:pBdr>
              <w:ind w:left="335" w:right="323" w:hanging="5"/>
              <w:jc w:val="center"/>
              <w:rPr>
                <w:b/>
                <w:i/>
                <w:color w:val="000000"/>
              </w:rPr>
            </w:pPr>
            <w:r w:rsidRPr="008547DC">
              <w:rPr>
                <w:b/>
                <w:color w:val="000000"/>
              </w:rPr>
              <w:t>Pariwisata Berbasis Masyarakat</w:t>
            </w:r>
          </w:p>
        </w:tc>
      </w:tr>
      <w:tr w:rsidR="008547DC" w:rsidRPr="008547DC" w14:paraId="25554830" w14:textId="77777777" w:rsidTr="008547DC">
        <w:trPr>
          <w:trHeight w:val="315"/>
          <w:tblHeader/>
        </w:trPr>
        <w:tc>
          <w:tcPr>
            <w:tcW w:w="3118" w:type="dxa"/>
            <w:vMerge/>
            <w:vAlign w:val="center"/>
          </w:tcPr>
          <w:p w14:paraId="7481AF11" w14:textId="77777777" w:rsidR="008547DC" w:rsidRPr="008547DC" w:rsidRDefault="008547DC" w:rsidP="00744E60">
            <w:pPr>
              <w:pBdr>
                <w:top w:val="nil"/>
                <w:left w:val="nil"/>
                <w:bottom w:val="nil"/>
                <w:right w:val="nil"/>
                <w:between w:val="nil"/>
              </w:pBdr>
              <w:rPr>
                <w:b/>
                <w:i/>
                <w:color w:val="000000"/>
              </w:rPr>
            </w:pPr>
          </w:p>
        </w:tc>
        <w:tc>
          <w:tcPr>
            <w:tcW w:w="2547" w:type="dxa"/>
          </w:tcPr>
          <w:p w14:paraId="2E260B39" w14:textId="77777777" w:rsidR="008547DC" w:rsidRPr="008547DC" w:rsidRDefault="008547DC" w:rsidP="00744E60">
            <w:pPr>
              <w:pBdr>
                <w:top w:val="nil"/>
                <w:left w:val="nil"/>
                <w:bottom w:val="nil"/>
                <w:right w:val="nil"/>
                <w:between w:val="nil"/>
              </w:pBdr>
              <w:ind w:left="533" w:right="531"/>
              <w:jc w:val="center"/>
              <w:rPr>
                <w:b/>
                <w:color w:val="000000"/>
              </w:rPr>
            </w:pPr>
            <w:r w:rsidRPr="008547DC">
              <w:rPr>
                <w:b/>
                <w:color w:val="000000"/>
              </w:rPr>
              <w:t>VIF</w:t>
            </w:r>
          </w:p>
        </w:tc>
        <w:tc>
          <w:tcPr>
            <w:tcW w:w="2271" w:type="dxa"/>
          </w:tcPr>
          <w:p w14:paraId="048960DA" w14:textId="77777777" w:rsidR="008547DC" w:rsidRPr="008547DC" w:rsidRDefault="008547DC" w:rsidP="00744E60">
            <w:pPr>
              <w:pBdr>
                <w:top w:val="nil"/>
                <w:left w:val="nil"/>
                <w:bottom w:val="nil"/>
                <w:right w:val="nil"/>
                <w:between w:val="nil"/>
              </w:pBdr>
              <w:ind w:left="723" w:right="719"/>
              <w:jc w:val="center"/>
              <w:rPr>
                <w:b/>
                <w:color w:val="000000"/>
              </w:rPr>
            </w:pPr>
            <w:r w:rsidRPr="008547DC">
              <w:rPr>
                <w:b/>
                <w:color w:val="000000"/>
              </w:rPr>
              <w:t>VIF</w:t>
            </w:r>
          </w:p>
        </w:tc>
      </w:tr>
      <w:tr w:rsidR="008547DC" w:rsidRPr="008547DC" w14:paraId="76E675FD" w14:textId="77777777" w:rsidTr="00744E60">
        <w:trPr>
          <w:trHeight w:val="315"/>
        </w:trPr>
        <w:tc>
          <w:tcPr>
            <w:tcW w:w="3118" w:type="dxa"/>
            <w:vAlign w:val="center"/>
          </w:tcPr>
          <w:p w14:paraId="76BD1917" w14:textId="15947DCE" w:rsidR="008547DC" w:rsidRPr="008547DC" w:rsidRDefault="008547DC" w:rsidP="00744E60">
            <w:pPr>
              <w:pBdr>
                <w:top w:val="nil"/>
                <w:left w:val="nil"/>
                <w:bottom w:val="nil"/>
                <w:right w:val="nil"/>
                <w:between w:val="nil"/>
              </w:pBdr>
              <w:ind w:left="110"/>
              <w:rPr>
                <w:i/>
                <w:iCs/>
                <w:color w:val="000000"/>
              </w:rPr>
            </w:pPr>
            <w:r w:rsidRPr="008547DC">
              <w:rPr>
                <w:i/>
                <w:iCs/>
                <w:color w:val="000000"/>
              </w:rPr>
              <w:t>Multicollinearity</w:t>
            </w:r>
          </w:p>
        </w:tc>
        <w:tc>
          <w:tcPr>
            <w:tcW w:w="2547" w:type="dxa"/>
            <w:vAlign w:val="center"/>
          </w:tcPr>
          <w:p w14:paraId="4F788B01" w14:textId="77777777" w:rsidR="008547DC" w:rsidRPr="008547DC" w:rsidRDefault="008547DC" w:rsidP="00744E60">
            <w:pPr>
              <w:pBdr>
                <w:top w:val="nil"/>
                <w:left w:val="nil"/>
                <w:bottom w:val="nil"/>
                <w:right w:val="nil"/>
                <w:between w:val="nil"/>
              </w:pBdr>
              <w:ind w:right="182"/>
              <w:jc w:val="center"/>
              <w:rPr>
                <w:color w:val="000000"/>
              </w:rPr>
            </w:pPr>
          </w:p>
        </w:tc>
        <w:tc>
          <w:tcPr>
            <w:tcW w:w="2271" w:type="dxa"/>
            <w:vAlign w:val="center"/>
          </w:tcPr>
          <w:p w14:paraId="5E7984BF" w14:textId="77777777" w:rsidR="008547DC" w:rsidRPr="008547DC" w:rsidRDefault="008547DC" w:rsidP="00744E60">
            <w:pPr>
              <w:pBdr>
                <w:top w:val="nil"/>
                <w:left w:val="nil"/>
                <w:bottom w:val="nil"/>
                <w:right w:val="nil"/>
                <w:between w:val="nil"/>
              </w:pBdr>
              <w:ind w:left="726" w:right="719"/>
              <w:jc w:val="center"/>
              <w:rPr>
                <w:color w:val="000000"/>
              </w:rPr>
            </w:pPr>
          </w:p>
        </w:tc>
      </w:tr>
      <w:bookmarkEnd w:id="8"/>
      <w:tr w:rsidR="008547DC" w:rsidRPr="008547DC" w14:paraId="7C6E84FB" w14:textId="77777777" w:rsidTr="00744E60">
        <w:trPr>
          <w:trHeight w:val="315"/>
        </w:trPr>
        <w:tc>
          <w:tcPr>
            <w:tcW w:w="3118" w:type="dxa"/>
            <w:vAlign w:val="center"/>
          </w:tcPr>
          <w:p w14:paraId="53BF2DBB" w14:textId="77777777" w:rsidR="008547DC" w:rsidRPr="008547DC" w:rsidRDefault="008547DC" w:rsidP="00744E60">
            <w:pPr>
              <w:pBdr>
                <w:top w:val="nil"/>
                <w:left w:val="nil"/>
                <w:bottom w:val="nil"/>
                <w:right w:val="nil"/>
                <w:between w:val="nil"/>
              </w:pBdr>
              <w:ind w:left="110"/>
              <w:rPr>
                <w:color w:val="000000"/>
              </w:rPr>
            </w:pPr>
            <w:r w:rsidRPr="008547DC">
              <w:rPr>
                <w:color w:val="000000"/>
              </w:rPr>
              <w:t>Kolaborasi</w:t>
            </w:r>
          </w:p>
        </w:tc>
        <w:tc>
          <w:tcPr>
            <w:tcW w:w="2547" w:type="dxa"/>
            <w:vAlign w:val="center"/>
          </w:tcPr>
          <w:p w14:paraId="684A4608" w14:textId="77777777" w:rsidR="008547DC" w:rsidRPr="008547DC" w:rsidRDefault="008547DC" w:rsidP="00744E60">
            <w:pPr>
              <w:pBdr>
                <w:top w:val="nil"/>
                <w:left w:val="nil"/>
                <w:bottom w:val="nil"/>
                <w:right w:val="nil"/>
                <w:between w:val="nil"/>
              </w:pBdr>
              <w:ind w:right="182"/>
              <w:jc w:val="center"/>
              <w:rPr>
                <w:color w:val="000000"/>
              </w:rPr>
            </w:pPr>
            <w:r w:rsidRPr="008547DC">
              <w:rPr>
                <w:color w:val="000000"/>
              </w:rPr>
              <w:t>4.901</w:t>
            </w:r>
          </w:p>
        </w:tc>
        <w:tc>
          <w:tcPr>
            <w:tcW w:w="2271" w:type="dxa"/>
            <w:vAlign w:val="center"/>
          </w:tcPr>
          <w:p w14:paraId="046D9EB7" w14:textId="77777777" w:rsidR="008547DC" w:rsidRPr="008547DC" w:rsidRDefault="008547DC" w:rsidP="00744E60">
            <w:pPr>
              <w:pBdr>
                <w:top w:val="nil"/>
                <w:left w:val="nil"/>
                <w:bottom w:val="nil"/>
                <w:right w:val="nil"/>
                <w:between w:val="nil"/>
              </w:pBdr>
              <w:ind w:left="726" w:right="719"/>
              <w:jc w:val="center"/>
              <w:rPr>
                <w:color w:val="000000"/>
              </w:rPr>
            </w:pPr>
            <w:r w:rsidRPr="008547DC">
              <w:rPr>
                <w:color w:val="000000"/>
              </w:rPr>
              <w:t>5.190</w:t>
            </w:r>
          </w:p>
        </w:tc>
      </w:tr>
      <w:tr w:rsidR="008547DC" w:rsidRPr="008547DC" w14:paraId="77B0B8CF" w14:textId="77777777" w:rsidTr="00744E60">
        <w:trPr>
          <w:trHeight w:val="315"/>
        </w:trPr>
        <w:tc>
          <w:tcPr>
            <w:tcW w:w="3118" w:type="dxa"/>
            <w:vAlign w:val="center"/>
          </w:tcPr>
          <w:p w14:paraId="36F07B5C" w14:textId="77777777" w:rsidR="008547DC" w:rsidRPr="008547DC" w:rsidRDefault="008547DC" w:rsidP="00744E60">
            <w:pPr>
              <w:pBdr>
                <w:top w:val="nil"/>
                <w:left w:val="nil"/>
                <w:bottom w:val="nil"/>
                <w:right w:val="nil"/>
                <w:between w:val="nil"/>
              </w:pBdr>
              <w:ind w:left="110"/>
              <w:rPr>
                <w:color w:val="000000"/>
              </w:rPr>
            </w:pPr>
            <w:r w:rsidRPr="008547DC">
              <w:rPr>
                <w:color w:val="000000"/>
              </w:rPr>
              <w:t xml:space="preserve">Sinergi </w:t>
            </w:r>
            <w:r w:rsidRPr="008547DC">
              <w:rPr>
                <w:i/>
                <w:color w:val="000000"/>
              </w:rPr>
              <w:t>Pentahelix</w:t>
            </w:r>
          </w:p>
        </w:tc>
        <w:tc>
          <w:tcPr>
            <w:tcW w:w="2547" w:type="dxa"/>
            <w:vAlign w:val="center"/>
          </w:tcPr>
          <w:p w14:paraId="42B93ABC" w14:textId="77777777" w:rsidR="008547DC" w:rsidRPr="008547DC" w:rsidRDefault="008547DC" w:rsidP="00744E60">
            <w:pPr>
              <w:pBdr>
                <w:top w:val="nil"/>
                <w:left w:val="nil"/>
                <w:bottom w:val="nil"/>
                <w:right w:val="nil"/>
                <w:between w:val="nil"/>
              </w:pBdr>
              <w:ind w:right="182"/>
              <w:jc w:val="center"/>
              <w:rPr>
                <w:color w:val="000000"/>
              </w:rPr>
            </w:pPr>
            <w:r w:rsidRPr="008547DC">
              <w:rPr>
                <w:color w:val="000000"/>
              </w:rPr>
              <w:t>6.297</w:t>
            </w:r>
          </w:p>
        </w:tc>
        <w:tc>
          <w:tcPr>
            <w:tcW w:w="2271" w:type="dxa"/>
            <w:vAlign w:val="center"/>
          </w:tcPr>
          <w:p w14:paraId="570F0E9E" w14:textId="77777777" w:rsidR="008547DC" w:rsidRPr="008547DC" w:rsidRDefault="008547DC" w:rsidP="00744E60">
            <w:pPr>
              <w:pBdr>
                <w:top w:val="nil"/>
                <w:left w:val="nil"/>
                <w:bottom w:val="nil"/>
                <w:right w:val="nil"/>
                <w:between w:val="nil"/>
              </w:pBdr>
              <w:jc w:val="center"/>
              <w:rPr>
                <w:color w:val="000000"/>
              </w:rPr>
            </w:pPr>
            <w:r w:rsidRPr="008547DC">
              <w:rPr>
                <w:color w:val="000000"/>
              </w:rPr>
              <w:t>6.213</w:t>
            </w:r>
          </w:p>
        </w:tc>
      </w:tr>
      <w:tr w:rsidR="008547DC" w:rsidRPr="008547DC" w14:paraId="48AAA412" w14:textId="77777777" w:rsidTr="00744E60">
        <w:trPr>
          <w:trHeight w:val="315"/>
        </w:trPr>
        <w:tc>
          <w:tcPr>
            <w:tcW w:w="3118" w:type="dxa"/>
            <w:vAlign w:val="center"/>
          </w:tcPr>
          <w:p w14:paraId="51AECF3D" w14:textId="77777777" w:rsidR="008547DC" w:rsidRPr="008547DC" w:rsidRDefault="008547DC" w:rsidP="00744E60">
            <w:pPr>
              <w:pBdr>
                <w:top w:val="nil"/>
                <w:left w:val="nil"/>
                <w:bottom w:val="nil"/>
                <w:right w:val="nil"/>
                <w:between w:val="nil"/>
              </w:pBdr>
              <w:ind w:left="110"/>
              <w:rPr>
                <w:color w:val="000000"/>
              </w:rPr>
            </w:pPr>
            <w:r w:rsidRPr="008547DC">
              <w:rPr>
                <w:color w:val="000000"/>
              </w:rPr>
              <w:t>Kepemimpinan Inovatif</w:t>
            </w:r>
          </w:p>
        </w:tc>
        <w:tc>
          <w:tcPr>
            <w:tcW w:w="2547" w:type="dxa"/>
            <w:vAlign w:val="center"/>
          </w:tcPr>
          <w:p w14:paraId="3A5142AF" w14:textId="77777777" w:rsidR="008547DC" w:rsidRPr="008547DC" w:rsidRDefault="008547DC" w:rsidP="00744E60">
            <w:pPr>
              <w:pBdr>
                <w:top w:val="nil"/>
                <w:left w:val="nil"/>
                <w:bottom w:val="nil"/>
                <w:right w:val="nil"/>
                <w:between w:val="nil"/>
              </w:pBdr>
              <w:ind w:right="182"/>
              <w:jc w:val="center"/>
              <w:rPr>
                <w:color w:val="000000"/>
              </w:rPr>
            </w:pPr>
            <w:r w:rsidRPr="008547DC">
              <w:rPr>
                <w:color w:val="000000"/>
              </w:rPr>
              <w:t>1.922</w:t>
            </w:r>
          </w:p>
        </w:tc>
        <w:tc>
          <w:tcPr>
            <w:tcW w:w="2271" w:type="dxa"/>
            <w:vAlign w:val="center"/>
          </w:tcPr>
          <w:p w14:paraId="5A780026" w14:textId="77777777" w:rsidR="008547DC" w:rsidRPr="008547DC" w:rsidRDefault="008547DC" w:rsidP="00744E60">
            <w:pPr>
              <w:pBdr>
                <w:top w:val="nil"/>
                <w:left w:val="nil"/>
                <w:bottom w:val="nil"/>
                <w:right w:val="nil"/>
                <w:between w:val="nil"/>
              </w:pBdr>
              <w:jc w:val="center"/>
              <w:rPr>
                <w:color w:val="000000"/>
              </w:rPr>
            </w:pPr>
            <w:r w:rsidRPr="008547DC">
              <w:rPr>
                <w:color w:val="000000"/>
              </w:rPr>
              <w:t>1.951</w:t>
            </w:r>
          </w:p>
        </w:tc>
      </w:tr>
      <w:tr w:rsidR="008547DC" w:rsidRPr="008547DC" w14:paraId="41B1F5B3" w14:textId="77777777" w:rsidTr="00744E60">
        <w:trPr>
          <w:trHeight w:val="315"/>
        </w:trPr>
        <w:tc>
          <w:tcPr>
            <w:tcW w:w="3118" w:type="dxa"/>
            <w:vAlign w:val="center"/>
          </w:tcPr>
          <w:p w14:paraId="55652074" w14:textId="77777777" w:rsidR="008547DC" w:rsidRPr="008547DC" w:rsidRDefault="008547DC" w:rsidP="00744E60">
            <w:pPr>
              <w:pBdr>
                <w:top w:val="nil"/>
                <w:left w:val="nil"/>
                <w:bottom w:val="nil"/>
                <w:right w:val="nil"/>
                <w:between w:val="nil"/>
              </w:pBdr>
              <w:ind w:left="110"/>
              <w:rPr>
                <w:color w:val="000000"/>
              </w:rPr>
            </w:pPr>
            <w:r w:rsidRPr="008547DC">
              <w:rPr>
                <w:color w:val="000000"/>
              </w:rPr>
              <w:t>Pariwisata Berbasis Masyarakat</w:t>
            </w:r>
          </w:p>
        </w:tc>
        <w:tc>
          <w:tcPr>
            <w:tcW w:w="2547" w:type="dxa"/>
            <w:vAlign w:val="center"/>
          </w:tcPr>
          <w:p w14:paraId="239ADAC8" w14:textId="77777777" w:rsidR="008547DC" w:rsidRPr="008547DC" w:rsidRDefault="008547DC" w:rsidP="00744E60">
            <w:pPr>
              <w:pBdr>
                <w:top w:val="nil"/>
                <w:left w:val="nil"/>
                <w:bottom w:val="nil"/>
                <w:right w:val="nil"/>
                <w:between w:val="nil"/>
              </w:pBdr>
              <w:ind w:right="182"/>
              <w:jc w:val="center"/>
              <w:rPr>
                <w:color w:val="000000"/>
              </w:rPr>
            </w:pPr>
            <w:r w:rsidRPr="008547DC">
              <w:rPr>
                <w:color w:val="000000"/>
              </w:rPr>
              <w:t>5.103</w:t>
            </w:r>
          </w:p>
        </w:tc>
        <w:tc>
          <w:tcPr>
            <w:tcW w:w="2271" w:type="dxa"/>
            <w:vAlign w:val="center"/>
          </w:tcPr>
          <w:p w14:paraId="06C7FFEE" w14:textId="77777777" w:rsidR="008547DC" w:rsidRPr="008547DC" w:rsidRDefault="008547DC" w:rsidP="00744E60">
            <w:pPr>
              <w:pBdr>
                <w:top w:val="nil"/>
                <w:left w:val="nil"/>
                <w:bottom w:val="nil"/>
                <w:right w:val="nil"/>
                <w:between w:val="nil"/>
              </w:pBdr>
              <w:jc w:val="center"/>
              <w:rPr>
                <w:color w:val="000000"/>
              </w:rPr>
            </w:pPr>
            <w:r w:rsidRPr="008547DC">
              <w:rPr>
                <w:color w:val="000000"/>
              </w:rPr>
              <w:t> </w:t>
            </w:r>
          </w:p>
        </w:tc>
      </w:tr>
      <w:tr w:rsidR="008547DC" w:rsidRPr="008547DC" w14:paraId="6F86A7CC" w14:textId="77777777" w:rsidTr="00744E60">
        <w:trPr>
          <w:trHeight w:val="315"/>
        </w:trPr>
        <w:tc>
          <w:tcPr>
            <w:tcW w:w="3118" w:type="dxa"/>
            <w:vAlign w:val="center"/>
          </w:tcPr>
          <w:p w14:paraId="04BC3097" w14:textId="1276B4C2" w:rsidR="008547DC" w:rsidRPr="008547DC" w:rsidRDefault="008547DC" w:rsidP="00744E60">
            <w:pPr>
              <w:pBdr>
                <w:top w:val="nil"/>
                <w:left w:val="nil"/>
                <w:bottom w:val="nil"/>
                <w:right w:val="nil"/>
                <w:between w:val="nil"/>
              </w:pBdr>
              <w:ind w:left="110"/>
              <w:rPr>
                <w:i/>
                <w:iCs/>
                <w:color w:val="000000"/>
              </w:rPr>
            </w:pPr>
            <w:r>
              <w:rPr>
                <w:i/>
                <w:iCs/>
                <w:color w:val="000000"/>
              </w:rPr>
              <w:t>Coefficient Determination</w:t>
            </w:r>
          </w:p>
        </w:tc>
        <w:tc>
          <w:tcPr>
            <w:tcW w:w="2547" w:type="dxa"/>
            <w:vAlign w:val="center"/>
          </w:tcPr>
          <w:p w14:paraId="42A0C7A1" w14:textId="77777777" w:rsidR="008547DC" w:rsidRDefault="008547DC" w:rsidP="00744E60">
            <w:pPr>
              <w:pBdr>
                <w:top w:val="nil"/>
                <w:left w:val="nil"/>
                <w:bottom w:val="nil"/>
                <w:right w:val="nil"/>
                <w:between w:val="nil"/>
              </w:pBdr>
              <w:ind w:right="182"/>
              <w:jc w:val="center"/>
              <w:rPr>
                <w:color w:val="000000"/>
              </w:rPr>
            </w:pPr>
          </w:p>
        </w:tc>
        <w:tc>
          <w:tcPr>
            <w:tcW w:w="2271" w:type="dxa"/>
            <w:vAlign w:val="center"/>
          </w:tcPr>
          <w:p w14:paraId="2D173CDD" w14:textId="77777777" w:rsidR="008547DC" w:rsidRDefault="008547DC" w:rsidP="00744E60">
            <w:pPr>
              <w:pBdr>
                <w:top w:val="nil"/>
                <w:left w:val="nil"/>
                <w:bottom w:val="nil"/>
                <w:right w:val="nil"/>
                <w:between w:val="nil"/>
              </w:pBdr>
              <w:jc w:val="center"/>
              <w:rPr>
                <w:color w:val="000000"/>
              </w:rPr>
            </w:pPr>
          </w:p>
        </w:tc>
      </w:tr>
      <w:tr w:rsidR="008547DC" w:rsidRPr="008547DC" w14:paraId="4788FC1D" w14:textId="77777777" w:rsidTr="00744E60">
        <w:trPr>
          <w:trHeight w:val="315"/>
        </w:trPr>
        <w:tc>
          <w:tcPr>
            <w:tcW w:w="3118" w:type="dxa"/>
            <w:vAlign w:val="center"/>
          </w:tcPr>
          <w:p w14:paraId="28C3498D" w14:textId="58195C4F" w:rsidR="008547DC" w:rsidRPr="008547DC" w:rsidRDefault="008547DC" w:rsidP="00744E60">
            <w:pPr>
              <w:pBdr>
                <w:top w:val="nil"/>
                <w:left w:val="nil"/>
                <w:bottom w:val="nil"/>
                <w:right w:val="nil"/>
                <w:between w:val="nil"/>
              </w:pBdr>
              <w:ind w:left="110"/>
              <w:rPr>
                <w:i/>
                <w:iCs/>
                <w:color w:val="000000"/>
              </w:rPr>
            </w:pPr>
            <w:r w:rsidRPr="008547DC">
              <w:rPr>
                <w:i/>
                <w:iCs/>
                <w:color w:val="000000"/>
              </w:rPr>
              <w:t>Adjusted R-Squared</w:t>
            </w:r>
          </w:p>
        </w:tc>
        <w:tc>
          <w:tcPr>
            <w:tcW w:w="2547" w:type="dxa"/>
            <w:vAlign w:val="center"/>
          </w:tcPr>
          <w:p w14:paraId="66E96DC7" w14:textId="5C3D61F6" w:rsidR="008547DC" w:rsidRPr="008547DC" w:rsidRDefault="008547DC" w:rsidP="00744E60">
            <w:pPr>
              <w:pBdr>
                <w:top w:val="nil"/>
                <w:left w:val="nil"/>
                <w:bottom w:val="nil"/>
                <w:right w:val="nil"/>
                <w:between w:val="nil"/>
              </w:pBdr>
              <w:ind w:right="182"/>
              <w:jc w:val="center"/>
              <w:rPr>
                <w:color w:val="000000"/>
              </w:rPr>
            </w:pPr>
            <w:r>
              <w:rPr>
                <w:color w:val="000000"/>
              </w:rPr>
              <w:t>0.822</w:t>
            </w:r>
          </w:p>
        </w:tc>
        <w:tc>
          <w:tcPr>
            <w:tcW w:w="2271" w:type="dxa"/>
            <w:vAlign w:val="center"/>
          </w:tcPr>
          <w:p w14:paraId="2425570B" w14:textId="5E3CB176" w:rsidR="008547DC" w:rsidRPr="008547DC" w:rsidRDefault="008547DC" w:rsidP="00744E60">
            <w:pPr>
              <w:pBdr>
                <w:top w:val="nil"/>
                <w:left w:val="nil"/>
                <w:bottom w:val="nil"/>
                <w:right w:val="nil"/>
                <w:between w:val="nil"/>
              </w:pBdr>
              <w:jc w:val="center"/>
              <w:rPr>
                <w:color w:val="000000"/>
              </w:rPr>
            </w:pPr>
            <w:r>
              <w:rPr>
                <w:color w:val="000000"/>
              </w:rPr>
              <w:t>0.823</w:t>
            </w:r>
          </w:p>
        </w:tc>
      </w:tr>
    </w:tbl>
    <w:p w14:paraId="17CE3F96" w14:textId="56CF05F7" w:rsidR="008547DC" w:rsidRPr="008547DC" w:rsidRDefault="008547DC" w:rsidP="0035070E">
      <w:pPr>
        <w:spacing w:after="120"/>
        <w:jc w:val="both"/>
        <w:rPr>
          <w:i/>
          <w:iCs/>
          <w:lang w:val="en-US"/>
        </w:rPr>
      </w:pPr>
      <w:r>
        <w:rPr>
          <w:lang w:val="en-US"/>
        </w:rPr>
        <w:tab/>
      </w:r>
      <w:r w:rsidRPr="008547DC">
        <w:rPr>
          <w:i/>
          <w:iCs/>
          <w:lang w:val="en-US"/>
        </w:rPr>
        <w:t>*Source: Data Processed</w:t>
      </w:r>
    </w:p>
    <w:p w14:paraId="4107B867" w14:textId="77777777" w:rsidR="00BF4A4E" w:rsidRPr="00BF4A4E" w:rsidRDefault="00BF4A4E" w:rsidP="00BF4A4E">
      <w:pPr>
        <w:ind w:firstLine="720"/>
        <w:jc w:val="both"/>
        <w:rPr>
          <w:bCs/>
        </w:rPr>
      </w:pPr>
      <w:r w:rsidRPr="00BF4A4E">
        <w:rPr>
          <w:bCs/>
        </w:rPr>
        <w:t>After evaluating the inner model, the next stage involved hypothesis testing to determine whether the relationships among variables in the model were statistically significant. The results revealed that Collaboration, Pentahelix Synergy, and Innovative Leadership all had a positive and significant effect on Community-Based Tourism (CBT), as indicated by p-values below 0.05. Furthermore, CBT significantly influenced Sustainable Tourism, confirming its mediating role in the model.</w:t>
      </w:r>
    </w:p>
    <w:p w14:paraId="26C10BE3" w14:textId="36E09A26" w:rsidR="008547DC" w:rsidRDefault="00BF4A4E" w:rsidP="00BF4A4E">
      <w:pPr>
        <w:ind w:firstLine="720"/>
        <w:jc w:val="both"/>
        <w:rPr>
          <w:bCs/>
        </w:rPr>
      </w:pPr>
      <w:r w:rsidRPr="00BF4A4E">
        <w:rPr>
          <w:bCs/>
        </w:rPr>
        <w:t>However, the direct relationships between Collaboration, Pentahelix Synergy, and Innovative Leadership on Sustainable Tourism were found to be not significant, given their p-values exceeded the 0.05 threshold.</w:t>
      </w:r>
      <w:r>
        <w:rPr>
          <w:bCs/>
        </w:rPr>
        <w:t xml:space="preserve"> </w:t>
      </w:r>
      <w:r w:rsidRPr="00BF4A4E">
        <w:rPr>
          <w:bCs/>
        </w:rPr>
        <w:t>Regarding mediation analysis, only Pentahelix Synergy demonstrated a significant indirect effect on Sustainable Tourism through CBT. In contrast, the mediating role of CBT in the relationships between Collaboration and Innovative Leadership with Sustainable Tourism was not supported.</w:t>
      </w:r>
      <w:r>
        <w:rPr>
          <w:bCs/>
        </w:rPr>
        <w:t xml:space="preserve"> </w:t>
      </w:r>
      <w:r w:rsidRPr="00BF4A4E">
        <w:rPr>
          <w:bCs/>
        </w:rPr>
        <w:t>In the moderation analysis, Government Policy was found to significantly strengthen the effects of Collaboration, Pentahelix Synergy, and Innovative Leadership on CBT, as evidenced by p-values ≤ 0.051 for all three interactions.</w:t>
      </w:r>
      <w:r w:rsidR="00C14CE5" w:rsidRPr="00C14CE5">
        <w:rPr>
          <w:bCs/>
        </w:rPr>
        <w:t>.</w:t>
      </w:r>
    </w:p>
    <w:p w14:paraId="148EBC54" w14:textId="77777777" w:rsidR="005B5B8D" w:rsidRDefault="005B5B8D" w:rsidP="009C31D7">
      <w:pPr>
        <w:spacing w:after="120"/>
        <w:jc w:val="center"/>
        <w:rPr>
          <w:b/>
        </w:rPr>
      </w:pPr>
    </w:p>
    <w:p w14:paraId="23AA7313" w14:textId="648023DB" w:rsidR="009C31D7" w:rsidRPr="009C31D7" w:rsidRDefault="009C31D7" w:rsidP="009C31D7">
      <w:pPr>
        <w:spacing w:after="120"/>
        <w:jc w:val="center"/>
        <w:rPr>
          <w:b/>
          <w:i/>
          <w:iCs/>
        </w:rPr>
      </w:pPr>
      <w:r w:rsidRPr="00E613D2">
        <w:rPr>
          <w:b/>
        </w:rPr>
        <w:t xml:space="preserve">Table </w:t>
      </w:r>
      <w:r w:rsidR="00361403">
        <w:rPr>
          <w:b/>
        </w:rPr>
        <w:t>2</w:t>
      </w:r>
      <w:r w:rsidRPr="00E613D2">
        <w:rPr>
          <w:b/>
        </w:rPr>
        <w:t xml:space="preserve">. </w:t>
      </w:r>
      <w:r w:rsidRPr="009C31D7">
        <w:rPr>
          <w:b/>
          <w:i/>
          <w:iCs/>
        </w:rPr>
        <w:t>Sign and Significance of Path Coefficient</w:t>
      </w:r>
    </w:p>
    <w:tbl>
      <w:tblPr>
        <w:tblW w:w="8549" w:type="dxa"/>
        <w:tblInd w:w="-289"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736"/>
        <w:gridCol w:w="2992"/>
        <w:gridCol w:w="1239"/>
        <w:gridCol w:w="1119"/>
        <w:gridCol w:w="1207"/>
        <w:gridCol w:w="1256"/>
      </w:tblGrid>
      <w:tr w:rsidR="008547DC" w14:paraId="39A36FC9" w14:textId="77777777" w:rsidTr="00057555">
        <w:trPr>
          <w:trHeight w:val="716"/>
          <w:tblHeader/>
        </w:trPr>
        <w:tc>
          <w:tcPr>
            <w:tcW w:w="3728" w:type="dxa"/>
            <w:gridSpan w:val="2"/>
            <w:shd w:val="clear" w:color="auto" w:fill="auto"/>
            <w:vAlign w:val="center"/>
          </w:tcPr>
          <w:p w14:paraId="042FB54B" w14:textId="1ADAAB93" w:rsidR="008547DC" w:rsidRDefault="00057555" w:rsidP="00744E60">
            <w:pPr>
              <w:jc w:val="center"/>
              <w:rPr>
                <w:b/>
                <w:i/>
              </w:rPr>
            </w:pPr>
            <w:r>
              <w:rPr>
                <w:b/>
                <w:i/>
              </w:rPr>
              <w:t>Hypothesis</w:t>
            </w:r>
          </w:p>
        </w:tc>
        <w:tc>
          <w:tcPr>
            <w:tcW w:w="1239" w:type="dxa"/>
            <w:shd w:val="clear" w:color="auto" w:fill="auto"/>
            <w:vAlign w:val="center"/>
          </w:tcPr>
          <w:p w14:paraId="354AAAD4" w14:textId="54CCC02C" w:rsidR="008547DC" w:rsidRDefault="00057555" w:rsidP="00744E60">
            <w:pPr>
              <w:jc w:val="center"/>
              <w:rPr>
                <w:b/>
                <w:i/>
              </w:rPr>
            </w:pPr>
            <w:r>
              <w:rPr>
                <w:b/>
                <w:i/>
              </w:rPr>
              <w:t>Coefficient</w:t>
            </w:r>
          </w:p>
        </w:tc>
        <w:tc>
          <w:tcPr>
            <w:tcW w:w="1119" w:type="dxa"/>
            <w:shd w:val="clear" w:color="auto" w:fill="auto"/>
            <w:vAlign w:val="center"/>
          </w:tcPr>
          <w:p w14:paraId="0C8863C8" w14:textId="5D3AF7E8" w:rsidR="008547DC" w:rsidRDefault="008547DC" w:rsidP="00744E60">
            <w:pPr>
              <w:jc w:val="center"/>
              <w:rPr>
                <w:b/>
                <w:i/>
                <w:vertAlign w:val="subscript"/>
              </w:rPr>
            </w:pPr>
            <w:r>
              <w:rPr>
                <w:b/>
                <w:i/>
              </w:rPr>
              <w:t>T</w:t>
            </w:r>
            <w:r w:rsidR="00057555">
              <w:rPr>
                <w:b/>
                <w:i/>
              </w:rPr>
              <w:t>-</w:t>
            </w:r>
            <w:r w:rsidR="00057555">
              <w:rPr>
                <w:b/>
                <w:i/>
                <w:vertAlign w:val="subscript"/>
              </w:rPr>
              <w:t>Statistics</w:t>
            </w:r>
          </w:p>
        </w:tc>
        <w:tc>
          <w:tcPr>
            <w:tcW w:w="1207" w:type="dxa"/>
            <w:shd w:val="clear" w:color="auto" w:fill="auto"/>
            <w:vAlign w:val="center"/>
          </w:tcPr>
          <w:p w14:paraId="67689E2F" w14:textId="77777777" w:rsidR="008547DC" w:rsidRDefault="008547DC" w:rsidP="00744E60">
            <w:pPr>
              <w:jc w:val="center"/>
              <w:rPr>
                <w:b/>
                <w:i/>
              </w:rPr>
            </w:pPr>
            <w:r>
              <w:rPr>
                <w:b/>
                <w:i/>
              </w:rPr>
              <w:t>P-value</w:t>
            </w:r>
          </w:p>
        </w:tc>
        <w:tc>
          <w:tcPr>
            <w:tcW w:w="1256" w:type="dxa"/>
            <w:shd w:val="clear" w:color="auto" w:fill="auto"/>
            <w:vAlign w:val="center"/>
          </w:tcPr>
          <w:p w14:paraId="3389698F" w14:textId="77777777" w:rsidR="008547DC" w:rsidRDefault="008547DC" w:rsidP="00744E60">
            <w:pPr>
              <w:jc w:val="center"/>
              <w:rPr>
                <w:b/>
                <w:i/>
              </w:rPr>
            </w:pPr>
            <w:r>
              <w:rPr>
                <w:b/>
                <w:i/>
              </w:rPr>
              <w:t>Decision</w:t>
            </w:r>
          </w:p>
        </w:tc>
      </w:tr>
      <w:tr w:rsidR="00057555" w14:paraId="7C5D74E6" w14:textId="77777777" w:rsidTr="00057555">
        <w:trPr>
          <w:trHeight w:val="696"/>
        </w:trPr>
        <w:tc>
          <w:tcPr>
            <w:tcW w:w="736" w:type="dxa"/>
            <w:shd w:val="clear" w:color="auto" w:fill="auto"/>
          </w:tcPr>
          <w:p w14:paraId="4E044DE2" w14:textId="77777777" w:rsidR="00057555" w:rsidRDefault="00057555" w:rsidP="00057555">
            <w:r>
              <w:t>H</w:t>
            </w:r>
            <w:r w:rsidRPr="00F07EEA">
              <w:rPr>
                <w:vertAlign w:val="subscript"/>
              </w:rPr>
              <w:t>1</w:t>
            </w:r>
          </w:p>
        </w:tc>
        <w:tc>
          <w:tcPr>
            <w:tcW w:w="2992" w:type="dxa"/>
            <w:shd w:val="clear" w:color="auto" w:fill="auto"/>
            <w:vAlign w:val="center"/>
          </w:tcPr>
          <w:p w14:paraId="162CA51B" w14:textId="146B6602" w:rsidR="00057555" w:rsidRPr="00057555" w:rsidRDefault="00057555" w:rsidP="00057555">
            <w:pPr>
              <w:rPr>
                <w:lang w:val="en-US"/>
              </w:rPr>
            </w:pPr>
            <w:r w:rsidRPr="00057555">
              <w:rPr>
                <w:color w:val="000000"/>
              </w:rPr>
              <w:t>Collaboration has a positive effect on Community-Based Tourism (CBT)</w:t>
            </w:r>
          </w:p>
        </w:tc>
        <w:tc>
          <w:tcPr>
            <w:tcW w:w="1239" w:type="dxa"/>
            <w:shd w:val="clear" w:color="auto" w:fill="auto"/>
            <w:vAlign w:val="center"/>
          </w:tcPr>
          <w:p w14:paraId="49C6B3A8" w14:textId="4C31D2BF" w:rsidR="00057555" w:rsidRPr="00057555" w:rsidRDefault="00057555" w:rsidP="00057555">
            <w:pPr>
              <w:jc w:val="center"/>
            </w:pPr>
            <w:r w:rsidRPr="00057555">
              <w:rPr>
                <w:color w:val="000000"/>
              </w:rPr>
              <w:t>0.117</w:t>
            </w:r>
          </w:p>
        </w:tc>
        <w:tc>
          <w:tcPr>
            <w:tcW w:w="1119" w:type="dxa"/>
            <w:shd w:val="clear" w:color="auto" w:fill="auto"/>
            <w:vAlign w:val="center"/>
          </w:tcPr>
          <w:p w14:paraId="66E70C5F" w14:textId="6D80347E" w:rsidR="00057555" w:rsidRPr="00057555" w:rsidRDefault="00057555" w:rsidP="00057555">
            <w:pPr>
              <w:jc w:val="center"/>
            </w:pPr>
            <w:r w:rsidRPr="00057555">
              <w:rPr>
                <w:color w:val="000000"/>
              </w:rPr>
              <w:t>1.666</w:t>
            </w:r>
          </w:p>
        </w:tc>
        <w:tc>
          <w:tcPr>
            <w:tcW w:w="1207" w:type="dxa"/>
            <w:shd w:val="clear" w:color="auto" w:fill="auto"/>
            <w:vAlign w:val="center"/>
          </w:tcPr>
          <w:p w14:paraId="48D27845" w14:textId="1D849635" w:rsidR="00057555" w:rsidRPr="00057555" w:rsidRDefault="00057555" w:rsidP="00057555">
            <w:pPr>
              <w:jc w:val="center"/>
            </w:pPr>
            <w:r w:rsidRPr="00057555">
              <w:rPr>
                <w:color w:val="000000"/>
              </w:rPr>
              <w:t>0.048**</w:t>
            </w:r>
          </w:p>
        </w:tc>
        <w:tc>
          <w:tcPr>
            <w:tcW w:w="1256" w:type="dxa"/>
            <w:shd w:val="clear" w:color="auto" w:fill="auto"/>
            <w:vAlign w:val="center"/>
          </w:tcPr>
          <w:p w14:paraId="4D5CCE26" w14:textId="7E02F8A4" w:rsidR="00057555" w:rsidRPr="00057555" w:rsidRDefault="00057555" w:rsidP="00057555">
            <w:r w:rsidRPr="00057555">
              <w:rPr>
                <w:color w:val="000000"/>
              </w:rPr>
              <w:t>Supported</w:t>
            </w:r>
          </w:p>
        </w:tc>
      </w:tr>
      <w:tr w:rsidR="00057555" w14:paraId="415DF716" w14:textId="77777777" w:rsidTr="00057555">
        <w:trPr>
          <w:trHeight w:val="696"/>
        </w:trPr>
        <w:tc>
          <w:tcPr>
            <w:tcW w:w="736" w:type="dxa"/>
            <w:shd w:val="clear" w:color="auto" w:fill="auto"/>
          </w:tcPr>
          <w:p w14:paraId="285A8761" w14:textId="77777777" w:rsidR="00057555" w:rsidRDefault="00057555" w:rsidP="00057555">
            <w:r>
              <w:t>H</w:t>
            </w:r>
            <w:r w:rsidRPr="00F07EEA">
              <w:rPr>
                <w:vertAlign w:val="subscript"/>
              </w:rPr>
              <w:t>2</w:t>
            </w:r>
          </w:p>
        </w:tc>
        <w:tc>
          <w:tcPr>
            <w:tcW w:w="2992" w:type="dxa"/>
            <w:shd w:val="clear" w:color="auto" w:fill="auto"/>
            <w:vAlign w:val="center"/>
          </w:tcPr>
          <w:p w14:paraId="34085667" w14:textId="36888F77" w:rsidR="00057555" w:rsidRPr="00057555" w:rsidRDefault="00057555" w:rsidP="00057555">
            <w:pPr>
              <w:rPr>
                <w:lang w:val="en-US"/>
              </w:rPr>
            </w:pPr>
            <w:r w:rsidRPr="00057555">
              <w:rPr>
                <w:color w:val="000000"/>
              </w:rPr>
              <w:t>Pentahelix synergy has a positive effect on Community-Based Tourism (CBT)</w:t>
            </w:r>
          </w:p>
        </w:tc>
        <w:tc>
          <w:tcPr>
            <w:tcW w:w="1239" w:type="dxa"/>
            <w:shd w:val="clear" w:color="auto" w:fill="auto"/>
            <w:vAlign w:val="center"/>
          </w:tcPr>
          <w:p w14:paraId="3EE76FCE" w14:textId="562E4764" w:rsidR="00057555" w:rsidRPr="00057555" w:rsidRDefault="00057555" w:rsidP="00057555">
            <w:pPr>
              <w:jc w:val="center"/>
            </w:pPr>
            <w:r w:rsidRPr="00057555">
              <w:rPr>
                <w:color w:val="000000"/>
              </w:rPr>
              <w:t>0.234</w:t>
            </w:r>
          </w:p>
        </w:tc>
        <w:tc>
          <w:tcPr>
            <w:tcW w:w="1119" w:type="dxa"/>
            <w:shd w:val="clear" w:color="auto" w:fill="auto"/>
            <w:vAlign w:val="center"/>
          </w:tcPr>
          <w:p w14:paraId="4FB90920" w14:textId="673E378E" w:rsidR="00057555" w:rsidRPr="00057555" w:rsidRDefault="00057555" w:rsidP="00057555">
            <w:pPr>
              <w:jc w:val="center"/>
            </w:pPr>
            <w:r w:rsidRPr="00057555">
              <w:rPr>
                <w:color w:val="000000"/>
              </w:rPr>
              <w:t>2.618</w:t>
            </w:r>
          </w:p>
        </w:tc>
        <w:tc>
          <w:tcPr>
            <w:tcW w:w="1207" w:type="dxa"/>
            <w:shd w:val="clear" w:color="auto" w:fill="auto"/>
            <w:vAlign w:val="center"/>
          </w:tcPr>
          <w:p w14:paraId="08A001EC" w14:textId="0FBAA951" w:rsidR="00057555" w:rsidRPr="00057555" w:rsidRDefault="00057555" w:rsidP="00057555">
            <w:pPr>
              <w:jc w:val="center"/>
            </w:pPr>
            <w:r w:rsidRPr="00057555">
              <w:rPr>
                <w:color w:val="000000"/>
              </w:rPr>
              <w:t>0.005**</w:t>
            </w:r>
          </w:p>
        </w:tc>
        <w:tc>
          <w:tcPr>
            <w:tcW w:w="1256" w:type="dxa"/>
            <w:shd w:val="clear" w:color="auto" w:fill="auto"/>
            <w:vAlign w:val="center"/>
          </w:tcPr>
          <w:p w14:paraId="7D76606B" w14:textId="60AC1157" w:rsidR="00057555" w:rsidRPr="00057555" w:rsidRDefault="00057555" w:rsidP="00057555">
            <w:r w:rsidRPr="00057555">
              <w:rPr>
                <w:color w:val="000000"/>
              </w:rPr>
              <w:t>Supported</w:t>
            </w:r>
          </w:p>
        </w:tc>
      </w:tr>
      <w:tr w:rsidR="00057555" w14:paraId="10ADF9E6" w14:textId="77777777" w:rsidTr="00057555">
        <w:trPr>
          <w:trHeight w:val="922"/>
        </w:trPr>
        <w:tc>
          <w:tcPr>
            <w:tcW w:w="736" w:type="dxa"/>
            <w:shd w:val="clear" w:color="auto" w:fill="auto"/>
          </w:tcPr>
          <w:p w14:paraId="4CDCD78A" w14:textId="77777777" w:rsidR="00057555" w:rsidRDefault="00057555" w:rsidP="00057555">
            <w:r>
              <w:t>H</w:t>
            </w:r>
            <w:r w:rsidRPr="00F07EEA">
              <w:rPr>
                <w:vertAlign w:val="subscript"/>
              </w:rPr>
              <w:t>3</w:t>
            </w:r>
          </w:p>
        </w:tc>
        <w:tc>
          <w:tcPr>
            <w:tcW w:w="2992" w:type="dxa"/>
            <w:shd w:val="clear" w:color="auto" w:fill="auto"/>
            <w:vAlign w:val="center"/>
          </w:tcPr>
          <w:p w14:paraId="4F45AD16" w14:textId="6D1C71B5" w:rsidR="00057555" w:rsidRPr="00057555" w:rsidRDefault="00057555" w:rsidP="00057555">
            <w:r w:rsidRPr="00057555">
              <w:rPr>
                <w:color w:val="000000"/>
              </w:rPr>
              <w:t>Innovative leadership has a positive effect on Community-Based Tourism (CBT)</w:t>
            </w:r>
          </w:p>
        </w:tc>
        <w:tc>
          <w:tcPr>
            <w:tcW w:w="1239" w:type="dxa"/>
            <w:shd w:val="clear" w:color="auto" w:fill="auto"/>
            <w:vAlign w:val="center"/>
          </w:tcPr>
          <w:p w14:paraId="3F0E0AAC" w14:textId="66CD2893" w:rsidR="00057555" w:rsidRPr="00057555" w:rsidRDefault="00057555" w:rsidP="00057555">
            <w:pPr>
              <w:jc w:val="center"/>
            </w:pPr>
            <w:r w:rsidRPr="00057555">
              <w:rPr>
                <w:color w:val="000000"/>
              </w:rPr>
              <w:t>0.185</w:t>
            </w:r>
          </w:p>
        </w:tc>
        <w:tc>
          <w:tcPr>
            <w:tcW w:w="1119" w:type="dxa"/>
            <w:shd w:val="clear" w:color="auto" w:fill="auto"/>
            <w:vAlign w:val="center"/>
          </w:tcPr>
          <w:p w14:paraId="18BC2E9F" w14:textId="2C762229" w:rsidR="00057555" w:rsidRPr="00057555" w:rsidRDefault="00057555" w:rsidP="00057555">
            <w:pPr>
              <w:jc w:val="center"/>
            </w:pPr>
            <w:r w:rsidRPr="00057555">
              <w:rPr>
                <w:color w:val="000000"/>
              </w:rPr>
              <w:t>3.797</w:t>
            </w:r>
          </w:p>
        </w:tc>
        <w:tc>
          <w:tcPr>
            <w:tcW w:w="1207" w:type="dxa"/>
            <w:shd w:val="clear" w:color="auto" w:fill="auto"/>
            <w:vAlign w:val="center"/>
          </w:tcPr>
          <w:p w14:paraId="06553DD7" w14:textId="3C0EEA7A" w:rsidR="00057555" w:rsidRPr="00057555" w:rsidRDefault="00057555" w:rsidP="00057555">
            <w:pPr>
              <w:jc w:val="center"/>
            </w:pPr>
            <w:r w:rsidRPr="00057555">
              <w:rPr>
                <w:color w:val="000000"/>
              </w:rPr>
              <w:t>0.000**</w:t>
            </w:r>
          </w:p>
        </w:tc>
        <w:tc>
          <w:tcPr>
            <w:tcW w:w="1256" w:type="dxa"/>
            <w:shd w:val="clear" w:color="auto" w:fill="auto"/>
            <w:vAlign w:val="center"/>
          </w:tcPr>
          <w:p w14:paraId="0F321DCD" w14:textId="529BA4F3" w:rsidR="00057555" w:rsidRPr="00057555" w:rsidRDefault="00057555" w:rsidP="00057555">
            <w:r w:rsidRPr="00057555">
              <w:rPr>
                <w:color w:val="000000"/>
              </w:rPr>
              <w:t>Supported</w:t>
            </w:r>
          </w:p>
        </w:tc>
      </w:tr>
      <w:tr w:rsidR="00057555" w14:paraId="2BF7AEA3" w14:textId="77777777" w:rsidTr="00057555">
        <w:trPr>
          <w:trHeight w:val="730"/>
        </w:trPr>
        <w:tc>
          <w:tcPr>
            <w:tcW w:w="736" w:type="dxa"/>
            <w:shd w:val="clear" w:color="auto" w:fill="auto"/>
          </w:tcPr>
          <w:p w14:paraId="7D589769" w14:textId="77777777" w:rsidR="00057555" w:rsidRPr="00CA5B73" w:rsidRDefault="00057555" w:rsidP="00057555">
            <w:r>
              <w:rPr>
                <w:i/>
              </w:rPr>
              <w:t>H</w:t>
            </w:r>
            <w:r w:rsidRPr="00F07EEA">
              <w:rPr>
                <w:i/>
                <w:vertAlign w:val="subscript"/>
              </w:rPr>
              <w:t>4</w:t>
            </w:r>
          </w:p>
        </w:tc>
        <w:tc>
          <w:tcPr>
            <w:tcW w:w="2992" w:type="dxa"/>
            <w:shd w:val="clear" w:color="auto" w:fill="auto"/>
            <w:vAlign w:val="center"/>
          </w:tcPr>
          <w:p w14:paraId="4AB59373" w14:textId="6BC70F09" w:rsidR="00057555" w:rsidRPr="00057555" w:rsidRDefault="00057555" w:rsidP="00057555">
            <w:pPr>
              <w:rPr>
                <w:lang w:val="en-US"/>
              </w:rPr>
            </w:pPr>
            <w:r w:rsidRPr="00057555">
              <w:rPr>
                <w:color w:val="000000"/>
              </w:rPr>
              <w:t>Community-Based Tourism (CBT) has a positive effect on Sustainable Tourism</w:t>
            </w:r>
          </w:p>
        </w:tc>
        <w:tc>
          <w:tcPr>
            <w:tcW w:w="1239" w:type="dxa"/>
            <w:shd w:val="clear" w:color="auto" w:fill="auto"/>
            <w:vAlign w:val="center"/>
          </w:tcPr>
          <w:p w14:paraId="32E689CE" w14:textId="533A3A1F" w:rsidR="00057555" w:rsidRPr="00057555" w:rsidRDefault="00057555" w:rsidP="00057555">
            <w:pPr>
              <w:jc w:val="center"/>
            </w:pPr>
            <w:r w:rsidRPr="00057555">
              <w:rPr>
                <w:color w:val="000000"/>
              </w:rPr>
              <w:t>0.735</w:t>
            </w:r>
          </w:p>
        </w:tc>
        <w:tc>
          <w:tcPr>
            <w:tcW w:w="1119" w:type="dxa"/>
            <w:shd w:val="clear" w:color="auto" w:fill="auto"/>
            <w:vAlign w:val="center"/>
          </w:tcPr>
          <w:p w14:paraId="5141744F" w14:textId="27226959" w:rsidR="00057555" w:rsidRPr="00057555" w:rsidRDefault="00057555" w:rsidP="00057555">
            <w:pPr>
              <w:jc w:val="center"/>
            </w:pPr>
            <w:r w:rsidRPr="00057555">
              <w:rPr>
                <w:color w:val="000000"/>
              </w:rPr>
              <w:t>7.91</w:t>
            </w:r>
          </w:p>
        </w:tc>
        <w:tc>
          <w:tcPr>
            <w:tcW w:w="1207" w:type="dxa"/>
            <w:shd w:val="clear" w:color="auto" w:fill="auto"/>
            <w:vAlign w:val="center"/>
          </w:tcPr>
          <w:p w14:paraId="5717D7AF" w14:textId="4DD61AF3" w:rsidR="00057555" w:rsidRPr="00057555" w:rsidRDefault="00057555" w:rsidP="00057555">
            <w:pPr>
              <w:jc w:val="center"/>
            </w:pPr>
            <w:r w:rsidRPr="00057555">
              <w:rPr>
                <w:color w:val="000000"/>
              </w:rPr>
              <w:t>0.000**</w:t>
            </w:r>
          </w:p>
        </w:tc>
        <w:tc>
          <w:tcPr>
            <w:tcW w:w="1256" w:type="dxa"/>
            <w:shd w:val="clear" w:color="auto" w:fill="auto"/>
            <w:vAlign w:val="center"/>
          </w:tcPr>
          <w:p w14:paraId="48BA3E5F" w14:textId="635DCBE9" w:rsidR="00057555" w:rsidRPr="00057555" w:rsidRDefault="00057555" w:rsidP="00057555">
            <w:r w:rsidRPr="00057555">
              <w:rPr>
                <w:color w:val="000000"/>
              </w:rPr>
              <w:t>Supported</w:t>
            </w:r>
          </w:p>
        </w:tc>
      </w:tr>
      <w:tr w:rsidR="00057555" w14:paraId="00709808" w14:textId="77777777" w:rsidTr="00057555">
        <w:trPr>
          <w:trHeight w:val="730"/>
        </w:trPr>
        <w:tc>
          <w:tcPr>
            <w:tcW w:w="736" w:type="dxa"/>
            <w:shd w:val="clear" w:color="auto" w:fill="auto"/>
          </w:tcPr>
          <w:p w14:paraId="57F35ACF" w14:textId="77777777" w:rsidR="00057555" w:rsidRDefault="00057555" w:rsidP="00057555">
            <w:pPr>
              <w:rPr>
                <w:i/>
              </w:rPr>
            </w:pPr>
            <w:r>
              <w:rPr>
                <w:i/>
              </w:rPr>
              <w:t>H</w:t>
            </w:r>
            <w:r w:rsidRPr="00F07EEA">
              <w:rPr>
                <w:i/>
                <w:vertAlign w:val="subscript"/>
              </w:rPr>
              <w:t>5</w:t>
            </w:r>
          </w:p>
        </w:tc>
        <w:tc>
          <w:tcPr>
            <w:tcW w:w="2992" w:type="dxa"/>
            <w:shd w:val="clear" w:color="auto" w:fill="auto"/>
            <w:vAlign w:val="center"/>
          </w:tcPr>
          <w:p w14:paraId="2DEFAEDC" w14:textId="4C3A3087" w:rsidR="00057555" w:rsidRPr="00057555" w:rsidRDefault="00057555" w:rsidP="00057555">
            <w:pPr>
              <w:rPr>
                <w:lang w:val="en-US"/>
              </w:rPr>
            </w:pPr>
            <w:r w:rsidRPr="00057555">
              <w:rPr>
                <w:color w:val="000000"/>
              </w:rPr>
              <w:t>Collaboration has a positive effect on Sustainable Tourism</w:t>
            </w:r>
          </w:p>
        </w:tc>
        <w:tc>
          <w:tcPr>
            <w:tcW w:w="1239" w:type="dxa"/>
            <w:shd w:val="clear" w:color="auto" w:fill="auto"/>
            <w:vAlign w:val="center"/>
          </w:tcPr>
          <w:p w14:paraId="5F140AD5" w14:textId="7E78A1B3" w:rsidR="00057555" w:rsidRPr="00057555" w:rsidRDefault="00057555" w:rsidP="00057555">
            <w:pPr>
              <w:jc w:val="center"/>
            </w:pPr>
            <w:r w:rsidRPr="00057555">
              <w:rPr>
                <w:color w:val="000000"/>
              </w:rPr>
              <w:t>-0.123</w:t>
            </w:r>
          </w:p>
        </w:tc>
        <w:tc>
          <w:tcPr>
            <w:tcW w:w="1119" w:type="dxa"/>
            <w:shd w:val="clear" w:color="auto" w:fill="auto"/>
            <w:vAlign w:val="center"/>
          </w:tcPr>
          <w:p w14:paraId="1EF07036" w14:textId="5E052713" w:rsidR="00057555" w:rsidRPr="00057555" w:rsidRDefault="00057555" w:rsidP="00057555">
            <w:pPr>
              <w:jc w:val="center"/>
            </w:pPr>
            <w:r w:rsidRPr="00057555">
              <w:rPr>
                <w:color w:val="000000"/>
              </w:rPr>
              <w:t>1.629</w:t>
            </w:r>
          </w:p>
        </w:tc>
        <w:tc>
          <w:tcPr>
            <w:tcW w:w="1207" w:type="dxa"/>
            <w:shd w:val="clear" w:color="auto" w:fill="auto"/>
            <w:vAlign w:val="center"/>
          </w:tcPr>
          <w:p w14:paraId="090D9180" w14:textId="7DE30AE6" w:rsidR="00057555" w:rsidRPr="00057555" w:rsidRDefault="00057555" w:rsidP="00057555">
            <w:pPr>
              <w:jc w:val="center"/>
            </w:pPr>
            <w:r w:rsidRPr="00057555">
              <w:rPr>
                <w:color w:val="000000"/>
              </w:rPr>
              <w:t>0.052</w:t>
            </w:r>
          </w:p>
        </w:tc>
        <w:tc>
          <w:tcPr>
            <w:tcW w:w="1256" w:type="dxa"/>
            <w:shd w:val="clear" w:color="auto" w:fill="auto"/>
            <w:vAlign w:val="center"/>
          </w:tcPr>
          <w:p w14:paraId="689392B8" w14:textId="70E54E2C" w:rsidR="00057555" w:rsidRPr="00057555" w:rsidRDefault="00057555" w:rsidP="00057555">
            <w:pPr>
              <w:rPr>
                <w:i/>
              </w:rPr>
            </w:pPr>
            <w:r w:rsidRPr="00057555">
              <w:rPr>
                <w:color w:val="000000"/>
              </w:rPr>
              <w:t>Not Supported</w:t>
            </w:r>
          </w:p>
        </w:tc>
      </w:tr>
      <w:tr w:rsidR="00057555" w14:paraId="7A586483" w14:textId="77777777" w:rsidTr="00057555">
        <w:trPr>
          <w:trHeight w:val="730"/>
        </w:trPr>
        <w:tc>
          <w:tcPr>
            <w:tcW w:w="736" w:type="dxa"/>
            <w:shd w:val="clear" w:color="auto" w:fill="auto"/>
          </w:tcPr>
          <w:p w14:paraId="7A850FB1" w14:textId="77777777" w:rsidR="00057555" w:rsidRDefault="00057555" w:rsidP="00057555">
            <w:pPr>
              <w:rPr>
                <w:i/>
              </w:rPr>
            </w:pPr>
            <w:r>
              <w:rPr>
                <w:i/>
              </w:rPr>
              <w:t>H</w:t>
            </w:r>
            <w:r w:rsidRPr="00F07EEA">
              <w:rPr>
                <w:i/>
                <w:vertAlign w:val="subscript"/>
              </w:rPr>
              <w:t>6</w:t>
            </w:r>
          </w:p>
        </w:tc>
        <w:tc>
          <w:tcPr>
            <w:tcW w:w="2992" w:type="dxa"/>
            <w:shd w:val="clear" w:color="auto" w:fill="auto"/>
            <w:vAlign w:val="center"/>
          </w:tcPr>
          <w:p w14:paraId="5DB8009F" w14:textId="77ECF56E" w:rsidR="00057555" w:rsidRPr="00057555" w:rsidRDefault="00057555" w:rsidP="00057555">
            <w:pPr>
              <w:rPr>
                <w:lang w:val="en-US"/>
              </w:rPr>
            </w:pPr>
            <w:r w:rsidRPr="00057555">
              <w:rPr>
                <w:color w:val="000000"/>
              </w:rPr>
              <w:t>Pentahelix synergy has a positive effect on Sustainable Tourism</w:t>
            </w:r>
          </w:p>
        </w:tc>
        <w:tc>
          <w:tcPr>
            <w:tcW w:w="1239" w:type="dxa"/>
            <w:shd w:val="clear" w:color="auto" w:fill="auto"/>
            <w:vAlign w:val="center"/>
          </w:tcPr>
          <w:p w14:paraId="76FCBAC9" w14:textId="3752C648" w:rsidR="00057555" w:rsidRPr="00057555" w:rsidRDefault="00057555" w:rsidP="00057555">
            <w:pPr>
              <w:jc w:val="center"/>
            </w:pPr>
            <w:r w:rsidRPr="00057555">
              <w:rPr>
                <w:color w:val="000000"/>
              </w:rPr>
              <w:t>-0.02</w:t>
            </w:r>
          </w:p>
        </w:tc>
        <w:tc>
          <w:tcPr>
            <w:tcW w:w="1119" w:type="dxa"/>
            <w:shd w:val="clear" w:color="auto" w:fill="auto"/>
            <w:vAlign w:val="center"/>
          </w:tcPr>
          <w:p w14:paraId="5896A7DB" w14:textId="3BB94EB7" w:rsidR="00057555" w:rsidRPr="00057555" w:rsidRDefault="00057555" w:rsidP="00057555">
            <w:pPr>
              <w:jc w:val="center"/>
            </w:pPr>
            <w:r w:rsidRPr="00057555">
              <w:rPr>
                <w:color w:val="000000"/>
              </w:rPr>
              <w:t>0.263</w:t>
            </w:r>
          </w:p>
        </w:tc>
        <w:tc>
          <w:tcPr>
            <w:tcW w:w="1207" w:type="dxa"/>
            <w:shd w:val="clear" w:color="auto" w:fill="auto"/>
            <w:vAlign w:val="center"/>
          </w:tcPr>
          <w:p w14:paraId="26B259B2" w14:textId="556427CB" w:rsidR="00057555" w:rsidRPr="00057555" w:rsidRDefault="00057555" w:rsidP="00057555">
            <w:pPr>
              <w:jc w:val="center"/>
            </w:pPr>
            <w:r w:rsidRPr="00057555">
              <w:rPr>
                <w:color w:val="000000"/>
              </w:rPr>
              <w:t>0.396</w:t>
            </w:r>
          </w:p>
        </w:tc>
        <w:tc>
          <w:tcPr>
            <w:tcW w:w="1256" w:type="dxa"/>
            <w:shd w:val="clear" w:color="auto" w:fill="auto"/>
            <w:vAlign w:val="center"/>
          </w:tcPr>
          <w:p w14:paraId="49D7E426" w14:textId="7AA10682" w:rsidR="00057555" w:rsidRPr="00057555" w:rsidRDefault="00057555" w:rsidP="00057555">
            <w:pPr>
              <w:rPr>
                <w:i/>
              </w:rPr>
            </w:pPr>
            <w:r w:rsidRPr="00057555">
              <w:rPr>
                <w:color w:val="000000"/>
              </w:rPr>
              <w:t>Not Supported</w:t>
            </w:r>
          </w:p>
        </w:tc>
      </w:tr>
      <w:tr w:rsidR="00057555" w14:paraId="565A3C35" w14:textId="77777777" w:rsidTr="00057555">
        <w:trPr>
          <w:trHeight w:val="730"/>
        </w:trPr>
        <w:tc>
          <w:tcPr>
            <w:tcW w:w="736" w:type="dxa"/>
            <w:shd w:val="clear" w:color="auto" w:fill="auto"/>
          </w:tcPr>
          <w:p w14:paraId="2C14E635" w14:textId="77777777" w:rsidR="00057555" w:rsidRDefault="00057555" w:rsidP="00057555">
            <w:pPr>
              <w:rPr>
                <w:i/>
              </w:rPr>
            </w:pPr>
            <w:r>
              <w:rPr>
                <w:i/>
              </w:rPr>
              <w:t>H</w:t>
            </w:r>
            <w:r w:rsidRPr="00F07EEA">
              <w:rPr>
                <w:i/>
                <w:vertAlign w:val="subscript"/>
              </w:rPr>
              <w:t>7</w:t>
            </w:r>
          </w:p>
        </w:tc>
        <w:tc>
          <w:tcPr>
            <w:tcW w:w="2992" w:type="dxa"/>
            <w:shd w:val="clear" w:color="auto" w:fill="auto"/>
            <w:vAlign w:val="center"/>
          </w:tcPr>
          <w:p w14:paraId="38D05965" w14:textId="69A64E1F" w:rsidR="00057555" w:rsidRPr="00057555" w:rsidRDefault="00057555" w:rsidP="00057555">
            <w:r w:rsidRPr="00057555">
              <w:rPr>
                <w:color w:val="000000"/>
              </w:rPr>
              <w:t>Innovative leadership has a positive effect on Sustainable Tourism</w:t>
            </w:r>
          </w:p>
        </w:tc>
        <w:tc>
          <w:tcPr>
            <w:tcW w:w="1239" w:type="dxa"/>
            <w:shd w:val="clear" w:color="auto" w:fill="auto"/>
            <w:vAlign w:val="center"/>
          </w:tcPr>
          <w:p w14:paraId="2C023EE0" w14:textId="7BDB79A6" w:rsidR="00057555" w:rsidRPr="00057555" w:rsidRDefault="00057555" w:rsidP="00057555">
            <w:pPr>
              <w:jc w:val="center"/>
            </w:pPr>
            <w:r w:rsidRPr="00057555">
              <w:rPr>
                <w:color w:val="000000"/>
              </w:rPr>
              <w:t>0.01</w:t>
            </w:r>
          </w:p>
        </w:tc>
        <w:tc>
          <w:tcPr>
            <w:tcW w:w="1119" w:type="dxa"/>
            <w:shd w:val="clear" w:color="auto" w:fill="auto"/>
            <w:vAlign w:val="center"/>
          </w:tcPr>
          <w:p w14:paraId="6D32E047" w14:textId="2662070C" w:rsidR="00057555" w:rsidRPr="00057555" w:rsidRDefault="00057555" w:rsidP="00057555">
            <w:pPr>
              <w:jc w:val="center"/>
            </w:pPr>
            <w:r w:rsidRPr="00057555">
              <w:rPr>
                <w:color w:val="000000"/>
              </w:rPr>
              <w:t>0.28</w:t>
            </w:r>
          </w:p>
        </w:tc>
        <w:tc>
          <w:tcPr>
            <w:tcW w:w="1207" w:type="dxa"/>
            <w:shd w:val="clear" w:color="auto" w:fill="auto"/>
            <w:vAlign w:val="center"/>
          </w:tcPr>
          <w:p w14:paraId="53D2F9E1" w14:textId="531F91E3" w:rsidR="00057555" w:rsidRPr="00057555" w:rsidRDefault="00057555" w:rsidP="00057555">
            <w:pPr>
              <w:jc w:val="center"/>
            </w:pPr>
            <w:r w:rsidRPr="00057555">
              <w:rPr>
                <w:color w:val="000000"/>
              </w:rPr>
              <w:t>0.39</w:t>
            </w:r>
          </w:p>
        </w:tc>
        <w:tc>
          <w:tcPr>
            <w:tcW w:w="1256" w:type="dxa"/>
            <w:shd w:val="clear" w:color="auto" w:fill="auto"/>
            <w:vAlign w:val="center"/>
          </w:tcPr>
          <w:p w14:paraId="3F951BD9" w14:textId="2F92F066" w:rsidR="00057555" w:rsidRPr="00057555" w:rsidRDefault="00057555" w:rsidP="00057555">
            <w:pPr>
              <w:rPr>
                <w:i/>
              </w:rPr>
            </w:pPr>
            <w:r w:rsidRPr="00057555">
              <w:rPr>
                <w:color w:val="000000"/>
              </w:rPr>
              <w:t>Not Supported</w:t>
            </w:r>
          </w:p>
        </w:tc>
      </w:tr>
      <w:tr w:rsidR="00057555" w14:paraId="074F0B9A" w14:textId="77777777" w:rsidTr="00057555">
        <w:trPr>
          <w:trHeight w:val="730"/>
        </w:trPr>
        <w:tc>
          <w:tcPr>
            <w:tcW w:w="736" w:type="dxa"/>
            <w:shd w:val="clear" w:color="auto" w:fill="auto"/>
          </w:tcPr>
          <w:p w14:paraId="5EC49811" w14:textId="77777777" w:rsidR="00057555" w:rsidRDefault="00057555" w:rsidP="00057555">
            <w:pPr>
              <w:rPr>
                <w:i/>
              </w:rPr>
            </w:pPr>
            <w:r>
              <w:rPr>
                <w:i/>
              </w:rPr>
              <w:t>H</w:t>
            </w:r>
            <w:r w:rsidRPr="00F07EEA">
              <w:rPr>
                <w:i/>
                <w:vertAlign w:val="subscript"/>
              </w:rPr>
              <w:t>8</w:t>
            </w:r>
          </w:p>
        </w:tc>
        <w:tc>
          <w:tcPr>
            <w:tcW w:w="2992" w:type="dxa"/>
            <w:shd w:val="clear" w:color="auto" w:fill="auto"/>
            <w:vAlign w:val="center"/>
          </w:tcPr>
          <w:p w14:paraId="370AA3B6" w14:textId="05B47BDE" w:rsidR="00057555" w:rsidRPr="00057555" w:rsidRDefault="00057555" w:rsidP="00057555">
            <w:r w:rsidRPr="00057555">
              <w:rPr>
                <w:color w:val="000000"/>
              </w:rPr>
              <w:t>Community-Based Tourism mediates the positive effect of Pentahelix synergy on Sustainable Tourism</w:t>
            </w:r>
          </w:p>
        </w:tc>
        <w:tc>
          <w:tcPr>
            <w:tcW w:w="1239" w:type="dxa"/>
            <w:shd w:val="clear" w:color="auto" w:fill="auto"/>
            <w:vAlign w:val="center"/>
          </w:tcPr>
          <w:p w14:paraId="2E37474C" w14:textId="4EAD6A8D" w:rsidR="00057555" w:rsidRPr="00057555" w:rsidRDefault="00057555" w:rsidP="00057555">
            <w:pPr>
              <w:jc w:val="center"/>
            </w:pPr>
            <w:r w:rsidRPr="00057555">
              <w:rPr>
                <w:color w:val="000000"/>
              </w:rPr>
              <w:t>0.2</w:t>
            </w:r>
          </w:p>
        </w:tc>
        <w:tc>
          <w:tcPr>
            <w:tcW w:w="1119" w:type="dxa"/>
            <w:shd w:val="clear" w:color="auto" w:fill="auto"/>
            <w:vAlign w:val="center"/>
          </w:tcPr>
          <w:p w14:paraId="19B701B5" w14:textId="66B18DDC" w:rsidR="00057555" w:rsidRPr="00057555" w:rsidRDefault="00057555" w:rsidP="00057555">
            <w:pPr>
              <w:jc w:val="center"/>
            </w:pPr>
            <w:r w:rsidRPr="00057555">
              <w:rPr>
                <w:color w:val="000000"/>
              </w:rPr>
              <w:t>2.084</w:t>
            </w:r>
          </w:p>
        </w:tc>
        <w:tc>
          <w:tcPr>
            <w:tcW w:w="1207" w:type="dxa"/>
            <w:shd w:val="clear" w:color="auto" w:fill="auto"/>
            <w:vAlign w:val="center"/>
          </w:tcPr>
          <w:p w14:paraId="1CC94117" w14:textId="345809DA" w:rsidR="00057555" w:rsidRPr="00057555" w:rsidRDefault="00057555" w:rsidP="00057555">
            <w:pPr>
              <w:jc w:val="center"/>
            </w:pPr>
            <w:r w:rsidRPr="00057555">
              <w:rPr>
                <w:color w:val="000000"/>
              </w:rPr>
              <w:t>0.019**</w:t>
            </w:r>
          </w:p>
        </w:tc>
        <w:tc>
          <w:tcPr>
            <w:tcW w:w="1256" w:type="dxa"/>
            <w:shd w:val="clear" w:color="auto" w:fill="auto"/>
            <w:vAlign w:val="center"/>
          </w:tcPr>
          <w:p w14:paraId="6FD2DC01" w14:textId="0C3EBFC1" w:rsidR="00057555" w:rsidRPr="00057555" w:rsidRDefault="00057555" w:rsidP="00057555">
            <w:pPr>
              <w:rPr>
                <w:i/>
              </w:rPr>
            </w:pPr>
            <w:r w:rsidRPr="00057555">
              <w:rPr>
                <w:color w:val="000000"/>
              </w:rPr>
              <w:t>Supported</w:t>
            </w:r>
          </w:p>
        </w:tc>
      </w:tr>
      <w:tr w:rsidR="00057555" w14:paraId="0F052E14" w14:textId="77777777" w:rsidTr="00057555">
        <w:trPr>
          <w:trHeight w:val="730"/>
        </w:trPr>
        <w:tc>
          <w:tcPr>
            <w:tcW w:w="736" w:type="dxa"/>
            <w:shd w:val="clear" w:color="auto" w:fill="auto"/>
          </w:tcPr>
          <w:p w14:paraId="7E7CC285" w14:textId="77777777" w:rsidR="00057555" w:rsidRDefault="00057555" w:rsidP="00057555">
            <w:pPr>
              <w:rPr>
                <w:i/>
              </w:rPr>
            </w:pPr>
            <w:r>
              <w:rPr>
                <w:i/>
              </w:rPr>
              <w:t>H</w:t>
            </w:r>
            <w:r w:rsidRPr="00F07EEA">
              <w:rPr>
                <w:i/>
                <w:vertAlign w:val="subscript"/>
              </w:rPr>
              <w:t>9</w:t>
            </w:r>
          </w:p>
        </w:tc>
        <w:tc>
          <w:tcPr>
            <w:tcW w:w="2992" w:type="dxa"/>
            <w:shd w:val="clear" w:color="auto" w:fill="auto"/>
            <w:vAlign w:val="center"/>
          </w:tcPr>
          <w:p w14:paraId="133F75A2" w14:textId="18512A76" w:rsidR="00057555" w:rsidRPr="00057555" w:rsidRDefault="00057555" w:rsidP="00057555">
            <w:r w:rsidRPr="00057555">
              <w:rPr>
                <w:color w:val="000000"/>
              </w:rPr>
              <w:t>Community-Based Tourism mediates the positive effect of Collaboration on Sustainable Tourism</w:t>
            </w:r>
          </w:p>
        </w:tc>
        <w:tc>
          <w:tcPr>
            <w:tcW w:w="1239" w:type="dxa"/>
            <w:shd w:val="clear" w:color="auto" w:fill="auto"/>
            <w:vAlign w:val="center"/>
          </w:tcPr>
          <w:p w14:paraId="04909183" w14:textId="52F843CB" w:rsidR="00057555" w:rsidRPr="00057555" w:rsidRDefault="00057555" w:rsidP="00057555">
            <w:pPr>
              <w:jc w:val="center"/>
            </w:pPr>
            <w:r w:rsidRPr="00057555">
              <w:rPr>
                <w:color w:val="000000"/>
              </w:rPr>
              <w:t>-0.066</w:t>
            </w:r>
          </w:p>
        </w:tc>
        <w:tc>
          <w:tcPr>
            <w:tcW w:w="1119" w:type="dxa"/>
            <w:shd w:val="clear" w:color="auto" w:fill="auto"/>
            <w:vAlign w:val="center"/>
          </w:tcPr>
          <w:p w14:paraId="392AF0E8" w14:textId="526E6D4D" w:rsidR="00057555" w:rsidRPr="00057555" w:rsidRDefault="00057555" w:rsidP="00057555">
            <w:pPr>
              <w:jc w:val="center"/>
            </w:pPr>
            <w:r w:rsidRPr="00057555">
              <w:rPr>
                <w:color w:val="000000"/>
              </w:rPr>
              <w:t>0.811</w:t>
            </w:r>
          </w:p>
        </w:tc>
        <w:tc>
          <w:tcPr>
            <w:tcW w:w="1207" w:type="dxa"/>
            <w:shd w:val="clear" w:color="auto" w:fill="auto"/>
            <w:vAlign w:val="center"/>
          </w:tcPr>
          <w:p w14:paraId="3F68D577" w14:textId="23B2CB90" w:rsidR="00057555" w:rsidRPr="00057555" w:rsidRDefault="00057555" w:rsidP="00057555">
            <w:pPr>
              <w:jc w:val="center"/>
            </w:pPr>
            <w:r w:rsidRPr="00057555">
              <w:rPr>
                <w:color w:val="000000"/>
              </w:rPr>
              <w:t>0.209</w:t>
            </w:r>
          </w:p>
        </w:tc>
        <w:tc>
          <w:tcPr>
            <w:tcW w:w="1256" w:type="dxa"/>
            <w:shd w:val="clear" w:color="auto" w:fill="auto"/>
            <w:vAlign w:val="center"/>
          </w:tcPr>
          <w:p w14:paraId="1A60CF80" w14:textId="0EB60804" w:rsidR="00057555" w:rsidRPr="00057555" w:rsidRDefault="00057555" w:rsidP="00057555">
            <w:pPr>
              <w:rPr>
                <w:i/>
              </w:rPr>
            </w:pPr>
            <w:r w:rsidRPr="00057555">
              <w:rPr>
                <w:color w:val="000000"/>
              </w:rPr>
              <w:t>Not Supported</w:t>
            </w:r>
          </w:p>
        </w:tc>
      </w:tr>
      <w:tr w:rsidR="00057555" w14:paraId="43E42916" w14:textId="77777777" w:rsidTr="00057555">
        <w:trPr>
          <w:trHeight w:val="730"/>
        </w:trPr>
        <w:tc>
          <w:tcPr>
            <w:tcW w:w="736" w:type="dxa"/>
            <w:shd w:val="clear" w:color="auto" w:fill="auto"/>
          </w:tcPr>
          <w:p w14:paraId="54C5812B" w14:textId="77777777" w:rsidR="00057555" w:rsidRDefault="00057555" w:rsidP="00057555">
            <w:pPr>
              <w:rPr>
                <w:i/>
              </w:rPr>
            </w:pPr>
            <w:r>
              <w:rPr>
                <w:i/>
              </w:rPr>
              <w:t>H</w:t>
            </w:r>
            <w:r w:rsidRPr="00F07EEA">
              <w:rPr>
                <w:i/>
                <w:vertAlign w:val="subscript"/>
              </w:rPr>
              <w:t>10</w:t>
            </w:r>
          </w:p>
        </w:tc>
        <w:tc>
          <w:tcPr>
            <w:tcW w:w="2992" w:type="dxa"/>
            <w:shd w:val="clear" w:color="auto" w:fill="auto"/>
            <w:vAlign w:val="center"/>
          </w:tcPr>
          <w:p w14:paraId="37F92889" w14:textId="52C50D40" w:rsidR="00057555" w:rsidRPr="00057555" w:rsidRDefault="00057555" w:rsidP="00057555">
            <w:r w:rsidRPr="00057555">
              <w:rPr>
                <w:color w:val="000000"/>
              </w:rPr>
              <w:t>Community-Based Tourism mediates the positive effect of Innovative Leadership on Sustainable Tourism</w:t>
            </w:r>
          </w:p>
        </w:tc>
        <w:tc>
          <w:tcPr>
            <w:tcW w:w="1239" w:type="dxa"/>
            <w:shd w:val="clear" w:color="auto" w:fill="auto"/>
            <w:vAlign w:val="center"/>
          </w:tcPr>
          <w:p w14:paraId="6C94E868" w14:textId="730DF1DA" w:rsidR="00057555" w:rsidRPr="00057555" w:rsidRDefault="00057555" w:rsidP="00057555">
            <w:pPr>
              <w:jc w:val="center"/>
            </w:pPr>
            <w:r w:rsidRPr="00057555">
              <w:rPr>
                <w:color w:val="000000"/>
              </w:rPr>
              <w:t>-0.152</w:t>
            </w:r>
          </w:p>
        </w:tc>
        <w:tc>
          <w:tcPr>
            <w:tcW w:w="1119" w:type="dxa"/>
            <w:shd w:val="clear" w:color="auto" w:fill="auto"/>
            <w:vAlign w:val="center"/>
          </w:tcPr>
          <w:p w14:paraId="27A4D96A" w14:textId="2D8DA580" w:rsidR="00057555" w:rsidRPr="00057555" w:rsidRDefault="00057555" w:rsidP="00057555">
            <w:pPr>
              <w:jc w:val="center"/>
            </w:pPr>
            <w:r w:rsidRPr="00057555">
              <w:rPr>
                <w:color w:val="000000"/>
              </w:rPr>
              <w:t>2.968</w:t>
            </w:r>
          </w:p>
        </w:tc>
        <w:tc>
          <w:tcPr>
            <w:tcW w:w="1207" w:type="dxa"/>
            <w:shd w:val="clear" w:color="auto" w:fill="auto"/>
            <w:vAlign w:val="center"/>
          </w:tcPr>
          <w:p w14:paraId="7A358641" w14:textId="24D27FDF" w:rsidR="00057555" w:rsidRPr="00057555" w:rsidRDefault="00057555" w:rsidP="00057555">
            <w:pPr>
              <w:jc w:val="center"/>
            </w:pPr>
            <w:r w:rsidRPr="00057555">
              <w:rPr>
                <w:color w:val="000000"/>
              </w:rPr>
              <w:t>0.002</w:t>
            </w:r>
          </w:p>
        </w:tc>
        <w:tc>
          <w:tcPr>
            <w:tcW w:w="1256" w:type="dxa"/>
            <w:shd w:val="clear" w:color="auto" w:fill="auto"/>
            <w:vAlign w:val="center"/>
          </w:tcPr>
          <w:p w14:paraId="726C6824" w14:textId="6859C7AE" w:rsidR="00057555" w:rsidRPr="00057555" w:rsidRDefault="00057555" w:rsidP="00057555">
            <w:pPr>
              <w:rPr>
                <w:i/>
              </w:rPr>
            </w:pPr>
            <w:r w:rsidRPr="00057555">
              <w:rPr>
                <w:color w:val="000000"/>
              </w:rPr>
              <w:t>Not Supported</w:t>
            </w:r>
          </w:p>
        </w:tc>
      </w:tr>
      <w:tr w:rsidR="00057555" w14:paraId="114AE8A6" w14:textId="77777777" w:rsidTr="00057555">
        <w:trPr>
          <w:trHeight w:val="730"/>
        </w:trPr>
        <w:tc>
          <w:tcPr>
            <w:tcW w:w="736" w:type="dxa"/>
            <w:shd w:val="clear" w:color="auto" w:fill="auto"/>
          </w:tcPr>
          <w:p w14:paraId="2308FC26" w14:textId="77777777" w:rsidR="00057555" w:rsidRDefault="00057555" w:rsidP="00057555">
            <w:pPr>
              <w:rPr>
                <w:i/>
              </w:rPr>
            </w:pPr>
            <w:r>
              <w:rPr>
                <w:i/>
              </w:rPr>
              <w:t>H</w:t>
            </w:r>
            <w:r w:rsidRPr="00F07EEA">
              <w:rPr>
                <w:i/>
                <w:vertAlign w:val="subscript"/>
              </w:rPr>
              <w:t>11</w:t>
            </w:r>
          </w:p>
        </w:tc>
        <w:tc>
          <w:tcPr>
            <w:tcW w:w="2992" w:type="dxa"/>
            <w:shd w:val="clear" w:color="auto" w:fill="auto"/>
            <w:vAlign w:val="center"/>
          </w:tcPr>
          <w:p w14:paraId="2ABDF866" w14:textId="712A80FA" w:rsidR="00057555" w:rsidRPr="00057555" w:rsidRDefault="00057555" w:rsidP="00057555">
            <w:r w:rsidRPr="00057555">
              <w:rPr>
                <w:color w:val="000000"/>
              </w:rPr>
              <w:t>The effect of Collaboration on Community-Based Tourism is moderated by Government Policy</w:t>
            </w:r>
          </w:p>
        </w:tc>
        <w:tc>
          <w:tcPr>
            <w:tcW w:w="1239" w:type="dxa"/>
            <w:shd w:val="clear" w:color="auto" w:fill="auto"/>
            <w:vAlign w:val="center"/>
          </w:tcPr>
          <w:p w14:paraId="54EF3C8B" w14:textId="3067E6EB" w:rsidR="00057555" w:rsidRPr="00057555" w:rsidRDefault="00057555" w:rsidP="00057555">
            <w:pPr>
              <w:jc w:val="center"/>
            </w:pPr>
            <w:r w:rsidRPr="00057555">
              <w:rPr>
                <w:color w:val="000000"/>
              </w:rPr>
              <w:t>0.086</w:t>
            </w:r>
          </w:p>
        </w:tc>
        <w:tc>
          <w:tcPr>
            <w:tcW w:w="1119" w:type="dxa"/>
            <w:shd w:val="clear" w:color="auto" w:fill="auto"/>
            <w:vAlign w:val="center"/>
          </w:tcPr>
          <w:p w14:paraId="78F27204" w14:textId="6ABB3718" w:rsidR="00057555" w:rsidRPr="00057555" w:rsidRDefault="00057555" w:rsidP="00057555">
            <w:pPr>
              <w:jc w:val="center"/>
            </w:pPr>
            <w:r w:rsidRPr="00057555">
              <w:rPr>
                <w:color w:val="000000"/>
              </w:rPr>
              <w:t>1.638</w:t>
            </w:r>
          </w:p>
        </w:tc>
        <w:tc>
          <w:tcPr>
            <w:tcW w:w="1207" w:type="dxa"/>
            <w:shd w:val="clear" w:color="auto" w:fill="auto"/>
            <w:vAlign w:val="center"/>
          </w:tcPr>
          <w:p w14:paraId="080CF546" w14:textId="71C2D489" w:rsidR="00057555" w:rsidRPr="00057555" w:rsidRDefault="00057555" w:rsidP="00057555">
            <w:pPr>
              <w:jc w:val="center"/>
            </w:pPr>
            <w:r w:rsidRPr="00057555">
              <w:rPr>
                <w:color w:val="000000"/>
              </w:rPr>
              <w:t>0.051*</w:t>
            </w:r>
          </w:p>
        </w:tc>
        <w:tc>
          <w:tcPr>
            <w:tcW w:w="1256" w:type="dxa"/>
            <w:shd w:val="clear" w:color="auto" w:fill="auto"/>
            <w:vAlign w:val="center"/>
          </w:tcPr>
          <w:p w14:paraId="742A2E9B" w14:textId="45007FF7" w:rsidR="00057555" w:rsidRPr="00057555" w:rsidRDefault="00057555" w:rsidP="00057555">
            <w:pPr>
              <w:jc w:val="center"/>
              <w:rPr>
                <w:i/>
              </w:rPr>
            </w:pPr>
            <w:r w:rsidRPr="00057555">
              <w:rPr>
                <w:color w:val="000000"/>
              </w:rPr>
              <w:t>Supported</w:t>
            </w:r>
          </w:p>
        </w:tc>
      </w:tr>
      <w:tr w:rsidR="00057555" w14:paraId="462C1DEB" w14:textId="77777777" w:rsidTr="00057555">
        <w:trPr>
          <w:trHeight w:val="730"/>
        </w:trPr>
        <w:tc>
          <w:tcPr>
            <w:tcW w:w="736" w:type="dxa"/>
            <w:shd w:val="clear" w:color="auto" w:fill="auto"/>
          </w:tcPr>
          <w:p w14:paraId="01CBD0FF" w14:textId="77777777" w:rsidR="00057555" w:rsidRDefault="00057555" w:rsidP="00057555">
            <w:pPr>
              <w:rPr>
                <w:i/>
              </w:rPr>
            </w:pPr>
            <w:r>
              <w:rPr>
                <w:i/>
              </w:rPr>
              <w:t>H</w:t>
            </w:r>
            <w:r w:rsidRPr="00F07EEA">
              <w:rPr>
                <w:i/>
                <w:vertAlign w:val="subscript"/>
              </w:rPr>
              <w:t>12</w:t>
            </w:r>
          </w:p>
        </w:tc>
        <w:tc>
          <w:tcPr>
            <w:tcW w:w="2992" w:type="dxa"/>
            <w:shd w:val="clear" w:color="auto" w:fill="auto"/>
            <w:vAlign w:val="center"/>
          </w:tcPr>
          <w:p w14:paraId="031D6BF4" w14:textId="2F54514A" w:rsidR="00057555" w:rsidRPr="00057555" w:rsidRDefault="00057555" w:rsidP="00057555">
            <w:r w:rsidRPr="00057555">
              <w:rPr>
                <w:color w:val="000000"/>
              </w:rPr>
              <w:t>The effect of Pentahelix synergy on Community-Based Tourism is moderated by Government Policy</w:t>
            </w:r>
          </w:p>
        </w:tc>
        <w:tc>
          <w:tcPr>
            <w:tcW w:w="1239" w:type="dxa"/>
            <w:shd w:val="clear" w:color="auto" w:fill="auto"/>
            <w:vAlign w:val="center"/>
          </w:tcPr>
          <w:p w14:paraId="1AC334A8" w14:textId="575EC0AE" w:rsidR="00057555" w:rsidRPr="00057555" w:rsidRDefault="00057555" w:rsidP="00057555">
            <w:pPr>
              <w:jc w:val="center"/>
            </w:pPr>
            <w:r w:rsidRPr="00057555">
              <w:rPr>
                <w:color w:val="000000"/>
              </w:rPr>
              <w:t>0.172</w:t>
            </w:r>
          </w:p>
        </w:tc>
        <w:tc>
          <w:tcPr>
            <w:tcW w:w="1119" w:type="dxa"/>
            <w:shd w:val="clear" w:color="auto" w:fill="auto"/>
            <w:vAlign w:val="center"/>
          </w:tcPr>
          <w:p w14:paraId="4DC7C04E" w14:textId="101A9425" w:rsidR="00057555" w:rsidRPr="00057555" w:rsidRDefault="00057555" w:rsidP="00057555">
            <w:pPr>
              <w:jc w:val="center"/>
            </w:pPr>
            <w:r w:rsidRPr="00057555">
              <w:rPr>
                <w:color w:val="000000"/>
              </w:rPr>
              <w:t>2.489</w:t>
            </w:r>
          </w:p>
        </w:tc>
        <w:tc>
          <w:tcPr>
            <w:tcW w:w="1207" w:type="dxa"/>
            <w:shd w:val="clear" w:color="auto" w:fill="auto"/>
            <w:vAlign w:val="center"/>
          </w:tcPr>
          <w:p w14:paraId="03295A24" w14:textId="548BB589" w:rsidR="00057555" w:rsidRPr="00057555" w:rsidRDefault="00057555" w:rsidP="00057555">
            <w:pPr>
              <w:jc w:val="center"/>
            </w:pPr>
            <w:r w:rsidRPr="00057555">
              <w:rPr>
                <w:color w:val="000000"/>
              </w:rPr>
              <w:t>0.007**</w:t>
            </w:r>
          </w:p>
        </w:tc>
        <w:tc>
          <w:tcPr>
            <w:tcW w:w="1256" w:type="dxa"/>
            <w:shd w:val="clear" w:color="auto" w:fill="auto"/>
            <w:vAlign w:val="center"/>
          </w:tcPr>
          <w:p w14:paraId="6473B679" w14:textId="7DFF1531" w:rsidR="00057555" w:rsidRPr="00057555" w:rsidRDefault="00057555" w:rsidP="00057555">
            <w:pPr>
              <w:jc w:val="center"/>
              <w:rPr>
                <w:i/>
              </w:rPr>
            </w:pPr>
            <w:r w:rsidRPr="00057555">
              <w:rPr>
                <w:color w:val="000000"/>
              </w:rPr>
              <w:t>Supported</w:t>
            </w:r>
          </w:p>
        </w:tc>
      </w:tr>
      <w:tr w:rsidR="00057555" w14:paraId="78A3DF9F" w14:textId="77777777" w:rsidTr="00057555">
        <w:trPr>
          <w:trHeight w:val="730"/>
        </w:trPr>
        <w:tc>
          <w:tcPr>
            <w:tcW w:w="736" w:type="dxa"/>
            <w:shd w:val="clear" w:color="auto" w:fill="auto"/>
          </w:tcPr>
          <w:p w14:paraId="2584A8AC" w14:textId="77777777" w:rsidR="00057555" w:rsidRDefault="00057555" w:rsidP="00057555">
            <w:pPr>
              <w:rPr>
                <w:i/>
              </w:rPr>
            </w:pPr>
            <w:r>
              <w:rPr>
                <w:i/>
              </w:rPr>
              <w:t>H</w:t>
            </w:r>
            <w:r w:rsidRPr="00F07EEA">
              <w:rPr>
                <w:i/>
                <w:vertAlign w:val="subscript"/>
              </w:rPr>
              <w:t>13</w:t>
            </w:r>
          </w:p>
        </w:tc>
        <w:tc>
          <w:tcPr>
            <w:tcW w:w="2992" w:type="dxa"/>
            <w:shd w:val="clear" w:color="auto" w:fill="auto"/>
            <w:vAlign w:val="center"/>
          </w:tcPr>
          <w:p w14:paraId="6D47A254" w14:textId="5FE7DCF1" w:rsidR="00057555" w:rsidRPr="00057555" w:rsidRDefault="00057555" w:rsidP="00057555">
            <w:r w:rsidRPr="00057555">
              <w:rPr>
                <w:color w:val="000000"/>
              </w:rPr>
              <w:t>The effect of Innovative Leadership on Community-Based Tourism is moderated by Government Policy</w:t>
            </w:r>
          </w:p>
        </w:tc>
        <w:tc>
          <w:tcPr>
            <w:tcW w:w="1239" w:type="dxa"/>
            <w:shd w:val="clear" w:color="auto" w:fill="auto"/>
            <w:vAlign w:val="center"/>
          </w:tcPr>
          <w:p w14:paraId="702B542B" w14:textId="602F57AE" w:rsidR="00057555" w:rsidRPr="00057555" w:rsidRDefault="00057555" w:rsidP="00057555">
            <w:pPr>
              <w:jc w:val="center"/>
            </w:pPr>
            <w:r w:rsidRPr="00057555">
              <w:rPr>
                <w:color w:val="000000"/>
              </w:rPr>
              <w:t>0.136</w:t>
            </w:r>
          </w:p>
        </w:tc>
        <w:tc>
          <w:tcPr>
            <w:tcW w:w="1119" w:type="dxa"/>
            <w:shd w:val="clear" w:color="auto" w:fill="auto"/>
            <w:vAlign w:val="center"/>
          </w:tcPr>
          <w:p w14:paraId="4948E5F0" w14:textId="20571171" w:rsidR="00057555" w:rsidRPr="00057555" w:rsidRDefault="00057555" w:rsidP="00057555">
            <w:pPr>
              <w:jc w:val="center"/>
            </w:pPr>
            <w:r w:rsidRPr="00057555">
              <w:rPr>
                <w:color w:val="000000"/>
              </w:rPr>
              <w:t>3.405</w:t>
            </w:r>
          </w:p>
        </w:tc>
        <w:tc>
          <w:tcPr>
            <w:tcW w:w="1207" w:type="dxa"/>
            <w:shd w:val="clear" w:color="auto" w:fill="auto"/>
            <w:vAlign w:val="center"/>
          </w:tcPr>
          <w:p w14:paraId="0CAA0CD2" w14:textId="36DFD3F2" w:rsidR="00057555" w:rsidRPr="00057555" w:rsidRDefault="00057555" w:rsidP="00057555">
            <w:pPr>
              <w:jc w:val="center"/>
            </w:pPr>
            <w:r w:rsidRPr="00057555">
              <w:rPr>
                <w:color w:val="000000"/>
              </w:rPr>
              <w:t>0.000**</w:t>
            </w:r>
          </w:p>
        </w:tc>
        <w:tc>
          <w:tcPr>
            <w:tcW w:w="1256" w:type="dxa"/>
            <w:shd w:val="clear" w:color="auto" w:fill="auto"/>
            <w:vAlign w:val="center"/>
          </w:tcPr>
          <w:p w14:paraId="72BA8597" w14:textId="090C43B1" w:rsidR="00057555" w:rsidRPr="00057555" w:rsidRDefault="00057555" w:rsidP="00057555">
            <w:pPr>
              <w:jc w:val="center"/>
              <w:rPr>
                <w:i/>
              </w:rPr>
            </w:pPr>
            <w:r w:rsidRPr="00057555">
              <w:rPr>
                <w:color w:val="000000"/>
              </w:rPr>
              <w:t>Supported</w:t>
            </w:r>
          </w:p>
        </w:tc>
      </w:tr>
    </w:tbl>
    <w:p w14:paraId="15C14229" w14:textId="764D2ACC" w:rsidR="008547DC" w:rsidRPr="0037792B" w:rsidRDefault="0037792B" w:rsidP="009D2CB6">
      <w:pPr>
        <w:spacing w:line="360" w:lineRule="auto"/>
        <w:jc w:val="both"/>
        <w:rPr>
          <w:b/>
          <w:i/>
          <w:iCs/>
        </w:rPr>
      </w:pPr>
      <w:r w:rsidRPr="0037792B">
        <w:rPr>
          <w:b/>
          <w:i/>
          <w:iCs/>
        </w:rPr>
        <w:t>*Source : Data Processed</w:t>
      </w:r>
    </w:p>
    <w:p w14:paraId="102E4B32" w14:textId="77777777" w:rsidR="009C31D7" w:rsidRDefault="005040E8" w:rsidP="009D2CB6">
      <w:pPr>
        <w:spacing w:line="360" w:lineRule="auto"/>
        <w:jc w:val="both"/>
        <w:rPr>
          <w:b/>
        </w:rPr>
      </w:pPr>
      <w:r>
        <w:rPr>
          <w:b/>
        </w:rPr>
        <w:lastRenderedPageBreak/>
        <w:t>Discussion</w:t>
      </w:r>
    </w:p>
    <w:p w14:paraId="0355FC59" w14:textId="6E65966A" w:rsidR="00057555" w:rsidRPr="00057555" w:rsidRDefault="00057555" w:rsidP="00057555">
      <w:pPr>
        <w:ind w:firstLine="720"/>
        <w:jc w:val="both"/>
        <w:rPr>
          <w:bCs/>
          <w:lang w:val="id-ID"/>
        </w:rPr>
      </w:pPr>
      <w:r w:rsidRPr="00057555">
        <w:rPr>
          <w:bCs/>
          <w:lang w:val="id-ID"/>
        </w:rPr>
        <w:t>The results of this study underscore the crucial role of collaboration among stakeholders in supporting the development of Community-Based Tourism (CBT). Effective collaboration among the government, local communities, and the private sector was found to have a significant impact on tourism sustainability. This finding aligns with previous research [</w:t>
      </w:r>
      <w:r w:rsidR="00361403">
        <w:rPr>
          <w:bCs/>
          <w:lang w:val="id-ID"/>
        </w:rPr>
        <w:t>35</w:t>
      </w:r>
      <w:r w:rsidRPr="00057555">
        <w:rPr>
          <w:bCs/>
          <w:lang w:val="id-ID"/>
        </w:rPr>
        <w:t>], [2</w:t>
      </w:r>
      <w:r w:rsidR="00361403">
        <w:rPr>
          <w:bCs/>
          <w:lang w:val="id-ID"/>
        </w:rPr>
        <w:t>2</w:t>
      </w:r>
      <w:r w:rsidRPr="00057555">
        <w:rPr>
          <w:bCs/>
          <w:lang w:val="id-ID"/>
        </w:rPr>
        <w:t>], which demonstrated that active community involvement and cross-sectoral cooperation directly contribute to increased tourist visits, local income, and the preservation of environmental and cultural values. Thus, collaboration affects not only economic outcomes but also strengthens the social and ecological foundations essential to sustainable destination management.</w:t>
      </w:r>
    </w:p>
    <w:p w14:paraId="6F26F0A0" w14:textId="6DFD9229" w:rsidR="00057555" w:rsidRPr="00057555" w:rsidRDefault="00057555" w:rsidP="00057555">
      <w:pPr>
        <w:ind w:firstLine="720"/>
        <w:jc w:val="both"/>
        <w:rPr>
          <w:bCs/>
          <w:lang w:val="id-ID"/>
        </w:rPr>
      </w:pPr>
      <w:r w:rsidRPr="00057555">
        <w:rPr>
          <w:bCs/>
          <w:lang w:val="id-ID"/>
        </w:rPr>
        <w:t>Furthermore, this study confirms that the Pentahelix synergy—involving five key actors: government, communities, academia, businesses, and the media—has a significant influence on the effectiveness of CBT. This approach enhances coordination and integration among stakeholders in planning and managing destinations in an inclusive and adaptive manner, as emphasized in [</w:t>
      </w:r>
      <w:r w:rsidR="00361403">
        <w:rPr>
          <w:bCs/>
          <w:lang w:val="id-ID"/>
        </w:rPr>
        <w:t>2</w:t>
      </w:r>
      <w:r w:rsidRPr="00057555">
        <w:rPr>
          <w:bCs/>
          <w:lang w:val="id-ID"/>
        </w:rPr>
        <w:t>3]. The synergy supports infrastructure development, expands tourism information dissemination through media, and boosts community engagement in environmental and cultural preservation, thus reinforcing long-term economic, social, and ecological objectives.</w:t>
      </w:r>
    </w:p>
    <w:p w14:paraId="093E6C14" w14:textId="68EBDAB3" w:rsidR="00057555" w:rsidRPr="00057555" w:rsidRDefault="00057555" w:rsidP="00057555">
      <w:pPr>
        <w:ind w:firstLine="720"/>
        <w:jc w:val="both"/>
        <w:rPr>
          <w:bCs/>
          <w:lang w:val="id-ID"/>
        </w:rPr>
      </w:pPr>
      <w:r w:rsidRPr="00057555">
        <w:rPr>
          <w:bCs/>
          <w:lang w:val="id-ID"/>
        </w:rPr>
        <w:t>The findings also highlight the strategic role of innovative leadership in optimizing effective and sustainable CBT development. Innovative leaders are not only capable of responding to local challenges with creative solutions but also identifying new opportunities that generate positive economic and social impacts. As discussed in [</w:t>
      </w:r>
      <w:r w:rsidR="00361403">
        <w:rPr>
          <w:bCs/>
          <w:lang w:val="id-ID"/>
        </w:rPr>
        <w:t>1</w:t>
      </w:r>
      <w:r w:rsidRPr="00057555">
        <w:rPr>
          <w:bCs/>
          <w:lang w:val="id-ID"/>
        </w:rPr>
        <w:t>4], [</w:t>
      </w:r>
      <w:r w:rsidR="00361403">
        <w:rPr>
          <w:bCs/>
          <w:lang w:val="id-ID"/>
        </w:rPr>
        <w:t>1</w:t>
      </w:r>
      <w:r w:rsidRPr="00057555">
        <w:rPr>
          <w:bCs/>
          <w:lang w:val="id-ID"/>
        </w:rPr>
        <w:t>5], such leadership facilitates the adoption of technology and new strategies for managing community-based tourism destinations. A practical example is presented in [</w:t>
      </w:r>
      <w:r w:rsidR="00361403">
        <w:rPr>
          <w:bCs/>
          <w:lang w:val="id-ID"/>
        </w:rPr>
        <w:t>2</w:t>
      </w:r>
      <w:r w:rsidRPr="00057555">
        <w:rPr>
          <w:bCs/>
          <w:lang w:val="id-ID"/>
        </w:rPr>
        <w:t>6], [</w:t>
      </w:r>
      <w:r w:rsidR="00361403">
        <w:rPr>
          <w:bCs/>
          <w:lang w:val="id-ID"/>
        </w:rPr>
        <w:t>3</w:t>
      </w:r>
      <w:r w:rsidRPr="00057555">
        <w:rPr>
          <w:bCs/>
          <w:lang w:val="id-ID"/>
        </w:rPr>
        <w:t>7], where village heads exhibiting innovative leadership successfully initiated programs rooted in local wisdom, which in turn stimulated community participation and opened new entrepreneurial avenues.</w:t>
      </w:r>
    </w:p>
    <w:p w14:paraId="2E27B64B" w14:textId="77777777" w:rsidR="00057555" w:rsidRPr="00057555" w:rsidRDefault="00057555" w:rsidP="00057555">
      <w:pPr>
        <w:ind w:firstLine="720"/>
        <w:jc w:val="both"/>
        <w:rPr>
          <w:bCs/>
          <w:lang w:val="id-ID"/>
        </w:rPr>
      </w:pPr>
      <w:r w:rsidRPr="00057555">
        <w:rPr>
          <w:bCs/>
          <w:lang w:val="id-ID"/>
        </w:rPr>
        <w:t>Moreover, the study reinforces that CBT is closely aligned with the principles of sustainable tourism, particularly in empowering communities, preserving cultural heritage, and managing the environment. Previous studies [8], [9] affirm that community involvement in CBT fosters the implementation of environmentally friendly practices and cultural conservation. Miller and Liu [10] found that CBT also raises environmental awareness through tangible actions such as waste management and energy conservation, while promoting fairer economic benefit distribution. Therefore, CBT can be viewed not only as an economic empowerment tool but also as a strategic governance model for inclusive and sustainable destination management.</w:t>
      </w:r>
    </w:p>
    <w:p w14:paraId="5E5C0373" w14:textId="77777777" w:rsidR="00057555" w:rsidRPr="00057555" w:rsidRDefault="00057555" w:rsidP="00057555">
      <w:pPr>
        <w:ind w:firstLine="720"/>
        <w:jc w:val="both"/>
        <w:rPr>
          <w:bCs/>
          <w:lang w:val="id-ID"/>
        </w:rPr>
      </w:pPr>
      <w:r w:rsidRPr="00057555">
        <w:rPr>
          <w:bCs/>
          <w:lang w:val="id-ID"/>
        </w:rPr>
        <w:t>Nevertheless, several challenges persist in the implementation of collaborative approaches. Research by Ritchie and Crouch [11] and Hall and Gössling [12] indicates that unstructured collaboration and ineffective coordination often fail to produce the intended impact. Diverging interests between the public and private sectors, along with insufficient community involvement, have been identified as key barriers [13], [14]. Therefore, it is necessary to strengthen coordination structures and establish more inclusive collaboration platforms.</w:t>
      </w:r>
    </w:p>
    <w:p w14:paraId="2D6EDD87" w14:textId="77777777" w:rsidR="00057555" w:rsidRPr="00057555" w:rsidRDefault="00057555" w:rsidP="00057555">
      <w:pPr>
        <w:ind w:firstLine="720"/>
        <w:jc w:val="both"/>
        <w:rPr>
          <w:bCs/>
          <w:lang w:val="id-ID"/>
        </w:rPr>
      </w:pPr>
      <w:r w:rsidRPr="00057555">
        <w:rPr>
          <w:bCs/>
          <w:lang w:val="id-ID"/>
        </w:rPr>
        <w:t>Similarly, while the Pentahelix model is regarded as a strategic approach to sustainable tourism, its effectiveness is often hindered by conflicting stakeholder priorities. Chien and Lee [15] and Garcia and Roy [16] emphasize that poor communication and a lack of shared vision among actors present significant obstacles. Tan et al. [17] further assert that misaligned objectives within the synergy may ultimately undermine sustainability efforts. Hence, a clearly defined roadmap and enhanced institutional capacity at the local level are required to improve the implementation of the Pentahelix model.</w:t>
      </w:r>
    </w:p>
    <w:p w14:paraId="26B29F85" w14:textId="478A96D5" w:rsidR="0037792B" w:rsidRDefault="00057555" w:rsidP="00057555">
      <w:pPr>
        <w:ind w:firstLine="720"/>
        <w:jc w:val="both"/>
        <w:rPr>
          <w:bCs/>
          <w:lang w:val="id-ID"/>
        </w:rPr>
      </w:pPr>
      <w:r w:rsidRPr="00057555">
        <w:rPr>
          <w:bCs/>
          <w:lang w:val="id-ID"/>
        </w:rPr>
        <w:t xml:space="preserve">Finally, although innovative leadership is considered essential in driving sustainable tourism, its implementation is frequently constrained by weak cross-sectoral </w:t>
      </w:r>
      <w:r w:rsidRPr="00057555">
        <w:rPr>
          <w:bCs/>
          <w:lang w:val="id-ID"/>
        </w:rPr>
        <w:lastRenderedPageBreak/>
        <w:t>support. As noted by Hall and Gössling [12], the success of progressive policies largely depends on strong inter-sectoral backing. In addition, practical limitations such as budget constraints, technological access, and inadequate infrastructure also affect the capacity of local leaders to innovate [17]. Therefore, innovation must be institutionalized within systems that promote community participation and strengthen cross-sectoral coordination to enable sustainable transformation.</w:t>
      </w:r>
      <w:r w:rsidR="0037792B" w:rsidRPr="0037792B">
        <w:rPr>
          <w:bCs/>
          <w:lang w:val="id-ID"/>
        </w:rPr>
        <w:t>.</w:t>
      </w:r>
    </w:p>
    <w:p w14:paraId="6876F705" w14:textId="18187A39" w:rsidR="00F814AF" w:rsidRPr="00F814AF" w:rsidRDefault="00F814AF" w:rsidP="0037792B">
      <w:pPr>
        <w:ind w:firstLine="720"/>
        <w:jc w:val="both"/>
        <w:rPr>
          <w:bCs/>
          <w:lang w:val="id-ID"/>
        </w:rPr>
      </w:pPr>
    </w:p>
    <w:p w14:paraId="065A44A2" w14:textId="39C24E8E" w:rsidR="00A75795" w:rsidRDefault="005040E8" w:rsidP="00F814AF">
      <w:pPr>
        <w:pStyle w:val="Heading2"/>
        <w:spacing w:before="0" w:after="120"/>
        <w:ind w:left="0" w:right="2937"/>
        <w:jc w:val="left"/>
        <w:rPr>
          <w:i w:val="0"/>
        </w:rPr>
      </w:pPr>
      <w:bookmarkStart w:id="9" w:name="_heading=h.17dp8vu" w:colFirst="0" w:colLast="0"/>
      <w:bookmarkEnd w:id="9"/>
      <w:r>
        <w:rPr>
          <w:i w:val="0"/>
        </w:rPr>
        <w:t>CONCLUSION</w:t>
      </w:r>
    </w:p>
    <w:p w14:paraId="0ACFEC28" w14:textId="75E6CBF9" w:rsidR="00057555" w:rsidRDefault="00057555" w:rsidP="00057555">
      <w:pPr>
        <w:ind w:firstLine="720"/>
        <w:jc w:val="both"/>
      </w:pPr>
      <w:r>
        <w:t>The findings of this study reveal that collaboration, Pentahelix synergy, and innovative leadership have a positive and significant impact on the development of Community-Based Tourism (CBT), which subsequently contributes to achieving sustainable tourism. However, while collaboration plays a crucial role in CBT development, its direct effect on tourism sustainability was found to be statistically insignificant. Similarly, both Pentahelix synergy and innovative leadership did not show significant direct impacts on sustainability outcomes. These findings suggest that these variables require supportive mediating or moderating contexts to optimize their contribution to sustainability goals.</w:t>
      </w:r>
    </w:p>
    <w:p w14:paraId="4C7A94F9" w14:textId="0F78330D" w:rsidR="00057555" w:rsidRDefault="00057555" w:rsidP="00057555">
      <w:pPr>
        <w:ind w:firstLine="720"/>
        <w:jc w:val="both"/>
      </w:pPr>
      <w:r>
        <w:t>Specifically, CBT was found to be a significant mediator in the relationship between Pentahelix synergy and sustainable tourism, reinforcing its strategic role as a critical link in transforming tourism development policies and practices at the local level. Furthermore, government policy demonstrated a significant moderating effect in enhancing the influence of collaboration, Pentahelix synergy, and innovative leadership on CBT, thereby accelerating the process of community-based tourism development.</w:t>
      </w:r>
    </w:p>
    <w:p w14:paraId="15B1E9E1" w14:textId="77777777" w:rsidR="00057555" w:rsidRDefault="00057555" w:rsidP="00057555">
      <w:pPr>
        <w:ind w:firstLine="720"/>
        <w:jc w:val="both"/>
      </w:pPr>
      <w:r>
        <w:t>These findings offer important theoretical contributions by emphasizing the necessity of an integrated approach in policy formulation and tourism development strategies, particularly in the context of rural and village tourism. Such an approach not only strengthens stakeholder coordination but also improves the effectiveness of community-based program implementation.</w:t>
      </w:r>
    </w:p>
    <w:p w14:paraId="5BC0397C" w14:textId="7ADFC71E" w:rsidR="00103F78" w:rsidRPr="00103F78" w:rsidRDefault="00057555" w:rsidP="00057555">
      <w:pPr>
        <w:ind w:firstLine="720"/>
        <w:jc w:val="both"/>
      </w:pPr>
      <w:r>
        <w:t>For future research, it is recommended to explore additional moderating variables, such as the capacity of local institutions in managing resources, designing programs, and establishing partnerships. Moreover, increasing the sample size and expanding the geographical coverage of the study would enhance the external validity and allow for broader generalization of findings within the context of sustainable tourism development.</w:t>
      </w:r>
      <w:r w:rsidR="00103F78" w:rsidRPr="00103F78">
        <w:t>.</w:t>
      </w:r>
    </w:p>
    <w:p w14:paraId="51E639B7" w14:textId="77777777" w:rsidR="00103F78" w:rsidRPr="00807F11" w:rsidRDefault="00103F78" w:rsidP="00807F11">
      <w:pPr>
        <w:ind w:firstLine="720"/>
        <w:jc w:val="both"/>
      </w:pPr>
    </w:p>
    <w:p w14:paraId="43C9F170" w14:textId="77777777" w:rsidR="005B5B8D" w:rsidRDefault="005B5B8D" w:rsidP="000C646D">
      <w:pPr>
        <w:jc w:val="center"/>
        <w:rPr>
          <w:b/>
          <w:bCs/>
        </w:rPr>
      </w:pPr>
    </w:p>
    <w:p w14:paraId="7AD67AED" w14:textId="77777777" w:rsidR="005B5B8D" w:rsidRDefault="005B5B8D" w:rsidP="000C646D">
      <w:pPr>
        <w:jc w:val="center"/>
        <w:rPr>
          <w:b/>
          <w:bCs/>
        </w:rPr>
      </w:pPr>
    </w:p>
    <w:p w14:paraId="7D13F6F4" w14:textId="20CE5D9F" w:rsidR="00A75795" w:rsidRDefault="009D2CB6" w:rsidP="000C646D">
      <w:pPr>
        <w:jc w:val="center"/>
        <w:rPr>
          <w:b/>
          <w:bCs/>
        </w:rPr>
      </w:pPr>
      <w:r>
        <w:rPr>
          <w:b/>
          <w:bCs/>
        </w:rPr>
        <w:t>REFFERENCES</w:t>
      </w:r>
    </w:p>
    <w:p w14:paraId="7C39D332" w14:textId="77777777" w:rsidR="00361403" w:rsidRDefault="00361403" w:rsidP="000C646D">
      <w:pPr>
        <w:jc w:val="center"/>
        <w:rPr>
          <w:b/>
          <w:bCs/>
        </w:rPr>
      </w:pPr>
    </w:p>
    <w:p w14:paraId="73C24681" w14:textId="77777777" w:rsidR="00361403" w:rsidRPr="00361403" w:rsidRDefault="00361403" w:rsidP="00361403">
      <w:pPr>
        <w:ind w:left="426" w:hanging="426"/>
        <w:jc w:val="both"/>
      </w:pPr>
      <w:r w:rsidRPr="00361403">
        <w:t>[1] BPS (2023), Statistical Yearbook of Indonesia 2023. Badan Pusat Statistik, Jakarta.</w:t>
      </w:r>
    </w:p>
    <w:p w14:paraId="7F17C11D" w14:textId="77777777" w:rsidR="00361403" w:rsidRPr="00361403" w:rsidRDefault="00361403" w:rsidP="00361403">
      <w:pPr>
        <w:ind w:left="426" w:hanging="426"/>
        <w:jc w:val="both"/>
      </w:pPr>
    </w:p>
    <w:p w14:paraId="4D587849" w14:textId="77777777" w:rsidR="00361403" w:rsidRPr="00361403" w:rsidRDefault="00361403" w:rsidP="00361403">
      <w:pPr>
        <w:ind w:left="426" w:hanging="426"/>
        <w:jc w:val="both"/>
      </w:pPr>
      <w:r w:rsidRPr="00361403">
        <w:t>[2] Jayabaya (2023), Ramalan Jayabaya: Tafsir Kontemporer atas Masa Depan Nusantara, Pustaka Arjuna.</w:t>
      </w:r>
    </w:p>
    <w:p w14:paraId="560B6102" w14:textId="77777777" w:rsidR="00361403" w:rsidRPr="00361403" w:rsidRDefault="00361403" w:rsidP="00361403">
      <w:pPr>
        <w:ind w:left="426" w:hanging="426"/>
        <w:jc w:val="both"/>
      </w:pPr>
    </w:p>
    <w:p w14:paraId="0D95776D" w14:textId="77777777" w:rsidR="00361403" w:rsidRPr="00361403" w:rsidRDefault="00361403" w:rsidP="00361403">
      <w:pPr>
        <w:ind w:left="426" w:hanging="426"/>
        <w:jc w:val="both"/>
      </w:pPr>
      <w:r w:rsidRPr="00361403">
        <w:t>[3] UN Tourism (2024), World Tourism Highlights, United Nations Tourism Organization.</w:t>
      </w:r>
    </w:p>
    <w:p w14:paraId="3A134114" w14:textId="77777777" w:rsidR="00361403" w:rsidRPr="00361403" w:rsidRDefault="00361403" w:rsidP="00361403">
      <w:pPr>
        <w:ind w:left="426" w:hanging="426"/>
        <w:jc w:val="both"/>
      </w:pPr>
    </w:p>
    <w:p w14:paraId="0FB463C0" w14:textId="77777777" w:rsidR="00361403" w:rsidRPr="00361403" w:rsidRDefault="00361403" w:rsidP="00361403">
      <w:pPr>
        <w:ind w:left="426" w:hanging="426"/>
        <w:jc w:val="both"/>
      </w:pPr>
      <w:r w:rsidRPr="00361403">
        <w:t>[4] Sutanto, H., &amp; Gunawan, R. (2021), “Pengelolaan Desa Wisata Berbasis Kearifan Lokal,” Jurnal Pariwisata dan Perdesaan, 12(1), 15–28.</w:t>
      </w:r>
    </w:p>
    <w:p w14:paraId="16637B2B" w14:textId="77777777" w:rsidR="00361403" w:rsidRPr="00361403" w:rsidRDefault="00361403" w:rsidP="00361403">
      <w:pPr>
        <w:ind w:left="426" w:hanging="426"/>
        <w:jc w:val="both"/>
      </w:pPr>
    </w:p>
    <w:p w14:paraId="0178DFDD" w14:textId="77777777" w:rsidR="00361403" w:rsidRPr="00361403" w:rsidRDefault="00361403" w:rsidP="00361403">
      <w:pPr>
        <w:ind w:left="426" w:hanging="426"/>
        <w:jc w:val="both"/>
      </w:pPr>
      <w:r w:rsidRPr="00361403">
        <w:t>[5] Richards, G., &amp; Hall, D. (2000), Tourism and Sustainable Community Development. Routledge.</w:t>
      </w:r>
    </w:p>
    <w:p w14:paraId="1530E074" w14:textId="77777777" w:rsidR="00361403" w:rsidRPr="00361403" w:rsidRDefault="00361403" w:rsidP="00361403">
      <w:pPr>
        <w:ind w:left="426" w:hanging="426"/>
        <w:jc w:val="both"/>
      </w:pPr>
    </w:p>
    <w:p w14:paraId="0F1F7A57" w14:textId="77777777" w:rsidR="00361403" w:rsidRPr="00361403" w:rsidRDefault="00361403" w:rsidP="00361403">
      <w:pPr>
        <w:ind w:left="426" w:hanging="426"/>
        <w:jc w:val="both"/>
      </w:pPr>
      <w:r w:rsidRPr="00361403">
        <w:t xml:space="preserve">[6] Santos, C. A., &amp; Telfer, D. J. (2016), Tourism and Development in the Global South: </w:t>
      </w:r>
      <w:r w:rsidRPr="00361403">
        <w:lastRenderedPageBreak/>
        <w:t>The Issues. Routledge.</w:t>
      </w:r>
    </w:p>
    <w:p w14:paraId="45A5236D" w14:textId="77777777" w:rsidR="00361403" w:rsidRPr="00361403" w:rsidRDefault="00361403" w:rsidP="00361403">
      <w:pPr>
        <w:ind w:left="426" w:hanging="426"/>
        <w:jc w:val="both"/>
      </w:pPr>
    </w:p>
    <w:p w14:paraId="6B4CD730" w14:textId="77777777" w:rsidR="00361403" w:rsidRPr="00361403" w:rsidRDefault="00361403" w:rsidP="00361403">
      <w:pPr>
        <w:ind w:left="426" w:hanging="426"/>
        <w:jc w:val="both"/>
      </w:pPr>
      <w:r w:rsidRPr="00361403">
        <w:t>[7] Vikaliana, R. (2018), “Analisis Implementasi Balkondes sebagai Strategi Pemberdayaan Ekonomi Desa,” Jurnal Ekonomi dan Pembangunan, 19(2), 131–145.</w:t>
      </w:r>
    </w:p>
    <w:p w14:paraId="7DE832A3" w14:textId="77777777" w:rsidR="00361403" w:rsidRPr="00361403" w:rsidRDefault="00361403" w:rsidP="00361403">
      <w:pPr>
        <w:ind w:left="426" w:hanging="426"/>
        <w:jc w:val="both"/>
      </w:pPr>
    </w:p>
    <w:p w14:paraId="4FEB8E20" w14:textId="77777777" w:rsidR="00361403" w:rsidRPr="00361403" w:rsidRDefault="00361403" w:rsidP="00361403">
      <w:pPr>
        <w:ind w:left="426" w:hanging="426"/>
        <w:jc w:val="both"/>
      </w:pPr>
      <w:r w:rsidRPr="00361403">
        <w:t>[8] Rangkuti, F. (2009), Strategi Promosi yang Kreatif dan Analisis Kasus Integrated Marketing Communication. Gramedia Pustaka Utama, Jakarta.</w:t>
      </w:r>
    </w:p>
    <w:p w14:paraId="1AB845A8" w14:textId="77777777" w:rsidR="00361403" w:rsidRPr="00361403" w:rsidRDefault="00361403" w:rsidP="00361403">
      <w:pPr>
        <w:ind w:left="426" w:hanging="426"/>
        <w:jc w:val="both"/>
      </w:pPr>
    </w:p>
    <w:p w14:paraId="2A550451" w14:textId="77777777" w:rsidR="00361403" w:rsidRPr="00361403" w:rsidRDefault="00361403" w:rsidP="00361403">
      <w:pPr>
        <w:ind w:left="426" w:hanging="426"/>
        <w:jc w:val="both"/>
      </w:pPr>
      <w:r w:rsidRPr="00361403">
        <w:t>[9] Hidayah, N., &amp; Agustinah, S. (2019), “Pengembangan Desa Wisata sebagai Upaya Pengentasan Kemiskinan dan Pelestarian Budaya,” Jurnal Pengabdian Kepada Masyarakat, 2(3), 189–198.</w:t>
      </w:r>
    </w:p>
    <w:p w14:paraId="1A935971" w14:textId="77777777" w:rsidR="00361403" w:rsidRPr="00361403" w:rsidRDefault="00361403" w:rsidP="00361403">
      <w:pPr>
        <w:ind w:left="426" w:hanging="426"/>
        <w:jc w:val="both"/>
      </w:pPr>
    </w:p>
    <w:p w14:paraId="21DAF881" w14:textId="77777777" w:rsidR="00361403" w:rsidRPr="00361403" w:rsidRDefault="00361403" w:rsidP="00361403">
      <w:pPr>
        <w:ind w:left="426" w:hanging="426"/>
        <w:jc w:val="both"/>
      </w:pPr>
      <w:r w:rsidRPr="00361403">
        <w:t>[9] Abreu, N., Teixeira, C., &amp; da Costa, C. (2024), “Rural Tourism Governance: A Framework for Community Involvement,” Journal of Tourism Policy and Research, 10(1), 25–42.</w:t>
      </w:r>
    </w:p>
    <w:p w14:paraId="687C2608" w14:textId="77777777" w:rsidR="00361403" w:rsidRPr="00361403" w:rsidRDefault="00361403" w:rsidP="00361403">
      <w:pPr>
        <w:ind w:left="426" w:hanging="426"/>
        <w:jc w:val="both"/>
      </w:pPr>
    </w:p>
    <w:p w14:paraId="7DCBF172" w14:textId="77777777" w:rsidR="00361403" w:rsidRPr="00361403" w:rsidRDefault="00361403" w:rsidP="00361403">
      <w:pPr>
        <w:ind w:left="426" w:hanging="426"/>
        <w:jc w:val="both"/>
      </w:pPr>
      <w:r w:rsidRPr="00361403">
        <w:t>[10] Llupart, E. (2022), “Leadership for Community-Based Tourism: Enabling Participation and Innovation in Rural Development,” International Journal of Tourism Leadership, 4(1), 61–78.</w:t>
      </w:r>
    </w:p>
    <w:p w14:paraId="13FA9BE0" w14:textId="77777777" w:rsidR="00361403" w:rsidRPr="00361403" w:rsidRDefault="00361403" w:rsidP="00361403">
      <w:pPr>
        <w:ind w:left="426" w:hanging="426"/>
        <w:jc w:val="both"/>
      </w:pPr>
    </w:p>
    <w:p w14:paraId="103AA4CA" w14:textId="77777777" w:rsidR="00361403" w:rsidRPr="00361403" w:rsidRDefault="00361403" w:rsidP="00361403">
      <w:pPr>
        <w:ind w:left="426" w:hanging="426"/>
        <w:jc w:val="both"/>
      </w:pPr>
      <w:r w:rsidRPr="00361403">
        <w:t>[11] B. Lane, “Sustainable Rural Tourism Strategies: A Tool for Development and Conservation,” Journal of Sustainable Tourism, 2009.</w:t>
      </w:r>
    </w:p>
    <w:p w14:paraId="34D086A4" w14:textId="77777777" w:rsidR="00361403" w:rsidRPr="00361403" w:rsidRDefault="00361403" w:rsidP="00361403">
      <w:pPr>
        <w:ind w:left="426" w:hanging="426"/>
        <w:jc w:val="both"/>
      </w:pPr>
    </w:p>
    <w:p w14:paraId="3ECA1054" w14:textId="77777777" w:rsidR="00361403" w:rsidRPr="00361403" w:rsidRDefault="00361403" w:rsidP="00361403">
      <w:pPr>
        <w:ind w:left="426" w:hanging="426"/>
        <w:jc w:val="both"/>
      </w:pPr>
      <w:r w:rsidRPr="00361403">
        <w:t>[12] S. Cole, “A Political Ecology of Water Equity and Tourism: A Case Study From Bali,” Annals of Tourism Research, 2012.</w:t>
      </w:r>
    </w:p>
    <w:p w14:paraId="68E13CAE" w14:textId="77777777" w:rsidR="00361403" w:rsidRPr="00361403" w:rsidRDefault="00361403" w:rsidP="00361403">
      <w:pPr>
        <w:ind w:left="426" w:hanging="426"/>
        <w:jc w:val="both"/>
      </w:pPr>
    </w:p>
    <w:p w14:paraId="23E1DB12" w14:textId="77777777" w:rsidR="00361403" w:rsidRPr="00361403" w:rsidRDefault="00361403" w:rsidP="00361403">
      <w:pPr>
        <w:ind w:left="426" w:hanging="426"/>
        <w:jc w:val="both"/>
      </w:pPr>
      <w:r w:rsidRPr="00361403">
        <w:t>[13] R. Scheyvens and R. Biddulph, “Inclusive Tourism Development,” Tourism Geographies, 2018.</w:t>
      </w:r>
    </w:p>
    <w:p w14:paraId="2A9DFEAF" w14:textId="77777777" w:rsidR="00361403" w:rsidRPr="00361403" w:rsidRDefault="00361403" w:rsidP="00361403">
      <w:pPr>
        <w:ind w:left="426" w:hanging="426"/>
        <w:jc w:val="both"/>
      </w:pPr>
    </w:p>
    <w:p w14:paraId="0A403B72" w14:textId="77777777" w:rsidR="00361403" w:rsidRPr="00361403" w:rsidRDefault="00361403" w:rsidP="00361403">
      <w:pPr>
        <w:ind w:left="426" w:hanging="426"/>
        <w:jc w:val="both"/>
      </w:pPr>
      <w:r w:rsidRPr="00361403">
        <w:t>[14] D. Tolkach and B. King, “Strengthening Community-Based Tourism in a New Resource-Based Economy,” Tourism Management Perspectives, 2015.</w:t>
      </w:r>
    </w:p>
    <w:p w14:paraId="5D353CE9" w14:textId="77777777" w:rsidR="00361403" w:rsidRPr="00361403" w:rsidRDefault="00361403" w:rsidP="00361403">
      <w:pPr>
        <w:ind w:left="426" w:hanging="426"/>
        <w:jc w:val="both"/>
      </w:pPr>
    </w:p>
    <w:p w14:paraId="5E6E8ED5" w14:textId="77777777" w:rsidR="00361403" w:rsidRPr="00361403" w:rsidRDefault="00361403" w:rsidP="00361403">
      <w:pPr>
        <w:ind w:left="426" w:hanging="426"/>
        <w:jc w:val="both"/>
      </w:pPr>
      <w:r w:rsidRPr="00361403">
        <w:t>[15] E. Okazaki, “A Community-Based Tourism Model: Its Conception and Use,” Journal of Sustainable Tourism, 2008.</w:t>
      </w:r>
    </w:p>
    <w:p w14:paraId="526A7990" w14:textId="77777777" w:rsidR="00361403" w:rsidRPr="00361403" w:rsidRDefault="00361403" w:rsidP="00361403">
      <w:pPr>
        <w:ind w:left="426" w:hanging="426"/>
        <w:jc w:val="both"/>
      </w:pPr>
    </w:p>
    <w:p w14:paraId="59C670A3" w14:textId="77777777" w:rsidR="00361403" w:rsidRPr="00361403" w:rsidRDefault="00361403" w:rsidP="00361403">
      <w:pPr>
        <w:ind w:left="426" w:hanging="426"/>
        <w:jc w:val="both"/>
      </w:pPr>
      <w:r w:rsidRPr="00361403">
        <w:t>[16] M. Novelli, B. Schmitz, and T. Spencer, “Networks, Clusters and Innovation in Tourism: A UK Experience,” Tourism Management, 2006.</w:t>
      </w:r>
    </w:p>
    <w:p w14:paraId="2CDC0990" w14:textId="77777777" w:rsidR="00361403" w:rsidRPr="00361403" w:rsidRDefault="00361403" w:rsidP="00361403">
      <w:pPr>
        <w:ind w:left="426" w:hanging="426"/>
        <w:jc w:val="both"/>
      </w:pPr>
    </w:p>
    <w:p w14:paraId="1067A5D1" w14:textId="77777777" w:rsidR="00361403" w:rsidRPr="00361403" w:rsidRDefault="00361403" w:rsidP="00361403">
      <w:pPr>
        <w:ind w:left="426" w:hanging="426"/>
        <w:jc w:val="both"/>
      </w:pPr>
      <w:r w:rsidRPr="00361403">
        <w:t>[17] Z. Mottiar and B. Quinn, “Is the Dublin Tourism Industry Innovating?,” Tourism Management Perspectives, 2012.</w:t>
      </w:r>
    </w:p>
    <w:p w14:paraId="735107DB" w14:textId="77777777" w:rsidR="00361403" w:rsidRPr="00361403" w:rsidRDefault="00361403" w:rsidP="00361403">
      <w:pPr>
        <w:ind w:left="426" w:hanging="426"/>
        <w:jc w:val="both"/>
      </w:pPr>
    </w:p>
    <w:p w14:paraId="06A760F6" w14:textId="77777777" w:rsidR="00361403" w:rsidRPr="00361403" w:rsidRDefault="00361403" w:rsidP="00361403">
      <w:pPr>
        <w:ind w:left="426" w:hanging="426"/>
        <w:jc w:val="both"/>
      </w:pPr>
      <w:r w:rsidRPr="00361403">
        <w:t>[18] T. Dangi and J. Petrick, “Community-Based Tourism and Sustainable Development,” Sustainability, 2021.</w:t>
      </w:r>
    </w:p>
    <w:p w14:paraId="5E3F6F58" w14:textId="77777777" w:rsidR="00361403" w:rsidRPr="00361403" w:rsidRDefault="00361403" w:rsidP="00361403">
      <w:pPr>
        <w:ind w:left="426" w:hanging="426"/>
        <w:jc w:val="both"/>
      </w:pPr>
    </w:p>
    <w:p w14:paraId="429F62BA" w14:textId="77777777" w:rsidR="00361403" w:rsidRPr="00361403" w:rsidRDefault="00361403" w:rsidP="00361403">
      <w:pPr>
        <w:ind w:left="426" w:hanging="426"/>
        <w:jc w:val="both"/>
      </w:pPr>
      <w:r w:rsidRPr="00361403">
        <w:t>[19] J. Elkington, Cannibals with Forks: The Triple Bottom Line of 21st Century Business, Capstone Publishing, 1997.</w:t>
      </w:r>
    </w:p>
    <w:p w14:paraId="779B58A7" w14:textId="77777777" w:rsidR="00361403" w:rsidRPr="00361403" w:rsidRDefault="00361403" w:rsidP="00361403">
      <w:pPr>
        <w:ind w:left="426" w:hanging="426"/>
        <w:jc w:val="both"/>
      </w:pPr>
    </w:p>
    <w:p w14:paraId="1DA4EBC4" w14:textId="77777777" w:rsidR="00361403" w:rsidRPr="00361403" w:rsidRDefault="00361403" w:rsidP="00361403">
      <w:pPr>
        <w:ind w:left="426" w:hanging="426"/>
        <w:jc w:val="both"/>
      </w:pPr>
      <w:r w:rsidRPr="00361403">
        <w:t>[20] B. Giddings, B. Hopwood, and G. O’Brien, “Environment, Economy and Society: Fitting Them Together into Sustainable Development,” Sustainable Development, vol. 10, no. 4, pp. 187–196, 2002.</w:t>
      </w:r>
    </w:p>
    <w:p w14:paraId="5AF583A9" w14:textId="77777777" w:rsidR="00361403" w:rsidRPr="00361403" w:rsidRDefault="00361403" w:rsidP="00361403">
      <w:pPr>
        <w:ind w:left="426" w:hanging="426"/>
        <w:jc w:val="both"/>
      </w:pPr>
    </w:p>
    <w:p w14:paraId="17C8D2D9" w14:textId="77777777" w:rsidR="00361403" w:rsidRPr="00361403" w:rsidRDefault="00361403" w:rsidP="00361403">
      <w:pPr>
        <w:ind w:left="426" w:hanging="426"/>
        <w:jc w:val="both"/>
      </w:pPr>
      <w:r w:rsidRPr="00361403">
        <w:t>[21] J. Rockström et al., “A Safe Operating Space for Humanity,” Nature, vol. 461, pp. 472–475, 2009.</w:t>
      </w:r>
    </w:p>
    <w:p w14:paraId="0E4D8A41" w14:textId="77777777" w:rsidR="00361403" w:rsidRPr="00361403" w:rsidRDefault="00361403" w:rsidP="00361403">
      <w:pPr>
        <w:ind w:left="426" w:hanging="426"/>
        <w:jc w:val="both"/>
      </w:pPr>
    </w:p>
    <w:p w14:paraId="4FBD94A9" w14:textId="77777777" w:rsidR="00361403" w:rsidRPr="00361403" w:rsidRDefault="00361403" w:rsidP="00361403">
      <w:pPr>
        <w:ind w:left="426" w:hanging="426"/>
        <w:jc w:val="both"/>
      </w:pPr>
      <w:r w:rsidRPr="00361403">
        <w:t>[22] C. Khadour, A. Marzouk, and R. Boukherouaa, “Environmental Sustainability and Biodiversity Conservation,” Environmental Research Letters, vol. 16, no. 12, 2021.</w:t>
      </w:r>
    </w:p>
    <w:p w14:paraId="36FD0850" w14:textId="77777777" w:rsidR="00361403" w:rsidRPr="00361403" w:rsidRDefault="00361403" w:rsidP="00361403">
      <w:pPr>
        <w:ind w:left="426" w:hanging="426"/>
        <w:jc w:val="both"/>
      </w:pPr>
    </w:p>
    <w:p w14:paraId="2434B4A3" w14:textId="77777777" w:rsidR="00361403" w:rsidRPr="00361403" w:rsidRDefault="00361403" w:rsidP="00361403">
      <w:pPr>
        <w:ind w:left="426" w:hanging="426"/>
        <w:jc w:val="both"/>
      </w:pPr>
      <w:r w:rsidRPr="00361403">
        <w:t>[23 ] M. A. Lopez-Cabarcos, D. Perez-Pico, and J. A. Vázquez-Rodriguez, “Corporate Sustainability and Firm Performance: A Holistic Approach,” Sustainability, vol. 13, no. 2, 2021.</w:t>
      </w:r>
    </w:p>
    <w:p w14:paraId="1502A74F" w14:textId="77777777" w:rsidR="00361403" w:rsidRPr="00361403" w:rsidRDefault="00361403" w:rsidP="00361403">
      <w:pPr>
        <w:ind w:left="426" w:hanging="426"/>
        <w:jc w:val="both"/>
      </w:pPr>
    </w:p>
    <w:p w14:paraId="21D9503A" w14:textId="77777777" w:rsidR="00361403" w:rsidRPr="00361403" w:rsidRDefault="00361403" w:rsidP="00361403">
      <w:pPr>
        <w:ind w:left="426" w:hanging="426"/>
        <w:jc w:val="both"/>
      </w:pPr>
      <w:r w:rsidRPr="00361403">
        <w:t>[24] C. Kusherdyana, “Strategic Frameworks for Sustainable Development in Indonesia,” Journal of Policy and Development, vol. 18, no. 1, 2021.</w:t>
      </w:r>
    </w:p>
    <w:p w14:paraId="28E78256" w14:textId="77777777" w:rsidR="00361403" w:rsidRPr="00361403" w:rsidRDefault="00361403" w:rsidP="00361403">
      <w:pPr>
        <w:ind w:left="426" w:hanging="426"/>
        <w:jc w:val="both"/>
      </w:pPr>
    </w:p>
    <w:p w14:paraId="547FD8BC" w14:textId="77777777" w:rsidR="00361403" w:rsidRPr="00361403" w:rsidRDefault="00361403" w:rsidP="00361403">
      <w:pPr>
        <w:ind w:left="426" w:hanging="426"/>
        <w:jc w:val="both"/>
      </w:pPr>
      <w:r w:rsidRPr="00361403">
        <w:t>[25] D. Weaver, Sustainable Tourism: Theory and Practice, 2nd ed., Routledge, 2020.</w:t>
      </w:r>
    </w:p>
    <w:p w14:paraId="47AA86AD" w14:textId="77777777" w:rsidR="00361403" w:rsidRPr="00361403" w:rsidRDefault="00361403" w:rsidP="00361403">
      <w:pPr>
        <w:ind w:left="426" w:hanging="426"/>
        <w:jc w:val="both"/>
      </w:pPr>
    </w:p>
    <w:p w14:paraId="73FD87A4" w14:textId="77777777" w:rsidR="00361403" w:rsidRPr="00361403" w:rsidRDefault="00361403" w:rsidP="00361403">
      <w:pPr>
        <w:ind w:left="426" w:hanging="426"/>
        <w:jc w:val="both"/>
      </w:pPr>
      <w:r w:rsidRPr="00361403">
        <w:t>[26] C. Hunter, “Sustainable Tourism and the Touristic Ecological Footprint,” Journal of Sustainable Tourism, vol. 29, no. 5, pp. 675–690, 2021.</w:t>
      </w:r>
    </w:p>
    <w:p w14:paraId="604994E3" w14:textId="77777777" w:rsidR="00361403" w:rsidRPr="00361403" w:rsidRDefault="00361403" w:rsidP="00361403">
      <w:pPr>
        <w:ind w:left="426" w:hanging="426"/>
        <w:jc w:val="both"/>
      </w:pPr>
    </w:p>
    <w:p w14:paraId="01E1C17A" w14:textId="77777777" w:rsidR="00361403" w:rsidRPr="00361403" w:rsidRDefault="00361403" w:rsidP="00361403">
      <w:pPr>
        <w:ind w:left="426" w:hanging="426"/>
        <w:jc w:val="both"/>
      </w:pPr>
      <w:r w:rsidRPr="00361403">
        <w:t>[27] E. Fayos-Sola, “The Evolution of Tourism Policy and Planning,” Annals of Tourism Research, vol. 90, 2021.</w:t>
      </w:r>
    </w:p>
    <w:p w14:paraId="4CC82635" w14:textId="77777777" w:rsidR="00361403" w:rsidRPr="00361403" w:rsidRDefault="00361403" w:rsidP="00361403">
      <w:pPr>
        <w:ind w:left="426" w:hanging="426"/>
        <w:jc w:val="both"/>
      </w:pPr>
    </w:p>
    <w:p w14:paraId="356EA4A3" w14:textId="77777777" w:rsidR="00361403" w:rsidRPr="00361403" w:rsidRDefault="00361403" w:rsidP="00361403">
      <w:pPr>
        <w:ind w:left="426" w:hanging="426"/>
        <w:jc w:val="both"/>
      </w:pPr>
      <w:r w:rsidRPr="00361403">
        <w:t>[28] C. Tosun, “Limits to Community Participation in the Tourism Development Process in Developing Countries,” Tourism Management, vol. 21, no. 6, pp. 613–633, 2000.</w:t>
      </w:r>
    </w:p>
    <w:p w14:paraId="70AEC27A" w14:textId="77777777" w:rsidR="00361403" w:rsidRPr="00361403" w:rsidRDefault="00361403" w:rsidP="00361403">
      <w:pPr>
        <w:ind w:left="426" w:hanging="426"/>
        <w:jc w:val="both"/>
      </w:pPr>
    </w:p>
    <w:p w14:paraId="7B67A42C" w14:textId="77777777" w:rsidR="00361403" w:rsidRPr="00361403" w:rsidRDefault="00361403" w:rsidP="00361403">
      <w:pPr>
        <w:ind w:left="426" w:hanging="426"/>
        <w:jc w:val="both"/>
      </w:pPr>
      <w:r w:rsidRPr="00361403">
        <w:t>[29] H. Goodwin, “Ethical and Responsible Tourism: Consumer Trends in the UK,” Journal of Vacation Marketing, vol. 9, no. 3, pp. 271–284, 2003.</w:t>
      </w:r>
    </w:p>
    <w:p w14:paraId="521234E1" w14:textId="77777777" w:rsidR="00361403" w:rsidRPr="00361403" w:rsidRDefault="00361403" w:rsidP="00361403">
      <w:pPr>
        <w:ind w:left="426" w:hanging="426"/>
        <w:jc w:val="both"/>
      </w:pPr>
    </w:p>
    <w:p w14:paraId="1F83702F" w14:textId="77777777" w:rsidR="00361403" w:rsidRPr="00361403" w:rsidRDefault="00361403" w:rsidP="00361403">
      <w:pPr>
        <w:ind w:left="426" w:hanging="426"/>
        <w:jc w:val="both"/>
      </w:pPr>
      <w:r w:rsidRPr="00361403">
        <w:t>[30] B. Gray, Collaborating: Finding Common Ground for Multiparty Problems, Jossey-Bass, 1989.</w:t>
      </w:r>
    </w:p>
    <w:p w14:paraId="107389C1" w14:textId="77777777" w:rsidR="00361403" w:rsidRPr="00361403" w:rsidRDefault="00361403" w:rsidP="00361403">
      <w:pPr>
        <w:ind w:left="426" w:hanging="426"/>
        <w:jc w:val="both"/>
      </w:pPr>
    </w:p>
    <w:p w14:paraId="3B7859F3" w14:textId="77777777" w:rsidR="00361403" w:rsidRPr="00361403" w:rsidRDefault="00361403" w:rsidP="00361403">
      <w:pPr>
        <w:ind w:left="426" w:hanging="426"/>
        <w:jc w:val="both"/>
      </w:pPr>
      <w:r w:rsidRPr="00361403">
        <w:t>[31] A. M. Thomson and J. L. Perry, “Collaboration Processes: Inside the Black Box,” Public Administration Review, vol. 66, no. s1, pp. 20–32, 2006.</w:t>
      </w:r>
    </w:p>
    <w:p w14:paraId="131F98E5" w14:textId="77777777" w:rsidR="00361403" w:rsidRPr="00361403" w:rsidRDefault="00361403" w:rsidP="00361403">
      <w:pPr>
        <w:ind w:left="426" w:hanging="426"/>
        <w:jc w:val="both"/>
      </w:pPr>
    </w:p>
    <w:p w14:paraId="3E3945F5" w14:textId="77777777" w:rsidR="00361403" w:rsidRPr="00361403" w:rsidRDefault="00361403" w:rsidP="00361403">
      <w:pPr>
        <w:ind w:left="426" w:hanging="426"/>
        <w:jc w:val="both"/>
      </w:pPr>
      <w:r w:rsidRPr="00361403">
        <w:t>[32] R. J. Lewicki and B. B. Bunker, “Developing and Maintaining Trust in Work Relationships,” in Trust in Organizations: Frontiers of Theory and Research, Sage Publications, 1996.</w:t>
      </w:r>
    </w:p>
    <w:p w14:paraId="363DADC2" w14:textId="77777777" w:rsidR="00361403" w:rsidRPr="00361403" w:rsidRDefault="00361403" w:rsidP="00361403">
      <w:pPr>
        <w:ind w:left="426" w:hanging="426"/>
        <w:jc w:val="both"/>
      </w:pPr>
    </w:p>
    <w:p w14:paraId="773FB893" w14:textId="77777777" w:rsidR="00361403" w:rsidRPr="00361403" w:rsidRDefault="00361403" w:rsidP="00361403">
      <w:pPr>
        <w:ind w:left="426" w:hanging="426"/>
        <w:jc w:val="both"/>
      </w:pPr>
      <w:r w:rsidRPr="00361403">
        <w:t>[33] J. H. Gittell, The Southwest Airlines Way: Using the Power of Relationships to Achieve High Performance, McGraw-Hill, 2002.</w:t>
      </w:r>
    </w:p>
    <w:p w14:paraId="6298DC15" w14:textId="77777777" w:rsidR="00361403" w:rsidRPr="00361403" w:rsidRDefault="00361403" w:rsidP="00361403">
      <w:pPr>
        <w:ind w:left="426" w:hanging="426"/>
        <w:jc w:val="both"/>
      </w:pPr>
    </w:p>
    <w:p w14:paraId="1D3FF510" w14:textId="77777777" w:rsidR="00361403" w:rsidRPr="00361403" w:rsidRDefault="00361403" w:rsidP="00361403">
      <w:pPr>
        <w:ind w:left="426" w:hanging="426"/>
        <w:jc w:val="both"/>
      </w:pPr>
      <w:r w:rsidRPr="00361403">
        <w:t>[34] P. W. Mattessich and B. R. Monsey, Collaboration: What Makes It Work, St. Paul, MN: Amherst H. Wilder Foundation, 1992.</w:t>
      </w:r>
    </w:p>
    <w:p w14:paraId="39A91BB6" w14:textId="77777777" w:rsidR="00361403" w:rsidRPr="00361403" w:rsidRDefault="00361403" w:rsidP="00361403">
      <w:pPr>
        <w:ind w:left="426" w:hanging="426"/>
        <w:jc w:val="both"/>
      </w:pPr>
    </w:p>
    <w:p w14:paraId="2798F819" w14:textId="77777777" w:rsidR="00361403" w:rsidRPr="00361403" w:rsidRDefault="00361403" w:rsidP="00361403">
      <w:pPr>
        <w:ind w:left="426" w:hanging="426"/>
        <w:jc w:val="both"/>
      </w:pPr>
      <w:r w:rsidRPr="00361403">
        <w:t>[35] M. D. Mumford, S. T. Hunter, E. P. Byrne, and R. Friedrich, “A Review of Leadership Theory and Competency Models,” The Leadership Quarterly, vol. 13, no. 6, pp. 705–750, 2002.</w:t>
      </w:r>
    </w:p>
    <w:p w14:paraId="3272AEE6" w14:textId="77777777" w:rsidR="00361403" w:rsidRPr="00361403" w:rsidRDefault="00361403" w:rsidP="00361403">
      <w:pPr>
        <w:ind w:left="426" w:hanging="426"/>
        <w:jc w:val="both"/>
      </w:pPr>
    </w:p>
    <w:p w14:paraId="74AC82E5" w14:textId="77777777" w:rsidR="00361403" w:rsidRPr="00361403" w:rsidRDefault="00361403" w:rsidP="00361403">
      <w:pPr>
        <w:ind w:left="426" w:hanging="426"/>
        <w:jc w:val="both"/>
      </w:pPr>
      <w:r w:rsidRPr="00361403">
        <w:t>[36] J.-P. Deschamps, Innovation Leaders: How Senior Executives Stimulate, Steer and Sustain Innovation, Wiley, 2005.</w:t>
      </w:r>
    </w:p>
    <w:p w14:paraId="19268720" w14:textId="77777777" w:rsidR="00361403" w:rsidRPr="00361403" w:rsidRDefault="00361403" w:rsidP="00361403">
      <w:pPr>
        <w:ind w:left="426" w:hanging="426"/>
        <w:jc w:val="both"/>
      </w:pPr>
    </w:p>
    <w:p w14:paraId="761A9AE2" w14:textId="77777777" w:rsidR="00361403" w:rsidRPr="00361403" w:rsidRDefault="00361403" w:rsidP="00361403">
      <w:pPr>
        <w:ind w:left="426" w:hanging="426"/>
        <w:jc w:val="both"/>
      </w:pPr>
      <w:r w:rsidRPr="00361403">
        <w:t>[37] J. Jansen, F. Van den Bosch, and H. Volberda, “Managing Potential and Realized Absorptive Capacity: How Do Organizational Antecedents Matter?,” Academy of Management Journal, vol. 52, no. 6, pp. 1181–1194, 2009.</w:t>
      </w:r>
    </w:p>
    <w:p w14:paraId="75B4BC25" w14:textId="77777777" w:rsidR="00361403" w:rsidRPr="00361403" w:rsidRDefault="00361403" w:rsidP="00361403">
      <w:pPr>
        <w:ind w:left="426" w:hanging="426"/>
        <w:jc w:val="both"/>
      </w:pPr>
    </w:p>
    <w:p w14:paraId="31A2D4F3" w14:textId="77777777" w:rsidR="00361403" w:rsidRPr="00361403" w:rsidRDefault="00361403" w:rsidP="00361403">
      <w:pPr>
        <w:ind w:left="426" w:hanging="426"/>
        <w:jc w:val="both"/>
      </w:pPr>
      <w:r w:rsidRPr="00361403">
        <w:t xml:space="preserve">[38] H. Santoso, “Kepemimpinan Inovatif dalam Kolaborasi Pentahelix untuk </w:t>
      </w:r>
      <w:r w:rsidRPr="00361403">
        <w:lastRenderedPageBreak/>
        <w:t>Pengembangan Pariwisata Berbasis Masyarakat,” Jurnal Kepemimpinan dan Inovasi, vol. 2, no. 1, pp. 20–31, 2024.</w:t>
      </w:r>
    </w:p>
    <w:p w14:paraId="4ED02B58" w14:textId="77777777" w:rsidR="00361403" w:rsidRPr="00361403" w:rsidRDefault="00361403" w:rsidP="00361403">
      <w:pPr>
        <w:ind w:left="426" w:hanging="426"/>
        <w:jc w:val="both"/>
      </w:pPr>
    </w:p>
    <w:p w14:paraId="231BAA3C" w14:textId="77777777" w:rsidR="00361403" w:rsidRPr="00361403" w:rsidRDefault="00361403" w:rsidP="00361403">
      <w:pPr>
        <w:ind w:left="426" w:hanging="426"/>
        <w:jc w:val="both"/>
      </w:pPr>
      <w:r w:rsidRPr="00361403">
        <w:t>[39] D. Sari, M. Hidayat, and R. Kusuma, “Model Pengembangan Pariwisata Berbasis Masyarakat di Daerah Tujuan Wisata,” Jurnal Pariwisata Nusantara, vol. 5, no. 2, pp. 15–28, 2022.</w:t>
      </w:r>
    </w:p>
    <w:p w14:paraId="775E7C69" w14:textId="77777777" w:rsidR="00361403" w:rsidRPr="00361403" w:rsidRDefault="00361403" w:rsidP="00361403">
      <w:pPr>
        <w:ind w:left="426" w:hanging="426"/>
        <w:jc w:val="both"/>
      </w:pPr>
    </w:p>
    <w:p w14:paraId="7ED7C652" w14:textId="77777777" w:rsidR="00361403" w:rsidRPr="00361403" w:rsidRDefault="00361403" w:rsidP="00361403">
      <w:pPr>
        <w:ind w:left="426" w:hanging="426"/>
        <w:jc w:val="both"/>
      </w:pPr>
      <w:r w:rsidRPr="00361403">
        <w:t>[40] D. A. Fennell and R. K. Dowling, Ecotourism Policy and Planning, Wallingford: CABI Publishing, 2012.</w:t>
      </w:r>
    </w:p>
    <w:p w14:paraId="36E0337F" w14:textId="77777777" w:rsidR="00361403" w:rsidRPr="00361403" w:rsidRDefault="00361403" w:rsidP="00361403">
      <w:pPr>
        <w:ind w:left="426" w:hanging="426"/>
        <w:jc w:val="both"/>
      </w:pPr>
    </w:p>
    <w:p w14:paraId="522464C7" w14:textId="77777777" w:rsidR="00361403" w:rsidRPr="00361403" w:rsidRDefault="00361403" w:rsidP="00361403">
      <w:pPr>
        <w:ind w:left="426" w:hanging="426"/>
        <w:jc w:val="both"/>
      </w:pPr>
      <w:r w:rsidRPr="00361403">
        <w:t>[41] A. Farhan and A. Setiawan, “Prinsip-Prinsip Pengembangan Pariwisata Berbasis Komunitas,” Jurnal Sosial Ekonomi Pembangunan, vol. 7, no. 1, pp. 33–45, 2023.</w:t>
      </w:r>
    </w:p>
    <w:p w14:paraId="593B17BC" w14:textId="77777777" w:rsidR="00361403" w:rsidRPr="00361403" w:rsidRDefault="00361403" w:rsidP="00361403">
      <w:pPr>
        <w:ind w:left="426" w:hanging="426"/>
        <w:jc w:val="both"/>
      </w:pPr>
    </w:p>
    <w:p w14:paraId="4B0A6149" w14:textId="77777777" w:rsidR="00361403" w:rsidRPr="00361403" w:rsidRDefault="00361403" w:rsidP="00361403">
      <w:pPr>
        <w:ind w:left="426" w:hanging="426"/>
        <w:jc w:val="both"/>
      </w:pPr>
      <w:r w:rsidRPr="00361403">
        <w:t>[42] L. Astuti and R. A. Rahman, “Peningkatan Partisipasi Masyarakat dalam Pelestarian Budaya Lokal Melalui Pariwisata,” Jurnal Kebudayaan dan Masyarakat, vol. 4, no. 1, pp. 54–66, 2023.</w:t>
      </w:r>
    </w:p>
    <w:p w14:paraId="68430D20" w14:textId="77777777" w:rsidR="00361403" w:rsidRPr="00361403" w:rsidRDefault="00361403" w:rsidP="00361403">
      <w:pPr>
        <w:ind w:left="426" w:hanging="426"/>
        <w:jc w:val="both"/>
      </w:pPr>
    </w:p>
    <w:p w14:paraId="6F5B7C22" w14:textId="77777777" w:rsidR="00361403" w:rsidRPr="00361403" w:rsidRDefault="00361403" w:rsidP="00361403">
      <w:pPr>
        <w:ind w:left="426" w:hanging="426"/>
        <w:jc w:val="both"/>
      </w:pPr>
      <w:r w:rsidRPr="00361403">
        <w:t>[43] N. Hidayah and Y. Rahmi, “Kontribusi Masyarakat terhadap Konservasi Lingkungan Pariwisata,” Jurnal Lingkungan dan Pariwisata, vol. 6, no. 2, pp. 77–89, 2022.</w:t>
      </w:r>
    </w:p>
    <w:p w14:paraId="23B619B1" w14:textId="77777777" w:rsidR="00361403" w:rsidRPr="00361403" w:rsidRDefault="00361403" w:rsidP="00361403">
      <w:pPr>
        <w:ind w:left="426" w:hanging="426"/>
        <w:jc w:val="both"/>
      </w:pPr>
    </w:p>
    <w:p w14:paraId="1C04602A" w14:textId="77777777" w:rsidR="00361403" w:rsidRPr="00361403" w:rsidRDefault="00361403" w:rsidP="00361403">
      <w:pPr>
        <w:ind w:left="426" w:hanging="426"/>
        <w:jc w:val="both"/>
      </w:pPr>
      <w:r w:rsidRPr="00361403">
        <w:t>[44] Font and G. Moscardo, “Community-Based Tourism: Critical Success Factors,” Tourism Recreation Research, vol. 42, no. 2, pp. 129–141, 2017.</w:t>
      </w:r>
    </w:p>
    <w:p w14:paraId="6EE9DBF5" w14:textId="77777777" w:rsidR="00361403" w:rsidRPr="00361403" w:rsidRDefault="00361403" w:rsidP="00361403">
      <w:pPr>
        <w:ind w:left="426" w:hanging="426"/>
        <w:jc w:val="both"/>
      </w:pPr>
    </w:p>
    <w:p w14:paraId="155DB3C5" w14:textId="1CA848C2" w:rsidR="008C756B" w:rsidRPr="00361403" w:rsidRDefault="00361403" w:rsidP="00361403">
      <w:pPr>
        <w:ind w:left="426" w:hanging="426"/>
        <w:jc w:val="both"/>
      </w:pPr>
      <w:r w:rsidRPr="00361403">
        <w:t>[45] T. A. Birkland, An Introduction to the Policy Process: Theories, Concepts, and Models of Public Policy Making, 4th ed. New York: Routledge, 2016.</w:t>
      </w:r>
    </w:p>
    <w:sectPr w:rsidR="008C756B" w:rsidRPr="00361403">
      <w:headerReference w:type="even" r:id="rId11"/>
      <w:headerReference w:type="default" r:id="rId12"/>
      <w:footerReference w:type="even" r:id="rId13"/>
      <w:footerReference w:type="default" r:id="rId14"/>
      <w:headerReference w:type="first" r:id="rId15"/>
      <w:footerReference w:type="first" r:id="rId16"/>
      <w:pgSz w:w="11907" w:h="16840"/>
      <w:pgMar w:top="1701" w:right="1701" w:bottom="1701" w:left="2268" w:header="1134"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F0F8B" w14:textId="77777777" w:rsidR="00471BB5" w:rsidRDefault="00471BB5">
      <w:r>
        <w:separator/>
      </w:r>
    </w:p>
  </w:endnote>
  <w:endnote w:type="continuationSeparator" w:id="0">
    <w:p w14:paraId="33F5A351" w14:textId="77777777" w:rsidR="00471BB5" w:rsidRDefault="00471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7909D8D2-45AE-43B8-95FD-5B4468F079D5}"/>
    <w:embedItalic r:id="rId2" w:fontKey="{93A43A83-E587-4CB6-B703-014EC612BED6}"/>
  </w:font>
  <w:font w:name="Calibri">
    <w:panose1 w:val="020F0502020204030204"/>
    <w:charset w:val="00"/>
    <w:family w:val="swiss"/>
    <w:pitch w:val="variable"/>
    <w:sig w:usb0="E4002EFF" w:usb1="C000247B" w:usb2="00000009" w:usb3="00000000" w:csb0="000001FF" w:csb1="00000000"/>
    <w:embedRegular r:id="rId3" w:fontKey="{12AAEA31-3761-4FD3-8CA3-A2B48FCBC149}"/>
    <w:embedBold r:id="rId4" w:fontKey="{66823F5E-CF01-48DE-B852-7230D6D39B29}"/>
    <w:embedItalic r:id="rId5" w:fontKey="{BC890FD0-D5DE-49EA-B956-F4AF1DA9A25C}"/>
    <w:embedBoldItalic r:id="rId6" w:fontKey="{03488F58-577D-4BCC-B66F-661251E39DF4}"/>
  </w:font>
  <w:font w:name="Tahoma">
    <w:panose1 w:val="020B0604030504040204"/>
    <w:charset w:val="00"/>
    <w:family w:val="swiss"/>
    <w:pitch w:val="variable"/>
    <w:sig w:usb0="E1002EFF" w:usb1="C000605B" w:usb2="00000029" w:usb3="00000000" w:csb0="000101FF" w:csb1="00000000"/>
    <w:embedRegular r:id="rId7" w:fontKey="{9BD7922C-7AF9-47CC-BAC4-B0D03E547572}"/>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8" w:fontKey="{47B9DE71-FE7A-466E-9482-FB75888FF7C3}"/>
  </w:font>
  <w:font w:name="Humanist777BT-BlackB">
    <w:charset w:val="00"/>
    <w:family w:val="roman"/>
    <w:pitch w:val="default"/>
  </w:font>
  <w:font w:name="Humanist777BT-LightB">
    <w:charset w:val="00"/>
    <w:family w:val="roman"/>
    <w:pitch w:val="default"/>
  </w:font>
  <w:font w:name="Humanist777BT-RomanB">
    <w:charset w:val="00"/>
    <w:family w:val="roman"/>
    <w:pitch w:val="default"/>
  </w:font>
  <w:font w:name="TimesNewRomanPS-BoldItalicMT">
    <w:altName w:val="Times New Roman"/>
    <w:charset w:val="00"/>
    <w:family w:val="auto"/>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9" w:fontKey="{0B7F27C4-EF99-41BE-BE7A-62A9B1B0C406}"/>
    <w:embedItalic r:id="rId10" w:fontKey="{4C428A87-C7F2-4784-8178-351FB2DC14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08D82" w14:textId="77777777" w:rsidR="00C116BC" w:rsidRDefault="00C11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1F7F5" w14:textId="77777777" w:rsidR="00A75795" w:rsidRDefault="00A75795">
    <w:pPr>
      <w:pBdr>
        <w:top w:val="nil"/>
        <w:left w:val="nil"/>
        <w:bottom w:val="nil"/>
        <w:right w:val="nil"/>
        <w:between w:val="nil"/>
      </w:pBdr>
      <w:tabs>
        <w:tab w:val="center" w:pos="4680"/>
        <w:tab w:val="right" w:pos="9360"/>
      </w:tabs>
      <w:jc w:val="right"/>
      <w:rPr>
        <w:color w:val="000000"/>
      </w:rPr>
    </w:pPr>
  </w:p>
  <w:p w14:paraId="299231C5" w14:textId="77777777" w:rsidR="00A75795" w:rsidRDefault="00A75795">
    <w:pPr>
      <w:pBdr>
        <w:top w:val="nil"/>
        <w:left w:val="nil"/>
        <w:bottom w:val="nil"/>
        <w:right w:val="nil"/>
        <w:between w:val="nil"/>
      </w:pBdr>
      <w:tabs>
        <w:tab w:val="center" w:pos="4680"/>
        <w:tab w:val="right" w:pos="9360"/>
      </w:tabs>
      <w:rPr>
        <w:color w:val="000000"/>
      </w:rPr>
    </w:pPr>
  </w:p>
  <w:p w14:paraId="627DBA58" w14:textId="77777777" w:rsidR="00070FF8" w:rsidRDefault="00070F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35DA2" w14:textId="77777777" w:rsidR="00A75795" w:rsidRDefault="0091215A">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674723">
      <w:rPr>
        <w:noProof/>
        <w:color w:val="000000"/>
      </w:rPr>
      <w:t>1</w:t>
    </w:r>
    <w:r>
      <w:rPr>
        <w:color w:val="000000"/>
      </w:rPr>
      <w:fldChar w:fldCharType="end"/>
    </w:r>
  </w:p>
  <w:p w14:paraId="434BD888" w14:textId="77777777" w:rsidR="00A75795" w:rsidRDefault="00A75795">
    <w:pPr>
      <w:pBdr>
        <w:top w:val="nil"/>
        <w:left w:val="nil"/>
        <w:bottom w:val="nil"/>
        <w:right w:val="nil"/>
        <w:between w:val="nil"/>
      </w:pBdr>
      <w:tabs>
        <w:tab w:val="center" w:pos="4680"/>
        <w:tab w:val="right" w:pos="9360"/>
      </w:tabs>
      <w:rPr>
        <w:color w:val="000000"/>
      </w:rPr>
    </w:pPr>
  </w:p>
  <w:p w14:paraId="581570EE" w14:textId="77777777" w:rsidR="00070FF8" w:rsidRDefault="00070F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05FAF" w14:textId="77777777" w:rsidR="00471BB5" w:rsidRDefault="00471BB5">
      <w:r>
        <w:separator/>
      </w:r>
    </w:p>
  </w:footnote>
  <w:footnote w:type="continuationSeparator" w:id="0">
    <w:p w14:paraId="6864F6FB" w14:textId="77777777" w:rsidR="00471BB5" w:rsidRDefault="00471B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6E635" w14:textId="192428E6" w:rsidR="00C116BC" w:rsidRDefault="00471BB5">
    <w:pPr>
      <w:pStyle w:val="Header"/>
    </w:pPr>
    <w:r>
      <w:rPr>
        <w:noProof/>
      </w:rPr>
      <w:pict w14:anchorId="268D6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607469" o:spid="_x0000_s2050" type="#_x0000_t136" style="position:absolute;margin-left:0;margin-top:0;width:503.55pt;height:5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352C9" w14:textId="0D1CA08D" w:rsidR="00A75795" w:rsidRDefault="00471BB5">
    <w:pPr>
      <w:pBdr>
        <w:top w:val="nil"/>
        <w:left w:val="nil"/>
        <w:bottom w:val="nil"/>
        <w:right w:val="nil"/>
        <w:between w:val="nil"/>
      </w:pBdr>
      <w:tabs>
        <w:tab w:val="center" w:pos="4680"/>
        <w:tab w:val="right" w:pos="9360"/>
      </w:tabs>
      <w:rPr>
        <w:color w:val="000000"/>
        <w:sz w:val="24"/>
        <w:szCs w:val="24"/>
      </w:rPr>
    </w:pPr>
    <w:r>
      <w:rPr>
        <w:noProof/>
      </w:rPr>
      <w:pict w14:anchorId="5D868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607470" o:spid="_x0000_s2051" type="#_x0000_t136" style="position:absolute;margin-left:0;margin-top:0;width:503.55pt;height:5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2A34F056" w14:textId="77777777" w:rsidR="00070FF8" w:rsidRDefault="00070FF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09F84" w14:textId="2CB4E47E" w:rsidR="00A75795" w:rsidRDefault="00471BB5">
    <w:pPr>
      <w:pBdr>
        <w:top w:val="nil"/>
        <w:left w:val="nil"/>
        <w:bottom w:val="nil"/>
        <w:right w:val="nil"/>
        <w:between w:val="nil"/>
      </w:pBdr>
      <w:tabs>
        <w:tab w:val="center" w:pos="4680"/>
        <w:tab w:val="right" w:pos="9360"/>
      </w:tabs>
      <w:rPr>
        <w:color w:val="000000"/>
      </w:rPr>
    </w:pPr>
    <w:r>
      <w:rPr>
        <w:noProof/>
      </w:rPr>
      <w:pict w14:anchorId="6D673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607468" o:spid="_x0000_s2049" type="#_x0000_t136" style="position:absolute;margin-left:0;margin-top:0;width:503.55pt;height:5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2013E8B1" w14:textId="77777777" w:rsidR="00070FF8" w:rsidRDefault="00070F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94D37"/>
    <w:multiLevelType w:val="multilevel"/>
    <w:tmpl w:val="10D07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91112"/>
    <w:multiLevelType w:val="multilevel"/>
    <w:tmpl w:val="1D8E3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6D15D4"/>
    <w:multiLevelType w:val="multilevel"/>
    <w:tmpl w:val="4F805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00640B"/>
    <w:multiLevelType w:val="multilevel"/>
    <w:tmpl w:val="ABAA475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8B79BF"/>
    <w:multiLevelType w:val="multilevel"/>
    <w:tmpl w:val="E5BAC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C54759"/>
    <w:multiLevelType w:val="multilevel"/>
    <w:tmpl w:val="EA12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4711AD"/>
    <w:multiLevelType w:val="multilevel"/>
    <w:tmpl w:val="8ED6543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1D930ED"/>
    <w:multiLevelType w:val="multilevel"/>
    <w:tmpl w:val="46CA0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C099E"/>
    <w:multiLevelType w:val="multilevel"/>
    <w:tmpl w:val="26001E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75F052E"/>
    <w:multiLevelType w:val="multilevel"/>
    <w:tmpl w:val="E05CA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E481FF3"/>
    <w:multiLevelType w:val="hybridMultilevel"/>
    <w:tmpl w:val="B6929E5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15:restartNumberingAfterBreak="0">
    <w:nsid w:val="40425D06"/>
    <w:multiLevelType w:val="multilevel"/>
    <w:tmpl w:val="07C43B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0CA3B48"/>
    <w:multiLevelType w:val="multilevel"/>
    <w:tmpl w:val="126AEC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44E2A52"/>
    <w:multiLevelType w:val="hybridMultilevel"/>
    <w:tmpl w:val="7AF44CE6"/>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9092CB8"/>
    <w:multiLevelType w:val="multilevel"/>
    <w:tmpl w:val="A274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777512"/>
    <w:multiLevelType w:val="multilevel"/>
    <w:tmpl w:val="17AEB8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F012EDE"/>
    <w:multiLevelType w:val="multilevel"/>
    <w:tmpl w:val="7CB6C0F6"/>
    <w:lvl w:ilvl="0">
      <w:numFmt w:val="bullet"/>
      <w:lvlText w:val="•"/>
      <w:lvlJc w:val="left"/>
      <w:pPr>
        <w:ind w:left="2160" w:hanging="72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503F4A74"/>
    <w:multiLevelType w:val="multilevel"/>
    <w:tmpl w:val="2B6C3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956237"/>
    <w:multiLevelType w:val="multilevel"/>
    <w:tmpl w:val="497CA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3213B42"/>
    <w:multiLevelType w:val="hybridMultilevel"/>
    <w:tmpl w:val="4A8A0FB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8E97E67"/>
    <w:multiLevelType w:val="multilevel"/>
    <w:tmpl w:val="124C37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2445DA"/>
    <w:multiLevelType w:val="hybridMultilevel"/>
    <w:tmpl w:val="F37A4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303EB3"/>
    <w:multiLevelType w:val="multilevel"/>
    <w:tmpl w:val="24646644"/>
    <w:lvl w:ilvl="0">
      <w:start w:val="1"/>
      <w:numFmt w:val="decimal"/>
      <w:lvlText w:val="%1."/>
      <w:lvlJc w:val="left"/>
      <w:pPr>
        <w:ind w:left="1021" w:hanging="426"/>
      </w:pPr>
      <w:rPr>
        <w:rFonts w:ascii="Times New Roman" w:eastAsia="Times New Roman" w:hAnsi="Times New Roman" w:cs="Times New Roman"/>
        <w:sz w:val="24"/>
        <w:szCs w:val="24"/>
      </w:rPr>
    </w:lvl>
    <w:lvl w:ilvl="1">
      <w:numFmt w:val="bullet"/>
      <w:lvlText w:val="•"/>
      <w:lvlJc w:val="left"/>
      <w:pPr>
        <w:ind w:left="1800" w:hanging="426"/>
      </w:pPr>
    </w:lvl>
    <w:lvl w:ilvl="2">
      <w:numFmt w:val="bullet"/>
      <w:lvlText w:val="•"/>
      <w:lvlJc w:val="left"/>
      <w:pPr>
        <w:ind w:left="2580" w:hanging="426"/>
      </w:pPr>
    </w:lvl>
    <w:lvl w:ilvl="3">
      <w:numFmt w:val="bullet"/>
      <w:lvlText w:val="•"/>
      <w:lvlJc w:val="left"/>
      <w:pPr>
        <w:ind w:left="3361" w:hanging="426"/>
      </w:pPr>
    </w:lvl>
    <w:lvl w:ilvl="4">
      <w:numFmt w:val="bullet"/>
      <w:lvlText w:val="•"/>
      <w:lvlJc w:val="left"/>
      <w:pPr>
        <w:ind w:left="4141" w:hanging="426"/>
      </w:pPr>
    </w:lvl>
    <w:lvl w:ilvl="5">
      <w:numFmt w:val="bullet"/>
      <w:lvlText w:val="•"/>
      <w:lvlJc w:val="left"/>
      <w:pPr>
        <w:ind w:left="4922" w:hanging="426"/>
      </w:pPr>
    </w:lvl>
    <w:lvl w:ilvl="6">
      <w:numFmt w:val="bullet"/>
      <w:lvlText w:val="•"/>
      <w:lvlJc w:val="left"/>
      <w:pPr>
        <w:ind w:left="5702" w:hanging="426"/>
      </w:pPr>
    </w:lvl>
    <w:lvl w:ilvl="7">
      <w:numFmt w:val="bullet"/>
      <w:lvlText w:val="•"/>
      <w:lvlJc w:val="left"/>
      <w:pPr>
        <w:ind w:left="6482" w:hanging="426"/>
      </w:pPr>
    </w:lvl>
    <w:lvl w:ilvl="8">
      <w:numFmt w:val="bullet"/>
      <w:lvlText w:val="•"/>
      <w:lvlJc w:val="left"/>
      <w:pPr>
        <w:ind w:left="7263" w:hanging="426"/>
      </w:pPr>
    </w:lvl>
  </w:abstractNum>
  <w:num w:numId="1">
    <w:abstractNumId w:val="22"/>
  </w:num>
  <w:num w:numId="2">
    <w:abstractNumId w:val="6"/>
  </w:num>
  <w:num w:numId="3">
    <w:abstractNumId w:val="18"/>
  </w:num>
  <w:num w:numId="4">
    <w:abstractNumId w:val="9"/>
  </w:num>
  <w:num w:numId="5">
    <w:abstractNumId w:val="15"/>
  </w:num>
  <w:num w:numId="6">
    <w:abstractNumId w:val="11"/>
  </w:num>
  <w:num w:numId="7">
    <w:abstractNumId w:val="12"/>
  </w:num>
  <w:num w:numId="8">
    <w:abstractNumId w:val="8"/>
  </w:num>
  <w:num w:numId="9">
    <w:abstractNumId w:val="1"/>
  </w:num>
  <w:num w:numId="10">
    <w:abstractNumId w:val="21"/>
  </w:num>
  <w:num w:numId="11">
    <w:abstractNumId w:val="2"/>
  </w:num>
  <w:num w:numId="12">
    <w:abstractNumId w:val="4"/>
  </w:num>
  <w:num w:numId="13">
    <w:abstractNumId w:val="17"/>
  </w:num>
  <w:num w:numId="14">
    <w:abstractNumId w:val="0"/>
  </w:num>
  <w:num w:numId="15">
    <w:abstractNumId w:val="7"/>
  </w:num>
  <w:num w:numId="16">
    <w:abstractNumId w:val="5"/>
  </w:num>
  <w:num w:numId="17">
    <w:abstractNumId w:val="14"/>
  </w:num>
  <w:num w:numId="18">
    <w:abstractNumId w:val="13"/>
  </w:num>
  <w:num w:numId="19">
    <w:abstractNumId w:val="20"/>
  </w:num>
  <w:num w:numId="20">
    <w:abstractNumId w:val="3"/>
  </w:num>
  <w:num w:numId="21">
    <w:abstractNumId w:val="16"/>
  </w:num>
  <w:num w:numId="22">
    <w:abstractNumId w:val="19"/>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795"/>
    <w:rsid w:val="00046D25"/>
    <w:rsid w:val="00046DBF"/>
    <w:rsid w:val="00057555"/>
    <w:rsid w:val="00070FF8"/>
    <w:rsid w:val="00076F74"/>
    <w:rsid w:val="000A19C4"/>
    <w:rsid w:val="000A7177"/>
    <w:rsid w:val="000B2547"/>
    <w:rsid w:val="000C646D"/>
    <w:rsid w:val="00103F78"/>
    <w:rsid w:val="00113F9B"/>
    <w:rsid w:val="00120D93"/>
    <w:rsid w:val="00164C1C"/>
    <w:rsid w:val="00166882"/>
    <w:rsid w:val="001900E5"/>
    <w:rsid w:val="0019283C"/>
    <w:rsid w:val="001C085D"/>
    <w:rsid w:val="001C0E67"/>
    <w:rsid w:val="00244C5D"/>
    <w:rsid w:val="002455AB"/>
    <w:rsid w:val="00246ECE"/>
    <w:rsid w:val="00256FA6"/>
    <w:rsid w:val="002B44FB"/>
    <w:rsid w:val="002E16CB"/>
    <w:rsid w:val="00312A3A"/>
    <w:rsid w:val="00340F41"/>
    <w:rsid w:val="003446F3"/>
    <w:rsid w:val="0035070E"/>
    <w:rsid w:val="00354F7E"/>
    <w:rsid w:val="003603E8"/>
    <w:rsid w:val="00361403"/>
    <w:rsid w:val="00370454"/>
    <w:rsid w:val="00376FC8"/>
    <w:rsid w:val="0037792B"/>
    <w:rsid w:val="003C45C6"/>
    <w:rsid w:val="003E6DDE"/>
    <w:rsid w:val="00471BB5"/>
    <w:rsid w:val="004B430C"/>
    <w:rsid w:val="004B70B4"/>
    <w:rsid w:val="004F4EA5"/>
    <w:rsid w:val="004F605A"/>
    <w:rsid w:val="005040E8"/>
    <w:rsid w:val="00525DF1"/>
    <w:rsid w:val="0057568F"/>
    <w:rsid w:val="005B5B8D"/>
    <w:rsid w:val="005C172B"/>
    <w:rsid w:val="005E4153"/>
    <w:rsid w:val="00604A77"/>
    <w:rsid w:val="0062166B"/>
    <w:rsid w:val="0062766B"/>
    <w:rsid w:val="006641EA"/>
    <w:rsid w:val="00674723"/>
    <w:rsid w:val="006A7B78"/>
    <w:rsid w:val="006D51D0"/>
    <w:rsid w:val="0072568E"/>
    <w:rsid w:val="0074612A"/>
    <w:rsid w:val="00793C47"/>
    <w:rsid w:val="007B187E"/>
    <w:rsid w:val="007E25B6"/>
    <w:rsid w:val="00807F11"/>
    <w:rsid w:val="0083075D"/>
    <w:rsid w:val="008547DC"/>
    <w:rsid w:val="0086096D"/>
    <w:rsid w:val="008B2E5C"/>
    <w:rsid w:val="008C756B"/>
    <w:rsid w:val="0091215A"/>
    <w:rsid w:val="00937535"/>
    <w:rsid w:val="00947218"/>
    <w:rsid w:val="00981FF4"/>
    <w:rsid w:val="00985916"/>
    <w:rsid w:val="009A3C85"/>
    <w:rsid w:val="009A7D6D"/>
    <w:rsid w:val="009B660D"/>
    <w:rsid w:val="009C31D7"/>
    <w:rsid w:val="009D1283"/>
    <w:rsid w:val="009D2CB6"/>
    <w:rsid w:val="009F5159"/>
    <w:rsid w:val="00A0688F"/>
    <w:rsid w:val="00A2326F"/>
    <w:rsid w:val="00A448FD"/>
    <w:rsid w:val="00A75795"/>
    <w:rsid w:val="00AD53E0"/>
    <w:rsid w:val="00B070C3"/>
    <w:rsid w:val="00BD639E"/>
    <w:rsid w:val="00BE17D0"/>
    <w:rsid w:val="00BF4A4E"/>
    <w:rsid w:val="00C01B65"/>
    <w:rsid w:val="00C116BC"/>
    <w:rsid w:val="00C14CE5"/>
    <w:rsid w:val="00C15FBE"/>
    <w:rsid w:val="00C95B7E"/>
    <w:rsid w:val="00CD3929"/>
    <w:rsid w:val="00D104DA"/>
    <w:rsid w:val="00D2190F"/>
    <w:rsid w:val="00D32054"/>
    <w:rsid w:val="00D400B4"/>
    <w:rsid w:val="00D76E8B"/>
    <w:rsid w:val="00E613D2"/>
    <w:rsid w:val="00E803AF"/>
    <w:rsid w:val="00E8415C"/>
    <w:rsid w:val="00E90468"/>
    <w:rsid w:val="00F814AF"/>
    <w:rsid w:val="00FD3C05"/>
    <w:rsid w:val="00FE3A3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13A7B3"/>
  <w15:docId w15:val="{197F1935-CCD6-4FE8-9218-BFC552892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d" w:eastAsia="en-ID"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31D7"/>
  </w:style>
  <w:style w:type="paragraph" w:styleId="Heading1">
    <w:name w:val="heading 1"/>
    <w:basedOn w:val="Normal"/>
    <w:link w:val="Heading1Char"/>
    <w:uiPriority w:val="9"/>
    <w:qFormat/>
    <w:pPr>
      <w:spacing w:before="209"/>
      <w:ind w:left="3403"/>
      <w:jc w:val="center"/>
      <w:outlineLvl w:val="0"/>
    </w:pPr>
    <w:rPr>
      <w:b/>
      <w:bCs/>
      <w:sz w:val="24"/>
      <w:szCs w:val="24"/>
    </w:rPr>
  </w:style>
  <w:style w:type="paragraph" w:styleId="Heading2">
    <w:name w:val="heading 2"/>
    <w:basedOn w:val="Normal"/>
    <w:link w:val="Heading2Char"/>
    <w:uiPriority w:val="9"/>
    <w:unhideWhenUsed/>
    <w:qFormat/>
    <w:pPr>
      <w:spacing w:before="209"/>
      <w:ind w:left="3398" w:right="2935"/>
      <w:jc w:val="center"/>
      <w:outlineLvl w:val="1"/>
    </w:pPr>
    <w:rPr>
      <w:b/>
      <w:bCs/>
      <w:i/>
      <w:iCs/>
      <w:sz w:val="24"/>
      <w:szCs w:val="24"/>
    </w:rPr>
  </w:style>
  <w:style w:type="paragraph" w:styleId="Heading3">
    <w:name w:val="heading 3"/>
    <w:basedOn w:val="Normal"/>
    <w:next w:val="Normal"/>
    <w:link w:val="Heading3Char"/>
    <w:uiPriority w:val="9"/>
    <w:unhideWhenUsed/>
    <w:qFormat/>
    <w:rsid w:val="00643AF7"/>
    <w:pPr>
      <w:keepNext/>
      <w:keepLines/>
      <w:widowControl/>
      <w:spacing w:before="40"/>
      <w:outlineLvl w:val="2"/>
    </w:pPr>
    <w:rPr>
      <w:rFonts w:asciiTheme="majorHAnsi" w:eastAsiaTheme="majorEastAsia" w:hAnsiTheme="majorHAnsi" w:cstheme="majorBidi"/>
      <w:color w:val="243F60" w:themeColor="accent1" w:themeShade="7F"/>
      <w:sz w:val="24"/>
      <w:szCs w:val="24"/>
      <w:lang w:val="en-US"/>
    </w:rPr>
  </w:style>
  <w:style w:type="paragraph" w:styleId="Heading4">
    <w:name w:val="heading 4"/>
    <w:basedOn w:val="Normal"/>
    <w:next w:val="Normal"/>
    <w:link w:val="Heading4Char"/>
    <w:uiPriority w:val="9"/>
    <w:semiHidden/>
    <w:unhideWhenUsed/>
    <w:qFormat/>
    <w:rsid w:val="00643AF7"/>
    <w:pPr>
      <w:keepNext/>
      <w:widowControl/>
      <w:jc w:val="center"/>
      <w:outlineLvl w:val="3"/>
    </w:pPr>
    <w:rPr>
      <w:b/>
      <w:bCs/>
      <w:sz w:val="24"/>
      <w:szCs w:val="20"/>
      <w:lang w:val="en-US"/>
    </w:rPr>
  </w:style>
  <w:style w:type="paragraph" w:styleId="Heading5">
    <w:name w:val="heading 5"/>
    <w:basedOn w:val="Normal"/>
    <w:next w:val="Normal"/>
    <w:link w:val="Heading5Char"/>
    <w:uiPriority w:val="9"/>
    <w:semiHidden/>
    <w:unhideWhenUsed/>
    <w:qFormat/>
    <w:rsid w:val="00643AF7"/>
    <w:pPr>
      <w:keepNext/>
      <w:keepLines/>
      <w:widowControl/>
      <w:spacing w:before="200"/>
      <w:outlineLvl w:val="4"/>
    </w:pPr>
    <w:rPr>
      <w:rFonts w:asciiTheme="majorHAnsi" w:eastAsiaTheme="majorEastAsia" w:hAnsiTheme="majorHAnsi" w:cstheme="majorBidi"/>
      <w:color w:val="243F60" w:themeColor="accent1" w:themeShade="7F"/>
      <w:sz w:val="24"/>
      <w:szCs w:val="24"/>
      <w:lang w:val="en-US"/>
    </w:rPr>
  </w:style>
  <w:style w:type="paragraph" w:styleId="Heading6">
    <w:name w:val="heading 6"/>
    <w:basedOn w:val="Normal"/>
    <w:next w:val="Normal"/>
    <w:link w:val="Heading6Char"/>
    <w:uiPriority w:val="9"/>
    <w:semiHidden/>
    <w:unhideWhenUsed/>
    <w:qFormat/>
    <w:rsid w:val="00F847E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017B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unhideWhenUsed/>
    <w:qFormat/>
    <w:rsid w:val="00643AF7"/>
    <w:pPr>
      <w:widowControl/>
      <w:spacing w:before="240" w:after="60" w:line="276" w:lineRule="auto"/>
      <w:outlineLvl w:val="7"/>
    </w:pPr>
    <w:rPr>
      <w:rFonts w:eastAsia="Calibri"/>
      <w:i/>
      <w:iCs/>
      <w:sz w:val="24"/>
      <w:szCs w:val="24"/>
      <w:lang w:val="en-US"/>
    </w:rPr>
  </w:style>
  <w:style w:type="paragraph" w:styleId="Heading9">
    <w:name w:val="heading 9"/>
    <w:basedOn w:val="Normal"/>
    <w:next w:val="Normal"/>
    <w:link w:val="Heading9Char"/>
    <w:uiPriority w:val="9"/>
    <w:unhideWhenUsed/>
    <w:qFormat/>
    <w:rsid w:val="00E017B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43AF7"/>
    <w:pPr>
      <w:spacing w:before="210"/>
      <w:ind w:left="584" w:right="117"/>
      <w:jc w:val="center"/>
    </w:pPr>
    <w:rPr>
      <w:b/>
      <w:bCs/>
      <w:sz w:val="28"/>
      <w:szCs w:val="28"/>
    </w:rPr>
  </w:style>
  <w:style w:type="paragraph" w:styleId="TOC1">
    <w:name w:val="toc 1"/>
    <w:basedOn w:val="Normal"/>
    <w:uiPriority w:val="39"/>
    <w:qFormat/>
    <w:pPr>
      <w:spacing w:before="120"/>
    </w:pPr>
    <w:rPr>
      <w:rFonts w:asciiTheme="minorHAnsi" w:hAnsiTheme="minorHAnsi" w:cstheme="minorHAnsi"/>
      <w:b/>
      <w:bCs/>
      <w:i/>
      <w:iCs/>
      <w:sz w:val="24"/>
      <w:szCs w:val="24"/>
    </w:rPr>
  </w:style>
  <w:style w:type="paragraph" w:styleId="TOC2">
    <w:name w:val="toc 2"/>
    <w:basedOn w:val="Normal"/>
    <w:uiPriority w:val="39"/>
    <w:qFormat/>
    <w:pPr>
      <w:spacing w:before="120"/>
      <w:ind w:left="220"/>
    </w:pPr>
    <w:rPr>
      <w:rFonts w:asciiTheme="minorHAnsi" w:hAnsiTheme="minorHAnsi" w:cstheme="minorHAnsi"/>
      <w:b/>
      <w:bCs/>
    </w:rPr>
  </w:style>
  <w:style w:type="paragraph" w:styleId="TOC3">
    <w:name w:val="toc 3"/>
    <w:basedOn w:val="Normal"/>
    <w:uiPriority w:val="39"/>
    <w:qFormat/>
    <w:pPr>
      <w:ind w:left="440"/>
    </w:pPr>
    <w:rPr>
      <w:rFonts w:asciiTheme="minorHAnsi" w:hAnsiTheme="minorHAnsi" w:cstheme="minorHAnsi"/>
      <w:sz w:val="20"/>
      <w:szCs w:val="20"/>
    </w:rPr>
  </w:style>
  <w:style w:type="paragraph" w:styleId="TOC4">
    <w:name w:val="toc 4"/>
    <w:basedOn w:val="Normal"/>
    <w:uiPriority w:val="39"/>
    <w:qFormat/>
    <w:pPr>
      <w:ind w:left="660"/>
    </w:pPr>
    <w:rPr>
      <w:rFonts w:asciiTheme="minorHAnsi" w:hAnsiTheme="minorHAnsi" w:cstheme="minorHAnsi"/>
      <w:sz w:val="20"/>
      <w:szCs w:val="20"/>
    </w:rPr>
  </w:style>
  <w:style w:type="paragraph" w:styleId="TOC5">
    <w:name w:val="toc 5"/>
    <w:basedOn w:val="Normal"/>
    <w:uiPriority w:val="39"/>
    <w:qFormat/>
    <w:pPr>
      <w:ind w:left="880"/>
    </w:pPr>
    <w:rPr>
      <w:rFonts w:asciiTheme="minorHAnsi" w:hAnsiTheme="minorHAnsi" w:cstheme="minorHAnsi"/>
      <w:sz w:val="20"/>
      <w:szCs w:val="20"/>
    </w:rPr>
  </w:style>
  <w:style w:type="paragraph" w:styleId="BodyText">
    <w:name w:val="Body Text"/>
    <w:basedOn w:val="Normal"/>
    <w:link w:val="BodyTextChar"/>
    <w:uiPriority w:val="1"/>
    <w:qFormat/>
    <w:rPr>
      <w:sz w:val="24"/>
      <w:szCs w:val="24"/>
    </w:rPr>
  </w:style>
  <w:style w:type="paragraph" w:styleId="ListParagraph">
    <w:name w:val="List Paragraph"/>
    <w:aliases w:val="spasi 2 taiiii,skripsi,HEADING 1,Heading 2 Char1,Char Char"/>
    <w:basedOn w:val="Normal"/>
    <w:link w:val="ListParagraphChar"/>
    <w:uiPriority w:val="34"/>
    <w:qFormat/>
    <w:pPr>
      <w:spacing w:before="122"/>
      <w:ind w:left="2006" w:hanging="71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A2D15"/>
    <w:pPr>
      <w:tabs>
        <w:tab w:val="center" w:pos="4680"/>
        <w:tab w:val="right" w:pos="9360"/>
      </w:tabs>
    </w:pPr>
  </w:style>
  <w:style w:type="character" w:customStyle="1" w:styleId="HeaderChar">
    <w:name w:val="Header Char"/>
    <w:basedOn w:val="DefaultParagraphFont"/>
    <w:link w:val="Header"/>
    <w:uiPriority w:val="99"/>
    <w:rsid w:val="007A2D15"/>
    <w:rPr>
      <w:rFonts w:ascii="Times New Roman" w:eastAsia="Times New Roman" w:hAnsi="Times New Roman" w:cs="Times New Roman"/>
      <w:lang w:val="id"/>
    </w:rPr>
  </w:style>
  <w:style w:type="paragraph" w:styleId="Footer">
    <w:name w:val="footer"/>
    <w:basedOn w:val="Normal"/>
    <w:link w:val="FooterChar"/>
    <w:uiPriority w:val="99"/>
    <w:unhideWhenUsed/>
    <w:rsid w:val="007A2D15"/>
    <w:pPr>
      <w:tabs>
        <w:tab w:val="center" w:pos="4680"/>
        <w:tab w:val="right" w:pos="9360"/>
      </w:tabs>
    </w:pPr>
  </w:style>
  <w:style w:type="character" w:customStyle="1" w:styleId="FooterChar">
    <w:name w:val="Footer Char"/>
    <w:basedOn w:val="DefaultParagraphFont"/>
    <w:link w:val="Footer"/>
    <w:uiPriority w:val="99"/>
    <w:rsid w:val="007A2D15"/>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643AF7"/>
    <w:rPr>
      <w:rFonts w:ascii="Times New Roman" w:eastAsia="Times New Roman" w:hAnsi="Times New Roman" w:cs="Times New Roman"/>
      <w:b/>
      <w:bCs/>
      <w:sz w:val="24"/>
      <w:szCs w:val="24"/>
      <w:lang w:val="id"/>
    </w:rPr>
  </w:style>
  <w:style w:type="character" w:customStyle="1" w:styleId="BodyTextChar">
    <w:name w:val="Body Text Char"/>
    <w:basedOn w:val="DefaultParagraphFont"/>
    <w:link w:val="BodyText"/>
    <w:uiPriority w:val="1"/>
    <w:rsid w:val="00643AF7"/>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9"/>
    <w:rsid w:val="00643AF7"/>
    <w:rPr>
      <w:rFonts w:ascii="Times New Roman" w:eastAsia="Times New Roman" w:hAnsi="Times New Roman" w:cs="Times New Roman"/>
      <w:b/>
      <w:bCs/>
      <w:i/>
      <w:iCs/>
      <w:sz w:val="24"/>
      <w:szCs w:val="24"/>
      <w:lang w:val="id"/>
    </w:rPr>
  </w:style>
  <w:style w:type="paragraph" w:styleId="Caption">
    <w:name w:val="caption"/>
    <w:basedOn w:val="Normal"/>
    <w:next w:val="Normal"/>
    <w:link w:val="CaptionChar"/>
    <w:uiPriority w:val="35"/>
    <w:unhideWhenUsed/>
    <w:qFormat/>
    <w:rsid w:val="00643AF7"/>
    <w:pPr>
      <w:spacing w:after="200"/>
    </w:pPr>
    <w:rPr>
      <w:i/>
      <w:iCs/>
      <w:color w:val="1F497D" w:themeColor="text2"/>
      <w:sz w:val="18"/>
      <w:szCs w:val="18"/>
    </w:rPr>
  </w:style>
  <w:style w:type="character" w:customStyle="1" w:styleId="ListParagraphChar">
    <w:name w:val="List Paragraph Char"/>
    <w:aliases w:val="spasi 2 taiiii Char,skripsi Char,HEADING 1 Char,Heading 2 Char1 Char,Char Char Char"/>
    <w:link w:val="ListParagraph"/>
    <w:uiPriority w:val="34"/>
    <w:locked/>
    <w:rsid w:val="00643AF7"/>
    <w:rPr>
      <w:rFonts w:ascii="Times New Roman" w:eastAsia="Times New Roman" w:hAnsi="Times New Roman" w:cs="Times New Roman"/>
      <w:lang w:val="id"/>
    </w:rPr>
  </w:style>
  <w:style w:type="character" w:customStyle="1" w:styleId="Heading3Char">
    <w:name w:val="Heading 3 Char"/>
    <w:basedOn w:val="DefaultParagraphFont"/>
    <w:link w:val="Heading3"/>
    <w:uiPriority w:val="9"/>
    <w:rsid w:val="00643AF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643AF7"/>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uiPriority w:val="9"/>
    <w:rsid w:val="00643AF7"/>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uiPriority w:val="99"/>
    <w:rsid w:val="00643AF7"/>
    <w:rPr>
      <w:rFonts w:ascii="Times New Roman" w:eastAsia="Calibri" w:hAnsi="Times New Roman" w:cs="Times New Roman"/>
      <w:i/>
      <w:iCs/>
      <w:sz w:val="24"/>
      <w:szCs w:val="24"/>
    </w:rPr>
  </w:style>
  <w:style w:type="character" w:styleId="PlaceholderText">
    <w:name w:val="Placeholder Text"/>
    <w:basedOn w:val="DefaultParagraphFont"/>
    <w:uiPriority w:val="99"/>
    <w:semiHidden/>
    <w:rsid w:val="00643AF7"/>
    <w:rPr>
      <w:color w:val="666666"/>
    </w:rPr>
  </w:style>
  <w:style w:type="character" w:styleId="Hyperlink">
    <w:name w:val="Hyperlink"/>
    <w:basedOn w:val="DefaultParagraphFont"/>
    <w:uiPriority w:val="99"/>
    <w:unhideWhenUsed/>
    <w:rsid w:val="00643AF7"/>
    <w:rPr>
      <w:color w:val="0000FF" w:themeColor="hyperlink"/>
      <w:u w:val="single"/>
    </w:rPr>
  </w:style>
  <w:style w:type="character" w:styleId="UnresolvedMention">
    <w:name w:val="Unresolved Mention"/>
    <w:basedOn w:val="DefaultParagraphFont"/>
    <w:uiPriority w:val="99"/>
    <w:semiHidden/>
    <w:unhideWhenUsed/>
    <w:rsid w:val="00643AF7"/>
    <w:rPr>
      <w:color w:val="605E5C"/>
      <w:shd w:val="clear" w:color="auto" w:fill="E1DFDD"/>
    </w:rPr>
  </w:style>
  <w:style w:type="character" w:styleId="FollowedHyperlink">
    <w:name w:val="FollowedHyperlink"/>
    <w:basedOn w:val="DefaultParagraphFont"/>
    <w:uiPriority w:val="99"/>
    <w:semiHidden/>
    <w:unhideWhenUsed/>
    <w:rsid w:val="00643AF7"/>
    <w:rPr>
      <w:color w:val="800080" w:themeColor="followedHyperlink"/>
      <w:u w:val="single"/>
    </w:rPr>
  </w:style>
  <w:style w:type="paragraph" w:customStyle="1" w:styleId="msonormal0">
    <w:name w:val="msonormal"/>
    <w:basedOn w:val="Normal"/>
    <w:rsid w:val="00643AF7"/>
    <w:pPr>
      <w:widowControl/>
      <w:spacing w:before="100" w:after="100"/>
    </w:pPr>
    <w:rPr>
      <w:sz w:val="24"/>
      <w:szCs w:val="20"/>
      <w:lang w:val="en-US"/>
    </w:rPr>
  </w:style>
  <w:style w:type="paragraph" w:styleId="NormalWeb">
    <w:name w:val="Normal (Web)"/>
    <w:basedOn w:val="Normal"/>
    <w:uiPriority w:val="99"/>
    <w:unhideWhenUsed/>
    <w:rsid w:val="00643AF7"/>
    <w:pPr>
      <w:widowControl/>
      <w:spacing w:before="100" w:after="100"/>
    </w:pPr>
    <w:rPr>
      <w:sz w:val="24"/>
      <w:szCs w:val="20"/>
      <w:lang w:val="en-US"/>
    </w:rPr>
  </w:style>
  <w:style w:type="paragraph" w:styleId="CommentText">
    <w:name w:val="annotation text"/>
    <w:basedOn w:val="Normal"/>
    <w:link w:val="CommentTextChar"/>
    <w:uiPriority w:val="99"/>
    <w:semiHidden/>
    <w:unhideWhenUsed/>
    <w:qFormat/>
    <w:rsid w:val="00643AF7"/>
    <w:pPr>
      <w:widowControl/>
    </w:pPr>
    <w:rPr>
      <w:sz w:val="20"/>
      <w:szCs w:val="20"/>
      <w:lang w:val="en-US"/>
    </w:rPr>
  </w:style>
  <w:style w:type="character" w:customStyle="1" w:styleId="CommentTextChar">
    <w:name w:val="Comment Text Char"/>
    <w:basedOn w:val="DefaultParagraphFont"/>
    <w:link w:val="CommentText"/>
    <w:uiPriority w:val="99"/>
    <w:semiHidden/>
    <w:qFormat/>
    <w:rsid w:val="00643AF7"/>
    <w:rPr>
      <w:rFonts w:ascii="Times New Roman" w:eastAsia="Times New Roman" w:hAnsi="Times New Roman" w:cs="Times New Roman"/>
      <w:sz w:val="20"/>
      <w:szCs w:val="20"/>
    </w:rPr>
  </w:style>
  <w:style w:type="paragraph" w:styleId="BodyTextIndent">
    <w:name w:val="Body Text Indent"/>
    <w:basedOn w:val="Normal"/>
    <w:link w:val="BodyTextIndentChar"/>
    <w:uiPriority w:val="99"/>
    <w:semiHidden/>
    <w:unhideWhenUsed/>
    <w:rsid w:val="00643AF7"/>
    <w:pPr>
      <w:widowControl/>
      <w:spacing w:after="120"/>
      <w:ind w:left="360"/>
    </w:pPr>
    <w:rPr>
      <w:sz w:val="24"/>
      <w:szCs w:val="24"/>
      <w:lang w:val="en-US"/>
    </w:rPr>
  </w:style>
  <w:style w:type="character" w:customStyle="1" w:styleId="BodyTextIndentChar">
    <w:name w:val="Body Text Indent Char"/>
    <w:basedOn w:val="DefaultParagraphFont"/>
    <w:link w:val="BodyTextIndent"/>
    <w:uiPriority w:val="99"/>
    <w:semiHidden/>
    <w:rsid w:val="00643AF7"/>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643AF7"/>
    <w:pPr>
      <w:widowControl/>
      <w:spacing w:after="120" w:line="480" w:lineRule="auto"/>
    </w:pPr>
    <w:rPr>
      <w:sz w:val="24"/>
      <w:szCs w:val="24"/>
      <w:lang w:val="en-US"/>
    </w:rPr>
  </w:style>
  <w:style w:type="character" w:customStyle="1" w:styleId="BodyText2Char">
    <w:name w:val="Body Text 2 Char"/>
    <w:basedOn w:val="DefaultParagraphFont"/>
    <w:link w:val="BodyText2"/>
    <w:uiPriority w:val="99"/>
    <w:semiHidden/>
    <w:rsid w:val="00643AF7"/>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643AF7"/>
    <w:pPr>
      <w:widowControl/>
      <w:spacing w:after="120" w:line="480" w:lineRule="auto"/>
      <w:ind w:left="360"/>
    </w:pPr>
    <w:rPr>
      <w:sz w:val="24"/>
      <w:szCs w:val="24"/>
      <w:lang w:val="en-US"/>
    </w:rPr>
  </w:style>
  <w:style w:type="character" w:customStyle="1" w:styleId="BodyTextIndent2Char">
    <w:name w:val="Body Text Indent 2 Char"/>
    <w:basedOn w:val="DefaultParagraphFont"/>
    <w:link w:val="BodyTextIndent2"/>
    <w:uiPriority w:val="99"/>
    <w:semiHidden/>
    <w:rsid w:val="00643AF7"/>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643AF7"/>
    <w:pPr>
      <w:widowControl/>
      <w:spacing w:after="120"/>
      <w:ind w:left="360"/>
    </w:pPr>
    <w:rPr>
      <w:sz w:val="16"/>
      <w:szCs w:val="16"/>
      <w:lang w:val="en-US"/>
    </w:rPr>
  </w:style>
  <w:style w:type="character" w:customStyle="1" w:styleId="BodyTextIndent3Char">
    <w:name w:val="Body Text Indent 3 Char"/>
    <w:basedOn w:val="DefaultParagraphFont"/>
    <w:link w:val="BodyTextIndent3"/>
    <w:uiPriority w:val="99"/>
    <w:semiHidden/>
    <w:rsid w:val="00643AF7"/>
    <w:rPr>
      <w:rFonts w:ascii="Times New Roman" w:eastAsia="Times New Roman" w:hAnsi="Times New Roman" w:cs="Times New Roman"/>
      <w:sz w:val="16"/>
      <w:szCs w:val="16"/>
    </w:rPr>
  </w:style>
  <w:style w:type="paragraph" w:styleId="CommentSubject">
    <w:name w:val="annotation subject"/>
    <w:basedOn w:val="CommentText"/>
    <w:next w:val="CommentText"/>
    <w:link w:val="CommentSubjectChar"/>
    <w:uiPriority w:val="99"/>
    <w:semiHidden/>
    <w:unhideWhenUsed/>
    <w:rsid w:val="00643AF7"/>
    <w:rPr>
      <w:b/>
      <w:bCs/>
    </w:rPr>
  </w:style>
  <w:style w:type="character" w:customStyle="1" w:styleId="CommentSubjectChar">
    <w:name w:val="Comment Subject Char"/>
    <w:basedOn w:val="CommentTextChar"/>
    <w:link w:val="CommentSubject"/>
    <w:uiPriority w:val="99"/>
    <w:semiHidden/>
    <w:rsid w:val="00643AF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F7"/>
    <w:pPr>
      <w:widowControl/>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643AF7"/>
    <w:rPr>
      <w:rFonts w:ascii="Tahoma" w:eastAsia="Times New Roman" w:hAnsi="Tahoma" w:cs="Tahoma"/>
      <w:sz w:val="16"/>
      <w:szCs w:val="16"/>
    </w:rPr>
  </w:style>
  <w:style w:type="paragraph" w:styleId="NoSpacing">
    <w:name w:val="No Spacing"/>
    <w:uiPriority w:val="1"/>
    <w:qFormat/>
    <w:rsid w:val="00643AF7"/>
    <w:pPr>
      <w:widowControl/>
    </w:pPr>
    <w:rPr>
      <w:rFonts w:ascii="Calibri" w:eastAsia="Calibri" w:hAnsi="Calibri" w:cs="Arial"/>
    </w:rPr>
  </w:style>
  <w:style w:type="paragraph" w:customStyle="1" w:styleId="Style2">
    <w:name w:val="Style2"/>
    <w:basedOn w:val="Normal"/>
    <w:uiPriority w:val="99"/>
    <w:rsid w:val="00643AF7"/>
    <w:pPr>
      <w:widowControl/>
      <w:jc w:val="both"/>
    </w:pPr>
    <w:rPr>
      <w:sz w:val="24"/>
      <w:szCs w:val="24"/>
      <w:lang w:val="en-US"/>
    </w:rPr>
  </w:style>
  <w:style w:type="paragraph" w:customStyle="1" w:styleId="Default">
    <w:name w:val="Default"/>
    <w:rsid w:val="00643AF7"/>
    <w:pPr>
      <w:widowControl/>
      <w:adjustRightInd w:val="0"/>
    </w:pPr>
    <w:rPr>
      <w:rFonts w:ascii="Book Antiqua" w:hAnsi="Book Antiqua"/>
      <w:color w:val="000000"/>
      <w:sz w:val="24"/>
      <w:szCs w:val="24"/>
    </w:rPr>
  </w:style>
  <w:style w:type="character" w:styleId="CommentReference">
    <w:name w:val="annotation reference"/>
    <w:basedOn w:val="DefaultParagraphFont"/>
    <w:uiPriority w:val="99"/>
    <w:semiHidden/>
    <w:unhideWhenUsed/>
    <w:qFormat/>
    <w:rsid w:val="00643AF7"/>
    <w:rPr>
      <w:sz w:val="16"/>
      <w:szCs w:val="16"/>
    </w:rPr>
  </w:style>
  <w:style w:type="character" w:customStyle="1" w:styleId="EquationCaption">
    <w:name w:val="_Equation Caption"/>
    <w:rsid w:val="00643AF7"/>
  </w:style>
  <w:style w:type="character" w:customStyle="1" w:styleId="fontstyle01">
    <w:name w:val="fontstyle01"/>
    <w:basedOn w:val="DefaultParagraphFont"/>
    <w:rsid w:val="00643AF7"/>
    <w:rPr>
      <w:rFonts w:ascii="Humanist777BT-BlackB" w:hAnsi="Humanist777BT-BlackB" w:hint="default"/>
      <w:b w:val="0"/>
      <w:bCs w:val="0"/>
      <w:i w:val="0"/>
      <w:iCs w:val="0"/>
      <w:color w:val="231F20"/>
      <w:sz w:val="20"/>
      <w:szCs w:val="20"/>
    </w:rPr>
  </w:style>
  <w:style w:type="character" w:customStyle="1" w:styleId="fontstyle21">
    <w:name w:val="fontstyle21"/>
    <w:basedOn w:val="DefaultParagraphFont"/>
    <w:rsid w:val="00643AF7"/>
    <w:rPr>
      <w:rFonts w:ascii="Humanist777BT-LightB" w:hAnsi="Humanist777BT-LightB" w:hint="default"/>
      <w:b w:val="0"/>
      <w:bCs w:val="0"/>
      <w:i w:val="0"/>
      <w:iCs w:val="0"/>
      <w:color w:val="231F20"/>
      <w:sz w:val="16"/>
      <w:szCs w:val="16"/>
    </w:rPr>
  </w:style>
  <w:style w:type="character" w:customStyle="1" w:styleId="fontstyle31">
    <w:name w:val="fontstyle31"/>
    <w:basedOn w:val="DefaultParagraphFont"/>
    <w:rsid w:val="00643AF7"/>
    <w:rPr>
      <w:rFonts w:ascii="Humanist777BT-RomanB" w:hAnsi="Humanist777BT-RomanB" w:hint="default"/>
      <w:b w:val="0"/>
      <w:bCs w:val="0"/>
      <w:i w:val="0"/>
      <w:iCs w:val="0"/>
      <w:color w:val="231F20"/>
      <w:sz w:val="40"/>
      <w:szCs w:val="40"/>
    </w:rPr>
  </w:style>
  <w:style w:type="character" w:customStyle="1" w:styleId="fontstyle41">
    <w:name w:val="fontstyle41"/>
    <w:basedOn w:val="DefaultParagraphFont"/>
    <w:rsid w:val="00643AF7"/>
    <w:rPr>
      <w:rFonts w:ascii="TimesNewRomanPS-BoldItalicMT" w:hAnsi="TimesNewRomanPS-BoldItalicMT" w:hint="default"/>
      <w:b/>
      <w:bCs/>
      <w:i/>
      <w:iCs/>
      <w:color w:val="000000"/>
      <w:sz w:val="24"/>
      <w:szCs w:val="24"/>
    </w:rPr>
  </w:style>
  <w:style w:type="character" w:customStyle="1" w:styleId="fontstyle51">
    <w:name w:val="fontstyle51"/>
    <w:basedOn w:val="DefaultParagraphFont"/>
    <w:rsid w:val="00643AF7"/>
    <w:rPr>
      <w:rFonts w:ascii="Times New Roman" w:hAnsi="Times New Roman" w:cs="Times New Roman" w:hint="default"/>
      <w:b/>
      <w:bCs/>
      <w:i w:val="0"/>
      <w:iCs w:val="0"/>
      <w:color w:val="000000"/>
      <w:sz w:val="24"/>
      <w:szCs w:val="24"/>
    </w:rPr>
  </w:style>
  <w:style w:type="character" w:customStyle="1" w:styleId="fontstyle61">
    <w:name w:val="fontstyle61"/>
    <w:basedOn w:val="DefaultParagraphFont"/>
    <w:rsid w:val="00643AF7"/>
    <w:rPr>
      <w:rFonts w:ascii="Times New Roman" w:hAnsi="Times New Roman" w:cs="Times New Roman" w:hint="default"/>
      <w:b/>
      <w:bCs/>
      <w:i/>
      <w:iCs/>
      <w:color w:val="000000"/>
      <w:sz w:val="24"/>
      <w:szCs w:val="24"/>
    </w:rPr>
  </w:style>
  <w:style w:type="character" w:customStyle="1" w:styleId="fontstyle71">
    <w:name w:val="fontstyle71"/>
    <w:basedOn w:val="DefaultParagraphFont"/>
    <w:rsid w:val="00643AF7"/>
    <w:rPr>
      <w:rFonts w:ascii="Times New Roman" w:hAnsi="Times New Roman" w:cs="Times New Roman" w:hint="default"/>
      <w:b w:val="0"/>
      <w:bCs w:val="0"/>
      <w:i/>
      <w:iCs/>
      <w:color w:val="000000"/>
      <w:sz w:val="24"/>
      <w:szCs w:val="24"/>
    </w:rPr>
  </w:style>
  <w:style w:type="character" w:customStyle="1" w:styleId="fontstyle81">
    <w:name w:val="fontstyle81"/>
    <w:basedOn w:val="DefaultParagraphFont"/>
    <w:rsid w:val="00643AF7"/>
    <w:rPr>
      <w:rFonts w:ascii="Times New Roman" w:hAnsi="Times New Roman" w:cs="Times New Roman" w:hint="default"/>
      <w:b w:val="0"/>
      <w:bCs w:val="0"/>
      <w:i w:val="0"/>
      <w:iCs w:val="0"/>
      <w:color w:val="000000"/>
      <w:sz w:val="16"/>
      <w:szCs w:val="16"/>
    </w:rPr>
  </w:style>
  <w:style w:type="table" w:styleId="TableGrid">
    <w:name w:val="Table Grid"/>
    <w:basedOn w:val="TableNormal"/>
    <w:uiPriority w:val="39"/>
    <w:qFormat/>
    <w:rsid w:val="00643AF7"/>
    <w:pPr>
      <w:widowControl/>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43AF7"/>
    <w:pPr>
      <w:widowControl/>
    </w:pPr>
    <w:rPr>
      <w:rFonts w:ascii="Calibri" w:eastAsia="Calibri" w:hAnsi="Calibri" w:cs="Arial"/>
      <w:sz w:val="20"/>
      <w:szCs w:val="20"/>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3"/>
    <w:rsid w:val="00643AF7"/>
    <w:pPr>
      <w:widowControl/>
    </w:pPr>
    <w:rPr>
      <w:rFonts w:ascii="Calibri" w:eastAsia="Calibri" w:hAnsi="Calibri" w:cs="Arial"/>
      <w:sz w:val="20"/>
      <w:szCs w:val="20"/>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643AF7"/>
    <w:pPr>
      <w:widowControl/>
    </w:pPr>
    <w:rPr>
      <w:rFonts w:ascii="Calibri" w:eastAsia="Calibri" w:hAnsi="Calibri" w:cs="Arial"/>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1Light-Accent1">
    <w:name w:val="Grid Table 1 Light Accent 1"/>
    <w:basedOn w:val="TableNormal"/>
    <w:uiPriority w:val="46"/>
    <w:rsid w:val="00643AF7"/>
    <w:pPr>
      <w:widowControl/>
    </w:pPr>
    <w:rPr>
      <w:rFonts w:ascii="Calibri" w:eastAsia="Calibri" w:hAnsi="Calibri" w:cs="Arial"/>
      <w:sz w:val="20"/>
      <w:szCs w:val="20"/>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Table2">
    <w:name w:val="List Table 2"/>
    <w:basedOn w:val="TableNormal"/>
    <w:uiPriority w:val="47"/>
    <w:rsid w:val="00643AF7"/>
    <w:pPr>
      <w:widowControl/>
    </w:pPr>
    <w:rPr>
      <w:rFonts w:ascii="Calibri" w:eastAsia="Calibri" w:hAnsi="Calibri" w:cs="Arial"/>
      <w:sz w:val="20"/>
      <w:szCs w:val="20"/>
    </w:rPr>
    <w:tblPr>
      <w:tblStyleRowBandSize w:val="1"/>
      <w:tblStyleColBandSize w:val="1"/>
      <w:tblInd w:w="0" w:type="nil"/>
      <w:tblBorders>
        <w:insideH w:val="single" w:sz="4" w:space="0" w:color="000000"/>
        <w:insideV w:val="single" w:sz="4" w:space="0" w:color="00000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2-Accent5">
    <w:name w:val="List Table 2 Accent 5"/>
    <w:basedOn w:val="TableNormal"/>
    <w:uiPriority w:val="47"/>
    <w:rsid w:val="00643AF7"/>
    <w:pPr>
      <w:widowControl/>
    </w:pPr>
    <w:rPr>
      <w:rFonts w:ascii="Calibri" w:eastAsia="Calibri" w:hAnsi="Calibri" w:cs="Arial"/>
      <w:sz w:val="20"/>
      <w:szCs w:val="20"/>
    </w:rPr>
    <w:tblPr>
      <w:tblStyleRowBandSize w:val="1"/>
      <w:tblStyleColBandSize w:val="1"/>
      <w:tblInd w:w="0" w:type="nil"/>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3">
    <w:name w:val="Table Grid3"/>
    <w:basedOn w:val="TableNormal"/>
    <w:rsid w:val="00643AF7"/>
    <w:pPr>
      <w:widowControl/>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643AF7"/>
    <w:pPr>
      <w:widowControl/>
    </w:pPr>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uiPriority w:val="39"/>
    <w:qFormat/>
    <w:rsid w:val="00643AF7"/>
    <w:pPr>
      <w:ind w:left="1100"/>
    </w:pPr>
    <w:rPr>
      <w:rFonts w:asciiTheme="minorHAnsi" w:hAnsiTheme="minorHAnsi" w:cstheme="minorHAnsi"/>
      <w:sz w:val="20"/>
      <w:szCs w:val="20"/>
    </w:rPr>
  </w:style>
  <w:style w:type="paragraph" w:styleId="TOC7">
    <w:name w:val="toc 7"/>
    <w:basedOn w:val="Normal"/>
    <w:uiPriority w:val="39"/>
    <w:qFormat/>
    <w:rsid w:val="00643AF7"/>
    <w:pPr>
      <w:ind w:left="1320"/>
    </w:pPr>
    <w:rPr>
      <w:rFonts w:asciiTheme="minorHAnsi" w:hAnsiTheme="minorHAnsi" w:cstheme="minorHAnsi"/>
      <w:sz w:val="20"/>
      <w:szCs w:val="20"/>
    </w:rPr>
  </w:style>
  <w:style w:type="paragraph" w:styleId="TOC8">
    <w:name w:val="toc 8"/>
    <w:basedOn w:val="Normal"/>
    <w:uiPriority w:val="39"/>
    <w:qFormat/>
    <w:rsid w:val="00643AF7"/>
    <w:pPr>
      <w:ind w:left="1540"/>
    </w:pPr>
    <w:rPr>
      <w:rFonts w:asciiTheme="minorHAnsi" w:hAnsiTheme="minorHAnsi" w:cstheme="minorHAnsi"/>
      <w:sz w:val="20"/>
      <w:szCs w:val="20"/>
    </w:rPr>
  </w:style>
  <w:style w:type="character" w:customStyle="1" w:styleId="TitleChar">
    <w:name w:val="Title Char"/>
    <w:basedOn w:val="DefaultParagraphFont"/>
    <w:link w:val="Title"/>
    <w:uiPriority w:val="10"/>
    <w:rsid w:val="00643AF7"/>
    <w:rPr>
      <w:rFonts w:ascii="Times New Roman" w:eastAsia="Times New Roman" w:hAnsi="Times New Roman" w:cs="Times New Roman"/>
      <w:b/>
      <w:bCs/>
      <w:sz w:val="28"/>
      <w:szCs w:val="28"/>
      <w:lang w:val="id"/>
    </w:rPr>
  </w:style>
  <w:style w:type="paragraph" w:styleId="TableofFigures">
    <w:name w:val="table of figures"/>
    <w:basedOn w:val="Normal"/>
    <w:next w:val="Normal"/>
    <w:uiPriority w:val="99"/>
    <w:unhideWhenUsed/>
    <w:rsid w:val="00643AF7"/>
  </w:style>
  <w:style w:type="paragraph" w:styleId="TOCHeading">
    <w:name w:val="TOC Heading"/>
    <w:basedOn w:val="Heading1"/>
    <w:next w:val="Normal"/>
    <w:uiPriority w:val="39"/>
    <w:unhideWhenUsed/>
    <w:qFormat/>
    <w:rsid w:val="00643AF7"/>
    <w:pPr>
      <w:keepNext/>
      <w:keepLines/>
      <w:widowControl/>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styleId="PlainTable4">
    <w:name w:val="Plain Table 4"/>
    <w:basedOn w:val="TableNormal"/>
    <w:uiPriority w:val="44"/>
    <w:rsid w:val="00643AF7"/>
    <w:pPr>
      <w:widowControl/>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643AF7"/>
    <w:pPr>
      <w:widowControl/>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1">
    <w:name w:val="#P1"/>
    <w:basedOn w:val="Normal"/>
    <w:link w:val="P1Char"/>
    <w:qFormat/>
    <w:rsid w:val="00643AF7"/>
    <w:pPr>
      <w:widowControl/>
      <w:spacing w:before="240" w:line="480" w:lineRule="auto"/>
      <w:ind w:firstLine="720"/>
      <w:jc w:val="both"/>
    </w:pPr>
    <w:rPr>
      <w:rFonts w:eastAsiaTheme="minorHAnsi" w:cstheme="minorBidi"/>
      <w:sz w:val="24"/>
      <w:lang w:val="id-ID"/>
    </w:rPr>
  </w:style>
  <w:style w:type="character" w:customStyle="1" w:styleId="P1Char">
    <w:name w:val="#P1 Char"/>
    <w:basedOn w:val="DefaultParagraphFont"/>
    <w:link w:val="P1"/>
    <w:rsid w:val="00643AF7"/>
    <w:rPr>
      <w:rFonts w:ascii="Times New Roman" w:hAnsi="Times New Roman"/>
      <w:sz w:val="24"/>
      <w:lang w:val="id-ID"/>
    </w:rPr>
  </w:style>
  <w:style w:type="character" w:styleId="Emphasis">
    <w:name w:val="Emphasis"/>
    <w:basedOn w:val="DefaultParagraphFont"/>
    <w:uiPriority w:val="20"/>
    <w:qFormat/>
    <w:rsid w:val="00643AF7"/>
    <w:rPr>
      <w:i/>
      <w:iCs/>
    </w:rPr>
  </w:style>
  <w:style w:type="character" w:customStyle="1" w:styleId="Heading6Char">
    <w:name w:val="Heading 6 Char"/>
    <w:basedOn w:val="DefaultParagraphFont"/>
    <w:link w:val="Heading6"/>
    <w:uiPriority w:val="9"/>
    <w:rsid w:val="00F847E5"/>
    <w:rPr>
      <w:rFonts w:asciiTheme="majorHAnsi" w:eastAsiaTheme="majorEastAsia" w:hAnsiTheme="majorHAnsi" w:cstheme="majorBidi"/>
      <w:color w:val="243F60" w:themeColor="accent1" w:themeShade="7F"/>
      <w:lang w:val="id"/>
    </w:rPr>
  </w:style>
  <w:style w:type="paragraph" w:styleId="TOC9">
    <w:name w:val="toc 9"/>
    <w:basedOn w:val="Normal"/>
    <w:next w:val="Normal"/>
    <w:autoRedefine/>
    <w:uiPriority w:val="39"/>
    <w:unhideWhenUsed/>
    <w:rsid w:val="006A3089"/>
    <w:pPr>
      <w:ind w:left="1760"/>
    </w:pPr>
    <w:rPr>
      <w:rFonts w:asciiTheme="minorHAnsi" w:hAnsiTheme="minorHAnsi" w:cstheme="minorHAnsi"/>
      <w:sz w:val="20"/>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3E3385"/>
    <w:rPr>
      <w:rFonts w:ascii="Georgia" w:eastAsia="Georgia" w:hAnsi="Georgia" w:cs="Georgia"/>
      <w:i/>
      <w:color w:val="666666"/>
      <w:sz w:val="48"/>
      <w:szCs w:val="48"/>
      <w:lang w:eastAsia="en-ID"/>
    </w:rPr>
  </w:style>
  <w:style w:type="character" w:customStyle="1" w:styleId="Heading7Char">
    <w:name w:val="Heading 7 Char"/>
    <w:basedOn w:val="DefaultParagraphFont"/>
    <w:link w:val="Heading7"/>
    <w:uiPriority w:val="9"/>
    <w:rsid w:val="00E017B9"/>
    <w:rPr>
      <w:rFonts w:asciiTheme="majorHAnsi" w:eastAsiaTheme="majorEastAsia" w:hAnsiTheme="majorHAnsi" w:cstheme="majorBidi"/>
      <w:i/>
      <w:iCs/>
      <w:color w:val="243F60" w:themeColor="accent1" w:themeShade="7F"/>
      <w:lang w:val="id"/>
    </w:rPr>
  </w:style>
  <w:style w:type="character" w:customStyle="1" w:styleId="Heading9Char">
    <w:name w:val="Heading 9 Char"/>
    <w:basedOn w:val="DefaultParagraphFont"/>
    <w:link w:val="Heading9"/>
    <w:uiPriority w:val="9"/>
    <w:rsid w:val="00E017B9"/>
    <w:rPr>
      <w:rFonts w:asciiTheme="majorHAnsi" w:eastAsiaTheme="majorEastAsia" w:hAnsiTheme="majorHAnsi" w:cstheme="majorBidi"/>
      <w:i/>
      <w:iCs/>
      <w:color w:val="272727" w:themeColor="text1" w:themeTint="D8"/>
      <w:sz w:val="21"/>
      <w:szCs w:val="21"/>
      <w:lang w:val="id"/>
    </w:rPr>
  </w:style>
  <w:style w:type="numbering" w:customStyle="1" w:styleId="NoList1">
    <w:name w:val="No List1"/>
    <w:next w:val="NoList"/>
    <w:uiPriority w:val="99"/>
    <w:semiHidden/>
    <w:unhideWhenUsed/>
    <w:rsid w:val="009D0363"/>
  </w:style>
  <w:style w:type="table" w:customStyle="1" w:styleId="TableGrid1">
    <w:name w:val="Table Grid1"/>
    <w:basedOn w:val="TableNormal"/>
    <w:next w:val="TableGrid"/>
    <w:uiPriority w:val="39"/>
    <w:rsid w:val="009D0363"/>
    <w:pPr>
      <w:widowControl/>
    </w:pPr>
    <w:rPr>
      <w:kern w:val="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D0363"/>
  </w:style>
  <w:style w:type="table" w:customStyle="1" w:styleId="TableGrid2">
    <w:name w:val="Table Grid2"/>
    <w:basedOn w:val="TableNormal"/>
    <w:next w:val="TableGrid"/>
    <w:uiPriority w:val="39"/>
    <w:rsid w:val="009D0363"/>
    <w:pPr>
      <w:widowControl/>
    </w:pPr>
    <w:rPr>
      <w:kern w:val="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C7113"/>
  </w:style>
  <w:style w:type="table" w:customStyle="1" w:styleId="TableGrid4">
    <w:name w:val="Table Grid4"/>
    <w:basedOn w:val="TableNormal"/>
    <w:next w:val="TableGrid"/>
    <w:uiPriority w:val="39"/>
    <w:rsid w:val="00CC7113"/>
    <w:pPr>
      <w:widowControl/>
    </w:pPr>
    <w:rPr>
      <w:kern w:val="2"/>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D2487"/>
    <w:pPr>
      <w:widowControl/>
    </w:p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4">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5">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6">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7">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a">
    <w:basedOn w:val="TableNormal"/>
    <w:pPr>
      <w:widowControl/>
    </w:pPr>
    <w:rPr>
      <w:rFonts w:ascii="Calibri" w:eastAsia="Calibri" w:hAnsi="Calibri" w:cs="Calibri"/>
      <w:sz w:val="20"/>
      <w:szCs w:val="20"/>
    </w:rPr>
    <w:tblPr>
      <w:tblStyleRowBandSize w:val="1"/>
      <w:tblStyleColBandSize w:val="1"/>
      <w:tblCellMar>
        <w:left w:w="115" w:type="dxa"/>
        <w:right w:w="115" w:type="dxa"/>
      </w:tblCellMar>
    </w:tblPr>
    <w:tcPr>
      <w:shd w:val="clear" w:color="auto" w:fill="DBEEF3"/>
    </w:tc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character" w:customStyle="1" w:styleId="CaptionChar">
    <w:name w:val="Caption Char"/>
    <w:basedOn w:val="DefaultParagraphFont"/>
    <w:link w:val="Caption"/>
    <w:uiPriority w:val="35"/>
    <w:locked/>
    <w:rsid w:val="006A7B78"/>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949">
      <w:bodyDiv w:val="1"/>
      <w:marLeft w:val="0"/>
      <w:marRight w:val="0"/>
      <w:marTop w:val="0"/>
      <w:marBottom w:val="0"/>
      <w:divBdr>
        <w:top w:val="none" w:sz="0" w:space="0" w:color="auto"/>
        <w:left w:val="none" w:sz="0" w:space="0" w:color="auto"/>
        <w:bottom w:val="none" w:sz="0" w:space="0" w:color="auto"/>
        <w:right w:val="none" w:sz="0" w:space="0" w:color="auto"/>
      </w:divBdr>
    </w:div>
    <w:div w:id="15742129">
      <w:bodyDiv w:val="1"/>
      <w:marLeft w:val="0"/>
      <w:marRight w:val="0"/>
      <w:marTop w:val="0"/>
      <w:marBottom w:val="0"/>
      <w:divBdr>
        <w:top w:val="none" w:sz="0" w:space="0" w:color="auto"/>
        <w:left w:val="none" w:sz="0" w:space="0" w:color="auto"/>
        <w:bottom w:val="none" w:sz="0" w:space="0" w:color="auto"/>
        <w:right w:val="none" w:sz="0" w:space="0" w:color="auto"/>
      </w:divBdr>
    </w:div>
    <w:div w:id="56100587">
      <w:bodyDiv w:val="1"/>
      <w:marLeft w:val="0"/>
      <w:marRight w:val="0"/>
      <w:marTop w:val="0"/>
      <w:marBottom w:val="0"/>
      <w:divBdr>
        <w:top w:val="none" w:sz="0" w:space="0" w:color="auto"/>
        <w:left w:val="none" w:sz="0" w:space="0" w:color="auto"/>
        <w:bottom w:val="none" w:sz="0" w:space="0" w:color="auto"/>
        <w:right w:val="none" w:sz="0" w:space="0" w:color="auto"/>
      </w:divBdr>
    </w:div>
    <w:div w:id="60560908">
      <w:bodyDiv w:val="1"/>
      <w:marLeft w:val="0"/>
      <w:marRight w:val="0"/>
      <w:marTop w:val="0"/>
      <w:marBottom w:val="0"/>
      <w:divBdr>
        <w:top w:val="none" w:sz="0" w:space="0" w:color="auto"/>
        <w:left w:val="none" w:sz="0" w:space="0" w:color="auto"/>
        <w:bottom w:val="none" w:sz="0" w:space="0" w:color="auto"/>
        <w:right w:val="none" w:sz="0" w:space="0" w:color="auto"/>
      </w:divBdr>
    </w:div>
    <w:div w:id="84572104">
      <w:bodyDiv w:val="1"/>
      <w:marLeft w:val="0"/>
      <w:marRight w:val="0"/>
      <w:marTop w:val="0"/>
      <w:marBottom w:val="0"/>
      <w:divBdr>
        <w:top w:val="none" w:sz="0" w:space="0" w:color="auto"/>
        <w:left w:val="none" w:sz="0" w:space="0" w:color="auto"/>
        <w:bottom w:val="none" w:sz="0" w:space="0" w:color="auto"/>
        <w:right w:val="none" w:sz="0" w:space="0" w:color="auto"/>
      </w:divBdr>
    </w:div>
    <w:div w:id="97412640">
      <w:bodyDiv w:val="1"/>
      <w:marLeft w:val="0"/>
      <w:marRight w:val="0"/>
      <w:marTop w:val="0"/>
      <w:marBottom w:val="0"/>
      <w:divBdr>
        <w:top w:val="none" w:sz="0" w:space="0" w:color="auto"/>
        <w:left w:val="none" w:sz="0" w:space="0" w:color="auto"/>
        <w:bottom w:val="none" w:sz="0" w:space="0" w:color="auto"/>
        <w:right w:val="none" w:sz="0" w:space="0" w:color="auto"/>
      </w:divBdr>
    </w:div>
    <w:div w:id="112096921">
      <w:bodyDiv w:val="1"/>
      <w:marLeft w:val="0"/>
      <w:marRight w:val="0"/>
      <w:marTop w:val="0"/>
      <w:marBottom w:val="0"/>
      <w:divBdr>
        <w:top w:val="none" w:sz="0" w:space="0" w:color="auto"/>
        <w:left w:val="none" w:sz="0" w:space="0" w:color="auto"/>
        <w:bottom w:val="none" w:sz="0" w:space="0" w:color="auto"/>
        <w:right w:val="none" w:sz="0" w:space="0" w:color="auto"/>
      </w:divBdr>
    </w:div>
    <w:div w:id="138571416">
      <w:bodyDiv w:val="1"/>
      <w:marLeft w:val="0"/>
      <w:marRight w:val="0"/>
      <w:marTop w:val="0"/>
      <w:marBottom w:val="0"/>
      <w:divBdr>
        <w:top w:val="none" w:sz="0" w:space="0" w:color="auto"/>
        <w:left w:val="none" w:sz="0" w:space="0" w:color="auto"/>
        <w:bottom w:val="none" w:sz="0" w:space="0" w:color="auto"/>
        <w:right w:val="none" w:sz="0" w:space="0" w:color="auto"/>
      </w:divBdr>
    </w:div>
    <w:div w:id="193883865">
      <w:bodyDiv w:val="1"/>
      <w:marLeft w:val="0"/>
      <w:marRight w:val="0"/>
      <w:marTop w:val="0"/>
      <w:marBottom w:val="0"/>
      <w:divBdr>
        <w:top w:val="none" w:sz="0" w:space="0" w:color="auto"/>
        <w:left w:val="none" w:sz="0" w:space="0" w:color="auto"/>
        <w:bottom w:val="none" w:sz="0" w:space="0" w:color="auto"/>
        <w:right w:val="none" w:sz="0" w:space="0" w:color="auto"/>
      </w:divBdr>
    </w:div>
    <w:div w:id="216284398">
      <w:bodyDiv w:val="1"/>
      <w:marLeft w:val="0"/>
      <w:marRight w:val="0"/>
      <w:marTop w:val="0"/>
      <w:marBottom w:val="0"/>
      <w:divBdr>
        <w:top w:val="none" w:sz="0" w:space="0" w:color="auto"/>
        <w:left w:val="none" w:sz="0" w:space="0" w:color="auto"/>
        <w:bottom w:val="none" w:sz="0" w:space="0" w:color="auto"/>
        <w:right w:val="none" w:sz="0" w:space="0" w:color="auto"/>
      </w:divBdr>
    </w:div>
    <w:div w:id="233708133">
      <w:bodyDiv w:val="1"/>
      <w:marLeft w:val="0"/>
      <w:marRight w:val="0"/>
      <w:marTop w:val="0"/>
      <w:marBottom w:val="0"/>
      <w:divBdr>
        <w:top w:val="none" w:sz="0" w:space="0" w:color="auto"/>
        <w:left w:val="none" w:sz="0" w:space="0" w:color="auto"/>
        <w:bottom w:val="none" w:sz="0" w:space="0" w:color="auto"/>
        <w:right w:val="none" w:sz="0" w:space="0" w:color="auto"/>
      </w:divBdr>
    </w:div>
    <w:div w:id="253437673">
      <w:bodyDiv w:val="1"/>
      <w:marLeft w:val="0"/>
      <w:marRight w:val="0"/>
      <w:marTop w:val="0"/>
      <w:marBottom w:val="0"/>
      <w:divBdr>
        <w:top w:val="none" w:sz="0" w:space="0" w:color="auto"/>
        <w:left w:val="none" w:sz="0" w:space="0" w:color="auto"/>
        <w:bottom w:val="none" w:sz="0" w:space="0" w:color="auto"/>
        <w:right w:val="none" w:sz="0" w:space="0" w:color="auto"/>
      </w:divBdr>
    </w:div>
    <w:div w:id="318340393">
      <w:bodyDiv w:val="1"/>
      <w:marLeft w:val="0"/>
      <w:marRight w:val="0"/>
      <w:marTop w:val="0"/>
      <w:marBottom w:val="0"/>
      <w:divBdr>
        <w:top w:val="none" w:sz="0" w:space="0" w:color="auto"/>
        <w:left w:val="none" w:sz="0" w:space="0" w:color="auto"/>
        <w:bottom w:val="none" w:sz="0" w:space="0" w:color="auto"/>
        <w:right w:val="none" w:sz="0" w:space="0" w:color="auto"/>
      </w:divBdr>
    </w:div>
    <w:div w:id="324941671">
      <w:bodyDiv w:val="1"/>
      <w:marLeft w:val="0"/>
      <w:marRight w:val="0"/>
      <w:marTop w:val="0"/>
      <w:marBottom w:val="0"/>
      <w:divBdr>
        <w:top w:val="none" w:sz="0" w:space="0" w:color="auto"/>
        <w:left w:val="none" w:sz="0" w:space="0" w:color="auto"/>
        <w:bottom w:val="none" w:sz="0" w:space="0" w:color="auto"/>
        <w:right w:val="none" w:sz="0" w:space="0" w:color="auto"/>
      </w:divBdr>
    </w:div>
    <w:div w:id="326711688">
      <w:bodyDiv w:val="1"/>
      <w:marLeft w:val="0"/>
      <w:marRight w:val="0"/>
      <w:marTop w:val="0"/>
      <w:marBottom w:val="0"/>
      <w:divBdr>
        <w:top w:val="none" w:sz="0" w:space="0" w:color="auto"/>
        <w:left w:val="none" w:sz="0" w:space="0" w:color="auto"/>
        <w:bottom w:val="none" w:sz="0" w:space="0" w:color="auto"/>
        <w:right w:val="none" w:sz="0" w:space="0" w:color="auto"/>
      </w:divBdr>
    </w:div>
    <w:div w:id="337387111">
      <w:bodyDiv w:val="1"/>
      <w:marLeft w:val="0"/>
      <w:marRight w:val="0"/>
      <w:marTop w:val="0"/>
      <w:marBottom w:val="0"/>
      <w:divBdr>
        <w:top w:val="none" w:sz="0" w:space="0" w:color="auto"/>
        <w:left w:val="none" w:sz="0" w:space="0" w:color="auto"/>
        <w:bottom w:val="none" w:sz="0" w:space="0" w:color="auto"/>
        <w:right w:val="none" w:sz="0" w:space="0" w:color="auto"/>
      </w:divBdr>
    </w:div>
    <w:div w:id="373971422">
      <w:bodyDiv w:val="1"/>
      <w:marLeft w:val="0"/>
      <w:marRight w:val="0"/>
      <w:marTop w:val="0"/>
      <w:marBottom w:val="0"/>
      <w:divBdr>
        <w:top w:val="none" w:sz="0" w:space="0" w:color="auto"/>
        <w:left w:val="none" w:sz="0" w:space="0" w:color="auto"/>
        <w:bottom w:val="none" w:sz="0" w:space="0" w:color="auto"/>
        <w:right w:val="none" w:sz="0" w:space="0" w:color="auto"/>
      </w:divBdr>
    </w:div>
    <w:div w:id="403138763">
      <w:bodyDiv w:val="1"/>
      <w:marLeft w:val="0"/>
      <w:marRight w:val="0"/>
      <w:marTop w:val="0"/>
      <w:marBottom w:val="0"/>
      <w:divBdr>
        <w:top w:val="none" w:sz="0" w:space="0" w:color="auto"/>
        <w:left w:val="none" w:sz="0" w:space="0" w:color="auto"/>
        <w:bottom w:val="none" w:sz="0" w:space="0" w:color="auto"/>
        <w:right w:val="none" w:sz="0" w:space="0" w:color="auto"/>
      </w:divBdr>
    </w:div>
    <w:div w:id="403454559">
      <w:bodyDiv w:val="1"/>
      <w:marLeft w:val="0"/>
      <w:marRight w:val="0"/>
      <w:marTop w:val="0"/>
      <w:marBottom w:val="0"/>
      <w:divBdr>
        <w:top w:val="none" w:sz="0" w:space="0" w:color="auto"/>
        <w:left w:val="none" w:sz="0" w:space="0" w:color="auto"/>
        <w:bottom w:val="none" w:sz="0" w:space="0" w:color="auto"/>
        <w:right w:val="none" w:sz="0" w:space="0" w:color="auto"/>
      </w:divBdr>
    </w:div>
    <w:div w:id="403725086">
      <w:bodyDiv w:val="1"/>
      <w:marLeft w:val="0"/>
      <w:marRight w:val="0"/>
      <w:marTop w:val="0"/>
      <w:marBottom w:val="0"/>
      <w:divBdr>
        <w:top w:val="none" w:sz="0" w:space="0" w:color="auto"/>
        <w:left w:val="none" w:sz="0" w:space="0" w:color="auto"/>
        <w:bottom w:val="none" w:sz="0" w:space="0" w:color="auto"/>
        <w:right w:val="none" w:sz="0" w:space="0" w:color="auto"/>
      </w:divBdr>
    </w:div>
    <w:div w:id="407926833">
      <w:bodyDiv w:val="1"/>
      <w:marLeft w:val="0"/>
      <w:marRight w:val="0"/>
      <w:marTop w:val="0"/>
      <w:marBottom w:val="0"/>
      <w:divBdr>
        <w:top w:val="none" w:sz="0" w:space="0" w:color="auto"/>
        <w:left w:val="none" w:sz="0" w:space="0" w:color="auto"/>
        <w:bottom w:val="none" w:sz="0" w:space="0" w:color="auto"/>
        <w:right w:val="none" w:sz="0" w:space="0" w:color="auto"/>
      </w:divBdr>
    </w:div>
    <w:div w:id="422921300">
      <w:bodyDiv w:val="1"/>
      <w:marLeft w:val="0"/>
      <w:marRight w:val="0"/>
      <w:marTop w:val="0"/>
      <w:marBottom w:val="0"/>
      <w:divBdr>
        <w:top w:val="none" w:sz="0" w:space="0" w:color="auto"/>
        <w:left w:val="none" w:sz="0" w:space="0" w:color="auto"/>
        <w:bottom w:val="none" w:sz="0" w:space="0" w:color="auto"/>
        <w:right w:val="none" w:sz="0" w:space="0" w:color="auto"/>
      </w:divBdr>
    </w:div>
    <w:div w:id="430661074">
      <w:bodyDiv w:val="1"/>
      <w:marLeft w:val="0"/>
      <w:marRight w:val="0"/>
      <w:marTop w:val="0"/>
      <w:marBottom w:val="0"/>
      <w:divBdr>
        <w:top w:val="none" w:sz="0" w:space="0" w:color="auto"/>
        <w:left w:val="none" w:sz="0" w:space="0" w:color="auto"/>
        <w:bottom w:val="none" w:sz="0" w:space="0" w:color="auto"/>
        <w:right w:val="none" w:sz="0" w:space="0" w:color="auto"/>
      </w:divBdr>
    </w:div>
    <w:div w:id="460340653">
      <w:bodyDiv w:val="1"/>
      <w:marLeft w:val="0"/>
      <w:marRight w:val="0"/>
      <w:marTop w:val="0"/>
      <w:marBottom w:val="0"/>
      <w:divBdr>
        <w:top w:val="none" w:sz="0" w:space="0" w:color="auto"/>
        <w:left w:val="none" w:sz="0" w:space="0" w:color="auto"/>
        <w:bottom w:val="none" w:sz="0" w:space="0" w:color="auto"/>
        <w:right w:val="none" w:sz="0" w:space="0" w:color="auto"/>
      </w:divBdr>
    </w:div>
    <w:div w:id="501358947">
      <w:bodyDiv w:val="1"/>
      <w:marLeft w:val="0"/>
      <w:marRight w:val="0"/>
      <w:marTop w:val="0"/>
      <w:marBottom w:val="0"/>
      <w:divBdr>
        <w:top w:val="none" w:sz="0" w:space="0" w:color="auto"/>
        <w:left w:val="none" w:sz="0" w:space="0" w:color="auto"/>
        <w:bottom w:val="none" w:sz="0" w:space="0" w:color="auto"/>
        <w:right w:val="none" w:sz="0" w:space="0" w:color="auto"/>
      </w:divBdr>
    </w:div>
    <w:div w:id="525825347">
      <w:bodyDiv w:val="1"/>
      <w:marLeft w:val="0"/>
      <w:marRight w:val="0"/>
      <w:marTop w:val="0"/>
      <w:marBottom w:val="0"/>
      <w:divBdr>
        <w:top w:val="none" w:sz="0" w:space="0" w:color="auto"/>
        <w:left w:val="none" w:sz="0" w:space="0" w:color="auto"/>
        <w:bottom w:val="none" w:sz="0" w:space="0" w:color="auto"/>
        <w:right w:val="none" w:sz="0" w:space="0" w:color="auto"/>
      </w:divBdr>
    </w:div>
    <w:div w:id="536428626">
      <w:bodyDiv w:val="1"/>
      <w:marLeft w:val="0"/>
      <w:marRight w:val="0"/>
      <w:marTop w:val="0"/>
      <w:marBottom w:val="0"/>
      <w:divBdr>
        <w:top w:val="none" w:sz="0" w:space="0" w:color="auto"/>
        <w:left w:val="none" w:sz="0" w:space="0" w:color="auto"/>
        <w:bottom w:val="none" w:sz="0" w:space="0" w:color="auto"/>
        <w:right w:val="none" w:sz="0" w:space="0" w:color="auto"/>
      </w:divBdr>
    </w:div>
    <w:div w:id="548998605">
      <w:bodyDiv w:val="1"/>
      <w:marLeft w:val="0"/>
      <w:marRight w:val="0"/>
      <w:marTop w:val="0"/>
      <w:marBottom w:val="0"/>
      <w:divBdr>
        <w:top w:val="none" w:sz="0" w:space="0" w:color="auto"/>
        <w:left w:val="none" w:sz="0" w:space="0" w:color="auto"/>
        <w:bottom w:val="none" w:sz="0" w:space="0" w:color="auto"/>
        <w:right w:val="none" w:sz="0" w:space="0" w:color="auto"/>
      </w:divBdr>
    </w:div>
    <w:div w:id="549808830">
      <w:bodyDiv w:val="1"/>
      <w:marLeft w:val="0"/>
      <w:marRight w:val="0"/>
      <w:marTop w:val="0"/>
      <w:marBottom w:val="0"/>
      <w:divBdr>
        <w:top w:val="none" w:sz="0" w:space="0" w:color="auto"/>
        <w:left w:val="none" w:sz="0" w:space="0" w:color="auto"/>
        <w:bottom w:val="none" w:sz="0" w:space="0" w:color="auto"/>
        <w:right w:val="none" w:sz="0" w:space="0" w:color="auto"/>
      </w:divBdr>
    </w:div>
    <w:div w:id="555776951">
      <w:bodyDiv w:val="1"/>
      <w:marLeft w:val="0"/>
      <w:marRight w:val="0"/>
      <w:marTop w:val="0"/>
      <w:marBottom w:val="0"/>
      <w:divBdr>
        <w:top w:val="none" w:sz="0" w:space="0" w:color="auto"/>
        <w:left w:val="none" w:sz="0" w:space="0" w:color="auto"/>
        <w:bottom w:val="none" w:sz="0" w:space="0" w:color="auto"/>
        <w:right w:val="none" w:sz="0" w:space="0" w:color="auto"/>
      </w:divBdr>
    </w:div>
    <w:div w:id="566570833">
      <w:bodyDiv w:val="1"/>
      <w:marLeft w:val="0"/>
      <w:marRight w:val="0"/>
      <w:marTop w:val="0"/>
      <w:marBottom w:val="0"/>
      <w:divBdr>
        <w:top w:val="none" w:sz="0" w:space="0" w:color="auto"/>
        <w:left w:val="none" w:sz="0" w:space="0" w:color="auto"/>
        <w:bottom w:val="none" w:sz="0" w:space="0" w:color="auto"/>
        <w:right w:val="none" w:sz="0" w:space="0" w:color="auto"/>
      </w:divBdr>
    </w:div>
    <w:div w:id="600528076">
      <w:bodyDiv w:val="1"/>
      <w:marLeft w:val="0"/>
      <w:marRight w:val="0"/>
      <w:marTop w:val="0"/>
      <w:marBottom w:val="0"/>
      <w:divBdr>
        <w:top w:val="none" w:sz="0" w:space="0" w:color="auto"/>
        <w:left w:val="none" w:sz="0" w:space="0" w:color="auto"/>
        <w:bottom w:val="none" w:sz="0" w:space="0" w:color="auto"/>
        <w:right w:val="none" w:sz="0" w:space="0" w:color="auto"/>
      </w:divBdr>
    </w:div>
    <w:div w:id="622002373">
      <w:bodyDiv w:val="1"/>
      <w:marLeft w:val="0"/>
      <w:marRight w:val="0"/>
      <w:marTop w:val="0"/>
      <w:marBottom w:val="0"/>
      <w:divBdr>
        <w:top w:val="none" w:sz="0" w:space="0" w:color="auto"/>
        <w:left w:val="none" w:sz="0" w:space="0" w:color="auto"/>
        <w:bottom w:val="none" w:sz="0" w:space="0" w:color="auto"/>
        <w:right w:val="none" w:sz="0" w:space="0" w:color="auto"/>
      </w:divBdr>
    </w:div>
    <w:div w:id="647519066">
      <w:bodyDiv w:val="1"/>
      <w:marLeft w:val="0"/>
      <w:marRight w:val="0"/>
      <w:marTop w:val="0"/>
      <w:marBottom w:val="0"/>
      <w:divBdr>
        <w:top w:val="none" w:sz="0" w:space="0" w:color="auto"/>
        <w:left w:val="none" w:sz="0" w:space="0" w:color="auto"/>
        <w:bottom w:val="none" w:sz="0" w:space="0" w:color="auto"/>
        <w:right w:val="none" w:sz="0" w:space="0" w:color="auto"/>
      </w:divBdr>
    </w:div>
    <w:div w:id="662272517">
      <w:bodyDiv w:val="1"/>
      <w:marLeft w:val="0"/>
      <w:marRight w:val="0"/>
      <w:marTop w:val="0"/>
      <w:marBottom w:val="0"/>
      <w:divBdr>
        <w:top w:val="none" w:sz="0" w:space="0" w:color="auto"/>
        <w:left w:val="none" w:sz="0" w:space="0" w:color="auto"/>
        <w:bottom w:val="none" w:sz="0" w:space="0" w:color="auto"/>
        <w:right w:val="none" w:sz="0" w:space="0" w:color="auto"/>
      </w:divBdr>
    </w:div>
    <w:div w:id="666247807">
      <w:bodyDiv w:val="1"/>
      <w:marLeft w:val="0"/>
      <w:marRight w:val="0"/>
      <w:marTop w:val="0"/>
      <w:marBottom w:val="0"/>
      <w:divBdr>
        <w:top w:val="none" w:sz="0" w:space="0" w:color="auto"/>
        <w:left w:val="none" w:sz="0" w:space="0" w:color="auto"/>
        <w:bottom w:val="none" w:sz="0" w:space="0" w:color="auto"/>
        <w:right w:val="none" w:sz="0" w:space="0" w:color="auto"/>
      </w:divBdr>
    </w:div>
    <w:div w:id="667753119">
      <w:bodyDiv w:val="1"/>
      <w:marLeft w:val="0"/>
      <w:marRight w:val="0"/>
      <w:marTop w:val="0"/>
      <w:marBottom w:val="0"/>
      <w:divBdr>
        <w:top w:val="none" w:sz="0" w:space="0" w:color="auto"/>
        <w:left w:val="none" w:sz="0" w:space="0" w:color="auto"/>
        <w:bottom w:val="none" w:sz="0" w:space="0" w:color="auto"/>
        <w:right w:val="none" w:sz="0" w:space="0" w:color="auto"/>
      </w:divBdr>
    </w:div>
    <w:div w:id="701321004">
      <w:bodyDiv w:val="1"/>
      <w:marLeft w:val="0"/>
      <w:marRight w:val="0"/>
      <w:marTop w:val="0"/>
      <w:marBottom w:val="0"/>
      <w:divBdr>
        <w:top w:val="none" w:sz="0" w:space="0" w:color="auto"/>
        <w:left w:val="none" w:sz="0" w:space="0" w:color="auto"/>
        <w:bottom w:val="none" w:sz="0" w:space="0" w:color="auto"/>
        <w:right w:val="none" w:sz="0" w:space="0" w:color="auto"/>
      </w:divBdr>
    </w:div>
    <w:div w:id="705065723">
      <w:bodyDiv w:val="1"/>
      <w:marLeft w:val="0"/>
      <w:marRight w:val="0"/>
      <w:marTop w:val="0"/>
      <w:marBottom w:val="0"/>
      <w:divBdr>
        <w:top w:val="none" w:sz="0" w:space="0" w:color="auto"/>
        <w:left w:val="none" w:sz="0" w:space="0" w:color="auto"/>
        <w:bottom w:val="none" w:sz="0" w:space="0" w:color="auto"/>
        <w:right w:val="none" w:sz="0" w:space="0" w:color="auto"/>
      </w:divBdr>
    </w:div>
    <w:div w:id="727609676">
      <w:bodyDiv w:val="1"/>
      <w:marLeft w:val="0"/>
      <w:marRight w:val="0"/>
      <w:marTop w:val="0"/>
      <w:marBottom w:val="0"/>
      <w:divBdr>
        <w:top w:val="none" w:sz="0" w:space="0" w:color="auto"/>
        <w:left w:val="none" w:sz="0" w:space="0" w:color="auto"/>
        <w:bottom w:val="none" w:sz="0" w:space="0" w:color="auto"/>
        <w:right w:val="none" w:sz="0" w:space="0" w:color="auto"/>
      </w:divBdr>
    </w:div>
    <w:div w:id="762453857">
      <w:bodyDiv w:val="1"/>
      <w:marLeft w:val="0"/>
      <w:marRight w:val="0"/>
      <w:marTop w:val="0"/>
      <w:marBottom w:val="0"/>
      <w:divBdr>
        <w:top w:val="none" w:sz="0" w:space="0" w:color="auto"/>
        <w:left w:val="none" w:sz="0" w:space="0" w:color="auto"/>
        <w:bottom w:val="none" w:sz="0" w:space="0" w:color="auto"/>
        <w:right w:val="none" w:sz="0" w:space="0" w:color="auto"/>
      </w:divBdr>
    </w:div>
    <w:div w:id="775442329">
      <w:bodyDiv w:val="1"/>
      <w:marLeft w:val="0"/>
      <w:marRight w:val="0"/>
      <w:marTop w:val="0"/>
      <w:marBottom w:val="0"/>
      <w:divBdr>
        <w:top w:val="none" w:sz="0" w:space="0" w:color="auto"/>
        <w:left w:val="none" w:sz="0" w:space="0" w:color="auto"/>
        <w:bottom w:val="none" w:sz="0" w:space="0" w:color="auto"/>
        <w:right w:val="none" w:sz="0" w:space="0" w:color="auto"/>
      </w:divBdr>
    </w:div>
    <w:div w:id="790396770">
      <w:bodyDiv w:val="1"/>
      <w:marLeft w:val="0"/>
      <w:marRight w:val="0"/>
      <w:marTop w:val="0"/>
      <w:marBottom w:val="0"/>
      <w:divBdr>
        <w:top w:val="none" w:sz="0" w:space="0" w:color="auto"/>
        <w:left w:val="none" w:sz="0" w:space="0" w:color="auto"/>
        <w:bottom w:val="none" w:sz="0" w:space="0" w:color="auto"/>
        <w:right w:val="none" w:sz="0" w:space="0" w:color="auto"/>
      </w:divBdr>
    </w:div>
    <w:div w:id="807092153">
      <w:bodyDiv w:val="1"/>
      <w:marLeft w:val="0"/>
      <w:marRight w:val="0"/>
      <w:marTop w:val="0"/>
      <w:marBottom w:val="0"/>
      <w:divBdr>
        <w:top w:val="none" w:sz="0" w:space="0" w:color="auto"/>
        <w:left w:val="none" w:sz="0" w:space="0" w:color="auto"/>
        <w:bottom w:val="none" w:sz="0" w:space="0" w:color="auto"/>
        <w:right w:val="none" w:sz="0" w:space="0" w:color="auto"/>
      </w:divBdr>
    </w:div>
    <w:div w:id="816454891">
      <w:bodyDiv w:val="1"/>
      <w:marLeft w:val="0"/>
      <w:marRight w:val="0"/>
      <w:marTop w:val="0"/>
      <w:marBottom w:val="0"/>
      <w:divBdr>
        <w:top w:val="none" w:sz="0" w:space="0" w:color="auto"/>
        <w:left w:val="none" w:sz="0" w:space="0" w:color="auto"/>
        <w:bottom w:val="none" w:sz="0" w:space="0" w:color="auto"/>
        <w:right w:val="none" w:sz="0" w:space="0" w:color="auto"/>
      </w:divBdr>
    </w:div>
    <w:div w:id="831139516">
      <w:bodyDiv w:val="1"/>
      <w:marLeft w:val="0"/>
      <w:marRight w:val="0"/>
      <w:marTop w:val="0"/>
      <w:marBottom w:val="0"/>
      <w:divBdr>
        <w:top w:val="none" w:sz="0" w:space="0" w:color="auto"/>
        <w:left w:val="none" w:sz="0" w:space="0" w:color="auto"/>
        <w:bottom w:val="none" w:sz="0" w:space="0" w:color="auto"/>
        <w:right w:val="none" w:sz="0" w:space="0" w:color="auto"/>
      </w:divBdr>
    </w:div>
    <w:div w:id="837648074">
      <w:bodyDiv w:val="1"/>
      <w:marLeft w:val="0"/>
      <w:marRight w:val="0"/>
      <w:marTop w:val="0"/>
      <w:marBottom w:val="0"/>
      <w:divBdr>
        <w:top w:val="none" w:sz="0" w:space="0" w:color="auto"/>
        <w:left w:val="none" w:sz="0" w:space="0" w:color="auto"/>
        <w:bottom w:val="none" w:sz="0" w:space="0" w:color="auto"/>
        <w:right w:val="none" w:sz="0" w:space="0" w:color="auto"/>
      </w:divBdr>
    </w:div>
    <w:div w:id="844444069">
      <w:bodyDiv w:val="1"/>
      <w:marLeft w:val="0"/>
      <w:marRight w:val="0"/>
      <w:marTop w:val="0"/>
      <w:marBottom w:val="0"/>
      <w:divBdr>
        <w:top w:val="none" w:sz="0" w:space="0" w:color="auto"/>
        <w:left w:val="none" w:sz="0" w:space="0" w:color="auto"/>
        <w:bottom w:val="none" w:sz="0" w:space="0" w:color="auto"/>
        <w:right w:val="none" w:sz="0" w:space="0" w:color="auto"/>
      </w:divBdr>
    </w:div>
    <w:div w:id="844784296">
      <w:bodyDiv w:val="1"/>
      <w:marLeft w:val="0"/>
      <w:marRight w:val="0"/>
      <w:marTop w:val="0"/>
      <w:marBottom w:val="0"/>
      <w:divBdr>
        <w:top w:val="none" w:sz="0" w:space="0" w:color="auto"/>
        <w:left w:val="none" w:sz="0" w:space="0" w:color="auto"/>
        <w:bottom w:val="none" w:sz="0" w:space="0" w:color="auto"/>
        <w:right w:val="none" w:sz="0" w:space="0" w:color="auto"/>
      </w:divBdr>
    </w:div>
    <w:div w:id="902985958">
      <w:bodyDiv w:val="1"/>
      <w:marLeft w:val="0"/>
      <w:marRight w:val="0"/>
      <w:marTop w:val="0"/>
      <w:marBottom w:val="0"/>
      <w:divBdr>
        <w:top w:val="none" w:sz="0" w:space="0" w:color="auto"/>
        <w:left w:val="none" w:sz="0" w:space="0" w:color="auto"/>
        <w:bottom w:val="none" w:sz="0" w:space="0" w:color="auto"/>
        <w:right w:val="none" w:sz="0" w:space="0" w:color="auto"/>
      </w:divBdr>
    </w:div>
    <w:div w:id="922571441">
      <w:bodyDiv w:val="1"/>
      <w:marLeft w:val="0"/>
      <w:marRight w:val="0"/>
      <w:marTop w:val="0"/>
      <w:marBottom w:val="0"/>
      <w:divBdr>
        <w:top w:val="none" w:sz="0" w:space="0" w:color="auto"/>
        <w:left w:val="none" w:sz="0" w:space="0" w:color="auto"/>
        <w:bottom w:val="none" w:sz="0" w:space="0" w:color="auto"/>
        <w:right w:val="none" w:sz="0" w:space="0" w:color="auto"/>
      </w:divBdr>
    </w:div>
    <w:div w:id="939214223">
      <w:bodyDiv w:val="1"/>
      <w:marLeft w:val="0"/>
      <w:marRight w:val="0"/>
      <w:marTop w:val="0"/>
      <w:marBottom w:val="0"/>
      <w:divBdr>
        <w:top w:val="none" w:sz="0" w:space="0" w:color="auto"/>
        <w:left w:val="none" w:sz="0" w:space="0" w:color="auto"/>
        <w:bottom w:val="none" w:sz="0" w:space="0" w:color="auto"/>
        <w:right w:val="none" w:sz="0" w:space="0" w:color="auto"/>
      </w:divBdr>
    </w:div>
    <w:div w:id="956520964">
      <w:bodyDiv w:val="1"/>
      <w:marLeft w:val="0"/>
      <w:marRight w:val="0"/>
      <w:marTop w:val="0"/>
      <w:marBottom w:val="0"/>
      <w:divBdr>
        <w:top w:val="none" w:sz="0" w:space="0" w:color="auto"/>
        <w:left w:val="none" w:sz="0" w:space="0" w:color="auto"/>
        <w:bottom w:val="none" w:sz="0" w:space="0" w:color="auto"/>
        <w:right w:val="none" w:sz="0" w:space="0" w:color="auto"/>
      </w:divBdr>
    </w:div>
    <w:div w:id="983047572">
      <w:bodyDiv w:val="1"/>
      <w:marLeft w:val="0"/>
      <w:marRight w:val="0"/>
      <w:marTop w:val="0"/>
      <w:marBottom w:val="0"/>
      <w:divBdr>
        <w:top w:val="none" w:sz="0" w:space="0" w:color="auto"/>
        <w:left w:val="none" w:sz="0" w:space="0" w:color="auto"/>
        <w:bottom w:val="none" w:sz="0" w:space="0" w:color="auto"/>
        <w:right w:val="none" w:sz="0" w:space="0" w:color="auto"/>
      </w:divBdr>
    </w:div>
    <w:div w:id="998965818">
      <w:bodyDiv w:val="1"/>
      <w:marLeft w:val="0"/>
      <w:marRight w:val="0"/>
      <w:marTop w:val="0"/>
      <w:marBottom w:val="0"/>
      <w:divBdr>
        <w:top w:val="none" w:sz="0" w:space="0" w:color="auto"/>
        <w:left w:val="none" w:sz="0" w:space="0" w:color="auto"/>
        <w:bottom w:val="none" w:sz="0" w:space="0" w:color="auto"/>
        <w:right w:val="none" w:sz="0" w:space="0" w:color="auto"/>
      </w:divBdr>
    </w:div>
    <w:div w:id="1011105983">
      <w:bodyDiv w:val="1"/>
      <w:marLeft w:val="0"/>
      <w:marRight w:val="0"/>
      <w:marTop w:val="0"/>
      <w:marBottom w:val="0"/>
      <w:divBdr>
        <w:top w:val="none" w:sz="0" w:space="0" w:color="auto"/>
        <w:left w:val="none" w:sz="0" w:space="0" w:color="auto"/>
        <w:bottom w:val="none" w:sz="0" w:space="0" w:color="auto"/>
        <w:right w:val="none" w:sz="0" w:space="0" w:color="auto"/>
      </w:divBdr>
    </w:div>
    <w:div w:id="1018845722">
      <w:bodyDiv w:val="1"/>
      <w:marLeft w:val="0"/>
      <w:marRight w:val="0"/>
      <w:marTop w:val="0"/>
      <w:marBottom w:val="0"/>
      <w:divBdr>
        <w:top w:val="none" w:sz="0" w:space="0" w:color="auto"/>
        <w:left w:val="none" w:sz="0" w:space="0" w:color="auto"/>
        <w:bottom w:val="none" w:sz="0" w:space="0" w:color="auto"/>
        <w:right w:val="none" w:sz="0" w:space="0" w:color="auto"/>
      </w:divBdr>
    </w:div>
    <w:div w:id="1055393521">
      <w:bodyDiv w:val="1"/>
      <w:marLeft w:val="0"/>
      <w:marRight w:val="0"/>
      <w:marTop w:val="0"/>
      <w:marBottom w:val="0"/>
      <w:divBdr>
        <w:top w:val="none" w:sz="0" w:space="0" w:color="auto"/>
        <w:left w:val="none" w:sz="0" w:space="0" w:color="auto"/>
        <w:bottom w:val="none" w:sz="0" w:space="0" w:color="auto"/>
        <w:right w:val="none" w:sz="0" w:space="0" w:color="auto"/>
      </w:divBdr>
    </w:div>
    <w:div w:id="1056318108">
      <w:bodyDiv w:val="1"/>
      <w:marLeft w:val="0"/>
      <w:marRight w:val="0"/>
      <w:marTop w:val="0"/>
      <w:marBottom w:val="0"/>
      <w:divBdr>
        <w:top w:val="none" w:sz="0" w:space="0" w:color="auto"/>
        <w:left w:val="none" w:sz="0" w:space="0" w:color="auto"/>
        <w:bottom w:val="none" w:sz="0" w:space="0" w:color="auto"/>
        <w:right w:val="none" w:sz="0" w:space="0" w:color="auto"/>
      </w:divBdr>
      <w:divsChild>
        <w:div w:id="332682274">
          <w:marLeft w:val="0"/>
          <w:marRight w:val="0"/>
          <w:marTop w:val="0"/>
          <w:marBottom w:val="0"/>
          <w:divBdr>
            <w:top w:val="none" w:sz="0" w:space="0" w:color="auto"/>
            <w:left w:val="none" w:sz="0" w:space="0" w:color="auto"/>
            <w:bottom w:val="none" w:sz="0" w:space="0" w:color="auto"/>
            <w:right w:val="none" w:sz="0" w:space="0" w:color="auto"/>
          </w:divBdr>
          <w:divsChild>
            <w:div w:id="15501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773498">
      <w:bodyDiv w:val="1"/>
      <w:marLeft w:val="0"/>
      <w:marRight w:val="0"/>
      <w:marTop w:val="0"/>
      <w:marBottom w:val="0"/>
      <w:divBdr>
        <w:top w:val="none" w:sz="0" w:space="0" w:color="auto"/>
        <w:left w:val="none" w:sz="0" w:space="0" w:color="auto"/>
        <w:bottom w:val="none" w:sz="0" w:space="0" w:color="auto"/>
        <w:right w:val="none" w:sz="0" w:space="0" w:color="auto"/>
      </w:divBdr>
    </w:div>
    <w:div w:id="1074856214">
      <w:bodyDiv w:val="1"/>
      <w:marLeft w:val="0"/>
      <w:marRight w:val="0"/>
      <w:marTop w:val="0"/>
      <w:marBottom w:val="0"/>
      <w:divBdr>
        <w:top w:val="none" w:sz="0" w:space="0" w:color="auto"/>
        <w:left w:val="none" w:sz="0" w:space="0" w:color="auto"/>
        <w:bottom w:val="none" w:sz="0" w:space="0" w:color="auto"/>
        <w:right w:val="none" w:sz="0" w:space="0" w:color="auto"/>
      </w:divBdr>
    </w:div>
    <w:div w:id="1082143603">
      <w:bodyDiv w:val="1"/>
      <w:marLeft w:val="0"/>
      <w:marRight w:val="0"/>
      <w:marTop w:val="0"/>
      <w:marBottom w:val="0"/>
      <w:divBdr>
        <w:top w:val="none" w:sz="0" w:space="0" w:color="auto"/>
        <w:left w:val="none" w:sz="0" w:space="0" w:color="auto"/>
        <w:bottom w:val="none" w:sz="0" w:space="0" w:color="auto"/>
        <w:right w:val="none" w:sz="0" w:space="0" w:color="auto"/>
      </w:divBdr>
    </w:div>
    <w:div w:id="1090587293">
      <w:bodyDiv w:val="1"/>
      <w:marLeft w:val="0"/>
      <w:marRight w:val="0"/>
      <w:marTop w:val="0"/>
      <w:marBottom w:val="0"/>
      <w:divBdr>
        <w:top w:val="none" w:sz="0" w:space="0" w:color="auto"/>
        <w:left w:val="none" w:sz="0" w:space="0" w:color="auto"/>
        <w:bottom w:val="none" w:sz="0" w:space="0" w:color="auto"/>
        <w:right w:val="none" w:sz="0" w:space="0" w:color="auto"/>
      </w:divBdr>
    </w:div>
    <w:div w:id="1106121111">
      <w:bodyDiv w:val="1"/>
      <w:marLeft w:val="0"/>
      <w:marRight w:val="0"/>
      <w:marTop w:val="0"/>
      <w:marBottom w:val="0"/>
      <w:divBdr>
        <w:top w:val="none" w:sz="0" w:space="0" w:color="auto"/>
        <w:left w:val="none" w:sz="0" w:space="0" w:color="auto"/>
        <w:bottom w:val="none" w:sz="0" w:space="0" w:color="auto"/>
        <w:right w:val="none" w:sz="0" w:space="0" w:color="auto"/>
      </w:divBdr>
    </w:div>
    <w:div w:id="1114247788">
      <w:bodyDiv w:val="1"/>
      <w:marLeft w:val="0"/>
      <w:marRight w:val="0"/>
      <w:marTop w:val="0"/>
      <w:marBottom w:val="0"/>
      <w:divBdr>
        <w:top w:val="none" w:sz="0" w:space="0" w:color="auto"/>
        <w:left w:val="none" w:sz="0" w:space="0" w:color="auto"/>
        <w:bottom w:val="none" w:sz="0" w:space="0" w:color="auto"/>
        <w:right w:val="none" w:sz="0" w:space="0" w:color="auto"/>
      </w:divBdr>
    </w:div>
    <w:div w:id="1115715095">
      <w:bodyDiv w:val="1"/>
      <w:marLeft w:val="0"/>
      <w:marRight w:val="0"/>
      <w:marTop w:val="0"/>
      <w:marBottom w:val="0"/>
      <w:divBdr>
        <w:top w:val="none" w:sz="0" w:space="0" w:color="auto"/>
        <w:left w:val="none" w:sz="0" w:space="0" w:color="auto"/>
        <w:bottom w:val="none" w:sz="0" w:space="0" w:color="auto"/>
        <w:right w:val="none" w:sz="0" w:space="0" w:color="auto"/>
      </w:divBdr>
    </w:div>
    <w:div w:id="1115908208">
      <w:bodyDiv w:val="1"/>
      <w:marLeft w:val="0"/>
      <w:marRight w:val="0"/>
      <w:marTop w:val="0"/>
      <w:marBottom w:val="0"/>
      <w:divBdr>
        <w:top w:val="none" w:sz="0" w:space="0" w:color="auto"/>
        <w:left w:val="none" w:sz="0" w:space="0" w:color="auto"/>
        <w:bottom w:val="none" w:sz="0" w:space="0" w:color="auto"/>
        <w:right w:val="none" w:sz="0" w:space="0" w:color="auto"/>
      </w:divBdr>
    </w:div>
    <w:div w:id="1160074474">
      <w:bodyDiv w:val="1"/>
      <w:marLeft w:val="0"/>
      <w:marRight w:val="0"/>
      <w:marTop w:val="0"/>
      <w:marBottom w:val="0"/>
      <w:divBdr>
        <w:top w:val="none" w:sz="0" w:space="0" w:color="auto"/>
        <w:left w:val="none" w:sz="0" w:space="0" w:color="auto"/>
        <w:bottom w:val="none" w:sz="0" w:space="0" w:color="auto"/>
        <w:right w:val="none" w:sz="0" w:space="0" w:color="auto"/>
      </w:divBdr>
    </w:div>
    <w:div w:id="1183399874">
      <w:bodyDiv w:val="1"/>
      <w:marLeft w:val="0"/>
      <w:marRight w:val="0"/>
      <w:marTop w:val="0"/>
      <w:marBottom w:val="0"/>
      <w:divBdr>
        <w:top w:val="none" w:sz="0" w:space="0" w:color="auto"/>
        <w:left w:val="none" w:sz="0" w:space="0" w:color="auto"/>
        <w:bottom w:val="none" w:sz="0" w:space="0" w:color="auto"/>
        <w:right w:val="none" w:sz="0" w:space="0" w:color="auto"/>
      </w:divBdr>
    </w:div>
    <w:div w:id="1210385673">
      <w:bodyDiv w:val="1"/>
      <w:marLeft w:val="0"/>
      <w:marRight w:val="0"/>
      <w:marTop w:val="0"/>
      <w:marBottom w:val="0"/>
      <w:divBdr>
        <w:top w:val="none" w:sz="0" w:space="0" w:color="auto"/>
        <w:left w:val="none" w:sz="0" w:space="0" w:color="auto"/>
        <w:bottom w:val="none" w:sz="0" w:space="0" w:color="auto"/>
        <w:right w:val="none" w:sz="0" w:space="0" w:color="auto"/>
      </w:divBdr>
    </w:div>
    <w:div w:id="1235049236">
      <w:bodyDiv w:val="1"/>
      <w:marLeft w:val="0"/>
      <w:marRight w:val="0"/>
      <w:marTop w:val="0"/>
      <w:marBottom w:val="0"/>
      <w:divBdr>
        <w:top w:val="none" w:sz="0" w:space="0" w:color="auto"/>
        <w:left w:val="none" w:sz="0" w:space="0" w:color="auto"/>
        <w:bottom w:val="none" w:sz="0" w:space="0" w:color="auto"/>
        <w:right w:val="none" w:sz="0" w:space="0" w:color="auto"/>
      </w:divBdr>
    </w:div>
    <w:div w:id="1245650994">
      <w:bodyDiv w:val="1"/>
      <w:marLeft w:val="0"/>
      <w:marRight w:val="0"/>
      <w:marTop w:val="0"/>
      <w:marBottom w:val="0"/>
      <w:divBdr>
        <w:top w:val="none" w:sz="0" w:space="0" w:color="auto"/>
        <w:left w:val="none" w:sz="0" w:space="0" w:color="auto"/>
        <w:bottom w:val="none" w:sz="0" w:space="0" w:color="auto"/>
        <w:right w:val="none" w:sz="0" w:space="0" w:color="auto"/>
      </w:divBdr>
    </w:div>
    <w:div w:id="1258753300">
      <w:bodyDiv w:val="1"/>
      <w:marLeft w:val="0"/>
      <w:marRight w:val="0"/>
      <w:marTop w:val="0"/>
      <w:marBottom w:val="0"/>
      <w:divBdr>
        <w:top w:val="none" w:sz="0" w:space="0" w:color="auto"/>
        <w:left w:val="none" w:sz="0" w:space="0" w:color="auto"/>
        <w:bottom w:val="none" w:sz="0" w:space="0" w:color="auto"/>
        <w:right w:val="none" w:sz="0" w:space="0" w:color="auto"/>
      </w:divBdr>
    </w:div>
    <w:div w:id="1276018633">
      <w:bodyDiv w:val="1"/>
      <w:marLeft w:val="0"/>
      <w:marRight w:val="0"/>
      <w:marTop w:val="0"/>
      <w:marBottom w:val="0"/>
      <w:divBdr>
        <w:top w:val="none" w:sz="0" w:space="0" w:color="auto"/>
        <w:left w:val="none" w:sz="0" w:space="0" w:color="auto"/>
        <w:bottom w:val="none" w:sz="0" w:space="0" w:color="auto"/>
        <w:right w:val="none" w:sz="0" w:space="0" w:color="auto"/>
      </w:divBdr>
    </w:div>
    <w:div w:id="1286351235">
      <w:bodyDiv w:val="1"/>
      <w:marLeft w:val="0"/>
      <w:marRight w:val="0"/>
      <w:marTop w:val="0"/>
      <w:marBottom w:val="0"/>
      <w:divBdr>
        <w:top w:val="none" w:sz="0" w:space="0" w:color="auto"/>
        <w:left w:val="none" w:sz="0" w:space="0" w:color="auto"/>
        <w:bottom w:val="none" w:sz="0" w:space="0" w:color="auto"/>
        <w:right w:val="none" w:sz="0" w:space="0" w:color="auto"/>
      </w:divBdr>
    </w:div>
    <w:div w:id="1325086592">
      <w:bodyDiv w:val="1"/>
      <w:marLeft w:val="0"/>
      <w:marRight w:val="0"/>
      <w:marTop w:val="0"/>
      <w:marBottom w:val="0"/>
      <w:divBdr>
        <w:top w:val="none" w:sz="0" w:space="0" w:color="auto"/>
        <w:left w:val="none" w:sz="0" w:space="0" w:color="auto"/>
        <w:bottom w:val="none" w:sz="0" w:space="0" w:color="auto"/>
        <w:right w:val="none" w:sz="0" w:space="0" w:color="auto"/>
      </w:divBdr>
    </w:div>
    <w:div w:id="1341739729">
      <w:bodyDiv w:val="1"/>
      <w:marLeft w:val="0"/>
      <w:marRight w:val="0"/>
      <w:marTop w:val="0"/>
      <w:marBottom w:val="0"/>
      <w:divBdr>
        <w:top w:val="none" w:sz="0" w:space="0" w:color="auto"/>
        <w:left w:val="none" w:sz="0" w:space="0" w:color="auto"/>
        <w:bottom w:val="none" w:sz="0" w:space="0" w:color="auto"/>
        <w:right w:val="none" w:sz="0" w:space="0" w:color="auto"/>
      </w:divBdr>
      <w:divsChild>
        <w:div w:id="39014991">
          <w:marLeft w:val="0"/>
          <w:marRight w:val="0"/>
          <w:marTop w:val="0"/>
          <w:marBottom w:val="0"/>
          <w:divBdr>
            <w:top w:val="none" w:sz="0" w:space="0" w:color="auto"/>
            <w:left w:val="none" w:sz="0" w:space="0" w:color="auto"/>
            <w:bottom w:val="none" w:sz="0" w:space="0" w:color="auto"/>
            <w:right w:val="none" w:sz="0" w:space="0" w:color="auto"/>
          </w:divBdr>
          <w:divsChild>
            <w:div w:id="1951080343">
              <w:marLeft w:val="0"/>
              <w:marRight w:val="0"/>
              <w:marTop w:val="0"/>
              <w:marBottom w:val="0"/>
              <w:divBdr>
                <w:top w:val="none" w:sz="0" w:space="0" w:color="auto"/>
                <w:left w:val="none" w:sz="0" w:space="0" w:color="auto"/>
                <w:bottom w:val="none" w:sz="0" w:space="0" w:color="auto"/>
                <w:right w:val="none" w:sz="0" w:space="0" w:color="auto"/>
              </w:divBdr>
              <w:divsChild>
                <w:div w:id="1357731505">
                  <w:marLeft w:val="0"/>
                  <w:marRight w:val="0"/>
                  <w:marTop w:val="0"/>
                  <w:marBottom w:val="0"/>
                  <w:divBdr>
                    <w:top w:val="none" w:sz="0" w:space="0" w:color="auto"/>
                    <w:left w:val="none" w:sz="0" w:space="0" w:color="auto"/>
                    <w:bottom w:val="none" w:sz="0" w:space="0" w:color="auto"/>
                    <w:right w:val="none" w:sz="0" w:space="0" w:color="auto"/>
                  </w:divBdr>
                  <w:divsChild>
                    <w:div w:id="384334341">
                      <w:marLeft w:val="0"/>
                      <w:marRight w:val="0"/>
                      <w:marTop w:val="0"/>
                      <w:marBottom w:val="0"/>
                      <w:divBdr>
                        <w:top w:val="none" w:sz="0" w:space="0" w:color="auto"/>
                        <w:left w:val="none" w:sz="0" w:space="0" w:color="auto"/>
                        <w:bottom w:val="none" w:sz="0" w:space="0" w:color="auto"/>
                        <w:right w:val="none" w:sz="0" w:space="0" w:color="auto"/>
                      </w:divBdr>
                      <w:divsChild>
                        <w:div w:id="1363700741">
                          <w:marLeft w:val="0"/>
                          <w:marRight w:val="0"/>
                          <w:marTop w:val="0"/>
                          <w:marBottom w:val="0"/>
                          <w:divBdr>
                            <w:top w:val="none" w:sz="0" w:space="0" w:color="auto"/>
                            <w:left w:val="none" w:sz="0" w:space="0" w:color="auto"/>
                            <w:bottom w:val="none" w:sz="0" w:space="0" w:color="auto"/>
                            <w:right w:val="none" w:sz="0" w:space="0" w:color="auto"/>
                          </w:divBdr>
                          <w:divsChild>
                            <w:div w:id="1216235884">
                              <w:marLeft w:val="0"/>
                              <w:marRight w:val="0"/>
                              <w:marTop w:val="0"/>
                              <w:marBottom w:val="0"/>
                              <w:divBdr>
                                <w:top w:val="none" w:sz="0" w:space="0" w:color="auto"/>
                                <w:left w:val="none" w:sz="0" w:space="0" w:color="auto"/>
                                <w:bottom w:val="none" w:sz="0" w:space="0" w:color="auto"/>
                                <w:right w:val="none" w:sz="0" w:space="0" w:color="auto"/>
                              </w:divBdr>
                              <w:divsChild>
                                <w:div w:id="608006687">
                                  <w:marLeft w:val="0"/>
                                  <w:marRight w:val="0"/>
                                  <w:marTop w:val="0"/>
                                  <w:marBottom w:val="0"/>
                                  <w:divBdr>
                                    <w:top w:val="none" w:sz="0" w:space="0" w:color="auto"/>
                                    <w:left w:val="none" w:sz="0" w:space="0" w:color="auto"/>
                                    <w:bottom w:val="none" w:sz="0" w:space="0" w:color="auto"/>
                                    <w:right w:val="none" w:sz="0" w:space="0" w:color="auto"/>
                                  </w:divBdr>
                                  <w:divsChild>
                                    <w:div w:id="17225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13688">
                          <w:marLeft w:val="0"/>
                          <w:marRight w:val="0"/>
                          <w:marTop w:val="0"/>
                          <w:marBottom w:val="0"/>
                          <w:divBdr>
                            <w:top w:val="none" w:sz="0" w:space="0" w:color="auto"/>
                            <w:left w:val="none" w:sz="0" w:space="0" w:color="auto"/>
                            <w:bottom w:val="none" w:sz="0" w:space="0" w:color="auto"/>
                            <w:right w:val="none" w:sz="0" w:space="0" w:color="auto"/>
                          </w:divBdr>
                          <w:divsChild>
                            <w:div w:id="559899709">
                              <w:marLeft w:val="0"/>
                              <w:marRight w:val="0"/>
                              <w:marTop w:val="0"/>
                              <w:marBottom w:val="0"/>
                              <w:divBdr>
                                <w:top w:val="none" w:sz="0" w:space="0" w:color="auto"/>
                                <w:left w:val="none" w:sz="0" w:space="0" w:color="auto"/>
                                <w:bottom w:val="none" w:sz="0" w:space="0" w:color="auto"/>
                                <w:right w:val="none" w:sz="0" w:space="0" w:color="auto"/>
                              </w:divBdr>
                              <w:divsChild>
                                <w:div w:id="44342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6317741">
      <w:bodyDiv w:val="1"/>
      <w:marLeft w:val="0"/>
      <w:marRight w:val="0"/>
      <w:marTop w:val="0"/>
      <w:marBottom w:val="0"/>
      <w:divBdr>
        <w:top w:val="none" w:sz="0" w:space="0" w:color="auto"/>
        <w:left w:val="none" w:sz="0" w:space="0" w:color="auto"/>
        <w:bottom w:val="none" w:sz="0" w:space="0" w:color="auto"/>
        <w:right w:val="none" w:sz="0" w:space="0" w:color="auto"/>
      </w:divBdr>
    </w:div>
    <w:div w:id="1474832035">
      <w:bodyDiv w:val="1"/>
      <w:marLeft w:val="0"/>
      <w:marRight w:val="0"/>
      <w:marTop w:val="0"/>
      <w:marBottom w:val="0"/>
      <w:divBdr>
        <w:top w:val="none" w:sz="0" w:space="0" w:color="auto"/>
        <w:left w:val="none" w:sz="0" w:space="0" w:color="auto"/>
        <w:bottom w:val="none" w:sz="0" w:space="0" w:color="auto"/>
        <w:right w:val="none" w:sz="0" w:space="0" w:color="auto"/>
      </w:divBdr>
    </w:div>
    <w:div w:id="1475415241">
      <w:bodyDiv w:val="1"/>
      <w:marLeft w:val="0"/>
      <w:marRight w:val="0"/>
      <w:marTop w:val="0"/>
      <w:marBottom w:val="0"/>
      <w:divBdr>
        <w:top w:val="none" w:sz="0" w:space="0" w:color="auto"/>
        <w:left w:val="none" w:sz="0" w:space="0" w:color="auto"/>
        <w:bottom w:val="none" w:sz="0" w:space="0" w:color="auto"/>
        <w:right w:val="none" w:sz="0" w:space="0" w:color="auto"/>
      </w:divBdr>
    </w:div>
    <w:div w:id="1497647137">
      <w:bodyDiv w:val="1"/>
      <w:marLeft w:val="0"/>
      <w:marRight w:val="0"/>
      <w:marTop w:val="0"/>
      <w:marBottom w:val="0"/>
      <w:divBdr>
        <w:top w:val="none" w:sz="0" w:space="0" w:color="auto"/>
        <w:left w:val="none" w:sz="0" w:space="0" w:color="auto"/>
        <w:bottom w:val="none" w:sz="0" w:space="0" w:color="auto"/>
        <w:right w:val="none" w:sz="0" w:space="0" w:color="auto"/>
      </w:divBdr>
    </w:div>
    <w:div w:id="1499081364">
      <w:bodyDiv w:val="1"/>
      <w:marLeft w:val="0"/>
      <w:marRight w:val="0"/>
      <w:marTop w:val="0"/>
      <w:marBottom w:val="0"/>
      <w:divBdr>
        <w:top w:val="none" w:sz="0" w:space="0" w:color="auto"/>
        <w:left w:val="none" w:sz="0" w:space="0" w:color="auto"/>
        <w:bottom w:val="none" w:sz="0" w:space="0" w:color="auto"/>
        <w:right w:val="none" w:sz="0" w:space="0" w:color="auto"/>
      </w:divBdr>
    </w:div>
    <w:div w:id="1506019662">
      <w:bodyDiv w:val="1"/>
      <w:marLeft w:val="0"/>
      <w:marRight w:val="0"/>
      <w:marTop w:val="0"/>
      <w:marBottom w:val="0"/>
      <w:divBdr>
        <w:top w:val="none" w:sz="0" w:space="0" w:color="auto"/>
        <w:left w:val="none" w:sz="0" w:space="0" w:color="auto"/>
        <w:bottom w:val="none" w:sz="0" w:space="0" w:color="auto"/>
        <w:right w:val="none" w:sz="0" w:space="0" w:color="auto"/>
      </w:divBdr>
    </w:div>
    <w:div w:id="1536578965">
      <w:bodyDiv w:val="1"/>
      <w:marLeft w:val="0"/>
      <w:marRight w:val="0"/>
      <w:marTop w:val="0"/>
      <w:marBottom w:val="0"/>
      <w:divBdr>
        <w:top w:val="none" w:sz="0" w:space="0" w:color="auto"/>
        <w:left w:val="none" w:sz="0" w:space="0" w:color="auto"/>
        <w:bottom w:val="none" w:sz="0" w:space="0" w:color="auto"/>
        <w:right w:val="none" w:sz="0" w:space="0" w:color="auto"/>
      </w:divBdr>
    </w:div>
    <w:div w:id="1552574671">
      <w:bodyDiv w:val="1"/>
      <w:marLeft w:val="0"/>
      <w:marRight w:val="0"/>
      <w:marTop w:val="0"/>
      <w:marBottom w:val="0"/>
      <w:divBdr>
        <w:top w:val="none" w:sz="0" w:space="0" w:color="auto"/>
        <w:left w:val="none" w:sz="0" w:space="0" w:color="auto"/>
        <w:bottom w:val="none" w:sz="0" w:space="0" w:color="auto"/>
        <w:right w:val="none" w:sz="0" w:space="0" w:color="auto"/>
      </w:divBdr>
    </w:div>
    <w:div w:id="1553733588">
      <w:bodyDiv w:val="1"/>
      <w:marLeft w:val="0"/>
      <w:marRight w:val="0"/>
      <w:marTop w:val="0"/>
      <w:marBottom w:val="0"/>
      <w:divBdr>
        <w:top w:val="none" w:sz="0" w:space="0" w:color="auto"/>
        <w:left w:val="none" w:sz="0" w:space="0" w:color="auto"/>
        <w:bottom w:val="none" w:sz="0" w:space="0" w:color="auto"/>
        <w:right w:val="none" w:sz="0" w:space="0" w:color="auto"/>
      </w:divBdr>
    </w:div>
    <w:div w:id="1557425008">
      <w:bodyDiv w:val="1"/>
      <w:marLeft w:val="0"/>
      <w:marRight w:val="0"/>
      <w:marTop w:val="0"/>
      <w:marBottom w:val="0"/>
      <w:divBdr>
        <w:top w:val="none" w:sz="0" w:space="0" w:color="auto"/>
        <w:left w:val="none" w:sz="0" w:space="0" w:color="auto"/>
        <w:bottom w:val="none" w:sz="0" w:space="0" w:color="auto"/>
        <w:right w:val="none" w:sz="0" w:space="0" w:color="auto"/>
      </w:divBdr>
    </w:div>
    <w:div w:id="1564834486">
      <w:bodyDiv w:val="1"/>
      <w:marLeft w:val="0"/>
      <w:marRight w:val="0"/>
      <w:marTop w:val="0"/>
      <w:marBottom w:val="0"/>
      <w:divBdr>
        <w:top w:val="none" w:sz="0" w:space="0" w:color="auto"/>
        <w:left w:val="none" w:sz="0" w:space="0" w:color="auto"/>
        <w:bottom w:val="none" w:sz="0" w:space="0" w:color="auto"/>
        <w:right w:val="none" w:sz="0" w:space="0" w:color="auto"/>
      </w:divBdr>
    </w:div>
    <w:div w:id="1570075312">
      <w:bodyDiv w:val="1"/>
      <w:marLeft w:val="0"/>
      <w:marRight w:val="0"/>
      <w:marTop w:val="0"/>
      <w:marBottom w:val="0"/>
      <w:divBdr>
        <w:top w:val="none" w:sz="0" w:space="0" w:color="auto"/>
        <w:left w:val="none" w:sz="0" w:space="0" w:color="auto"/>
        <w:bottom w:val="none" w:sz="0" w:space="0" w:color="auto"/>
        <w:right w:val="none" w:sz="0" w:space="0" w:color="auto"/>
      </w:divBdr>
    </w:div>
    <w:div w:id="1570118695">
      <w:bodyDiv w:val="1"/>
      <w:marLeft w:val="0"/>
      <w:marRight w:val="0"/>
      <w:marTop w:val="0"/>
      <w:marBottom w:val="0"/>
      <w:divBdr>
        <w:top w:val="none" w:sz="0" w:space="0" w:color="auto"/>
        <w:left w:val="none" w:sz="0" w:space="0" w:color="auto"/>
        <w:bottom w:val="none" w:sz="0" w:space="0" w:color="auto"/>
        <w:right w:val="none" w:sz="0" w:space="0" w:color="auto"/>
      </w:divBdr>
    </w:div>
    <w:div w:id="1600258284">
      <w:bodyDiv w:val="1"/>
      <w:marLeft w:val="0"/>
      <w:marRight w:val="0"/>
      <w:marTop w:val="0"/>
      <w:marBottom w:val="0"/>
      <w:divBdr>
        <w:top w:val="none" w:sz="0" w:space="0" w:color="auto"/>
        <w:left w:val="none" w:sz="0" w:space="0" w:color="auto"/>
        <w:bottom w:val="none" w:sz="0" w:space="0" w:color="auto"/>
        <w:right w:val="none" w:sz="0" w:space="0" w:color="auto"/>
      </w:divBdr>
    </w:div>
    <w:div w:id="1603411836">
      <w:bodyDiv w:val="1"/>
      <w:marLeft w:val="0"/>
      <w:marRight w:val="0"/>
      <w:marTop w:val="0"/>
      <w:marBottom w:val="0"/>
      <w:divBdr>
        <w:top w:val="none" w:sz="0" w:space="0" w:color="auto"/>
        <w:left w:val="none" w:sz="0" w:space="0" w:color="auto"/>
        <w:bottom w:val="none" w:sz="0" w:space="0" w:color="auto"/>
        <w:right w:val="none" w:sz="0" w:space="0" w:color="auto"/>
      </w:divBdr>
    </w:div>
    <w:div w:id="1627156108">
      <w:bodyDiv w:val="1"/>
      <w:marLeft w:val="0"/>
      <w:marRight w:val="0"/>
      <w:marTop w:val="0"/>
      <w:marBottom w:val="0"/>
      <w:divBdr>
        <w:top w:val="none" w:sz="0" w:space="0" w:color="auto"/>
        <w:left w:val="none" w:sz="0" w:space="0" w:color="auto"/>
        <w:bottom w:val="none" w:sz="0" w:space="0" w:color="auto"/>
        <w:right w:val="none" w:sz="0" w:space="0" w:color="auto"/>
      </w:divBdr>
    </w:div>
    <w:div w:id="1665939254">
      <w:bodyDiv w:val="1"/>
      <w:marLeft w:val="0"/>
      <w:marRight w:val="0"/>
      <w:marTop w:val="0"/>
      <w:marBottom w:val="0"/>
      <w:divBdr>
        <w:top w:val="none" w:sz="0" w:space="0" w:color="auto"/>
        <w:left w:val="none" w:sz="0" w:space="0" w:color="auto"/>
        <w:bottom w:val="none" w:sz="0" w:space="0" w:color="auto"/>
        <w:right w:val="none" w:sz="0" w:space="0" w:color="auto"/>
      </w:divBdr>
    </w:div>
    <w:div w:id="1667708780">
      <w:bodyDiv w:val="1"/>
      <w:marLeft w:val="0"/>
      <w:marRight w:val="0"/>
      <w:marTop w:val="0"/>
      <w:marBottom w:val="0"/>
      <w:divBdr>
        <w:top w:val="none" w:sz="0" w:space="0" w:color="auto"/>
        <w:left w:val="none" w:sz="0" w:space="0" w:color="auto"/>
        <w:bottom w:val="none" w:sz="0" w:space="0" w:color="auto"/>
        <w:right w:val="none" w:sz="0" w:space="0" w:color="auto"/>
      </w:divBdr>
    </w:div>
    <w:div w:id="1670793621">
      <w:bodyDiv w:val="1"/>
      <w:marLeft w:val="0"/>
      <w:marRight w:val="0"/>
      <w:marTop w:val="0"/>
      <w:marBottom w:val="0"/>
      <w:divBdr>
        <w:top w:val="none" w:sz="0" w:space="0" w:color="auto"/>
        <w:left w:val="none" w:sz="0" w:space="0" w:color="auto"/>
        <w:bottom w:val="none" w:sz="0" w:space="0" w:color="auto"/>
        <w:right w:val="none" w:sz="0" w:space="0" w:color="auto"/>
      </w:divBdr>
    </w:div>
    <w:div w:id="1676181106">
      <w:bodyDiv w:val="1"/>
      <w:marLeft w:val="0"/>
      <w:marRight w:val="0"/>
      <w:marTop w:val="0"/>
      <w:marBottom w:val="0"/>
      <w:divBdr>
        <w:top w:val="none" w:sz="0" w:space="0" w:color="auto"/>
        <w:left w:val="none" w:sz="0" w:space="0" w:color="auto"/>
        <w:bottom w:val="none" w:sz="0" w:space="0" w:color="auto"/>
        <w:right w:val="none" w:sz="0" w:space="0" w:color="auto"/>
      </w:divBdr>
    </w:div>
    <w:div w:id="1684090186">
      <w:bodyDiv w:val="1"/>
      <w:marLeft w:val="0"/>
      <w:marRight w:val="0"/>
      <w:marTop w:val="0"/>
      <w:marBottom w:val="0"/>
      <w:divBdr>
        <w:top w:val="none" w:sz="0" w:space="0" w:color="auto"/>
        <w:left w:val="none" w:sz="0" w:space="0" w:color="auto"/>
        <w:bottom w:val="none" w:sz="0" w:space="0" w:color="auto"/>
        <w:right w:val="none" w:sz="0" w:space="0" w:color="auto"/>
      </w:divBdr>
    </w:div>
    <w:div w:id="1691177144">
      <w:bodyDiv w:val="1"/>
      <w:marLeft w:val="0"/>
      <w:marRight w:val="0"/>
      <w:marTop w:val="0"/>
      <w:marBottom w:val="0"/>
      <w:divBdr>
        <w:top w:val="none" w:sz="0" w:space="0" w:color="auto"/>
        <w:left w:val="none" w:sz="0" w:space="0" w:color="auto"/>
        <w:bottom w:val="none" w:sz="0" w:space="0" w:color="auto"/>
        <w:right w:val="none" w:sz="0" w:space="0" w:color="auto"/>
      </w:divBdr>
    </w:div>
    <w:div w:id="1704594818">
      <w:bodyDiv w:val="1"/>
      <w:marLeft w:val="0"/>
      <w:marRight w:val="0"/>
      <w:marTop w:val="0"/>
      <w:marBottom w:val="0"/>
      <w:divBdr>
        <w:top w:val="none" w:sz="0" w:space="0" w:color="auto"/>
        <w:left w:val="none" w:sz="0" w:space="0" w:color="auto"/>
        <w:bottom w:val="none" w:sz="0" w:space="0" w:color="auto"/>
        <w:right w:val="none" w:sz="0" w:space="0" w:color="auto"/>
      </w:divBdr>
    </w:div>
    <w:div w:id="1727946789">
      <w:bodyDiv w:val="1"/>
      <w:marLeft w:val="0"/>
      <w:marRight w:val="0"/>
      <w:marTop w:val="0"/>
      <w:marBottom w:val="0"/>
      <w:divBdr>
        <w:top w:val="none" w:sz="0" w:space="0" w:color="auto"/>
        <w:left w:val="none" w:sz="0" w:space="0" w:color="auto"/>
        <w:bottom w:val="none" w:sz="0" w:space="0" w:color="auto"/>
        <w:right w:val="none" w:sz="0" w:space="0" w:color="auto"/>
      </w:divBdr>
    </w:div>
    <w:div w:id="1755322109">
      <w:bodyDiv w:val="1"/>
      <w:marLeft w:val="0"/>
      <w:marRight w:val="0"/>
      <w:marTop w:val="0"/>
      <w:marBottom w:val="0"/>
      <w:divBdr>
        <w:top w:val="none" w:sz="0" w:space="0" w:color="auto"/>
        <w:left w:val="none" w:sz="0" w:space="0" w:color="auto"/>
        <w:bottom w:val="none" w:sz="0" w:space="0" w:color="auto"/>
        <w:right w:val="none" w:sz="0" w:space="0" w:color="auto"/>
      </w:divBdr>
    </w:div>
    <w:div w:id="1783185059">
      <w:bodyDiv w:val="1"/>
      <w:marLeft w:val="0"/>
      <w:marRight w:val="0"/>
      <w:marTop w:val="0"/>
      <w:marBottom w:val="0"/>
      <w:divBdr>
        <w:top w:val="none" w:sz="0" w:space="0" w:color="auto"/>
        <w:left w:val="none" w:sz="0" w:space="0" w:color="auto"/>
        <w:bottom w:val="none" w:sz="0" w:space="0" w:color="auto"/>
        <w:right w:val="none" w:sz="0" w:space="0" w:color="auto"/>
      </w:divBdr>
    </w:div>
    <w:div w:id="1785928851">
      <w:bodyDiv w:val="1"/>
      <w:marLeft w:val="0"/>
      <w:marRight w:val="0"/>
      <w:marTop w:val="0"/>
      <w:marBottom w:val="0"/>
      <w:divBdr>
        <w:top w:val="none" w:sz="0" w:space="0" w:color="auto"/>
        <w:left w:val="none" w:sz="0" w:space="0" w:color="auto"/>
        <w:bottom w:val="none" w:sz="0" w:space="0" w:color="auto"/>
        <w:right w:val="none" w:sz="0" w:space="0" w:color="auto"/>
      </w:divBdr>
    </w:div>
    <w:div w:id="1810442324">
      <w:bodyDiv w:val="1"/>
      <w:marLeft w:val="0"/>
      <w:marRight w:val="0"/>
      <w:marTop w:val="0"/>
      <w:marBottom w:val="0"/>
      <w:divBdr>
        <w:top w:val="none" w:sz="0" w:space="0" w:color="auto"/>
        <w:left w:val="none" w:sz="0" w:space="0" w:color="auto"/>
        <w:bottom w:val="none" w:sz="0" w:space="0" w:color="auto"/>
        <w:right w:val="none" w:sz="0" w:space="0" w:color="auto"/>
      </w:divBdr>
    </w:div>
    <w:div w:id="1830901587">
      <w:bodyDiv w:val="1"/>
      <w:marLeft w:val="0"/>
      <w:marRight w:val="0"/>
      <w:marTop w:val="0"/>
      <w:marBottom w:val="0"/>
      <w:divBdr>
        <w:top w:val="none" w:sz="0" w:space="0" w:color="auto"/>
        <w:left w:val="none" w:sz="0" w:space="0" w:color="auto"/>
        <w:bottom w:val="none" w:sz="0" w:space="0" w:color="auto"/>
        <w:right w:val="none" w:sz="0" w:space="0" w:color="auto"/>
      </w:divBdr>
    </w:div>
    <w:div w:id="1840466755">
      <w:bodyDiv w:val="1"/>
      <w:marLeft w:val="0"/>
      <w:marRight w:val="0"/>
      <w:marTop w:val="0"/>
      <w:marBottom w:val="0"/>
      <w:divBdr>
        <w:top w:val="none" w:sz="0" w:space="0" w:color="auto"/>
        <w:left w:val="none" w:sz="0" w:space="0" w:color="auto"/>
        <w:bottom w:val="none" w:sz="0" w:space="0" w:color="auto"/>
        <w:right w:val="none" w:sz="0" w:space="0" w:color="auto"/>
      </w:divBdr>
    </w:div>
    <w:div w:id="1848132382">
      <w:bodyDiv w:val="1"/>
      <w:marLeft w:val="0"/>
      <w:marRight w:val="0"/>
      <w:marTop w:val="0"/>
      <w:marBottom w:val="0"/>
      <w:divBdr>
        <w:top w:val="none" w:sz="0" w:space="0" w:color="auto"/>
        <w:left w:val="none" w:sz="0" w:space="0" w:color="auto"/>
        <w:bottom w:val="none" w:sz="0" w:space="0" w:color="auto"/>
        <w:right w:val="none" w:sz="0" w:space="0" w:color="auto"/>
      </w:divBdr>
    </w:div>
    <w:div w:id="1885369343">
      <w:bodyDiv w:val="1"/>
      <w:marLeft w:val="0"/>
      <w:marRight w:val="0"/>
      <w:marTop w:val="0"/>
      <w:marBottom w:val="0"/>
      <w:divBdr>
        <w:top w:val="none" w:sz="0" w:space="0" w:color="auto"/>
        <w:left w:val="none" w:sz="0" w:space="0" w:color="auto"/>
        <w:bottom w:val="none" w:sz="0" w:space="0" w:color="auto"/>
        <w:right w:val="none" w:sz="0" w:space="0" w:color="auto"/>
      </w:divBdr>
    </w:div>
    <w:div w:id="1931699382">
      <w:bodyDiv w:val="1"/>
      <w:marLeft w:val="0"/>
      <w:marRight w:val="0"/>
      <w:marTop w:val="0"/>
      <w:marBottom w:val="0"/>
      <w:divBdr>
        <w:top w:val="none" w:sz="0" w:space="0" w:color="auto"/>
        <w:left w:val="none" w:sz="0" w:space="0" w:color="auto"/>
        <w:bottom w:val="none" w:sz="0" w:space="0" w:color="auto"/>
        <w:right w:val="none" w:sz="0" w:space="0" w:color="auto"/>
      </w:divBdr>
    </w:div>
    <w:div w:id="1976058961">
      <w:bodyDiv w:val="1"/>
      <w:marLeft w:val="0"/>
      <w:marRight w:val="0"/>
      <w:marTop w:val="0"/>
      <w:marBottom w:val="0"/>
      <w:divBdr>
        <w:top w:val="none" w:sz="0" w:space="0" w:color="auto"/>
        <w:left w:val="none" w:sz="0" w:space="0" w:color="auto"/>
        <w:bottom w:val="none" w:sz="0" w:space="0" w:color="auto"/>
        <w:right w:val="none" w:sz="0" w:space="0" w:color="auto"/>
      </w:divBdr>
    </w:div>
    <w:div w:id="1997024896">
      <w:bodyDiv w:val="1"/>
      <w:marLeft w:val="0"/>
      <w:marRight w:val="0"/>
      <w:marTop w:val="0"/>
      <w:marBottom w:val="0"/>
      <w:divBdr>
        <w:top w:val="none" w:sz="0" w:space="0" w:color="auto"/>
        <w:left w:val="none" w:sz="0" w:space="0" w:color="auto"/>
        <w:bottom w:val="none" w:sz="0" w:space="0" w:color="auto"/>
        <w:right w:val="none" w:sz="0" w:space="0" w:color="auto"/>
      </w:divBdr>
    </w:div>
    <w:div w:id="2002806256">
      <w:bodyDiv w:val="1"/>
      <w:marLeft w:val="0"/>
      <w:marRight w:val="0"/>
      <w:marTop w:val="0"/>
      <w:marBottom w:val="0"/>
      <w:divBdr>
        <w:top w:val="none" w:sz="0" w:space="0" w:color="auto"/>
        <w:left w:val="none" w:sz="0" w:space="0" w:color="auto"/>
        <w:bottom w:val="none" w:sz="0" w:space="0" w:color="auto"/>
        <w:right w:val="none" w:sz="0" w:space="0" w:color="auto"/>
      </w:divBdr>
    </w:div>
    <w:div w:id="2006663586">
      <w:bodyDiv w:val="1"/>
      <w:marLeft w:val="0"/>
      <w:marRight w:val="0"/>
      <w:marTop w:val="0"/>
      <w:marBottom w:val="0"/>
      <w:divBdr>
        <w:top w:val="none" w:sz="0" w:space="0" w:color="auto"/>
        <w:left w:val="none" w:sz="0" w:space="0" w:color="auto"/>
        <w:bottom w:val="none" w:sz="0" w:space="0" w:color="auto"/>
        <w:right w:val="none" w:sz="0" w:space="0" w:color="auto"/>
      </w:divBdr>
    </w:div>
    <w:div w:id="2010020535">
      <w:bodyDiv w:val="1"/>
      <w:marLeft w:val="0"/>
      <w:marRight w:val="0"/>
      <w:marTop w:val="0"/>
      <w:marBottom w:val="0"/>
      <w:divBdr>
        <w:top w:val="none" w:sz="0" w:space="0" w:color="auto"/>
        <w:left w:val="none" w:sz="0" w:space="0" w:color="auto"/>
        <w:bottom w:val="none" w:sz="0" w:space="0" w:color="auto"/>
        <w:right w:val="none" w:sz="0" w:space="0" w:color="auto"/>
      </w:divBdr>
    </w:div>
    <w:div w:id="2016495771">
      <w:bodyDiv w:val="1"/>
      <w:marLeft w:val="0"/>
      <w:marRight w:val="0"/>
      <w:marTop w:val="0"/>
      <w:marBottom w:val="0"/>
      <w:divBdr>
        <w:top w:val="none" w:sz="0" w:space="0" w:color="auto"/>
        <w:left w:val="none" w:sz="0" w:space="0" w:color="auto"/>
        <w:bottom w:val="none" w:sz="0" w:space="0" w:color="auto"/>
        <w:right w:val="none" w:sz="0" w:space="0" w:color="auto"/>
      </w:divBdr>
    </w:div>
    <w:div w:id="2047833953">
      <w:bodyDiv w:val="1"/>
      <w:marLeft w:val="0"/>
      <w:marRight w:val="0"/>
      <w:marTop w:val="0"/>
      <w:marBottom w:val="0"/>
      <w:divBdr>
        <w:top w:val="none" w:sz="0" w:space="0" w:color="auto"/>
        <w:left w:val="none" w:sz="0" w:space="0" w:color="auto"/>
        <w:bottom w:val="none" w:sz="0" w:space="0" w:color="auto"/>
        <w:right w:val="none" w:sz="0" w:space="0" w:color="auto"/>
      </w:divBdr>
    </w:div>
    <w:div w:id="2112771636">
      <w:bodyDiv w:val="1"/>
      <w:marLeft w:val="0"/>
      <w:marRight w:val="0"/>
      <w:marTop w:val="0"/>
      <w:marBottom w:val="0"/>
      <w:divBdr>
        <w:top w:val="none" w:sz="0" w:space="0" w:color="auto"/>
        <w:left w:val="none" w:sz="0" w:space="0" w:color="auto"/>
        <w:bottom w:val="none" w:sz="0" w:space="0" w:color="auto"/>
        <w:right w:val="none" w:sz="0" w:space="0" w:color="auto"/>
      </w:divBdr>
      <w:divsChild>
        <w:div w:id="138039835">
          <w:marLeft w:val="0"/>
          <w:marRight w:val="0"/>
          <w:marTop w:val="0"/>
          <w:marBottom w:val="0"/>
          <w:divBdr>
            <w:top w:val="none" w:sz="0" w:space="0" w:color="auto"/>
            <w:left w:val="none" w:sz="0" w:space="0" w:color="auto"/>
            <w:bottom w:val="none" w:sz="0" w:space="0" w:color="auto"/>
            <w:right w:val="none" w:sz="0" w:space="0" w:color="auto"/>
          </w:divBdr>
          <w:divsChild>
            <w:div w:id="199055700">
              <w:marLeft w:val="0"/>
              <w:marRight w:val="0"/>
              <w:marTop w:val="0"/>
              <w:marBottom w:val="0"/>
              <w:divBdr>
                <w:top w:val="none" w:sz="0" w:space="0" w:color="auto"/>
                <w:left w:val="none" w:sz="0" w:space="0" w:color="auto"/>
                <w:bottom w:val="none" w:sz="0" w:space="0" w:color="auto"/>
                <w:right w:val="none" w:sz="0" w:space="0" w:color="auto"/>
              </w:divBdr>
              <w:divsChild>
                <w:div w:id="1479300796">
                  <w:marLeft w:val="0"/>
                  <w:marRight w:val="0"/>
                  <w:marTop w:val="0"/>
                  <w:marBottom w:val="0"/>
                  <w:divBdr>
                    <w:top w:val="none" w:sz="0" w:space="0" w:color="auto"/>
                    <w:left w:val="none" w:sz="0" w:space="0" w:color="auto"/>
                    <w:bottom w:val="none" w:sz="0" w:space="0" w:color="auto"/>
                    <w:right w:val="none" w:sz="0" w:space="0" w:color="auto"/>
                  </w:divBdr>
                  <w:divsChild>
                    <w:div w:id="993025636">
                      <w:marLeft w:val="0"/>
                      <w:marRight w:val="0"/>
                      <w:marTop w:val="0"/>
                      <w:marBottom w:val="0"/>
                      <w:divBdr>
                        <w:top w:val="none" w:sz="0" w:space="0" w:color="auto"/>
                        <w:left w:val="none" w:sz="0" w:space="0" w:color="auto"/>
                        <w:bottom w:val="none" w:sz="0" w:space="0" w:color="auto"/>
                        <w:right w:val="none" w:sz="0" w:space="0" w:color="auto"/>
                      </w:divBdr>
                      <w:divsChild>
                        <w:div w:id="115102047">
                          <w:marLeft w:val="0"/>
                          <w:marRight w:val="0"/>
                          <w:marTop w:val="0"/>
                          <w:marBottom w:val="0"/>
                          <w:divBdr>
                            <w:top w:val="none" w:sz="0" w:space="0" w:color="auto"/>
                            <w:left w:val="none" w:sz="0" w:space="0" w:color="auto"/>
                            <w:bottom w:val="none" w:sz="0" w:space="0" w:color="auto"/>
                            <w:right w:val="none" w:sz="0" w:space="0" w:color="auto"/>
                          </w:divBdr>
                          <w:divsChild>
                            <w:div w:id="1978682477">
                              <w:marLeft w:val="0"/>
                              <w:marRight w:val="0"/>
                              <w:marTop w:val="0"/>
                              <w:marBottom w:val="0"/>
                              <w:divBdr>
                                <w:top w:val="none" w:sz="0" w:space="0" w:color="auto"/>
                                <w:left w:val="none" w:sz="0" w:space="0" w:color="auto"/>
                                <w:bottom w:val="none" w:sz="0" w:space="0" w:color="auto"/>
                                <w:right w:val="none" w:sz="0" w:space="0" w:color="auto"/>
                              </w:divBdr>
                              <w:divsChild>
                                <w:div w:id="1883203838">
                                  <w:marLeft w:val="0"/>
                                  <w:marRight w:val="0"/>
                                  <w:marTop w:val="0"/>
                                  <w:marBottom w:val="0"/>
                                  <w:divBdr>
                                    <w:top w:val="none" w:sz="0" w:space="0" w:color="auto"/>
                                    <w:left w:val="none" w:sz="0" w:space="0" w:color="auto"/>
                                    <w:bottom w:val="none" w:sz="0" w:space="0" w:color="auto"/>
                                    <w:right w:val="none" w:sz="0" w:space="0" w:color="auto"/>
                                  </w:divBdr>
                                  <w:divsChild>
                                    <w:div w:id="201753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9592">
                          <w:marLeft w:val="0"/>
                          <w:marRight w:val="0"/>
                          <w:marTop w:val="0"/>
                          <w:marBottom w:val="0"/>
                          <w:divBdr>
                            <w:top w:val="none" w:sz="0" w:space="0" w:color="auto"/>
                            <w:left w:val="none" w:sz="0" w:space="0" w:color="auto"/>
                            <w:bottom w:val="none" w:sz="0" w:space="0" w:color="auto"/>
                            <w:right w:val="none" w:sz="0" w:space="0" w:color="auto"/>
                          </w:divBdr>
                          <w:divsChild>
                            <w:div w:id="813989484">
                              <w:marLeft w:val="0"/>
                              <w:marRight w:val="0"/>
                              <w:marTop w:val="0"/>
                              <w:marBottom w:val="0"/>
                              <w:divBdr>
                                <w:top w:val="none" w:sz="0" w:space="0" w:color="auto"/>
                                <w:left w:val="none" w:sz="0" w:space="0" w:color="auto"/>
                                <w:bottom w:val="none" w:sz="0" w:space="0" w:color="auto"/>
                                <w:right w:val="none" w:sz="0" w:space="0" w:color="auto"/>
                              </w:divBdr>
                              <w:divsChild>
                                <w:div w:id="10216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428222">
      <w:bodyDiv w:val="1"/>
      <w:marLeft w:val="0"/>
      <w:marRight w:val="0"/>
      <w:marTop w:val="0"/>
      <w:marBottom w:val="0"/>
      <w:divBdr>
        <w:top w:val="none" w:sz="0" w:space="0" w:color="auto"/>
        <w:left w:val="none" w:sz="0" w:space="0" w:color="auto"/>
        <w:bottom w:val="none" w:sz="0" w:space="0" w:color="auto"/>
        <w:right w:val="none" w:sz="0" w:space="0" w:color="auto"/>
      </w:divBdr>
    </w:div>
    <w:div w:id="2139715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16194319043452901"/>
          <c:y val="5.6603773584905662E-2"/>
          <c:w val="0.8054642169728784"/>
          <c:h val="0.73737260436785035"/>
        </c:manualLayout>
      </c:layout>
      <c:barChart>
        <c:barDir val="col"/>
        <c:grouping val="clustered"/>
        <c:varyColors val="0"/>
        <c:ser>
          <c:idx val="0"/>
          <c:order val="0"/>
          <c:tx>
            <c:strRef>
              <c:f>Sheet1!$C$4</c:f>
              <c:strCache>
                <c:ptCount val="1"/>
                <c:pt idx="0">
                  <c:v>2019</c:v>
                </c:pt>
              </c:strCache>
            </c:strRef>
          </c:tx>
          <c:spPr>
            <a:solidFill>
              <a:schemeClr val="accent4">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Lokal</c:v>
                </c:pt>
                <c:pt idx="1">
                  <c:v>Mancanegara</c:v>
                </c:pt>
              </c:strCache>
            </c:strRef>
          </c:cat>
          <c:val>
            <c:numRef>
              <c:f>Sheet1!$C$5:$C$6</c:f>
              <c:numCache>
                <c:formatCode>_(* #,##0_);_(* \(#,##0\);_(* "-"??_);_(@_)</c:formatCode>
                <c:ptCount val="2"/>
                <c:pt idx="0">
                  <c:v>3789225</c:v>
                </c:pt>
                <c:pt idx="1">
                  <c:v>249928</c:v>
                </c:pt>
              </c:numCache>
            </c:numRef>
          </c:val>
          <c:extLst>
            <c:ext xmlns:c16="http://schemas.microsoft.com/office/drawing/2014/chart" uri="{C3380CC4-5D6E-409C-BE32-E72D297353CC}">
              <c16:uniqueId val="{00000000-6B4C-4796-B1B1-7982A442C666}"/>
            </c:ext>
          </c:extLst>
        </c:ser>
        <c:ser>
          <c:idx val="1"/>
          <c:order val="1"/>
          <c:tx>
            <c:strRef>
              <c:f>Sheet1!$D$4</c:f>
              <c:strCache>
                <c:ptCount val="1"/>
                <c:pt idx="0">
                  <c:v>2020</c:v>
                </c:pt>
              </c:strCache>
            </c:strRef>
          </c:tx>
          <c:spPr>
            <a:solidFill>
              <a:schemeClr val="accent4">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Lokal</c:v>
                </c:pt>
                <c:pt idx="1">
                  <c:v>Mancanegara</c:v>
                </c:pt>
              </c:strCache>
            </c:strRef>
          </c:cat>
          <c:val>
            <c:numRef>
              <c:f>Sheet1!$D$5:$D$6</c:f>
              <c:numCache>
                <c:formatCode>_(* #,##0_);_(* \(#,##0\);_(* "-"??_);_(@_)</c:formatCode>
                <c:ptCount val="2"/>
                <c:pt idx="0">
                  <c:v>965699</c:v>
                </c:pt>
                <c:pt idx="1">
                  <c:v>31551</c:v>
                </c:pt>
              </c:numCache>
            </c:numRef>
          </c:val>
          <c:extLst>
            <c:ext xmlns:c16="http://schemas.microsoft.com/office/drawing/2014/chart" uri="{C3380CC4-5D6E-409C-BE32-E72D297353CC}">
              <c16:uniqueId val="{00000001-6B4C-4796-B1B1-7982A442C666}"/>
            </c:ext>
          </c:extLst>
        </c:ser>
        <c:ser>
          <c:idx val="2"/>
          <c:order val="2"/>
          <c:tx>
            <c:strRef>
              <c:f>Sheet1!$E$4</c:f>
              <c:strCache>
                <c:ptCount val="1"/>
                <c:pt idx="0">
                  <c:v>2021</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Lokal</c:v>
                </c:pt>
                <c:pt idx="1">
                  <c:v>Mancanegara</c:v>
                </c:pt>
              </c:strCache>
            </c:strRef>
          </c:cat>
          <c:val>
            <c:numRef>
              <c:f>Sheet1!$E$5:$E$6</c:f>
              <c:numCache>
                <c:formatCode>_(* #,##0_);_(* \(#,##0\);_(* "-"??_);_(@_)</c:formatCode>
                <c:ptCount val="2"/>
                <c:pt idx="0">
                  <c:v>422930</c:v>
                </c:pt>
                <c:pt idx="1">
                  <c:v>674</c:v>
                </c:pt>
              </c:numCache>
            </c:numRef>
          </c:val>
          <c:extLst>
            <c:ext xmlns:c16="http://schemas.microsoft.com/office/drawing/2014/chart" uri="{C3380CC4-5D6E-409C-BE32-E72D297353CC}">
              <c16:uniqueId val="{00000002-6B4C-4796-B1B1-7982A442C666}"/>
            </c:ext>
          </c:extLst>
        </c:ser>
        <c:ser>
          <c:idx val="3"/>
          <c:order val="3"/>
          <c:tx>
            <c:strRef>
              <c:f>Sheet1!$F$4</c:f>
              <c:strCache>
                <c:ptCount val="1"/>
                <c:pt idx="0">
                  <c:v>2023</c:v>
                </c:pt>
              </c:strCache>
            </c:strRef>
          </c:tx>
          <c:spPr>
            <a:solidFill>
              <a:schemeClr val="accent4">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Sheet1!$B$5:$B$6</c:f>
              <c:strCache>
                <c:ptCount val="2"/>
                <c:pt idx="0">
                  <c:v>Lokal</c:v>
                </c:pt>
                <c:pt idx="1">
                  <c:v>Mancanegara</c:v>
                </c:pt>
              </c:strCache>
            </c:strRef>
          </c:cat>
          <c:val>
            <c:numRef>
              <c:f>Sheet1!$F$5:$F$6</c:f>
              <c:numCache>
                <c:formatCode>_(* #,##0_);_(* \(#,##0\);_(* "-"??_);_(@_)</c:formatCode>
                <c:ptCount val="2"/>
                <c:pt idx="0">
                  <c:v>982368</c:v>
                </c:pt>
                <c:pt idx="1">
                  <c:v>167973</c:v>
                </c:pt>
              </c:numCache>
            </c:numRef>
          </c:val>
          <c:extLst>
            <c:ext xmlns:c16="http://schemas.microsoft.com/office/drawing/2014/chart" uri="{C3380CC4-5D6E-409C-BE32-E72D297353CC}">
              <c16:uniqueId val="{00000003-6B4C-4796-B1B1-7982A442C666}"/>
            </c:ext>
          </c:extLst>
        </c:ser>
        <c:dLbls>
          <c:showLegendKey val="0"/>
          <c:showVal val="0"/>
          <c:showCatName val="0"/>
          <c:showSerName val="0"/>
          <c:showPercent val="0"/>
          <c:showBubbleSize val="0"/>
        </c:dLbls>
        <c:gapWidth val="219"/>
        <c:overlap val="-27"/>
        <c:axId val="974574287"/>
        <c:axId val="974575727"/>
      </c:barChart>
      <c:catAx>
        <c:axId val="974574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4575727"/>
        <c:crosses val="autoZero"/>
        <c:auto val="1"/>
        <c:lblAlgn val="ctr"/>
        <c:lblOffset val="100"/>
        <c:noMultiLvlLbl val="0"/>
      </c:catAx>
      <c:valAx>
        <c:axId val="974575727"/>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4574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O8hi3BxishlziMadsxuFaEznAg==">CgMxLjAyCWguMTY2NHM1NTIJaC4zcTVzYXN5MgloLjI1YjJsMHIyCWguNGQzNG9nODIIaC5namRneHMyCWguMzBqMHpsbDIJaC4xZm9iOXRlMgloLjN6bnlzaDcyCWguMmV0OTJwMDIIaC50eWpjd3QyCWguM2R5NnZrbTIJaC4xdDNoNXNmMgloLjRkMzRvZzgyCWguMnM4ZXlvMTIJaC4xN2RwOHZ1OAByITEtZUtldVk0bzRiX2xTRzFNX20tbUV4MTlJZ2tpejZrTg==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850346-2AB3-45B1-AC38-B0FB5D2E6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5628</Words>
  <Characters>32085</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SDI 1163</cp:lastModifiedBy>
  <cp:revision>10</cp:revision>
  <dcterms:created xsi:type="dcterms:W3CDTF">2025-05-04T05:10:00Z</dcterms:created>
  <dcterms:modified xsi:type="dcterms:W3CDTF">2025-05-06T04:42:00Z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2023-12-15T00:00:00Z</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http://www.zotero.org/styles/turabian-fullnote-bibliography</vt:lpwstr>
  </property>
  <property fmtid="{D5CDD505-2E9C-101B-9397-08002B2CF9AE}" pid="22" name="Mendeley Recent Style Name 9_1">
    <vt:lpwstr>Turabian 9th edition (full note)</vt:lpwstr>
  </property>
  <property fmtid="{D5CDD505-2E9C-101B-9397-08002B2CF9AE}" pid="23" name="Mendeley Document_1">
    <vt:lpwstr>True</vt:lpwstr>
  </property>
  <property fmtid="{D5CDD505-2E9C-101B-9397-08002B2CF9AE}" pid="24" name="Mendeley Unique User Id_1">
    <vt:lpwstr>c949a101-8a80-366e-aebb-e90b4de96284</vt:lpwstr>
  </property>
  <property fmtid="{D5CDD505-2E9C-101B-9397-08002B2CF9AE}" pid="25" name="Mendeley Citation Style_1">
    <vt:lpwstr>http://www.zotero.org/styles/ieee</vt:lpwstr>
  </property>
</Properties>
</file>