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B4A88" w14:textId="77777777" w:rsidR="00754C9A" w:rsidRDefault="00754C9A" w:rsidP="00441B6F">
      <w:pPr>
        <w:pStyle w:val="Title"/>
        <w:spacing w:after="0"/>
        <w:jc w:val="both"/>
        <w:rPr>
          <w:rFonts w:ascii="Arial" w:hAnsi="Arial" w:cs="Arial"/>
        </w:rPr>
      </w:pPr>
    </w:p>
    <w:p w14:paraId="730FF1AC" w14:textId="77777777" w:rsidR="008D54BD" w:rsidRPr="008D54BD" w:rsidRDefault="008D54BD" w:rsidP="008D54BD">
      <w:pPr>
        <w:jc w:val="right"/>
        <w:rPr>
          <w:rFonts w:ascii="Arial" w:hAnsi="Arial" w:cs="Arial"/>
          <w:b/>
          <w:bCs/>
          <w:sz w:val="32"/>
          <w:szCs w:val="32"/>
        </w:rPr>
      </w:pPr>
      <w:r w:rsidRPr="008D54BD">
        <w:rPr>
          <w:rFonts w:ascii="Arial" w:hAnsi="Arial" w:cs="Arial"/>
          <w:b/>
          <w:bCs/>
          <w:sz w:val="32"/>
          <w:szCs w:val="32"/>
        </w:rPr>
        <w:t>Evaluating the Performance of High P/E Ratio Stocks in the Nifty 50 Index: A Sectoral and Time-Horizon Analysis</w:t>
      </w:r>
    </w:p>
    <w:p w14:paraId="4404016A" w14:textId="77777777" w:rsidR="00A258C3" w:rsidRPr="00790ADA" w:rsidRDefault="00A258C3" w:rsidP="00441B6F">
      <w:pPr>
        <w:pStyle w:val="Author"/>
        <w:spacing w:line="240" w:lineRule="auto"/>
        <w:jc w:val="both"/>
        <w:rPr>
          <w:rFonts w:ascii="Arial" w:hAnsi="Arial" w:cs="Arial"/>
          <w:sz w:val="36"/>
        </w:rPr>
      </w:pPr>
    </w:p>
    <w:p w14:paraId="07AA6E5D" w14:textId="77777777" w:rsidR="005074D1" w:rsidRDefault="005074D1" w:rsidP="00C65AAA">
      <w:pPr>
        <w:jc w:val="right"/>
        <w:rPr>
          <w:rFonts w:ascii="Times New Roman" w:hAnsi="Times New Roman"/>
          <w:sz w:val="32"/>
          <w:szCs w:val="32"/>
        </w:rPr>
      </w:pPr>
    </w:p>
    <w:p w14:paraId="53F65A40" w14:textId="77777777" w:rsidR="005074D1" w:rsidRDefault="005074D1" w:rsidP="00C65AAA">
      <w:pPr>
        <w:jc w:val="right"/>
        <w:rPr>
          <w:rFonts w:ascii="Times New Roman" w:hAnsi="Times New Roman"/>
          <w:sz w:val="32"/>
          <w:szCs w:val="32"/>
        </w:rPr>
      </w:pPr>
    </w:p>
    <w:p w14:paraId="4C07ED02" w14:textId="3058A673" w:rsidR="00C65AAA" w:rsidRPr="003562F2" w:rsidRDefault="00C65AAA" w:rsidP="00C65AAA">
      <w:pPr>
        <w:jc w:val="right"/>
        <w:rPr>
          <w:rFonts w:ascii="Times New Roman" w:hAnsi="Times New Roman"/>
          <w:sz w:val="32"/>
          <w:szCs w:val="32"/>
        </w:rPr>
      </w:pPr>
      <w:r>
        <w:rPr>
          <w:rFonts w:ascii="Times New Roman" w:hAnsi="Times New Roman"/>
          <w:sz w:val="32"/>
          <w:szCs w:val="32"/>
        </w:rPr>
        <w:t xml:space="preserve"> </w:t>
      </w:r>
    </w:p>
    <w:p w14:paraId="310522DA" w14:textId="3839288A" w:rsidR="00790ADA" w:rsidRDefault="00790ADA" w:rsidP="008D54BD">
      <w:pPr>
        <w:pStyle w:val="Affiliation"/>
        <w:spacing w:after="0" w:line="240" w:lineRule="auto"/>
        <w:rPr>
          <w:rFonts w:ascii="Arial" w:hAnsi="Arial" w:cs="Arial"/>
        </w:rPr>
      </w:pPr>
    </w:p>
    <w:p w14:paraId="2D16D97E" w14:textId="77777777" w:rsidR="002C57D2" w:rsidRPr="00FB3A86" w:rsidRDefault="002C57D2" w:rsidP="00441B6F">
      <w:pPr>
        <w:pStyle w:val="Affiliation"/>
        <w:spacing w:after="0" w:line="240" w:lineRule="auto"/>
        <w:jc w:val="both"/>
        <w:rPr>
          <w:rFonts w:ascii="Arial" w:hAnsi="Arial" w:cs="Arial"/>
        </w:rPr>
      </w:pPr>
    </w:p>
    <w:p w14:paraId="60A27783" w14:textId="746345CB" w:rsidR="00B01FCD" w:rsidRPr="00FB3A86" w:rsidRDefault="003C1A6C" w:rsidP="00441B6F">
      <w:pPr>
        <w:pStyle w:val="Copyright"/>
        <w:spacing w:after="0" w:line="240" w:lineRule="auto"/>
        <w:jc w:val="both"/>
        <w:rPr>
          <w:rFonts w:ascii="Arial" w:hAnsi="Arial" w:cs="Arial"/>
        </w:rPr>
        <w:sectPr w:rsidR="00B01FCD" w:rsidRPr="00FB3A86" w:rsidSect="005074D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7355724" wp14:editId="231B9657">
                <wp:extent cx="5303520" cy="635"/>
                <wp:effectExtent l="9525" t="17145" r="11430" b="11430"/>
                <wp:docPr id="194737095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B5C035A"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53CFB408" w14:textId="62835286"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623A6FC5"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028C375B" w14:textId="77777777" w:rsidTr="001E44FE">
        <w:tc>
          <w:tcPr>
            <w:tcW w:w="9576" w:type="dxa"/>
            <w:shd w:val="clear" w:color="auto" w:fill="F2F2F2"/>
          </w:tcPr>
          <w:p w14:paraId="6BF4C737" w14:textId="77777777" w:rsidR="008D54BD" w:rsidRPr="008D54BD" w:rsidRDefault="008D54BD" w:rsidP="008D54BD">
            <w:pPr>
              <w:pStyle w:val="Body"/>
              <w:spacing w:after="0"/>
              <w:rPr>
                <w:rFonts w:ascii="Arial" w:eastAsia="Calibri" w:hAnsi="Arial" w:cs="Arial"/>
                <w:szCs w:val="22"/>
                <w:lang w:val="en-IN"/>
              </w:rPr>
            </w:pPr>
            <w:r w:rsidRPr="008D54BD">
              <w:rPr>
                <w:rFonts w:ascii="Arial" w:eastAsia="Calibri" w:hAnsi="Arial" w:cs="Arial"/>
                <w:b/>
                <w:bCs/>
                <w:szCs w:val="22"/>
                <w:lang w:val="en-IN"/>
              </w:rPr>
              <w:t>Purpose</w:t>
            </w:r>
            <w:r w:rsidRPr="008D54BD">
              <w:rPr>
                <w:rFonts w:ascii="Arial" w:eastAsia="Calibri" w:hAnsi="Arial" w:cs="Arial"/>
                <w:szCs w:val="22"/>
                <w:lang w:val="en-IN"/>
              </w:rPr>
              <w:t xml:space="preserve"> – This study aims to re-evaluate the traditional belief that stocks with high Price-to-Earnings (P/E) ratios are likely to underperform due to overvaluation. Specifically, it investigates the relationship between P/E ratios and stock performance over different time horizons within the Nifty 50 index.</w:t>
            </w:r>
          </w:p>
          <w:p w14:paraId="288B8C42" w14:textId="77777777" w:rsidR="008D54BD" w:rsidRPr="008D54BD" w:rsidRDefault="008D54BD" w:rsidP="008D54BD">
            <w:pPr>
              <w:pStyle w:val="Body"/>
              <w:spacing w:after="0"/>
              <w:rPr>
                <w:rFonts w:ascii="Arial" w:eastAsia="Calibri" w:hAnsi="Arial" w:cs="Arial"/>
                <w:szCs w:val="22"/>
                <w:lang w:val="en-IN"/>
              </w:rPr>
            </w:pPr>
            <w:r w:rsidRPr="008D54BD">
              <w:rPr>
                <w:rFonts w:ascii="Arial" w:eastAsia="Calibri" w:hAnsi="Arial" w:cs="Arial"/>
                <w:b/>
                <w:bCs/>
                <w:szCs w:val="22"/>
                <w:lang w:val="en-IN"/>
              </w:rPr>
              <w:t>Design/methodology/approach</w:t>
            </w:r>
            <w:r w:rsidRPr="008D54BD">
              <w:rPr>
                <w:rFonts w:ascii="Arial" w:eastAsia="Calibri" w:hAnsi="Arial" w:cs="Arial"/>
                <w:szCs w:val="22"/>
                <w:lang w:val="en-IN"/>
              </w:rPr>
              <w:t xml:space="preserve"> – The research employs quantitative methods including correlation analysis, regression analysis, analysis of variance (ANOVA), and standard deviation measures to assess volatility. The study focuses on high P/E stocks within the Nifty 50, a benchmark index representing India’s most prominent and liquid companies.</w:t>
            </w:r>
          </w:p>
          <w:p w14:paraId="0C907C72" w14:textId="77777777" w:rsidR="008D54BD" w:rsidRPr="008D54BD" w:rsidRDefault="008D54BD" w:rsidP="008D54BD">
            <w:pPr>
              <w:pStyle w:val="Body"/>
              <w:spacing w:after="0"/>
              <w:rPr>
                <w:rFonts w:ascii="Arial" w:eastAsia="Calibri" w:hAnsi="Arial" w:cs="Arial"/>
                <w:szCs w:val="22"/>
                <w:lang w:val="en-IN"/>
              </w:rPr>
            </w:pPr>
            <w:r w:rsidRPr="008D54BD">
              <w:rPr>
                <w:rFonts w:ascii="Arial" w:eastAsia="Calibri" w:hAnsi="Arial" w:cs="Arial"/>
                <w:b/>
                <w:bCs/>
                <w:szCs w:val="22"/>
                <w:lang w:val="en-IN"/>
              </w:rPr>
              <w:t>Findings</w:t>
            </w:r>
            <w:r w:rsidRPr="008D54BD">
              <w:rPr>
                <w:rFonts w:ascii="Arial" w:eastAsia="Calibri" w:hAnsi="Arial" w:cs="Arial"/>
                <w:szCs w:val="22"/>
                <w:lang w:val="en-IN"/>
              </w:rPr>
              <w:t xml:space="preserve"> – The results indicate that P/E ratios exhibit weak predictive power for short-term stock performance. However, over longer investment horizons, high P/E stocks—particularly in growth-oriented sectors such as Information Technology and Fast-Moving Consumer Goods (FMCG)—demonstrate superior returns. The analysis also highlights the role of sectoral differences in influencing the performance of high P/E stocks.</w:t>
            </w:r>
          </w:p>
          <w:p w14:paraId="1E02EB4C" w14:textId="77777777" w:rsidR="008D54BD" w:rsidRPr="008D54BD" w:rsidRDefault="008D54BD" w:rsidP="008D54BD">
            <w:pPr>
              <w:pStyle w:val="Body"/>
              <w:spacing w:after="0"/>
              <w:rPr>
                <w:rFonts w:ascii="Arial" w:eastAsia="Calibri" w:hAnsi="Arial" w:cs="Arial"/>
                <w:szCs w:val="22"/>
                <w:lang w:val="en-IN"/>
              </w:rPr>
            </w:pPr>
            <w:r w:rsidRPr="008D54BD">
              <w:rPr>
                <w:rFonts w:ascii="Arial" w:eastAsia="Calibri" w:hAnsi="Arial" w:cs="Arial"/>
                <w:b/>
                <w:bCs/>
                <w:szCs w:val="22"/>
                <w:lang w:val="en-IN"/>
              </w:rPr>
              <w:t>Practical implications</w:t>
            </w:r>
            <w:r w:rsidRPr="008D54BD">
              <w:rPr>
                <w:rFonts w:ascii="Arial" w:eastAsia="Calibri" w:hAnsi="Arial" w:cs="Arial"/>
                <w:szCs w:val="22"/>
                <w:lang w:val="en-IN"/>
              </w:rPr>
              <w:t xml:space="preserve"> – The findings provide actionable insights for investors, fund managers, and policymakers by suggesting that long-term investments in high P/E stocks from specific sectors can yield favourable outcomes. Sector-specific analysis should be integrated into investment decision-making frameworks to enhance portfolio performance.</w:t>
            </w:r>
          </w:p>
          <w:p w14:paraId="710979D4" w14:textId="77777777" w:rsidR="008D54BD" w:rsidRPr="008D54BD" w:rsidRDefault="008D54BD" w:rsidP="008D54BD">
            <w:pPr>
              <w:pStyle w:val="Body"/>
              <w:spacing w:after="0"/>
              <w:rPr>
                <w:rFonts w:ascii="Arial" w:eastAsia="Calibri" w:hAnsi="Arial" w:cs="Arial"/>
                <w:szCs w:val="22"/>
                <w:lang w:val="en-IN"/>
              </w:rPr>
            </w:pPr>
            <w:r w:rsidRPr="008D54BD">
              <w:rPr>
                <w:rFonts w:ascii="Arial" w:eastAsia="Calibri" w:hAnsi="Arial" w:cs="Arial"/>
                <w:b/>
                <w:bCs/>
                <w:szCs w:val="22"/>
                <w:lang w:val="en-IN"/>
              </w:rPr>
              <w:t>Originality/value</w:t>
            </w:r>
            <w:r w:rsidRPr="008D54BD">
              <w:rPr>
                <w:rFonts w:ascii="Arial" w:eastAsia="Calibri" w:hAnsi="Arial" w:cs="Arial"/>
                <w:szCs w:val="22"/>
                <w:lang w:val="en-IN"/>
              </w:rPr>
              <w:t xml:space="preserve"> – This study contributes to the literature on stock valuation by offering a nuanced view of high P/E stocks in the Indian equity market. It challenges conventional investment assumptions and underscores the importance of time horizon and sectoral dynamics in stock performance evaluation.</w:t>
            </w:r>
          </w:p>
          <w:p w14:paraId="5ABF938C" w14:textId="55B716DC" w:rsidR="00505F06" w:rsidRPr="00BA1B01" w:rsidRDefault="00505F06" w:rsidP="00441B6F">
            <w:pPr>
              <w:pStyle w:val="Body"/>
              <w:spacing w:after="0"/>
              <w:rPr>
                <w:rFonts w:ascii="Arial" w:eastAsia="Calibri" w:hAnsi="Arial" w:cs="Arial"/>
                <w:szCs w:val="22"/>
              </w:rPr>
            </w:pPr>
          </w:p>
        </w:tc>
      </w:tr>
    </w:tbl>
    <w:p w14:paraId="58345B33" w14:textId="77777777" w:rsidR="00636EB2" w:rsidRDefault="00636EB2" w:rsidP="00441B6F">
      <w:pPr>
        <w:pStyle w:val="Body"/>
        <w:spacing w:after="0"/>
        <w:rPr>
          <w:rFonts w:ascii="Arial" w:hAnsi="Arial" w:cs="Arial"/>
          <w:i/>
        </w:rPr>
      </w:pPr>
    </w:p>
    <w:p w14:paraId="6B9B95C2" w14:textId="269EE0A2" w:rsidR="00A24E7E" w:rsidRPr="00942B25" w:rsidRDefault="00A24E7E" w:rsidP="00441B6F">
      <w:pPr>
        <w:pStyle w:val="Body"/>
        <w:spacing w:after="0"/>
        <w:rPr>
          <w:rFonts w:ascii="Arial" w:hAnsi="Arial" w:cs="Arial"/>
          <w:i/>
        </w:rPr>
      </w:pPr>
      <w:r>
        <w:rPr>
          <w:rFonts w:ascii="Arial" w:hAnsi="Arial" w:cs="Arial"/>
          <w:i/>
        </w:rPr>
        <w:t xml:space="preserve">Keywords: </w:t>
      </w:r>
      <w:r w:rsidR="00942B25" w:rsidRPr="00942B25">
        <w:rPr>
          <w:rFonts w:ascii="Arial" w:hAnsi="Arial" w:cs="Arial"/>
        </w:rPr>
        <w:t>High P/E Ratio Stocks, Nifty 50 Index, Stock Performance, Sectoral Analysis, Investment Strategy</w:t>
      </w:r>
    </w:p>
    <w:p w14:paraId="1D0D5B60" w14:textId="77777777" w:rsidR="00505F06" w:rsidRPr="00A24E7E" w:rsidRDefault="00505F06" w:rsidP="00441B6F">
      <w:pPr>
        <w:pStyle w:val="Body"/>
        <w:spacing w:after="0"/>
        <w:rPr>
          <w:rFonts w:ascii="Arial" w:hAnsi="Arial" w:cs="Arial"/>
          <w:i/>
        </w:rPr>
      </w:pPr>
    </w:p>
    <w:p w14:paraId="08E3CC5E" w14:textId="77777777" w:rsidR="005936CB" w:rsidRDefault="005936CB" w:rsidP="00441B6F">
      <w:pPr>
        <w:pStyle w:val="AbstHead"/>
        <w:spacing w:after="0"/>
        <w:jc w:val="both"/>
        <w:rPr>
          <w:rFonts w:ascii="Arial" w:hAnsi="Arial" w:cs="Arial"/>
        </w:rPr>
      </w:pPr>
    </w:p>
    <w:p w14:paraId="654ED66C" w14:textId="77777777" w:rsidR="005936CB" w:rsidRPr="003F2648" w:rsidRDefault="005936CB" w:rsidP="005936CB">
      <w:pPr>
        <w:jc w:val="both"/>
        <w:rPr>
          <w:rFonts w:ascii="Arial" w:hAnsi="Arial" w:cs="Arial"/>
          <w:b/>
          <w:bCs/>
        </w:rPr>
      </w:pPr>
    </w:p>
    <w:p w14:paraId="1C84CAD3" w14:textId="77777777" w:rsidR="005936CB" w:rsidRPr="003F2648" w:rsidRDefault="005936CB" w:rsidP="005936CB">
      <w:pPr>
        <w:jc w:val="both"/>
        <w:rPr>
          <w:rFonts w:ascii="Arial" w:hAnsi="Arial" w:cs="Arial"/>
          <w:b/>
          <w:bCs/>
        </w:rPr>
      </w:pPr>
      <w:r>
        <w:rPr>
          <w:rFonts w:ascii="Arial" w:hAnsi="Arial" w:cs="Arial"/>
          <w:b/>
          <w:bCs/>
        </w:rPr>
        <w:t xml:space="preserve">1. </w:t>
      </w:r>
      <w:r w:rsidRPr="003F2648">
        <w:rPr>
          <w:rFonts w:ascii="Arial" w:hAnsi="Arial" w:cs="Arial"/>
          <w:b/>
          <w:bCs/>
        </w:rPr>
        <w:t>INTRODUCTION</w:t>
      </w:r>
    </w:p>
    <w:p w14:paraId="2D65AF1C" w14:textId="77777777" w:rsidR="005936CB" w:rsidRPr="003F2648" w:rsidRDefault="005936CB" w:rsidP="005936CB">
      <w:pPr>
        <w:jc w:val="both"/>
        <w:rPr>
          <w:rFonts w:ascii="Arial" w:hAnsi="Arial" w:cs="Arial"/>
        </w:rPr>
      </w:pPr>
      <w:r w:rsidRPr="003F2648">
        <w:rPr>
          <w:rFonts w:ascii="Arial" w:hAnsi="Arial" w:cs="Arial"/>
        </w:rPr>
        <w:t xml:space="preserve">The Price-to-Earnings (P/E) ratio is one of the most widely used and fundamental valuation metrics in equity markets, serving as a key indicator for investors to assess whether a stock is overvalued or undervalued. Traditionally, a high P/E ratio is interpreted as a sign of overvaluation, suggesting that the stock may be priced higher than its intrinsic value, which often implies lower future returns </w:t>
      </w:r>
      <w:r w:rsidRPr="003F2648">
        <w:rPr>
          <w:rFonts w:ascii="Arial" w:hAnsi="Arial" w:cs="Arial"/>
          <w:b/>
          <w:bCs/>
        </w:rPr>
        <w:fldChar w:fldCharType="begin" w:fldLock="1"/>
      </w:r>
      <w:r w:rsidRPr="003F2648">
        <w:rPr>
          <w:rFonts w:ascii="Arial" w:hAnsi="Arial" w:cs="Arial"/>
          <w:b/>
          <w:bCs/>
        </w:rPr>
        <w:instrText>ADDIN CSL_CITATION {"citationItems":[{"id":"ITEM-1","itemData":{"ISSN":"0307-4358","author":[{"dropping-particle":"","family":"Dudney","given":"Donna M","non-dropping-particle":"","parse-names":false,"suffix":""},{"dropping-particle":"","family":"Jirasakuldech","given":"Benjamas","non-dropping-particle":"","parse-names":false,"suffix":""},{"dropping-particle":"","family":"Zorn","given":"Thomas","non-dropping-particle":"","parse-names":false,"suffix":""},{"dropping-particle":"","family":"Emekter","given":"Riza","non-dropping-particle":"","parse-names":false,"suffix":""}],"container-title":"Managerial Finance","id":"ITEM-1","issue":"7","issued":{"date-parts":[["2015"]]},"page":"692-713","publisher":"Emerald Group Publishing Limited","title":"Do residual earnings price ratios explain cross-sectional variations in stock returns?","type":"article-journal","volume":"41"},"uris":["http://www.mendeley.com/documents/?uuid=92bc2002-3152-4b27-982e-2bf1f7c25762"]}],"mendeley":{"formattedCitation":"(Dudney et al., 2015)","plainTextFormattedCitation":"(Dudney et al., 2015)","previouslyFormattedCitation":"(Dudney et al., 2015)"},"properties":{"noteIndex":0},"schema":"https://github.com/citation-style-language/schema/raw/master/csl-citation.json"}</w:instrText>
      </w:r>
      <w:r w:rsidRPr="003F2648">
        <w:rPr>
          <w:rFonts w:ascii="Arial" w:hAnsi="Arial" w:cs="Arial"/>
          <w:b/>
          <w:bCs/>
        </w:rPr>
        <w:fldChar w:fldCharType="separate"/>
      </w:r>
      <w:r w:rsidRPr="003F2648">
        <w:rPr>
          <w:rFonts w:ascii="Arial" w:hAnsi="Arial" w:cs="Arial"/>
          <w:b/>
          <w:bCs/>
          <w:noProof/>
        </w:rPr>
        <w:t>(Dudney et al., 2015)</w:t>
      </w:r>
      <w:r w:rsidRPr="003F2648">
        <w:rPr>
          <w:rFonts w:ascii="Arial" w:hAnsi="Arial" w:cs="Arial"/>
          <w:b/>
          <w:bCs/>
        </w:rPr>
        <w:fldChar w:fldCharType="end"/>
      </w:r>
      <w:r w:rsidRPr="003F2648">
        <w:rPr>
          <w:rFonts w:ascii="Arial" w:hAnsi="Arial" w:cs="Arial"/>
        </w:rPr>
        <w:t xml:space="preserve">. Conversely, a low P/E ratio is typically </w:t>
      </w:r>
      <w:r w:rsidRPr="003F2648">
        <w:rPr>
          <w:rFonts w:ascii="Arial" w:hAnsi="Arial" w:cs="Arial"/>
        </w:rPr>
        <w:lastRenderedPageBreak/>
        <w:t xml:space="preserve">associated with undervaluation, indicating potential for future price appreciation. However, the relationship between P/E ratios and stock performance is not always straightforward, as evidenced by the persistent outperformance of many high P/E stocks, particularly those in high-growth sectors such as technology, healthcare, and consumer discretionary. These stocks often defy conventional valuation norms by delivering superior returns over extended periods, despite their elevated valuations. This phenomenon raises critical questions about the efficacy of the P/E ratio as a standalone metric for investment decision-making and underscores the need to explore the underlying factors that influence the performance of high P/E stocks </w:t>
      </w:r>
      <w:r w:rsidRPr="003F2648">
        <w:rPr>
          <w:rFonts w:ascii="Arial" w:hAnsi="Arial" w:cs="Arial"/>
          <w:b/>
          <w:bCs/>
        </w:rPr>
        <w:fldChar w:fldCharType="begin" w:fldLock="1"/>
      </w:r>
      <w:r w:rsidRPr="003F2648">
        <w:rPr>
          <w:rFonts w:ascii="Arial" w:hAnsi="Arial" w:cs="Arial"/>
          <w:b/>
          <w:bCs/>
        </w:rPr>
        <w:instrText>ADDIN CSL_CITATION {"citationItems":[{"id":"ITEM-1","itemData":{"author":[{"dropping-particle":"","family":"THAYSEN","given":"OLIVER F L","non-dropping-particle":"","parse-names":false,"suffix":""},{"dropping-particle":"","family":"TRYDE","given":"NIELS","non-dropping-particle":"","parse-names":false,"suffix":""}],"id":"ITEM-1","issued":{"date-parts":[["0"]]},"title":"NAVIGATING VALUE INVESTING: ASSESSING THE ROLE OF VALUATION MULTIPLES IN PREDICTING STOCK PERFORMANCE","type":"article-journal"},"uris":["http://www.mendeley.com/documents/?uuid=f5929149-7949-4cb7-9393-d62b4576f3c5"]}],"mendeley":{"formattedCitation":"(THAYSEN &amp; TRYDE, n.d.)","plainTextFormattedCitation":"(THAYSEN &amp; TRYDE, n.d.)","previouslyFormattedCitation":"(THAYSEN &amp; TRYDE, n.d.)"},"properties":{"noteIndex":0},"schema":"https://github.com/citation-style-language/schema/raw/master/csl-citation.json"}</w:instrText>
      </w:r>
      <w:r w:rsidRPr="003F2648">
        <w:rPr>
          <w:rFonts w:ascii="Arial" w:hAnsi="Arial" w:cs="Arial"/>
          <w:b/>
          <w:bCs/>
        </w:rPr>
        <w:fldChar w:fldCharType="separate"/>
      </w:r>
      <w:r w:rsidRPr="003F2648">
        <w:rPr>
          <w:rFonts w:ascii="Arial" w:hAnsi="Arial" w:cs="Arial"/>
          <w:b/>
          <w:bCs/>
          <w:noProof/>
        </w:rPr>
        <w:t>(THAYSEN &amp; TRYDE, n.d.)</w:t>
      </w:r>
      <w:r w:rsidRPr="003F2648">
        <w:rPr>
          <w:rFonts w:ascii="Arial" w:hAnsi="Arial" w:cs="Arial"/>
          <w:b/>
          <w:bCs/>
        </w:rPr>
        <w:fldChar w:fldCharType="end"/>
      </w:r>
      <w:r w:rsidRPr="003F2648">
        <w:rPr>
          <w:rFonts w:ascii="Arial" w:hAnsi="Arial" w:cs="Arial"/>
          <w:b/>
          <w:bCs/>
        </w:rPr>
        <w:t>.</w:t>
      </w:r>
      <w:r w:rsidRPr="003F2648">
        <w:rPr>
          <w:rFonts w:ascii="Arial" w:hAnsi="Arial" w:cs="Arial"/>
        </w:rPr>
        <w:t xml:space="preserve"> </w:t>
      </w:r>
    </w:p>
    <w:p w14:paraId="30FB9054" w14:textId="77777777" w:rsidR="005936CB" w:rsidRPr="003F2648" w:rsidRDefault="005936CB" w:rsidP="005936CB">
      <w:pPr>
        <w:jc w:val="both"/>
        <w:rPr>
          <w:rFonts w:ascii="Arial" w:hAnsi="Arial" w:cs="Arial"/>
        </w:rPr>
      </w:pPr>
      <w:r w:rsidRPr="003F2648">
        <w:rPr>
          <w:rFonts w:ascii="Arial" w:hAnsi="Arial" w:cs="Arial"/>
        </w:rPr>
        <w:t xml:space="preserve">This study seeks to investigate the relationship between P/E ratios and stock performance within the context of the Nifty 50 index, a benchmark representing India's largest and most liquid stocks </w:t>
      </w:r>
      <w:r w:rsidRPr="003F2648">
        <w:rPr>
          <w:rFonts w:ascii="Arial" w:hAnsi="Arial" w:cs="Arial"/>
          <w:b/>
          <w:bCs/>
        </w:rPr>
        <w:fldChar w:fldCharType="begin" w:fldLock="1"/>
      </w:r>
      <w:r w:rsidRPr="003F2648">
        <w:rPr>
          <w:rFonts w:ascii="Arial" w:hAnsi="Arial" w:cs="Arial"/>
          <w:b/>
          <w:bCs/>
        </w:rPr>
        <w:instrText>ADDIN CSL_CITATION {"citationItems":[{"id":"ITEM-1","itemData":{"author":[{"dropping-particle":"","family":"Begum","given":"Salma","non-dropping-particle":"","parse-names":false,"suffix":""},{"dropping-particle":"","family":"Ghanavi","given":"M","non-dropping-particle":"","parse-names":false,"suffix":""},{"dropping-particle":"","family":"Bhat","given":"Abhishek Anant","non-dropping-particle":"","parse-names":false,"suffix":""}],"container-title":"Harnessing AI, Machine Learning, and IoT for Intelligent Business: Volume 1","id":"ITEM-1","issued":{"date-parts":[["2024"]]},"page":"413-428","publisher":"Springer","title":"Analyzing the Impact of Inflation on the Stock Market Performance: A Comparative Study of Nifty 50 and Sensex","type":"chapter"},"uris":["http://www.mendeley.com/documents/?uuid=c07ac43f-d957-43ce-9006-a56e49ef961b"]}],"mendeley":{"formattedCitation":"(Begum et al., 2024)","plainTextFormattedCitation":"(Begum et al., 2024)","previouslyFormattedCitation":"(Begum et al., 2024)"},"properties":{"noteIndex":0},"schema":"https://github.com/citation-style-language/schema/raw/master/csl-citation.json"}</w:instrText>
      </w:r>
      <w:r w:rsidRPr="003F2648">
        <w:rPr>
          <w:rFonts w:ascii="Arial" w:hAnsi="Arial" w:cs="Arial"/>
          <w:b/>
          <w:bCs/>
        </w:rPr>
        <w:fldChar w:fldCharType="separate"/>
      </w:r>
      <w:r w:rsidRPr="003F2648">
        <w:rPr>
          <w:rFonts w:ascii="Arial" w:hAnsi="Arial" w:cs="Arial"/>
          <w:b/>
          <w:bCs/>
          <w:noProof/>
        </w:rPr>
        <w:t>(Begum et al., 2024)</w:t>
      </w:r>
      <w:r w:rsidRPr="003F2648">
        <w:rPr>
          <w:rFonts w:ascii="Arial" w:hAnsi="Arial" w:cs="Arial"/>
          <w:b/>
          <w:bCs/>
        </w:rPr>
        <w:fldChar w:fldCharType="end"/>
      </w:r>
      <w:r w:rsidRPr="003F2648">
        <w:rPr>
          <w:rFonts w:ascii="Arial" w:hAnsi="Arial" w:cs="Arial"/>
        </w:rPr>
        <w:t xml:space="preserve">. The Nifty 50 index provides an ideal framework for this analysis, as it encompasses a diverse range of sectors, including banking, information technology, consumer goods, and energy, allowing for an examination of sectoral variations in P/E ratios and their impact on stock performance. Additionally, the study aims to explore the role of external factors such as market sentiment, macroeconomic conditions, and investor </w:t>
      </w:r>
      <w:proofErr w:type="spellStart"/>
      <w:r w:rsidRPr="003F2648">
        <w:rPr>
          <w:rFonts w:ascii="Arial" w:hAnsi="Arial" w:cs="Arial"/>
        </w:rPr>
        <w:t>behaviour</w:t>
      </w:r>
      <w:proofErr w:type="spellEnd"/>
      <w:r w:rsidRPr="003F2648">
        <w:rPr>
          <w:rFonts w:ascii="Arial" w:hAnsi="Arial" w:cs="Arial"/>
        </w:rPr>
        <w:t xml:space="preserve"> in shaping the long-term performance of high P/E stocks. By employing statistical techniques such as correlation analysis, regression analysis, ANOVA, and volatility assessment, the research evaluates whether high P/E stocks underperform in the short term and whether they can generate superior returns over the long term </w:t>
      </w:r>
      <w:r w:rsidRPr="003F2648">
        <w:rPr>
          <w:rFonts w:ascii="Arial" w:hAnsi="Arial" w:cs="Arial"/>
          <w:b/>
          <w:bCs/>
        </w:rPr>
        <w:fldChar w:fldCharType="begin" w:fldLock="1"/>
      </w:r>
      <w:r w:rsidRPr="003F2648">
        <w:rPr>
          <w:rFonts w:ascii="Arial" w:hAnsi="Arial" w:cs="Arial"/>
          <w:b/>
          <w:bCs/>
        </w:rPr>
        <w:instrText>ADDIN CSL_CITATION {"citationItems":[{"id":"ITEM-1","itemData":{"ISBN":"1119431905","author":[{"dropping-particle":"","family":"Paolella","given":"Marc S","non-dropping-particle":"","parse-names":false,"suffix":""}],"id":"ITEM-1","issued":{"date-parts":[["2018"]]},"publisher":"John Wiley &amp; Sons","title":"Linear models and time-series analysis: regression, ANOVA, ARMA and GARCH","type":"book"},"uris":["http://www.mendeley.com/documents/?uuid=5b967f97-9ea2-4745-88ee-07818afaaabd"]}],"mendeley":{"formattedCitation":"(Paolella, 2018)","plainTextFormattedCitation":"(Paolella, 2018)"},"properties":{"noteIndex":0},"schema":"https://github.com/citation-style-language/schema/raw/master/csl-citation.json"}</w:instrText>
      </w:r>
      <w:r w:rsidRPr="003F2648">
        <w:rPr>
          <w:rFonts w:ascii="Arial" w:hAnsi="Arial" w:cs="Arial"/>
          <w:b/>
          <w:bCs/>
        </w:rPr>
        <w:fldChar w:fldCharType="separate"/>
      </w:r>
      <w:r w:rsidRPr="003F2648">
        <w:rPr>
          <w:rFonts w:ascii="Arial" w:hAnsi="Arial" w:cs="Arial"/>
          <w:b/>
          <w:bCs/>
          <w:noProof/>
        </w:rPr>
        <w:t>(Paolella, 2018)</w:t>
      </w:r>
      <w:r w:rsidRPr="003F2648">
        <w:rPr>
          <w:rFonts w:ascii="Arial" w:hAnsi="Arial" w:cs="Arial"/>
          <w:b/>
          <w:bCs/>
        </w:rPr>
        <w:fldChar w:fldCharType="end"/>
      </w:r>
      <w:r w:rsidRPr="003F2648">
        <w:rPr>
          <w:rFonts w:ascii="Arial" w:hAnsi="Arial" w:cs="Arial"/>
          <w:b/>
          <w:bCs/>
        </w:rPr>
        <w:t>.</w:t>
      </w:r>
      <w:r w:rsidRPr="003F2648">
        <w:rPr>
          <w:rFonts w:ascii="Arial" w:hAnsi="Arial" w:cs="Arial"/>
        </w:rPr>
        <w:t xml:space="preserve"> The findings of this study are expected to provide valuable insights for investors, portfolio managers, and policymakers, enabling them to refine their investment strategies and move beyond conventional valuation metrics to make more informed decisions in dynamic and complex equity markets.</w:t>
      </w:r>
    </w:p>
    <w:p w14:paraId="3DDCA11C" w14:textId="77777777" w:rsidR="005936CB" w:rsidRPr="003F2648" w:rsidRDefault="005936CB" w:rsidP="005936CB">
      <w:pPr>
        <w:jc w:val="both"/>
        <w:rPr>
          <w:rFonts w:ascii="Arial" w:hAnsi="Arial" w:cs="Arial"/>
          <w:b/>
          <w:bCs/>
          <w:sz w:val="22"/>
          <w:szCs w:val="22"/>
        </w:rPr>
      </w:pPr>
      <w:r>
        <w:rPr>
          <w:rFonts w:ascii="Arial" w:hAnsi="Arial" w:cs="Arial"/>
          <w:b/>
          <w:bCs/>
        </w:rPr>
        <w:t xml:space="preserve">2. </w:t>
      </w:r>
      <w:r w:rsidRPr="003F2648">
        <w:rPr>
          <w:rFonts w:ascii="Arial" w:hAnsi="Arial" w:cs="Arial"/>
          <w:b/>
          <w:bCs/>
          <w:sz w:val="22"/>
          <w:szCs w:val="22"/>
        </w:rPr>
        <w:t>LITERATURE REVIEW</w:t>
      </w:r>
    </w:p>
    <w:p w14:paraId="541D8AA9" w14:textId="77777777" w:rsidR="005936CB" w:rsidRPr="003F2648" w:rsidRDefault="005936CB" w:rsidP="005936CB">
      <w:pPr>
        <w:jc w:val="both"/>
        <w:rPr>
          <w:rFonts w:ascii="Arial" w:hAnsi="Arial" w:cs="Arial"/>
          <w:b/>
          <w:bCs/>
        </w:rPr>
      </w:pPr>
      <w:r>
        <w:rPr>
          <w:rFonts w:ascii="Arial" w:hAnsi="Arial" w:cs="Arial"/>
          <w:b/>
          <w:bCs/>
        </w:rPr>
        <w:t xml:space="preserve">2. </w:t>
      </w:r>
      <w:r w:rsidRPr="003F2648">
        <w:rPr>
          <w:rFonts w:ascii="Arial" w:hAnsi="Arial" w:cs="Arial"/>
          <w:b/>
          <w:bCs/>
        </w:rPr>
        <w:t xml:space="preserve">1 </w:t>
      </w:r>
      <w:r w:rsidRPr="003F2648">
        <w:rPr>
          <w:rFonts w:ascii="Arial" w:hAnsi="Arial" w:cs="Arial"/>
          <w:b/>
          <w:bCs/>
          <w:sz w:val="22"/>
          <w:szCs w:val="22"/>
        </w:rPr>
        <w:t>Theoretical Background on P/E Ratios</w:t>
      </w:r>
    </w:p>
    <w:p w14:paraId="0C5D46EC" w14:textId="77777777" w:rsidR="005936CB" w:rsidRPr="003F2648" w:rsidRDefault="005936CB" w:rsidP="005936CB">
      <w:pPr>
        <w:jc w:val="both"/>
        <w:rPr>
          <w:rFonts w:ascii="Arial" w:hAnsi="Arial" w:cs="Arial"/>
          <w:b/>
          <w:bCs/>
        </w:rPr>
      </w:pPr>
      <w:r w:rsidRPr="003F2648">
        <w:rPr>
          <w:rFonts w:ascii="Arial" w:hAnsi="Arial" w:cs="Arial"/>
        </w:rPr>
        <w:t xml:space="preserve">The Price-to-Earnings (P/E) ratio serves as a key indicator of investor expectations regarding a company's future earnings potential. Traditional valuation models, such as the Gordon Growth Model and Discounted Cash Flow (DCF) analysis, suggest that stocks with higher P/E ratios are overvalued unless justified by strong earnings growth </w:t>
      </w:r>
      <w:r w:rsidRPr="003F2648">
        <w:rPr>
          <w:rFonts w:ascii="Arial" w:hAnsi="Arial" w:cs="Arial"/>
          <w:b/>
          <w:bCs/>
        </w:rPr>
        <w:fldChar w:fldCharType="begin" w:fldLock="1"/>
      </w:r>
      <w:r w:rsidRPr="003F2648">
        <w:rPr>
          <w:rFonts w:ascii="Arial" w:hAnsi="Arial" w:cs="Arial"/>
          <w:b/>
          <w:bCs/>
        </w:rPr>
        <w:instrText>ADDIN CSL_CITATION {"citationItems":[{"id":"ITEM-1","itemData":{"author":[{"dropping-particle":"","family":"Damodaran","given":"Aswath","non-dropping-particle":"","parse-names":false,"suffix":""}],"id":"ITEM-1","issued":{"date-parts":[["2012"]]},"publisher":"John Wiley and Sons","title":"Investment Valuation: Tools and Techniques for Determining the Value of Any Asset","type":"book"},"uris":["http://www.mendeley.com/documents/?uuid=4f429552-d738-4ce8-b23e-8eb3b3933e32"]}],"mendeley":{"formattedCitation":"(Damodaran, 2012)","plainTextFormattedCitation":"(Damodaran, 2012)","previouslyFormattedCitation":"(Damodaran, 2012)"},"properties":{"noteIndex":0},"schema":"https://github.com/citation-style-language/schema/raw/master/csl-citation.json"}</w:instrText>
      </w:r>
      <w:r w:rsidRPr="003F2648">
        <w:rPr>
          <w:rFonts w:ascii="Arial" w:hAnsi="Arial" w:cs="Arial"/>
          <w:b/>
          <w:bCs/>
        </w:rPr>
        <w:fldChar w:fldCharType="separate"/>
      </w:r>
      <w:r w:rsidRPr="003F2648">
        <w:rPr>
          <w:rFonts w:ascii="Arial" w:hAnsi="Arial" w:cs="Arial"/>
          <w:b/>
          <w:bCs/>
          <w:noProof/>
        </w:rPr>
        <w:t>(Damodaran, 2012)</w:t>
      </w:r>
      <w:r w:rsidRPr="003F2648">
        <w:rPr>
          <w:rFonts w:ascii="Arial" w:hAnsi="Arial" w:cs="Arial"/>
          <w:b/>
          <w:bCs/>
        </w:rPr>
        <w:fldChar w:fldCharType="end"/>
      </w:r>
      <w:r w:rsidRPr="003F2648">
        <w:rPr>
          <w:rFonts w:ascii="Arial" w:hAnsi="Arial" w:cs="Arial"/>
          <w:b/>
          <w:bCs/>
        </w:rPr>
        <w:t>.</w:t>
      </w:r>
      <w:r w:rsidRPr="003F2648">
        <w:rPr>
          <w:rFonts w:ascii="Arial" w:hAnsi="Arial" w:cs="Arial"/>
        </w:rPr>
        <w:t xml:space="preserve"> However, recent empirical studies challenge this notion, arguing that high P/E stocks can outperform under specific conditions </w:t>
      </w:r>
      <w:r w:rsidRPr="003F2648">
        <w:rPr>
          <w:rFonts w:ascii="Arial" w:hAnsi="Arial" w:cs="Arial"/>
          <w:b/>
          <w:bCs/>
        </w:rPr>
        <w:fldChar w:fldCharType="begin" w:fldLock="1"/>
      </w:r>
      <w:r w:rsidRPr="003F2648">
        <w:rPr>
          <w:rFonts w:ascii="Arial" w:hAnsi="Arial" w:cs="Arial"/>
          <w:b/>
          <w:bCs/>
        </w:rPr>
        <w:instrText>ADDIN CSL_CITATION {"citationItems":[{"id":"ITEM-1","itemData":{"ISSN":"0304-405X","author":[{"dropping-particle":"","family":"Fama","given":"Eugene F","non-dropping-particle":"","parse-names":false,"suffix":""},{"dropping-particle":"","family":"French","given":"Kenneth R","non-dropping-particle":"","parse-names":false,"suffix":""}],"container-title":"Journal of financial economics","id":"ITEM-1","issue":"1","issued":{"date-parts":[["2015"]]},"page":"1-22","publisher":"Elsevier","title":"A five-factor asset pricing model","type":"article-journal","volume":"116"},"uris":["http://www.mendeley.com/documents/?uuid=06d19409-33cb-4b38-8e2b-aa40cb41514d"]}],"mendeley":{"formattedCitation":"(Fama &amp; French, 2015)","plainTextFormattedCitation":"(Fama &amp; French, 2015)","previouslyFormattedCitation":"(Fama &amp; French, 2015)"},"properties":{"noteIndex":0},"schema":"https://github.com/citation-style-language/schema/raw/master/csl-citation.json"}</w:instrText>
      </w:r>
      <w:r w:rsidRPr="003F2648">
        <w:rPr>
          <w:rFonts w:ascii="Arial" w:hAnsi="Arial" w:cs="Arial"/>
          <w:b/>
          <w:bCs/>
        </w:rPr>
        <w:fldChar w:fldCharType="separate"/>
      </w:r>
      <w:r w:rsidRPr="003F2648">
        <w:rPr>
          <w:rFonts w:ascii="Arial" w:hAnsi="Arial" w:cs="Arial"/>
          <w:b/>
          <w:bCs/>
          <w:noProof/>
        </w:rPr>
        <w:t>(Fama &amp; French, 2015)</w:t>
      </w:r>
      <w:r w:rsidRPr="003F2648">
        <w:rPr>
          <w:rFonts w:ascii="Arial" w:hAnsi="Arial" w:cs="Arial"/>
          <w:b/>
          <w:bCs/>
        </w:rPr>
        <w:fldChar w:fldCharType="end"/>
      </w:r>
      <w:r w:rsidRPr="003F2648">
        <w:rPr>
          <w:rFonts w:ascii="Arial" w:hAnsi="Arial" w:cs="Arial"/>
          <w:b/>
          <w:bCs/>
        </w:rPr>
        <w:t>.</w:t>
      </w:r>
    </w:p>
    <w:p w14:paraId="717670D2" w14:textId="77777777" w:rsidR="005936CB" w:rsidRPr="003F2648" w:rsidRDefault="005936CB" w:rsidP="005936CB">
      <w:pPr>
        <w:jc w:val="both"/>
        <w:rPr>
          <w:rFonts w:ascii="Arial" w:hAnsi="Arial" w:cs="Arial"/>
          <w:b/>
          <w:bCs/>
        </w:rPr>
      </w:pPr>
      <w:r>
        <w:rPr>
          <w:rFonts w:ascii="Arial" w:hAnsi="Arial" w:cs="Arial"/>
          <w:b/>
          <w:bCs/>
        </w:rPr>
        <w:t xml:space="preserve">2. </w:t>
      </w:r>
      <w:r w:rsidRPr="003F2648">
        <w:rPr>
          <w:rFonts w:ascii="Arial" w:hAnsi="Arial" w:cs="Arial"/>
          <w:b/>
          <w:bCs/>
        </w:rPr>
        <w:t>2</w:t>
      </w:r>
      <w:r w:rsidRPr="003F2648">
        <w:rPr>
          <w:rFonts w:ascii="Arial" w:hAnsi="Arial" w:cs="Arial"/>
          <w:b/>
          <w:bCs/>
          <w:sz w:val="22"/>
          <w:szCs w:val="22"/>
        </w:rPr>
        <w:t xml:space="preserve"> Empirical Studies on High P/E Stock Performance</w:t>
      </w:r>
    </w:p>
    <w:p w14:paraId="67D3251E" w14:textId="77777777" w:rsidR="005936CB" w:rsidRPr="003F2648" w:rsidRDefault="005936CB" w:rsidP="005936CB">
      <w:pPr>
        <w:jc w:val="both"/>
        <w:rPr>
          <w:rFonts w:ascii="Arial" w:hAnsi="Arial" w:cs="Arial"/>
        </w:rPr>
      </w:pPr>
      <w:r w:rsidRPr="003F2648">
        <w:rPr>
          <w:rFonts w:ascii="Arial" w:hAnsi="Arial" w:cs="Arial"/>
        </w:rPr>
        <w:t xml:space="preserve">Several studies have examined the relationship between valuation metrics and stock performance. </w:t>
      </w:r>
      <w:r w:rsidRPr="003F2648">
        <w:rPr>
          <w:rFonts w:ascii="Arial" w:hAnsi="Arial" w:cs="Arial"/>
          <w:b/>
          <w:bCs/>
        </w:rPr>
        <w:fldChar w:fldCharType="begin" w:fldLock="1"/>
      </w:r>
      <w:r w:rsidRPr="003F2648">
        <w:rPr>
          <w:rFonts w:ascii="Arial" w:hAnsi="Arial" w:cs="Arial"/>
          <w:b/>
          <w:bCs/>
        </w:rPr>
        <w:instrText>ADDIN CSL_CITATION {"citationItems":[{"id":"ITEM-1","itemData":{"ISSN":"0022-1082","author":[{"dropping-particle":"","family":"Basu","given":"Sanjoy","non-dropping-particle":"","parse-names":false,"suffix":""}],"container-title":"The journal of Finance","id":"ITEM-1","issue":"3","issued":{"date-parts":[["1977"]]},"page":"663-682","publisher":"Wiley Online Library","title":"Investment performance of common stocks in relation to their price</w:instrText>
      </w:r>
      <w:r w:rsidRPr="003F2648">
        <w:rPr>
          <w:rFonts w:ascii="Cambria Math" w:hAnsi="Cambria Math" w:cs="Cambria Math"/>
          <w:b/>
          <w:bCs/>
        </w:rPr>
        <w:instrText>‐</w:instrText>
      </w:r>
      <w:r w:rsidRPr="003F2648">
        <w:rPr>
          <w:rFonts w:ascii="Arial" w:hAnsi="Arial" w:cs="Arial"/>
          <w:b/>
          <w:bCs/>
        </w:rPr>
        <w:instrText>earnings ratios: A test of the efficient market hypothesis","type":"article-journal","volume":"32"},"uris":["http://www.mendeley.com/documents/?uuid=81663371-3797-45c4-a44c-f1221562d9e5"]}],"mendeley":{"formattedCitation":"(Basu, 1977)","plainTextFormattedCitation":"(Basu, 1977)","previouslyFormattedCitation":"(Basu, 1977)"},"properties":{"noteIndex":0},"schema":"https://github.com/citation-style-language/schema/raw/master/csl-citation.json"}</w:instrText>
      </w:r>
      <w:r w:rsidRPr="003F2648">
        <w:rPr>
          <w:rFonts w:ascii="Arial" w:hAnsi="Arial" w:cs="Arial"/>
          <w:b/>
          <w:bCs/>
        </w:rPr>
        <w:fldChar w:fldCharType="separate"/>
      </w:r>
      <w:r w:rsidRPr="003F2648">
        <w:rPr>
          <w:rFonts w:ascii="Arial" w:hAnsi="Arial" w:cs="Arial"/>
          <w:b/>
          <w:bCs/>
          <w:noProof/>
        </w:rPr>
        <w:t>(Basu, 1977)</w:t>
      </w:r>
      <w:r w:rsidRPr="003F2648">
        <w:rPr>
          <w:rFonts w:ascii="Arial" w:hAnsi="Arial" w:cs="Arial"/>
          <w:b/>
          <w:bCs/>
        </w:rPr>
        <w:fldChar w:fldCharType="end"/>
      </w:r>
      <w:r w:rsidRPr="003F2648">
        <w:rPr>
          <w:rFonts w:ascii="Arial" w:hAnsi="Arial" w:cs="Arial"/>
        </w:rPr>
        <w:t xml:space="preserve"> found that low P/E stocks tend to outperform high P/E stocks, supporting the value investing approach. However, more recent research suggests that high P/E stocks in growth-oriented sectors often yield superior long-term returns </w:t>
      </w:r>
      <w:r w:rsidRPr="003F2648">
        <w:rPr>
          <w:rFonts w:ascii="Arial" w:hAnsi="Arial" w:cs="Arial"/>
          <w:b/>
          <w:bCs/>
        </w:rPr>
        <w:fldChar w:fldCharType="begin" w:fldLock="1"/>
      </w:r>
      <w:r w:rsidRPr="003F2648">
        <w:rPr>
          <w:rFonts w:ascii="Arial" w:hAnsi="Arial" w:cs="Arial"/>
          <w:b/>
          <w:bCs/>
        </w:rPr>
        <w:instrText>ADDIN CSL_CITATION {"citationItems":[{"id":"ITEM-1","itemData":{"ISSN":"0022-1082","author":[{"dropping-particle":"","family":"Chan","given":"Louis K C","non-dropping-particle":"","parse-names":false,"suffix":""},{"dropping-particle":"","family":"Lakonishok","given":"Josef","non-dropping-particle":"","parse-names":false,"suffix":""},{"dropping-particle":"","family":"Sougiannis","given":"Theodore","non-dropping-particle":"","parse-names":false,"suffix":""}],"container-title":"The Journal of finance","id":"ITEM-1","issue":"6","issued":{"date-parts":[["2001"]]},"page":"2431-2456","publisher":"Wiley Online Library","title":"The stock market valuation of research and development expenditures","type":"article-journal","volume":"56"},"uris":["http://www.mendeley.com/documents/?uuid=ccebda72-f60b-46a8-bd5c-416780cd6b8c"]}],"mendeley":{"formattedCitation":"(Chan et al., 2001)","plainTextFormattedCitation":"(Chan et al., 2001)","previouslyFormattedCitation":"(Chan et al., 2001)"},"properties":{"noteIndex":0},"schema":"https://github.com/citation-style-language/schema/raw/master/csl-citation.json"}</w:instrText>
      </w:r>
      <w:r w:rsidRPr="003F2648">
        <w:rPr>
          <w:rFonts w:ascii="Arial" w:hAnsi="Arial" w:cs="Arial"/>
          <w:b/>
          <w:bCs/>
        </w:rPr>
        <w:fldChar w:fldCharType="separate"/>
      </w:r>
      <w:r w:rsidRPr="003F2648">
        <w:rPr>
          <w:rFonts w:ascii="Arial" w:hAnsi="Arial" w:cs="Arial"/>
          <w:b/>
          <w:bCs/>
          <w:noProof/>
        </w:rPr>
        <w:t>(Chan et al., 2001)</w:t>
      </w:r>
      <w:r w:rsidRPr="003F2648">
        <w:rPr>
          <w:rFonts w:ascii="Arial" w:hAnsi="Arial" w:cs="Arial"/>
          <w:b/>
          <w:bCs/>
        </w:rPr>
        <w:fldChar w:fldCharType="end"/>
      </w:r>
      <w:r w:rsidRPr="003F2648">
        <w:rPr>
          <w:rFonts w:ascii="Arial" w:hAnsi="Arial" w:cs="Arial"/>
          <w:b/>
          <w:bCs/>
        </w:rPr>
        <w:t>.</w:t>
      </w:r>
    </w:p>
    <w:p w14:paraId="2A43E16B" w14:textId="77777777" w:rsidR="005936CB" w:rsidRPr="003F2648" w:rsidRDefault="005936CB" w:rsidP="005936CB">
      <w:pPr>
        <w:jc w:val="both"/>
        <w:rPr>
          <w:rFonts w:ascii="Arial" w:hAnsi="Arial" w:cs="Arial"/>
        </w:rPr>
      </w:pPr>
      <w:r w:rsidRPr="003F2648">
        <w:rPr>
          <w:rFonts w:ascii="Arial" w:hAnsi="Arial" w:cs="Arial"/>
        </w:rPr>
        <w:t xml:space="preserve">In the Indian context, </w:t>
      </w:r>
      <w:r w:rsidRPr="003F2648">
        <w:rPr>
          <w:rFonts w:ascii="Arial" w:hAnsi="Arial" w:cs="Arial"/>
          <w:b/>
          <w:bCs/>
        </w:rPr>
        <w:fldChar w:fldCharType="begin" w:fldLock="1"/>
      </w:r>
      <w:r w:rsidRPr="003F2648">
        <w:rPr>
          <w:rFonts w:ascii="Arial" w:hAnsi="Arial" w:cs="Arial"/>
          <w:b/>
          <w:bCs/>
        </w:rPr>
        <w:instrText>ADDIN CSL_CITATION {"citationItems":[{"id":"ITEM-1","itemData":{"author":[{"dropping-particle":"","family":"Bansal","given":"Rohit","non-dropping-particle":"","parse-names":false,"suffix":""}],"container-title":"Journal of finance and investment Analysis","id":"ITEM-1","issue":"3","issued":{"date-parts":[["2014"]]},"page":"13-35","publisher":"SCIENPRESS Ltd","title":"A comparative financial study: evidence from selected indian retail companies","type":"article-journal","volume":"3"},"uris":["http://www.mendeley.com/documents/?uuid=d68090f1-5d13-4f31-957c-819b49606343"]}],"mendeley":{"formattedCitation":"(Bansal, 2014)","plainTextFormattedCitation":"(Bansal, 2014)","previouslyFormattedCitation":"(Bansal, 2014)"},"properties":{"noteIndex":0},"schema":"https://github.com/citation-style-language/schema/raw/master/csl-citation.json"}</w:instrText>
      </w:r>
      <w:r w:rsidRPr="003F2648">
        <w:rPr>
          <w:rFonts w:ascii="Arial" w:hAnsi="Arial" w:cs="Arial"/>
          <w:b/>
          <w:bCs/>
        </w:rPr>
        <w:fldChar w:fldCharType="separate"/>
      </w:r>
      <w:r w:rsidRPr="003F2648">
        <w:rPr>
          <w:rFonts w:ascii="Arial" w:hAnsi="Arial" w:cs="Arial"/>
          <w:b/>
          <w:bCs/>
          <w:noProof/>
        </w:rPr>
        <w:t>(Bansal, 2014)</w:t>
      </w:r>
      <w:r w:rsidRPr="003F2648">
        <w:rPr>
          <w:rFonts w:ascii="Arial" w:hAnsi="Arial" w:cs="Arial"/>
          <w:b/>
          <w:bCs/>
        </w:rPr>
        <w:fldChar w:fldCharType="end"/>
      </w:r>
      <w:r w:rsidRPr="003F2648">
        <w:rPr>
          <w:rFonts w:ascii="Arial" w:hAnsi="Arial" w:cs="Arial"/>
        </w:rPr>
        <w:t xml:space="preserve"> highlight that sectoral trends significantly influence stock performance. Their study indicates that technology and FMCG sectors justify higher P/E ratios due to sustained earnings growth and competitive advantages.</w:t>
      </w:r>
    </w:p>
    <w:p w14:paraId="092B8078" w14:textId="77777777" w:rsidR="005936CB" w:rsidRPr="003F2648" w:rsidRDefault="005936CB" w:rsidP="005936CB">
      <w:pPr>
        <w:jc w:val="both"/>
        <w:rPr>
          <w:rFonts w:ascii="Arial" w:hAnsi="Arial" w:cs="Arial"/>
          <w:b/>
          <w:bCs/>
        </w:rPr>
      </w:pPr>
      <w:r>
        <w:rPr>
          <w:rFonts w:ascii="Arial" w:hAnsi="Arial" w:cs="Arial"/>
          <w:b/>
          <w:bCs/>
        </w:rPr>
        <w:t xml:space="preserve">2. </w:t>
      </w:r>
      <w:r w:rsidRPr="003F2648">
        <w:rPr>
          <w:rFonts w:ascii="Arial" w:hAnsi="Arial" w:cs="Arial"/>
          <w:b/>
          <w:bCs/>
        </w:rPr>
        <w:t xml:space="preserve">3 </w:t>
      </w:r>
      <w:r w:rsidRPr="003F2648">
        <w:rPr>
          <w:rFonts w:ascii="Arial" w:hAnsi="Arial" w:cs="Arial"/>
          <w:b/>
          <w:bCs/>
          <w:sz w:val="22"/>
          <w:szCs w:val="22"/>
        </w:rPr>
        <w:t>Sectoral Influence on P/E Ratio Performance</w:t>
      </w:r>
    </w:p>
    <w:p w14:paraId="64EC30B7" w14:textId="77777777" w:rsidR="005936CB" w:rsidRPr="003F2648" w:rsidRDefault="005936CB" w:rsidP="005936CB">
      <w:pPr>
        <w:jc w:val="both"/>
        <w:rPr>
          <w:rFonts w:ascii="Arial" w:hAnsi="Arial" w:cs="Arial"/>
        </w:rPr>
      </w:pPr>
      <w:r w:rsidRPr="003F2648">
        <w:rPr>
          <w:rFonts w:ascii="Arial" w:hAnsi="Arial" w:cs="Arial"/>
        </w:rPr>
        <w:t xml:space="preserve">The relationship between P/E ratios and stock returns varies across industries. </w:t>
      </w:r>
      <w:r w:rsidRPr="003F2648">
        <w:rPr>
          <w:rFonts w:ascii="Arial" w:hAnsi="Arial" w:cs="Arial"/>
          <w:b/>
          <w:bCs/>
        </w:rPr>
        <w:fldChar w:fldCharType="begin" w:fldLock="1"/>
      </w:r>
      <w:r w:rsidRPr="003F2648">
        <w:rPr>
          <w:rFonts w:ascii="Arial" w:hAnsi="Arial" w:cs="Arial"/>
          <w:b/>
          <w:bCs/>
        </w:rPr>
        <w:instrText>ADDIN CSL_CITATION {"citationItems":[{"id":"ITEM-1","itemData":{"ISSN":"0022-1082","author":[{"dropping-particle":"","family":"Jegadeesh","given":"Narasimhan","non-dropping-particle":"","parse-names":false,"suffix":""},{"dropping-particle":"","family":"Titman","given":"Sheridan","non-dropping-particle":"","parse-names":false,"suffix":""}],"container-title":"The Journal of finance","id":"ITEM-1","issue":"1","issued":{"date-parts":[["1993"]]},"page":"65-91","publisher":"Wiley Online Library","title":"Returns to buying winners and selling losers: Implications for stock market efficiency","type":"article-journal","volume":"48"},"uris":["http://www.mendeley.com/documents/?uuid=85367d0e-57ed-437a-a49c-122a7cbf69fc"]}],"mendeley":{"formattedCitation":"(Jegadeesh &amp; Titman, 1993)","plainTextFormattedCitation":"(Jegadeesh &amp; Titman, 1993)","previouslyFormattedCitation":"(Jegadeesh &amp; Titman, 1993)"},"properties":{"noteIndex":0},"schema":"https://github.com/citation-style-language/schema/raw/master/csl-citation.json"}</w:instrText>
      </w:r>
      <w:r w:rsidRPr="003F2648">
        <w:rPr>
          <w:rFonts w:ascii="Arial" w:hAnsi="Arial" w:cs="Arial"/>
          <w:b/>
          <w:bCs/>
        </w:rPr>
        <w:fldChar w:fldCharType="separate"/>
      </w:r>
      <w:r w:rsidRPr="003F2648">
        <w:rPr>
          <w:rFonts w:ascii="Arial" w:hAnsi="Arial" w:cs="Arial"/>
          <w:b/>
          <w:bCs/>
          <w:noProof/>
        </w:rPr>
        <w:t>(Jegadeesh &amp; Titman, 1993)</w:t>
      </w:r>
      <w:r w:rsidRPr="003F2648">
        <w:rPr>
          <w:rFonts w:ascii="Arial" w:hAnsi="Arial" w:cs="Arial"/>
          <w:b/>
          <w:bCs/>
        </w:rPr>
        <w:fldChar w:fldCharType="end"/>
      </w:r>
      <w:r w:rsidRPr="003F2648">
        <w:rPr>
          <w:rFonts w:ascii="Arial" w:hAnsi="Arial" w:cs="Arial"/>
        </w:rPr>
        <w:t xml:space="preserve">, found that momentum stocks—often associated with high P/E ratios—continue to perform well in growth sectors like technology and consumer goods. Research focusing on the Indian market </w:t>
      </w:r>
      <w:r w:rsidRPr="003F2648">
        <w:rPr>
          <w:rFonts w:ascii="Arial" w:hAnsi="Arial" w:cs="Arial"/>
          <w:b/>
          <w:bCs/>
        </w:rPr>
        <w:fldChar w:fldCharType="begin" w:fldLock="1"/>
      </w:r>
      <w:r w:rsidRPr="003F2648">
        <w:rPr>
          <w:rFonts w:ascii="Arial" w:hAnsi="Arial" w:cs="Arial"/>
          <w:b/>
          <w:bCs/>
        </w:rPr>
        <w:instrText>ADDIN CSL_CITATION {"citationItems":[{"id":"ITEM-1","itemData":{"ISSN":"0973-8711","author":[{"dropping-particle":"","family":"Kanojia","given":"Sunaina","non-dropping-particle":"","parse-names":false,"suffix":""},{"dropping-particle":"","family":"Malhotra","given":"Deepali","non-dropping-particle":"","parse-names":false,"suffix":""}],"container-title":"Indian Journal of Finance","id":"ITEM-1","issue":"2","issued":{"date-parts":[["2021"]]},"page":"22-48","title":"A case study of stock market bubbles in the Indian stock market","type":"article-journal","volume":"15"},"uris":["http://www.mendeley.com/documents/?uuid=9cc8cc4d-0236-4b91-91c1-41886452b36e"]}],"mendeley":{"formattedCitation":"(Kanojia &amp; Malhotra, 2021)","plainTextFormattedCitation":"(Kanojia &amp; Malhotra, 2021)","previouslyFormattedCitation":"(Kanojia &amp; Malhotra, 2021)"},"properties":{"noteIndex":0},"schema":"https://github.com/citation-style-language/schema/raw/master/csl-citation.json"}</w:instrText>
      </w:r>
      <w:r w:rsidRPr="003F2648">
        <w:rPr>
          <w:rFonts w:ascii="Arial" w:hAnsi="Arial" w:cs="Arial"/>
          <w:b/>
          <w:bCs/>
        </w:rPr>
        <w:fldChar w:fldCharType="separate"/>
      </w:r>
      <w:r w:rsidRPr="003F2648">
        <w:rPr>
          <w:rFonts w:ascii="Arial" w:hAnsi="Arial" w:cs="Arial"/>
          <w:b/>
          <w:bCs/>
          <w:noProof/>
        </w:rPr>
        <w:t>(Kanojia &amp; Malhotra, 2021)</w:t>
      </w:r>
      <w:r w:rsidRPr="003F2648">
        <w:rPr>
          <w:rFonts w:ascii="Arial" w:hAnsi="Arial" w:cs="Arial"/>
          <w:b/>
          <w:bCs/>
        </w:rPr>
        <w:fldChar w:fldCharType="end"/>
      </w:r>
      <w:r w:rsidRPr="003F2648">
        <w:rPr>
          <w:rFonts w:ascii="Arial" w:hAnsi="Arial" w:cs="Arial"/>
        </w:rPr>
        <w:t xml:space="preserve"> reveals a similar trend, where IT and FMCG stocks with high P/E ratios consistently outperform their lower P/E counterparts.</w:t>
      </w:r>
    </w:p>
    <w:p w14:paraId="5415D45D" w14:textId="77777777" w:rsidR="005936CB" w:rsidRPr="003F2648" w:rsidRDefault="005936CB" w:rsidP="005936CB">
      <w:pPr>
        <w:jc w:val="both"/>
        <w:rPr>
          <w:rFonts w:ascii="Arial" w:hAnsi="Arial" w:cs="Arial"/>
          <w:b/>
          <w:bCs/>
        </w:rPr>
      </w:pPr>
      <w:r>
        <w:rPr>
          <w:rFonts w:ascii="Arial" w:hAnsi="Arial" w:cs="Arial"/>
          <w:b/>
          <w:bCs/>
        </w:rPr>
        <w:t xml:space="preserve">2. </w:t>
      </w:r>
      <w:r w:rsidRPr="003F2648">
        <w:rPr>
          <w:rFonts w:ascii="Arial" w:hAnsi="Arial" w:cs="Arial"/>
          <w:b/>
          <w:bCs/>
        </w:rPr>
        <w:t xml:space="preserve">4 </w:t>
      </w:r>
      <w:r w:rsidRPr="003F2648">
        <w:rPr>
          <w:rFonts w:ascii="Arial" w:hAnsi="Arial" w:cs="Arial"/>
          <w:b/>
          <w:bCs/>
          <w:sz w:val="22"/>
          <w:szCs w:val="22"/>
        </w:rPr>
        <w:t>Macroeconomic and Market Sentiment Factors</w:t>
      </w:r>
    </w:p>
    <w:p w14:paraId="6480E599" w14:textId="77777777" w:rsidR="005936CB" w:rsidRPr="003F2648" w:rsidRDefault="005936CB" w:rsidP="005936CB">
      <w:pPr>
        <w:jc w:val="both"/>
        <w:rPr>
          <w:rFonts w:ascii="Arial" w:hAnsi="Arial" w:cs="Arial"/>
          <w:b/>
          <w:bCs/>
        </w:rPr>
      </w:pPr>
      <w:r w:rsidRPr="003F2648">
        <w:rPr>
          <w:rFonts w:ascii="Arial" w:hAnsi="Arial" w:cs="Arial"/>
        </w:rPr>
        <w:t xml:space="preserve">Market conditions significantly impact stock performance. </w:t>
      </w:r>
      <w:r w:rsidRPr="003F2648">
        <w:rPr>
          <w:rFonts w:ascii="Arial" w:hAnsi="Arial" w:cs="Arial"/>
          <w:b/>
          <w:bCs/>
        </w:rPr>
        <w:fldChar w:fldCharType="begin" w:fldLock="1"/>
      </w:r>
      <w:r w:rsidRPr="003F2648">
        <w:rPr>
          <w:rFonts w:ascii="Arial" w:hAnsi="Arial" w:cs="Arial"/>
          <w:b/>
          <w:bCs/>
        </w:rPr>
        <w:instrText>ADDIN CSL_CITATION {"citationItems":[{"id":"ITEM-1","itemData":{"author":[{"dropping-particle":"","family":"Shiller","given":"Robert J","non-dropping-particle":"","parse-names":false,"suffix":""}],"container-title":"The Right to Tell","id":"ITEM-1","issued":{"date-parts":[["2002"]]},"page":"83","title":"Irrational exuberance in the media","type":"article-journal"},"uris":["http://www.mendeley.com/documents/?uuid=bdea95c5-74b6-4348-8402-ea8a085db766"]}],"mendeley":{"formattedCitation":"(Shiller, 2002)","plainTextFormattedCitation":"(Shiller, 2002)","previouslyFormattedCitation":"(Shiller, 2002)"},"properties":{"noteIndex":0},"schema":"https://github.com/citation-style-language/schema/raw/master/csl-citation.json"}</w:instrText>
      </w:r>
      <w:r w:rsidRPr="003F2648">
        <w:rPr>
          <w:rFonts w:ascii="Arial" w:hAnsi="Arial" w:cs="Arial"/>
          <w:b/>
          <w:bCs/>
        </w:rPr>
        <w:fldChar w:fldCharType="separate"/>
      </w:r>
      <w:r w:rsidRPr="003F2648">
        <w:rPr>
          <w:rFonts w:ascii="Arial" w:hAnsi="Arial" w:cs="Arial"/>
          <w:b/>
          <w:bCs/>
          <w:noProof/>
        </w:rPr>
        <w:t>(Shiller, 2002)</w:t>
      </w:r>
      <w:r w:rsidRPr="003F2648">
        <w:rPr>
          <w:rFonts w:ascii="Arial" w:hAnsi="Arial" w:cs="Arial"/>
          <w:b/>
          <w:bCs/>
        </w:rPr>
        <w:fldChar w:fldCharType="end"/>
      </w:r>
      <w:r w:rsidRPr="003F2648">
        <w:rPr>
          <w:rFonts w:ascii="Arial" w:hAnsi="Arial" w:cs="Arial"/>
        </w:rPr>
        <w:t xml:space="preserve"> found that during economic expansions, high P/E stocks tend to outperform, whereas during downturns, value stocks (low P/E) exhibit better resilience. </w:t>
      </w:r>
      <w:proofErr w:type="spellStart"/>
      <w:r w:rsidRPr="003F2648">
        <w:rPr>
          <w:rFonts w:ascii="Arial" w:hAnsi="Arial" w:cs="Arial"/>
        </w:rPr>
        <w:t>Behavioural</w:t>
      </w:r>
      <w:proofErr w:type="spellEnd"/>
      <w:r w:rsidRPr="003F2648">
        <w:rPr>
          <w:rFonts w:ascii="Arial" w:hAnsi="Arial" w:cs="Arial"/>
        </w:rPr>
        <w:t xml:space="preserve"> finance theories further explain that high-growth stocks attract more investor attention, leading to sustained high valuations </w:t>
      </w:r>
      <w:r w:rsidRPr="003F2648">
        <w:rPr>
          <w:rFonts w:ascii="Arial" w:hAnsi="Arial" w:cs="Arial"/>
          <w:b/>
          <w:bCs/>
        </w:rPr>
        <w:fldChar w:fldCharType="begin" w:fldLock="1"/>
      </w:r>
      <w:r w:rsidRPr="003F2648">
        <w:rPr>
          <w:rFonts w:ascii="Arial" w:hAnsi="Arial" w:cs="Arial"/>
          <w:b/>
          <w:bCs/>
        </w:rPr>
        <w:instrText>ADDIN CSL_CITATION {"citationItems":[{"id":"ITEM-1","itemData":{"ISBN":"113736629X","author":[{"dropping-particle":"","family":"Szyszka","given":"Adam","non-dropping-particle":"","parse-names":false,"suffix":""}],"id":"ITEM-1","issued":{"date-parts":[["2013"]]},"publisher":"Springer","title":"Behavioral finance and capital markets: How psychology influences investors and corporations","type":"book"},"uris":["http://www.mendeley.com/documents/?uuid=6563f3b8-2c6d-4119-a916-74f33a3778a2"]}],"mendeley":{"formattedCitation":"(Szyszka, 2013)","plainTextFormattedCitation":"(Szyszka, 2013)","previouslyFormattedCitation":"(Szyszka, 2013)"},"properties":{"noteIndex":0},"schema":"https://github.com/citation-style-language/schema/raw/master/csl-citation.json"}</w:instrText>
      </w:r>
      <w:r w:rsidRPr="003F2648">
        <w:rPr>
          <w:rFonts w:ascii="Arial" w:hAnsi="Arial" w:cs="Arial"/>
          <w:b/>
          <w:bCs/>
        </w:rPr>
        <w:fldChar w:fldCharType="separate"/>
      </w:r>
      <w:r w:rsidRPr="003F2648">
        <w:rPr>
          <w:rFonts w:ascii="Arial" w:hAnsi="Arial" w:cs="Arial"/>
          <w:b/>
          <w:bCs/>
          <w:noProof/>
        </w:rPr>
        <w:t>(Szyszka, 2013)</w:t>
      </w:r>
      <w:r w:rsidRPr="003F2648">
        <w:rPr>
          <w:rFonts w:ascii="Arial" w:hAnsi="Arial" w:cs="Arial"/>
          <w:b/>
          <w:bCs/>
        </w:rPr>
        <w:fldChar w:fldCharType="end"/>
      </w:r>
      <w:r w:rsidRPr="003F2648">
        <w:rPr>
          <w:rFonts w:ascii="Arial" w:hAnsi="Arial" w:cs="Arial"/>
          <w:b/>
          <w:bCs/>
        </w:rPr>
        <w:t>.</w:t>
      </w:r>
    </w:p>
    <w:p w14:paraId="3FF51B6A" w14:textId="77777777" w:rsidR="005936CB" w:rsidRPr="003F2648" w:rsidRDefault="005936CB" w:rsidP="005936CB">
      <w:pPr>
        <w:jc w:val="both"/>
        <w:rPr>
          <w:rFonts w:ascii="Arial" w:hAnsi="Arial" w:cs="Arial"/>
          <w:b/>
          <w:bCs/>
        </w:rPr>
      </w:pPr>
      <w:r>
        <w:rPr>
          <w:rFonts w:ascii="Arial" w:hAnsi="Arial" w:cs="Arial"/>
          <w:b/>
          <w:bCs/>
        </w:rPr>
        <w:lastRenderedPageBreak/>
        <w:t xml:space="preserve">2. </w:t>
      </w:r>
      <w:r w:rsidRPr="003F2648">
        <w:rPr>
          <w:rFonts w:ascii="Arial" w:hAnsi="Arial" w:cs="Arial"/>
          <w:b/>
          <w:bCs/>
        </w:rPr>
        <w:t>5</w:t>
      </w:r>
      <w:r w:rsidRPr="003F2648">
        <w:rPr>
          <w:rFonts w:ascii="Arial" w:hAnsi="Arial" w:cs="Arial"/>
          <w:b/>
          <w:bCs/>
          <w:sz w:val="22"/>
          <w:szCs w:val="22"/>
        </w:rPr>
        <w:t xml:space="preserve"> Risk and Volatility in High P/E Stocks</w:t>
      </w:r>
    </w:p>
    <w:p w14:paraId="39297C83" w14:textId="77777777" w:rsidR="005936CB" w:rsidRPr="003F2648" w:rsidRDefault="005936CB" w:rsidP="005936CB">
      <w:pPr>
        <w:jc w:val="both"/>
        <w:rPr>
          <w:rFonts w:ascii="Arial" w:hAnsi="Arial" w:cs="Arial"/>
        </w:rPr>
      </w:pPr>
      <w:r w:rsidRPr="003F2648">
        <w:rPr>
          <w:rFonts w:ascii="Arial" w:hAnsi="Arial" w:cs="Arial"/>
        </w:rPr>
        <w:t xml:space="preserve">High P/E stocks often exhibit higher volatility, making them riskier investments. </w:t>
      </w:r>
      <w:r w:rsidRPr="003F2648">
        <w:rPr>
          <w:rFonts w:ascii="Arial" w:hAnsi="Arial" w:cs="Arial"/>
          <w:b/>
          <w:bCs/>
        </w:rPr>
        <w:fldChar w:fldCharType="begin" w:fldLock="1"/>
      </w:r>
      <w:r w:rsidRPr="003F2648">
        <w:rPr>
          <w:rFonts w:ascii="Arial" w:hAnsi="Arial" w:cs="Arial"/>
          <w:b/>
          <w:bCs/>
        </w:rPr>
        <w:instrText>ADDIN CSL_CITATION {"citationItems":[{"id":"ITEM-1","itemData":{"ISSN":"0022-1082","author":[{"dropping-particle":"","family":"Ang","given":"Andrew","non-dropping-particle":"","parse-names":false,"suffix":""},{"dropping-particle":"","family":"Hodrick","given":"Robert J","non-dropping-particle":"","parse-names":false,"suffix":""},{"dropping-particle":"","family":"Xing","given":"Yuhang","non-dropping-particle":"","parse-names":false,"suffix":""},{"dropping-particle":"","family":"Zhang","given":"Xiaoyan","non-dropping-particle":"","parse-names":false,"suffix":""}],"container-title":"The journal of finance","id":"ITEM-1","issue":"1","issued":{"date-parts":[["2006"]]},"page":"259-299","publisher":"Wiley Online Library","title":"The cross</w:instrText>
      </w:r>
      <w:r w:rsidRPr="003F2648">
        <w:rPr>
          <w:rFonts w:ascii="Cambria Math" w:hAnsi="Cambria Math" w:cs="Cambria Math"/>
          <w:b/>
          <w:bCs/>
        </w:rPr>
        <w:instrText>‐</w:instrText>
      </w:r>
      <w:r w:rsidRPr="003F2648">
        <w:rPr>
          <w:rFonts w:ascii="Arial" w:hAnsi="Arial" w:cs="Arial"/>
          <w:b/>
          <w:bCs/>
        </w:rPr>
        <w:instrText>section of volatility and expected returns","type":"article-journal","volume":"61"},"uris":["http://www.mendeley.com/documents/?uuid=869cf49a-f830-479e-8496-bb858cf03566"]}],"mendeley":{"formattedCitation":"(Ang et al., 2006)","plainTextFormattedCitation":"(Ang et al., 2006)","previouslyFormattedCitation":"(Ang et al., 2006)"},"properties":{"noteIndex":0},"schema":"https://github.com/citation-style-language/schema/raw/master/csl-citation.json"}</w:instrText>
      </w:r>
      <w:r w:rsidRPr="003F2648">
        <w:rPr>
          <w:rFonts w:ascii="Arial" w:hAnsi="Arial" w:cs="Arial"/>
          <w:b/>
          <w:bCs/>
        </w:rPr>
        <w:fldChar w:fldCharType="separate"/>
      </w:r>
      <w:r w:rsidRPr="003F2648">
        <w:rPr>
          <w:rFonts w:ascii="Arial" w:hAnsi="Arial" w:cs="Arial"/>
          <w:b/>
          <w:bCs/>
          <w:noProof/>
        </w:rPr>
        <w:t>(Ang et al., 2006)</w:t>
      </w:r>
      <w:r w:rsidRPr="003F2648">
        <w:rPr>
          <w:rFonts w:ascii="Arial" w:hAnsi="Arial" w:cs="Arial"/>
          <w:b/>
          <w:bCs/>
        </w:rPr>
        <w:fldChar w:fldCharType="end"/>
      </w:r>
      <w:r w:rsidRPr="003F2648">
        <w:rPr>
          <w:rFonts w:ascii="Arial" w:hAnsi="Arial" w:cs="Arial"/>
        </w:rPr>
        <w:t xml:space="preserve"> found that stocks with higher valuations experience greater price fluctuations. The standard deviation of returns tends to increase with higher P/E ratios, emphasizing the importance of risk tolerance when investing in such stocks.</w:t>
      </w:r>
    </w:p>
    <w:p w14:paraId="079A809D" w14:textId="77777777" w:rsidR="005936CB" w:rsidRPr="003F2648" w:rsidRDefault="005936CB" w:rsidP="005936CB">
      <w:pPr>
        <w:jc w:val="both"/>
        <w:rPr>
          <w:rFonts w:ascii="Arial" w:hAnsi="Arial" w:cs="Arial"/>
          <w:b/>
          <w:bCs/>
          <w:sz w:val="22"/>
          <w:szCs w:val="22"/>
        </w:rPr>
      </w:pPr>
      <w:r>
        <w:rPr>
          <w:rFonts w:ascii="Arial" w:hAnsi="Arial" w:cs="Arial"/>
          <w:b/>
          <w:bCs/>
        </w:rPr>
        <w:t xml:space="preserve">3. </w:t>
      </w:r>
      <w:r w:rsidRPr="003F2648">
        <w:rPr>
          <w:rFonts w:ascii="Arial" w:hAnsi="Arial" w:cs="Arial"/>
          <w:b/>
          <w:bCs/>
        </w:rPr>
        <w:t>RESEARCH OBJECTIVES</w:t>
      </w:r>
    </w:p>
    <w:p w14:paraId="4D44C467" w14:textId="77777777" w:rsidR="005936CB" w:rsidRPr="003F2648" w:rsidRDefault="005936CB" w:rsidP="005936CB">
      <w:pPr>
        <w:jc w:val="both"/>
        <w:rPr>
          <w:rFonts w:ascii="Arial" w:hAnsi="Arial" w:cs="Arial"/>
        </w:rPr>
      </w:pPr>
      <w:r w:rsidRPr="003F2648">
        <w:rPr>
          <w:rFonts w:ascii="Arial" w:hAnsi="Arial" w:cs="Arial"/>
        </w:rPr>
        <w:t>This study aims to evaluate the performance of high Price-to-Earnings (P/E) ratio stocks within the Nifty 50 index across different time horizons. The specific objectives are:</w:t>
      </w:r>
    </w:p>
    <w:p w14:paraId="622F7430" w14:textId="77777777" w:rsidR="005936CB" w:rsidRPr="003F2648" w:rsidRDefault="005936CB" w:rsidP="005936CB">
      <w:pPr>
        <w:numPr>
          <w:ilvl w:val="0"/>
          <w:numId w:val="31"/>
        </w:numPr>
        <w:spacing w:after="160" w:line="259" w:lineRule="auto"/>
        <w:jc w:val="both"/>
        <w:rPr>
          <w:rFonts w:ascii="Arial" w:hAnsi="Arial" w:cs="Arial"/>
        </w:rPr>
      </w:pPr>
      <w:r w:rsidRPr="003F2648">
        <w:rPr>
          <w:rFonts w:ascii="Arial" w:hAnsi="Arial" w:cs="Arial"/>
        </w:rPr>
        <w:t xml:space="preserve">To </w:t>
      </w:r>
      <w:proofErr w:type="spellStart"/>
      <w:r w:rsidRPr="003F2648">
        <w:rPr>
          <w:rFonts w:ascii="Arial" w:hAnsi="Arial" w:cs="Arial"/>
        </w:rPr>
        <w:t>analyse</w:t>
      </w:r>
      <w:proofErr w:type="spellEnd"/>
      <w:r w:rsidRPr="003F2648">
        <w:rPr>
          <w:rFonts w:ascii="Arial" w:hAnsi="Arial" w:cs="Arial"/>
        </w:rPr>
        <w:t xml:space="preserve"> the relationship between high P/E ratio stocks and their performance over a 1-year, 3-year, and 5-year period within the Nifty 50 index.</w:t>
      </w:r>
    </w:p>
    <w:p w14:paraId="51894E4C" w14:textId="77777777" w:rsidR="005936CB" w:rsidRPr="003F2648" w:rsidRDefault="005936CB" w:rsidP="005936CB">
      <w:pPr>
        <w:numPr>
          <w:ilvl w:val="0"/>
          <w:numId w:val="31"/>
        </w:numPr>
        <w:spacing w:after="160" w:line="259" w:lineRule="auto"/>
        <w:jc w:val="both"/>
        <w:rPr>
          <w:rFonts w:ascii="Arial" w:hAnsi="Arial" w:cs="Arial"/>
        </w:rPr>
      </w:pPr>
      <w:r w:rsidRPr="003F2648">
        <w:rPr>
          <w:rFonts w:ascii="Arial" w:hAnsi="Arial" w:cs="Arial"/>
        </w:rPr>
        <w:t>To assess sectoral variations in stock performance based on P/E ratios, identifying industries where high P/E stocks perform better.</w:t>
      </w:r>
    </w:p>
    <w:p w14:paraId="1B8D92ED" w14:textId="77777777" w:rsidR="005936CB" w:rsidRPr="003F2648" w:rsidRDefault="005936CB" w:rsidP="005936CB">
      <w:pPr>
        <w:numPr>
          <w:ilvl w:val="0"/>
          <w:numId w:val="31"/>
        </w:numPr>
        <w:spacing w:after="160" w:line="259" w:lineRule="auto"/>
        <w:jc w:val="both"/>
        <w:rPr>
          <w:rFonts w:ascii="Arial" w:hAnsi="Arial" w:cs="Arial"/>
        </w:rPr>
      </w:pPr>
      <w:r w:rsidRPr="003F2648">
        <w:rPr>
          <w:rFonts w:ascii="Arial" w:hAnsi="Arial" w:cs="Arial"/>
        </w:rPr>
        <w:t>To examine the impact of macroeconomic conditions, market sentiment, and sectoral trends on the performance of high P/E stocks.</w:t>
      </w:r>
    </w:p>
    <w:p w14:paraId="214A555B" w14:textId="77777777" w:rsidR="005936CB" w:rsidRPr="003F2648" w:rsidRDefault="005936CB" w:rsidP="005936CB">
      <w:pPr>
        <w:numPr>
          <w:ilvl w:val="0"/>
          <w:numId w:val="31"/>
        </w:numPr>
        <w:spacing w:after="160" w:line="259" w:lineRule="auto"/>
        <w:jc w:val="both"/>
        <w:rPr>
          <w:rFonts w:ascii="Arial" w:hAnsi="Arial" w:cs="Arial"/>
        </w:rPr>
      </w:pPr>
      <w:r w:rsidRPr="003F2648">
        <w:rPr>
          <w:rFonts w:ascii="Arial" w:hAnsi="Arial" w:cs="Arial"/>
        </w:rPr>
        <w:t xml:space="preserve">To challenge conventional investment wisdom regarding the underperformance of high P/E stocks by </w:t>
      </w:r>
      <w:proofErr w:type="spellStart"/>
      <w:r w:rsidRPr="003F2648">
        <w:rPr>
          <w:rFonts w:ascii="Arial" w:hAnsi="Arial" w:cs="Arial"/>
        </w:rPr>
        <w:t>analysing</w:t>
      </w:r>
      <w:proofErr w:type="spellEnd"/>
      <w:r w:rsidRPr="003F2648">
        <w:rPr>
          <w:rFonts w:ascii="Arial" w:hAnsi="Arial" w:cs="Arial"/>
        </w:rPr>
        <w:t xml:space="preserve"> historical data and statistical trends.</w:t>
      </w:r>
    </w:p>
    <w:p w14:paraId="3BB953EF" w14:textId="77777777" w:rsidR="005936CB" w:rsidRPr="003F2648" w:rsidRDefault="005936CB" w:rsidP="005936CB">
      <w:pPr>
        <w:jc w:val="both"/>
        <w:rPr>
          <w:rFonts w:ascii="Arial" w:hAnsi="Arial" w:cs="Arial"/>
          <w:b/>
          <w:bCs/>
          <w:sz w:val="22"/>
          <w:szCs w:val="22"/>
        </w:rPr>
      </w:pPr>
      <w:r>
        <w:rPr>
          <w:rFonts w:ascii="Arial" w:hAnsi="Arial" w:cs="Arial"/>
          <w:b/>
          <w:bCs/>
        </w:rPr>
        <w:t xml:space="preserve">4. </w:t>
      </w:r>
      <w:r w:rsidRPr="003F2648">
        <w:rPr>
          <w:rFonts w:ascii="Arial" w:hAnsi="Arial" w:cs="Arial"/>
          <w:b/>
          <w:bCs/>
        </w:rPr>
        <w:t>RESEARCH QUESTIONS</w:t>
      </w:r>
    </w:p>
    <w:p w14:paraId="4FD5C36D" w14:textId="77777777" w:rsidR="005936CB" w:rsidRPr="003F2648" w:rsidRDefault="005936CB" w:rsidP="005936CB">
      <w:pPr>
        <w:jc w:val="both"/>
        <w:rPr>
          <w:rFonts w:ascii="Arial" w:hAnsi="Arial" w:cs="Arial"/>
        </w:rPr>
      </w:pPr>
      <w:r w:rsidRPr="003F2648">
        <w:rPr>
          <w:rFonts w:ascii="Arial" w:hAnsi="Arial" w:cs="Arial"/>
        </w:rPr>
        <w:t>To achieve the above objectives, the study addresses the following research questions:</w:t>
      </w:r>
    </w:p>
    <w:p w14:paraId="56B71100" w14:textId="77777777" w:rsidR="005936CB" w:rsidRPr="003F2648" w:rsidRDefault="005936CB" w:rsidP="005936CB">
      <w:pPr>
        <w:numPr>
          <w:ilvl w:val="0"/>
          <w:numId w:val="32"/>
        </w:numPr>
        <w:spacing w:after="160" w:line="259" w:lineRule="auto"/>
        <w:jc w:val="both"/>
        <w:rPr>
          <w:rFonts w:ascii="Arial" w:hAnsi="Arial" w:cs="Arial"/>
        </w:rPr>
      </w:pPr>
      <w:r w:rsidRPr="003F2648">
        <w:rPr>
          <w:rFonts w:ascii="Arial" w:hAnsi="Arial" w:cs="Arial"/>
        </w:rPr>
        <w:t>Do high P/E ratio stocks always underperform in the Nifty 50 index?</w:t>
      </w:r>
    </w:p>
    <w:p w14:paraId="48141620" w14:textId="77777777" w:rsidR="005936CB" w:rsidRPr="003F2648" w:rsidRDefault="005936CB" w:rsidP="005936CB">
      <w:pPr>
        <w:numPr>
          <w:ilvl w:val="0"/>
          <w:numId w:val="32"/>
        </w:numPr>
        <w:spacing w:after="160" w:line="259" w:lineRule="auto"/>
        <w:jc w:val="both"/>
        <w:rPr>
          <w:rFonts w:ascii="Arial" w:hAnsi="Arial" w:cs="Arial"/>
        </w:rPr>
      </w:pPr>
      <w:r w:rsidRPr="003F2648">
        <w:rPr>
          <w:rFonts w:ascii="Arial" w:hAnsi="Arial" w:cs="Arial"/>
        </w:rPr>
        <w:t>What sectoral patterns exist in the performance of high vs. low P/E ratio stocks?</w:t>
      </w:r>
    </w:p>
    <w:p w14:paraId="45A19D65" w14:textId="77777777" w:rsidR="005936CB" w:rsidRPr="003F2648" w:rsidRDefault="005936CB" w:rsidP="005936CB">
      <w:pPr>
        <w:numPr>
          <w:ilvl w:val="0"/>
          <w:numId w:val="32"/>
        </w:numPr>
        <w:spacing w:after="160" w:line="259" w:lineRule="auto"/>
        <w:jc w:val="both"/>
        <w:rPr>
          <w:rFonts w:ascii="Arial" w:hAnsi="Arial" w:cs="Arial"/>
        </w:rPr>
      </w:pPr>
      <w:r w:rsidRPr="003F2648">
        <w:rPr>
          <w:rFonts w:ascii="Arial" w:hAnsi="Arial" w:cs="Arial"/>
        </w:rPr>
        <w:t>How do external factors such as market sentiment and macroeconomic conditions influence the performance of high P/E stocks?</w:t>
      </w:r>
    </w:p>
    <w:p w14:paraId="64200860" w14:textId="77777777" w:rsidR="005936CB" w:rsidRPr="003F2648" w:rsidRDefault="005936CB" w:rsidP="005936CB">
      <w:pPr>
        <w:numPr>
          <w:ilvl w:val="0"/>
          <w:numId w:val="32"/>
        </w:numPr>
        <w:spacing w:after="160" w:line="259" w:lineRule="auto"/>
        <w:jc w:val="both"/>
        <w:rPr>
          <w:rFonts w:ascii="Arial" w:hAnsi="Arial" w:cs="Arial"/>
        </w:rPr>
      </w:pPr>
      <w:r w:rsidRPr="003F2648">
        <w:rPr>
          <w:rFonts w:ascii="Arial" w:hAnsi="Arial" w:cs="Arial"/>
        </w:rPr>
        <w:t>Can high P/E stocks outperform in the long run despite their elevated valuations?</w:t>
      </w:r>
    </w:p>
    <w:p w14:paraId="3BEE3F2A" w14:textId="77777777" w:rsidR="005936CB" w:rsidRPr="003F2648" w:rsidRDefault="005936CB" w:rsidP="005936CB">
      <w:pPr>
        <w:jc w:val="both"/>
        <w:rPr>
          <w:rFonts w:ascii="Arial" w:hAnsi="Arial" w:cs="Arial"/>
          <w:b/>
          <w:bCs/>
          <w:sz w:val="22"/>
          <w:szCs w:val="22"/>
        </w:rPr>
      </w:pPr>
      <w:r>
        <w:rPr>
          <w:rFonts w:ascii="Arial" w:hAnsi="Arial" w:cs="Arial"/>
          <w:b/>
          <w:bCs/>
        </w:rPr>
        <w:t xml:space="preserve">5. </w:t>
      </w:r>
      <w:r w:rsidRPr="003F2648">
        <w:rPr>
          <w:rFonts w:ascii="Arial" w:hAnsi="Arial" w:cs="Arial"/>
          <w:b/>
          <w:bCs/>
        </w:rPr>
        <w:t>RESEARCH METHODOLOGY:</w:t>
      </w:r>
    </w:p>
    <w:p w14:paraId="3DFA0480" w14:textId="77777777" w:rsidR="005936CB" w:rsidRPr="003F2648" w:rsidRDefault="005936CB" w:rsidP="005936CB">
      <w:pPr>
        <w:jc w:val="both"/>
        <w:rPr>
          <w:rFonts w:ascii="Arial" w:hAnsi="Arial" w:cs="Arial"/>
        </w:rPr>
      </w:pPr>
      <w:r w:rsidRPr="003F2648">
        <w:rPr>
          <w:rFonts w:ascii="Arial" w:hAnsi="Arial" w:cs="Arial"/>
        </w:rPr>
        <w:t>This study employs a quantitative research approach to analyze the performance of high Price-to-Earnings (P/E) ratio stocks within the Nifty 50 index over different time horizons. A combination of historical data analysis and statistical techniques is used to determine the impact of P/E ratios on stock performance.</w:t>
      </w:r>
    </w:p>
    <w:p w14:paraId="3B8B7EF6" w14:textId="77777777" w:rsidR="005936CB" w:rsidRPr="003F2648" w:rsidRDefault="005936CB" w:rsidP="005936CB">
      <w:pPr>
        <w:jc w:val="both"/>
        <w:rPr>
          <w:rFonts w:ascii="Arial" w:hAnsi="Arial" w:cs="Arial"/>
          <w:b/>
          <w:bCs/>
        </w:rPr>
      </w:pPr>
      <w:r>
        <w:rPr>
          <w:rFonts w:ascii="Arial" w:hAnsi="Arial" w:cs="Arial"/>
          <w:b/>
          <w:bCs/>
        </w:rPr>
        <w:t xml:space="preserve">5. </w:t>
      </w:r>
      <w:r w:rsidRPr="003F2648">
        <w:rPr>
          <w:rFonts w:ascii="Arial" w:hAnsi="Arial" w:cs="Arial"/>
          <w:b/>
          <w:bCs/>
        </w:rPr>
        <w:t>1 Data Collection</w:t>
      </w:r>
    </w:p>
    <w:p w14:paraId="719282C0" w14:textId="77777777" w:rsidR="005936CB" w:rsidRPr="003F2648" w:rsidRDefault="005936CB" w:rsidP="005936CB">
      <w:pPr>
        <w:ind w:left="720"/>
        <w:jc w:val="both"/>
        <w:rPr>
          <w:rFonts w:ascii="Arial" w:hAnsi="Arial" w:cs="Arial"/>
        </w:rPr>
      </w:pPr>
      <w:r w:rsidRPr="003F2648">
        <w:rPr>
          <w:rFonts w:ascii="Arial" w:hAnsi="Arial" w:cs="Arial"/>
          <w:b/>
          <w:bCs/>
        </w:rPr>
        <w:t xml:space="preserve">Source: </w:t>
      </w:r>
      <w:r w:rsidRPr="003F2648">
        <w:rPr>
          <w:rFonts w:ascii="Arial" w:hAnsi="Arial" w:cs="Arial"/>
        </w:rPr>
        <w:t>Historical stock data is obtained from NSE (National Stock Exchange) databases and financial market reports.</w:t>
      </w:r>
    </w:p>
    <w:p w14:paraId="1CAEE25C" w14:textId="77777777" w:rsidR="005936CB" w:rsidRPr="003F2648" w:rsidRDefault="005936CB" w:rsidP="005936CB">
      <w:pPr>
        <w:ind w:left="720"/>
        <w:jc w:val="both"/>
        <w:rPr>
          <w:rFonts w:ascii="Arial" w:hAnsi="Arial" w:cs="Arial"/>
          <w:b/>
          <w:bCs/>
        </w:rPr>
      </w:pPr>
      <w:r w:rsidRPr="003F2648">
        <w:rPr>
          <w:rFonts w:ascii="Arial" w:hAnsi="Arial" w:cs="Arial"/>
          <w:b/>
          <w:bCs/>
        </w:rPr>
        <w:t xml:space="preserve">Time Period: </w:t>
      </w:r>
      <w:r w:rsidRPr="003F2648">
        <w:rPr>
          <w:rFonts w:ascii="Arial" w:hAnsi="Arial" w:cs="Arial"/>
        </w:rPr>
        <w:t>The study examines stock performance over 1-year, 3-year, and 5-year periods.</w:t>
      </w:r>
    </w:p>
    <w:p w14:paraId="7C2E9865" w14:textId="77777777" w:rsidR="005936CB" w:rsidRPr="003F2648" w:rsidRDefault="005936CB" w:rsidP="005936CB">
      <w:pPr>
        <w:ind w:left="720"/>
        <w:jc w:val="both"/>
        <w:rPr>
          <w:rFonts w:ascii="Arial" w:hAnsi="Arial" w:cs="Arial"/>
        </w:rPr>
      </w:pPr>
      <w:r w:rsidRPr="003F2648">
        <w:rPr>
          <w:rFonts w:ascii="Arial" w:hAnsi="Arial" w:cs="Arial"/>
          <w:b/>
          <w:bCs/>
        </w:rPr>
        <w:t xml:space="preserve">Sample Selection: </w:t>
      </w:r>
      <w:r w:rsidRPr="003F2648">
        <w:rPr>
          <w:rFonts w:ascii="Arial" w:hAnsi="Arial" w:cs="Arial"/>
        </w:rPr>
        <w:t>High P/E ratio stocks within the Nifty 50 index are analyzed, with comparisons made across different sectors.</w:t>
      </w:r>
    </w:p>
    <w:p w14:paraId="229944A4" w14:textId="77777777" w:rsidR="005936CB" w:rsidRPr="003F2648" w:rsidRDefault="005936CB" w:rsidP="005936CB">
      <w:pPr>
        <w:jc w:val="both"/>
        <w:rPr>
          <w:rFonts w:ascii="Arial" w:hAnsi="Arial" w:cs="Arial"/>
          <w:b/>
          <w:bCs/>
          <w:sz w:val="22"/>
          <w:szCs w:val="22"/>
        </w:rPr>
      </w:pPr>
      <w:r>
        <w:rPr>
          <w:rFonts w:ascii="Arial" w:hAnsi="Arial" w:cs="Arial"/>
          <w:b/>
          <w:bCs/>
        </w:rPr>
        <w:t xml:space="preserve">5. </w:t>
      </w:r>
      <w:r w:rsidRPr="003F2648">
        <w:rPr>
          <w:rFonts w:ascii="Arial" w:hAnsi="Arial" w:cs="Arial"/>
          <w:b/>
          <w:bCs/>
        </w:rPr>
        <w:t xml:space="preserve">2 </w:t>
      </w:r>
      <w:r w:rsidRPr="003F2648">
        <w:rPr>
          <w:rFonts w:ascii="Arial" w:hAnsi="Arial" w:cs="Arial"/>
          <w:b/>
          <w:bCs/>
          <w:sz w:val="22"/>
          <w:szCs w:val="22"/>
        </w:rPr>
        <w:t>Variables Considered</w:t>
      </w:r>
    </w:p>
    <w:p w14:paraId="6CEB1B6C" w14:textId="77777777" w:rsidR="005936CB" w:rsidRPr="003F2648" w:rsidRDefault="005936CB" w:rsidP="005936CB">
      <w:pPr>
        <w:ind w:left="720"/>
        <w:jc w:val="both"/>
        <w:rPr>
          <w:rFonts w:ascii="Arial" w:hAnsi="Arial" w:cs="Arial"/>
          <w:b/>
          <w:bCs/>
        </w:rPr>
      </w:pPr>
      <w:r w:rsidRPr="003F2648">
        <w:rPr>
          <w:rFonts w:ascii="Arial" w:hAnsi="Arial" w:cs="Arial"/>
          <w:b/>
          <w:bCs/>
        </w:rPr>
        <w:t xml:space="preserve">Independent Variable: </w:t>
      </w:r>
      <w:r w:rsidRPr="003F2648">
        <w:rPr>
          <w:rFonts w:ascii="Arial" w:hAnsi="Arial" w:cs="Arial"/>
        </w:rPr>
        <w:t>P/E Ratio (High vs. Low</w:t>
      </w:r>
      <w:r w:rsidRPr="003F2648">
        <w:rPr>
          <w:rFonts w:ascii="Arial" w:hAnsi="Arial" w:cs="Arial"/>
          <w:b/>
          <w:bCs/>
        </w:rPr>
        <w:t>)</w:t>
      </w:r>
    </w:p>
    <w:p w14:paraId="1287E1E4" w14:textId="77777777" w:rsidR="005936CB" w:rsidRPr="003F2648" w:rsidRDefault="005936CB" w:rsidP="005936CB">
      <w:pPr>
        <w:ind w:left="720"/>
        <w:jc w:val="both"/>
        <w:rPr>
          <w:rFonts w:ascii="Arial" w:hAnsi="Arial" w:cs="Arial"/>
        </w:rPr>
      </w:pPr>
      <w:r w:rsidRPr="003F2648">
        <w:rPr>
          <w:rFonts w:ascii="Arial" w:hAnsi="Arial" w:cs="Arial"/>
          <w:b/>
          <w:bCs/>
        </w:rPr>
        <w:t xml:space="preserve">Dependent Variable: </w:t>
      </w:r>
      <w:r w:rsidRPr="003F2648">
        <w:rPr>
          <w:rFonts w:ascii="Arial" w:hAnsi="Arial" w:cs="Arial"/>
        </w:rPr>
        <w:t>Stock Performance (Returns over different time horizons)</w:t>
      </w:r>
    </w:p>
    <w:p w14:paraId="01F1B1C9" w14:textId="77777777" w:rsidR="005936CB" w:rsidRPr="003F2648" w:rsidRDefault="005936CB" w:rsidP="005936CB">
      <w:pPr>
        <w:ind w:left="720"/>
        <w:jc w:val="both"/>
        <w:rPr>
          <w:rFonts w:ascii="Arial" w:hAnsi="Arial" w:cs="Arial"/>
          <w:b/>
          <w:bCs/>
        </w:rPr>
      </w:pPr>
      <w:r w:rsidRPr="003F2648">
        <w:rPr>
          <w:rFonts w:ascii="Arial" w:hAnsi="Arial" w:cs="Arial"/>
          <w:b/>
          <w:bCs/>
        </w:rPr>
        <w:t>Control Variables:</w:t>
      </w:r>
    </w:p>
    <w:p w14:paraId="303E2A36" w14:textId="77777777" w:rsidR="005936CB" w:rsidRPr="003F2648" w:rsidRDefault="005936CB" w:rsidP="005936CB">
      <w:pPr>
        <w:ind w:left="1440"/>
        <w:jc w:val="both"/>
        <w:rPr>
          <w:rFonts w:ascii="Arial" w:hAnsi="Arial" w:cs="Arial"/>
        </w:rPr>
      </w:pPr>
      <w:r w:rsidRPr="003F2648">
        <w:rPr>
          <w:rFonts w:ascii="Arial" w:hAnsi="Arial" w:cs="Arial"/>
        </w:rPr>
        <w:t>Sector Classification (Technology, FMCG, Financial Services, etc.)</w:t>
      </w:r>
    </w:p>
    <w:p w14:paraId="5BE62A51" w14:textId="77777777" w:rsidR="005936CB" w:rsidRPr="003F2648" w:rsidRDefault="005936CB" w:rsidP="005936CB">
      <w:pPr>
        <w:ind w:left="1440"/>
        <w:jc w:val="both"/>
        <w:rPr>
          <w:rFonts w:ascii="Arial" w:hAnsi="Arial" w:cs="Arial"/>
        </w:rPr>
      </w:pPr>
      <w:r w:rsidRPr="003F2648">
        <w:rPr>
          <w:rFonts w:ascii="Arial" w:hAnsi="Arial" w:cs="Arial"/>
        </w:rPr>
        <w:t>Market Capitalization (Large-cap vs. mid-cap stocks)</w:t>
      </w:r>
    </w:p>
    <w:p w14:paraId="27F247F5" w14:textId="77777777" w:rsidR="005936CB" w:rsidRPr="003F2648" w:rsidRDefault="005936CB" w:rsidP="005936CB">
      <w:pPr>
        <w:ind w:left="1440"/>
        <w:jc w:val="both"/>
        <w:rPr>
          <w:rFonts w:ascii="Arial" w:hAnsi="Arial" w:cs="Arial"/>
        </w:rPr>
      </w:pPr>
      <w:r w:rsidRPr="003F2648">
        <w:rPr>
          <w:rFonts w:ascii="Arial" w:hAnsi="Arial" w:cs="Arial"/>
        </w:rPr>
        <w:t>Dividend Yield (To assess income-generating potential)</w:t>
      </w:r>
    </w:p>
    <w:p w14:paraId="14BF5660" w14:textId="77777777" w:rsidR="005936CB" w:rsidRPr="003F2648" w:rsidRDefault="005936CB" w:rsidP="005936CB">
      <w:pPr>
        <w:jc w:val="both"/>
        <w:rPr>
          <w:rFonts w:ascii="Arial" w:hAnsi="Arial" w:cs="Arial"/>
          <w:b/>
          <w:bCs/>
        </w:rPr>
      </w:pPr>
      <w:r>
        <w:rPr>
          <w:rFonts w:ascii="Arial" w:hAnsi="Arial" w:cs="Arial"/>
          <w:b/>
          <w:bCs/>
        </w:rPr>
        <w:t xml:space="preserve">5. </w:t>
      </w:r>
      <w:r w:rsidRPr="003F2648">
        <w:rPr>
          <w:rFonts w:ascii="Arial" w:hAnsi="Arial" w:cs="Arial"/>
          <w:b/>
          <w:bCs/>
        </w:rPr>
        <w:t>3</w:t>
      </w:r>
      <w:r w:rsidRPr="003F2648">
        <w:rPr>
          <w:rFonts w:ascii="Arial" w:hAnsi="Arial" w:cs="Arial"/>
          <w:b/>
          <w:bCs/>
          <w:sz w:val="22"/>
          <w:szCs w:val="22"/>
        </w:rPr>
        <w:t xml:space="preserve"> Statistical Techniques Used</w:t>
      </w:r>
    </w:p>
    <w:p w14:paraId="0B616896" w14:textId="77777777" w:rsidR="005936CB" w:rsidRPr="003F2648" w:rsidRDefault="005936CB" w:rsidP="005936CB">
      <w:pPr>
        <w:jc w:val="both"/>
        <w:rPr>
          <w:rFonts w:ascii="Arial" w:hAnsi="Arial" w:cs="Arial"/>
        </w:rPr>
      </w:pPr>
      <w:r w:rsidRPr="003F2648">
        <w:rPr>
          <w:rFonts w:ascii="Arial" w:hAnsi="Arial" w:cs="Arial"/>
        </w:rPr>
        <w:t>The following statistical tools are applied to analyze stock performance:</w:t>
      </w:r>
    </w:p>
    <w:p w14:paraId="32F5EF73" w14:textId="77777777" w:rsidR="005936CB" w:rsidRPr="003F2648" w:rsidRDefault="005936CB" w:rsidP="005936CB">
      <w:pPr>
        <w:numPr>
          <w:ilvl w:val="0"/>
          <w:numId w:val="33"/>
        </w:numPr>
        <w:spacing w:after="160" w:line="259" w:lineRule="auto"/>
        <w:jc w:val="both"/>
        <w:rPr>
          <w:rFonts w:ascii="Arial" w:hAnsi="Arial" w:cs="Arial"/>
        </w:rPr>
      </w:pPr>
      <w:r w:rsidRPr="003F2648">
        <w:rPr>
          <w:rFonts w:ascii="Arial" w:hAnsi="Arial" w:cs="Arial"/>
        </w:rPr>
        <w:t>Correlation Analysis: Measures the strength of the relationship between P/E ratios and stock returns over different time frames.</w:t>
      </w:r>
    </w:p>
    <w:p w14:paraId="1FEFE805" w14:textId="77777777" w:rsidR="005936CB" w:rsidRPr="003F2648" w:rsidRDefault="005936CB" w:rsidP="005936CB">
      <w:pPr>
        <w:numPr>
          <w:ilvl w:val="0"/>
          <w:numId w:val="33"/>
        </w:numPr>
        <w:spacing w:after="160" w:line="259" w:lineRule="auto"/>
        <w:jc w:val="both"/>
        <w:rPr>
          <w:rFonts w:ascii="Arial" w:hAnsi="Arial" w:cs="Arial"/>
        </w:rPr>
      </w:pPr>
      <w:r w:rsidRPr="003F2648">
        <w:rPr>
          <w:rFonts w:ascii="Arial" w:hAnsi="Arial" w:cs="Arial"/>
        </w:rPr>
        <w:lastRenderedPageBreak/>
        <w:t>Regression Analysis: Determines whether P/E ratios significantly influence stock performance and forecasts future returns.</w:t>
      </w:r>
    </w:p>
    <w:p w14:paraId="51A4C81B" w14:textId="77777777" w:rsidR="005936CB" w:rsidRPr="003F2648" w:rsidRDefault="005936CB" w:rsidP="005936CB">
      <w:pPr>
        <w:numPr>
          <w:ilvl w:val="0"/>
          <w:numId w:val="33"/>
        </w:numPr>
        <w:spacing w:after="160" w:line="259" w:lineRule="auto"/>
        <w:jc w:val="both"/>
        <w:rPr>
          <w:rFonts w:ascii="Arial" w:hAnsi="Arial" w:cs="Arial"/>
        </w:rPr>
      </w:pPr>
      <w:r w:rsidRPr="003F2648">
        <w:rPr>
          <w:rFonts w:ascii="Arial" w:hAnsi="Arial" w:cs="Arial"/>
        </w:rPr>
        <w:t>ANOVA (Analysis of Variance): Examines sectoral differences in stock returns based on P/E ratios.</w:t>
      </w:r>
    </w:p>
    <w:p w14:paraId="399D87CE" w14:textId="77777777" w:rsidR="005936CB" w:rsidRPr="003F2648" w:rsidRDefault="005936CB" w:rsidP="005936CB">
      <w:pPr>
        <w:numPr>
          <w:ilvl w:val="0"/>
          <w:numId w:val="33"/>
        </w:numPr>
        <w:spacing w:after="160" w:line="259" w:lineRule="auto"/>
        <w:jc w:val="both"/>
        <w:rPr>
          <w:rFonts w:ascii="Arial" w:hAnsi="Arial" w:cs="Arial"/>
        </w:rPr>
      </w:pPr>
      <w:r w:rsidRPr="003F2648">
        <w:rPr>
          <w:rFonts w:ascii="Arial" w:hAnsi="Arial" w:cs="Arial"/>
        </w:rPr>
        <w:t>Volatility Analysis: Assesses the risk levels associated with high P/E stocks by measuring return fluctuations over time.</w:t>
      </w:r>
    </w:p>
    <w:p w14:paraId="6B6FB510" w14:textId="77777777" w:rsidR="005936CB" w:rsidRPr="003F2648" w:rsidRDefault="005936CB" w:rsidP="005936CB">
      <w:pPr>
        <w:jc w:val="both"/>
        <w:rPr>
          <w:rFonts w:ascii="Arial" w:hAnsi="Arial" w:cs="Arial"/>
          <w:b/>
          <w:bCs/>
          <w:sz w:val="22"/>
          <w:szCs w:val="22"/>
        </w:rPr>
      </w:pPr>
      <w:r>
        <w:rPr>
          <w:rFonts w:ascii="Arial" w:hAnsi="Arial" w:cs="Arial"/>
          <w:b/>
          <w:bCs/>
        </w:rPr>
        <w:t xml:space="preserve">5. </w:t>
      </w:r>
      <w:r w:rsidRPr="003F2648">
        <w:rPr>
          <w:rFonts w:ascii="Arial" w:hAnsi="Arial" w:cs="Arial"/>
          <w:b/>
          <w:bCs/>
        </w:rPr>
        <w:t xml:space="preserve">4 </w:t>
      </w:r>
      <w:r w:rsidRPr="003F2648">
        <w:rPr>
          <w:rFonts w:ascii="Arial" w:hAnsi="Arial" w:cs="Arial"/>
          <w:b/>
          <w:bCs/>
          <w:sz w:val="22"/>
          <w:szCs w:val="22"/>
        </w:rPr>
        <w:t>Justification for Methodology</w:t>
      </w:r>
    </w:p>
    <w:p w14:paraId="37820EBD" w14:textId="77777777" w:rsidR="005936CB" w:rsidRPr="003F2648" w:rsidRDefault="005936CB" w:rsidP="005936CB">
      <w:pPr>
        <w:ind w:left="720"/>
        <w:jc w:val="both"/>
        <w:rPr>
          <w:rFonts w:ascii="Arial" w:hAnsi="Arial" w:cs="Arial"/>
        </w:rPr>
      </w:pPr>
      <w:r w:rsidRPr="003F2648">
        <w:rPr>
          <w:rFonts w:ascii="Arial" w:hAnsi="Arial" w:cs="Arial"/>
        </w:rPr>
        <w:t>A quantitative approach is chosen to ensure objective, data-driven insights into stock performance.</w:t>
      </w:r>
    </w:p>
    <w:p w14:paraId="137C401B" w14:textId="77777777" w:rsidR="005936CB" w:rsidRPr="003F2648" w:rsidRDefault="005936CB" w:rsidP="005936CB">
      <w:pPr>
        <w:ind w:left="720"/>
        <w:jc w:val="both"/>
        <w:rPr>
          <w:rFonts w:ascii="Arial" w:hAnsi="Arial" w:cs="Arial"/>
        </w:rPr>
      </w:pPr>
      <w:r w:rsidRPr="003F2648">
        <w:rPr>
          <w:rFonts w:ascii="Arial" w:hAnsi="Arial" w:cs="Arial"/>
        </w:rPr>
        <w:t>The use of multiple statistical techniques allows for a comprehensive assessment of the relationship between P/E ratios and stock returns.</w:t>
      </w:r>
    </w:p>
    <w:p w14:paraId="20B3FE50" w14:textId="77777777" w:rsidR="005936CB" w:rsidRPr="003F2648" w:rsidRDefault="005936CB" w:rsidP="005936CB">
      <w:pPr>
        <w:ind w:left="720"/>
        <w:jc w:val="both"/>
        <w:rPr>
          <w:rFonts w:ascii="Arial" w:hAnsi="Arial" w:cs="Arial"/>
        </w:rPr>
      </w:pPr>
      <w:r w:rsidRPr="003F2648">
        <w:rPr>
          <w:rFonts w:ascii="Arial" w:hAnsi="Arial" w:cs="Arial"/>
        </w:rPr>
        <w:t>Sectoral classification helps identify industry-specific investment patterns, providing actionable insights for investors.</w:t>
      </w:r>
    </w:p>
    <w:p w14:paraId="343006E0" w14:textId="77777777" w:rsidR="005936CB" w:rsidRPr="003F2648" w:rsidRDefault="005936CB" w:rsidP="005936CB">
      <w:pPr>
        <w:jc w:val="both"/>
        <w:rPr>
          <w:rFonts w:ascii="Arial" w:hAnsi="Arial" w:cs="Arial"/>
          <w:b/>
          <w:bCs/>
          <w:sz w:val="22"/>
          <w:szCs w:val="22"/>
        </w:rPr>
      </w:pPr>
      <w:r>
        <w:rPr>
          <w:rFonts w:ascii="Arial" w:hAnsi="Arial" w:cs="Arial"/>
          <w:b/>
          <w:bCs/>
        </w:rPr>
        <w:t xml:space="preserve">6. </w:t>
      </w:r>
      <w:r w:rsidRPr="003F2648">
        <w:rPr>
          <w:rFonts w:ascii="Arial" w:hAnsi="Arial" w:cs="Arial"/>
          <w:b/>
          <w:bCs/>
        </w:rPr>
        <w:t>ANALYSIS OF STATISTICAL TESTS &amp; INVESTMENT STRATEGY RECOMMENDATIONS</w:t>
      </w:r>
    </w:p>
    <w:p w14:paraId="3184819D" w14:textId="77777777" w:rsidR="005936CB" w:rsidRPr="003F2648" w:rsidRDefault="005936CB" w:rsidP="005936CB">
      <w:pPr>
        <w:jc w:val="both"/>
        <w:rPr>
          <w:rFonts w:ascii="Arial" w:hAnsi="Arial" w:cs="Arial"/>
        </w:rPr>
      </w:pPr>
      <w:r w:rsidRPr="003F2648">
        <w:rPr>
          <w:rFonts w:ascii="Arial" w:hAnsi="Arial" w:cs="Arial"/>
        </w:rPr>
        <w:t xml:space="preserve">The objective of this study was to assess whether high Price-to-Earnings (P/E) ratio stocks consistently underperform by </w:t>
      </w:r>
      <w:proofErr w:type="spellStart"/>
      <w:r w:rsidRPr="003F2648">
        <w:rPr>
          <w:rFonts w:ascii="Arial" w:hAnsi="Arial" w:cs="Arial"/>
        </w:rPr>
        <w:t>analysing</w:t>
      </w:r>
      <w:proofErr w:type="spellEnd"/>
      <w:r w:rsidRPr="003F2648">
        <w:rPr>
          <w:rFonts w:ascii="Arial" w:hAnsi="Arial" w:cs="Arial"/>
        </w:rPr>
        <w:t xml:space="preserve"> their historical performance in the Nifty 50 index. Various statistical tests were conducted to determine the relationship between P/E ratios and stock returns over different time horizons, sectoral variations, and risk factors. The results challenge the conventional belief that high P/E stocks always underperform and instead highlight the importance of sectoral growth, investment horizon, and market conditions in determining stock returns.</w:t>
      </w:r>
    </w:p>
    <w:p w14:paraId="436D2D64" w14:textId="77777777" w:rsidR="005936CB" w:rsidRPr="003F2648" w:rsidRDefault="005936CB" w:rsidP="005936CB">
      <w:pPr>
        <w:jc w:val="both"/>
        <w:rPr>
          <w:rFonts w:ascii="Arial" w:hAnsi="Arial" w:cs="Arial"/>
          <w:b/>
          <w:bCs/>
        </w:rPr>
      </w:pPr>
      <w:r>
        <w:rPr>
          <w:rFonts w:ascii="Arial" w:hAnsi="Arial" w:cs="Arial"/>
          <w:b/>
          <w:bCs/>
        </w:rPr>
        <w:t xml:space="preserve">6. </w:t>
      </w:r>
      <w:r w:rsidRPr="003F2648">
        <w:rPr>
          <w:rFonts w:ascii="Arial" w:hAnsi="Arial" w:cs="Arial"/>
          <w:b/>
          <w:bCs/>
        </w:rPr>
        <w:t>1</w:t>
      </w:r>
      <w:r w:rsidRPr="003F2648">
        <w:rPr>
          <w:rFonts w:ascii="Arial" w:hAnsi="Arial" w:cs="Arial"/>
          <w:b/>
          <w:bCs/>
          <w:sz w:val="22"/>
          <w:szCs w:val="22"/>
        </w:rPr>
        <w:t xml:space="preserve"> Correlation Analysis: Relationship Between P/E Ratio and Stock Returns</w:t>
      </w:r>
    </w:p>
    <w:p w14:paraId="4E73287F" w14:textId="419DDD87" w:rsidR="005936CB" w:rsidRPr="003F2648" w:rsidRDefault="005936CB" w:rsidP="005936CB">
      <w:pPr>
        <w:jc w:val="both"/>
        <w:rPr>
          <w:rFonts w:ascii="Arial" w:hAnsi="Arial" w:cs="Arial"/>
          <w:b/>
          <w:bCs/>
        </w:rPr>
      </w:pPr>
      <w:r w:rsidRPr="003F2648">
        <w:rPr>
          <w:rFonts w:ascii="Arial" w:hAnsi="Arial" w:cs="Arial"/>
          <w:b/>
          <w:bCs/>
        </w:rPr>
        <w:t>Table 1</w:t>
      </w:r>
      <w:r w:rsidR="0071427C" w:rsidRPr="007E6B93">
        <w:rPr>
          <w:rFonts w:ascii="Arial" w:hAnsi="Arial" w:cs="Arial"/>
          <w:b/>
          <w:bCs/>
          <w:highlight w:val="yellow"/>
        </w:rPr>
        <w:t>:</w:t>
      </w:r>
      <w:r w:rsidR="0071427C" w:rsidRPr="007E6B93">
        <w:rPr>
          <w:rFonts w:ascii="Arial" w:hAnsi="Arial" w:cs="Arial"/>
          <w:b/>
          <w:bCs/>
          <w:sz w:val="22"/>
          <w:szCs w:val="22"/>
          <w:highlight w:val="yellow"/>
        </w:rPr>
        <w:t xml:space="preserve"> </w:t>
      </w:r>
      <w:r w:rsidR="0097442E" w:rsidRPr="007E6B93">
        <w:rPr>
          <w:rFonts w:ascii="Arial" w:hAnsi="Arial" w:cs="Arial"/>
          <w:b/>
          <w:bCs/>
          <w:sz w:val="22"/>
          <w:szCs w:val="22"/>
          <w:highlight w:val="yellow"/>
        </w:rPr>
        <w:t>Interpretation</w:t>
      </w:r>
      <w:r w:rsidR="004B3E62">
        <w:rPr>
          <w:rFonts w:ascii="Arial" w:hAnsi="Arial" w:cs="Arial"/>
          <w:b/>
          <w:bCs/>
          <w:sz w:val="22"/>
          <w:szCs w:val="22"/>
        </w:rPr>
        <w:t xml:space="preserve"> of</w:t>
      </w:r>
      <w:r w:rsidR="0005220D">
        <w:rPr>
          <w:rFonts w:ascii="Arial" w:hAnsi="Arial" w:cs="Arial"/>
          <w:b/>
          <w:bCs/>
          <w:sz w:val="22"/>
          <w:szCs w:val="22"/>
        </w:rPr>
        <w:t xml:space="preserve"> </w:t>
      </w:r>
      <w:r w:rsidR="004B3E62" w:rsidRPr="003F2648">
        <w:rPr>
          <w:rFonts w:ascii="Arial" w:hAnsi="Arial" w:cs="Arial"/>
          <w:b/>
          <w:bCs/>
          <w:sz w:val="22"/>
          <w:szCs w:val="22"/>
        </w:rPr>
        <w:t>Correlation</w:t>
      </w:r>
      <w:r w:rsidR="0005220D">
        <w:rPr>
          <w:rFonts w:ascii="Arial" w:hAnsi="Arial" w:cs="Arial"/>
          <w:b/>
          <w:bCs/>
          <w:sz w:val="22"/>
          <w:szCs w:val="22"/>
        </w:rPr>
        <w:t xml:space="preserve"> </w:t>
      </w:r>
      <w:r w:rsidR="0005220D" w:rsidRPr="003F2648">
        <w:rPr>
          <w:rFonts w:ascii="Arial" w:hAnsi="Arial" w:cs="Arial"/>
          <w:b/>
          <w:bCs/>
        </w:rPr>
        <w:t>Coefficient</w:t>
      </w:r>
      <w:r w:rsidR="00C87B03">
        <w:rPr>
          <w:rFonts w:ascii="Arial" w:hAnsi="Arial" w:cs="Arial"/>
          <w:b/>
          <w:bCs/>
        </w:rPr>
        <w:t xml:space="preserve"> outcome</w:t>
      </w:r>
      <w:r w:rsidR="0005220D">
        <w:rPr>
          <w:rFonts w:ascii="Arial" w:hAnsi="Arial" w:cs="Arial"/>
          <w:b/>
          <w:bCs/>
          <w:sz w:val="22"/>
          <w:szCs w:val="22"/>
        </w:rPr>
        <w:t xml:space="preserve"> </w:t>
      </w:r>
      <w:r w:rsidR="004B3E62" w:rsidRPr="003F2648">
        <w:rPr>
          <w:rFonts w:ascii="Arial" w:hAnsi="Arial" w:cs="Arial"/>
          <w:b/>
          <w:bCs/>
          <w:sz w:val="22"/>
          <w:szCs w:val="22"/>
        </w:rPr>
        <w:t xml:space="preserve"> </w:t>
      </w:r>
    </w:p>
    <w:tbl>
      <w:tblPr>
        <w:tblStyle w:val="TableGrid"/>
        <w:tblW w:w="0" w:type="auto"/>
        <w:tblLook w:val="04A0" w:firstRow="1" w:lastRow="0" w:firstColumn="1" w:lastColumn="0" w:noHBand="0" w:noVBand="1"/>
      </w:tblPr>
      <w:tblGrid>
        <w:gridCol w:w="1446"/>
        <w:gridCol w:w="2479"/>
        <w:gridCol w:w="4273"/>
      </w:tblGrid>
      <w:tr w:rsidR="005936CB" w:rsidRPr="003F2648" w14:paraId="394D3DF7" w14:textId="77777777" w:rsidTr="0086104F">
        <w:tc>
          <w:tcPr>
            <w:tcW w:w="1555" w:type="dxa"/>
          </w:tcPr>
          <w:p w14:paraId="32E581CE" w14:textId="77777777" w:rsidR="005936CB" w:rsidRPr="003F2648" w:rsidRDefault="005936CB" w:rsidP="0086104F">
            <w:pPr>
              <w:jc w:val="both"/>
              <w:rPr>
                <w:rFonts w:ascii="Arial" w:hAnsi="Arial" w:cs="Arial"/>
                <w:b/>
                <w:bCs/>
                <w:sz w:val="20"/>
                <w:szCs w:val="20"/>
              </w:rPr>
            </w:pPr>
            <w:r w:rsidRPr="003F2648">
              <w:rPr>
                <w:rFonts w:ascii="Arial" w:hAnsi="Arial" w:cs="Arial"/>
                <w:b/>
                <w:bCs/>
                <w:sz w:val="20"/>
                <w:szCs w:val="20"/>
              </w:rPr>
              <w:t>Time Period</w:t>
            </w:r>
          </w:p>
        </w:tc>
        <w:tc>
          <w:tcPr>
            <w:tcW w:w="2693" w:type="dxa"/>
          </w:tcPr>
          <w:p w14:paraId="29B1845E" w14:textId="77777777" w:rsidR="005936CB" w:rsidRPr="003F2648" w:rsidRDefault="005936CB" w:rsidP="0086104F">
            <w:pPr>
              <w:jc w:val="both"/>
              <w:rPr>
                <w:rFonts w:ascii="Arial" w:hAnsi="Arial" w:cs="Arial"/>
                <w:b/>
                <w:bCs/>
                <w:sz w:val="20"/>
                <w:szCs w:val="20"/>
              </w:rPr>
            </w:pPr>
            <w:r w:rsidRPr="003F2648">
              <w:rPr>
                <w:rFonts w:ascii="Arial" w:hAnsi="Arial" w:cs="Arial"/>
                <w:b/>
                <w:bCs/>
                <w:sz w:val="20"/>
                <w:szCs w:val="20"/>
              </w:rPr>
              <w:t>Correlation Coefficient</w:t>
            </w:r>
          </w:p>
        </w:tc>
        <w:tc>
          <w:tcPr>
            <w:tcW w:w="4768" w:type="dxa"/>
          </w:tcPr>
          <w:p w14:paraId="1A2FDD65" w14:textId="77777777" w:rsidR="005936CB" w:rsidRPr="003F2648" w:rsidRDefault="005936CB" w:rsidP="0086104F">
            <w:pPr>
              <w:jc w:val="both"/>
              <w:rPr>
                <w:rFonts w:ascii="Arial" w:hAnsi="Arial" w:cs="Arial"/>
                <w:b/>
                <w:bCs/>
                <w:sz w:val="20"/>
                <w:szCs w:val="20"/>
              </w:rPr>
            </w:pPr>
            <w:r w:rsidRPr="003F2648">
              <w:rPr>
                <w:rFonts w:ascii="Arial" w:hAnsi="Arial" w:cs="Arial"/>
                <w:b/>
                <w:bCs/>
                <w:sz w:val="20"/>
                <w:szCs w:val="20"/>
              </w:rPr>
              <w:t>Interpretation</w:t>
            </w:r>
          </w:p>
        </w:tc>
      </w:tr>
      <w:tr w:rsidR="005936CB" w:rsidRPr="003F2648" w14:paraId="16EED277" w14:textId="77777777" w:rsidTr="0086104F">
        <w:tc>
          <w:tcPr>
            <w:tcW w:w="1555" w:type="dxa"/>
          </w:tcPr>
          <w:p w14:paraId="634EF123" w14:textId="77777777" w:rsidR="005936CB" w:rsidRPr="003F2648" w:rsidRDefault="005936CB" w:rsidP="0086104F">
            <w:pPr>
              <w:jc w:val="both"/>
              <w:rPr>
                <w:rFonts w:ascii="Arial" w:hAnsi="Arial" w:cs="Arial"/>
                <w:sz w:val="20"/>
                <w:szCs w:val="20"/>
              </w:rPr>
            </w:pPr>
            <w:r w:rsidRPr="003F2648">
              <w:rPr>
                <w:rFonts w:ascii="Arial" w:hAnsi="Arial" w:cs="Arial"/>
                <w:sz w:val="20"/>
                <w:szCs w:val="20"/>
              </w:rPr>
              <w:t>1-Year</w:t>
            </w:r>
          </w:p>
        </w:tc>
        <w:tc>
          <w:tcPr>
            <w:tcW w:w="2693" w:type="dxa"/>
          </w:tcPr>
          <w:p w14:paraId="6685C5B2" w14:textId="77777777" w:rsidR="005936CB" w:rsidRPr="003F2648" w:rsidRDefault="005936CB" w:rsidP="0086104F">
            <w:pPr>
              <w:jc w:val="both"/>
              <w:rPr>
                <w:rFonts w:ascii="Arial" w:hAnsi="Arial" w:cs="Arial"/>
                <w:sz w:val="20"/>
                <w:szCs w:val="20"/>
              </w:rPr>
            </w:pPr>
            <w:r w:rsidRPr="003F2648">
              <w:rPr>
                <w:rFonts w:ascii="Arial" w:hAnsi="Arial" w:cs="Arial"/>
                <w:sz w:val="20"/>
                <w:szCs w:val="20"/>
              </w:rPr>
              <w:t>-0.16</w:t>
            </w:r>
          </w:p>
        </w:tc>
        <w:tc>
          <w:tcPr>
            <w:tcW w:w="4768" w:type="dxa"/>
          </w:tcPr>
          <w:p w14:paraId="34FE32C7" w14:textId="77777777" w:rsidR="005936CB" w:rsidRPr="003F2648" w:rsidRDefault="005936CB" w:rsidP="0086104F">
            <w:pPr>
              <w:jc w:val="both"/>
              <w:rPr>
                <w:rFonts w:ascii="Arial" w:hAnsi="Arial" w:cs="Arial"/>
                <w:sz w:val="20"/>
                <w:szCs w:val="20"/>
              </w:rPr>
            </w:pPr>
            <w:r w:rsidRPr="003F2648">
              <w:rPr>
                <w:rFonts w:ascii="Arial" w:hAnsi="Arial" w:cs="Arial"/>
                <w:sz w:val="20"/>
                <w:szCs w:val="20"/>
              </w:rPr>
              <w:t>Weak negative correlation; P/E has little effect on short-term stock performance</w:t>
            </w:r>
          </w:p>
        </w:tc>
      </w:tr>
      <w:tr w:rsidR="005936CB" w:rsidRPr="003F2648" w14:paraId="31EF9573" w14:textId="77777777" w:rsidTr="0086104F">
        <w:tc>
          <w:tcPr>
            <w:tcW w:w="1555" w:type="dxa"/>
          </w:tcPr>
          <w:p w14:paraId="630CCE5C" w14:textId="77777777" w:rsidR="005936CB" w:rsidRPr="003F2648" w:rsidRDefault="005936CB" w:rsidP="0086104F">
            <w:pPr>
              <w:jc w:val="both"/>
              <w:rPr>
                <w:rFonts w:ascii="Arial" w:hAnsi="Arial" w:cs="Arial"/>
                <w:sz w:val="20"/>
                <w:szCs w:val="20"/>
              </w:rPr>
            </w:pPr>
            <w:r w:rsidRPr="003F2648">
              <w:rPr>
                <w:rFonts w:ascii="Arial" w:hAnsi="Arial" w:cs="Arial"/>
                <w:sz w:val="20"/>
                <w:szCs w:val="20"/>
              </w:rPr>
              <w:t>3-Year</w:t>
            </w:r>
          </w:p>
        </w:tc>
        <w:tc>
          <w:tcPr>
            <w:tcW w:w="2693" w:type="dxa"/>
          </w:tcPr>
          <w:p w14:paraId="7D5582EC" w14:textId="77777777" w:rsidR="005936CB" w:rsidRPr="003F2648" w:rsidRDefault="005936CB" w:rsidP="0086104F">
            <w:pPr>
              <w:jc w:val="both"/>
              <w:rPr>
                <w:rFonts w:ascii="Arial" w:hAnsi="Arial" w:cs="Arial"/>
                <w:sz w:val="20"/>
                <w:szCs w:val="20"/>
              </w:rPr>
            </w:pPr>
            <w:r w:rsidRPr="003F2648">
              <w:rPr>
                <w:rFonts w:ascii="Arial" w:hAnsi="Arial" w:cs="Arial"/>
                <w:sz w:val="20"/>
                <w:szCs w:val="20"/>
              </w:rPr>
              <w:t>-0.03</w:t>
            </w:r>
          </w:p>
        </w:tc>
        <w:tc>
          <w:tcPr>
            <w:tcW w:w="4768" w:type="dxa"/>
          </w:tcPr>
          <w:p w14:paraId="548CA054" w14:textId="77777777" w:rsidR="005936CB" w:rsidRPr="003F2648" w:rsidRDefault="005936CB" w:rsidP="0086104F">
            <w:pPr>
              <w:jc w:val="both"/>
              <w:rPr>
                <w:rFonts w:ascii="Arial" w:hAnsi="Arial" w:cs="Arial"/>
                <w:sz w:val="20"/>
                <w:szCs w:val="20"/>
              </w:rPr>
            </w:pPr>
            <w:r w:rsidRPr="003F2648">
              <w:rPr>
                <w:rFonts w:ascii="Arial" w:hAnsi="Arial" w:cs="Arial"/>
                <w:sz w:val="20"/>
                <w:szCs w:val="20"/>
              </w:rPr>
              <w:t>Very weak negative correlation; almost no relationship</w:t>
            </w:r>
          </w:p>
        </w:tc>
      </w:tr>
      <w:tr w:rsidR="005936CB" w:rsidRPr="003F2648" w14:paraId="4B96FB15" w14:textId="77777777" w:rsidTr="0086104F">
        <w:tc>
          <w:tcPr>
            <w:tcW w:w="1555" w:type="dxa"/>
          </w:tcPr>
          <w:p w14:paraId="4F453BF0" w14:textId="77777777" w:rsidR="005936CB" w:rsidRPr="003F2648" w:rsidRDefault="005936CB" w:rsidP="0086104F">
            <w:pPr>
              <w:jc w:val="both"/>
              <w:rPr>
                <w:rFonts w:ascii="Arial" w:hAnsi="Arial" w:cs="Arial"/>
                <w:sz w:val="20"/>
                <w:szCs w:val="20"/>
              </w:rPr>
            </w:pPr>
            <w:r w:rsidRPr="003F2648">
              <w:rPr>
                <w:rFonts w:ascii="Arial" w:hAnsi="Arial" w:cs="Arial"/>
                <w:sz w:val="20"/>
                <w:szCs w:val="20"/>
              </w:rPr>
              <w:t>5-Year</w:t>
            </w:r>
          </w:p>
        </w:tc>
        <w:tc>
          <w:tcPr>
            <w:tcW w:w="2693" w:type="dxa"/>
          </w:tcPr>
          <w:p w14:paraId="2E1933E4" w14:textId="77777777" w:rsidR="005936CB" w:rsidRPr="003F2648" w:rsidRDefault="005936CB" w:rsidP="0086104F">
            <w:pPr>
              <w:jc w:val="both"/>
              <w:rPr>
                <w:rFonts w:ascii="Arial" w:hAnsi="Arial" w:cs="Arial"/>
                <w:sz w:val="20"/>
                <w:szCs w:val="20"/>
              </w:rPr>
            </w:pPr>
            <w:r w:rsidRPr="003F2648">
              <w:rPr>
                <w:rFonts w:ascii="Arial" w:hAnsi="Arial" w:cs="Arial"/>
                <w:sz w:val="20"/>
                <w:szCs w:val="20"/>
              </w:rPr>
              <w:t>0.48</w:t>
            </w:r>
          </w:p>
        </w:tc>
        <w:tc>
          <w:tcPr>
            <w:tcW w:w="4768" w:type="dxa"/>
          </w:tcPr>
          <w:p w14:paraId="17E8732B" w14:textId="77777777" w:rsidR="005936CB" w:rsidRPr="003F2648" w:rsidRDefault="005936CB" w:rsidP="0086104F">
            <w:pPr>
              <w:jc w:val="both"/>
              <w:rPr>
                <w:rFonts w:ascii="Arial" w:hAnsi="Arial" w:cs="Arial"/>
                <w:sz w:val="20"/>
                <w:szCs w:val="20"/>
              </w:rPr>
            </w:pPr>
            <w:r w:rsidRPr="003F2648">
              <w:rPr>
                <w:rFonts w:ascii="Arial" w:hAnsi="Arial" w:cs="Arial"/>
                <w:sz w:val="20"/>
                <w:szCs w:val="20"/>
              </w:rPr>
              <w:t>Moderate positive correlation; high P/E stocks tend to perform better over time</w:t>
            </w:r>
          </w:p>
        </w:tc>
      </w:tr>
    </w:tbl>
    <w:p w14:paraId="7A2B32E3" w14:textId="77777777" w:rsidR="005936CB" w:rsidRPr="003F2648" w:rsidRDefault="005936CB" w:rsidP="005936CB">
      <w:pPr>
        <w:jc w:val="both"/>
        <w:rPr>
          <w:rFonts w:ascii="Arial" w:hAnsi="Arial" w:cs="Arial"/>
          <w:i/>
          <w:iCs/>
        </w:rPr>
      </w:pPr>
      <w:r w:rsidRPr="003F2648">
        <w:rPr>
          <w:rFonts w:ascii="Arial" w:hAnsi="Arial" w:cs="Arial"/>
          <w:i/>
          <w:iCs/>
        </w:rPr>
        <w:t>Source: Computed by the Researcher</w:t>
      </w:r>
    </w:p>
    <w:p w14:paraId="664C1BA2" w14:textId="77777777" w:rsidR="005936CB" w:rsidRPr="003F2648" w:rsidRDefault="005936CB" w:rsidP="005936CB">
      <w:pPr>
        <w:jc w:val="both"/>
        <w:rPr>
          <w:rFonts w:ascii="Arial" w:hAnsi="Arial" w:cs="Arial"/>
        </w:rPr>
      </w:pPr>
      <w:r w:rsidRPr="003F2648">
        <w:rPr>
          <w:rFonts w:ascii="Arial" w:hAnsi="Arial" w:cs="Arial"/>
        </w:rPr>
        <w:t>To understand whether a stock’s P/E ratio influences its performance, a correlation test was conducted between P/E ratios and stock returns over 1-year, 3-year, and 5-year periods. The findings revealed that in the short term (1-year and 3-year periods), the correlation was weak (-0.16 and -0.03, respectively), indicating that P/E ratios had little to no effect on short-term stock performance. This suggests that investors should not rely solely on P/E ratios when making short-term investment decisions, as other factors such as macroeconomic conditions, investor sentiment, and earnings growth play a more significant role in stock price movements.</w:t>
      </w:r>
    </w:p>
    <w:p w14:paraId="10CD08B8" w14:textId="77777777" w:rsidR="005936CB" w:rsidRPr="003F2648" w:rsidRDefault="005936CB" w:rsidP="005936CB">
      <w:pPr>
        <w:jc w:val="both"/>
        <w:rPr>
          <w:rFonts w:ascii="Arial" w:hAnsi="Arial" w:cs="Arial"/>
        </w:rPr>
      </w:pPr>
      <w:r w:rsidRPr="003F2648">
        <w:rPr>
          <w:rFonts w:ascii="Arial" w:hAnsi="Arial" w:cs="Arial"/>
        </w:rPr>
        <w:t>However, over the long term (5-year period), the correlation was moderately positive (0.48), suggesting that high P/E stocks tend to perform better over time. This result contradicts the traditional belief that high P/E stocks are destined to underperform and instead indicates that growth-oriented stocks with high valuations can generate superior returns in the long run. Investors who assume that high P/E stocks are overvalued and destined for poor performance may miss out on valuable long-term growth opportunities.</w:t>
      </w:r>
    </w:p>
    <w:p w14:paraId="24D43FC8" w14:textId="77777777" w:rsidR="005936CB" w:rsidRPr="003F2648" w:rsidRDefault="005936CB" w:rsidP="005936CB">
      <w:pPr>
        <w:jc w:val="both"/>
        <w:rPr>
          <w:rFonts w:ascii="Arial" w:hAnsi="Arial" w:cs="Arial"/>
          <w:b/>
          <w:bCs/>
        </w:rPr>
      </w:pPr>
      <w:r>
        <w:rPr>
          <w:rFonts w:ascii="Arial" w:hAnsi="Arial" w:cs="Arial"/>
          <w:b/>
          <w:bCs/>
        </w:rPr>
        <w:t xml:space="preserve">6. </w:t>
      </w:r>
      <w:r w:rsidRPr="003F2648">
        <w:rPr>
          <w:rFonts w:ascii="Arial" w:hAnsi="Arial" w:cs="Arial"/>
          <w:b/>
          <w:bCs/>
        </w:rPr>
        <w:t>2</w:t>
      </w:r>
      <w:r w:rsidRPr="003F2648">
        <w:rPr>
          <w:rFonts w:ascii="Arial" w:hAnsi="Arial" w:cs="Arial"/>
          <w:b/>
          <w:bCs/>
          <w:sz w:val="22"/>
          <w:szCs w:val="22"/>
        </w:rPr>
        <w:t xml:space="preserve"> Regression Analysis: Can P/E Ratio Predict Stock Performance?</w:t>
      </w:r>
    </w:p>
    <w:p w14:paraId="7D9F9353" w14:textId="77777777" w:rsidR="005936CB" w:rsidRPr="003F2648" w:rsidRDefault="005936CB" w:rsidP="005936CB">
      <w:pPr>
        <w:jc w:val="both"/>
        <w:rPr>
          <w:rFonts w:ascii="Arial" w:hAnsi="Arial" w:cs="Arial"/>
          <w:b/>
          <w:bCs/>
        </w:rPr>
      </w:pPr>
    </w:p>
    <w:p w14:paraId="6DE3D5C7" w14:textId="1C346789" w:rsidR="005936CB" w:rsidRPr="003F2648" w:rsidRDefault="005936CB" w:rsidP="005936CB">
      <w:pPr>
        <w:jc w:val="both"/>
        <w:rPr>
          <w:rFonts w:ascii="Arial" w:hAnsi="Arial" w:cs="Arial"/>
          <w:b/>
          <w:bCs/>
        </w:rPr>
      </w:pPr>
      <w:r w:rsidRPr="003F2648">
        <w:rPr>
          <w:rFonts w:ascii="Arial" w:hAnsi="Arial" w:cs="Arial"/>
          <w:b/>
          <w:bCs/>
        </w:rPr>
        <w:t>Table 2</w:t>
      </w:r>
      <w:r w:rsidR="00D437D1">
        <w:rPr>
          <w:rFonts w:ascii="Arial" w:hAnsi="Arial" w:cs="Arial"/>
          <w:b/>
          <w:bCs/>
        </w:rPr>
        <w:t xml:space="preserve">: </w:t>
      </w:r>
      <w:r w:rsidR="00D02D01" w:rsidRPr="003F2648">
        <w:rPr>
          <w:rFonts w:ascii="Arial" w:hAnsi="Arial" w:cs="Arial"/>
          <w:b/>
          <w:bCs/>
        </w:rPr>
        <w:t>Interpretation</w:t>
      </w:r>
      <w:r w:rsidR="00D02D01">
        <w:rPr>
          <w:rFonts w:ascii="Arial" w:hAnsi="Arial" w:cs="Arial"/>
          <w:b/>
          <w:bCs/>
        </w:rPr>
        <w:t xml:space="preserve"> of </w:t>
      </w:r>
      <w:r w:rsidR="00D02D01" w:rsidRPr="003F2648">
        <w:rPr>
          <w:rFonts w:ascii="Arial" w:hAnsi="Arial" w:cs="Arial"/>
          <w:b/>
          <w:bCs/>
          <w:sz w:val="22"/>
          <w:szCs w:val="22"/>
        </w:rPr>
        <w:t>Regression Analysis</w:t>
      </w:r>
      <w:r w:rsidR="00982B79">
        <w:rPr>
          <w:rFonts w:ascii="Arial" w:hAnsi="Arial" w:cs="Arial"/>
          <w:b/>
          <w:bCs/>
          <w:sz w:val="22"/>
          <w:szCs w:val="22"/>
        </w:rPr>
        <w:t xml:space="preserve"> outcome</w:t>
      </w:r>
    </w:p>
    <w:tbl>
      <w:tblPr>
        <w:tblStyle w:val="TableGrid"/>
        <w:tblW w:w="0" w:type="auto"/>
        <w:tblLook w:val="04A0" w:firstRow="1" w:lastRow="0" w:firstColumn="1" w:lastColumn="0" w:noHBand="0" w:noVBand="1"/>
      </w:tblPr>
      <w:tblGrid>
        <w:gridCol w:w="1431"/>
        <w:gridCol w:w="1384"/>
        <w:gridCol w:w="946"/>
        <w:gridCol w:w="4437"/>
      </w:tblGrid>
      <w:tr w:rsidR="005936CB" w:rsidRPr="003F2648" w14:paraId="0675AA29" w14:textId="77777777" w:rsidTr="0086104F">
        <w:tc>
          <w:tcPr>
            <w:tcW w:w="1555" w:type="dxa"/>
          </w:tcPr>
          <w:p w14:paraId="588D3298" w14:textId="77777777" w:rsidR="005936CB" w:rsidRPr="003F2648" w:rsidRDefault="005936CB" w:rsidP="0086104F">
            <w:pPr>
              <w:jc w:val="both"/>
              <w:rPr>
                <w:rFonts w:ascii="Arial" w:hAnsi="Arial" w:cs="Arial"/>
                <w:sz w:val="20"/>
                <w:szCs w:val="20"/>
              </w:rPr>
            </w:pPr>
            <w:r w:rsidRPr="003F2648">
              <w:rPr>
                <w:rFonts w:ascii="Arial" w:hAnsi="Arial" w:cs="Arial"/>
                <w:b/>
                <w:bCs/>
                <w:sz w:val="20"/>
                <w:szCs w:val="20"/>
              </w:rPr>
              <w:lastRenderedPageBreak/>
              <w:t>Time Period</w:t>
            </w:r>
          </w:p>
        </w:tc>
        <w:tc>
          <w:tcPr>
            <w:tcW w:w="1417" w:type="dxa"/>
          </w:tcPr>
          <w:p w14:paraId="3BDAE270" w14:textId="77777777" w:rsidR="005936CB" w:rsidRPr="003F2648" w:rsidRDefault="005936CB" w:rsidP="0086104F">
            <w:pPr>
              <w:jc w:val="both"/>
              <w:rPr>
                <w:rFonts w:ascii="Arial" w:hAnsi="Arial" w:cs="Arial"/>
                <w:b/>
                <w:bCs/>
                <w:sz w:val="20"/>
                <w:szCs w:val="20"/>
              </w:rPr>
            </w:pPr>
            <w:r w:rsidRPr="003F2648">
              <w:rPr>
                <w:rFonts w:ascii="Arial" w:hAnsi="Arial" w:cs="Arial"/>
                <w:b/>
                <w:bCs/>
                <w:sz w:val="20"/>
                <w:szCs w:val="20"/>
              </w:rPr>
              <w:t>R² (Explained Variation)</w:t>
            </w:r>
          </w:p>
        </w:tc>
        <w:tc>
          <w:tcPr>
            <w:tcW w:w="992" w:type="dxa"/>
          </w:tcPr>
          <w:p w14:paraId="572DA7C5" w14:textId="77777777" w:rsidR="005936CB" w:rsidRPr="003F2648" w:rsidRDefault="005936CB" w:rsidP="0086104F">
            <w:pPr>
              <w:jc w:val="both"/>
              <w:rPr>
                <w:rFonts w:ascii="Arial" w:hAnsi="Arial" w:cs="Arial"/>
                <w:b/>
                <w:bCs/>
                <w:sz w:val="20"/>
                <w:szCs w:val="20"/>
              </w:rPr>
            </w:pPr>
            <w:r w:rsidRPr="003F2648">
              <w:rPr>
                <w:rFonts w:ascii="Arial" w:hAnsi="Arial" w:cs="Arial"/>
                <w:b/>
                <w:bCs/>
                <w:sz w:val="20"/>
                <w:szCs w:val="20"/>
              </w:rPr>
              <w:t>p-value</w:t>
            </w:r>
          </w:p>
        </w:tc>
        <w:tc>
          <w:tcPr>
            <w:tcW w:w="5052" w:type="dxa"/>
          </w:tcPr>
          <w:p w14:paraId="0D8A1C8B" w14:textId="77777777" w:rsidR="005936CB" w:rsidRPr="003F2648" w:rsidRDefault="005936CB" w:rsidP="0086104F">
            <w:pPr>
              <w:jc w:val="both"/>
              <w:rPr>
                <w:rFonts w:ascii="Arial" w:hAnsi="Arial" w:cs="Arial"/>
                <w:b/>
                <w:bCs/>
                <w:sz w:val="20"/>
                <w:szCs w:val="20"/>
              </w:rPr>
            </w:pPr>
            <w:r w:rsidRPr="003F2648">
              <w:rPr>
                <w:rFonts w:ascii="Arial" w:hAnsi="Arial" w:cs="Arial"/>
                <w:b/>
                <w:bCs/>
                <w:sz w:val="20"/>
                <w:szCs w:val="20"/>
              </w:rPr>
              <w:t>Interpretation</w:t>
            </w:r>
          </w:p>
        </w:tc>
      </w:tr>
      <w:tr w:rsidR="005936CB" w:rsidRPr="003F2648" w14:paraId="24F50590" w14:textId="77777777" w:rsidTr="0086104F">
        <w:tc>
          <w:tcPr>
            <w:tcW w:w="1555" w:type="dxa"/>
          </w:tcPr>
          <w:p w14:paraId="6B0D9A11" w14:textId="77777777" w:rsidR="005936CB" w:rsidRPr="003F2648" w:rsidRDefault="005936CB" w:rsidP="0086104F">
            <w:pPr>
              <w:jc w:val="both"/>
              <w:rPr>
                <w:rFonts w:ascii="Arial" w:hAnsi="Arial" w:cs="Arial"/>
                <w:sz w:val="20"/>
                <w:szCs w:val="20"/>
              </w:rPr>
            </w:pPr>
            <w:r w:rsidRPr="003F2648">
              <w:rPr>
                <w:rFonts w:ascii="Arial" w:hAnsi="Arial" w:cs="Arial"/>
                <w:sz w:val="20"/>
                <w:szCs w:val="20"/>
              </w:rPr>
              <w:t>1-Year</w:t>
            </w:r>
          </w:p>
        </w:tc>
        <w:tc>
          <w:tcPr>
            <w:tcW w:w="1417" w:type="dxa"/>
          </w:tcPr>
          <w:p w14:paraId="03DC80B4" w14:textId="77777777" w:rsidR="005936CB" w:rsidRPr="003F2648" w:rsidRDefault="005936CB" w:rsidP="0086104F">
            <w:pPr>
              <w:jc w:val="both"/>
              <w:rPr>
                <w:rFonts w:ascii="Arial" w:hAnsi="Arial" w:cs="Arial"/>
                <w:sz w:val="20"/>
                <w:szCs w:val="20"/>
              </w:rPr>
            </w:pPr>
            <w:r w:rsidRPr="003F2648">
              <w:rPr>
                <w:rFonts w:ascii="Arial" w:hAnsi="Arial" w:cs="Arial"/>
                <w:sz w:val="20"/>
                <w:szCs w:val="20"/>
              </w:rPr>
              <w:t>2.7%</w:t>
            </w:r>
          </w:p>
        </w:tc>
        <w:tc>
          <w:tcPr>
            <w:tcW w:w="992" w:type="dxa"/>
          </w:tcPr>
          <w:p w14:paraId="3D423D0D" w14:textId="77777777" w:rsidR="005936CB" w:rsidRPr="003F2648" w:rsidRDefault="005936CB" w:rsidP="0086104F">
            <w:pPr>
              <w:jc w:val="both"/>
              <w:rPr>
                <w:rFonts w:ascii="Arial" w:hAnsi="Arial" w:cs="Arial"/>
                <w:sz w:val="20"/>
                <w:szCs w:val="20"/>
              </w:rPr>
            </w:pPr>
            <w:r w:rsidRPr="003F2648">
              <w:rPr>
                <w:rFonts w:ascii="Arial" w:hAnsi="Arial" w:cs="Arial"/>
                <w:sz w:val="20"/>
                <w:szCs w:val="20"/>
              </w:rPr>
              <w:t>0.651</w:t>
            </w:r>
          </w:p>
        </w:tc>
        <w:tc>
          <w:tcPr>
            <w:tcW w:w="5052" w:type="dxa"/>
          </w:tcPr>
          <w:p w14:paraId="312CF663" w14:textId="77777777" w:rsidR="005936CB" w:rsidRPr="003F2648" w:rsidRDefault="005936CB" w:rsidP="0086104F">
            <w:pPr>
              <w:jc w:val="both"/>
              <w:rPr>
                <w:rFonts w:ascii="Arial" w:hAnsi="Arial" w:cs="Arial"/>
                <w:sz w:val="20"/>
                <w:szCs w:val="20"/>
              </w:rPr>
            </w:pPr>
            <w:r w:rsidRPr="003F2648">
              <w:rPr>
                <w:rFonts w:ascii="Arial" w:hAnsi="Arial" w:cs="Arial"/>
                <w:sz w:val="20"/>
                <w:szCs w:val="20"/>
              </w:rPr>
              <w:t>Very weak explanatory power; not statistically significant</w:t>
            </w:r>
          </w:p>
        </w:tc>
      </w:tr>
      <w:tr w:rsidR="005936CB" w:rsidRPr="003F2648" w14:paraId="1E704502" w14:textId="77777777" w:rsidTr="0086104F">
        <w:tc>
          <w:tcPr>
            <w:tcW w:w="1555" w:type="dxa"/>
          </w:tcPr>
          <w:p w14:paraId="66E337BB" w14:textId="77777777" w:rsidR="005936CB" w:rsidRPr="003F2648" w:rsidRDefault="005936CB" w:rsidP="0086104F">
            <w:pPr>
              <w:jc w:val="both"/>
              <w:rPr>
                <w:rFonts w:ascii="Arial" w:hAnsi="Arial" w:cs="Arial"/>
                <w:sz w:val="20"/>
                <w:szCs w:val="20"/>
              </w:rPr>
            </w:pPr>
            <w:r w:rsidRPr="003F2648">
              <w:rPr>
                <w:rFonts w:ascii="Arial" w:hAnsi="Arial" w:cs="Arial"/>
                <w:sz w:val="20"/>
                <w:szCs w:val="20"/>
              </w:rPr>
              <w:t>3-Year</w:t>
            </w:r>
          </w:p>
        </w:tc>
        <w:tc>
          <w:tcPr>
            <w:tcW w:w="1417" w:type="dxa"/>
          </w:tcPr>
          <w:p w14:paraId="35DDF9A5" w14:textId="77777777" w:rsidR="005936CB" w:rsidRPr="003F2648" w:rsidRDefault="005936CB" w:rsidP="0086104F">
            <w:pPr>
              <w:jc w:val="both"/>
              <w:rPr>
                <w:rFonts w:ascii="Arial" w:hAnsi="Arial" w:cs="Arial"/>
                <w:sz w:val="20"/>
                <w:szCs w:val="20"/>
              </w:rPr>
            </w:pPr>
            <w:r w:rsidRPr="003F2648">
              <w:rPr>
                <w:rFonts w:ascii="Arial" w:hAnsi="Arial" w:cs="Arial"/>
                <w:sz w:val="20"/>
                <w:szCs w:val="20"/>
              </w:rPr>
              <w:t>0.1%</w:t>
            </w:r>
          </w:p>
        </w:tc>
        <w:tc>
          <w:tcPr>
            <w:tcW w:w="992" w:type="dxa"/>
          </w:tcPr>
          <w:p w14:paraId="1FBEFA52" w14:textId="77777777" w:rsidR="005936CB" w:rsidRPr="003F2648" w:rsidRDefault="005936CB" w:rsidP="0086104F">
            <w:pPr>
              <w:jc w:val="both"/>
              <w:rPr>
                <w:rFonts w:ascii="Arial" w:hAnsi="Arial" w:cs="Arial"/>
                <w:sz w:val="20"/>
                <w:szCs w:val="20"/>
              </w:rPr>
            </w:pPr>
            <w:r w:rsidRPr="003F2648">
              <w:rPr>
                <w:rFonts w:ascii="Arial" w:hAnsi="Arial" w:cs="Arial"/>
                <w:sz w:val="20"/>
                <w:szCs w:val="20"/>
              </w:rPr>
              <w:t>-</w:t>
            </w:r>
          </w:p>
        </w:tc>
        <w:tc>
          <w:tcPr>
            <w:tcW w:w="5052" w:type="dxa"/>
          </w:tcPr>
          <w:p w14:paraId="7C95EB49" w14:textId="77777777" w:rsidR="005936CB" w:rsidRPr="003F2648" w:rsidRDefault="005936CB" w:rsidP="0086104F">
            <w:pPr>
              <w:jc w:val="both"/>
              <w:rPr>
                <w:rFonts w:ascii="Arial" w:hAnsi="Arial" w:cs="Arial"/>
                <w:sz w:val="20"/>
                <w:szCs w:val="20"/>
              </w:rPr>
            </w:pPr>
            <w:r w:rsidRPr="003F2648">
              <w:rPr>
                <w:rFonts w:ascii="Arial" w:hAnsi="Arial" w:cs="Arial"/>
                <w:sz w:val="20"/>
                <w:szCs w:val="20"/>
              </w:rPr>
              <w:t>Negligible predictive power; no significant relationship</w:t>
            </w:r>
          </w:p>
        </w:tc>
      </w:tr>
      <w:tr w:rsidR="005936CB" w:rsidRPr="003F2648" w14:paraId="3D803FA7" w14:textId="77777777" w:rsidTr="0086104F">
        <w:tc>
          <w:tcPr>
            <w:tcW w:w="1555" w:type="dxa"/>
          </w:tcPr>
          <w:p w14:paraId="5414305F" w14:textId="77777777" w:rsidR="005936CB" w:rsidRPr="003F2648" w:rsidRDefault="005936CB" w:rsidP="0086104F">
            <w:pPr>
              <w:jc w:val="both"/>
              <w:rPr>
                <w:rFonts w:ascii="Arial" w:hAnsi="Arial" w:cs="Arial"/>
                <w:sz w:val="20"/>
                <w:szCs w:val="20"/>
              </w:rPr>
            </w:pPr>
            <w:r w:rsidRPr="003F2648">
              <w:rPr>
                <w:rFonts w:ascii="Arial" w:hAnsi="Arial" w:cs="Arial"/>
                <w:sz w:val="20"/>
                <w:szCs w:val="20"/>
              </w:rPr>
              <w:t>5-Year</w:t>
            </w:r>
          </w:p>
        </w:tc>
        <w:tc>
          <w:tcPr>
            <w:tcW w:w="1417" w:type="dxa"/>
          </w:tcPr>
          <w:p w14:paraId="259093C4" w14:textId="77777777" w:rsidR="005936CB" w:rsidRPr="003F2648" w:rsidRDefault="005936CB" w:rsidP="0086104F">
            <w:pPr>
              <w:jc w:val="both"/>
              <w:rPr>
                <w:rFonts w:ascii="Arial" w:hAnsi="Arial" w:cs="Arial"/>
                <w:sz w:val="20"/>
                <w:szCs w:val="20"/>
              </w:rPr>
            </w:pPr>
            <w:r w:rsidRPr="003F2648">
              <w:rPr>
                <w:rFonts w:ascii="Arial" w:hAnsi="Arial" w:cs="Arial"/>
                <w:sz w:val="20"/>
                <w:szCs w:val="20"/>
              </w:rPr>
              <w:t>22.9%</w:t>
            </w:r>
          </w:p>
        </w:tc>
        <w:tc>
          <w:tcPr>
            <w:tcW w:w="992" w:type="dxa"/>
          </w:tcPr>
          <w:p w14:paraId="36818538" w14:textId="77777777" w:rsidR="005936CB" w:rsidRPr="003F2648" w:rsidRDefault="005936CB" w:rsidP="0086104F">
            <w:pPr>
              <w:jc w:val="both"/>
              <w:rPr>
                <w:rFonts w:ascii="Arial" w:hAnsi="Arial" w:cs="Arial"/>
                <w:sz w:val="20"/>
                <w:szCs w:val="20"/>
              </w:rPr>
            </w:pPr>
            <w:r w:rsidRPr="003F2648">
              <w:rPr>
                <w:rFonts w:ascii="Arial" w:hAnsi="Arial" w:cs="Arial"/>
                <w:sz w:val="20"/>
                <w:szCs w:val="20"/>
              </w:rPr>
              <w:t>0.161</w:t>
            </w:r>
          </w:p>
        </w:tc>
        <w:tc>
          <w:tcPr>
            <w:tcW w:w="5052" w:type="dxa"/>
          </w:tcPr>
          <w:p w14:paraId="21E085F8" w14:textId="77777777" w:rsidR="005936CB" w:rsidRPr="003F2648" w:rsidRDefault="005936CB" w:rsidP="0086104F">
            <w:pPr>
              <w:jc w:val="both"/>
              <w:rPr>
                <w:rFonts w:ascii="Arial" w:hAnsi="Arial" w:cs="Arial"/>
                <w:sz w:val="20"/>
                <w:szCs w:val="20"/>
              </w:rPr>
            </w:pPr>
            <w:r w:rsidRPr="003F2648">
              <w:rPr>
                <w:rFonts w:ascii="Arial" w:hAnsi="Arial" w:cs="Arial"/>
                <w:sz w:val="20"/>
                <w:szCs w:val="20"/>
              </w:rPr>
              <w:t>Moderate explanatory power; somewhat significant, suggests long-term relevance</w:t>
            </w:r>
          </w:p>
        </w:tc>
      </w:tr>
    </w:tbl>
    <w:p w14:paraId="7C16CB39" w14:textId="77777777" w:rsidR="005936CB" w:rsidRPr="003F2648" w:rsidRDefault="005936CB" w:rsidP="005936CB">
      <w:pPr>
        <w:jc w:val="both"/>
        <w:rPr>
          <w:rFonts w:ascii="Arial" w:hAnsi="Arial" w:cs="Arial"/>
          <w:i/>
          <w:iCs/>
        </w:rPr>
      </w:pPr>
      <w:r w:rsidRPr="003F2648">
        <w:rPr>
          <w:rFonts w:ascii="Arial" w:hAnsi="Arial" w:cs="Arial"/>
          <w:i/>
          <w:iCs/>
        </w:rPr>
        <w:t>Source: Computed by the Researcher</w:t>
      </w:r>
    </w:p>
    <w:p w14:paraId="117F3695" w14:textId="77777777" w:rsidR="005936CB" w:rsidRPr="003F2648" w:rsidRDefault="005936CB" w:rsidP="005936CB">
      <w:pPr>
        <w:jc w:val="both"/>
        <w:rPr>
          <w:rFonts w:ascii="Arial" w:hAnsi="Arial" w:cs="Arial"/>
        </w:rPr>
      </w:pPr>
      <w:r w:rsidRPr="003F2648">
        <w:rPr>
          <w:rFonts w:ascii="Arial" w:hAnsi="Arial" w:cs="Arial"/>
        </w:rPr>
        <w:t>A regression analysis was conducted to determine whether a stock’s P/E ratio could statistically predict its future returns. The results showed that in the short term (1-year period), the P/E ratio explained only 2.7% of return variations, with a high p-value (0.651), indicating no significant relationship. Similarly, for the 3-year period, the predictive power was almost zero (0.1%), reinforcing the idea that P/E ratio alone is not a reliable indicator for short-term investing.</w:t>
      </w:r>
    </w:p>
    <w:p w14:paraId="585DA2C2" w14:textId="77777777" w:rsidR="005936CB" w:rsidRPr="003F2648" w:rsidRDefault="005936CB" w:rsidP="005936CB">
      <w:pPr>
        <w:jc w:val="both"/>
        <w:rPr>
          <w:rFonts w:ascii="Arial" w:hAnsi="Arial" w:cs="Arial"/>
        </w:rPr>
      </w:pPr>
      <w:r w:rsidRPr="003F2648">
        <w:rPr>
          <w:rFonts w:ascii="Arial" w:hAnsi="Arial" w:cs="Arial"/>
        </w:rPr>
        <w:t>However, in the 5-year period, the regression model showed that 22.9% of return variation could be explained by the P/E ratio, with a lower p-value (0.161), making it moderately significant. This finding suggests that while short-term price movements are influenced by multiple unpredictable factors, long-term stock performance aligns more closely with valuation metrics such as the P/E ratio. Investors should consider high P/E stocks for long-term gains rather than dismissing them as overvalued.</w:t>
      </w:r>
    </w:p>
    <w:p w14:paraId="1B39C1E6" w14:textId="77777777" w:rsidR="005936CB" w:rsidRPr="003F2648" w:rsidRDefault="005936CB" w:rsidP="005936CB">
      <w:pPr>
        <w:jc w:val="both"/>
        <w:rPr>
          <w:rFonts w:ascii="Arial" w:hAnsi="Arial" w:cs="Arial"/>
          <w:b/>
          <w:bCs/>
          <w:sz w:val="22"/>
          <w:szCs w:val="22"/>
        </w:rPr>
      </w:pPr>
      <w:r>
        <w:rPr>
          <w:rFonts w:ascii="Arial" w:hAnsi="Arial" w:cs="Arial"/>
          <w:b/>
          <w:bCs/>
        </w:rPr>
        <w:t xml:space="preserve">6. </w:t>
      </w:r>
      <w:r w:rsidRPr="003F2648">
        <w:rPr>
          <w:rFonts w:ascii="Arial" w:hAnsi="Arial" w:cs="Arial"/>
          <w:b/>
          <w:bCs/>
        </w:rPr>
        <w:t xml:space="preserve">3 </w:t>
      </w:r>
      <w:r w:rsidRPr="003F2648">
        <w:rPr>
          <w:rFonts w:ascii="Arial" w:hAnsi="Arial" w:cs="Arial"/>
          <w:b/>
          <w:bCs/>
          <w:sz w:val="22"/>
          <w:szCs w:val="22"/>
        </w:rPr>
        <w:t>ANOVA: Sector-Wise Differences in P/E Impact on Returns</w:t>
      </w:r>
    </w:p>
    <w:p w14:paraId="11D04ABB" w14:textId="7AF064BF" w:rsidR="005936CB" w:rsidRPr="003F2648" w:rsidRDefault="005936CB" w:rsidP="005936CB">
      <w:pPr>
        <w:jc w:val="both"/>
        <w:rPr>
          <w:rFonts w:ascii="Arial" w:hAnsi="Arial" w:cs="Arial"/>
          <w:b/>
          <w:bCs/>
        </w:rPr>
      </w:pPr>
      <w:r w:rsidRPr="003F2648">
        <w:rPr>
          <w:rFonts w:ascii="Arial" w:hAnsi="Arial" w:cs="Arial"/>
          <w:b/>
          <w:bCs/>
        </w:rPr>
        <w:t>Table 3</w:t>
      </w:r>
      <w:r w:rsidR="008A6BE5">
        <w:rPr>
          <w:rFonts w:ascii="Arial" w:hAnsi="Arial" w:cs="Arial"/>
          <w:b/>
          <w:bCs/>
        </w:rPr>
        <w:t xml:space="preserve">: </w:t>
      </w:r>
      <w:r w:rsidR="008A6BE5" w:rsidRPr="003F2648">
        <w:rPr>
          <w:rFonts w:ascii="Arial" w:hAnsi="Arial" w:cs="Arial"/>
          <w:b/>
          <w:bCs/>
        </w:rPr>
        <w:t>Interpretation</w:t>
      </w:r>
      <w:r w:rsidR="008A6BE5">
        <w:rPr>
          <w:rFonts w:ascii="Arial" w:hAnsi="Arial" w:cs="Arial"/>
          <w:b/>
          <w:bCs/>
        </w:rPr>
        <w:t xml:space="preserve"> of ANOVA outcome </w:t>
      </w:r>
    </w:p>
    <w:tbl>
      <w:tblPr>
        <w:tblStyle w:val="TableGrid"/>
        <w:tblW w:w="0" w:type="auto"/>
        <w:tblLook w:val="04A0" w:firstRow="1" w:lastRow="0" w:firstColumn="1" w:lastColumn="0" w:noHBand="0" w:noVBand="1"/>
      </w:tblPr>
      <w:tblGrid>
        <w:gridCol w:w="1469"/>
        <w:gridCol w:w="1823"/>
        <w:gridCol w:w="2283"/>
        <w:gridCol w:w="2623"/>
      </w:tblGrid>
      <w:tr w:rsidR="005936CB" w:rsidRPr="003F2648" w14:paraId="6A2F36CD" w14:textId="77777777" w:rsidTr="0086104F">
        <w:tc>
          <w:tcPr>
            <w:tcW w:w="1510" w:type="dxa"/>
          </w:tcPr>
          <w:p w14:paraId="7ECFA7EB" w14:textId="77777777" w:rsidR="005936CB" w:rsidRPr="003F2648" w:rsidRDefault="005936CB" w:rsidP="0086104F">
            <w:pPr>
              <w:jc w:val="both"/>
              <w:rPr>
                <w:rFonts w:ascii="Arial" w:hAnsi="Arial" w:cs="Arial"/>
                <w:b/>
                <w:bCs/>
                <w:sz w:val="20"/>
                <w:szCs w:val="20"/>
              </w:rPr>
            </w:pPr>
            <w:r w:rsidRPr="003F2648">
              <w:rPr>
                <w:rFonts w:ascii="Arial" w:hAnsi="Arial" w:cs="Arial"/>
                <w:b/>
                <w:bCs/>
                <w:sz w:val="20"/>
                <w:szCs w:val="20"/>
              </w:rPr>
              <w:t>Sector</w:t>
            </w:r>
          </w:p>
        </w:tc>
        <w:tc>
          <w:tcPr>
            <w:tcW w:w="2029" w:type="dxa"/>
          </w:tcPr>
          <w:p w14:paraId="7F69E737" w14:textId="77777777" w:rsidR="005936CB" w:rsidRPr="003F2648" w:rsidRDefault="005936CB" w:rsidP="0086104F">
            <w:pPr>
              <w:jc w:val="both"/>
              <w:rPr>
                <w:rFonts w:ascii="Arial" w:hAnsi="Arial" w:cs="Arial"/>
                <w:b/>
                <w:bCs/>
                <w:sz w:val="20"/>
                <w:szCs w:val="20"/>
              </w:rPr>
            </w:pPr>
            <w:r w:rsidRPr="003F2648">
              <w:rPr>
                <w:rFonts w:ascii="Arial" w:hAnsi="Arial" w:cs="Arial"/>
                <w:b/>
                <w:bCs/>
                <w:sz w:val="20"/>
                <w:szCs w:val="20"/>
              </w:rPr>
              <w:t>Typical P/E Ratio</w:t>
            </w:r>
          </w:p>
        </w:tc>
        <w:tc>
          <w:tcPr>
            <w:tcW w:w="2552" w:type="dxa"/>
          </w:tcPr>
          <w:p w14:paraId="1CD82B22" w14:textId="77777777" w:rsidR="005936CB" w:rsidRPr="003F2648" w:rsidRDefault="005936CB" w:rsidP="0086104F">
            <w:pPr>
              <w:jc w:val="both"/>
              <w:rPr>
                <w:rFonts w:ascii="Arial" w:hAnsi="Arial" w:cs="Arial"/>
                <w:b/>
                <w:bCs/>
                <w:sz w:val="20"/>
                <w:szCs w:val="20"/>
              </w:rPr>
            </w:pPr>
            <w:r w:rsidRPr="003F2648">
              <w:rPr>
                <w:rFonts w:ascii="Arial" w:hAnsi="Arial" w:cs="Arial"/>
                <w:b/>
                <w:bCs/>
                <w:sz w:val="20"/>
                <w:szCs w:val="20"/>
              </w:rPr>
              <w:t>Stock Return Pattern</w:t>
            </w:r>
          </w:p>
        </w:tc>
        <w:tc>
          <w:tcPr>
            <w:tcW w:w="2925" w:type="dxa"/>
          </w:tcPr>
          <w:p w14:paraId="2BFB7E76" w14:textId="77777777" w:rsidR="005936CB" w:rsidRPr="003F2648" w:rsidRDefault="005936CB" w:rsidP="0086104F">
            <w:pPr>
              <w:jc w:val="both"/>
              <w:rPr>
                <w:rFonts w:ascii="Arial" w:hAnsi="Arial" w:cs="Arial"/>
                <w:b/>
                <w:bCs/>
                <w:sz w:val="20"/>
                <w:szCs w:val="20"/>
              </w:rPr>
            </w:pPr>
            <w:r w:rsidRPr="003F2648">
              <w:rPr>
                <w:rFonts w:ascii="Arial" w:hAnsi="Arial" w:cs="Arial"/>
                <w:b/>
                <w:bCs/>
                <w:sz w:val="20"/>
                <w:szCs w:val="20"/>
              </w:rPr>
              <w:t>Interpretation</w:t>
            </w:r>
          </w:p>
        </w:tc>
      </w:tr>
      <w:tr w:rsidR="005936CB" w:rsidRPr="003F2648" w14:paraId="25903F4A" w14:textId="77777777" w:rsidTr="0086104F">
        <w:tc>
          <w:tcPr>
            <w:tcW w:w="1510" w:type="dxa"/>
          </w:tcPr>
          <w:p w14:paraId="305650AF" w14:textId="77777777" w:rsidR="005936CB" w:rsidRPr="003F2648" w:rsidRDefault="005936CB" w:rsidP="0086104F">
            <w:pPr>
              <w:jc w:val="both"/>
              <w:rPr>
                <w:rFonts w:ascii="Arial" w:hAnsi="Arial" w:cs="Arial"/>
                <w:sz w:val="20"/>
                <w:szCs w:val="20"/>
              </w:rPr>
            </w:pPr>
            <w:r w:rsidRPr="003F2648">
              <w:rPr>
                <w:rFonts w:ascii="Arial" w:hAnsi="Arial" w:cs="Arial"/>
                <w:sz w:val="20"/>
                <w:szCs w:val="20"/>
              </w:rPr>
              <w:t>Technology (IT)</w:t>
            </w:r>
          </w:p>
        </w:tc>
        <w:tc>
          <w:tcPr>
            <w:tcW w:w="2029" w:type="dxa"/>
          </w:tcPr>
          <w:p w14:paraId="7A6206DD" w14:textId="77777777" w:rsidR="005936CB" w:rsidRPr="003F2648" w:rsidRDefault="005936CB" w:rsidP="0086104F">
            <w:pPr>
              <w:jc w:val="both"/>
              <w:rPr>
                <w:rFonts w:ascii="Arial" w:hAnsi="Arial" w:cs="Arial"/>
                <w:sz w:val="20"/>
                <w:szCs w:val="20"/>
              </w:rPr>
            </w:pPr>
            <w:r w:rsidRPr="003F2648">
              <w:rPr>
                <w:rFonts w:ascii="Arial" w:hAnsi="Arial" w:cs="Arial"/>
                <w:sz w:val="20"/>
                <w:szCs w:val="20"/>
              </w:rPr>
              <w:t>High</w:t>
            </w:r>
          </w:p>
        </w:tc>
        <w:tc>
          <w:tcPr>
            <w:tcW w:w="2552" w:type="dxa"/>
          </w:tcPr>
          <w:p w14:paraId="1DAE3C75" w14:textId="77777777" w:rsidR="005936CB" w:rsidRPr="003F2648" w:rsidRDefault="005936CB" w:rsidP="0086104F">
            <w:pPr>
              <w:jc w:val="both"/>
              <w:rPr>
                <w:rFonts w:ascii="Arial" w:hAnsi="Arial" w:cs="Arial"/>
                <w:sz w:val="20"/>
                <w:szCs w:val="20"/>
              </w:rPr>
            </w:pPr>
            <w:r w:rsidRPr="003F2648">
              <w:rPr>
                <w:rFonts w:ascii="Arial" w:hAnsi="Arial" w:cs="Arial"/>
                <w:sz w:val="20"/>
                <w:szCs w:val="20"/>
              </w:rPr>
              <w:t>Strong long-term returns</w:t>
            </w:r>
          </w:p>
        </w:tc>
        <w:tc>
          <w:tcPr>
            <w:tcW w:w="2925" w:type="dxa"/>
          </w:tcPr>
          <w:p w14:paraId="405204D5" w14:textId="77777777" w:rsidR="005936CB" w:rsidRPr="003F2648" w:rsidRDefault="005936CB" w:rsidP="0086104F">
            <w:pPr>
              <w:jc w:val="both"/>
              <w:rPr>
                <w:rFonts w:ascii="Arial" w:hAnsi="Arial" w:cs="Arial"/>
                <w:sz w:val="20"/>
                <w:szCs w:val="20"/>
              </w:rPr>
            </w:pPr>
            <w:r w:rsidRPr="003F2648">
              <w:rPr>
                <w:rFonts w:ascii="Arial" w:hAnsi="Arial" w:cs="Arial"/>
                <w:sz w:val="20"/>
                <w:szCs w:val="20"/>
              </w:rPr>
              <w:t>High P/E justified by strong growth prospects</w:t>
            </w:r>
          </w:p>
        </w:tc>
      </w:tr>
      <w:tr w:rsidR="005936CB" w:rsidRPr="003F2648" w14:paraId="12541925" w14:textId="77777777" w:rsidTr="0086104F">
        <w:tc>
          <w:tcPr>
            <w:tcW w:w="1510" w:type="dxa"/>
          </w:tcPr>
          <w:p w14:paraId="29D8C08B" w14:textId="77777777" w:rsidR="005936CB" w:rsidRPr="003F2648" w:rsidRDefault="005936CB" w:rsidP="0086104F">
            <w:pPr>
              <w:jc w:val="both"/>
              <w:rPr>
                <w:rFonts w:ascii="Arial" w:hAnsi="Arial" w:cs="Arial"/>
                <w:sz w:val="20"/>
                <w:szCs w:val="20"/>
              </w:rPr>
            </w:pPr>
            <w:r w:rsidRPr="003F2648">
              <w:rPr>
                <w:rFonts w:ascii="Arial" w:hAnsi="Arial" w:cs="Arial"/>
                <w:sz w:val="20"/>
                <w:szCs w:val="20"/>
              </w:rPr>
              <w:t>FMCG</w:t>
            </w:r>
          </w:p>
        </w:tc>
        <w:tc>
          <w:tcPr>
            <w:tcW w:w="2029" w:type="dxa"/>
          </w:tcPr>
          <w:p w14:paraId="7B5F52FC" w14:textId="77777777" w:rsidR="005936CB" w:rsidRPr="003F2648" w:rsidRDefault="005936CB" w:rsidP="0086104F">
            <w:pPr>
              <w:jc w:val="both"/>
              <w:rPr>
                <w:rFonts w:ascii="Arial" w:hAnsi="Arial" w:cs="Arial"/>
                <w:sz w:val="20"/>
                <w:szCs w:val="20"/>
              </w:rPr>
            </w:pPr>
            <w:r w:rsidRPr="003F2648">
              <w:rPr>
                <w:rFonts w:ascii="Arial" w:hAnsi="Arial" w:cs="Arial"/>
                <w:sz w:val="20"/>
                <w:szCs w:val="20"/>
              </w:rPr>
              <w:t>High</w:t>
            </w:r>
          </w:p>
        </w:tc>
        <w:tc>
          <w:tcPr>
            <w:tcW w:w="2552" w:type="dxa"/>
          </w:tcPr>
          <w:p w14:paraId="12FF7A1F" w14:textId="77777777" w:rsidR="005936CB" w:rsidRPr="003F2648" w:rsidRDefault="005936CB" w:rsidP="0086104F">
            <w:pPr>
              <w:jc w:val="both"/>
              <w:rPr>
                <w:rFonts w:ascii="Arial" w:hAnsi="Arial" w:cs="Arial"/>
                <w:sz w:val="20"/>
                <w:szCs w:val="20"/>
              </w:rPr>
            </w:pPr>
            <w:r w:rsidRPr="003F2648">
              <w:rPr>
                <w:rFonts w:ascii="Arial" w:hAnsi="Arial" w:cs="Arial"/>
                <w:sz w:val="20"/>
                <w:szCs w:val="20"/>
              </w:rPr>
              <w:t>Consistent and stable long-term returns</w:t>
            </w:r>
          </w:p>
        </w:tc>
        <w:tc>
          <w:tcPr>
            <w:tcW w:w="2925" w:type="dxa"/>
          </w:tcPr>
          <w:p w14:paraId="6DFCB261" w14:textId="77777777" w:rsidR="005936CB" w:rsidRPr="003F2648" w:rsidRDefault="005936CB" w:rsidP="0086104F">
            <w:pPr>
              <w:jc w:val="both"/>
              <w:rPr>
                <w:rFonts w:ascii="Arial" w:hAnsi="Arial" w:cs="Arial"/>
                <w:sz w:val="20"/>
                <w:szCs w:val="20"/>
              </w:rPr>
            </w:pPr>
            <w:r w:rsidRPr="003F2648">
              <w:rPr>
                <w:rFonts w:ascii="Arial" w:hAnsi="Arial" w:cs="Arial"/>
                <w:sz w:val="20"/>
                <w:szCs w:val="20"/>
              </w:rPr>
              <w:t>High valuation supported by steady earnings and consumer demand</w:t>
            </w:r>
          </w:p>
        </w:tc>
      </w:tr>
      <w:tr w:rsidR="005936CB" w:rsidRPr="003F2648" w14:paraId="0EAED476" w14:textId="77777777" w:rsidTr="0086104F">
        <w:tc>
          <w:tcPr>
            <w:tcW w:w="1510" w:type="dxa"/>
          </w:tcPr>
          <w:p w14:paraId="3F55551E" w14:textId="77777777" w:rsidR="005936CB" w:rsidRPr="003F2648" w:rsidRDefault="005936CB" w:rsidP="0086104F">
            <w:pPr>
              <w:jc w:val="both"/>
              <w:rPr>
                <w:rFonts w:ascii="Arial" w:hAnsi="Arial" w:cs="Arial"/>
                <w:sz w:val="20"/>
                <w:szCs w:val="20"/>
              </w:rPr>
            </w:pPr>
            <w:r w:rsidRPr="003F2648">
              <w:rPr>
                <w:rFonts w:ascii="Arial" w:hAnsi="Arial" w:cs="Arial"/>
                <w:sz w:val="20"/>
                <w:szCs w:val="20"/>
              </w:rPr>
              <w:t>Financials</w:t>
            </w:r>
          </w:p>
        </w:tc>
        <w:tc>
          <w:tcPr>
            <w:tcW w:w="2029" w:type="dxa"/>
          </w:tcPr>
          <w:p w14:paraId="47AF2DF9" w14:textId="77777777" w:rsidR="005936CB" w:rsidRPr="003F2648" w:rsidRDefault="005936CB" w:rsidP="0086104F">
            <w:pPr>
              <w:jc w:val="both"/>
              <w:rPr>
                <w:rFonts w:ascii="Arial" w:hAnsi="Arial" w:cs="Arial"/>
                <w:sz w:val="20"/>
                <w:szCs w:val="20"/>
              </w:rPr>
            </w:pPr>
            <w:r w:rsidRPr="003F2648">
              <w:rPr>
                <w:rFonts w:ascii="Arial" w:hAnsi="Arial" w:cs="Arial"/>
                <w:sz w:val="20"/>
                <w:szCs w:val="20"/>
              </w:rPr>
              <w:t>Low to Moderate</w:t>
            </w:r>
          </w:p>
        </w:tc>
        <w:tc>
          <w:tcPr>
            <w:tcW w:w="2552" w:type="dxa"/>
          </w:tcPr>
          <w:p w14:paraId="26838DA3" w14:textId="77777777" w:rsidR="005936CB" w:rsidRPr="003F2648" w:rsidRDefault="005936CB" w:rsidP="0086104F">
            <w:pPr>
              <w:jc w:val="both"/>
              <w:rPr>
                <w:rFonts w:ascii="Arial" w:hAnsi="Arial" w:cs="Arial"/>
                <w:sz w:val="20"/>
                <w:szCs w:val="20"/>
              </w:rPr>
            </w:pPr>
            <w:r w:rsidRPr="003F2648">
              <w:rPr>
                <w:rFonts w:ascii="Arial" w:hAnsi="Arial" w:cs="Arial"/>
                <w:sz w:val="20"/>
                <w:szCs w:val="20"/>
              </w:rPr>
              <w:t>Stable returns</w:t>
            </w:r>
          </w:p>
        </w:tc>
        <w:tc>
          <w:tcPr>
            <w:tcW w:w="2925" w:type="dxa"/>
          </w:tcPr>
          <w:p w14:paraId="1FDD7A70" w14:textId="77777777" w:rsidR="005936CB" w:rsidRPr="003F2648" w:rsidRDefault="005936CB" w:rsidP="0086104F">
            <w:pPr>
              <w:jc w:val="both"/>
              <w:rPr>
                <w:rFonts w:ascii="Arial" w:hAnsi="Arial" w:cs="Arial"/>
                <w:sz w:val="20"/>
                <w:szCs w:val="20"/>
              </w:rPr>
            </w:pPr>
            <w:r w:rsidRPr="003F2648">
              <w:rPr>
                <w:rFonts w:ascii="Arial" w:hAnsi="Arial" w:cs="Arial"/>
                <w:sz w:val="20"/>
                <w:szCs w:val="20"/>
              </w:rPr>
              <w:t>Lower P/E due to regulatory factors; less volatile</w:t>
            </w:r>
          </w:p>
        </w:tc>
      </w:tr>
      <w:tr w:rsidR="005936CB" w:rsidRPr="003F2648" w14:paraId="60B19E07" w14:textId="77777777" w:rsidTr="0086104F">
        <w:tc>
          <w:tcPr>
            <w:tcW w:w="1510" w:type="dxa"/>
          </w:tcPr>
          <w:p w14:paraId="64196810" w14:textId="77777777" w:rsidR="005936CB" w:rsidRPr="003F2648" w:rsidRDefault="005936CB" w:rsidP="0086104F">
            <w:pPr>
              <w:jc w:val="both"/>
              <w:rPr>
                <w:rFonts w:ascii="Arial" w:hAnsi="Arial" w:cs="Arial"/>
                <w:sz w:val="20"/>
                <w:szCs w:val="20"/>
              </w:rPr>
            </w:pPr>
            <w:r w:rsidRPr="003F2648">
              <w:rPr>
                <w:rFonts w:ascii="Arial" w:hAnsi="Arial" w:cs="Arial"/>
                <w:sz w:val="20"/>
                <w:szCs w:val="20"/>
              </w:rPr>
              <w:t>Industrials</w:t>
            </w:r>
          </w:p>
        </w:tc>
        <w:tc>
          <w:tcPr>
            <w:tcW w:w="2029" w:type="dxa"/>
          </w:tcPr>
          <w:p w14:paraId="3DBA2CAB" w14:textId="77777777" w:rsidR="005936CB" w:rsidRPr="003F2648" w:rsidRDefault="005936CB" w:rsidP="0086104F">
            <w:pPr>
              <w:jc w:val="both"/>
              <w:rPr>
                <w:rFonts w:ascii="Arial" w:hAnsi="Arial" w:cs="Arial"/>
                <w:sz w:val="20"/>
                <w:szCs w:val="20"/>
              </w:rPr>
            </w:pPr>
            <w:r w:rsidRPr="003F2648">
              <w:rPr>
                <w:rFonts w:ascii="Arial" w:hAnsi="Arial" w:cs="Arial"/>
                <w:sz w:val="20"/>
                <w:szCs w:val="20"/>
              </w:rPr>
              <w:t>Low to Moderate</w:t>
            </w:r>
          </w:p>
        </w:tc>
        <w:tc>
          <w:tcPr>
            <w:tcW w:w="2552" w:type="dxa"/>
          </w:tcPr>
          <w:p w14:paraId="2A506374" w14:textId="77777777" w:rsidR="005936CB" w:rsidRPr="003F2648" w:rsidRDefault="005936CB" w:rsidP="0086104F">
            <w:pPr>
              <w:jc w:val="both"/>
              <w:rPr>
                <w:rFonts w:ascii="Arial" w:hAnsi="Arial" w:cs="Arial"/>
                <w:sz w:val="20"/>
                <w:szCs w:val="20"/>
              </w:rPr>
            </w:pPr>
            <w:r w:rsidRPr="003F2648">
              <w:rPr>
                <w:rFonts w:ascii="Arial" w:hAnsi="Arial" w:cs="Arial"/>
                <w:sz w:val="20"/>
                <w:szCs w:val="20"/>
              </w:rPr>
              <w:t>Stable to moderate returns</w:t>
            </w:r>
          </w:p>
        </w:tc>
        <w:tc>
          <w:tcPr>
            <w:tcW w:w="2925" w:type="dxa"/>
          </w:tcPr>
          <w:p w14:paraId="69042FFB" w14:textId="77777777" w:rsidR="005936CB" w:rsidRPr="003F2648" w:rsidRDefault="005936CB" w:rsidP="0086104F">
            <w:pPr>
              <w:jc w:val="both"/>
              <w:rPr>
                <w:rFonts w:ascii="Arial" w:hAnsi="Arial" w:cs="Arial"/>
                <w:sz w:val="20"/>
                <w:szCs w:val="20"/>
              </w:rPr>
            </w:pPr>
            <w:r w:rsidRPr="003F2648">
              <w:rPr>
                <w:rFonts w:ascii="Arial" w:hAnsi="Arial" w:cs="Arial"/>
                <w:sz w:val="20"/>
                <w:szCs w:val="20"/>
              </w:rPr>
              <w:t>Valuations reflect steady but slower growth</w:t>
            </w:r>
          </w:p>
        </w:tc>
      </w:tr>
      <w:tr w:rsidR="005936CB" w:rsidRPr="003F2648" w14:paraId="1BD3CC74" w14:textId="77777777" w:rsidTr="0086104F">
        <w:tc>
          <w:tcPr>
            <w:tcW w:w="1510" w:type="dxa"/>
          </w:tcPr>
          <w:p w14:paraId="19085753" w14:textId="77777777" w:rsidR="005936CB" w:rsidRPr="003F2648" w:rsidRDefault="005936CB" w:rsidP="0086104F">
            <w:pPr>
              <w:jc w:val="both"/>
              <w:rPr>
                <w:rFonts w:ascii="Arial" w:hAnsi="Arial" w:cs="Arial"/>
                <w:sz w:val="20"/>
                <w:szCs w:val="20"/>
              </w:rPr>
            </w:pPr>
            <w:r w:rsidRPr="003F2648">
              <w:rPr>
                <w:rFonts w:ascii="Arial" w:hAnsi="Arial" w:cs="Arial"/>
                <w:sz w:val="20"/>
                <w:szCs w:val="20"/>
              </w:rPr>
              <w:t>Energy</w:t>
            </w:r>
          </w:p>
        </w:tc>
        <w:tc>
          <w:tcPr>
            <w:tcW w:w="2029" w:type="dxa"/>
          </w:tcPr>
          <w:p w14:paraId="700ACA64" w14:textId="77777777" w:rsidR="005936CB" w:rsidRPr="003F2648" w:rsidRDefault="005936CB" w:rsidP="0086104F">
            <w:pPr>
              <w:jc w:val="both"/>
              <w:rPr>
                <w:rFonts w:ascii="Arial" w:hAnsi="Arial" w:cs="Arial"/>
                <w:sz w:val="20"/>
                <w:szCs w:val="20"/>
              </w:rPr>
            </w:pPr>
            <w:r w:rsidRPr="003F2648">
              <w:rPr>
                <w:rFonts w:ascii="Arial" w:hAnsi="Arial" w:cs="Arial"/>
                <w:sz w:val="20"/>
                <w:szCs w:val="20"/>
              </w:rPr>
              <w:t>Variable</w:t>
            </w:r>
          </w:p>
        </w:tc>
        <w:tc>
          <w:tcPr>
            <w:tcW w:w="2552" w:type="dxa"/>
          </w:tcPr>
          <w:p w14:paraId="690343DB" w14:textId="77777777" w:rsidR="005936CB" w:rsidRPr="003F2648" w:rsidRDefault="005936CB" w:rsidP="0086104F">
            <w:pPr>
              <w:jc w:val="both"/>
              <w:rPr>
                <w:rFonts w:ascii="Arial" w:hAnsi="Arial" w:cs="Arial"/>
                <w:sz w:val="20"/>
                <w:szCs w:val="20"/>
              </w:rPr>
            </w:pPr>
            <w:r w:rsidRPr="003F2648">
              <w:rPr>
                <w:rFonts w:ascii="Arial" w:hAnsi="Arial" w:cs="Arial"/>
                <w:sz w:val="20"/>
                <w:szCs w:val="20"/>
              </w:rPr>
              <w:t>Inconsistent returns</w:t>
            </w:r>
          </w:p>
        </w:tc>
        <w:tc>
          <w:tcPr>
            <w:tcW w:w="2925" w:type="dxa"/>
          </w:tcPr>
          <w:p w14:paraId="3D4F0732" w14:textId="77777777" w:rsidR="005936CB" w:rsidRPr="003F2648" w:rsidRDefault="005936CB" w:rsidP="0086104F">
            <w:pPr>
              <w:jc w:val="both"/>
              <w:rPr>
                <w:rFonts w:ascii="Arial" w:hAnsi="Arial" w:cs="Arial"/>
                <w:sz w:val="20"/>
                <w:szCs w:val="20"/>
              </w:rPr>
            </w:pPr>
            <w:r w:rsidRPr="003F2648">
              <w:rPr>
                <w:rFonts w:ascii="Arial" w:hAnsi="Arial" w:cs="Arial"/>
                <w:sz w:val="20"/>
                <w:szCs w:val="20"/>
              </w:rPr>
              <w:t>Subject to commodity cycles and external shocks</w:t>
            </w:r>
          </w:p>
        </w:tc>
      </w:tr>
      <w:tr w:rsidR="005936CB" w:rsidRPr="003F2648" w14:paraId="26AB2E18" w14:textId="77777777" w:rsidTr="0086104F">
        <w:tc>
          <w:tcPr>
            <w:tcW w:w="1510" w:type="dxa"/>
          </w:tcPr>
          <w:p w14:paraId="275735F7" w14:textId="77777777" w:rsidR="005936CB" w:rsidRPr="003F2648" w:rsidRDefault="005936CB" w:rsidP="0086104F">
            <w:pPr>
              <w:jc w:val="both"/>
              <w:rPr>
                <w:rFonts w:ascii="Arial" w:hAnsi="Arial" w:cs="Arial"/>
                <w:sz w:val="20"/>
                <w:szCs w:val="20"/>
              </w:rPr>
            </w:pPr>
            <w:r w:rsidRPr="003F2648">
              <w:rPr>
                <w:rFonts w:ascii="Arial" w:hAnsi="Arial" w:cs="Arial"/>
                <w:sz w:val="20"/>
                <w:szCs w:val="20"/>
              </w:rPr>
              <w:t>Metals</w:t>
            </w:r>
          </w:p>
        </w:tc>
        <w:tc>
          <w:tcPr>
            <w:tcW w:w="2029" w:type="dxa"/>
          </w:tcPr>
          <w:p w14:paraId="57BE0491" w14:textId="77777777" w:rsidR="005936CB" w:rsidRPr="003F2648" w:rsidRDefault="005936CB" w:rsidP="0086104F">
            <w:pPr>
              <w:jc w:val="both"/>
              <w:rPr>
                <w:rFonts w:ascii="Arial" w:hAnsi="Arial" w:cs="Arial"/>
                <w:sz w:val="20"/>
                <w:szCs w:val="20"/>
              </w:rPr>
            </w:pPr>
            <w:r w:rsidRPr="003F2648">
              <w:rPr>
                <w:rFonts w:ascii="Arial" w:hAnsi="Arial" w:cs="Arial"/>
                <w:sz w:val="20"/>
                <w:szCs w:val="20"/>
              </w:rPr>
              <w:t>Variable</w:t>
            </w:r>
          </w:p>
        </w:tc>
        <w:tc>
          <w:tcPr>
            <w:tcW w:w="2552" w:type="dxa"/>
          </w:tcPr>
          <w:p w14:paraId="2FC22597" w14:textId="77777777" w:rsidR="005936CB" w:rsidRPr="003F2648" w:rsidRDefault="005936CB" w:rsidP="0086104F">
            <w:pPr>
              <w:jc w:val="both"/>
              <w:rPr>
                <w:rFonts w:ascii="Arial" w:hAnsi="Arial" w:cs="Arial"/>
                <w:sz w:val="20"/>
                <w:szCs w:val="20"/>
              </w:rPr>
            </w:pPr>
            <w:r w:rsidRPr="003F2648">
              <w:rPr>
                <w:rFonts w:ascii="Arial" w:hAnsi="Arial" w:cs="Arial"/>
                <w:sz w:val="20"/>
                <w:szCs w:val="20"/>
              </w:rPr>
              <w:t>Inconsistent returns</w:t>
            </w:r>
          </w:p>
        </w:tc>
        <w:tc>
          <w:tcPr>
            <w:tcW w:w="2925" w:type="dxa"/>
          </w:tcPr>
          <w:p w14:paraId="4628CF72" w14:textId="77777777" w:rsidR="005936CB" w:rsidRPr="003F2648" w:rsidRDefault="005936CB" w:rsidP="0086104F">
            <w:pPr>
              <w:jc w:val="both"/>
              <w:rPr>
                <w:rFonts w:ascii="Arial" w:hAnsi="Arial" w:cs="Arial"/>
                <w:sz w:val="20"/>
                <w:szCs w:val="20"/>
              </w:rPr>
            </w:pPr>
            <w:r w:rsidRPr="003F2648">
              <w:rPr>
                <w:rFonts w:ascii="Arial" w:hAnsi="Arial" w:cs="Arial"/>
                <w:sz w:val="20"/>
                <w:szCs w:val="20"/>
              </w:rPr>
              <w:t>Returns influenced by global demand and prices</w:t>
            </w:r>
          </w:p>
        </w:tc>
      </w:tr>
      <w:tr w:rsidR="005936CB" w:rsidRPr="003F2648" w14:paraId="4F437224" w14:textId="77777777" w:rsidTr="0086104F">
        <w:tc>
          <w:tcPr>
            <w:tcW w:w="1510" w:type="dxa"/>
          </w:tcPr>
          <w:p w14:paraId="101414DB" w14:textId="77777777" w:rsidR="005936CB" w:rsidRPr="003F2648" w:rsidRDefault="005936CB" w:rsidP="0086104F">
            <w:pPr>
              <w:jc w:val="both"/>
              <w:rPr>
                <w:rFonts w:ascii="Arial" w:hAnsi="Arial" w:cs="Arial"/>
                <w:sz w:val="20"/>
                <w:szCs w:val="20"/>
              </w:rPr>
            </w:pPr>
            <w:r w:rsidRPr="003F2648">
              <w:rPr>
                <w:rFonts w:ascii="Arial" w:hAnsi="Arial" w:cs="Arial"/>
                <w:sz w:val="20"/>
                <w:szCs w:val="20"/>
              </w:rPr>
              <w:t>Automobiles</w:t>
            </w:r>
          </w:p>
        </w:tc>
        <w:tc>
          <w:tcPr>
            <w:tcW w:w="2029" w:type="dxa"/>
          </w:tcPr>
          <w:p w14:paraId="6D70C9A2" w14:textId="77777777" w:rsidR="005936CB" w:rsidRPr="003F2648" w:rsidRDefault="005936CB" w:rsidP="0086104F">
            <w:pPr>
              <w:jc w:val="both"/>
              <w:rPr>
                <w:rFonts w:ascii="Arial" w:hAnsi="Arial" w:cs="Arial"/>
                <w:sz w:val="20"/>
                <w:szCs w:val="20"/>
              </w:rPr>
            </w:pPr>
            <w:r w:rsidRPr="003F2648">
              <w:rPr>
                <w:rFonts w:ascii="Arial" w:hAnsi="Arial" w:cs="Arial"/>
                <w:sz w:val="20"/>
                <w:szCs w:val="20"/>
              </w:rPr>
              <w:t>Variable</w:t>
            </w:r>
          </w:p>
        </w:tc>
        <w:tc>
          <w:tcPr>
            <w:tcW w:w="2552" w:type="dxa"/>
          </w:tcPr>
          <w:p w14:paraId="1AF42EE9" w14:textId="77777777" w:rsidR="005936CB" w:rsidRPr="003F2648" w:rsidRDefault="005936CB" w:rsidP="0086104F">
            <w:pPr>
              <w:jc w:val="both"/>
              <w:rPr>
                <w:rFonts w:ascii="Arial" w:hAnsi="Arial" w:cs="Arial"/>
                <w:sz w:val="20"/>
                <w:szCs w:val="20"/>
              </w:rPr>
            </w:pPr>
            <w:r w:rsidRPr="003F2648">
              <w:rPr>
                <w:rFonts w:ascii="Arial" w:hAnsi="Arial" w:cs="Arial"/>
                <w:sz w:val="20"/>
                <w:szCs w:val="20"/>
              </w:rPr>
              <w:t>Inconsistent returns</w:t>
            </w:r>
          </w:p>
        </w:tc>
        <w:tc>
          <w:tcPr>
            <w:tcW w:w="2925" w:type="dxa"/>
          </w:tcPr>
          <w:p w14:paraId="24B85938" w14:textId="77777777" w:rsidR="005936CB" w:rsidRPr="003F2648" w:rsidRDefault="005936CB" w:rsidP="0086104F">
            <w:pPr>
              <w:jc w:val="both"/>
              <w:rPr>
                <w:rFonts w:ascii="Arial" w:hAnsi="Arial" w:cs="Arial"/>
                <w:sz w:val="20"/>
                <w:szCs w:val="20"/>
              </w:rPr>
            </w:pPr>
            <w:r w:rsidRPr="003F2648">
              <w:rPr>
                <w:rFonts w:ascii="Arial" w:hAnsi="Arial" w:cs="Arial"/>
                <w:sz w:val="20"/>
                <w:szCs w:val="20"/>
              </w:rPr>
              <w:t>Performance affected by economic and regulatory cycles</w:t>
            </w:r>
          </w:p>
        </w:tc>
      </w:tr>
    </w:tbl>
    <w:p w14:paraId="697E9CC7" w14:textId="77777777" w:rsidR="005936CB" w:rsidRPr="003F2648" w:rsidRDefault="005936CB" w:rsidP="005936CB">
      <w:pPr>
        <w:jc w:val="both"/>
        <w:rPr>
          <w:rFonts w:ascii="Arial" w:hAnsi="Arial" w:cs="Arial"/>
          <w:i/>
          <w:iCs/>
        </w:rPr>
      </w:pPr>
      <w:r w:rsidRPr="003F2648">
        <w:rPr>
          <w:rFonts w:ascii="Arial" w:hAnsi="Arial" w:cs="Arial"/>
          <w:i/>
          <w:iCs/>
        </w:rPr>
        <w:t>Source: Computed by the Researcher</w:t>
      </w:r>
    </w:p>
    <w:p w14:paraId="395165FF" w14:textId="77777777" w:rsidR="005936CB" w:rsidRPr="003F2648" w:rsidRDefault="005936CB" w:rsidP="005936CB">
      <w:pPr>
        <w:jc w:val="both"/>
        <w:rPr>
          <w:rFonts w:ascii="Arial" w:hAnsi="Arial" w:cs="Arial"/>
        </w:rPr>
      </w:pPr>
      <w:r w:rsidRPr="003F2648">
        <w:rPr>
          <w:rFonts w:ascii="Arial" w:hAnsi="Arial" w:cs="Arial"/>
        </w:rPr>
        <w:t>To determine whether sectoral differences influence the relationship between P/E ratios and stock performance, an Analysis of Variance (ANOVA) test was conducted. The test resulted in a p-value of 0.21, which, while not statistically significant, suggests that there might be some sectoral influence on the P/E-performance relationship.</w:t>
      </w:r>
    </w:p>
    <w:p w14:paraId="02C2AA1A" w14:textId="77777777" w:rsidR="005936CB" w:rsidRPr="003F2648" w:rsidRDefault="005936CB" w:rsidP="005936CB">
      <w:pPr>
        <w:jc w:val="both"/>
        <w:rPr>
          <w:rFonts w:ascii="Arial" w:hAnsi="Arial" w:cs="Arial"/>
        </w:rPr>
      </w:pPr>
      <w:r w:rsidRPr="003F2648">
        <w:rPr>
          <w:rFonts w:ascii="Arial" w:hAnsi="Arial" w:cs="Arial"/>
        </w:rPr>
        <w:t>Upon examining the data, it was observed that certain sectors tend to maintain high P/E ratios yet still deliver strong returns. For example:</w:t>
      </w:r>
    </w:p>
    <w:p w14:paraId="01045F59" w14:textId="77777777" w:rsidR="005936CB" w:rsidRPr="003F2648" w:rsidRDefault="005936CB" w:rsidP="005936CB">
      <w:pPr>
        <w:ind w:left="720"/>
        <w:jc w:val="both"/>
        <w:rPr>
          <w:rFonts w:ascii="Arial" w:hAnsi="Arial" w:cs="Arial"/>
        </w:rPr>
      </w:pPr>
      <w:r w:rsidRPr="003F2648">
        <w:rPr>
          <w:rFonts w:ascii="Arial" w:hAnsi="Arial" w:cs="Arial"/>
        </w:rPr>
        <w:t>Technology (IT) and Fast-Moving Consumer Goods (FMCG) stocks often maintain high P/E ratios but generate consistent long-term returns.</w:t>
      </w:r>
    </w:p>
    <w:p w14:paraId="1FCA79C8" w14:textId="77777777" w:rsidR="005936CB" w:rsidRPr="003F2648" w:rsidRDefault="005936CB" w:rsidP="005936CB">
      <w:pPr>
        <w:ind w:left="720"/>
        <w:jc w:val="both"/>
        <w:rPr>
          <w:rFonts w:ascii="Arial" w:hAnsi="Arial" w:cs="Arial"/>
        </w:rPr>
      </w:pPr>
      <w:r w:rsidRPr="003F2648">
        <w:rPr>
          <w:rFonts w:ascii="Arial" w:hAnsi="Arial" w:cs="Arial"/>
        </w:rPr>
        <w:t>Financial and industrial sectors tend to have lower P/E ratios but exhibit more stability.</w:t>
      </w:r>
    </w:p>
    <w:p w14:paraId="35AEAAB8" w14:textId="77777777" w:rsidR="005936CB" w:rsidRPr="003F2648" w:rsidRDefault="005936CB" w:rsidP="005936CB">
      <w:pPr>
        <w:ind w:left="720"/>
        <w:jc w:val="both"/>
        <w:rPr>
          <w:rFonts w:ascii="Arial" w:hAnsi="Arial" w:cs="Arial"/>
        </w:rPr>
      </w:pPr>
      <w:r w:rsidRPr="003F2648">
        <w:rPr>
          <w:rFonts w:ascii="Arial" w:hAnsi="Arial" w:cs="Arial"/>
        </w:rPr>
        <w:lastRenderedPageBreak/>
        <w:t>Cyclical sectors such as Energy, Metals, and Automobiles show no consistent pattern between P/E ratios and stock returns.</w:t>
      </w:r>
    </w:p>
    <w:p w14:paraId="08D81CF7" w14:textId="77777777" w:rsidR="005936CB" w:rsidRPr="003F2648" w:rsidRDefault="005936CB" w:rsidP="005936CB">
      <w:pPr>
        <w:jc w:val="both"/>
        <w:rPr>
          <w:rFonts w:ascii="Arial" w:hAnsi="Arial" w:cs="Arial"/>
        </w:rPr>
      </w:pPr>
      <w:r w:rsidRPr="003F2648">
        <w:rPr>
          <w:rFonts w:ascii="Arial" w:hAnsi="Arial" w:cs="Arial"/>
        </w:rPr>
        <w:t xml:space="preserve">These findings indicate that sectoral growth potential is a key factor in determining whether high P/E stocks will perform well. Investors should not generalize the impact of high P/E ratios across all sectors but should instead </w:t>
      </w:r>
      <w:proofErr w:type="spellStart"/>
      <w:r w:rsidRPr="003F2648">
        <w:rPr>
          <w:rFonts w:ascii="Arial" w:hAnsi="Arial" w:cs="Arial"/>
        </w:rPr>
        <w:t>analyse</w:t>
      </w:r>
      <w:proofErr w:type="spellEnd"/>
      <w:r w:rsidRPr="003F2648">
        <w:rPr>
          <w:rFonts w:ascii="Arial" w:hAnsi="Arial" w:cs="Arial"/>
        </w:rPr>
        <w:t xml:space="preserve"> industry-specific growth trends before making investment decisions.</w:t>
      </w:r>
    </w:p>
    <w:p w14:paraId="65DBEFDE" w14:textId="77777777" w:rsidR="005936CB" w:rsidRPr="003F2648" w:rsidRDefault="005936CB" w:rsidP="005936CB">
      <w:pPr>
        <w:jc w:val="both"/>
        <w:rPr>
          <w:rFonts w:ascii="Arial" w:hAnsi="Arial" w:cs="Arial"/>
          <w:b/>
          <w:bCs/>
          <w:sz w:val="22"/>
          <w:szCs w:val="22"/>
        </w:rPr>
      </w:pPr>
      <w:r>
        <w:rPr>
          <w:rFonts w:ascii="Arial" w:hAnsi="Arial" w:cs="Arial"/>
          <w:b/>
          <w:bCs/>
        </w:rPr>
        <w:t xml:space="preserve">6. </w:t>
      </w:r>
      <w:r w:rsidRPr="003F2648">
        <w:rPr>
          <w:rFonts w:ascii="Arial" w:hAnsi="Arial" w:cs="Arial"/>
          <w:b/>
          <w:bCs/>
        </w:rPr>
        <w:t xml:space="preserve">4 </w:t>
      </w:r>
      <w:r w:rsidRPr="003F2648">
        <w:rPr>
          <w:rFonts w:ascii="Arial" w:hAnsi="Arial" w:cs="Arial"/>
          <w:b/>
          <w:bCs/>
          <w:sz w:val="22"/>
          <w:szCs w:val="22"/>
        </w:rPr>
        <w:t>Volatility Analysis: Assessing the Risk Factor of High P/E Stocks</w:t>
      </w:r>
    </w:p>
    <w:p w14:paraId="418E0412" w14:textId="0365D1E5" w:rsidR="005936CB" w:rsidRPr="003F2648" w:rsidRDefault="005936CB" w:rsidP="005936CB">
      <w:pPr>
        <w:jc w:val="both"/>
        <w:rPr>
          <w:rFonts w:ascii="Arial" w:hAnsi="Arial" w:cs="Arial"/>
          <w:b/>
          <w:bCs/>
        </w:rPr>
      </w:pPr>
      <w:r w:rsidRPr="003F2648">
        <w:rPr>
          <w:rFonts w:ascii="Arial" w:hAnsi="Arial" w:cs="Arial"/>
          <w:b/>
          <w:bCs/>
        </w:rPr>
        <w:t>Table 4</w:t>
      </w:r>
      <w:r w:rsidR="00FC389A">
        <w:rPr>
          <w:rFonts w:ascii="Arial" w:hAnsi="Arial" w:cs="Arial"/>
          <w:b/>
          <w:bCs/>
        </w:rPr>
        <w:t xml:space="preserve">: </w:t>
      </w:r>
      <w:r w:rsidR="00FC389A" w:rsidRPr="003F2648">
        <w:rPr>
          <w:rFonts w:ascii="Arial" w:hAnsi="Arial" w:cs="Arial"/>
          <w:b/>
          <w:bCs/>
        </w:rPr>
        <w:t>Interpretation</w:t>
      </w:r>
      <w:r w:rsidR="00FC389A">
        <w:rPr>
          <w:rFonts w:ascii="Arial" w:hAnsi="Arial" w:cs="Arial"/>
          <w:b/>
          <w:bCs/>
        </w:rPr>
        <w:t xml:space="preserve"> of </w:t>
      </w:r>
      <w:r w:rsidR="00FC389A" w:rsidRPr="003F2648">
        <w:rPr>
          <w:rFonts w:ascii="Arial" w:hAnsi="Arial" w:cs="Arial"/>
          <w:b/>
          <w:bCs/>
          <w:sz w:val="22"/>
          <w:szCs w:val="22"/>
        </w:rPr>
        <w:t>Volatility Analysis</w:t>
      </w:r>
      <w:r w:rsidR="00860E7A">
        <w:rPr>
          <w:rFonts w:ascii="Arial" w:hAnsi="Arial" w:cs="Arial"/>
          <w:b/>
          <w:bCs/>
          <w:sz w:val="22"/>
          <w:szCs w:val="22"/>
        </w:rPr>
        <w:t xml:space="preserve"> </w:t>
      </w:r>
      <w:r w:rsidR="00FC389A">
        <w:rPr>
          <w:rFonts w:ascii="Arial" w:hAnsi="Arial" w:cs="Arial"/>
          <w:b/>
          <w:bCs/>
          <w:sz w:val="22"/>
          <w:szCs w:val="22"/>
        </w:rPr>
        <w:t>outcome</w:t>
      </w:r>
    </w:p>
    <w:tbl>
      <w:tblPr>
        <w:tblStyle w:val="TableGrid"/>
        <w:tblW w:w="0" w:type="auto"/>
        <w:tblLook w:val="04A0" w:firstRow="1" w:lastRow="0" w:firstColumn="1" w:lastColumn="0" w:noHBand="0" w:noVBand="1"/>
      </w:tblPr>
      <w:tblGrid>
        <w:gridCol w:w="1449"/>
        <w:gridCol w:w="2461"/>
        <w:gridCol w:w="4288"/>
      </w:tblGrid>
      <w:tr w:rsidR="005936CB" w:rsidRPr="003F2648" w14:paraId="535072A3" w14:textId="77777777" w:rsidTr="0086104F">
        <w:tc>
          <w:tcPr>
            <w:tcW w:w="1555" w:type="dxa"/>
          </w:tcPr>
          <w:p w14:paraId="003EFA03" w14:textId="77777777" w:rsidR="005936CB" w:rsidRPr="003F2648" w:rsidRDefault="005936CB" w:rsidP="0086104F">
            <w:pPr>
              <w:jc w:val="both"/>
              <w:rPr>
                <w:rFonts w:ascii="Arial" w:hAnsi="Arial" w:cs="Arial"/>
                <w:b/>
                <w:bCs/>
                <w:sz w:val="20"/>
                <w:szCs w:val="20"/>
              </w:rPr>
            </w:pPr>
            <w:r w:rsidRPr="003F2648">
              <w:rPr>
                <w:rFonts w:ascii="Arial" w:hAnsi="Arial" w:cs="Arial"/>
                <w:b/>
                <w:bCs/>
                <w:sz w:val="20"/>
                <w:szCs w:val="20"/>
              </w:rPr>
              <w:t>Time Period</w:t>
            </w:r>
          </w:p>
        </w:tc>
        <w:tc>
          <w:tcPr>
            <w:tcW w:w="2693" w:type="dxa"/>
          </w:tcPr>
          <w:p w14:paraId="0B0A05E8" w14:textId="77777777" w:rsidR="005936CB" w:rsidRPr="003F2648" w:rsidRDefault="005936CB" w:rsidP="0086104F">
            <w:pPr>
              <w:jc w:val="both"/>
              <w:rPr>
                <w:rFonts w:ascii="Arial" w:hAnsi="Arial" w:cs="Arial"/>
                <w:b/>
                <w:bCs/>
                <w:sz w:val="20"/>
                <w:szCs w:val="20"/>
              </w:rPr>
            </w:pPr>
            <w:r w:rsidRPr="003F2648">
              <w:rPr>
                <w:rFonts w:ascii="Arial" w:hAnsi="Arial" w:cs="Arial"/>
                <w:b/>
                <w:bCs/>
                <w:sz w:val="20"/>
                <w:szCs w:val="20"/>
              </w:rPr>
              <w:t>Standard Deviation (%)</w:t>
            </w:r>
          </w:p>
        </w:tc>
        <w:tc>
          <w:tcPr>
            <w:tcW w:w="4768" w:type="dxa"/>
          </w:tcPr>
          <w:p w14:paraId="1A914D55" w14:textId="77777777" w:rsidR="005936CB" w:rsidRPr="003F2648" w:rsidRDefault="005936CB" w:rsidP="0086104F">
            <w:pPr>
              <w:jc w:val="both"/>
              <w:rPr>
                <w:rFonts w:ascii="Arial" w:hAnsi="Arial" w:cs="Arial"/>
                <w:b/>
                <w:bCs/>
                <w:sz w:val="20"/>
                <w:szCs w:val="20"/>
              </w:rPr>
            </w:pPr>
            <w:r w:rsidRPr="003F2648">
              <w:rPr>
                <w:rFonts w:ascii="Arial" w:hAnsi="Arial" w:cs="Arial"/>
                <w:b/>
                <w:bCs/>
                <w:sz w:val="20"/>
                <w:szCs w:val="20"/>
              </w:rPr>
              <w:t>Interpretation</w:t>
            </w:r>
          </w:p>
        </w:tc>
      </w:tr>
      <w:tr w:rsidR="005936CB" w:rsidRPr="003F2648" w14:paraId="3CDEE4CC" w14:textId="77777777" w:rsidTr="0086104F">
        <w:tc>
          <w:tcPr>
            <w:tcW w:w="1555" w:type="dxa"/>
          </w:tcPr>
          <w:p w14:paraId="504AADB8" w14:textId="77777777" w:rsidR="005936CB" w:rsidRPr="003F2648" w:rsidRDefault="005936CB" w:rsidP="0086104F">
            <w:pPr>
              <w:jc w:val="both"/>
              <w:rPr>
                <w:rFonts w:ascii="Arial" w:hAnsi="Arial" w:cs="Arial"/>
                <w:sz w:val="20"/>
                <w:szCs w:val="20"/>
              </w:rPr>
            </w:pPr>
            <w:r w:rsidRPr="003F2648">
              <w:rPr>
                <w:rFonts w:ascii="Arial" w:hAnsi="Arial" w:cs="Arial"/>
                <w:sz w:val="20"/>
                <w:szCs w:val="20"/>
              </w:rPr>
              <w:t>1-Year</w:t>
            </w:r>
          </w:p>
        </w:tc>
        <w:tc>
          <w:tcPr>
            <w:tcW w:w="2693" w:type="dxa"/>
          </w:tcPr>
          <w:p w14:paraId="5BF74D8D" w14:textId="77777777" w:rsidR="005936CB" w:rsidRPr="003F2648" w:rsidRDefault="005936CB" w:rsidP="0086104F">
            <w:pPr>
              <w:jc w:val="both"/>
              <w:rPr>
                <w:rFonts w:ascii="Arial" w:hAnsi="Arial" w:cs="Arial"/>
                <w:sz w:val="20"/>
                <w:szCs w:val="20"/>
              </w:rPr>
            </w:pPr>
            <w:r w:rsidRPr="003F2648">
              <w:rPr>
                <w:rFonts w:ascii="Arial" w:hAnsi="Arial" w:cs="Arial"/>
                <w:sz w:val="20"/>
                <w:szCs w:val="20"/>
              </w:rPr>
              <w:t>27.4%</w:t>
            </w:r>
          </w:p>
        </w:tc>
        <w:tc>
          <w:tcPr>
            <w:tcW w:w="4768" w:type="dxa"/>
          </w:tcPr>
          <w:p w14:paraId="3966EEAB" w14:textId="77777777" w:rsidR="005936CB" w:rsidRPr="003F2648" w:rsidRDefault="005936CB" w:rsidP="0086104F">
            <w:pPr>
              <w:jc w:val="both"/>
              <w:rPr>
                <w:rFonts w:ascii="Arial" w:hAnsi="Arial" w:cs="Arial"/>
                <w:sz w:val="20"/>
                <w:szCs w:val="20"/>
              </w:rPr>
            </w:pPr>
            <w:r w:rsidRPr="003F2648">
              <w:rPr>
                <w:rFonts w:ascii="Arial" w:hAnsi="Arial" w:cs="Arial"/>
                <w:sz w:val="20"/>
                <w:szCs w:val="20"/>
              </w:rPr>
              <w:t>High short-term risk; significant fluctuations expected</w:t>
            </w:r>
          </w:p>
        </w:tc>
      </w:tr>
      <w:tr w:rsidR="005936CB" w:rsidRPr="003F2648" w14:paraId="3304D68E" w14:textId="77777777" w:rsidTr="0086104F">
        <w:tc>
          <w:tcPr>
            <w:tcW w:w="1555" w:type="dxa"/>
          </w:tcPr>
          <w:p w14:paraId="4DFC354F" w14:textId="77777777" w:rsidR="005936CB" w:rsidRPr="003F2648" w:rsidRDefault="005936CB" w:rsidP="0086104F">
            <w:pPr>
              <w:jc w:val="both"/>
              <w:rPr>
                <w:rFonts w:ascii="Arial" w:hAnsi="Arial" w:cs="Arial"/>
                <w:sz w:val="20"/>
                <w:szCs w:val="20"/>
              </w:rPr>
            </w:pPr>
            <w:r w:rsidRPr="003F2648">
              <w:rPr>
                <w:rFonts w:ascii="Arial" w:hAnsi="Arial" w:cs="Arial"/>
                <w:sz w:val="20"/>
                <w:szCs w:val="20"/>
              </w:rPr>
              <w:t>3-Year</w:t>
            </w:r>
          </w:p>
        </w:tc>
        <w:tc>
          <w:tcPr>
            <w:tcW w:w="2693" w:type="dxa"/>
          </w:tcPr>
          <w:p w14:paraId="5F95F150" w14:textId="77777777" w:rsidR="005936CB" w:rsidRPr="003F2648" w:rsidRDefault="005936CB" w:rsidP="0086104F">
            <w:pPr>
              <w:spacing w:line="360" w:lineRule="auto"/>
              <w:jc w:val="both"/>
              <w:rPr>
                <w:rFonts w:ascii="Arial" w:hAnsi="Arial" w:cs="Arial"/>
                <w:sz w:val="20"/>
                <w:szCs w:val="20"/>
              </w:rPr>
            </w:pPr>
            <w:r w:rsidRPr="003F2648">
              <w:rPr>
                <w:rFonts w:ascii="Arial" w:hAnsi="Arial" w:cs="Arial"/>
                <w:sz w:val="20"/>
                <w:szCs w:val="20"/>
              </w:rPr>
              <w:t>96.7%</w:t>
            </w:r>
          </w:p>
        </w:tc>
        <w:tc>
          <w:tcPr>
            <w:tcW w:w="4768" w:type="dxa"/>
          </w:tcPr>
          <w:p w14:paraId="16576D32" w14:textId="77777777" w:rsidR="005936CB" w:rsidRPr="003F2648" w:rsidRDefault="005936CB" w:rsidP="0086104F">
            <w:pPr>
              <w:jc w:val="both"/>
              <w:rPr>
                <w:rFonts w:ascii="Arial" w:hAnsi="Arial" w:cs="Arial"/>
                <w:sz w:val="20"/>
                <w:szCs w:val="20"/>
              </w:rPr>
            </w:pPr>
            <w:r w:rsidRPr="003F2648">
              <w:rPr>
                <w:rFonts w:ascii="Arial" w:hAnsi="Arial" w:cs="Arial"/>
                <w:sz w:val="20"/>
                <w:szCs w:val="20"/>
              </w:rPr>
              <w:t>Very high medium-term volatility; risk increases with time</w:t>
            </w:r>
          </w:p>
        </w:tc>
      </w:tr>
      <w:tr w:rsidR="005936CB" w:rsidRPr="003F2648" w14:paraId="592B7E42" w14:textId="77777777" w:rsidTr="0086104F">
        <w:tc>
          <w:tcPr>
            <w:tcW w:w="1555" w:type="dxa"/>
          </w:tcPr>
          <w:p w14:paraId="5BA7D2B0" w14:textId="77777777" w:rsidR="005936CB" w:rsidRPr="003F2648" w:rsidRDefault="005936CB" w:rsidP="0086104F">
            <w:pPr>
              <w:jc w:val="both"/>
              <w:rPr>
                <w:rFonts w:ascii="Arial" w:hAnsi="Arial" w:cs="Arial"/>
                <w:sz w:val="20"/>
                <w:szCs w:val="20"/>
              </w:rPr>
            </w:pPr>
            <w:r w:rsidRPr="003F2648">
              <w:rPr>
                <w:rFonts w:ascii="Arial" w:hAnsi="Arial" w:cs="Arial"/>
                <w:sz w:val="20"/>
                <w:szCs w:val="20"/>
              </w:rPr>
              <w:t>5-Year</w:t>
            </w:r>
          </w:p>
        </w:tc>
        <w:tc>
          <w:tcPr>
            <w:tcW w:w="2693" w:type="dxa"/>
          </w:tcPr>
          <w:p w14:paraId="504A8041" w14:textId="77777777" w:rsidR="005936CB" w:rsidRPr="003F2648" w:rsidRDefault="005936CB" w:rsidP="0086104F">
            <w:pPr>
              <w:jc w:val="both"/>
              <w:rPr>
                <w:rFonts w:ascii="Arial" w:hAnsi="Arial" w:cs="Arial"/>
                <w:sz w:val="20"/>
                <w:szCs w:val="20"/>
              </w:rPr>
            </w:pPr>
            <w:r w:rsidRPr="003F2648">
              <w:rPr>
                <w:rFonts w:ascii="Arial" w:hAnsi="Arial" w:cs="Arial"/>
                <w:sz w:val="20"/>
                <w:szCs w:val="20"/>
              </w:rPr>
              <w:t>309.2%</w:t>
            </w:r>
          </w:p>
        </w:tc>
        <w:tc>
          <w:tcPr>
            <w:tcW w:w="4768" w:type="dxa"/>
          </w:tcPr>
          <w:p w14:paraId="5527210B" w14:textId="77777777" w:rsidR="005936CB" w:rsidRPr="003F2648" w:rsidRDefault="005936CB" w:rsidP="0086104F">
            <w:pPr>
              <w:jc w:val="both"/>
              <w:rPr>
                <w:rFonts w:ascii="Arial" w:hAnsi="Arial" w:cs="Arial"/>
                <w:sz w:val="20"/>
                <w:szCs w:val="20"/>
              </w:rPr>
            </w:pPr>
            <w:r w:rsidRPr="003F2648">
              <w:rPr>
                <w:rFonts w:ascii="Arial" w:hAnsi="Arial" w:cs="Arial"/>
                <w:sz w:val="20"/>
                <w:szCs w:val="20"/>
              </w:rPr>
              <w:t>Extreme long-term volatility; requires strong risk tolerance</w:t>
            </w:r>
          </w:p>
        </w:tc>
      </w:tr>
    </w:tbl>
    <w:p w14:paraId="74978CF4" w14:textId="77777777" w:rsidR="005936CB" w:rsidRPr="003F2648" w:rsidRDefault="005936CB" w:rsidP="005936CB">
      <w:pPr>
        <w:jc w:val="both"/>
        <w:rPr>
          <w:rFonts w:ascii="Arial" w:hAnsi="Arial" w:cs="Arial"/>
          <w:i/>
          <w:iCs/>
        </w:rPr>
      </w:pPr>
      <w:r w:rsidRPr="003F2648">
        <w:rPr>
          <w:rFonts w:ascii="Arial" w:hAnsi="Arial" w:cs="Arial"/>
          <w:i/>
          <w:iCs/>
        </w:rPr>
        <w:t>Source: Computed by the Researcher</w:t>
      </w:r>
    </w:p>
    <w:p w14:paraId="75076AD1" w14:textId="77777777" w:rsidR="005936CB" w:rsidRPr="003F2648" w:rsidRDefault="005936CB" w:rsidP="005936CB">
      <w:pPr>
        <w:jc w:val="both"/>
        <w:rPr>
          <w:rFonts w:ascii="Arial" w:hAnsi="Arial" w:cs="Arial"/>
        </w:rPr>
      </w:pPr>
      <w:r w:rsidRPr="003F2648">
        <w:rPr>
          <w:rFonts w:ascii="Arial" w:hAnsi="Arial" w:cs="Arial"/>
        </w:rPr>
        <w:t>One of the biggest concerns regarding high P/E stocks is their potential for higher volatility. The standard deviation of stock returns was measured over different time periods to assess risk levels. The results showed that:</w:t>
      </w:r>
    </w:p>
    <w:p w14:paraId="3899CFA2" w14:textId="77777777" w:rsidR="005936CB" w:rsidRPr="003F2648" w:rsidRDefault="005936CB" w:rsidP="005936CB">
      <w:pPr>
        <w:ind w:left="720"/>
        <w:jc w:val="both"/>
        <w:rPr>
          <w:rFonts w:ascii="Arial" w:hAnsi="Arial" w:cs="Arial"/>
        </w:rPr>
      </w:pPr>
      <w:r w:rsidRPr="003F2648">
        <w:rPr>
          <w:rFonts w:ascii="Arial" w:hAnsi="Arial" w:cs="Arial"/>
        </w:rPr>
        <w:t>1-Year Returns had a standard deviation of 27.4%, indicating high short-term risk.</w:t>
      </w:r>
    </w:p>
    <w:p w14:paraId="7FBF4F7E" w14:textId="77777777" w:rsidR="005936CB" w:rsidRPr="003F2648" w:rsidRDefault="005936CB" w:rsidP="005936CB">
      <w:pPr>
        <w:ind w:left="720"/>
        <w:jc w:val="both"/>
        <w:rPr>
          <w:rFonts w:ascii="Arial" w:hAnsi="Arial" w:cs="Arial"/>
        </w:rPr>
      </w:pPr>
      <w:r w:rsidRPr="003F2648">
        <w:rPr>
          <w:rFonts w:ascii="Arial" w:hAnsi="Arial" w:cs="Arial"/>
        </w:rPr>
        <w:t>3-Year Returns had a standard deviation of 96.7%, showing increased volatility over time.</w:t>
      </w:r>
    </w:p>
    <w:p w14:paraId="69598636" w14:textId="77777777" w:rsidR="005936CB" w:rsidRPr="003F2648" w:rsidRDefault="005936CB" w:rsidP="005936CB">
      <w:pPr>
        <w:ind w:left="720"/>
        <w:jc w:val="both"/>
        <w:rPr>
          <w:rFonts w:ascii="Arial" w:hAnsi="Arial" w:cs="Arial"/>
        </w:rPr>
      </w:pPr>
      <w:r w:rsidRPr="003F2648">
        <w:rPr>
          <w:rFonts w:ascii="Arial" w:hAnsi="Arial" w:cs="Arial"/>
        </w:rPr>
        <w:t>5-Year Returns had a significantly high standard deviation of 309.2%, confirming extreme fluctuations in long-term stock performance.</w:t>
      </w:r>
    </w:p>
    <w:p w14:paraId="2A7EC61F" w14:textId="77777777" w:rsidR="005936CB" w:rsidRPr="003F2648" w:rsidRDefault="005936CB" w:rsidP="005936CB">
      <w:pPr>
        <w:jc w:val="both"/>
        <w:rPr>
          <w:rFonts w:ascii="Arial" w:hAnsi="Arial" w:cs="Arial"/>
        </w:rPr>
      </w:pPr>
      <w:r w:rsidRPr="003F2648">
        <w:rPr>
          <w:rFonts w:ascii="Arial" w:hAnsi="Arial" w:cs="Arial"/>
        </w:rPr>
        <w:t>This analysis suggests that high P/E stocks come with substantial risk, especially over longer investment periods. Investors who opt for high P/E stocks should have a higher risk tolerance and be prepared for short-term fluctuations while focusing on long-term gains.</w:t>
      </w:r>
    </w:p>
    <w:p w14:paraId="5C835A71" w14:textId="77777777" w:rsidR="005936CB" w:rsidRPr="003F2648" w:rsidRDefault="005936CB" w:rsidP="005936CB">
      <w:pPr>
        <w:jc w:val="both"/>
        <w:rPr>
          <w:rFonts w:ascii="Arial" w:hAnsi="Arial" w:cs="Arial"/>
          <w:b/>
          <w:bCs/>
        </w:rPr>
      </w:pPr>
      <w:r>
        <w:rPr>
          <w:rFonts w:ascii="Arial" w:hAnsi="Arial" w:cs="Arial"/>
          <w:b/>
          <w:bCs/>
        </w:rPr>
        <w:t xml:space="preserve">7. </w:t>
      </w:r>
      <w:r w:rsidRPr="003F2648">
        <w:rPr>
          <w:rFonts w:ascii="Arial" w:hAnsi="Arial" w:cs="Arial"/>
          <w:b/>
          <w:bCs/>
        </w:rPr>
        <w:t>INVESTMENT STRATEGY RECOMMENDATIONS</w:t>
      </w:r>
    </w:p>
    <w:p w14:paraId="36319052" w14:textId="77777777" w:rsidR="005936CB" w:rsidRPr="003F2648" w:rsidRDefault="005936CB" w:rsidP="005936CB">
      <w:pPr>
        <w:jc w:val="both"/>
        <w:rPr>
          <w:rFonts w:ascii="Arial" w:hAnsi="Arial" w:cs="Arial"/>
        </w:rPr>
      </w:pPr>
      <w:r w:rsidRPr="003F2648">
        <w:rPr>
          <w:rFonts w:ascii="Arial" w:hAnsi="Arial" w:cs="Arial"/>
        </w:rPr>
        <w:t>Based on the findings of this study, investment strategies should be tailored based on time horizon, sectoral trends, and risk tolerance. The results highlight that high P/E stocks are not inherently poor investments; rather, their performance depends on market conditions and sectoral growth potential.</w:t>
      </w:r>
    </w:p>
    <w:p w14:paraId="267A6984" w14:textId="77777777" w:rsidR="005936CB" w:rsidRPr="003F2648" w:rsidRDefault="005936CB" w:rsidP="005936CB">
      <w:pPr>
        <w:jc w:val="both"/>
        <w:rPr>
          <w:rFonts w:ascii="Arial" w:hAnsi="Arial" w:cs="Arial"/>
          <w:b/>
          <w:bCs/>
          <w:sz w:val="22"/>
          <w:szCs w:val="22"/>
        </w:rPr>
      </w:pPr>
      <w:r>
        <w:rPr>
          <w:rFonts w:ascii="Arial" w:hAnsi="Arial" w:cs="Arial"/>
          <w:b/>
          <w:bCs/>
        </w:rPr>
        <w:t xml:space="preserve">7. </w:t>
      </w:r>
      <w:r w:rsidRPr="003F2648">
        <w:rPr>
          <w:rFonts w:ascii="Arial" w:hAnsi="Arial" w:cs="Arial"/>
          <w:b/>
          <w:bCs/>
        </w:rPr>
        <w:t xml:space="preserve">1 </w:t>
      </w:r>
      <w:r w:rsidRPr="003F2648">
        <w:rPr>
          <w:rFonts w:ascii="Arial" w:hAnsi="Arial" w:cs="Arial"/>
          <w:b/>
          <w:bCs/>
          <w:sz w:val="22"/>
          <w:szCs w:val="22"/>
        </w:rPr>
        <w:t>For Short-Term Investors (1-3 Years)</w:t>
      </w:r>
    </w:p>
    <w:p w14:paraId="412EAA9F" w14:textId="77777777" w:rsidR="005936CB" w:rsidRPr="003F2648" w:rsidRDefault="005936CB" w:rsidP="005936CB">
      <w:pPr>
        <w:jc w:val="both"/>
        <w:rPr>
          <w:rFonts w:ascii="Arial" w:hAnsi="Arial" w:cs="Arial"/>
        </w:rPr>
      </w:pPr>
      <w:r w:rsidRPr="003F2648">
        <w:rPr>
          <w:rFonts w:ascii="Arial" w:hAnsi="Arial" w:cs="Arial"/>
        </w:rPr>
        <w:t>High P/E stocks show weak or no correlation with short-term returns, making them less reliable for short-term investing. Instead, short-term investors should focus on:</w:t>
      </w:r>
    </w:p>
    <w:p w14:paraId="36545C0C" w14:textId="77777777" w:rsidR="005936CB" w:rsidRPr="003F2648" w:rsidRDefault="005936CB" w:rsidP="005936CB">
      <w:pPr>
        <w:jc w:val="both"/>
        <w:rPr>
          <w:rFonts w:ascii="Arial" w:hAnsi="Arial" w:cs="Arial"/>
        </w:rPr>
      </w:pPr>
      <w:r w:rsidRPr="003F2648">
        <w:rPr>
          <w:rFonts w:ascii="Arial" w:hAnsi="Arial" w:cs="Arial"/>
        </w:rPr>
        <w:t>Momentum Indicators: Prioritize stocks with strong earnings growth, market trends, and trading volume.</w:t>
      </w:r>
    </w:p>
    <w:p w14:paraId="5D5BFA5F" w14:textId="77777777" w:rsidR="005936CB" w:rsidRPr="003F2648" w:rsidRDefault="005936CB" w:rsidP="005936CB">
      <w:pPr>
        <w:jc w:val="both"/>
        <w:rPr>
          <w:rFonts w:ascii="Arial" w:hAnsi="Arial" w:cs="Arial"/>
        </w:rPr>
      </w:pPr>
      <w:r w:rsidRPr="003F2648">
        <w:rPr>
          <w:rFonts w:ascii="Arial" w:hAnsi="Arial" w:cs="Arial"/>
        </w:rPr>
        <w:t>Sectoral Stability: Favor low-to-medium P/E stocks in stable sectors like Financial Services, Utilities, and Industrial Goods, which exhibit lower volatility.</w:t>
      </w:r>
    </w:p>
    <w:p w14:paraId="2CA0E954" w14:textId="77777777" w:rsidR="005936CB" w:rsidRPr="003F2648" w:rsidRDefault="005936CB" w:rsidP="005936CB">
      <w:pPr>
        <w:jc w:val="both"/>
        <w:rPr>
          <w:rFonts w:ascii="Arial" w:hAnsi="Arial" w:cs="Arial"/>
        </w:rPr>
      </w:pPr>
      <w:r w:rsidRPr="003F2648">
        <w:rPr>
          <w:rFonts w:ascii="Arial" w:hAnsi="Arial" w:cs="Arial"/>
        </w:rPr>
        <w:t>Market Sentiment &amp; Macroeconomic Trends: Short-term price movements are driven by news, earnings reports, and economic policies, rather than just valuation multiples.</w:t>
      </w:r>
    </w:p>
    <w:p w14:paraId="3423F4B0" w14:textId="77777777" w:rsidR="005936CB" w:rsidRPr="003F2648" w:rsidRDefault="005936CB" w:rsidP="005936CB">
      <w:pPr>
        <w:jc w:val="both"/>
        <w:rPr>
          <w:rFonts w:ascii="Arial" w:hAnsi="Arial" w:cs="Arial"/>
          <w:b/>
          <w:bCs/>
          <w:sz w:val="22"/>
          <w:szCs w:val="22"/>
        </w:rPr>
      </w:pPr>
      <w:proofErr w:type="gramStart"/>
      <w:r>
        <w:rPr>
          <w:rFonts w:ascii="Arial" w:hAnsi="Arial" w:cs="Arial"/>
          <w:b/>
          <w:bCs/>
        </w:rPr>
        <w:t xml:space="preserve">7.2 </w:t>
      </w:r>
      <w:r w:rsidRPr="003F2648">
        <w:rPr>
          <w:rFonts w:ascii="Arial" w:hAnsi="Arial" w:cs="Arial"/>
          <w:b/>
          <w:bCs/>
        </w:rPr>
        <w:t xml:space="preserve"> </w:t>
      </w:r>
      <w:r w:rsidRPr="003F2648">
        <w:rPr>
          <w:rFonts w:ascii="Arial" w:hAnsi="Arial" w:cs="Arial"/>
          <w:b/>
          <w:bCs/>
          <w:sz w:val="22"/>
          <w:szCs w:val="22"/>
        </w:rPr>
        <w:t>For</w:t>
      </w:r>
      <w:proofErr w:type="gramEnd"/>
      <w:r w:rsidRPr="003F2648">
        <w:rPr>
          <w:rFonts w:ascii="Arial" w:hAnsi="Arial" w:cs="Arial"/>
          <w:b/>
          <w:bCs/>
          <w:sz w:val="22"/>
          <w:szCs w:val="22"/>
        </w:rPr>
        <w:t xml:space="preserve"> Long-Term Investors (5+ Years)</w:t>
      </w:r>
    </w:p>
    <w:p w14:paraId="626ECE1D" w14:textId="77777777" w:rsidR="005936CB" w:rsidRPr="003F2648" w:rsidRDefault="005936CB" w:rsidP="005936CB">
      <w:pPr>
        <w:jc w:val="both"/>
        <w:rPr>
          <w:rFonts w:ascii="Arial" w:hAnsi="Arial" w:cs="Arial"/>
        </w:rPr>
      </w:pPr>
      <w:r w:rsidRPr="003F2648">
        <w:rPr>
          <w:rFonts w:ascii="Arial" w:hAnsi="Arial" w:cs="Arial"/>
        </w:rPr>
        <w:t>Over extended periods, high P/E stocks, especially in growth sectors, tend to outperform. Investors with a long-term horizon should consider:</w:t>
      </w:r>
    </w:p>
    <w:p w14:paraId="4FE627FE" w14:textId="77777777" w:rsidR="005936CB" w:rsidRPr="003F2648" w:rsidRDefault="005936CB" w:rsidP="005936CB">
      <w:pPr>
        <w:jc w:val="both"/>
        <w:rPr>
          <w:rFonts w:ascii="Arial" w:hAnsi="Arial" w:cs="Arial"/>
        </w:rPr>
      </w:pPr>
      <w:r w:rsidRPr="003F2648">
        <w:rPr>
          <w:rFonts w:ascii="Arial" w:hAnsi="Arial" w:cs="Arial"/>
        </w:rPr>
        <w:t>Growth-Oriented Sectors: High P/E stocks in Technology and FMCG have consistent revenue expansion, strong competitive advantages, and long-term profitability.</w:t>
      </w:r>
    </w:p>
    <w:p w14:paraId="4B9925F9" w14:textId="77777777" w:rsidR="005936CB" w:rsidRPr="003F2648" w:rsidRDefault="005936CB" w:rsidP="005936CB">
      <w:pPr>
        <w:jc w:val="both"/>
        <w:rPr>
          <w:rFonts w:ascii="Arial" w:hAnsi="Arial" w:cs="Arial"/>
        </w:rPr>
      </w:pPr>
      <w:r w:rsidRPr="003F2648">
        <w:rPr>
          <w:rFonts w:ascii="Arial" w:hAnsi="Arial" w:cs="Arial"/>
        </w:rPr>
        <w:t>Diversification: Balance high-growth stocks with value stocks to reduce risk exposure.</w:t>
      </w:r>
    </w:p>
    <w:p w14:paraId="4D528E1C" w14:textId="77777777" w:rsidR="005936CB" w:rsidRPr="003F2648" w:rsidRDefault="005936CB" w:rsidP="005936CB">
      <w:pPr>
        <w:jc w:val="both"/>
        <w:rPr>
          <w:rFonts w:ascii="Arial" w:hAnsi="Arial" w:cs="Arial"/>
        </w:rPr>
      </w:pPr>
      <w:r w:rsidRPr="003F2648">
        <w:rPr>
          <w:rFonts w:ascii="Arial" w:hAnsi="Arial" w:cs="Arial"/>
        </w:rPr>
        <w:t>Fundamental Analysis: Evaluate factors like earnings growth, cash flow stability, and industry outlook to ensure that a high P/E stock is backed by strong fundamentals.</w:t>
      </w:r>
    </w:p>
    <w:p w14:paraId="73229B0A" w14:textId="77777777" w:rsidR="005936CB" w:rsidRPr="003F2648" w:rsidRDefault="005936CB" w:rsidP="005936CB">
      <w:pPr>
        <w:jc w:val="both"/>
        <w:rPr>
          <w:rFonts w:ascii="Arial" w:hAnsi="Arial" w:cs="Arial"/>
          <w:b/>
          <w:bCs/>
          <w:sz w:val="22"/>
          <w:szCs w:val="22"/>
        </w:rPr>
      </w:pPr>
      <w:r>
        <w:rPr>
          <w:rFonts w:ascii="Arial" w:hAnsi="Arial" w:cs="Arial"/>
          <w:b/>
          <w:bCs/>
        </w:rPr>
        <w:t xml:space="preserve">7. </w:t>
      </w:r>
      <w:r w:rsidRPr="003F2648">
        <w:rPr>
          <w:rFonts w:ascii="Arial" w:hAnsi="Arial" w:cs="Arial"/>
          <w:b/>
          <w:bCs/>
        </w:rPr>
        <w:t>3</w:t>
      </w:r>
      <w:r w:rsidRPr="003F2648">
        <w:rPr>
          <w:rFonts w:ascii="Arial" w:hAnsi="Arial" w:cs="Arial"/>
          <w:b/>
          <w:bCs/>
          <w:sz w:val="22"/>
          <w:szCs w:val="22"/>
        </w:rPr>
        <w:t xml:space="preserve"> Risk Management Strategies</w:t>
      </w:r>
    </w:p>
    <w:p w14:paraId="11A2CACB" w14:textId="77777777" w:rsidR="005936CB" w:rsidRPr="003F2648" w:rsidRDefault="005936CB" w:rsidP="005936CB">
      <w:pPr>
        <w:jc w:val="both"/>
        <w:rPr>
          <w:rFonts w:ascii="Arial" w:hAnsi="Arial" w:cs="Arial"/>
        </w:rPr>
      </w:pPr>
      <w:r w:rsidRPr="003F2648">
        <w:rPr>
          <w:rFonts w:ascii="Arial" w:hAnsi="Arial" w:cs="Arial"/>
        </w:rPr>
        <w:t>High P/E stocks exhibit higher volatility, requiring risk management strategies to optimize returns. Investors should:</w:t>
      </w:r>
    </w:p>
    <w:p w14:paraId="2D4A8079" w14:textId="77777777" w:rsidR="005936CB" w:rsidRPr="003F2648" w:rsidRDefault="005936CB" w:rsidP="005936CB">
      <w:pPr>
        <w:jc w:val="both"/>
        <w:rPr>
          <w:rFonts w:ascii="Arial" w:hAnsi="Arial" w:cs="Arial"/>
        </w:rPr>
      </w:pPr>
      <w:r w:rsidRPr="003F2648">
        <w:rPr>
          <w:rFonts w:ascii="Arial" w:hAnsi="Arial" w:cs="Arial"/>
        </w:rPr>
        <w:lastRenderedPageBreak/>
        <w:t>Monitor Market Cycles: During economic downturns, value stocks (low P/E) perform better, while high P/E stocks may experience significant corrections.</w:t>
      </w:r>
    </w:p>
    <w:p w14:paraId="1E2F7AAD" w14:textId="77777777" w:rsidR="005936CB" w:rsidRPr="003F2648" w:rsidRDefault="005936CB" w:rsidP="005936CB">
      <w:pPr>
        <w:jc w:val="both"/>
        <w:rPr>
          <w:rFonts w:ascii="Arial" w:hAnsi="Arial" w:cs="Arial"/>
        </w:rPr>
      </w:pPr>
      <w:r w:rsidRPr="003F2648">
        <w:rPr>
          <w:rFonts w:ascii="Arial" w:hAnsi="Arial" w:cs="Arial"/>
        </w:rPr>
        <w:t>Use Stop-Loss Strategies: Set stop-loss limits to minimize downside risks in high P/E investments.</w:t>
      </w:r>
    </w:p>
    <w:p w14:paraId="1E81F4B9" w14:textId="77777777" w:rsidR="005936CB" w:rsidRPr="003F2648" w:rsidRDefault="005936CB" w:rsidP="005936CB">
      <w:pPr>
        <w:jc w:val="both"/>
        <w:rPr>
          <w:rFonts w:ascii="Arial" w:hAnsi="Arial" w:cs="Arial"/>
        </w:rPr>
      </w:pPr>
      <w:r w:rsidRPr="003F2648">
        <w:rPr>
          <w:rFonts w:ascii="Arial" w:hAnsi="Arial" w:cs="Arial"/>
        </w:rPr>
        <w:t>Consider Risk-Adjusted Return Measures: Use Sharpe ratio, Sortino ratio, or beta analysis to compare returns relative to risk exposure.</w:t>
      </w:r>
    </w:p>
    <w:p w14:paraId="7A9627AF" w14:textId="77777777" w:rsidR="005936CB" w:rsidRPr="003F2648" w:rsidRDefault="005936CB" w:rsidP="005936CB">
      <w:pPr>
        <w:jc w:val="both"/>
        <w:rPr>
          <w:rFonts w:ascii="Arial" w:hAnsi="Arial" w:cs="Arial"/>
          <w:b/>
          <w:bCs/>
          <w:sz w:val="22"/>
          <w:szCs w:val="22"/>
        </w:rPr>
      </w:pPr>
      <w:r>
        <w:rPr>
          <w:rFonts w:ascii="Arial" w:hAnsi="Arial" w:cs="Arial"/>
          <w:b/>
          <w:bCs/>
        </w:rPr>
        <w:t xml:space="preserve">7. </w:t>
      </w:r>
      <w:r w:rsidRPr="003F2648">
        <w:rPr>
          <w:rFonts w:ascii="Arial" w:hAnsi="Arial" w:cs="Arial"/>
          <w:b/>
          <w:bCs/>
        </w:rPr>
        <w:t>4</w:t>
      </w:r>
      <w:r w:rsidRPr="003F2648">
        <w:rPr>
          <w:rFonts w:ascii="Arial" w:hAnsi="Arial" w:cs="Arial"/>
          <w:b/>
          <w:bCs/>
          <w:sz w:val="22"/>
          <w:szCs w:val="22"/>
        </w:rPr>
        <w:t xml:space="preserve"> Policy &amp; Market Implications</w:t>
      </w:r>
    </w:p>
    <w:p w14:paraId="6D7D538A" w14:textId="77777777" w:rsidR="005936CB" w:rsidRPr="003F2648" w:rsidRDefault="005936CB" w:rsidP="005936CB">
      <w:pPr>
        <w:jc w:val="both"/>
        <w:rPr>
          <w:rFonts w:ascii="Arial" w:hAnsi="Arial" w:cs="Arial"/>
        </w:rPr>
      </w:pPr>
      <w:r w:rsidRPr="003F2648">
        <w:rPr>
          <w:rFonts w:ascii="Arial" w:hAnsi="Arial" w:cs="Arial"/>
        </w:rPr>
        <w:t>For policymakers, regulators, and institutional investors, this study provides key takeaways:</w:t>
      </w:r>
    </w:p>
    <w:p w14:paraId="7BFAD5C8" w14:textId="77777777" w:rsidR="005936CB" w:rsidRPr="003F2648" w:rsidRDefault="005936CB" w:rsidP="005936CB">
      <w:pPr>
        <w:jc w:val="both"/>
        <w:rPr>
          <w:rFonts w:ascii="Arial" w:hAnsi="Arial" w:cs="Arial"/>
        </w:rPr>
      </w:pPr>
      <w:r w:rsidRPr="003F2648">
        <w:rPr>
          <w:rFonts w:ascii="Arial" w:hAnsi="Arial" w:cs="Arial"/>
        </w:rPr>
        <w:t>Investor Awareness: Regulatory bodies like SEBI and NSE should educate retail investors about sector-specific valuation trends and risk factors.</w:t>
      </w:r>
    </w:p>
    <w:p w14:paraId="60E85536" w14:textId="77777777" w:rsidR="005936CB" w:rsidRPr="003F2648" w:rsidRDefault="005936CB" w:rsidP="005936CB">
      <w:pPr>
        <w:jc w:val="both"/>
        <w:rPr>
          <w:rFonts w:ascii="Arial" w:hAnsi="Arial" w:cs="Arial"/>
        </w:rPr>
      </w:pPr>
      <w:r w:rsidRPr="003F2648">
        <w:rPr>
          <w:rFonts w:ascii="Arial" w:hAnsi="Arial" w:cs="Arial"/>
        </w:rPr>
        <w:t xml:space="preserve">Enhanced Market Models: Investment models should go beyond P/E ratios, incorporating macroeconomic factors and </w:t>
      </w:r>
      <w:proofErr w:type="spellStart"/>
      <w:r w:rsidRPr="003F2648">
        <w:rPr>
          <w:rFonts w:ascii="Arial" w:hAnsi="Arial" w:cs="Arial"/>
        </w:rPr>
        <w:t>behavioural</w:t>
      </w:r>
      <w:proofErr w:type="spellEnd"/>
      <w:r w:rsidRPr="003F2648">
        <w:rPr>
          <w:rFonts w:ascii="Arial" w:hAnsi="Arial" w:cs="Arial"/>
        </w:rPr>
        <w:t xml:space="preserve"> finance insights to create better valuation frameworks.</w:t>
      </w:r>
    </w:p>
    <w:p w14:paraId="4C19E6B0" w14:textId="77777777" w:rsidR="005936CB" w:rsidRPr="003F2648" w:rsidRDefault="005936CB" w:rsidP="005936CB">
      <w:pPr>
        <w:jc w:val="both"/>
        <w:rPr>
          <w:rFonts w:ascii="Arial" w:hAnsi="Arial" w:cs="Arial"/>
          <w:b/>
          <w:bCs/>
          <w:sz w:val="22"/>
          <w:szCs w:val="22"/>
        </w:rPr>
      </w:pPr>
      <w:r>
        <w:rPr>
          <w:rFonts w:ascii="Arial" w:hAnsi="Arial" w:cs="Arial"/>
          <w:b/>
          <w:bCs/>
        </w:rPr>
        <w:t xml:space="preserve">8. </w:t>
      </w:r>
      <w:r w:rsidRPr="003F2648">
        <w:rPr>
          <w:rFonts w:ascii="Arial" w:hAnsi="Arial" w:cs="Arial"/>
          <w:b/>
          <w:bCs/>
        </w:rPr>
        <w:t>FINDINGS</w:t>
      </w:r>
    </w:p>
    <w:p w14:paraId="18B3C143" w14:textId="77777777" w:rsidR="005936CB" w:rsidRPr="003F2648" w:rsidRDefault="005936CB" w:rsidP="005936CB">
      <w:pPr>
        <w:jc w:val="both"/>
        <w:rPr>
          <w:rFonts w:ascii="Arial" w:hAnsi="Arial" w:cs="Arial"/>
        </w:rPr>
      </w:pPr>
      <w:r w:rsidRPr="003F2648">
        <w:rPr>
          <w:rFonts w:ascii="Arial" w:hAnsi="Arial" w:cs="Arial"/>
        </w:rPr>
        <w:t xml:space="preserve">The study aimed to </w:t>
      </w:r>
      <w:proofErr w:type="spellStart"/>
      <w:r w:rsidRPr="003F2648">
        <w:rPr>
          <w:rFonts w:ascii="Arial" w:hAnsi="Arial" w:cs="Arial"/>
        </w:rPr>
        <w:t>analyse</w:t>
      </w:r>
      <w:proofErr w:type="spellEnd"/>
      <w:r w:rsidRPr="003F2648">
        <w:rPr>
          <w:rFonts w:ascii="Arial" w:hAnsi="Arial" w:cs="Arial"/>
        </w:rPr>
        <w:t xml:space="preserve"> whether high Price-to-Earnings (P/E) ratio stocks underperform within the Nifty 50 index over different time horizons. The findings indicate that the relationship between P/E ratio and stock performance is not straightforward and varies depending on the time frame, sectoral factors, and market conditions. In the short term (1 to 3 years), there is little to no correlation between P/E ratios and stock returns. The correlation coefficient for 1-year returns was found to be -0.16, while for 3-year returns, it was -0.03. These results suggest that high P/E stocks do not necessarily underperform in the short term, as their performance is more influenced by market sentiment, macroeconomic conditions, and sectoral trends rather than valuation multiples alone.</w:t>
      </w:r>
    </w:p>
    <w:p w14:paraId="4309DA37" w14:textId="77777777" w:rsidR="005936CB" w:rsidRPr="003F2648" w:rsidRDefault="005936CB" w:rsidP="005936CB">
      <w:pPr>
        <w:jc w:val="both"/>
        <w:rPr>
          <w:rFonts w:ascii="Arial" w:hAnsi="Arial" w:cs="Arial"/>
        </w:rPr>
      </w:pPr>
      <w:r w:rsidRPr="003F2648">
        <w:rPr>
          <w:rFonts w:ascii="Arial" w:hAnsi="Arial" w:cs="Arial"/>
        </w:rPr>
        <w:t>However, in the long term (5 years), the relationship between P/E ratio and stock returns becomes more pronounced. A moderate positive correlation (0.48) was found between high P/E stocks and 5-year returns, indicating that growth-oriented stocks with high P/E ratios tend to outperform in the long run. This finding challenges the conventional wisdom that high P/E stocks are always overvalued and prone to underperformance. The regression analysis further supports this conclusion, showing that while the P/E ratio has no predictive power for short-term returns, it explains around 22.9% of the variation in 5-year returns.</w:t>
      </w:r>
    </w:p>
    <w:p w14:paraId="6C0556A1" w14:textId="77777777" w:rsidR="005936CB" w:rsidRPr="003F2648" w:rsidRDefault="005936CB" w:rsidP="005936CB">
      <w:pPr>
        <w:jc w:val="both"/>
        <w:rPr>
          <w:rFonts w:ascii="Arial" w:hAnsi="Arial" w:cs="Arial"/>
        </w:rPr>
      </w:pPr>
      <w:r w:rsidRPr="003F2648">
        <w:rPr>
          <w:rFonts w:ascii="Arial" w:hAnsi="Arial" w:cs="Arial"/>
        </w:rPr>
        <w:t>Sector-wise analysis revealed that different industries exhibit different relationships between P/E ratios and performance. The technology and fast-moving consumer goods (FMCG) sectors, which traditionally have high P/E ratios, continued to perform well over the long run, suggesting that investors are willing to pay a premium for consistent earnings growth. In contrast, cyclical sectors such as energy, metals, and automobiles showed mixed results, with no clear pattern between P/E ratios and returns. Financial services and industrial sectors, which typically have moderate to low P/E ratios, exhibited stable but relatively lower long-term returns.</w:t>
      </w:r>
    </w:p>
    <w:p w14:paraId="23D958D9" w14:textId="77777777" w:rsidR="005936CB" w:rsidRPr="003F2648" w:rsidRDefault="005936CB" w:rsidP="005936CB">
      <w:pPr>
        <w:jc w:val="both"/>
        <w:rPr>
          <w:rFonts w:ascii="Arial" w:hAnsi="Arial" w:cs="Arial"/>
        </w:rPr>
      </w:pPr>
      <w:r w:rsidRPr="003F2648">
        <w:rPr>
          <w:rFonts w:ascii="Arial" w:hAnsi="Arial" w:cs="Arial"/>
        </w:rPr>
        <w:t>Another important aspect of the study was the risk analysis of high P/E stocks. Volatility calculations indicated that high P/E stocks experience greater price fluctuations over time. The standard deviation of 1-year returns was found to be 27.4%, increasing significantly to 96.7% for 3-year returns and 309.2% for 5-year returns. This confirms that while high P/E stocks have the potential to generate superior long-term returns, they also come with greater investment risk, making them less suitable for risk-averse investors.</w:t>
      </w:r>
    </w:p>
    <w:p w14:paraId="64324822" w14:textId="77777777" w:rsidR="005936CB" w:rsidRPr="003F2648" w:rsidRDefault="005936CB" w:rsidP="005936CB">
      <w:pPr>
        <w:jc w:val="both"/>
        <w:rPr>
          <w:rFonts w:ascii="Arial" w:hAnsi="Arial" w:cs="Arial"/>
          <w:b/>
          <w:bCs/>
          <w:sz w:val="22"/>
          <w:szCs w:val="22"/>
        </w:rPr>
      </w:pPr>
      <w:r>
        <w:rPr>
          <w:rFonts w:ascii="Arial" w:hAnsi="Arial" w:cs="Arial"/>
          <w:b/>
          <w:bCs/>
        </w:rPr>
        <w:t xml:space="preserve">9. </w:t>
      </w:r>
      <w:r w:rsidRPr="003F2648">
        <w:rPr>
          <w:rFonts w:ascii="Arial" w:hAnsi="Arial" w:cs="Arial"/>
          <w:b/>
          <w:bCs/>
        </w:rPr>
        <w:t>CONCLUSION</w:t>
      </w:r>
    </w:p>
    <w:p w14:paraId="78062F3E" w14:textId="77777777" w:rsidR="005936CB" w:rsidRPr="003F2648" w:rsidRDefault="005936CB" w:rsidP="005936CB">
      <w:pPr>
        <w:jc w:val="both"/>
        <w:rPr>
          <w:rFonts w:ascii="Arial" w:hAnsi="Arial" w:cs="Arial"/>
        </w:rPr>
      </w:pPr>
      <w:r w:rsidRPr="003F2648">
        <w:rPr>
          <w:rFonts w:ascii="Arial" w:hAnsi="Arial" w:cs="Arial"/>
        </w:rPr>
        <w:t>The study provides a comprehensive evaluation of the performance of high P/E ratio stocks in the Nifty 50 index and challenges the common perception that these stocks always underperform. The findings reveal that P/E ratios alone are not a reliable predictor of stock performance, especially in the short term. The absence of a strong correlation in the short-term results suggests that investors should look beyond the P/E ratio and consider other factors such as earnings growth, macroeconomic conditions, and market sentiment when making investment decisions.</w:t>
      </w:r>
    </w:p>
    <w:p w14:paraId="204F5722" w14:textId="77777777" w:rsidR="005936CB" w:rsidRPr="003F2648" w:rsidRDefault="005936CB" w:rsidP="005936CB">
      <w:pPr>
        <w:jc w:val="both"/>
        <w:rPr>
          <w:rFonts w:ascii="Arial" w:hAnsi="Arial" w:cs="Arial"/>
        </w:rPr>
      </w:pPr>
      <w:r w:rsidRPr="003F2648">
        <w:rPr>
          <w:rFonts w:ascii="Arial" w:hAnsi="Arial" w:cs="Arial"/>
        </w:rPr>
        <w:lastRenderedPageBreak/>
        <w:t>However, in the long term, high P/E stocks tend to deliver stronger returns, particularly in growth-oriented sectors such as technology and FMCG. This suggests that investors who focus on high-growth industries with sustainable earnings potential can benefit from holding high P/E stocks despite their initially expensive valuations. The study also highlights that sectoral factors play a crucial role in determining whether a high P/E stock will perform well, with certain industries justifying high valuations through consistent earnings growth.</w:t>
      </w:r>
    </w:p>
    <w:p w14:paraId="1ECE85B3" w14:textId="77777777" w:rsidR="005936CB" w:rsidRPr="003F2648" w:rsidRDefault="005936CB" w:rsidP="005936CB">
      <w:pPr>
        <w:jc w:val="both"/>
        <w:rPr>
          <w:rFonts w:ascii="Arial" w:hAnsi="Arial" w:cs="Arial"/>
        </w:rPr>
      </w:pPr>
      <w:r w:rsidRPr="003F2648">
        <w:rPr>
          <w:rFonts w:ascii="Arial" w:hAnsi="Arial" w:cs="Arial"/>
        </w:rPr>
        <w:t>The risk analysis further emphasizes that while high P/E stocks offer significant long-term upside, they also come with increased volatility. Investors must be aware of the trade-off between higher returns and greater risk, ensuring that their investment choices align with their risk tolerance and investment horizon. The findings suggest that a balanced investment strategy incorporating both high and low P/E stocks can help optimize risk-adjusted returns.</w:t>
      </w:r>
    </w:p>
    <w:p w14:paraId="73EBEF67" w14:textId="77777777" w:rsidR="005936CB" w:rsidRPr="003F2648" w:rsidRDefault="005936CB" w:rsidP="005936CB">
      <w:pPr>
        <w:jc w:val="both"/>
        <w:rPr>
          <w:rFonts w:ascii="Arial" w:hAnsi="Arial" w:cs="Arial"/>
        </w:rPr>
      </w:pPr>
      <w:r w:rsidRPr="003F2648">
        <w:rPr>
          <w:rFonts w:ascii="Arial" w:hAnsi="Arial" w:cs="Arial"/>
        </w:rPr>
        <w:t xml:space="preserve">Overall, the study concludes that the belief that high P/E stocks always underperform is a </w:t>
      </w:r>
      <w:r w:rsidRPr="003F2648">
        <w:rPr>
          <w:rFonts w:ascii="Arial" w:hAnsi="Arial" w:cs="Arial"/>
          <w:b/>
          <w:bCs/>
        </w:rPr>
        <w:t>misconception</w:t>
      </w:r>
      <w:r w:rsidRPr="003F2648">
        <w:rPr>
          <w:rFonts w:ascii="Arial" w:hAnsi="Arial" w:cs="Arial"/>
        </w:rPr>
        <w:t>. Instead, these stocks can be valuable components of a well-diversified investment portfolio, particularly for long-term investors willing to withstand higher volatility in pursuit of superior returns.</w:t>
      </w:r>
    </w:p>
    <w:p w14:paraId="3D4C3848" w14:textId="77777777" w:rsidR="005936CB" w:rsidRPr="003F2648" w:rsidRDefault="005936CB" w:rsidP="005936CB">
      <w:pPr>
        <w:jc w:val="both"/>
        <w:rPr>
          <w:rFonts w:ascii="Arial" w:hAnsi="Arial" w:cs="Arial"/>
          <w:b/>
          <w:bCs/>
          <w:sz w:val="22"/>
          <w:szCs w:val="22"/>
        </w:rPr>
      </w:pPr>
      <w:r>
        <w:rPr>
          <w:rFonts w:ascii="Arial" w:hAnsi="Arial" w:cs="Arial"/>
          <w:b/>
          <w:bCs/>
        </w:rPr>
        <w:t xml:space="preserve">10. </w:t>
      </w:r>
      <w:r w:rsidRPr="003F2648">
        <w:rPr>
          <w:rFonts w:ascii="Arial" w:hAnsi="Arial" w:cs="Arial"/>
          <w:b/>
          <w:bCs/>
          <w:sz w:val="22"/>
          <w:szCs w:val="22"/>
        </w:rPr>
        <w:t>SUGGESTIONS</w:t>
      </w:r>
    </w:p>
    <w:p w14:paraId="3017F15B" w14:textId="77777777" w:rsidR="005936CB" w:rsidRPr="003F2648" w:rsidRDefault="005936CB" w:rsidP="005936CB">
      <w:pPr>
        <w:jc w:val="both"/>
        <w:rPr>
          <w:rFonts w:ascii="Arial" w:hAnsi="Arial" w:cs="Arial"/>
        </w:rPr>
      </w:pPr>
      <w:r w:rsidRPr="003F2648">
        <w:rPr>
          <w:rFonts w:ascii="Arial" w:hAnsi="Arial" w:cs="Arial"/>
        </w:rPr>
        <w:t>Based on the findings, several recommendations can be made for different stakeholders, including investors, financial analysts, and policymakers.</w:t>
      </w:r>
    </w:p>
    <w:p w14:paraId="219309AD" w14:textId="77777777" w:rsidR="005936CB" w:rsidRPr="003F2648" w:rsidRDefault="005936CB" w:rsidP="005936CB">
      <w:pPr>
        <w:jc w:val="both"/>
        <w:rPr>
          <w:rFonts w:ascii="Arial" w:hAnsi="Arial" w:cs="Arial"/>
        </w:rPr>
      </w:pPr>
      <w:r w:rsidRPr="003F2648">
        <w:rPr>
          <w:rFonts w:ascii="Arial" w:hAnsi="Arial" w:cs="Arial"/>
        </w:rPr>
        <w:t>For investors, it is crucial to avoid relying solely on the P/E ratio when making stock selection decisions. Instead, they should adopt a multi-dimensional approach that considers other key financial metrics such as earnings growth, cash flow, debt levels, and macroeconomic trends. Investors with a short-term focus should be cautious with high P/E stocks, as their prices are more sensitive to market sentiment and external shocks. Those with a long-term perspective can consider investing in high P/E stocks, particularly in growth sectors, but should ensure that these companies have strong fundamentals to justify their high valuations. For portfolio managers and financial analysts, diversification remains a key strategy. A mix of high P/E growth stocks and low P/E value stocks can help mitigate risk while maximizing returns. Additionally, risk-adjusted return measures such as the Sharpe ratio or Sortino ratio should be used to assess whether high P/E stocks are worth the additional volatility.</w:t>
      </w:r>
    </w:p>
    <w:p w14:paraId="20E6EE9E" w14:textId="77777777" w:rsidR="005936CB" w:rsidRPr="003F2648" w:rsidRDefault="005936CB" w:rsidP="005936CB">
      <w:pPr>
        <w:jc w:val="both"/>
        <w:rPr>
          <w:rFonts w:ascii="Arial" w:hAnsi="Arial" w:cs="Arial"/>
        </w:rPr>
      </w:pPr>
      <w:r w:rsidRPr="003F2648">
        <w:rPr>
          <w:rFonts w:ascii="Arial" w:hAnsi="Arial" w:cs="Arial"/>
        </w:rPr>
        <w:t>For policymakers and regulatory bodies such as SEBI and NSE, there is a need to enhance financial literacy among retail investors to ensure that they understand the limitations of using the P/E ratio as the sole valuation metric. Financial education initiatives should focus on teaching investors about sectoral performance differences, risk management strategies, and the importance of long-term investing. Additionally, regulators should encourage the use of broader financial models that incorporate factors beyond P/E ratios to promote a more informed investment culture.</w:t>
      </w:r>
    </w:p>
    <w:p w14:paraId="565CE2C9" w14:textId="77777777" w:rsidR="005936CB" w:rsidRPr="003F2648" w:rsidRDefault="005936CB" w:rsidP="005936CB">
      <w:pPr>
        <w:jc w:val="both"/>
        <w:rPr>
          <w:rFonts w:ascii="Arial" w:hAnsi="Arial" w:cs="Arial"/>
          <w:b/>
          <w:bCs/>
          <w:sz w:val="22"/>
          <w:szCs w:val="22"/>
        </w:rPr>
      </w:pPr>
      <w:r>
        <w:rPr>
          <w:rFonts w:ascii="Arial" w:hAnsi="Arial" w:cs="Arial"/>
          <w:b/>
          <w:bCs/>
        </w:rPr>
        <w:t xml:space="preserve">11. </w:t>
      </w:r>
      <w:r w:rsidRPr="003F2648">
        <w:rPr>
          <w:rFonts w:ascii="Arial" w:hAnsi="Arial" w:cs="Arial"/>
          <w:b/>
          <w:bCs/>
        </w:rPr>
        <w:t>FUTURE SCOPE OF RESEARCH</w:t>
      </w:r>
    </w:p>
    <w:p w14:paraId="44752C7C" w14:textId="77777777" w:rsidR="005936CB" w:rsidRPr="003F2648" w:rsidRDefault="005936CB" w:rsidP="005936CB">
      <w:pPr>
        <w:jc w:val="both"/>
        <w:rPr>
          <w:rFonts w:ascii="Arial" w:hAnsi="Arial" w:cs="Arial"/>
        </w:rPr>
      </w:pPr>
      <w:r w:rsidRPr="003F2648">
        <w:rPr>
          <w:rFonts w:ascii="Arial" w:hAnsi="Arial" w:cs="Arial"/>
        </w:rPr>
        <w:t>While this study provides valuable insights into the relationship between P/E ratios and stock performance in the Nifty 50 index, several areas warrant further research.</w:t>
      </w:r>
    </w:p>
    <w:p w14:paraId="5E38675D" w14:textId="77777777" w:rsidR="005936CB" w:rsidRPr="003F2648" w:rsidRDefault="005936CB" w:rsidP="005936CB">
      <w:pPr>
        <w:jc w:val="both"/>
        <w:rPr>
          <w:rFonts w:ascii="Arial" w:hAnsi="Arial" w:cs="Arial"/>
        </w:rPr>
      </w:pPr>
      <w:r w:rsidRPr="003F2648">
        <w:rPr>
          <w:rFonts w:ascii="Arial" w:hAnsi="Arial" w:cs="Arial"/>
        </w:rPr>
        <w:t>Firstly, an extended time frame of 10-20 years could provide a more comprehensive understanding of how P/E ratios impact stock performance across different economic cycles, including bull and bear markets. This would help in identifying whether the observed trends hold true over a longer period and under varying market conditions. Secondly, a comparative study between the Indian stock market and other global markets, such as the S&amp;P 500 (U.S.), FTSE 100 (UK), and Nikkei 225 (Japan), could reveal how different economic and regulatory environments affect the relationship between P/E ratios and stock returns. This could help investors understand whether the findings are specific to India or if they apply universally. Another promising area of research is the impact of macroeconomic factors such as GDP growth, inflation, interest rates, and government policies on stock performance. By incorporating these variables, future studies can develop more robust predictive models that better explain stock market trends. Additionally, a behavioral finance perspective could be explored to understand how investor psychology and market sentiment influence the pricing of high P/E stocks. Understanding why</w:t>
      </w:r>
      <w:r w:rsidRPr="003F2648">
        <w:rPr>
          <w:rFonts w:ascii="Arial" w:hAnsi="Arial" w:cs="Arial"/>
          <w:b/>
          <w:bCs/>
        </w:rPr>
        <w:t xml:space="preserve"> </w:t>
      </w:r>
      <w:r w:rsidRPr="003F2648">
        <w:rPr>
          <w:rFonts w:ascii="Arial" w:hAnsi="Arial" w:cs="Arial"/>
        </w:rPr>
        <w:t xml:space="preserve">investors are willing to pay high premiums for certain </w:t>
      </w:r>
      <w:r w:rsidRPr="003F2648">
        <w:rPr>
          <w:rFonts w:ascii="Arial" w:hAnsi="Arial" w:cs="Arial"/>
        </w:rPr>
        <w:lastRenderedPageBreak/>
        <w:t>stocks despite traditional valuation concerns can provide deeper insights into market dynamics.</w:t>
      </w:r>
    </w:p>
    <w:p w14:paraId="34E23E37" w14:textId="77777777" w:rsidR="005936CB" w:rsidRPr="003F2648" w:rsidRDefault="005936CB" w:rsidP="005936CB">
      <w:pPr>
        <w:jc w:val="both"/>
        <w:rPr>
          <w:rFonts w:ascii="Arial" w:hAnsi="Arial" w:cs="Arial"/>
        </w:rPr>
      </w:pPr>
      <w:r w:rsidRPr="003F2648">
        <w:rPr>
          <w:rFonts w:ascii="Arial" w:hAnsi="Arial" w:cs="Arial"/>
        </w:rPr>
        <w:t>Lastly, sectoral deep dives can be conducted to analyze which specific industries sustain high P/E ratios over time and the underlying reasons for their continued performance. For example, a study focusing on the technology sector could investigate how innovation and digital transformation contribute to maintaining high stock valuations.</w:t>
      </w:r>
    </w:p>
    <w:p w14:paraId="66799F3E" w14:textId="77777777" w:rsidR="005936CB" w:rsidRPr="003F2648" w:rsidRDefault="005936CB" w:rsidP="005936CB">
      <w:pPr>
        <w:jc w:val="both"/>
        <w:rPr>
          <w:rFonts w:ascii="Arial" w:hAnsi="Arial" w:cs="Arial"/>
        </w:rPr>
      </w:pPr>
    </w:p>
    <w:p w14:paraId="62DEF080" w14:textId="77777777" w:rsidR="005936CB" w:rsidRPr="003F2648" w:rsidRDefault="005936CB" w:rsidP="005936CB">
      <w:pPr>
        <w:jc w:val="both"/>
        <w:rPr>
          <w:rFonts w:ascii="Arial" w:hAnsi="Arial" w:cs="Arial"/>
        </w:rPr>
      </w:pPr>
    </w:p>
    <w:p w14:paraId="24C70B91" w14:textId="77777777" w:rsidR="005074D1" w:rsidRDefault="005074D1" w:rsidP="005074D1">
      <w:pPr>
        <w:rPr>
          <w:rFonts w:ascii="Arial" w:hAnsi="Arial" w:cs="Arial"/>
          <w:b/>
          <w:bCs/>
        </w:rPr>
      </w:pPr>
    </w:p>
    <w:p w14:paraId="1FC74F5F" w14:textId="77777777" w:rsidR="005074D1" w:rsidRDefault="005074D1" w:rsidP="005074D1">
      <w:pPr>
        <w:rPr>
          <w:rFonts w:ascii="Arial" w:hAnsi="Arial" w:cs="Arial"/>
          <w:b/>
          <w:bCs/>
        </w:rPr>
      </w:pPr>
    </w:p>
    <w:p w14:paraId="0499548F" w14:textId="03138AFA" w:rsidR="005936CB" w:rsidRPr="005074D1" w:rsidRDefault="005936CB" w:rsidP="005074D1">
      <w:pPr>
        <w:rPr>
          <w:rFonts w:ascii="Arial" w:hAnsi="Arial" w:cs="Arial"/>
          <w:b/>
          <w:bCs/>
        </w:rPr>
      </w:pPr>
      <w:r w:rsidRPr="003F2648">
        <w:rPr>
          <w:rFonts w:ascii="Arial" w:hAnsi="Arial" w:cs="Arial"/>
          <w:b/>
          <w:bCs/>
        </w:rPr>
        <w:t>REFERENCE</w:t>
      </w:r>
    </w:p>
    <w:p w14:paraId="094DA128" w14:textId="77777777" w:rsidR="005936CB" w:rsidRPr="003F2648" w:rsidRDefault="005936CB" w:rsidP="005936CB">
      <w:pPr>
        <w:widowControl w:val="0"/>
        <w:autoSpaceDE w:val="0"/>
        <w:autoSpaceDN w:val="0"/>
        <w:adjustRightInd w:val="0"/>
        <w:ind w:left="480" w:hanging="480"/>
        <w:rPr>
          <w:rFonts w:ascii="Arial" w:hAnsi="Arial" w:cs="Arial"/>
          <w:noProof/>
        </w:rPr>
      </w:pPr>
      <w:r w:rsidRPr="003F2648">
        <w:rPr>
          <w:rFonts w:ascii="Arial" w:hAnsi="Arial" w:cs="Arial"/>
        </w:rPr>
        <w:fldChar w:fldCharType="begin" w:fldLock="1"/>
      </w:r>
      <w:r w:rsidRPr="003F2648">
        <w:rPr>
          <w:rFonts w:ascii="Arial" w:hAnsi="Arial" w:cs="Arial"/>
        </w:rPr>
        <w:instrText xml:space="preserve">ADDIN Mendeley Bibliography CSL_BIBLIOGRAPHY </w:instrText>
      </w:r>
      <w:r w:rsidRPr="003F2648">
        <w:rPr>
          <w:rFonts w:ascii="Arial" w:hAnsi="Arial" w:cs="Arial"/>
        </w:rPr>
        <w:fldChar w:fldCharType="separate"/>
      </w:r>
      <w:r w:rsidRPr="003F2648">
        <w:rPr>
          <w:rFonts w:ascii="Arial" w:hAnsi="Arial" w:cs="Arial"/>
          <w:noProof/>
        </w:rPr>
        <w:t>Ang, A., Hodrick, R. J., Xing, Y., &amp; Zhang, X. (2006). The cross</w:t>
      </w:r>
      <w:r w:rsidRPr="003F2648">
        <w:rPr>
          <w:rFonts w:ascii="Cambria Math" w:hAnsi="Cambria Math" w:cs="Cambria Math"/>
          <w:noProof/>
        </w:rPr>
        <w:t>‐</w:t>
      </w:r>
      <w:r w:rsidRPr="003F2648">
        <w:rPr>
          <w:rFonts w:ascii="Arial" w:hAnsi="Arial" w:cs="Arial"/>
          <w:noProof/>
        </w:rPr>
        <w:t xml:space="preserve">section of volatility and expected returns. </w:t>
      </w:r>
      <w:r w:rsidRPr="003F2648">
        <w:rPr>
          <w:rFonts w:ascii="Arial" w:hAnsi="Arial" w:cs="Arial"/>
          <w:i/>
          <w:iCs/>
          <w:noProof/>
        </w:rPr>
        <w:t>The Journal of Finance</w:t>
      </w:r>
      <w:r w:rsidRPr="003F2648">
        <w:rPr>
          <w:rFonts w:ascii="Arial" w:hAnsi="Arial" w:cs="Arial"/>
          <w:noProof/>
        </w:rPr>
        <w:t xml:space="preserve">, </w:t>
      </w:r>
      <w:r w:rsidRPr="003F2648">
        <w:rPr>
          <w:rFonts w:ascii="Arial" w:hAnsi="Arial" w:cs="Arial"/>
          <w:i/>
          <w:iCs/>
          <w:noProof/>
        </w:rPr>
        <w:t>61</w:t>
      </w:r>
      <w:r w:rsidRPr="003F2648">
        <w:rPr>
          <w:rFonts w:ascii="Arial" w:hAnsi="Arial" w:cs="Arial"/>
          <w:noProof/>
        </w:rPr>
        <w:t>(1), 259–299.</w:t>
      </w:r>
    </w:p>
    <w:p w14:paraId="022C3FA5" w14:textId="77777777" w:rsidR="005936CB" w:rsidRPr="003F2648" w:rsidRDefault="005936CB" w:rsidP="005936CB">
      <w:pPr>
        <w:widowControl w:val="0"/>
        <w:autoSpaceDE w:val="0"/>
        <w:autoSpaceDN w:val="0"/>
        <w:adjustRightInd w:val="0"/>
        <w:ind w:left="480" w:hanging="480"/>
        <w:rPr>
          <w:rFonts w:ascii="Arial" w:hAnsi="Arial" w:cs="Arial"/>
          <w:noProof/>
        </w:rPr>
      </w:pPr>
      <w:r w:rsidRPr="003F2648">
        <w:rPr>
          <w:rFonts w:ascii="Arial" w:hAnsi="Arial" w:cs="Arial"/>
          <w:noProof/>
        </w:rPr>
        <w:t xml:space="preserve">Bansal, R. (2014). A comparative financial study: evidence from selected indian retail companies. </w:t>
      </w:r>
      <w:r w:rsidRPr="003F2648">
        <w:rPr>
          <w:rFonts w:ascii="Arial" w:hAnsi="Arial" w:cs="Arial"/>
          <w:i/>
          <w:iCs/>
          <w:noProof/>
        </w:rPr>
        <w:t>Journal of Finance and Investment Analysis</w:t>
      </w:r>
      <w:r w:rsidRPr="003F2648">
        <w:rPr>
          <w:rFonts w:ascii="Arial" w:hAnsi="Arial" w:cs="Arial"/>
          <w:noProof/>
        </w:rPr>
        <w:t xml:space="preserve">, </w:t>
      </w:r>
      <w:r w:rsidRPr="003F2648">
        <w:rPr>
          <w:rFonts w:ascii="Arial" w:hAnsi="Arial" w:cs="Arial"/>
          <w:i/>
          <w:iCs/>
          <w:noProof/>
        </w:rPr>
        <w:t>3</w:t>
      </w:r>
      <w:r w:rsidRPr="003F2648">
        <w:rPr>
          <w:rFonts w:ascii="Arial" w:hAnsi="Arial" w:cs="Arial"/>
          <w:noProof/>
        </w:rPr>
        <w:t>(3), 13–35.</w:t>
      </w:r>
    </w:p>
    <w:p w14:paraId="769254AF" w14:textId="77777777" w:rsidR="005936CB" w:rsidRPr="003F2648" w:rsidRDefault="005936CB" w:rsidP="005936CB">
      <w:pPr>
        <w:widowControl w:val="0"/>
        <w:autoSpaceDE w:val="0"/>
        <w:autoSpaceDN w:val="0"/>
        <w:adjustRightInd w:val="0"/>
        <w:ind w:left="480" w:hanging="480"/>
        <w:rPr>
          <w:rFonts w:ascii="Arial" w:hAnsi="Arial" w:cs="Arial"/>
          <w:noProof/>
        </w:rPr>
      </w:pPr>
      <w:r w:rsidRPr="003F2648">
        <w:rPr>
          <w:rFonts w:ascii="Arial" w:hAnsi="Arial" w:cs="Arial"/>
          <w:noProof/>
        </w:rPr>
        <w:t>Basu, S. (1977). Investment performance of common stocks in relation to their price</w:t>
      </w:r>
      <w:r w:rsidRPr="003F2648">
        <w:rPr>
          <w:rFonts w:ascii="Cambria Math" w:hAnsi="Cambria Math" w:cs="Cambria Math"/>
          <w:noProof/>
        </w:rPr>
        <w:t>‐</w:t>
      </w:r>
      <w:r w:rsidRPr="003F2648">
        <w:rPr>
          <w:rFonts w:ascii="Arial" w:hAnsi="Arial" w:cs="Arial"/>
          <w:noProof/>
        </w:rPr>
        <w:t xml:space="preserve">earnings ratios: A test of the efficient market hypothesis. </w:t>
      </w:r>
      <w:r w:rsidRPr="003F2648">
        <w:rPr>
          <w:rFonts w:ascii="Arial" w:hAnsi="Arial" w:cs="Arial"/>
          <w:i/>
          <w:iCs/>
          <w:noProof/>
        </w:rPr>
        <w:t>The Journal of Finance</w:t>
      </w:r>
      <w:r w:rsidRPr="003F2648">
        <w:rPr>
          <w:rFonts w:ascii="Arial" w:hAnsi="Arial" w:cs="Arial"/>
          <w:noProof/>
        </w:rPr>
        <w:t xml:space="preserve">, </w:t>
      </w:r>
      <w:r w:rsidRPr="003F2648">
        <w:rPr>
          <w:rFonts w:ascii="Arial" w:hAnsi="Arial" w:cs="Arial"/>
          <w:i/>
          <w:iCs/>
          <w:noProof/>
        </w:rPr>
        <w:t>32</w:t>
      </w:r>
      <w:r w:rsidRPr="003F2648">
        <w:rPr>
          <w:rFonts w:ascii="Arial" w:hAnsi="Arial" w:cs="Arial"/>
          <w:noProof/>
        </w:rPr>
        <w:t>(3), 663–682.</w:t>
      </w:r>
    </w:p>
    <w:p w14:paraId="66C7C32C" w14:textId="77777777" w:rsidR="005936CB" w:rsidRPr="003F2648" w:rsidRDefault="005936CB" w:rsidP="005936CB">
      <w:pPr>
        <w:widowControl w:val="0"/>
        <w:autoSpaceDE w:val="0"/>
        <w:autoSpaceDN w:val="0"/>
        <w:adjustRightInd w:val="0"/>
        <w:ind w:left="480" w:hanging="480"/>
        <w:rPr>
          <w:rFonts w:ascii="Arial" w:hAnsi="Arial" w:cs="Arial"/>
          <w:noProof/>
        </w:rPr>
      </w:pPr>
      <w:r w:rsidRPr="003F2648">
        <w:rPr>
          <w:rFonts w:ascii="Arial" w:hAnsi="Arial" w:cs="Arial"/>
          <w:noProof/>
        </w:rPr>
        <w:t xml:space="preserve">Begum, S., Ghanavi, M., &amp; Bhat, A. A. (2024). Analyzing the Impact of Inflation on the Stock Market Performance: A Comparative Study of Nifty 50 and Sensex. In </w:t>
      </w:r>
      <w:r w:rsidRPr="003F2648">
        <w:rPr>
          <w:rFonts w:ascii="Arial" w:hAnsi="Arial" w:cs="Arial"/>
          <w:i/>
          <w:iCs/>
          <w:noProof/>
        </w:rPr>
        <w:t>Harnessing AI, Machine Learning, and IoT for Intelligent Business: Volume 1</w:t>
      </w:r>
      <w:r w:rsidRPr="003F2648">
        <w:rPr>
          <w:rFonts w:ascii="Arial" w:hAnsi="Arial" w:cs="Arial"/>
          <w:noProof/>
        </w:rPr>
        <w:t xml:space="preserve"> (pp. 413–428). Springer.</w:t>
      </w:r>
    </w:p>
    <w:p w14:paraId="18975AA9" w14:textId="77777777" w:rsidR="005936CB" w:rsidRPr="003F2648" w:rsidRDefault="005936CB" w:rsidP="005936CB">
      <w:pPr>
        <w:widowControl w:val="0"/>
        <w:autoSpaceDE w:val="0"/>
        <w:autoSpaceDN w:val="0"/>
        <w:adjustRightInd w:val="0"/>
        <w:ind w:left="480" w:hanging="480"/>
        <w:rPr>
          <w:rFonts w:ascii="Arial" w:hAnsi="Arial" w:cs="Arial"/>
          <w:noProof/>
        </w:rPr>
      </w:pPr>
      <w:r w:rsidRPr="003F2648">
        <w:rPr>
          <w:rFonts w:ascii="Arial" w:hAnsi="Arial" w:cs="Arial"/>
          <w:noProof/>
        </w:rPr>
        <w:t xml:space="preserve">Chan, L. K. C., Lakonishok, J., &amp; Sougiannis, T. (2001). The stock market valuation of research and development expenditures. </w:t>
      </w:r>
      <w:r w:rsidRPr="003F2648">
        <w:rPr>
          <w:rFonts w:ascii="Arial" w:hAnsi="Arial" w:cs="Arial"/>
          <w:i/>
          <w:iCs/>
          <w:noProof/>
        </w:rPr>
        <w:t>The Journal of Finance</w:t>
      </w:r>
      <w:r w:rsidRPr="003F2648">
        <w:rPr>
          <w:rFonts w:ascii="Arial" w:hAnsi="Arial" w:cs="Arial"/>
          <w:noProof/>
        </w:rPr>
        <w:t xml:space="preserve">, </w:t>
      </w:r>
      <w:r w:rsidRPr="003F2648">
        <w:rPr>
          <w:rFonts w:ascii="Arial" w:hAnsi="Arial" w:cs="Arial"/>
          <w:i/>
          <w:iCs/>
          <w:noProof/>
        </w:rPr>
        <w:t>56</w:t>
      </w:r>
      <w:r w:rsidRPr="003F2648">
        <w:rPr>
          <w:rFonts w:ascii="Arial" w:hAnsi="Arial" w:cs="Arial"/>
          <w:noProof/>
        </w:rPr>
        <w:t>(6), 2431–2456.</w:t>
      </w:r>
    </w:p>
    <w:p w14:paraId="017DB98C" w14:textId="77777777" w:rsidR="005936CB" w:rsidRPr="003F2648" w:rsidRDefault="005936CB" w:rsidP="005936CB">
      <w:pPr>
        <w:widowControl w:val="0"/>
        <w:autoSpaceDE w:val="0"/>
        <w:autoSpaceDN w:val="0"/>
        <w:adjustRightInd w:val="0"/>
        <w:ind w:left="480" w:hanging="480"/>
        <w:rPr>
          <w:rFonts w:ascii="Arial" w:hAnsi="Arial" w:cs="Arial"/>
          <w:noProof/>
        </w:rPr>
      </w:pPr>
      <w:r w:rsidRPr="003F2648">
        <w:rPr>
          <w:rFonts w:ascii="Arial" w:hAnsi="Arial" w:cs="Arial"/>
          <w:noProof/>
        </w:rPr>
        <w:t xml:space="preserve">Damodaran, A. (2012). </w:t>
      </w:r>
      <w:r w:rsidRPr="003F2648">
        <w:rPr>
          <w:rFonts w:ascii="Arial" w:hAnsi="Arial" w:cs="Arial"/>
          <w:i/>
          <w:iCs/>
          <w:noProof/>
        </w:rPr>
        <w:t>Investment Valuation: Tools and Techniques for Determining the Value of Any Asset</w:t>
      </w:r>
      <w:r w:rsidRPr="003F2648">
        <w:rPr>
          <w:rFonts w:ascii="Arial" w:hAnsi="Arial" w:cs="Arial"/>
          <w:noProof/>
        </w:rPr>
        <w:t>. John Wiley and Sons.</w:t>
      </w:r>
    </w:p>
    <w:p w14:paraId="4F43F385" w14:textId="77777777" w:rsidR="005936CB" w:rsidRPr="003F2648" w:rsidRDefault="005936CB" w:rsidP="005936CB">
      <w:pPr>
        <w:widowControl w:val="0"/>
        <w:autoSpaceDE w:val="0"/>
        <w:autoSpaceDN w:val="0"/>
        <w:adjustRightInd w:val="0"/>
        <w:ind w:left="480" w:hanging="480"/>
        <w:rPr>
          <w:rFonts w:ascii="Arial" w:hAnsi="Arial" w:cs="Arial"/>
          <w:noProof/>
        </w:rPr>
      </w:pPr>
      <w:r w:rsidRPr="003F2648">
        <w:rPr>
          <w:rFonts w:ascii="Arial" w:hAnsi="Arial" w:cs="Arial"/>
          <w:noProof/>
        </w:rPr>
        <w:t xml:space="preserve">Dudney, D. M., Jirasakuldech, B., Zorn, T., &amp; Emekter, R. (2015). Do residual earnings price ratios explain cross-sectional variations in stock returns? </w:t>
      </w:r>
      <w:r w:rsidRPr="003F2648">
        <w:rPr>
          <w:rFonts w:ascii="Arial" w:hAnsi="Arial" w:cs="Arial"/>
          <w:i/>
          <w:iCs/>
          <w:noProof/>
        </w:rPr>
        <w:t>Managerial Finance</w:t>
      </w:r>
      <w:r w:rsidRPr="003F2648">
        <w:rPr>
          <w:rFonts w:ascii="Arial" w:hAnsi="Arial" w:cs="Arial"/>
          <w:noProof/>
        </w:rPr>
        <w:t xml:space="preserve">, </w:t>
      </w:r>
      <w:r w:rsidRPr="003F2648">
        <w:rPr>
          <w:rFonts w:ascii="Arial" w:hAnsi="Arial" w:cs="Arial"/>
          <w:i/>
          <w:iCs/>
          <w:noProof/>
        </w:rPr>
        <w:t>41</w:t>
      </w:r>
      <w:r w:rsidRPr="003F2648">
        <w:rPr>
          <w:rFonts w:ascii="Arial" w:hAnsi="Arial" w:cs="Arial"/>
          <w:noProof/>
        </w:rPr>
        <w:t>(7), 692–713.</w:t>
      </w:r>
    </w:p>
    <w:p w14:paraId="7CE20FFA" w14:textId="77777777" w:rsidR="005936CB" w:rsidRPr="003F2648" w:rsidRDefault="005936CB" w:rsidP="005936CB">
      <w:pPr>
        <w:widowControl w:val="0"/>
        <w:autoSpaceDE w:val="0"/>
        <w:autoSpaceDN w:val="0"/>
        <w:adjustRightInd w:val="0"/>
        <w:ind w:left="480" w:hanging="480"/>
        <w:rPr>
          <w:rFonts w:ascii="Arial" w:hAnsi="Arial" w:cs="Arial"/>
          <w:noProof/>
        </w:rPr>
      </w:pPr>
      <w:r w:rsidRPr="003F2648">
        <w:rPr>
          <w:rFonts w:ascii="Arial" w:hAnsi="Arial" w:cs="Arial"/>
          <w:noProof/>
        </w:rPr>
        <w:t xml:space="preserve">Fama, E. F., &amp; French, K. R. (2015). A five-factor asset pricing model. </w:t>
      </w:r>
      <w:r w:rsidRPr="003F2648">
        <w:rPr>
          <w:rFonts w:ascii="Arial" w:hAnsi="Arial" w:cs="Arial"/>
          <w:i/>
          <w:iCs/>
          <w:noProof/>
        </w:rPr>
        <w:t>Journal of Financial Economics</w:t>
      </w:r>
      <w:r w:rsidRPr="003F2648">
        <w:rPr>
          <w:rFonts w:ascii="Arial" w:hAnsi="Arial" w:cs="Arial"/>
          <w:noProof/>
        </w:rPr>
        <w:t xml:space="preserve">, </w:t>
      </w:r>
      <w:r w:rsidRPr="003F2648">
        <w:rPr>
          <w:rFonts w:ascii="Arial" w:hAnsi="Arial" w:cs="Arial"/>
          <w:i/>
          <w:iCs/>
          <w:noProof/>
        </w:rPr>
        <w:t>116</w:t>
      </w:r>
      <w:r w:rsidRPr="003F2648">
        <w:rPr>
          <w:rFonts w:ascii="Arial" w:hAnsi="Arial" w:cs="Arial"/>
          <w:noProof/>
        </w:rPr>
        <w:t>(1), 1–22.</w:t>
      </w:r>
    </w:p>
    <w:p w14:paraId="078BED40" w14:textId="77777777" w:rsidR="005936CB" w:rsidRPr="003F2648" w:rsidRDefault="005936CB" w:rsidP="005936CB">
      <w:pPr>
        <w:widowControl w:val="0"/>
        <w:autoSpaceDE w:val="0"/>
        <w:autoSpaceDN w:val="0"/>
        <w:adjustRightInd w:val="0"/>
        <w:ind w:left="480" w:hanging="480"/>
        <w:rPr>
          <w:rFonts w:ascii="Arial" w:hAnsi="Arial" w:cs="Arial"/>
          <w:noProof/>
        </w:rPr>
      </w:pPr>
      <w:r w:rsidRPr="003F2648">
        <w:rPr>
          <w:rFonts w:ascii="Arial" w:hAnsi="Arial" w:cs="Arial"/>
          <w:noProof/>
        </w:rPr>
        <w:t xml:space="preserve">Jegadeesh, N., &amp; Titman, S. (1993). Returns to buying winners and selling losers: Implications for stock market efficiency. </w:t>
      </w:r>
      <w:r w:rsidRPr="003F2648">
        <w:rPr>
          <w:rFonts w:ascii="Arial" w:hAnsi="Arial" w:cs="Arial"/>
          <w:i/>
          <w:iCs/>
          <w:noProof/>
        </w:rPr>
        <w:t>The Journal of Finance</w:t>
      </w:r>
      <w:r w:rsidRPr="003F2648">
        <w:rPr>
          <w:rFonts w:ascii="Arial" w:hAnsi="Arial" w:cs="Arial"/>
          <w:noProof/>
        </w:rPr>
        <w:t xml:space="preserve">, </w:t>
      </w:r>
      <w:r w:rsidRPr="003F2648">
        <w:rPr>
          <w:rFonts w:ascii="Arial" w:hAnsi="Arial" w:cs="Arial"/>
          <w:i/>
          <w:iCs/>
          <w:noProof/>
        </w:rPr>
        <w:t>48</w:t>
      </w:r>
      <w:r w:rsidRPr="003F2648">
        <w:rPr>
          <w:rFonts w:ascii="Arial" w:hAnsi="Arial" w:cs="Arial"/>
          <w:noProof/>
        </w:rPr>
        <w:t>(1), 65–91.</w:t>
      </w:r>
    </w:p>
    <w:p w14:paraId="1E195471" w14:textId="77777777" w:rsidR="005936CB" w:rsidRPr="003F2648" w:rsidRDefault="005936CB" w:rsidP="005936CB">
      <w:pPr>
        <w:widowControl w:val="0"/>
        <w:autoSpaceDE w:val="0"/>
        <w:autoSpaceDN w:val="0"/>
        <w:adjustRightInd w:val="0"/>
        <w:ind w:left="480" w:hanging="480"/>
        <w:rPr>
          <w:rFonts w:ascii="Arial" w:hAnsi="Arial" w:cs="Arial"/>
          <w:noProof/>
        </w:rPr>
      </w:pPr>
      <w:r w:rsidRPr="003F2648">
        <w:rPr>
          <w:rFonts w:ascii="Arial" w:hAnsi="Arial" w:cs="Arial"/>
          <w:noProof/>
        </w:rPr>
        <w:t xml:space="preserve">Kanojia, S., &amp; Malhotra, D. (2021). A case study of stock market bubbles in the Indian stock market. </w:t>
      </w:r>
      <w:r w:rsidRPr="003F2648">
        <w:rPr>
          <w:rFonts w:ascii="Arial" w:hAnsi="Arial" w:cs="Arial"/>
          <w:i/>
          <w:iCs/>
          <w:noProof/>
        </w:rPr>
        <w:t>Indian Journal of Finance</w:t>
      </w:r>
      <w:r w:rsidRPr="003F2648">
        <w:rPr>
          <w:rFonts w:ascii="Arial" w:hAnsi="Arial" w:cs="Arial"/>
          <w:noProof/>
        </w:rPr>
        <w:t xml:space="preserve">, </w:t>
      </w:r>
      <w:r w:rsidRPr="003F2648">
        <w:rPr>
          <w:rFonts w:ascii="Arial" w:hAnsi="Arial" w:cs="Arial"/>
          <w:i/>
          <w:iCs/>
          <w:noProof/>
        </w:rPr>
        <w:t>15</w:t>
      </w:r>
      <w:r w:rsidRPr="003F2648">
        <w:rPr>
          <w:rFonts w:ascii="Arial" w:hAnsi="Arial" w:cs="Arial"/>
          <w:noProof/>
        </w:rPr>
        <w:t>(2), 22–48.</w:t>
      </w:r>
    </w:p>
    <w:p w14:paraId="4CC942A0" w14:textId="77777777" w:rsidR="005936CB" w:rsidRPr="003F2648" w:rsidRDefault="005936CB" w:rsidP="005936CB">
      <w:pPr>
        <w:widowControl w:val="0"/>
        <w:autoSpaceDE w:val="0"/>
        <w:autoSpaceDN w:val="0"/>
        <w:adjustRightInd w:val="0"/>
        <w:ind w:left="480" w:hanging="480"/>
        <w:rPr>
          <w:rFonts w:ascii="Arial" w:hAnsi="Arial" w:cs="Arial"/>
          <w:noProof/>
        </w:rPr>
      </w:pPr>
      <w:r w:rsidRPr="003F2648">
        <w:rPr>
          <w:rFonts w:ascii="Arial" w:hAnsi="Arial" w:cs="Arial"/>
          <w:noProof/>
        </w:rPr>
        <w:t xml:space="preserve">Paolella, M. S. (2018). </w:t>
      </w:r>
      <w:r w:rsidRPr="003F2648">
        <w:rPr>
          <w:rFonts w:ascii="Arial" w:hAnsi="Arial" w:cs="Arial"/>
          <w:i/>
          <w:iCs/>
          <w:noProof/>
        </w:rPr>
        <w:t>Linear models and time-series analysis: regression, ANOVA, ARMA and GARCH</w:t>
      </w:r>
      <w:r w:rsidRPr="003F2648">
        <w:rPr>
          <w:rFonts w:ascii="Arial" w:hAnsi="Arial" w:cs="Arial"/>
          <w:noProof/>
        </w:rPr>
        <w:t>. John Wiley &amp; Sons.</w:t>
      </w:r>
    </w:p>
    <w:p w14:paraId="600DCA37" w14:textId="77777777" w:rsidR="005936CB" w:rsidRPr="003F2648" w:rsidRDefault="005936CB" w:rsidP="005936CB">
      <w:pPr>
        <w:widowControl w:val="0"/>
        <w:autoSpaceDE w:val="0"/>
        <w:autoSpaceDN w:val="0"/>
        <w:adjustRightInd w:val="0"/>
        <w:ind w:left="480" w:hanging="480"/>
        <w:rPr>
          <w:rFonts w:ascii="Arial" w:hAnsi="Arial" w:cs="Arial"/>
          <w:noProof/>
        </w:rPr>
      </w:pPr>
      <w:r w:rsidRPr="003F2648">
        <w:rPr>
          <w:rFonts w:ascii="Arial" w:hAnsi="Arial" w:cs="Arial"/>
          <w:noProof/>
        </w:rPr>
        <w:t xml:space="preserve">Shiller, R. J. (2002). Irrational exuberance in the media. </w:t>
      </w:r>
      <w:r w:rsidRPr="003F2648">
        <w:rPr>
          <w:rFonts w:ascii="Arial" w:hAnsi="Arial" w:cs="Arial"/>
          <w:i/>
          <w:iCs/>
          <w:noProof/>
        </w:rPr>
        <w:t>The Right to Tell</w:t>
      </w:r>
      <w:r w:rsidRPr="003F2648">
        <w:rPr>
          <w:rFonts w:ascii="Arial" w:hAnsi="Arial" w:cs="Arial"/>
          <w:noProof/>
        </w:rPr>
        <w:t>, 83.</w:t>
      </w:r>
    </w:p>
    <w:p w14:paraId="0C1394DF" w14:textId="77777777" w:rsidR="005936CB" w:rsidRPr="003F2648" w:rsidRDefault="005936CB" w:rsidP="005936CB">
      <w:pPr>
        <w:widowControl w:val="0"/>
        <w:autoSpaceDE w:val="0"/>
        <w:autoSpaceDN w:val="0"/>
        <w:adjustRightInd w:val="0"/>
        <w:ind w:left="480" w:hanging="480"/>
        <w:rPr>
          <w:rFonts w:ascii="Arial" w:hAnsi="Arial" w:cs="Arial"/>
          <w:noProof/>
        </w:rPr>
      </w:pPr>
      <w:r w:rsidRPr="003F2648">
        <w:rPr>
          <w:rFonts w:ascii="Arial" w:hAnsi="Arial" w:cs="Arial"/>
          <w:noProof/>
        </w:rPr>
        <w:t xml:space="preserve">Szyszka, A. (2013). </w:t>
      </w:r>
      <w:r w:rsidRPr="003F2648">
        <w:rPr>
          <w:rFonts w:ascii="Arial" w:hAnsi="Arial" w:cs="Arial"/>
          <w:i/>
          <w:iCs/>
          <w:noProof/>
        </w:rPr>
        <w:t>Behavioral finance and capital markets: How psychology influences investors and corporations</w:t>
      </w:r>
      <w:r w:rsidRPr="003F2648">
        <w:rPr>
          <w:rFonts w:ascii="Arial" w:hAnsi="Arial" w:cs="Arial"/>
          <w:noProof/>
        </w:rPr>
        <w:t>. Springer.</w:t>
      </w:r>
    </w:p>
    <w:p w14:paraId="6642F046" w14:textId="77777777" w:rsidR="005936CB" w:rsidRPr="003F2648" w:rsidRDefault="005936CB" w:rsidP="005936CB">
      <w:pPr>
        <w:widowControl w:val="0"/>
        <w:autoSpaceDE w:val="0"/>
        <w:autoSpaceDN w:val="0"/>
        <w:adjustRightInd w:val="0"/>
        <w:ind w:left="480" w:hanging="480"/>
        <w:rPr>
          <w:rFonts w:ascii="Arial" w:hAnsi="Arial" w:cs="Arial"/>
          <w:noProof/>
        </w:rPr>
      </w:pPr>
      <w:r w:rsidRPr="003F2648">
        <w:rPr>
          <w:rFonts w:ascii="Arial" w:hAnsi="Arial" w:cs="Arial"/>
          <w:noProof/>
        </w:rPr>
        <w:t xml:space="preserve">THAYSEN, O. F. L., &amp; TRYDE, N. (n.d.). </w:t>
      </w:r>
      <w:r w:rsidRPr="003F2648">
        <w:rPr>
          <w:rFonts w:ascii="Arial" w:hAnsi="Arial" w:cs="Arial"/>
          <w:i/>
          <w:iCs/>
          <w:noProof/>
        </w:rPr>
        <w:t>NAVIGATING VALUE INVESTING: ASSESSING THE ROLE OF VALUATION MULTIPLES IN PREDICTING STOCK PERFORMANCE</w:t>
      </w:r>
      <w:r w:rsidRPr="003F2648">
        <w:rPr>
          <w:rFonts w:ascii="Arial" w:hAnsi="Arial" w:cs="Arial"/>
          <w:noProof/>
        </w:rPr>
        <w:t>.</w:t>
      </w:r>
    </w:p>
    <w:p w14:paraId="31088F4A" w14:textId="77777777" w:rsidR="005936CB" w:rsidRPr="003F2648" w:rsidRDefault="005936CB" w:rsidP="005936CB">
      <w:pPr>
        <w:jc w:val="both"/>
        <w:rPr>
          <w:rFonts w:ascii="Arial" w:hAnsi="Arial" w:cs="Arial"/>
        </w:rPr>
      </w:pPr>
      <w:r w:rsidRPr="003F2648">
        <w:rPr>
          <w:rFonts w:ascii="Arial" w:hAnsi="Arial" w:cs="Arial"/>
        </w:rPr>
        <w:fldChar w:fldCharType="end"/>
      </w:r>
    </w:p>
    <w:p w14:paraId="0037C962" w14:textId="77777777" w:rsidR="00B01FCD" w:rsidRPr="00FB3A86" w:rsidRDefault="00B01FCD" w:rsidP="005936CB">
      <w:pPr>
        <w:pStyle w:val="AbstHead"/>
        <w:spacing w:after="0"/>
        <w:jc w:val="both"/>
        <w:rPr>
          <w:rFonts w:ascii="Arial" w:hAnsi="Arial" w:cs="Arial"/>
          <w:b w:val="0"/>
        </w:rPr>
      </w:pPr>
    </w:p>
    <w:sectPr w:rsidR="00B01FCD" w:rsidRPr="00FB3A86" w:rsidSect="005074D1">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8601C" w14:textId="77777777" w:rsidR="00E2514F" w:rsidRDefault="00E2514F" w:rsidP="00C37E61">
      <w:r>
        <w:separator/>
      </w:r>
    </w:p>
  </w:endnote>
  <w:endnote w:type="continuationSeparator" w:id="0">
    <w:p w14:paraId="370A6856" w14:textId="77777777" w:rsidR="00E2514F" w:rsidRDefault="00E2514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4BCFC" w14:textId="77777777" w:rsidR="000E0D18" w:rsidRDefault="000E0D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85B11" w14:textId="77777777" w:rsidR="000E0D18" w:rsidRDefault="000E0D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A92FB" w14:textId="3C3CABFB" w:rsidR="00754C9A" w:rsidRPr="005074D1" w:rsidRDefault="00754C9A" w:rsidP="005074D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7DF75"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74569" w14:textId="77777777" w:rsidR="00E2514F" w:rsidRDefault="00E2514F" w:rsidP="00C37E61">
      <w:r>
        <w:separator/>
      </w:r>
    </w:p>
  </w:footnote>
  <w:footnote w:type="continuationSeparator" w:id="0">
    <w:p w14:paraId="4B99B69E" w14:textId="77777777" w:rsidR="00E2514F" w:rsidRDefault="00E2514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D1461" w14:textId="0B9156E9" w:rsidR="000E0D18" w:rsidRDefault="000E0D18">
    <w:pPr>
      <w:pStyle w:val="Header"/>
    </w:pPr>
    <w:r>
      <w:rPr>
        <w:noProof/>
      </w:rPr>
      <w:pict w14:anchorId="48193E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249938"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3D303" w14:textId="71E6A69E" w:rsidR="000E0D18" w:rsidRDefault="000E0D18">
    <w:pPr>
      <w:pStyle w:val="Header"/>
    </w:pPr>
    <w:r>
      <w:rPr>
        <w:noProof/>
      </w:rPr>
      <w:pict w14:anchorId="16EBDF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249939"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1BEFB" w14:textId="2648AF25" w:rsidR="00296529" w:rsidRPr="00296529" w:rsidRDefault="000E0D18" w:rsidP="00296529">
    <w:pPr>
      <w:ind w:left="2160"/>
      <w:jc w:val="center"/>
      <w:rPr>
        <w:rFonts w:ascii="Times New Roman" w:eastAsia="Calibri" w:hAnsi="Times New Roman"/>
        <w:i/>
        <w:sz w:val="18"/>
        <w:szCs w:val="22"/>
      </w:rPr>
    </w:pPr>
    <w:r>
      <w:rPr>
        <w:noProof/>
      </w:rPr>
      <w:pict w14:anchorId="47586C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249937"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0E8839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30E1578"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E5A8AF6"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291FA2C"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5375F18"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8481854"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8080D" w14:textId="2831EADB" w:rsidR="000E0D18" w:rsidRDefault="000E0D18">
    <w:pPr>
      <w:pStyle w:val="Header"/>
    </w:pPr>
    <w:r>
      <w:rPr>
        <w:noProof/>
      </w:rPr>
      <w:pict w14:anchorId="2ECDCC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249941"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68F25" w14:textId="2D0F865F" w:rsidR="000E0D18" w:rsidRDefault="000E0D18">
    <w:pPr>
      <w:pStyle w:val="Header"/>
    </w:pPr>
    <w:r>
      <w:rPr>
        <w:noProof/>
      </w:rPr>
      <w:pict w14:anchorId="4CA33A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249942"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7FED5" w14:textId="078B4D85" w:rsidR="000E0D18" w:rsidRDefault="000E0D18">
    <w:pPr>
      <w:pStyle w:val="Header"/>
    </w:pPr>
    <w:r>
      <w:rPr>
        <w:noProof/>
      </w:rPr>
      <w:pict w14:anchorId="0E2048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249940"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3C8184B"/>
    <w:multiLevelType w:val="multilevel"/>
    <w:tmpl w:val="585C5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AE26E5"/>
    <w:multiLevelType w:val="multilevel"/>
    <w:tmpl w:val="B666E9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4F007BC1"/>
    <w:multiLevelType w:val="multilevel"/>
    <w:tmpl w:val="EF80B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40352805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025591762">
    <w:abstractNumId w:val="17"/>
  </w:num>
  <w:num w:numId="3" w16cid:durableId="738330614">
    <w:abstractNumId w:val="26"/>
  </w:num>
  <w:num w:numId="4" w16cid:durableId="1303999386">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791822731">
    <w:abstractNumId w:val="8"/>
  </w:num>
  <w:num w:numId="6" w16cid:durableId="1441948826">
    <w:abstractNumId w:val="6"/>
  </w:num>
  <w:num w:numId="7" w16cid:durableId="62410717">
    <w:abstractNumId w:val="1"/>
  </w:num>
  <w:num w:numId="8" w16cid:durableId="237129399">
    <w:abstractNumId w:val="14"/>
  </w:num>
  <w:num w:numId="9" w16cid:durableId="595361320">
    <w:abstractNumId w:val="28"/>
  </w:num>
  <w:num w:numId="10" w16cid:durableId="37822302">
    <w:abstractNumId w:val="2"/>
  </w:num>
  <w:num w:numId="11" w16cid:durableId="2066103765">
    <w:abstractNumId w:val="21"/>
  </w:num>
  <w:num w:numId="12" w16cid:durableId="1139151810">
    <w:abstractNumId w:val="3"/>
  </w:num>
  <w:num w:numId="13" w16cid:durableId="242685519">
    <w:abstractNumId w:val="20"/>
  </w:num>
  <w:num w:numId="14" w16cid:durableId="1635981937">
    <w:abstractNumId w:val="9"/>
  </w:num>
  <w:num w:numId="15" w16cid:durableId="2061859920">
    <w:abstractNumId w:val="24"/>
  </w:num>
  <w:num w:numId="16" w16cid:durableId="1215849904">
    <w:abstractNumId w:val="5"/>
  </w:num>
  <w:num w:numId="17" w16cid:durableId="179241658">
    <w:abstractNumId w:val="25"/>
  </w:num>
  <w:num w:numId="18" w16cid:durableId="1274098459">
    <w:abstractNumId w:val="16"/>
  </w:num>
  <w:num w:numId="19" w16cid:durableId="1771388348">
    <w:abstractNumId w:val="31"/>
  </w:num>
  <w:num w:numId="20" w16cid:durableId="93324650">
    <w:abstractNumId w:val="13"/>
  </w:num>
  <w:num w:numId="21" w16cid:durableId="271281227">
    <w:abstractNumId w:val="10"/>
  </w:num>
  <w:num w:numId="22" w16cid:durableId="1851993388">
    <w:abstractNumId w:val="15"/>
  </w:num>
  <w:num w:numId="23" w16cid:durableId="814953483">
    <w:abstractNumId w:val="22"/>
  </w:num>
  <w:num w:numId="24" w16cid:durableId="883492846">
    <w:abstractNumId w:val="29"/>
  </w:num>
  <w:num w:numId="25" w16cid:durableId="99689140">
    <w:abstractNumId w:val="4"/>
  </w:num>
  <w:num w:numId="26" w16cid:durableId="1315262556">
    <w:abstractNumId w:val="19"/>
  </w:num>
  <w:num w:numId="27" w16cid:durableId="421881426">
    <w:abstractNumId w:val="23"/>
  </w:num>
  <w:num w:numId="28" w16cid:durableId="350766041">
    <w:abstractNumId w:val="30"/>
  </w:num>
  <w:num w:numId="29" w16cid:durableId="1882083972">
    <w:abstractNumId w:val="27"/>
  </w:num>
  <w:num w:numId="30" w16cid:durableId="1198658556">
    <w:abstractNumId w:val="11"/>
  </w:num>
  <w:num w:numId="31" w16cid:durableId="602880358">
    <w:abstractNumId w:val="7"/>
  </w:num>
  <w:num w:numId="32" w16cid:durableId="532614160">
    <w:abstractNumId w:val="18"/>
  </w:num>
  <w:num w:numId="33" w16cid:durableId="7712449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CxMDOxMDe1NDc1NDZT0lEKTi0uzszPAykwrAUAn8InfywAAAA="/>
  </w:docVars>
  <w:rsids>
    <w:rsidRoot w:val="00AA6219"/>
    <w:rsid w:val="00000F8F"/>
    <w:rsid w:val="00030174"/>
    <w:rsid w:val="0004579C"/>
    <w:rsid w:val="0005220D"/>
    <w:rsid w:val="000A47FA"/>
    <w:rsid w:val="000A65D3"/>
    <w:rsid w:val="000B1E33"/>
    <w:rsid w:val="000D689F"/>
    <w:rsid w:val="000E0D18"/>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23C50"/>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1A6C"/>
    <w:rsid w:val="003C4C86"/>
    <w:rsid w:val="003C6258"/>
    <w:rsid w:val="003E2904"/>
    <w:rsid w:val="00401927"/>
    <w:rsid w:val="0041027F"/>
    <w:rsid w:val="00412475"/>
    <w:rsid w:val="00423789"/>
    <w:rsid w:val="00440F43"/>
    <w:rsid w:val="00441B6F"/>
    <w:rsid w:val="00446221"/>
    <w:rsid w:val="00450E62"/>
    <w:rsid w:val="004539DB"/>
    <w:rsid w:val="00471A80"/>
    <w:rsid w:val="004B3E62"/>
    <w:rsid w:val="004D305E"/>
    <w:rsid w:val="004D4277"/>
    <w:rsid w:val="00502516"/>
    <w:rsid w:val="00505F06"/>
    <w:rsid w:val="00506828"/>
    <w:rsid w:val="005074D1"/>
    <w:rsid w:val="0053056E"/>
    <w:rsid w:val="00554FDA"/>
    <w:rsid w:val="005936CB"/>
    <w:rsid w:val="005C784C"/>
    <w:rsid w:val="005D17F6"/>
    <w:rsid w:val="005E5539"/>
    <w:rsid w:val="00602BF5"/>
    <w:rsid w:val="00617FDD"/>
    <w:rsid w:val="0063257E"/>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1427C"/>
    <w:rsid w:val="007369E6"/>
    <w:rsid w:val="00746E59"/>
    <w:rsid w:val="00754C9A"/>
    <w:rsid w:val="0075599A"/>
    <w:rsid w:val="00761D52"/>
    <w:rsid w:val="0077749E"/>
    <w:rsid w:val="00790ADA"/>
    <w:rsid w:val="007D2288"/>
    <w:rsid w:val="007E088F"/>
    <w:rsid w:val="007E6B93"/>
    <w:rsid w:val="007F7B32"/>
    <w:rsid w:val="00804BC2"/>
    <w:rsid w:val="0081431A"/>
    <w:rsid w:val="0083216F"/>
    <w:rsid w:val="00860000"/>
    <w:rsid w:val="00860E7A"/>
    <w:rsid w:val="00863BD3"/>
    <w:rsid w:val="008641ED"/>
    <w:rsid w:val="00866D66"/>
    <w:rsid w:val="008671C6"/>
    <w:rsid w:val="00875803"/>
    <w:rsid w:val="008A6BE5"/>
    <w:rsid w:val="008B459E"/>
    <w:rsid w:val="008D54BD"/>
    <w:rsid w:val="008E13AE"/>
    <w:rsid w:val="008E1506"/>
    <w:rsid w:val="008E710C"/>
    <w:rsid w:val="008F69D6"/>
    <w:rsid w:val="00902823"/>
    <w:rsid w:val="00915CA6"/>
    <w:rsid w:val="00927834"/>
    <w:rsid w:val="00942B25"/>
    <w:rsid w:val="009500A6"/>
    <w:rsid w:val="00957C18"/>
    <w:rsid w:val="009659BA"/>
    <w:rsid w:val="0097442E"/>
    <w:rsid w:val="00982B79"/>
    <w:rsid w:val="00983040"/>
    <w:rsid w:val="009B3FB9"/>
    <w:rsid w:val="009C2465"/>
    <w:rsid w:val="009C2A07"/>
    <w:rsid w:val="009D35A0"/>
    <w:rsid w:val="009D7EB7"/>
    <w:rsid w:val="009E048A"/>
    <w:rsid w:val="009E08E9"/>
    <w:rsid w:val="009E3DB9"/>
    <w:rsid w:val="009E6E35"/>
    <w:rsid w:val="009F09AB"/>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AF784B"/>
    <w:rsid w:val="00B01FCD"/>
    <w:rsid w:val="00B13EEB"/>
    <w:rsid w:val="00B1776C"/>
    <w:rsid w:val="00B52583"/>
    <w:rsid w:val="00B52896"/>
    <w:rsid w:val="00B95236"/>
    <w:rsid w:val="00B96BD9"/>
    <w:rsid w:val="00BA1B01"/>
    <w:rsid w:val="00BA2641"/>
    <w:rsid w:val="00BB37AA"/>
    <w:rsid w:val="00BC53A0"/>
    <w:rsid w:val="00BE4840"/>
    <w:rsid w:val="00BE62AD"/>
    <w:rsid w:val="00BF121F"/>
    <w:rsid w:val="00BF1F80"/>
    <w:rsid w:val="00C166EF"/>
    <w:rsid w:val="00C17EB0"/>
    <w:rsid w:val="00C27F5F"/>
    <w:rsid w:val="00C30A0F"/>
    <w:rsid w:val="00C37E61"/>
    <w:rsid w:val="00C65AAA"/>
    <w:rsid w:val="00C70F1B"/>
    <w:rsid w:val="00C71A47"/>
    <w:rsid w:val="00C7464C"/>
    <w:rsid w:val="00C85588"/>
    <w:rsid w:val="00C87B03"/>
    <w:rsid w:val="00CD6755"/>
    <w:rsid w:val="00CD6856"/>
    <w:rsid w:val="00CE0089"/>
    <w:rsid w:val="00CE793C"/>
    <w:rsid w:val="00CF193C"/>
    <w:rsid w:val="00D02D01"/>
    <w:rsid w:val="00D173F1"/>
    <w:rsid w:val="00D437D1"/>
    <w:rsid w:val="00D74CB0"/>
    <w:rsid w:val="00D8295D"/>
    <w:rsid w:val="00DC2A65"/>
    <w:rsid w:val="00DE15F0"/>
    <w:rsid w:val="00DE5663"/>
    <w:rsid w:val="00DE78AA"/>
    <w:rsid w:val="00E053D0"/>
    <w:rsid w:val="00E15994"/>
    <w:rsid w:val="00E2514F"/>
    <w:rsid w:val="00E3114E"/>
    <w:rsid w:val="00E31A70"/>
    <w:rsid w:val="00E35B02"/>
    <w:rsid w:val="00E52B32"/>
    <w:rsid w:val="00E66496"/>
    <w:rsid w:val="00E66B35"/>
    <w:rsid w:val="00E66E10"/>
    <w:rsid w:val="00E70970"/>
    <w:rsid w:val="00E769F6"/>
    <w:rsid w:val="00E8407C"/>
    <w:rsid w:val="00E84F3C"/>
    <w:rsid w:val="00EA012C"/>
    <w:rsid w:val="00EC516D"/>
    <w:rsid w:val="00EC6A55"/>
    <w:rsid w:val="00ED0288"/>
    <w:rsid w:val="00EE52CB"/>
    <w:rsid w:val="00EF581D"/>
    <w:rsid w:val="00EF7FD8"/>
    <w:rsid w:val="00F06F59"/>
    <w:rsid w:val="00F17988"/>
    <w:rsid w:val="00F469F0"/>
    <w:rsid w:val="00F53273"/>
    <w:rsid w:val="00F755E4"/>
    <w:rsid w:val="00F77D02"/>
    <w:rsid w:val="00FB3A86"/>
    <w:rsid w:val="00FC1C15"/>
    <w:rsid w:val="00FC389A"/>
    <w:rsid w:val="00FD36C8"/>
    <w:rsid w:val="00FE12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C7613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8D54B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uiPriority w:val="9"/>
    <w:semiHidden/>
    <w:rsid w:val="008D54BD"/>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76002522">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31698837">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F45545-82A9-4CCD-9002-16C7882A3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13</TotalTime>
  <Pages>9</Pages>
  <Words>6469</Words>
  <Characters>36877</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43260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Editor-22</cp:lastModifiedBy>
  <cp:revision>22</cp:revision>
  <cp:lastPrinted>1999-07-06T11:00:00Z</cp:lastPrinted>
  <dcterms:created xsi:type="dcterms:W3CDTF">2025-04-30T08:52:00Z</dcterms:created>
  <dcterms:modified xsi:type="dcterms:W3CDTF">2025-04-30T12:57:00Z</dcterms:modified>
</cp:coreProperties>
</file>