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128D" w14:textId="04C67471" w:rsidR="00754C9A" w:rsidRPr="005B7238" w:rsidRDefault="00754C9A" w:rsidP="00441B6F">
      <w:pPr>
        <w:pStyle w:val="Title"/>
        <w:spacing w:after="0"/>
        <w:jc w:val="both"/>
        <w:rPr>
          <w:rFonts w:ascii="Arial" w:hAnsi="Arial" w:cs="Arial"/>
        </w:rPr>
      </w:pPr>
    </w:p>
    <w:p w14:paraId="214760A6" w14:textId="67C5AA1C" w:rsidR="00163BC4" w:rsidRPr="00A13612" w:rsidRDefault="00134D14" w:rsidP="00441B6F">
      <w:pPr>
        <w:pStyle w:val="Author"/>
        <w:spacing w:line="240" w:lineRule="auto"/>
        <w:rPr>
          <w:rFonts w:ascii="Arial" w:hAnsi="Arial" w:cs="Arial"/>
          <w:bCs/>
          <w:iCs/>
          <w:kern w:val="28"/>
          <w:sz w:val="36"/>
        </w:rPr>
      </w:pPr>
      <w:r w:rsidRPr="00A13612">
        <w:rPr>
          <w:rFonts w:ascii="Arial" w:hAnsi="Arial" w:cs="Arial"/>
          <w:bCs/>
          <w:iCs/>
          <w:kern w:val="28"/>
          <w:sz w:val="36"/>
        </w:rPr>
        <w:t xml:space="preserve">Inflation-Growth Nexus: </w:t>
      </w:r>
      <w:r w:rsidR="00CD4AFE" w:rsidRPr="00A13612">
        <w:rPr>
          <w:rFonts w:ascii="Arial" w:hAnsi="Arial" w:cs="Arial"/>
          <w:bCs/>
          <w:iCs/>
          <w:kern w:val="28"/>
          <w:sz w:val="36"/>
        </w:rPr>
        <w:t>E</w:t>
      </w:r>
      <w:r w:rsidRPr="00A13612">
        <w:rPr>
          <w:rFonts w:ascii="Arial" w:hAnsi="Arial" w:cs="Arial"/>
          <w:bCs/>
          <w:iCs/>
          <w:kern w:val="28"/>
          <w:sz w:val="36"/>
        </w:rPr>
        <w:t xml:space="preserve">vidence </w:t>
      </w:r>
      <w:r w:rsidR="007B7513" w:rsidRPr="00A13612">
        <w:rPr>
          <w:rFonts w:ascii="Arial" w:hAnsi="Arial" w:cs="Arial"/>
          <w:bCs/>
          <w:iCs/>
          <w:kern w:val="28"/>
          <w:sz w:val="36"/>
        </w:rPr>
        <w:t xml:space="preserve">from </w:t>
      </w:r>
      <w:r w:rsidRPr="00A13612">
        <w:rPr>
          <w:rFonts w:ascii="Arial" w:hAnsi="Arial" w:cs="Arial"/>
          <w:bCs/>
          <w:iCs/>
          <w:kern w:val="28"/>
          <w:sz w:val="36"/>
        </w:rPr>
        <w:t>Indonesia</w:t>
      </w:r>
    </w:p>
    <w:p w14:paraId="4A538756" w14:textId="77777777" w:rsidR="00A258C3" w:rsidRPr="00A13612" w:rsidRDefault="00A258C3" w:rsidP="00441B6F">
      <w:pPr>
        <w:pStyle w:val="Author"/>
        <w:spacing w:line="240" w:lineRule="auto"/>
        <w:jc w:val="both"/>
        <w:rPr>
          <w:rFonts w:ascii="Arial" w:hAnsi="Arial" w:cs="Arial"/>
          <w:sz w:val="36"/>
        </w:rPr>
      </w:pPr>
    </w:p>
    <w:p w14:paraId="68DB894F" w14:textId="0711680E" w:rsidR="00790ADA" w:rsidRPr="00A13612" w:rsidRDefault="00B01FCD" w:rsidP="00441B6F">
      <w:pPr>
        <w:pStyle w:val="AbstHead"/>
        <w:spacing w:after="0"/>
        <w:jc w:val="both"/>
        <w:rPr>
          <w:rFonts w:ascii="Arial" w:hAnsi="Arial" w:cs="Arial"/>
        </w:rPr>
      </w:pPr>
      <w:r w:rsidRPr="00A13612">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13612" w14:paraId="307B07CD" w14:textId="77777777" w:rsidTr="001E44FE">
        <w:tc>
          <w:tcPr>
            <w:tcW w:w="9576" w:type="dxa"/>
            <w:shd w:val="clear" w:color="auto" w:fill="F2F2F2"/>
          </w:tcPr>
          <w:p w14:paraId="5F78049F" w14:textId="6AEA853E" w:rsidR="00EA3908" w:rsidRPr="00A13612" w:rsidRDefault="00BA1B01" w:rsidP="00441B6F">
            <w:pPr>
              <w:pStyle w:val="Body"/>
              <w:spacing w:after="0"/>
              <w:rPr>
                <w:rFonts w:ascii="Arial" w:eastAsia="Calibri" w:hAnsi="Arial" w:cs="Arial"/>
                <w:szCs w:val="22"/>
              </w:rPr>
            </w:pPr>
            <w:r w:rsidRPr="00A13612">
              <w:rPr>
                <w:rFonts w:ascii="Arial" w:eastAsia="Calibri" w:hAnsi="Arial" w:cs="Arial"/>
                <w:b/>
                <w:szCs w:val="22"/>
              </w:rPr>
              <w:t xml:space="preserve">Aims: </w:t>
            </w:r>
            <w:r w:rsidR="00EA3908" w:rsidRPr="00A13612">
              <w:rPr>
                <w:rFonts w:ascii="Arial" w:hAnsi="Arial" w:cs="Arial"/>
              </w:rPr>
              <w:t xml:space="preserve">This empirical research aims to provide insight regarding the nexus between inflation rates and economic growth in the context of Indonesia, while simultaneously controlling for the impact of capital formation and labor force. </w:t>
            </w:r>
          </w:p>
          <w:p w14:paraId="29CE034C" w14:textId="19701D1D" w:rsidR="00EA3908" w:rsidRPr="00A13612" w:rsidRDefault="00BA1B01" w:rsidP="00441B6F">
            <w:pPr>
              <w:pStyle w:val="Body"/>
              <w:spacing w:after="0"/>
              <w:rPr>
                <w:rFonts w:ascii="Arial" w:eastAsia="Calibri" w:hAnsi="Arial" w:cs="Arial"/>
                <w:szCs w:val="22"/>
              </w:rPr>
            </w:pPr>
            <w:r w:rsidRPr="00A13612">
              <w:rPr>
                <w:rFonts w:ascii="Arial" w:eastAsia="Calibri" w:hAnsi="Arial" w:cs="Arial"/>
                <w:b/>
                <w:bCs/>
                <w:szCs w:val="22"/>
              </w:rPr>
              <w:t>Methodology:</w:t>
            </w:r>
            <w:r w:rsidRPr="00A13612">
              <w:rPr>
                <w:rFonts w:ascii="Arial" w:eastAsia="Calibri" w:hAnsi="Arial" w:cs="Arial"/>
                <w:szCs w:val="22"/>
              </w:rPr>
              <w:t xml:space="preserve"> </w:t>
            </w:r>
            <w:r w:rsidR="00EA3908" w:rsidRPr="00A13612">
              <w:rPr>
                <w:rFonts w:ascii="Arial" w:eastAsia="Calibri" w:hAnsi="Arial" w:cs="Arial"/>
                <w:szCs w:val="22"/>
              </w:rPr>
              <w:t xml:space="preserve">This research relies on time-series data spanning from 1985 to 2023. All the data used were collected from the World Bank. </w:t>
            </w:r>
            <w:r w:rsidR="00EA3908" w:rsidRPr="00A13612">
              <w:rPr>
                <w:rFonts w:ascii="Arial" w:hAnsi="Arial" w:cs="Arial"/>
              </w:rPr>
              <w:t xml:space="preserve">The Autoregressive Distributed Lag (ARDL) bounds testing technique is utilized to explore the long-run relationship among the variables, as well as the Toda-Yamamoto causality test for unraveling the direction of causal linkages. </w:t>
            </w:r>
          </w:p>
          <w:p w14:paraId="5000482B" w14:textId="2D75A29D" w:rsidR="00EA3908" w:rsidRPr="00A13612" w:rsidRDefault="00BA1B01" w:rsidP="00441B6F">
            <w:pPr>
              <w:pStyle w:val="Body"/>
              <w:spacing w:after="0"/>
              <w:rPr>
                <w:rFonts w:ascii="Arial" w:hAnsi="Arial" w:cs="Arial"/>
              </w:rPr>
            </w:pPr>
            <w:r w:rsidRPr="00A13612">
              <w:rPr>
                <w:rFonts w:ascii="Arial" w:eastAsia="Calibri" w:hAnsi="Arial" w:cs="Arial"/>
                <w:b/>
                <w:bCs/>
                <w:szCs w:val="22"/>
              </w:rPr>
              <w:t>Results:</w:t>
            </w:r>
            <w:r w:rsidR="00EA3908" w:rsidRPr="00A13612">
              <w:rPr>
                <w:rFonts w:ascii="Arial" w:eastAsia="Calibri" w:hAnsi="Arial" w:cs="Arial"/>
                <w:b/>
                <w:bCs/>
                <w:szCs w:val="22"/>
              </w:rPr>
              <w:t xml:space="preserve"> </w:t>
            </w:r>
            <w:r w:rsidR="00EA3908" w:rsidRPr="00A13612">
              <w:rPr>
                <w:rFonts w:ascii="Arial" w:eastAsia="Calibri" w:hAnsi="Arial" w:cs="Arial"/>
                <w:szCs w:val="22"/>
              </w:rPr>
              <w:t>Consumer price index</w:t>
            </w:r>
            <w:r w:rsidR="00EA3908" w:rsidRPr="00A13612">
              <w:rPr>
                <w:rFonts w:ascii="Arial" w:hAnsi="Arial" w:cs="Arial"/>
              </w:rPr>
              <w:t xml:space="preserve"> exerts a negative influence on economic growth in Indonesia during the sample period. Higher inflation rates hamper business activities and purchasing power parities, and consequently, decline total output growth. Regarding control </w:t>
            </w:r>
            <w:proofErr w:type="gramStart"/>
            <w:r w:rsidR="00EA3908" w:rsidRPr="00A13612">
              <w:rPr>
                <w:rFonts w:ascii="Arial" w:hAnsi="Arial" w:cs="Arial"/>
              </w:rPr>
              <w:t>variables,  gross</w:t>
            </w:r>
            <w:proofErr w:type="gramEnd"/>
            <w:r w:rsidR="00EA3908" w:rsidRPr="00A13612">
              <w:rPr>
                <w:rFonts w:ascii="Arial" w:hAnsi="Arial" w:cs="Arial"/>
              </w:rPr>
              <w:t xml:space="preserve"> fixed capital formation and labor force are positively associated with economic growth as expected. </w:t>
            </w:r>
            <w:r w:rsidR="00AD73C5" w:rsidRPr="00A13612">
              <w:rPr>
                <w:rFonts w:ascii="Arial" w:hAnsi="Arial" w:cs="Arial"/>
              </w:rPr>
              <w:t xml:space="preserve">The results of the TY test signify </w:t>
            </w:r>
            <w:r w:rsidR="00EA3908" w:rsidRPr="00A13612">
              <w:rPr>
                <w:rFonts w:ascii="Arial" w:hAnsi="Arial" w:cs="Arial"/>
              </w:rPr>
              <w:t xml:space="preserve">bidirectional causality between inflation rates and economic growth. </w:t>
            </w:r>
          </w:p>
          <w:p w14:paraId="286B1E6D" w14:textId="534C85BA" w:rsidR="00505F06" w:rsidRPr="00A13612" w:rsidRDefault="00BA1B01" w:rsidP="00441B6F">
            <w:pPr>
              <w:pStyle w:val="Body"/>
              <w:spacing w:after="0"/>
              <w:rPr>
                <w:rFonts w:ascii="Arial" w:eastAsia="Calibri" w:hAnsi="Arial" w:cs="Arial"/>
                <w:szCs w:val="22"/>
              </w:rPr>
            </w:pPr>
            <w:r w:rsidRPr="00A13612">
              <w:rPr>
                <w:rFonts w:ascii="Arial" w:eastAsia="Calibri" w:hAnsi="Arial" w:cs="Arial"/>
                <w:b/>
                <w:bCs/>
                <w:szCs w:val="22"/>
              </w:rPr>
              <w:t>Conclusion:</w:t>
            </w:r>
            <w:r w:rsidRPr="00A13612">
              <w:rPr>
                <w:rFonts w:ascii="Arial" w:eastAsia="Calibri" w:hAnsi="Arial" w:cs="Arial"/>
                <w:szCs w:val="22"/>
              </w:rPr>
              <w:t xml:space="preserve"> </w:t>
            </w:r>
            <w:r w:rsidR="00AD73C5" w:rsidRPr="00A13612">
              <w:rPr>
                <w:rFonts w:ascii="Arial" w:hAnsi="Arial" w:cs="Arial"/>
              </w:rPr>
              <w:t xml:space="preserve">Following the </w:t>
            </w:r>
            <w:proofErr w:type="spellStart"/>
            <w:r w:rsidR="00AD73C5" w:rsidRPr="00A13612">
              <w:rPr>
                <w:rFonts w:ascii="Arial" w:hAnsi="Arial" w:cs="Arial"/>
              </w:rPr>
              <w:t>empiricial</w:t>
            </w:r>
            <w:proofErr w:type="spellEnd"/>
            <w:r w:rsidR="00AD73C5" w:rsidRPr="00A13612">
              <w:rPr>
                <w:rFonts w:ascii="Arial" w:hAnsi="Arial" w:cs="Arial"/>
              </w:rPr>
              <w:t xml:space="preserve"> findings, it is crucial to maintain inflation rates at a low level to spur economic growth. </w:t>
            </w:r>
          </w:p>
        </w:tc>
      </w:tr>
    </w:tbl>
    <w:p w14:paraId="7AE712E5" w14:textId="77777777" w:rsidR="00636EB2" w:rsidRPr="00A13612" w:rsidRDefault="00636EB2" w:rsidP="00441B6F">
      <w:pPr>
        <w:pStyle w:val="Body"/>
        <w:spacing w:after="0"/>
        <w:rPr>
          <w:rFonts w:ascii="Arial" w:hAnsi="Arial" w:cs="Arial"/>
          <w:i/>
        </w:rPr>
      </w:pPr>
    </w:p>
    <w:p w14:paraId="212266F6" w14:textId="64C94FA3" w:rsidR="0024282C" w:rsidRPr="00A13612" w:rsidRDefault="00A24E7E" w:rsidP="00134D14">
      <w:pPr>
        <w:pStyle w:val="Body"/>
        <w:spacing w:after="0"/>
        <w:rPr>
          <w:rFonts w:ascii="Arial" w:hAnsi="Arial" w:cs="Arial"/>
          <w:i/>
        </w:rPr>
      </w:pPr>
      <w:r w:rsidRPr="00A13612">
        <w:rPr>
          <w:rFonts w:ascii="Arial" w:hAnsi="Arial" w:cs="Arial"/>
          <w:i/>
        </w:rPr>
        <w:t xml:space="preserve">Keywords: </w:t>
      </w:r>
      <w:r w:rsidR="00AD73C5" w:rsidRPr="00A13612">
        <w:rPr>
          <w:rFonts w:ascii="Arial" w:hAnsi="Arial" w:cs="Arial"/>
          <w:i/>
        </w:rPr>
        <w:t xml:space="preserve">Economic growth, </w:t>
      </w:r>
      <w:r w:rsidR="00606910" w:rsidRPr="00A13612">
        <w:rPr>
          <w:rFonts w:ascii="Arial" w:hAnsi="Arial" w:cs="Arial"/>
          <w:i/>
        </w:rPr>
        <w:t>Consumer Price Index</w:t>
      </w:r>
      <w:r w:rsidR="00AD73C5" w:rsidRPr="00A13612">
        <w:rPr>
          <w:rFonts w:ascii="Arial" w:hAnsi="Arial" w:cs="Arial"/>
          <w:i/>
        </w:rPr>
        <w:t>, Indonesia</w:t>
      </w:r>
      <w:r w:rsidR="00606910" w:rsidRPr="00A13612">
        <w:rPr>
          <w:rFonts w:ascii="Arial" w:hAnsi="Arial" w:cs="Arial"/>
          <w:i/>
        </w:rPr>
        <w:t>, ARDL-Bounds testing</w:t>
      </w:r>
      <w:r w:rsidR="00AD73C5" w:rsidRPr="00A13612">
        <w:rPr>
          <w:rFonts w:ascii="Arial" w:hAnsi="Arial" w:cs="Arial"/>
          <w:i/>
        </w:rPr>
        <w:t xml:space="preserve"> </w:t>
      </w:r>
    </w:p>
    <w:p w14:paraId="3FD4A390" w14:textId="77777777" w:rsidR="00505F06" w:rsidRPr="00A13612" w:rsidRDefault="00505F06" w:rsidP="00441B6F">
      <w:pPr>
        <w:pStyle w:val="Body"/>
        <w:spacing w:after="0"/>
        <w:rPr>
          <w:rFonts w:ascii="Arial" w:hAnsi="Arial" w:cs="Arial"/>
          <w:i/>
        </w:rPr>
      </w:pPr>
    </w:p>
    <w:p w14:paraId="5B93ADFE" w14:textId="29FDD886" w:rsidR="007F7B32" w:rsidRPr="00A13612" w:rsidRDefault="00902823" w:rsidP="00441B6F">
      <w:pPr>
        <w:pStyle w:val="AbstHead"/>
        <w:spacing w:after="0"/>
        <w:jc w:val="both"/>
        <w:rPr>
          <w:rFonts w:ascii="Arial" w:hAnsi="Arial" w:cs="Arial"/>
        </w:rPr>
      </w:pPr>
      <w:r w:rsidRPr="00A13612">
        <w:rPr>
          <w:rFonts w:ascii="Arial" w:hAnsi="Arial" w:cs="Arial"/>
        </w:rPr>
        <w:t xml:space="preserve">1. </w:t>
      </w:r>
      <w:r w:rsidR="00B01FCD" w:rsidRPr="00A13612">
        <w:rPr>
          <w:rFonts w:ascii="Arial" w:hAnsi="Arial" w:cs="Arial"/>
        </w:rPr>
        <w:t>INTRODUCTION</w:t>
      </w:r>
    </w:p>
    <w:p w14:paraId="4B86CB94" w14:textId="77777777" w:rsidR="00790ADA" w:rsidRPr="00A13612" w:rsidRDefault="00790ADA" w:rsidP="00441B6F">
      <w:pPr>
        <w:pStyle w:val="AbstHead"/>
        <w:spacing w:after="0"/>
        <w:jc w:val="both"/>
        <w:rPr>
          <w:rFonts w:ascii="Arial" w:hAnsi="Arial" w:cs="Arial"/>
        </w:rPr>
      </w:pPr>
    </w:p>
    <w:p w14:paraId="27909BF5" w14:textId="6BFCEF7F" w:rsidR="00705B7D" w:rsidRPr="00A13612" w:rsidRDefault="00AD73C5" w:rsidP="00AD73C5">
      <w:pPr>
        <w:pStyle w:val="Body"/>
        <w:spacing w:after="0"/>
        <w:rPr>
          <w:rFonts w:ascii="Arial" w:hAnsi="Arial" w:cs="Arial"/>
        </w:rPr>
      </w:pPr>
      <w:r w:rsidRPr="00A13612">
        <w:rPr>
          <w:rFonts w:ascii="Arial" w:hAnsi="Arial" w:cs="Arial"/>
        </w:rPr>
        <w:t xml:space="preserve">Unraveling the </w:t>
      </w:r>
      <w:r w:rsidR="00104560" w:rsidRPr="00A13612">
        <w:rPr>
          <w:rFonts w:ascii="Arial" w:hAnsi="Arial" w:cs="Arial"/>
        </w:rPr>
        <w:t>linkage</w:t>
      </w:r>
      <w:r w:rsidRPr="00A13612">
        <w:rPr>
          <w:rFonts w:ascii="Arial" w:hAnsi="Arial" w:cs="Arial"/>
        </w:rPr>
        <w:t xml:space="preserve"> between inflation and economic growth has been a principal matter of debate among economists and policymakers worldwide for decades</w:t>
      </w:r>
      <w:r w:rsidR="00104560" w:rsidRPr="00A13612">
        <w:rPr>
          <w:rFonts w:ascii="Arial" w:hAnsi="Arial" w:cs="Arial"/>
        </w:rPr>
        <w:t>, particularly in emerging countries such as Indonesia.</w:t>
      </w:r>
      <w:r w:rsidRPr="00A13612">
        <w:rPr>
          <w:rFonts w:ascii="Arial" w:hAnsi="Arial" w:cs="Arial"/>
        </w:rPr>
        <w:t xml:space="preserve"> Inflation, defined as a sustained increase in the </w:t>
      </w:r>
      <w:r w:rsidR="00104560" w:rsidRPr="00A13612">
        <w:rPr>
          <w:rFonts w:ascii="Arial" w:hAnsi="Arial" w:cs="Arial"/>
        </w:rPr>
        <w:t xml:space="preserve">aggregate </w:t>
      </w:r>
      <w:r w:rsidRPr="00A13612">
        <w:rPr>
          <w:rFonts w:ascii="Arial" w:hAnsi="Arial" w:cs="Arial"/>
        </w:rPr>
        <w:t xml:space="preserve">price level of goods and services, can </w:t>
      </w:r>
      <w:r w:rsidR="00104560" w:rsidRPr="00A13612">
        <w:rPr>
          <w:rFonts w:ascii="Arial" w:hAnsi="Arial" w:cs="Arial"/>
        </w:rPr>
        <w:t>drive</w:t>
      </w:r>
      <w:r w:rsidRPr="00A13612">
        <w:rPr>
          <w:rFonts w:ascii="Arial" w:hAnsi="Arial" w:cs="Arial"/>
        </w:rPr>
        <w:t xml:space="preserve"> multifaceted impacts on an economy, consisting of positive and negative effects</w:t>
      </w:r>
      <w:r w:rsidR="00104560" w:rsidRPr="00A13612">
        <w:rPr>
          <w:rFonts w:ascii="Arial" w:hAnsi="Arial" w:cs="Arial"/>
        </w:rPr>
        <w:t xml:space="preserve"> </w:t>
      </w:r>
      <w:r w:rsidR="00104560" w:rsidRPr="00A13612">
        <w:rPr>
          <w:rFonts w:ascii="Arial" w:hAnsi="Arial" w:cs="Arial"/>
        </w:rPr>
        <w:fldChar w:fldCharType="begin" w:fldLock="1"/>
      </w:r>
      <w:r w:rsidR="00705B7D" w:rsidRPr="00A13612">
        <w:rPr>
          <w:rFonts w:ascii="Arial" w:hAnsi="Arial" w:cs="Arial"/>
        </w:rPr>
        <w:instrText>ADDIN CSL_CITATION {"citationItems":[{"id":"ITEM-1","itemData":{"DOI":"10.1057/978-1-349-95121-5_888-2","ISBN":"978-1-349-95121-5","abstract":"This article essay reviews the theoretical and empirical literature on the causes and consequences of inflation – of a continuously rising price level and falling value of money. It describes the research agendas using the analytical distinction between anticipated inflation – an idealized situation in which prices are rising at a rate at which all economic agents expect them to rise – and unanticipated inflation. The literature on the effects of inflation on economic growth and unemployment, inflation in open economies, positive theories of central bank behavior, inflation and fiscal policy, and policies towards inflation including interest rate and inflation targeting receives particular attention.","author":[{"dropping-particle":"","family":"Parkin","given":"Michael","non-dropping-particle":"","parse-names":false,"suffix":""}],"id":"ITEM-1","issued":{"date-parts":[["2017"]]},"page":"1-14","publisher":"Palgrave Macmillan UK","publisher-place":"London","title":"Inflation BT  - The New Palgrave Dictionary of Economics","type":"chapter"},"uris":["http://www.mendeley.com/documents/?uuid=76f6337c-9cb3-4d12-af66-0986357b43b7"]}],"mendeley":{"formattedCitation":"(Parkin, 2017)","plainTextFormattedCitation":"(Parkin, 2017)","previouslyFormattedCitation":"(Parkin, 2017)"},"properties":{"noteIndex":0},"schema":"https://github.com/citation-style-language/schema/raw/master/csl-citation.json"}</w:instrText>
      </w:r>
      <w:r w:rsidR="00104560" w:rsidRPr="00A13612">
        <w:rPr>
          <w:rFonts w:ascii="Arial" w:hAnsi="Arial" w:cs="Arial"/>
        </w:rPr>
        <w:fldChar w:fldCharType="separate"/>
      </w:r>
      <w:r w:rsidR="00705B7D" w:rsidRPr="00A13612">
        <w:rPr>
          <w:rFonts w:ascii="Arial" w:hAnsi="Arial" w:cs="Arial"/>
          <w:noProof/>
        </w:rPr>
        <w:t>(Parkin, 2017)</w:t>
      </w:r>
      <w:r w:rsidR="00104560" w:rsidRPr="00A13612">
        <w:rPr>
          <w:rFonts w:ascii="Arial" w:hAnsi="Arial" w:cs="Arial"/>
        </w:rPr>
        <w:fldChar w:fldCharType="end"/>
      </w:r>
      <w:r w:rsidRPr="00A13612">
        <w:rPr>
          <w:rFonts w:ascii="Arial" w:hAnsi="Arial" w:cs="Arial"/>
        </w:rPr>
        <w:t xml:space="preserve">. </w:t>
      </w:r>
      <w:r w:rsidR="00705B7D" w:rsidRPr="00A13612">
        <w:rPr>
          <w:rFonts w:ascii="Arial" w:hAnsi="Arial" w:cs="Arial"/>
        </w:rPr>
        <w:t>The impact of inflation on the economy</w:t>
      </w:r>
      <w:r w:rsidRPr="00A13612">
        <w:rPr>
          <w:rFonts w:ascii="Arial" w:hAnsi="Arial" w:cs="Arial"/>
        </w:rPr>
        <w:t xml:space="preserve"> </w:t>
      </w:r>
      <w:r w:rsidR="00705B7D" w:rsidRPr="00A13612">
        <w:rPr>
          <w:rFonts w:ascii="Arial" w:hAnsi="Arial" w:cs="Arial"/>
        </w:rPr>
        <w:t>varies</w:t>
      </w:r>
      <w:r w:rsidRPr="00A13612">
        <w:rPr>
          <w:rFonts w:ascii="Arial" w:hAnsi="Arial" w:cs="Arial"/>
        </w:rPr>
        <w:t xml:space="preserve"> from influencing consumer spending decisions to affecting a nation's trade balance and overall economic stability</w:t>
      </w:r>
      <w:r w:rsidR="00705B7D" w:rsidRPr="00A13612">
        <w:rPr>
          <w:rFonts w:ascii="Arial" w:hAnsi="Arial" w:cs="Arial"/>
        </w:rPr>
        <w:t xml:space="preserve"> </w:t>
      </w:r>
      <w:r w:rsidR="00705B7D" w:rsidRPr="00A13612">
        <w:rPr>
          <w:rFonts w:ascii="Arial" w:hAnsi="Arial" w:cs="Arial"/>
        </w:rPr>
        <w:fldChar w:fldCharType="begin" w:fldLock="1"/>
      </w:r>
      <w:r w:rsidR="00705B7D" w:rsidRPr="00A13612">
        <w:rPr>
          <w:rFonts w:ascii="Arial" w:hAnsi="Arial" w:cs="Arial"/>
        </w:rPr>
        <w:instrText>ADDIN CSL_CITATION {"citationItems":[{"id":"ITEM-1","itemData":{"DOI":"10.1108/jhass-05-2023-0054","abstract":"Purpose-This study investigates consumer purchase behavior during the steady devaluation of currency, which led to increase in inflation rates in Egypt. Design/methodology/approach-This study collected and analyzed numerical data to test the causal relationships found among the research model variables. Administrated questionnaires were distributed March 2023 in cross-sectional timeframe in several visits to hypermarkets, supermarkets and grocery stores in Cairo and Alexandria, applying nonprobability sample. Structure equation model path analysis was used to test the hypotheses. Findings-This study shows compulsive buying, sense of anxiety, value shopping, attitude toward private label, attractiveness of local brands and materialistic behaviors impact consumers' acceptance of alternative brands; compulsive buying, sense of anxiety and materialistic behaviors impact the continuance of purchasing accustomed brands. Practical implications-Retailers, government and policymakers can use this study as a guide to know how consumers react during times of high prices so to provide solutions to their needs. Policymakers should take into account the findings in managing the economy. Originality/value-This study shows the effect of inflation on consumer spending to contribute to the body of knowledge in literature on the factors that influence consumer behaviors. A model was developed to frame the possible manners that might surface among consumers during times of high inflation; it reflected whether compulsive buying, sense of anxiety, value shopping, attitude toward private label, attractiveness of local brands and materialistic behaviors impact consumers acceptance of alternative brands and/or the continuance of purchasing accustomed brand.","author":[{"dropping-particle":"","family":"Negm","given":"Eiman Medhat","non-dropping-particle":"","parse-names":false,"suffix":""}],"container-title":"Journal of Humanities and Applied Social Sciences","id":"ITEM-1","issue":"5","issued":{"date-parts":[["2023"]]},"page":"383-401","title":"Consumers' purchase behavior reactions: a focus on the steady devaluation of currency, compounding increase in inflation rates in Egypt","type":"article-journal","volume":"5"},"uris":["http://www.mendeley.com/documents/?uuid=04af036d-25b5-490c-ae2e-941e3c544253"]}],"mendeley":{"formattedCitation":"(Negm, 2023)","plainTextFormattedCitation":"(Negm, 2023)","previouslyFormattedCitation":"(Negm, 2023)"},"properties":{"noteIndex":0},"schema":"https://github.com/citation-style-language/schema/raw/master/csl-citation.json"}</w:instrText>
      </w:r>
      <w:r w:rsidR="00705B7D" w:rsidRPr="00A13612">
        <w:rPr>
          <w:rFonts w:ascii="Arial" w:hAnsi="Arial" w:cs="Arial"/>
        </w:rPr>
        <w:fldChar w:fldCharType="separate"/>
      </w:r>
      <w:r w:rsidR="00705B7D" w:rsidRPr="00A13612">
        <w:rPr>
          <w:rFonts w:ascii="Arial" w:hAnsi="Arial" w:cs="Arial"/>
          <w:noProof/>
        </w:rPr>
        <w:t>(Negm, 2023)</w:t>
      </w:r>
      <w:r w:rsidR="00705B7D" w:rsidRPr="00A13612">
        <w:rPr>
          <w:rFonts w:ascii="Arial" w:hAnsi="Arial" w:cs="Arial"/>
        </w:rPr>
        <w:fldChar w:fldCharType="end"/>
      </w:r>
      <w:r w:rsidRPr="00A13612">
        <w:rPr>
          <w:rFonts w:ascii="Arial" w:hAnsi="Arial" w:cs="Arial"/>
        </w:rPr>
        <w:t xml:space="preserve">. </w:t>
      </w:r>
      <w:r w:rsidR="00705B7D" w:rsidRPr="00A13612">
        <w:rPr>
          <w:rFonts w:ascii="Arial" w:hAnsi="Arial" w:cs="Arial"/>
        </w:rPr>
        <w:t xml:space="preserve">It </w:t>
      </w:r>
      <w:r w:rsidR="0067001B" w:rsidRPr="00A13612">
        <w:rPr>
          <w:rFonts w:ascii="Arial" w:hAnsi="Arial" w:cs="Arial"/>
        </w:rPr>
        <w:t>must be remarked</w:t>
      </w:r>
      <w:r w:rsidR="00705B7D" w:rsidRPr="00A13612">
        <w:rPr>
          <w:rFonts w:ascii="Arial" w:hAnsi="Arial" w:cs="Arial"/>
        </w:rPr>
        <w:t xml:space="preserve"> that </w:t>
      </w:r>
      <w:r w:rsidR="0067001B" w:rsidRPr="00A13612">
        <w:rPr>
          <w:rFonts w:ascii="Arial" w:hAnsi="Arial" w:cs="Arial"/>
        </w:rPr>
        <w:t>inflation rates</w:t>
      </w:r>
      <w:r w:rsidR="00705B7D" w:rsidRPr="00A13612">
        <w:rPr>
          <w:rFonts w:ascii="Arial" w:hAnsi="Arial" w:cs="Arial"/>
        </w:rPr>
        <w:t xml:space="preserve"> </w:t>
      </w:r>
      <w:r w:rsidR="0067001B" w:rsidRPr="00A13612">
        <w:rPr>
          <w:rFonts w:ascii="Arial" w:hAnsi="Arial" w:cs="Arial"/>
        </w:rPr>
        <w:t>are strongly</w:t>
      </w:r>
      <w:r w:rsidR="00705B7D" w:rsidRPr="00A13612">
        <w:rPr>
          <w:rFonts w:ascii="Arial" w:hAnsi="Arial" w:cs="Arial"/>
        </w:rPr>
        <w:t xml:space="preserve"> associated </w:t>
      </w:r>
      <w:r w:rsidR="0067001B" w:rsidRPr="00A13612">
        <w:rPr>
          <w:rFonts w:ascii="Arial" w:hAnsi="Arial" w:cs="Arial"/>
        </w:rPr>
        <w:t>with</w:t>
      </w:r>
      <w:r w:rsidR="00705B7D" w:rsidRPr="00A13612">
        <w:rPr>
          <w:rFonts w:ascii="Arial" w:hAnsi="Arial" w:cs="Arial"/>
        </w:rPr>
        <w:t xml:space="preserve"> purchasing power parity</w:t>
      </w:r>
      <w:r w:rsidR="0067001B" w:rsidRPr="00A13612">
        <w:rPr>
          <w:rFonts w:ascii="Arial" w:hAnsi="Arial" w:cs="Arial"/>
        </w:rPr>
        <w:t xml:space="preserve"> and depreciation </w:t>
      </w:r>
      <w:r w:rsidR="0067001B" w:rsidRPr="00A13612">
        <w:rPr>
          <w:rFonts w:ascii="Arial" w:hAnsi="Arial" w:cs="Arial"/>
        </w:rPr>
        <w:fldChar w:fldCharType="begin" w:fldLock="1"/>
      </w:r>
      <w:r w:rsidR="0067001B" w:rsidRPr="00A13612">
        <w:rPr>
          <w:rFonts w:ascii="Arial" w:hAnsi="Arial" w:cs="Arial"/>
        </w:rPr>
        <w:instrText>ADDIN CSL_CITATION {"citationItems":[{"id":"ITEM-1","itemData":{"DOI":"https://doi.org/10.1016/j.jimonfin.2020.102260","ISSN":"0261-5606","abstract":"We test for long-run covariability between nominal exchange rate depreciation and inflation differentials to provide a new perspective on long-run Purchasing Power Parity (PPP). The method directly tests Cassel’s concept of relative PPP and is more robust to departures from exact unit roots in nominal exchange rates or relative prices than standard unit root and cointegration tests for PPP. The central result of the paper is that the 90 percent confidence interval for (1) the long-run correlation coefficient is above zero and (2) the long-run linear regression coefficient contains one and, therefore, long-run PPP cannot be rejected for 9 of the 16 countries. For six of the countries, adding a third criterion that the confidence interval for the long-run linear regression coefficient have relatively narrow bands provides strong evidence of long-run PPP. The evidence of long-run PPP is much stronger for high inflation/high depreciation countries than for low inflation/low depreciation countries.","author":[{"dropping-particle":"","family":"Papell","given":"David H","non-dropping-particle":"","parse-names":false,"suffix":""},{"dropping-particle":"","family":"Prodan","given":"Ruxandra","non-dropping-particle":"","parse-names":false,"suffix":""}],"container-title":"Journal of International Money and Finance","id":"ITEM-1","issued":{"date-parts":[["2020"]]},"page":"102260","title":"Long-run purchasing power parity redux","type":"article-journal","volume":"109"},"uris":["http://www.mendeley.com/documents/?uuid=09407cdf-1df9-4f5f-94c3-b0a349142ea9"]}],"mendeley":{"formattedCitation":"(Papell &amp; Prodan, 2020)","plainTextFormattedCitation":"(Papell &amp; Prodan, 2020)","previouslyFormattedCitation":"(Papell &amp; Prodan, 2020)"},"properties":{"noteIndex":0},"schema":"https://github.com/citation-style-language/schema/raw/master/csl-citation.json"}</w:instrText>
      </w:r>
      <w:r w:rsidR="0067001B" w:rsidRPr="00A13612">
        <w:rPr>
          <w:rFonts w:ascii="Arial" w:hAnsi="Arial" w:cs="Arial"/>
        </w:rPr>
        <w:fldChar w:fldCharType="separate"/>
      </w:r>
      <w:r w:rsidR="0067001B" w:rsidRPr="00A13612">
        <w:rPr>
          <w:rFonts w:ascii="Arial" w:hAnsi="Arial" w:cs="Arial"/>
          <w:noProof/>
        </w:rPr>
        <w:t>(Papell &amp; Prodan, 2020)</w:t>
      </w:r>
      <w:r w:rsidR="0067001B" w:rsidRPr="00A13612">
        <w:rPr>
          <w:rFonts w:ascii="Arial" w:hAnsi="Arial" w:cs="Arial"/>
        </w:rPr>
        <w:fldChar w:fldCharType="end"/>
      </w:r>
      <w:r w:rsidR="00705B7D" w:rsidRPr="00A13612">
        <w:rPr>
          <w:rFonts w:ascii="Arial" w:hAnsi="Arial" w:cs="Arial"/>
        </w:rPr>
        <w:t xml:space="preserve">. </w:t>
      </w:r>
    </w:p>
    <w:p w14:paraId="0E8BB06C" w14:textId="77777777" w:rsidR="00705B7D" w:rsidRPr="00A13612" w:rsidRDefault="00705B7D" w:rsidP="00AD73C5">
      <w:pPr>
        <w:pStyle w:val="Body"/>
        <w:spacing w:after="0"/>
        <w:rPr>
          <w:rFonts w:ascii="Arial" w:hAnsi="Arial" w:cs="Arial"/>
        </w:rPr>
      </w:pPr>
    </w:p>
    <w:p w14:paraId="48D95EE9" w14:textId="500570A0" w:rsidR="00171382" w:rsidRPr="00A13612" w:rsidRDefault="00AD73C5" w:rsidP="00AD73C5">
      <w:pPr>
        <w:pStyle w:val="Body"/>
        <w:spacing w:after="0"/>
        <w:rPr>
          <w:rFonts w:ascii="Arial" w:hAnsi="Arial" w:cs="Arial"/>
        </w:rPr>
      </w:pPr>
      <w:r w:rsidRPr="00A13612">
        <w:rPr>
          <w:rFonts w:ascii="Arial" w:hAnsi="Arial" w:cs="Arial"/>
        </w:rPr>
        <w:t>Furthermore, inflation</w:t>
      </w:r>
      <w:r w:rsidR="00171382" w:rsidRPr="00A13612">
        <w:rPr>
          <w:rFonts w:ascii="Arial" w:hAnsi="Arial" w:cs="Arial"/>
        </w:rPr>
        <w:t xml:space="preserve"> </w:t>
      </w:r>
      <w:r w:rsidRPr="00A13612">
        <w:rPr>
          <w:rFonts w:ascii="Arial" w:hAnsi="Arial" w:cs="Arial"/>
        </w:rPr>
        <w:t xml:space="preserve">significantly </w:t>
      </w:r>
      <w:r w:rsidR="00171382" w:rsidRPr="00A13612">
        <w:rPr>
          <w:rFonts w:ascii="Arial" w:hAnsi="Arial" w:cs="Arial"/>
        </w:rPr>
        <w:t>shapes</w:t>
      </w:r>
      <w:r w:rsidRPr="00A13612">
        <w:rPr>
          <w:rFonts w:ascii="Arial" w:hAnsi="Arial" w:cs="Arial"/>
        </w:rPr>
        <w:t xml:space="preserve"> investment behaviors, prompting investors to adjust their strategies to protect and grow their assets</w:t>
      </w:r>
      <w:r w:rsidR="00705B7D" w:rsidRPr="00A13612">
        <w:rPr>
          <w:rFonts w:ascii="Arial" w:hAnsi="Arial" w:cs="Arial"/>
        </w:rPr>
        <w:t xml:space="preserve"> </w:t>
      </w:r>
      <w:r w:rsidR="00705B7D" w:rsidRPr="00A13612">
        <w:rPr>
          <w:rFonts w:ascii="Arial" w:hAnsi="Arial" w:cs="Arial"/>
        </w:rPr>
        <w:fldChar w:fldCharType="begin" w:fldLock="1"/>
      </w:r>
      <w:r w:rsidR="00997F1A" w:rsidRPr="00A13612">
        <w:rPr>
          <w:rFonts w:ascii="Arial" w:hAnsi="Arial" w:cs="Arial"/>
        </w:rPr>
        <w:instrText>ADDIN CSL_CITATION {"citationItems":[{"id":"ITEM-1","itemData":{"DOI":"10.3390/buildings14010072","ISSN":"20755309","abstract":"There has been a wide belief that real estate is a source of good investment portfolios because it has a hedge against inflation. Considering this notion, the present research examined the dynamics of the inflation-hedging capabilities of real estate investment in Nigeria’s three foremost property markets, Abuja (Maitama and Central Business District), Lagos (Lekki and Victoria Island), and Port Harcourt (Rumu Ibekwe and Aba Road). To achieve this aim, this study was carried out by exploring the returns on different types of commercial properties in the chosen location and investigating the effect of inflation on such returns in order to come up with the hedging capabilities of the assets. Out of the four property prime locations in Nigeria’s market, these selected study sites were purposely selected for investigation because they comprise the most desirable and preferred properties regarding location, standards, aesthetics, and value. From the data collected, a mean return, coefficient of variation, and ordinary least square regression analysis were completed. In terms of the coefficient of variation (CV), the findings reveal that the duplex in Port Harcourt exhibits the most performed investment, with a value of 0.33, compared to other locations. However, in terms of the expected return (ER), the duplex outperformed other property types in the different locations, with a return of 39.56%. Results also show that inflation has an adverse effect on the returns of the office space for the three locations considered, with the expected returns below 1%. The block of flats in Abuja has a complete defence against the three components of inflation, with a coefficient beta of 0.5633, 0.6586, and 0.8440, respectively. Thus, investors should consider inflation and other investment attributes when making decisions among arrays of investments. This will help guard against the widespread perception that real estate has a hedge against inflation. This paper adds to the existing literature on inflation hedging by investigating the effect of inflation on the real estate investment returns of commercial properties.","author":[{"dropping-particle":"","family":"Nwosu","given":"Akuakanwa Eziukwu","non-dropping-particle":"","parse-names":false,"suffix":""},{"dropping-particle":"","family":"Bello","given":"Victoria Amietsenwu","non-dropping-particle":"","parse-names":false,"suffix":""},{"dropping-particle":"","family":"Oyetunji","given":"Abiodun Kolawole","non-dropping-particle":"","parse-names":false,"suffix":""},{"dropping-particle":"","family":"Amaechi","given":"Chiemela Victor","non-dropping-particle":"","parse-names":false,"suffix":""}],"container-title":"Buildings","id":"ITEM-1","issue":"1","issued":{"date-parts":[["2024"]]},"title":"Dynamics of the Inflation-Hedging Capabilities of Real Estate Investment Portfolios in the Nigerian Property Market","type":"article-journal","volume":"14"},"uris":["http://www.mendeley.com/documents/?uuid=36db6b00-6079-45d3-8b7e-e473664d54ed"]}],"mendeley":{"formattedCitation":"(Nwosu et al., 2024)","plainTextFormattedCitation":"(Nwosu et al., 2024)","previouslyFormattedCitation":"(Nwosu et al., 2024)"},"properties":{"noteIndex":0},"schema":"https://github.com/citation-style-language/schema/raw/master/csl-citation.json"}</w:instrText>
      </w:r>
      <w:r w:rsidR="00705B7D" w:rsidRPr="00A13612">
        <w:rPr>
          <w:rFonts w:ascii="Arial" w:hAnsi="Arial" w:cs="Arial"/>
        </w:rPr>
        <w:fldChar w:fldCharType="separate"/>
      </w:r>
      <w:r w:rsidR="00705B7D" w:rsidRPr="00A13612">
        <w:rPr>
          <w:rFonts w:ascii="Arial" w:hAnsi="Arial" w:cs="Arial"/>
          <w:noProof/>
        </w:rPr>
        <w:t>(Nwosu et al., 2024)</w:t>
      </w:r>
      <w:r w:rsidR="00705B7D" w:rsidRPr="00A13612">
        <w:rPr>
          <w:rFonts w:ascii="Arial" w:hAnsi="Arial" w:cs="Arial"/>
        </w:rPr>
        <w:fldChar w:fldCharType="end"/>
      </w:r>
      <w:r w:rsidRPr="00A13612">
        <w:rPr>
          <w:rFonts w:ascii="Arial" w:hAnsi="Arial" w:cs="Arial"/>
        </w:rPr>
        <w:t>.</w:t>
      </w:r>
      <w:r w:rsidR="00997F1A" w:rsidRPr="00A13612">
        <w:rPr>
          <w:rFonts w:ascii="Arial" w:hAnsi="Arial" w:cs="Arial"/>
        </w:rPr>
        <w:t xml:space="preserve"> </w:t>
      </w:r>
      <w:r w:rsidR="00171382" w:rsidRPr="00A13612">
        <w:rPr>
          <w:rFonts w:ascii="Arial" w:hAnsi="Arial" w:cs="Arial"/>
        </w:rPr>
        <w:t>It can diminish the real value of the return from investments. A hike</w:t>
      </w:r>
      <w:r w:rsidR="00997F1A" w:rsidRPr="00A13612">
        <w:rPr>
          <w:rFonts w:ascii="Arial" w:hAnsi="Arial" w:cs="Arial"/>
        </w:rPr>
        <w:t xml:space="preserve"> </w:t>
      </w:r>
      <w:r w:rsidR="00171382" w:rsidRPr="00A13612">
        <w:rPr>
          <w:rFonts w:ascii="Arial" w:hAnsi="Arial" w:cs="Arial"/>
        </w:rPr>
        <w:t xml:space="preserve">in </w:t>
      </w:r>
      <w:r w:rsidR="00997F1A" w:rsidRPr="00A13612">
        <w:rPr>
          <w:rFonts w:ascii="Arial" w:hAnsi="Arial" w:cs="Arial"/>
        </w:rPr>
        <w:t>input price</w:t>
      </w:r>
      <w:r w:rsidR="00171382" w:rsidRPr="00A13612">
        <w:rPr>
          <w:rFonts w:ascii="Arial" w:hAnsi="Arial" w:cs="Arial"/>
        </w:rPr>
        <w:t>s</w:t>
      </w:r>
      <w:r w:rsidR="00997F1A" w:rsidRPr="00A13612">
        <w:rPr>
          <w:rFonts w:ascii="Arial" w:hAnsi="Arial" w:cs="Arial"/>
        </w:rPr>
        <w:t xml:space="preserve"> </w:t>
      </w:r>
      <w:r w:rsidR="00171382" w:rsidRPr="00A13612">
        <w:rPr>
          <w:rFonts w:ascii="Arial" w:hAnsi="Arial" w:cs="Arial"/>
        </w:rPr>
        <w:t>causes</w:t>
      </w:r>
      <w:r w:rsidR="00997F1A" w:rsidRPr="00A13612">
        <w:rPr>
          <w:rFonts w:ascii="Arial" w:hAnsi="Arial" w:cs="Arial"/>
        </w:rPr>
        <w:t xml:space="preserve"> an </w:t>
      </w:r>
      <w:r w:rsidR="00171382" w:rsidRPr="00A13612">
        <w:rPr>
          <w:rFonts w:ascii="Arial" w:hAnsi="Arial" w:cs="Arial"/>
        </w:rPr>
        <w:t>increase</w:t>
      </w:r>
      <w:r w:rsidR="00997F1A" w:rsidRPr="00A13612">
        <w:rPr>
          <w:rFonts w:ascii="Arial" w:hAnsi="Arial" w:cs="Arial"/>
        </w:rPr>
        <w:t xml:space="preserve"> in the cost of production, showing cost-push inflation </w:t>
      </w:r>
      <w:r w:rsidR="00997F1A" w:rsidRPr="00A13612">
        <w:rPr>
          <w:rFonts w:ascii="Arial" w:hAnsi="Arial" w:cs="Arial"/>
        </w:rPr>
        <w:fldChar w:fldCharType="begin" w:fldLock="1"/>
      </w:r>
      <w:r w:rsidR="0067001B" w:rsidRPr="00A13612">
        <w:rPr>
          <w:rFonts w:ascii="Arial" w:hAnsi="Arial" w:cs="Arial"/>
        </w:rPr>
        <w:instrText>ADDIN CSL_CITATION {"citationItems":[{"id":"ITEM-1","itemData":{"DOI":"https://doi.org/10.1016/j.asej.2020.04.009","ISSN":"2090-4479","abstract":"Owing to its significant contribution to GDP and other sectors, the construction industry plays an important role in economic growth. The economy of countries depends on a number of variables in which inflation is one of them. The position of inflation in economic growth cannot be overlooked, as it is retaliating either positively or negatively. This paper explores the role of inflation and how it affects the economy and the construction industry. It is concluded that the inflation rate is neglected in most of the construction projects economics and budgeting that causes the project cost overrun as the building materials prices, labour wages, and machinery hire rates are changing annually. Moreover, a framework has been proposed that highlights the strong relationship between the inflation rate and the construction industry. The framework is useful for the future budget estimation model to eliminate project cost overrun which occurs due to the inflation rate.","author":[{"dropping-particle":"","family":"Musarat","given":"Muhammad Ali","non-dropping-particle":"","parse-names":false,"suffix":""},{"dropping-particle":"","family":"Alaloul","given":"Wesam Salah","non-dropping-particle":"","parse-names":false,"suffix":""},{"dropping-particle":"","family":"Liew","given":"M S","non-dropping-particle":"","parse-names":false,"suffix":""}],"container-title":"Ain Shams Engineering Journal","id":"ITEM-1","issue":"1","issued":{"date-parts":[["2021"]]},"page":"407-414","title":"Impact of inflation rate on construction projects budget: A review","type":"article-journal","volume":"12"},"uris":["http://www.mendeley.com/documents/?uuid=a1472547-244a-4a48-bf80-f0a7fde77074"]}],"mendeley":{"formattedCitation":"(Musarat et al., 2021)","plainTextFormattedCitation":"(Musarat et al., 2021)","previouslyFormattedCitation":"(Musarat et al., 2021)"},"properties":{"noteIndex":0},"schema":"https://github.com/citation-style-language/schema/raw/master/csl-citation.json"}</w:instrText>
      </w:r>
      <w:r w:rsidR="00997F1A" w:rsidRPr="00A13612">
        <w:rPr>
          <w:rFonts w:ascii="Arial" w:hAnsi="Arial" w:cs="Arial"/>
        </w:rPr>
        <w:fldChar w:fldCharType="separate"/>
      </w:r>
      <w:r w:rsidR="00997F1A" w:rsidRPr="00A13612">
        <w:rPr>
          <w:rFonts w:ascii="Arial" w:hAnsi="Arial" w:cs="Arial"/>
          <w:noProof/>
        </w:rPr>
        <w:t>(Musarat et al., 2021)</w:t>
      </w:r>
      <w:r w:rsidR="00997F1A" w:rsidRPr="00A13612">
        <w:rPr>
          <w:rFonts w:ascii="Arial" w:hAnsi="Arial" w:cs="Arial"/>
        </w:rPr>
        <w:fldChar w:fldCharType="end"/>
      </w:r>
      <w:r w:rsidR="00997F1A" w:rsidRPr="00A13612">
        <w:rPr>
          <w:rFonts w:ascii="Arial" w:hAnsi="Arial" w:cs="Arial"/>
        </w:rPr>
        <w:t>.</w:t>
      </w:r>
      <w:r w:rsidR="00171382" w:rsidRPr="00A13612">
        <w:rPr>
          <w:rFonts w:ascii="Arial" w:hAnsi="Arial" w:cs="Arial"/>
        </w:rPr>
        <w:t xml:space="preserve"> Hence,</w:t>
      </w:r>
      <w:r w:rsidRPr="00A13612">
        <w:rPr>
          <w:rFonts w:ascii="Arial" w:hAnsi="Arial" w:cs="Arial"/>
        </w:rPr>
        <w:t xml:space="preserve"> understanding how inflation interacts with </w:t>
      </w:r>
      <w:r w:rsidR="00171382" w:rsidRPr="00A13612">
        <w:rPr>
          <w:rFonts w:ascii="Arial" w:hAnsi="Arial" w:cs="Arial"/>
        </w:rPr>
        <w:t>economic growth</w:t>
      </w:r>
      <w:r w:rsidRPr="00A13612">
        <w:rPr>
          <w:rFonts w:ascii="Arial" w:hAnsi="Arial" w:cs="Arial"/>
        </w:rPr>
        <w:t xml:space="preserve"> is crucial for formulating effective monetary and fiscal policies</w:t>
      </w:r>
      <w:r w:rsidR="0067001B" w:rsidRPr="00A13612">
        <w:rPr>
          <w:rFonts w:ascii="Arial" w:hAnsi="Arial" w:cs="Arial"/>
        </w:rPr>
        <w:t xml:space="preserve"> </w:t>
      </w:r>
      <w:r w:rsidR="0067001B" w:rsidRPr="00A13612">
        <w:rPr>
          <w:rFonts w:ascii="Arial" w:hAnsi="Arial" w:cs="Arial"/>
        </w:rPr>
        <w:fldChar w:fldCharType="begin" w:fldLock="1"/>
      </w:r>
      <w:r w:rsidR="0067001B" w:rsidRPr="00A13612">
        <w:rPr>
          <w:rFonts w:ascii="Arial" w:hAnsi="Arial" w:cs="Arial"/>
        </w:rPr>
        <w:instrText>ADDIN CSL_CITATION {"citationItems":[{"id":"ITEM-1","itemData":{"DOI":"10.1080/15140326.2019.1583309","ISSN":"1514-0326","author":[{"dropping-particle":"","family":"Afonso","given":"António","non-dropping-particle":"","parse-names":false,"suffix":""},{"dropping-particle":"","family":"José","given":"Alves","non-dropping-particle":"","parse-names":false,"suffix":""},{"dropping-particle":"","family":"and Balhote","given":"Raquel","non-dropping-particle":"","parse-names":false,"suffix":""}],"container-title":"Journal of Applied Economics","id":"ITEM-1","issue":"1","issued":{"date-parts":[["2019","1","1"]]},"note":"doi: 10.1080/15140326.2019.1583309","page":"132-151","publisher":"Routledge","title":"Interactions between monetary and fiscal policies","type":"article-journal","volume":"22"},"uris":["http://www.mendeley.com/documents/?uuid=717e8ec5-b2c8-4fe0-a0d5-a483e6d36820"]}],"mendeley":{"formattedCitation":"(Afonso et al., 2019)","plainTextFormattedCitation":"(Afonso et al., 2019)","previouslyFormattedCitation":"(Afonso et al., 2019)"},"properties":{"noteIndex":0},"schema":"https://github.com/citation-style-language/schema/raw/master/csl-citation.json"}</w:instrText>
      </w:r>
      <w:r w:rsidR="0067001B" w:rsidRPr="00A13612">
        <w:rPr>
          <w:rFonts w:ascii="Arial" w:hAnsi="Arial" w:cs="Arial"/>
        </w:rPr>
        <w:fldChar w:fldCharType="separate"/>
      </w:r>
      <w:r w:rsidR="0067001B" w:rsidRPr="00A13612">
        <w:rPr>
          <w:rFonts w:ascii="Arial" w:hAnsi="Arial" w:cs="Arial"/>
          <w:noProof/>
        </w:rPr>
        <w:t>(Afonso et al., 2019)</w:t>
      </w:r>
      <w:r w:rsidR="0067001B" w:rsidRPr="00A13612">
        <w:rPr>
          <w:rFonts w:ascii="Arial" w:hAnsi="Arial" w:cs="Arial"/>
        </w:rPr>
        <w:fldChar w:fldCharType="end"/>
      </w:r>
      <w:r w:rsidRPr="00A13612">
        <w:rPr>
          <w:rFonts w:ascii="Arial" w:hAnsi="Arial" w:cs="Arial"/>
        </w:rPr>
        <w:t>.</w:t>
      </w:r>
    </w:p>
    <w:p w14:paraId="5B51E52C" w14:textId="77777777" w:rsidR="00AD73C5" w:rsidRPr="00A13612" w:rsidRDefault="00AD73C5" w:rsidP="00AD73C5">
      <w:pPr>
        <w:jc w:val="both"/>
        <w:rPr>
          <w:rFonts w:ascii="Arial" w:hAnsi="Arial" w:cs="Arial"/>
        </w:rPr>
      </w:pPr>
    </w:p>
    <w:p w14:paraId="35B64FAE" w14:textId="154018BD" w:rsidR="00AD73C5" w:rsidRPr="00A13612" w:rsidRDefault="00AD73C5" w:rsidP="00AD73C5">
      <w:pPr>
        <w:jc w:val="both"/>
        <w:rPr>
          <w:rFonts w:ascii="Arial" w:hAnsi="Arial" w:cs="Arial"/>
        </w:rPr>
      </w:pPr>
      <w:r w:rsidRPr="00A13612">
        <w:rPr>
          <w:rFonts w:ascii="Arial" w:hAnsi="Arial" w:cs="Arial"/>
        </w:rPr>
        <w:t xml:space="preserve">Economic theory suggests that low and stable inflation rates can be conducive to </w:t>
      </w:r>
      <w:r w:rsidR="00171382" w:rsidRPr="00A13612">
        <w:rPr>
          <w:rFonts w:ascii="Arial" w:hAnsi="Arial" w:cs="Arial"/>
        </w:rPr>
        <w:t>national output by</w:t>
      </w:r>
      <w:r w:rsidRPr="00A13612">
        <w:rPr>
          <w:rFonts w:ascii="Arial" w:hAnsi="Arial" w:cs="Arial"/>
        </w:rPr>
        <w:t xml:space="preserve"> reducing uncertainty and encouraging investment </w:t>
      </w:r>
      <w:r w:rsidRPr="00A13612">
        <w:rPr>
          <w:rFonts w:ascii="Arial" w:hAnsi="Arial" w:cs="Arial"/>
        </w:rPr>
        <w:fldChar w:fldCharType="begin" w:fldLock="1"/>
      </w:r>
      <w:r w:rsidR="00705B7D" w:rsidRPr="00A13612">
        <w:rPr>
          <w:rFonts w:ascii="Arial" w:hAnsi="Arial" w:cs="Arial"/>
        </w:rPr>
        <w:instrText>ADDIN CSL_CITATION {"citationItems":[{"id":"ITEM-1","itemData":{"DOI":"//doi.org/10.3386/w5326","ISSN":"15297373","abstract":"Data for around 100 countries from 1960 to 1990 are used to assess the effects of inflation on economic performance. If a number of country characteristics are held constant, then regression results indicate that the impact effects from an increase in average infiation by 10 percentage points per year are a reduction of the growth rate of real per capita GDP by 0.2-0.3 percentage points per year and a decrease in the ratio of investment to GDP by 0.4-0.6 percentage points. Since the statistical procedures use plausible instruments for inflation, there is some reason to believe that these relations re ect causal influences from inflation to growth and investment. However, statistically significant results emerge only when high-inflation experiences are included in the sample. Although the adverse influence of inflation on growth looks small, the long-term effects on standards of living are substantial. For example, a shift in monetary policy that raises the long-term average inflation rate by 10 percentage points per year is estimated to lower the level of real GDP after 30 years by 4-7%, more than enough to justify a strong interest in price stability.","author":[{"dropping-particle":"","family":"Barro","given":"Robert J.","non-dropping-particle":"","parse-names":false,"suffix":""}],"container-title":"Bank of England Quarterly Bulletin","id":"ITEM-1","issue":"2","issued":{"date-parts":[["1995"]]},"page":"166-176","title":"Inflation and economic growth","type":"article-journal","volume":"32"},"uris":["http://www.mendeley.com/documents/?uuid=33a9d991-8f8d-431e-a59e-460864348935"]}],"mendeley":{"formattedCitation":"(Barro, 1995)","plainTextFormattedCitation":"(Barro, 1995)","previouslyFormattedCitation":"(Barro, 1995)"},"properties":{"noteIndex":0},"schema":"https://github.com/citation-style-language/schema/raw/master/csl-citation.json"}</w:instrText>
      </w:r>
      <w:r w:rsidRPr="00A13612">
        <w:rPr>
          <w:rFonts w:ascii="Arial" w:hAnsi="Arial" w:cs="Arial"/>
        </w:rPr>
        <w:fldChar w:fldCharType="separate"/>
      </w:r>
      <w:r w:rsidR="00705B7D" w:rsidRPr="00A13612">
        <w:rPr>
          <w:rFonts w:ascii="Arial" w:hAnsi="Arial" w:cs="Arial"/>
          <w:noProof/>
        </w:rPr>
        <w:t>(Barro, 1995)</w:t>
      </w:r>
      <w:r w:rsidRPr="00A13612">
        <w:rPr>
          <w:rFonts w:ascii="Arial" w:hAnsi="Arial" w:cs="Arial"/>
        </w:rPr>
        <w:fldChar w:fldCharType="end"/>
      </w:r>
      <w:r w:rsidRPr="00A13612">
        <w:rPr>
          <w:rFonts w:ascii="Arial" w:hAnsi="Arial" w:cs="Arial"/>
        </w:rPr>
        <w:t xml:space="preserve">. Low inflation </w:t>
      </w:r>
      <w:r w:rsidR="00997F1A" w:rsidRPr="00A13612">
        <w:rPr>
          <w:rFonts w:ascii="Arial" w:hAnsi="Arial" w:cs="Arial"/>
        </w:rPr>
        <w:t>rates are</w:t>
      </w:r>
      <w:r w:rsidRPr="00A13612">
        <w:rPr>
          <w:rFonts w:ascii="Arial" w:hAnsi="Arial" w:cs="Arial"/>
        </w:rPr>
        <w:t xml:space="preserve"> positively associated with economic inclusion</w:t>
      </w:r>
      <w:r w:rsidR="00F4396A" w:rsidRPr="00A13612">
        <w:rPr>
          <w:rFonts w:ascii="Arial" w:hAnsi="Arial" w:cs="Arial"/>
        </w:rPr>
        <w:t>, which is crucial for improving well-being and reducing inequality</w:t>
      </w:r>
      <w:r w:rsidRPr="00A13612">
        <w:rPr>
          <w:rFonts w:ascii="Arial" w:hAnsi="Arial" w:cs="Arial"/>
        </w:rPr>
        <w:t xml:space="preserve"> </w:t>
      </w:r>
      <w:r w:rsidRPr="00A13612">
        <w:rPr>
          <w:rFonts w:ascii="Arial" w:hAnsi="Arial" w:cs="Arial"/>
        </w:rPr>
        <w:fldChar w:fldCharType="begin" w:fldLock="1"/>
      </w:r>
      <w:r w:rsidR="00705B7D" w:rsidRPr="00A13612">
        <w:rPr>
          <w:rFonts w:ascii="Arial" w:hAnsi="Arial" w:cs="Arial"/>
        </w:rPr>
        <w:instrText>ADDIN CSL_CITATION {"citationItems":[{"id":"ITEM-1","itemData":{"DOI":"https://doi.org/10.1016/j.rie.2022.08.002","ISSN":"1090-9443","abstract":"The question of the implication of the macroeconomic policy environment for welfare may be an empirical one, and the answer may well differ amongst economies. In this paper, we evaluate the role of monetary policy toward inclusive growth. The evidence from a large sample of countries shows that in both the short and long terms, low inflation and stable economic growth are associated with lower income inequality, improved well-being of the poor and greater inclusion. Both short-term and long-run effects are statistically significant and show that monetary policy that aims at low inflation and stable economic growth is most likely to improve permanently growth inclusiveness and the conditions of the poor. However, in advanced economies where inflation rates are considerably lower, disinflation hurts the poor and equity, ignites greater unemployment cost, and worsens growth inclusiveness. In any case, price and output stability is necessary for greater growth inclusiveness. Thus, the twin objectives of macroeconomic stability and inclusive growth offer no trade-offs.","author":[{"dropping-particle":"","family":"Ahiadorme","given":"Johnson Worlanyo","non-dropping-particle":"","parse-names":false,"suffix":""}],"container-title":"Research in Economics","id":"ITEM-1","issue":"4","issued":{"date-parts":[["2022"]]},"page":"308-324","title":"Monetary policy in search of macroeconomic stability and inclusive growth","type":"article-journal","volume":"76"},"uris":["http://www.mendeley.com/documents/?uuid=90b11565-d44c-47e1-a3da-7b02cecdc8af"]}],"mendeley":{"formattedCitation":"(Ahiadorme, 2022)","plainTextFormattedCitation":"(Ahiadorme, 2022)","previouslyFormattedCitation":"(Ahiadorme, 2022)"},"properties":{"noteIndex":0},"schema":"https://github.com/citation-style-language/schema/raw/master/csl-citation.json"}</w:instrText>
      </w:r>
      <w:r w:rsidRPr="00A13612">
        <w:rPr>
          <w:rFonts w:ascii="Arial" w:hAnsi="Arial" w:cs="Arial"/>
        </w:rPr>
        <w:fldChar w:fldCharType="separate"/>
      </w:r>
      <w:r w:rsidR="00705B7D" w:rsidRPr="00A13612">
        <w:rPr>
          <w:rFonts w:ascii="Arial" w:hAnsi="Arial" w:cs="Arial"/>
          <w:noProof/>
        </w:rPr>
        <w:t>(Ahiadorme, 2022)</w:t>
      </w:r>
      <w:r w:rsidRPr="00A13612">
        <w:rPr>
          <w:rFonts w:ascii="Arial" w:hAnsi="Arial" w:cs="Arial"/>
        </w:rPr>
        <w:fldChar w:fldCharType="end"/>
      </w:r>
      <w:r w:rsidRPr="00A13612">
        <w:rPr>
          <w:rFonts w:ascii="Arial" w:hAnsi="Arial" w:cs="Arial"/>
        </w:rPr>
        <w:t xml:space="preserve">. Conversely, high </w:t>
      </w:r>
      <w:r w:rsidR="00F4396A" w:rsidRPr="00A13612">
        <w:rPr>
          <w:rFonts w:ascii="Arial" w:hAnsi="Arial" w:cs="Arial"/>
        </w:rPr>
        <w:t>and</w:t>
      </w:r>
      <w:r w:rsidRPr="00A13612">
        <w:rPr>
          <w:rFonts w:ascii="Arial" w:hAnsi="Arial" w:cs="Arial"/>
        </w:rPr>
        <w:t xml:space="preserve"> volatile inflation </w:t>
      </w:r>
      <w:r w:rsidR="00997F1A" w:rsidRPr="00A13612">
        <w:rPr>
          <w:rFonts w:ascii="Arial" w:hAnsi="Arial" w:cs="Arial"/>
        </w:rPr>
        <w:t xml:space="preserve">rates </w:t>
      </w:r>
      <w:r w:rsidRPr="00A13612">
        <w:rPr>
          <w:rFonts w:ascii="Arial" w:hAnsi="Arial" w:cs="Arial"/>
        </w:rPr>
        <w:t xml:space="preserve">can distort price signals, erode purchasing power, and discourage long-term economic planning </w:t>
      </w:r>
      <w:r w:rsidRPr="00A13612">
        <w:rPr>
          <w:rFonts w:ascii="Arial" w:hAnsi="Arial" w:cs="Arial"/>
        </w:rPr>
        <w:fldChar w:fldCharType="begin" w:fldLock="1"/>
      </w:r>
      <w:r w:rsidR="00705B7D" w:rsidRPr="00A13612">
        <w:rPr>
          <w:rFonts w:ascii="Arial" w:hAnsi="Arial" w:cs="Arial"/>
        </w:rPr>
        <w:instrText>ADDIN CSL_CITATION {"citationItems":[{"id":"ITEM-1","itemData":{"DOI":"10.1108/JES-10-2017-0293","ISSN":"0144-3585","abstract":"Purpose Studies about the determinants of the clarity of central bank communication are still scarce. To the authors’ knowledge, there are no studies regarding emerging economies. The purpose of this paper is to contribute to the literature in the following aspects: to analyze the determinants of the clarity of the central bank communication in an inflation targeting emerging economy; observe the influence of inflation volatility over the clarity; and observe the effect of the monetary policy signaling over the clarity. Design/methodology/approach The work uses readability indexes to measure the clarity of central bank communication. The empirical analysis uses ordinary least squares and the Generalized Method of Moments with one- and two-step estimations. Findings The findings suggest the inflation volatility reduces the clarity of central bank communication. Moreover, the monetary policy signaling also affects the clarity, but the effect depends on the direction of the signal. Practical implications This paper observes the determinants of the clarity considering an emerging economy environment. The clarity of central bank communications is an important tool to access transparency. Hence, the analysis of what determines the clarity of central bank communication is a debate about the level of transparency accessed by the central bank. Originality/value There are no studies about the determinants of the clarity of central bank communication in emerging economies. Moreover, the novelty are the effects of inflation volatility and monetary policy signaling over the clarity.","author":[{"dropping-particle":"","family":"Nicolay","given":"Rodolfo","non-dropping-particle":"","parse-names":false,"suffix":""},{"dropping-particle":"","family":"Oliveira","given":"Ana Jordânia","non-dropping-particle":"de","parse-names":false,"suffix":""}],"container-title":"Journal of Economic Studies","id":"ITEM-1","issue":"2","issued":{"date-parts":[["2019","1","1"]]},"page":"266-283","publisher":"Emerald Publishing Limited","title":"Inflation volatility, monetary policy signaling and clarity of the central bank communication","type":"article-journal","volume":"46"},"uris":["http://www.mendeley.com/documents/?uuid=c3dd9b05-6694-4359-b4f7-f1dca875f3a6"]}],"mendeley":{"formattedCitation":"(Nicolay &amp; de Oliveira, 2019)","plainTextFormattedCitation":"(Nicolay &amp; de Oliveira, 2019)","previouslyFormattedCitation":"(Nicolay &amp; de Oliveira, 2019)"},"properties":{"noteIndex":0},"schema":"https://github.com/citation-style-language/schema/raw/master/csl-citation.json"}</w:instrText>
      </w:r>
      <w:r w:rsidRPr="00A13612">
        <w:rPr>
          <w:rFonts w:ascii="Arial" w:hAnsi="Arial" w:cs="Arial"/>
        </w:rPr>
        <w:fldChar w:fldCharType="separate"/>
      </w:r>
      <w:r w:rsidR="00705B7D" w:rsidRPr="00A13612">
        <w:rPr>
          <w:rFonts w:ascii="Arial" w:hAnsi="Arial" w:cs="Arial"/>
          <w:noProof/>
        </w:rPr>
        <w:t>(Nicolay &amp; de Oliveira, 2019)</w:t>
      </w:r>
      <w:r w:rsidRPr="00A13612">
        <w:rPr>
          <w:rFonts w:ascii="Arial" w:hAnsi="Arial" w:cs="Arial"/>
        </w:rPr>
        <w:fldChar w:fldCharType="end"/>
      </w:r>
      <w:r w:rsidRPr="00A13612">
        <w:rPr>
          <w:rFonts w:ascii="Arial" w:hAnsi="Arial" w:cs="Arial"/>
        </w:rPr>
        <w:t xml:space="preserve">. </w:t>
      </w:r>
      <w:r w:rsidR="00F4396A" w:rsidRPr="00A13612">
        <w:rPr>
          <w:rFonts w:ascii="Arial" w:hAnsi="Arial" w:cs="Arial"/>
        </w:rPr>
        <w:t>Price</w:t>
      </w:r>
      <w:r w:rsidRPr="00A13612">
        <w:rPr>
          <w:rFonts w:ascii="Arial" w:hAnsi="Arial" w:cs="Arial"/>
        </w:rPr>
        <w:t xml:space="preserve"> distortion </w:t>
      </w:r>
      <w:r w:rsidR="00F4396A" w:rsidRPr="00A13612">
        <w:rPr>
          <w:rFonts w:ascii="Arial" w:hAnsi="Arial" w:cs="Arial"/>
        </w:rPr>
        <w:t>leads</w:t>
      </w:r>
      <w:r w:rsidRPr="00A13612">
        <w:rPr>
          <w:rFonts w:ascii="Arial" w:hAnsi="Arial" w:cs="Arial"/>
        </w:rPr>
        <w:t xml:space="preserve"> to a misallocation of resources, reduced productivity, and ultimately, slower economic growth </w:t>
      </w:r>
      <w:r w:rsidRPr="00A13612">
        <w:rPr>
          <w:rFonts w:ascii="Arial" w:hAnsi="Arial" w:cs="Arial"/>
        </w:rPr>
        <w:fldChar w:fldCharType="begin" w:fldLock="1"/>
      </w:r>
      <w:r w:rsidR="00705B7D" w:rsidRPr="00A13612">
        <w:rPr>
          <w:rFonts w:ascii="Arial" w:hAnsi="Arial" w:cs="Arial"/>
        </w:rPr>
        <w:instrText>ADDIN CSL_CITATION {"citationItems":[{"id":"ITEM-1","itemData":{"DOI":"10.2307/1992206","ISSN":"00222879, 15384616","author":[{"dropping-particle":"","family":"Jung","given":"Woo S","non-dropping-particle":"","parse-names":false,"suffix":""},{"dropping-particle":"","family":"Marshall","given":"Peyton J","non-dropping-particle":"","parse-names":false,"suffix":""}],"container-title":"Journal of Money, Credit and Banking","id":"ITEM-1","issue":"2","issued":{"date-parts":[["1986","4","15"]]},"page":"227-232","publisher":"[Wiley, Ohio State University Press]","title":"Inflation and Economic Growth: Some International Evidence on Structuralist and Distortionist Positions: Note","type":"article-journal","volume":"18"},"uris":["http://www.mendeley.com/documents/?uuid=199b4e61-4ed6-4dc3-8a98-1fd60dae5f54"]}],"mendeley":{"formattedCitation":"(Jung &amp; Marshall, 1986)","plainTextFormattedCitation":"(Jung &amp; Marshall, 1986)","previouslyFormattedCitation":"(Jung &amp; Marshall, 1986)"},"properties":{"noteIndex":0},"schema":"https://github.com/citation-style-language/schema/raw/master/csl-citation.json"}</w:instrText>
      </w:r>
      <w:r w:rsidRPr="00A13612">
        <w:rPr>
          <w:rFonts w:ascii="Arial" w:hAnsi="Arial" w:cs="Arial"/>
        </w:rPr>
        <w:fldChar w:fldCharType="separate"/>
      </w:r>
      <w:r w:rsidR="00705B7D" w:rsidRPr="00A13612">
        <w:rPr>
          <w:rFonts w:ascii="Arial" w:hAnsi="Arial" w:cs="Arial"/>
          <w:noProof/>
        </w:rPr>
        <w:t>(Jung &amp; Marshall, 1986)</w:t>
      </w:r>
      <w:r w:rsidRPr="00A13612">
        <w:rPr>
          <w:rFonts w:ascii="Arial" w:hAnsi="Arial" w:cs="Arial"/>
        </w:rPr>
        <w:fldChar w:fldCharType="end"/>
      </w:r>
      <w:r w:rsidRPr="00A13612">
        <w:rPr>
          <w:rFonts w:ascii="Arial" w:hAnsi="Arial" w:cs="Arial"/>
        </w:rPr>
        <w:t xml:space="preserve">. </w:t>
      </w:r>
    </w:p>
    <w:p w14:paraId="4995EA1A" w14:textId="77777777" w:rsidR="00997F1A" w:rsidRPr="00A13612" w:rsidRDefault="00997F1A" w:rsidP="00AD73C5">
      <w:pPr>
        <w:jc w:val="both"/>
        <w:rPr>
          <w:rFonts w:ascii="Arial" w:hAnsi="Arial" w:cs="Arial"/>
        </w:rPr>
      </w:pPr>
    </w:p>
    <w:p w14:paraId="3EC150A8" w14:textId="74C2A354" w:rsidR="00D93A65" w:rsidRPr="00A13612" w:rsidRDefault="00AD73C5" w:rsidP="00AD73C5">
      <w:pPr>
        <w:jc w:val="both"/>
        <w:rPr>
          <w:rFonts w:ascii="Arial" w:hAnsi="Arial" w:cs="Arial"/>
        </w:rPr>
      </w:pPr>
      <w:r w:rsidRPr="00A13612">
        <w:rPr>
          <w:rFonts w:ascii="Arial" w:hAnsi="Arial" w:cs="Arial"/>
        </w:rPr>
        <w:lastRenderedPageBreak/>
        <w:t>The interlinkage between inflation and economic growth varies across countries and periods</w:t>
      </w:r>
      <w:r w:rsidR="00D93A65" w:rsidRPr="00A13612">
        <w:rPr>
          <w:rFonts w:ascii="Arial" w:hAnsi="Arial" w:cs="Arial"/>
        </w:rPr>
        <w:t xml:space="preserve">. The negative relationships between inflation and economic growth are generally confirmed in </w:t>
      </w:r>
      <w:r w:rsidRPr="00A13612">
        <w:rPr>
          <w:rFonts w:ascii="Arial" w:hAnsi="Arial" w:cs="Arial"/>
        </w:rPr>
        <w:t xml:space="preserve">advanced economies </w:t>
      </w:r>
      <w:r w:rsidRPr="00A13612">
        <w:rPr>
          <w:rFonts w:ascii="Arial" w:hAnsi="Arial" w:cs="Arial"/>
        </w:rPr>
        <w:fldChar w:fldCharType="begin" w:fldLock="1"/>
      </w:r>
      <w:r w:rsidR="00705B7D" w:rsidRPr="00A13612">
        <w:rPr>
          <w:rFonts w:ascii="Arial" w:hAnsi="Arial" w:cs="Arial"/>
        </w:rPr>
        <w:instrText>ADDIN CSL_CITATION {"citationItems":[{"id":"ITEM-1","itemData":{"DOI":"10.1515/cer-2017-0019","ISSN":"20826737","abstract":"This paper surveys the existing literature on the relationship between inflation and economic growth in developed and developing countries, highlighting the theoretical and empirical indications. The study finds that the impact of inflation on economic growth varies from country to country and over time. The study also finds that the results from these studies depend on country-specific characteristics, the data set used, and the methodology employed. On balance, the study finds overwhelming support in favour of a negative relationship between inflation and growth, especially in developed economies. However, there is still much controversy about the specific threshold level of inflation that is appropriate for growth. Most previous studies on this subject just assume a unidirectional causal relationship between inflation and economic growth. To our knowledge, this may be the first review of its kind to survey, in detail, the existing research on the relationship between inflation and economic growth in developed and developing countries.","author":[{"dropping-particle":"","family":"Akinsola","given":"Foluso A.","non-dropping-particle":"","parse-names":false,"suffix":""},{"dropping-particle":"","family":"Odhiambo","given":"Nicholas M.","non-dropping-particle":"","parse-names":false,"suffix":""}],"container-title":"Comparative Economic Research","id":"ITEM-1","issue":"3","issued":{"date-parts":[["2017"]]},"page":"41-56","title":"Inflation and Economic Growth: A Review of the International Literature","type":"article-journal","volume":"20"},"uris":["http://www.mendeley.com/documents/?uuid=232ff08d-1f8a-4f7a-a6d9-7d17ec9d9032"]}],"mendeley":{"formattedCitation":"(Akinsola &amp; Odhiambo, 2017)","plainTextFormattedCitation":"(Akinsola &amp; Odhiambo, 2017)","previouslyFormattedCitation":"(Akinsola &amp; Odhiambo, 2017)"},"properties":{"noteIndex":0},"schema":"https://github.com/citation-style-language/schema/raw/master/csl-citation.json"}</w:instrText>
      </w:r>
      <w:r w:rsidRPr="00A13612">
        <w:rPr>
          <w:rFonts w:ascii="Arial" w:hAnsi="Arial" w:cs="Arial"/>
        </w:rPr>
        <w:fldChar w:fldCharType="separate"/>
      </w:r>
      <w:r w:rsidR="00705B7D" w:rsidRPr="00A13612">
        <w:rPr>
          <w:rFonts w:ascii="Arial" w:hAnsi="Arial" w:cs="Arial"/>
          <w:noProof/>
        </w:rPr>
        <w:t>(Akinsola &amp; Odhiambo, 2017)</w:t>
      </w:r>
      <w:r w:rsidRPr="00A13612">
        <w:rPr>
          <w:rFonts w:ascii="Arial" w:hAnsi="Arial" w:cs="Arial"/>
        </w:rPr>
        <w:fldChar w:fldCharType="end"/>
      </w:r>
      <w:r w:rsidRPr="00A13612">
        <w:rPr>
          <w:rFonts w:ascii="Arial" w:hAnsi="Arial" w:cs="Arial"/>
        </w:rPr>
        <w:t>. An empirical study from South Africa recorded that inflation</w:t>
      </w:r>
      <w:r w:rsidR="00D93A65" w:rsidRPr="00A13612">
        <w:rPr>
          <w:rFonts w:ascii="Arial" w:hAnsi="Arial" w:cs="Arial"/>
        </w:rPr>
        <w:t xml:space="preserve"> rates</w:t>
      </w:r>
      <w:r w:rsidRPr="00A13612">
        <w:rPr>
          <w:rFonts w:ascii="Arial" w:hAnsi="Arial" w:cs="Arial"/>
        </w:rPr>
        <w:t xml:space="preserve"> and inflation uncertainty have a detrimental impact on economic growth in the short run </w:t>
      </w:r>
      <w:r w:rsidRPr="00A13612">
        <w:rPr>
          <w:rFonts w:ascii="Arial" w:hAnsi="Arial" w:cs="Arial"/>
        </w:rPr>
        <w:fldChar w:fldCharType="begin" w:fldLock="1"/>
      </w:r>
      <w:r w:rsidR="00705B7D" w:rsidRPr="00A13612">
        <w:rPr>
          <w:rFonts w:ascii="Arial" w:hAnsi="Arial" w:cs="Arial"/>
        </w:rPr>
        <w:instrText>ADDIN CSL_CITATION {"citationItems":[{"id":"ITEM-1","itemData":{"DOI":"https://doi.org/10.1016/j.mex.2021.101501","ISSN":"2215-0161","abstract":"Inflation and inflation uncertainty are instrumental in the determination of financial stability, and ultimately, economic growth. We investigated the impact of inflation and inflation uncertainty on growth in South Africa by applying the autoregressive distributed lag (ARDL) estimation techniques on quarterly data covering the period 1961Q1 to 2019Q4. Unlike previous studies on South Africa, we investigated the joint impact of inflation and inflation uncertainty in South Africa, and also, pioneered in comparing the impact of both variables on growth before, and after, inflation targeting. This provided an opportunity to assess the effectiveness of inflation targeting while also investigating any changes in the behavior of the variables. We found that inflation negatively harms growth in both the short and long run, while inflation uncertainty is a short-run phenomenon in South Africa with no bearing in the long run. To promote growth, policymakers should continue to pursue policies that ensure price stability. • The paper investigated the impact of inflation and inflation uncertainty on economic growth in South Africa covering the period 1961Q1 to 2019Q4. • Using the autoregressive distributed lag estimation techniques, the paper found that inflation harms economic growth in both the short- and long-run in South Africa while inflation uncertainty is a short-run phenomenon as it affects economic growth only in the short run, • Interestingly, after adoption of inflation targeting, inflation uncertainty lost it relevance as a factor determining economic growth in South Africa.","author":[{"dropping-particle":"","family":"Mandeya","given":"Shelton Masimba Tafadzwa","non-dropping-particle":"","parse-names":false,"suffix":""},{"dropping-particle":"","family":"Ho","given":"Sin-Yu","non-dropping-particle":"","parse-names":false,"suffix":""}],"container-title":"MethodsX","id":"ITEM-1","issued":{"date-parts":[["2021"]]},"page":"101501","title":"Inflation, inflation uncertainty and the economic growth nexus: An impact study of South Africa","type":"article-journal","volume":"8"},"uris":["http://www.mendeley.com/documents/?uuid=fce3e382-eff2-46a3-ad40-ca94e4647e94"]}],"mendeley":{"formattedCitation":"(Mandeya &amp; Ho, 2021)","plainTextFormattedCitation":"(Mandeya &amp; Ho, 2021)","previouslyFormattedCitation":"(Mandeya &amp; Ho, 2021)"},"properties":{"noteIndex":0},"schema":"https://github.com/citation-style-language/schema/raw/master/csl-citation.json"}</w:instrText>
      </w:r>
      <w:r w:rsidRPr="00A13612">
        <w:rPr>
          <w:rFonts w:ascii="Arial" w:hAnsi="Arial" w:cs="Arial"/>
        </w:rPr>
        <w:fldChar w:fldCharType="separate"/>
      </w:r>
      <w:r w:rsidR="00705B7D" w:rsidRPr="00A13612">
        <w:rPr>
          <w:rFonts w:ascii="Arial" w:hAnsi="Arial" w:cs="Arial"/>
          <w:noProof/>
        </w:rPr>
        <w:t>(Mandeya &amp; Ho, 2021)</w:t>
      </w:r>
      <w:r w:rsidRPr="00A13612">
        <w:rPr>
          <w:rFonts w:ascii="Arial" w:hAnsi="Arial" w:cs="Arial"/>
        </w:rPr>
        <w:fldChar w:fldCharType="end"/>
      </w:r>
      <w:r w:rsidRPr="00A13612">
        <w:rPr>
          <w:rFonts w:ascii="Arial" w:hAnsi="Arial" w:cs="Arial"/>
        </w:rPr>
        <w:t>.</w:t>
      </w:r>
      <w:r w:rsidR="00D93A65" w:rsidRPr="00A13612">
        <w:rPr>
          <w:rFonts w:ascii="Arial" w:hAnsi="Arial" w:cs="Arial"/>
        </w:rPr>
        <w:t xml:space="preserve"> </w:t>
      </w:r>
      <w:r w:rsidR="009E5963" w:rsidRPr="00A13612">
        <w:rPr>
          <w:rFonts w:ascii="Arial" w:hAnsi="Arial" w:cs="Arial"/>
        </w:rPr>
        <w:t>Nonetheless,</w:t>
      </w:r>
      <w:r w:rsidR="00D93A65" w:rsidRPr="00A13612">
        <w:rPr>
          <w:rFonts w:ascii="Arial" w:hAnsi="Arial" w:cs="Arial"/>
        </w:rPr>
        <w:t xml:space="preserve"> a study in Bangladesh recorded that the consumer price index significantly boosts Gross Domestic Product (GDP), indicating a key driver of economic development. </w:t>
      </w:r>
    </w:p>
    <w:p w14:paraId="170C6D6A" w14:textId="77777777" w:rsidR="00D93A65" w:rsidRPr="00A13612" w:rsidRDefault="00D93A65" w:rsidP="00AD73C5">
      <w:pPr>
        <w:jc w:val="both"/>
        <w:rPr>
          <w:rFonts w:ascii="Arial" w:hAnsi="Arial" w:cs="Arial"/>
        </w:rPr>
      </w:pPr>
    </w:p>
    <w:p w14:paraId="2E1B8826" w14:textId="7205294F" w:rsidR="00AD73C5" w:rsidRPr="00A13612" w:rsidRDefault="00D93A65" w:rsidP="00AD73C5">
      <w:pPr>
        <w:jc w:val="both"/>
        <w:rPr>
          <w:rFonts w:ascii="Arial" w:hAnsi="Arial" w:cs="Arial"/>
        </w:rPr>
      </w:pPr>
      <w:r w:rsidRPr="00A13612">
        <w:rPr>
          <w:rFonts w:ascii="Arial" w:hAnsi="Arial" w:cs="Arial"/>
        </w:rPr>
        <w:t xml:space="preserve">Other past studies </w:t>
      </w:r>
      <w:r w:rsidR="009E5963" w:rsidRPr="00A13612">
        <w:rPr>
          <w:rFonts w:ascii="Arial" w:hAnsi="Arial" w:cs="Arial"/>
        </w:rPr>
        <w:t xml:space="preserve">denote </w:t>
      </w:r>
      <w:r w:rsidRPr="00A13612">
        <w:rPr>
          <w:rFonts w:ascii="Arial" w:hAnsi="Arial" w:cs="Arial"/>
        </w:rPr>
        <w:t xml:space="preserve">a non-linear relationship between inflation and economic growth. Heterogeneity of research and development (R&amp;D) abilities </w:t>
      </w:r>
      <w:r w:rsidR="009E5963" w:rsidRPr="00A13612">
        <w:rPr>
          <w:rFonts w:ascii="Arial" w:hAnsi="Arial" w:cs="Arial"/>
        </w:rPr>
        <w:t>drives</w:t>
      </w:r>
      <w:r w:rsidRPr="00A13612">
        <w:rPr>
          <w:rFonts w:ascii="Arial" w:hAnsi="Arial" w:cs="Arial"/>
        </w:rPr>
        <w:t xml:space="preserve"> a nonlinear association between inflation and growth </w:t>
      </w:r>
      <w:r w:rsidRPr="00A13612">
        <w:rPr>
          <w:rFonts w:ascii="Arial" w:hAnsi="Arial" w:cs="Arial"/>
        </w:rPr>
        <w:fldChar w:fldCharType="begin" w:fldLock="1"/>
      </w:r>
      <w:r w:rsidR="009E5963" w:rsidRPr="00A13612">
        <w:rPr>
          <w:rFonts w:ascii="Arial" w:hAnsi="Arial" w:cs="Arial"/>
        </w:rPr>
        <w:instrText>ADDIN CSL_CITATION {"citationItems":[{"id":"ITEM-1","itemData":{"DOI":"https://doi.org/10.1016/j.jmoneco.2017.12.001","ISSN":"0304-3932","abstract":"The relationship between inflation and growth is examined in an R&amp;D-based model of endogenous growth in which the R&amp;D abilities of agents are heterogeneous. We analytically demonstrate that if the distribution of ability has a fat and long tail, the relationship between inflation and growth becomes nonlinear; the negative relationship between inflation and growth is weaker in the heterogeneous ability economy than it is in the homogeneous ability economy for low inflation, whereas the opposite outcome holds for high inflation. Our numerical example shows that this nonlinear relationship between inflation and growth holds under plausible parameter values.","author":[{"dropping-particle":"","family":"Arawatari","given":"Ryo","non-dropping-particle":"","parse-names":false,"suffix":""},{"dropping-particle":"","family":"Hori","given":"Takeo","non-dropping-particle":"","parse-names":false,"suffix":""},{"dropping-particle":"","family":"Mino","given":"Kazuo","non-dropping-particle":"","parse-names":false,"suffix":""}],"container-title":"Journal of Monetary Economics","id":"ITEM-1","issued":{"date-parts":[["2018"]]},"page":"79-93","title":"On the nonlinear relationship between inflation and growth: A theoretical exposition","type":"article-journal","volume":"94"},"uris":["http://www.mendeley.com/documents/?uuid=3ef6d26b-5b2d-4171-bab0-77bb9ce3d71e"]}],"mendeley":{"formattedCitation":"(Arawatari et al., 2018)","plainTextFormattedCitation":"(Arawatari et al., 2018)","previouslyFormattedCitation":"(Arawatari et al., 2018)"},"properties":{"noteIndex":0},"schema":"https://github.com/citation-style-language/schema/raw/master/csl-citation.json"}</w:instrText>
      </w:r>
      <w:r w:rsidRPr="00A13612">
        <w:rPr>
          <w:rFonts w:ascii="Arial" w:hAnsi="Arial" w:cs="Arial"/>
        </w:rPr>
        <w:fldChar w:fldCharType="separate"/>
      </w:r>
      <w:r w:rsidRPr="00A13612">
        <w:rPr>
          <w:rFonts w:ascii="Arial" w:hAnsi="Arial" w:cs="Arial"/>
          <w:noProof/>
        </w:rPr>
        <w:t>(Arawatari et al., 2018)</w:t>
      </w:r>
      <w:r w:rsidRPr="00A13612">
        <w:rPr>
          <w:rFonts w:ascii="Arial" w:hAnsi="Arial" w:cs="Arial"/>
        </w:rPr>
        <w:fldChar w:fldCharType="end"/>
      </w:r>
      <w:r w:rsidRPr="00A13612">
        <w:rPr>
          <w:rFonts w:ascii="Arial" w:hAnsi="Arial" w:cs="Arial"/>
        </w:rPr>
        <w:t>. I</w:t>
      </w:r>
      <w:r w:rsidR="00AD73C5" w:rsidRPr="00A13612">
        <w:rPr>
          <w:rFonts w:ascii="Arial" w:hAnsi="Arial" w:cs="Arial"/>
        </w:rPr>
        <w:t xml:space="preserve">nflation above 6% was confirmed to be negatively linked to national output, and central bank policies that constrain the money supply can also hinder </w:t>
      </w:r>
      <w:r w:rsidR="009E5963" w:rsidRPr="00A13612">
        <w:rPr>
          <w:rFonts w:ascii="Arial" w:hAnsi="Arial" w:cs="Arial"/>
        </w:rPr>
        <w:t xml:space="preserve">total output </w:t>
      </w:r>
      <w:r w:rsidR="00AD73C5" w:rsidRPr="00A13612">
        <w:rPr>
          <w:rFonts w:ascii="Arial" w:hAnsi="Arial" w:cs="Arial"/>
        </w:rPr>
        <w:t xml:space="preserve">growth </w:t>
      </w:r>
      <w:r w:rsidR="00AD73C5" w:rsidRPr="00A13612">
        <w:rPr>
          <w:rFonts w:ascii="Arial" w:hAnsi="Arial" w:cs="Arial"/>
        </w:rPr>
        <w:fldChar w:fldCharType="begin" w:fldLock="1"/>
      </w:r>
      <w:r w:rsidR="00705B7D" w:rsidRPr="00A13612">
        <w:rPr>
          <w:rFonts w:ascii="Arial" w:hAnsi="Arial" w:cs="Arial"/>
        </w:rPr>
        <w:instrText>ADDIN CSL_CITATION {"citationItems":[{"id":"ITEM-1","itemData":{"DOI":"10.21511/bbs.13(2).2018.13","ISSN":"19917074","abstract":"The article analyzes the influence of inflation on economic growth and substantiates the main directions of increasing the effectiveness of central bank anti-inflation policy. In order to determine the threshold of inflation, the excess of which has a negative impact on the economic growth, the relationship is analyzed between the inflation rate and the real GDP growth rate on the basis of IMF statistics using the example of 158 countries. It was determined that in 2010–2017, in the global economy, the 6.0% inflation was the marginal value of the inflation rate, beyond which the economic growth rate declined or slowed down. Given the inverse relationship between the inflation rate and the real GDP growth rates as well as empirical calculations for the period 1996–2017, the threshold for inflation rate for Ukraine at the level of 4.51% was determined based on empirical calculations for the 1996–2017 period. The results indicate that the National Bank of Ukraine set the inflation target above the level of the calculated threshold inflation. It has also been established that the link between the rates of nominal GDP growth, as opposed to real GDP, and the inflation rate, is more direct and tighter. It is substantiated that in order to analyze such dependence it is necessary to use GDP deflator instead of CPI. The results indicate that deflation constrains economic growth much less than inflation. In order to increase the effectiveness of central bank pro-cyclical monetary policy aimed at supporting economic growth, the correlation between the rates of real GDP growth and the indicator characterizing the gap between the growth rates of M3 and inflation, which actually reflects the real money supply dynamics, is determined. The results obtained allowed to conclude that in 2009 and 2014–2017, the artificial “squeezing” of the money supply took place in Ukraine, resulting in a decrease in the level of the economy monetization by 22.0% in 2017 compared to 2013. It has been proved that in order to minimize the negative impact of inflationary processes on economic growth, the policy of the National Bank of Ukraine should be aimed at eliminating the artificial “squeezing” of the money supply through a reasonable increase in the economy monetization and the implementation of an effective monetary policy. a sharp rise in inflation, which at that time was mainly due to monetary factors. Today, due to the introduction of inflation targeting mechanisms in most countrie…","author":[{"dropping-particle":"","family":"Mishchenko","given":"Volodymyr","non-dropping-particle":"","parse-names":false,"suffix":""},{"dropping-particle":"","family":"Naumenkova","given":"Svitlana","non-dropping-particle":"","parse-names":false,"suffix":""},{"dropping-particle":"","family":"Mishchenko","given":"Svitlana","non-dropping-particle":"","parse-names":false,"suffix":""},{"dropping-particle":"","family":"Ivanov","given":"Viktor","non-dropping-particle":"","parse-names":false,"suffix":""}],"container-title":"Banks and Bank Systems","id":"ITEM-1","issue":"2","issued":{"date-parts":[["2018"]]},"page":"153-163","title":"Inflation and economic growth: The search for a compromise for the Central Bank’s monetary policy","type":"article-journal","volume":"13"},"uris":["http://www.mendeley.com/documents/?uuid=9ce7321e-60d6-45d2-a15e-2a69454d23b0"]}],"mendeley":{"formattedCitation":"(Mishchenko et al., 2018)","plainTextFormattedCitation":"(Mishchenko et al., 2018)","previouslyFormattedCitation":"(Mishchenko et al., 2018)"},"properties":{"noteIndex":0},"schema":"https://github.com/citation-style-language/schema/raw/master/csl-citation.json"}</w:instrText>
      </w:r>
      <w:r w:rsidR="00AD73C5" w:rsidRPr="00A13612">
        <w:rPr>
          <w:rFonts w:ascii="Arial" w:hAnsi="Arial" w:cs="Arial"/>
        </w:rPr>
        <w:fldChar w:fldCharType="separate"/>
      </w:r>
      <w:r w:rsidR="00705B7D" w:rsidRPr="00A13612">
        <w:rPr>
          <w:rFonts w:ascii="Arial" w:hAnsi="Arial" w:cs="Arial"/>
          <w:noProof/>
        </w:rPr>
        <w:t>(Mishchenko et al., 2018)</w:t>
      </w:r>
      <w:r w:rsidR="00AD73C5" w:rsidRPr="00A13612">
        <w:rPr>
          <w:rFonts w:ascii="Arial" w:hAnsi="Arial" w:cs="Arial"/>
        </w:rPr>
        <w:fldChar w:fldCharType="end"/>
      </w:r>
      <w:r w:rsidR="00AD73C5" w:rsidRPr="00A13612">
        <w:rPr>
          <w:rFonts w:ascii="Arial" w:hAnsi="Arial" w:cs="Arial"/>
        </w:rPr>
        <w:t xml:space="preserve">. </w:t>
      </w:r>
      <w:r w:rsidRPr="00A13612">
        <w:rPr>
          <w:rFonts w:ascii="Arial" w:hAnsi="Arial" w:cs="Arial"/>
        </w:rPr>
        <w:t xml:space="preserve">In another study, </w:t>
      </w:r>
      <w:r w:rsidR="009E5963" w:rsidRPr="00A13612">
        <w:rPr>
          <w:rFonts w:ascii="Arial" w:hAnsi="Arial" w:cs="Arial"/>
        </w:rPr>
        <w:t>the inflation-growth thresholds are around 9.64 percent and 5.75 percent  </w:t>
      </w:r>
      <w:r w:rsidR="009E5963" w:rsidRPr="00A13612">
        <w:rPr>
          <w:rFonts w:ascii="Arial" w:hAnsi="Arial" w:cs="Arial"/>
        </w:rPr>
        <w:fldChar w:fldCharType="begin" w:fldLock="1"/>
      </w:r>
      <w:r w:rsidR="00606910" w:rsidRPr="00A13612">
        <w:rPr>
          <w:rFonts w:ascii="Arial" w:hAnsi="Arial" w:cs="Arial"/>
        </w:rPr>
        <w:instrText>ADDIN CSL_CITATION {"citationItems":[{"id":"ITEM-1","itemData":{"DOI":"10.21098/bemp.v25i1.1045","ISSN":"24609196","abstract":"This paper investigated the linear and nonlinear relationships between inflation and economic growth in Indonesia using provincial data from 1994 to 2019. The linear model revealed that inflation has a significant negative effect on economic growth, while the nonlinear model revealed that inflation would negatively affect economic growth only after exceeding a threshold value of 9.59 percent. Excluding a high inflationary structural break, we found an inflation threshold of 5.22 percent. Furthermore, we found that the threshold of inflation rate in the eastern regions of Indonesia was higher than that of the western regions, namely 9.64 percent and 5.75 percent, respectively. These findings have significant implications for inflation targeting and management both at the national and regional levels.","author":[{"dropping-particle":"","family":"Kusumatrisna","given":"Adam Luthfi","non-dropping-particle":"","parse-names":false,"suffix":""},{"dropping-particle":"","family":"Sugema","given":"Iman","non-dropping-particle":"","parse-names":false,"suffix":""},{"dropping-particle":"","family":"Pasaribu","given":"Syamsul H.","non-dropping-particle":"","parse-names":false,"suffix":""}],"container-title":"Buletin Ekonomi Moneter dan Perbankan","id":"ITEM-1","issue":"2","issued":{"date-parts":[["2022"]]},"page":"117-132","title":"Threshold Effect in the Relationship between Inflation Rate and Economic Growth in Indonesia","type":"article-journal","volume":"25"},"uris":["http://www.mendeley.com/documents/?uuid=19f1c621-4452-49f4-8e64-06434cfb182a"]}],"mendeley":{"formattedCitation":"(Kusumatrisna et al., 2022)","plainTextFormattedCitation":"(Kusumatrisna et al., 2022)","previouslyFormattedCitation":"(Kusumatrisna et al., 2022)"},"properties":{"noteIndex":0},"schema":"https://github.com/citation-style-language/schema/raw/master/csl-citation.json"}</w:instrText>
      </w:r>
      <w:r w:rsidR="009E5963" w:rsidRPr="00A13612">
        <w:rPr>
          <w:rFonts w:ascii="Arial" w:hAnsi="Arial" w:cs="Arial"/>
        </w:rPr>
        <w:fldChar w:fldCharType="separate"/>
      </w:r>
      <w:r w:rsidR="009E5963" w:rsidRPr="00A13612">
        <w:rPr>
          <w:rFonts w:ascii="Arial" w:hAnsi="Arial" w:cs="Arial"/>
          <w:noProof/>
        </w:rPr>
        <w:t>(Kusumatrisna et al., 2022)</w:t>
      </w:r>
      <w:r w:rsidR="009E5963" w:rsidRPr="00A13612">
        <w:rPr>
          <w:rFonts w:ascii="Arial" w:hAnsi="Arial" w:cs="Arial"/>
        </w:rPr>
        <w:fldChar w:fldCharType="end"/>
      </w:r>
      <w:r w:rsidR="009E5963" w:rsidRPr="00A13612">
        <w:rPr>
          <w:rFonts w:ascii="Arial" w:hAnsi="Arial" w:cs="Arial"/>
        </w:rPr>
        <w:t xml:space="preserve">. </w:t>
      </w:r>
      <w:r w:rsidR="00AD73C5" w:rsidRPr="00A13612">
        <w:rPr>
          <w:rFonts w:ascii="Arial" w:hAnsi="Arial" w:cs="Arial"/>
        </w:rPr>
        <w:t xml:space="preserve">Whilst the vast majority </w:t>
      </w:r>
      <w:r w:rsidR="00997F1A" w:rsidRPr="00A13612">
        <w:rPr>
          <w:rFonts w:ascii="Arial" w:hAnsi="Arial" w:cs="Arial"/>
        </w:rPr>
        <w:t xml:space="preserve">of </w:t>
      </w:r>
      <w:r w:rsidR="00AD73C5" w:rsidRPr="00A13612">
        <w:rPr>
          <w:rFonts w:ascii="Arial" w:hAnsi="Arial" w:cs="Arial"/>
        </w:rPr>
        <w:t xml:space="preserve">past studies suggest that high inflation rates </w:t>
      </w:r>
      <w:r w:rsidR="00997F1A" w:rsidRPr="00A13612">
        <w:rPr>
          <w:rFonts w:ascii="Arial" w:hAnsi="Arial" w:cs="Arial"/>
        </w:rPr>
        <w:t>adversely</w:t>
      </w:r>
      <w:r w:rsidR="00AD73C5" w:rsidRPr="00A13612">
        <w:rPr>
          <w:rFonts w:ascii="Arial" w:hAnsi="Arial" w:cs="Arial"/>
        </w:rPr>
        <w:t xml:space="preserve"> impact the trajectory of economic activities, unraveling the </w:t>
      </w:r>
      <w:r w:rsidR="009E5963" w:rsidRPr="00A13612">
        <w:rPr>
          <w:rFonts w:ascii="Arial" w:hAnsi="Arial" w:cs="Arial"/>
        </w:rPr>
        <w:t xml:space="preserve">link </w:t>
      </w:r>
      <w:r w:rsidR="00AD73C5" w:rsidRPr="00A13612">
        <w:rPr>
          <w:rFonts w:ascii="Arial" w:hAnsi="Arial" w:cs="Arial"/>
        </w:rPr>
        <w:t xml:space="preserve">between </w:t>
      </w:r>
      <w:r w:rsidR="009E5963" w:rsidRPr="00A13612">
        <w:rPr>
          <w:rFonts w:ascii="Arial" w:hAnsi="Arial" w:cs="Arial"/>
        </w:rPr>
        <w:t xml:space="preserve">the consumer price index </w:t>
      </w:r>
      <w:r w:rsidR="00AD73C5" w:rsidRPr="00A13612">
        <w:rPr>
          <w:rFonts w:ascii="Arial" w:hAnsi="Arial" w:cs="Arial"/>
        </w:rPr>
        <w:t xml:space="preserve">and economic growth </w:t>
      </w:r>
      <w:r w:rsidR="00997F1A" w:rsidRPr="00A13612">
        <w:rPr>
          <w:rFonts w:ascii="Arial" w:hAnsi="Arial" w:cs="Arial"/>
        </w:rPr>
        <w:t>remains</w:t>
      </w:r>
      <w:r w:rsidR="00AD73C5" w:rsidRPr="00A13612">
        <w:rPr>
          <w:rFonts w:ascii="Arial" w:hAnsi="Arial" w:cs="Arial"/>
        </w:rPr>
        <w:t xml:space="preserve"> </w:t>
      </w:r>
      <w:r w:rsidR="00997F1A" w:rsidRPr="00A13612">
        <w:rPr>
          <w:rFonts w:ascii="Arial" w:hAnsi="Arial" w:cs="Arial"/>
        </w:rPr>
        <w:t xml:space="preserve">a </w:t>
      </w:r>
      <w:r w:rsidR="00AD73C5" w:rsidRPr="00A13612">
        <w:rPr>
          <w:rFonts w:ascii="Arial" w:hAnsi="Arial" w:cs="Arial"/>
        </w:rPr>
        <w:t xml:space="preserve">pivotal subject to be addressed. </w:t>
      </w:r>
    </w:p>
    <w:p w14:paraId="438EDB36" w14:textId="77777777" w:rsidR="00997F1A" w:rsidRPr="00A13612" w:rsidRDefault="00997F1A" w:rsidP="00AD73C5">
      <w:pPr>
        <w:jc w:val="both"/>
        <w:rPr>
          <w:rFonts w:ascii="Arial" w:hAnsi="Arial" w:cs="Arial"/>
        </w:rPr>
      </w:pPr>
    </w:p>
    <w:p w14:paraId="46127D51" w14:textId="6ECFBD45" w:rsidR="00C8170F" w:rsidRPr="00A13612" w:rsidRDefault="00AD73C5" w:rsidP="00AD73C5">
      <w:pPr>
        <w:jc w:val="both"/>
        <w:rPr>
          <w:rFonts w:ascii="Arial" w:hAnsi="Arial" w:cs="Arial"/>
        </w:rPr>
      </w:pPr>
      <w:r w:rsidRPr="00A13612">
        <w:rPr>
          <w:rFonts w:ascii="Arial" w:hAnsi="Arial" w:cs="Arial"/>
        </w:rPr>
        <w:t xml:space="preserve">This research paper aims to contribute to this ongoing discussion by examining the nexus between inflation rates and economic growth. It will analyze the theoretical underpinnings of this relationship, review existing empirical evidence, and investigate the specific dynamics of short- and long-run relationships in the case of Indonesia using annual data for the period </w:t>
      </w:r>
      <w:r w:rsidR="00C8170F" w:rsidRPr="00A13612">
        <w:rPr>
          <w:rFonts w:ascii="Arial" w:hAnsi="Arial" w:cs="Arial"/>
        </w:rPr>
        <w:t>1985-2023</w:t>
      </w:r>
      <w:r w:rsidRPr="00A13612">
        <w:rPr>
          <w:rFonts w:ascii="Arial" w:hAnsi="Arial" w:cs="Arial"/>
        </w:rPr>
        <w:t>. By doing so, the study seeks to provide valuable insights for policymakers and contribute to a deeper understanding of the complex interplay between</w:t>
      </w:r>
      <w:r w:rsidR="00C8170F" w:rsidRPr="00A13612">
        <w:rPr>
          <w:rFonts w:ascii="Arial" w:hAnsi="Arial" w:cs="Arial"/>
        </w:rPr>
        <w:t xml:space="preserve"> total output growth and inflation in the specific case of Indonesia</w:t>
      </w:r>
    </w:p>
    <w:p w14:paraId="6502E939" w14:textId="205EE8B3" w:rsidR="00997F1A" w:rsidRPr="00A13612" w:rsidRDefault="00997F1A" w:rsidP="00AD73C5">
      <w:pPr>
        <w:jc w:val="both"/>
        <w:rPr>
          <w:rFonts w:ascii="Arial" w:hAnsi="Arial" w:cs="Arial"/>
        </w:rPr>
      </w:pPr>
    </w:p>
    <w:p w14:paraId="34AC2A7F" w14:textId="0B2D57D8" w:rsidR="00AD73C5" w:rsidRPr="00A13612" w:rsidRDefault="00AD73C5" w:rsidP="00AD73C5">
      <w:pPr>
        <w:pStyle w:val="Body"/>
        <w:spacing w:after="0"/>
        <w:rPr>
          <w:rFonts w:ascii="Arial" w:hAnsi="Arial" w:cs="Arial"/>
        </w:rPr>
      </w:pPr>
      <w:r w:rsidRPr="00A13612">
        <w:rPr>
          <w:rFonts w:ascii="Arial" w:hAnsi="Arial" w:cs="Arial"/>
        </w:rPr>
        <w:t xml:space="preserve">Regarding </w:t>
      </w:r>
      <w:r w:rsidR="00C8170F" w:rsidRPr="00A13612">
        <w:rPr>
          <w:rFonts w:ascii="Arial" w:hAnsi="Arial" w:cs="Arial"/>
        </w:rPr>
        <w:t xml:space="preserve">research </w:t>
      </w:r>
      <w:r w:rsidRPr="00A13612">
        <w:rPr>
          <w:rFonts w:ascii="Arial" w:hAnsi="Arial" w:cs="Arial"/>
        </w:rPr>
        <w:t>contributions, th</w:t>
      </w:r>
      <w:r w:rsidR="00C8170F" w:rsidRPr="00A13612">
        <w:rPr>
          <w:rFonts w:ascii="Arial" w:hAnsi="Arial" w:cs="Arial"/>
        </w:rPr>
        <w:t>e current</w:t>
      </w:r>
      <w:r w:rsidRPr="00A13612">
        <w:rPr>
          <w:rFonts w:ascii="Arial" w:hAnsi="Arial" w:cs="Arial"/>
        </w:rPr>
        <w:t xml:space="preserve"> </w:t>
      </w:r>
      <w:r w:rsidR="00C8170F" w:rsidRPr="00A13612">
        <w:rPr>
          <w:rFonts w:ascii="Arial" w:hAnsi="Arial" w:cs="Arial"/>
        </w:rPr>
        <w:t>study</w:t>
      </w:r>
      <w:r w:rsidRPr="00A13612">
        <w:rPr>
          <w:rFonts w:ascii="Arial" w:hAnsi="Arial" w:cs="Arial"/>
        </w:rPr>
        <w:t xml:space="preserve"> </w:t>
      </w:r>
      <w:r w:rsidR="00AB7482" w:rsidRPr="00A13612">
        <w:rPr>
          <w:rFonts w:ascii="Arial" w:hAnsi="Arial" w:cs="Arial"/>
        </w:rPr>
        <w:t>offers</w:t>
      </w:r>
      <w:r w:rsidRPr="00A13612">
        <w:rPr>
          <w:rFonts w:ascii="Arial" w:hAnsi="Arial" w:cs="Arial"/>
        </w:rPr>
        <w:t xml:space="preserve"> two novelties, focusing on</w:t>
      </w:r>
      <w:r w:rsidR="00C8170F" w:rsidRPr="00A13612">
        <w:rPr>
          <w:rFonts w:ascii="Arial" w:hAnsi="Arial" w:cs="Arial"/>
        </w:rPr>
        <w:t xml:space="preserve"> </w:t>
      </w:r>
      <w:r w:rsidR="00606910" w:rsidRPr="00A13612">
        <w:rPr>
          <w:rFonts w:ascii="Arial" w:hAnsi="Arial" w:cs="Arial"/>
        </w:rPr>
        <w:t>sample</w:t>
      </w:r>
      <w:r w:rsidR="00C8170F" w:rsidRPr="00A13612">
        <w:rPr>
          <w:rFonts w:ascii="Arial" w:hAnsi="Arial" w:cs="Arial"/>
        </w:rPr>
        <w:t xml:space="preserve"> and </w:t>
      </w:r>
      <w:r w:rsidR="00AB7482" w:rsidRPr="00A13612">
        <w:rPr>
          <w:rFonts w:ascii="Arial" w:hAnsi="Arial" w:cs="Arial"/>
        </w:rPr>
        <w:t>methodological</w:t>
      </w:r>
      <w:r w:rsidR="00C8170F" w:rsidRPr="00A13612">
        <w:rPr>
          <w:rFonts w:ascii="Arial" w:hAnsi="Arial" w:cs="Arial"/>
        </w:rPr>
        <w:t xml:space="preserve"> aspects</w:t>
      </w:r>
      <w:r w:rsidRPr="00A13612">
        <w:rPr>
          <w:rFonts w:ascii="Arial" w:hAnsi="Arial" w:cs="Arial"/>
        </w:rPr>
        <w:t xml:space="preserve">. First, the </w:t>
      </w:r>
      <w:r w:rsidR="00606910" w:rsidRPr="00A13612">
        <w:rPr>
          <w:rFonts w:ascii="Arial" w:hAnsi="Arial" w:cs="Arial"/>
        </w:rPr>
        <w:t>series</w:t>
      </w:r>
      <w:r w:rsidRPr="00A13612">
        <w:rPr>
          <w:rFonts w:ascii="Arial" w:hAnsi="Arial" w:cs="Arial"/>
        </w:rPr>
        <w:t xml:space="preserve"> </w:t>
      </w:r>
      <w:r w:rsidR="00AB7482" w:rsidRPr="00A13612">
        <w:rPr>
          <w:rFonts w:ascii="Arial" w:hAnsi="Arial" w:cs="Arial"/>
        </w:rPr>
        <w:t>utilized</w:t>
      </w:r>
      <w:r w:rsidRPr="00A13612">
        <w:rPr>
          <w:rFonts w:ascii="Arial" w:hAnsi="Arial" w:cs="Arial"/>
        </w:rPr>
        <w:t xml:space="preserve"> includes periods of shock (1997-1998 and 2020-2022) and stability, </w:t>
      </w:r>
      <w:r w:rsidR="00C8170F" w:rsidRPr="00A13612">
        <w:rPr>
          <w:rFonts w:ascii="Arial" w:hAnsi="Arial" w:cs="Arial"/>
        </w:rPr>
        <w:t xml:space="preserve">providing </w:t>
      </w:r>
      <w:r w:rsidRPr="00A13612">
        <w:rPr>
          <w:rFonts w:ascii="Arial" w:hAnsi="Arial" w:cs="Arial"/>
        </w:rPr>
        <w:t xml:space="preserve">more robust findings regarding the effect of inflation on </w:t>
      </w:r>
      <w:r w:rsidR="00AB7482" w:rsidRPr="00A13612">
        <w:rPr>
          <w:rFonts w:ascii="Arial" w:hAnsi="Arial" w:cs="Arial"/>
        </w:rPr>
        <w:t>economic</w:t>
      </w:r>
      <w:r w:rsidR="00C8170F" w:rsidRPr="00A13612">
        <w:rPr>
          <w:rFonts w:ascii="Arial" w:hAnsi="Arial" w:cs="Arial"/>
        </w:rPr>
        <w:t xml:space="preserve"> </w:t>
      </w:r>
      <w:r w:rsidRPr="00A13612">
        <w:rPr>
          <w:rFonts w:ascii="Arial" w:hAnsi="Arial" w:cs="Arial"/>
        </w:rPr>
        <w:t xml:space="preserve">output. </w:t>
      </w:r>
      <w:r w:rsidR="00C8170F" w:rsidRPr="00A13612">
        <w:rPr>
          <w:rFonts w:ascii="Arial" w:hAnsi="Arial" w:cs="Arial"/>
        </w:rPr>
        <w:t xml:space="preserve">Therefore, </w:t>
      </w:r>
      <w:r w:rsidR="00AB7482" w:rsidRPr="00A13612">
        <w:rPr>
          <w:rFonts w:ascii="Arial" w:hAnsi="Arial" w:cs="Arial"/>
        </w:rPr>
        <w:t>the</w:t>
      </w:r>
      <w:r w:rsidR="00C8170F" w:rsidRPr="00A13612">
        <w:rPr>
          <w:rFonts w:ascii="Arial" w:hAnsi="Arial" w:cs="Arial"/>
        </w:rPr>
        <w:t xml:space="preserve"> study adds the dummy variable of year shocks. </w:t>
      </w:r>
      <w:r w:rsidRPr="00A13612">
        <w:rPr>
          <w:rFonts w:ascii="Arial" w:hAnsi="Arial" w:cs="Arial"/>
        </w:rPr>
        <w:t xml:space="preserve">Second, the Toda-Yamamoto (TY) causality test is </w:t>
      </w:r>
      <w:r w:rsidR="00C8170F" w:rsidRPr="00A13612">
        <w:rPr>
          <w:rFonts w:ascii="Arial" w:hAnsi="Arial" w:cs="Arial"/>
        </w:rPr>
        <w:t>integrated</w:t>
      </w:r>
      <w:r w:rsidRPr="00A13612">
        <w:rPr>
          <w:rFonts w:ascii="Arial" w:hAnsi="Arial" w:cs="Arial"/>
        </w:rPr>
        <w:t xml:space="preserve"> to unravel the causal direction amongst the variables examined</w:t>
      </w:r>
      <w:r w:rsidR="00C8170F" w:rsidRPr="00A13612">
        <w:rPr>
          <w:rFonts w:ascii="Arial" w:hAnsi="Arial" w:cs="Arial"/>
        </w:rPr>
        <w:t xml:space="preserve">. </w:t>
      </w:r>
    </w:p>
    <w:p w14:paraId="18F95526" w14:textId="77777777" w:rsidR="00790ADA" w:rsidRPr="00A13612" w:rsidRDefault="00790ADA" w:rsidP="00441B6F">
      <w:pPr>
        <w:pStyle w:val="Body"/>
        <w:spacing w:after="0"/>
        <w:rPr>
          <w:rFonts w:ascii="Arial" w:hAnsi="Arial" w:cs="Arial"/>
        </w:rPr>
      </w:pPr>
    </w:p>
    <w:p w14:paraId="30444B27" w14:textId="001FB42A" w:rsidR="007F7B32" w:rsidRPr="00A13612" w:rsidRDefault="00902823" w:rsidP="00441B6F">
      <w:pPr>
        <w:pStyle w:val="AbstHead"/>
        <w:spacing w:after="0"/>
        <w:jc w:val="both"/>
        <w:rPr>
          <w:rFonts w:ascii="Arial" w:hAnsi="Arial" w:cs="Arial"/>
        </w:rPr>
      </w:pPr>
      <w:r w:rsidRPr="00A13612">
        <w:rPr>
          <w:rFonts w:ascii="Arial" w:hAnsi="Arial" w:cs="Arial"/>
        </w:rPr>
        <w:t>2. material and method</w:t>
      </w:r>
      <w:r w:rsidR="00000F8F" w:rsidRPr="00A13612">
        <w:rPr>
          <w:rFonts w:ascii="Arial" w:hAnsi="Arial" w:cs="Arial"/>
        </w:rPr>
        <w:t>s</w:t>
      </w:r>
    </w:p>
    <w:p w14:paraId="4703E16C" w14:textId="77777777" w:rsidR="00790ADA" w:rsidRPr="00A13612" w:rsidRDefault="00790ADA" w:rsidP="00441B6F">
      <w:pPr>
        <w:pStyle w:val="AbstHead"/>
        <w:spacing w:after="0"/>
        <w:jc w:val="both"/>
        <w:rPr>
          <w:rFonts w:ascii="Arial" w:hAnsi="Arial" w:cs="Arial"/>
        </w:rPr>
      </w:pPr>
    </w:p>
    <w:p w14:paraId="155DBC1E" w14:textId="5847A0C4" w:rsidR="00606910" w:rsidRPr="00A13612" w:rsidRDefault="00606910" w:rsidP="00606910">
      <w:pPr>
        <w:pStyle w:val="Body"/>
        <w:spacing w:after="0"/>
        <w:rPr>
          <w:rFonts w:ascii="Arial" w:eastAsia="Calibri" w:hAnsi="Arial" w:cs="Arial"/>
          <w:szCs w:val="22"/>
        </w:rPr>
      </w:pPr>
      <w:r w:rsidRPr="00A13612">
        <w:rPr>
          <w:rFonts w:ascii="Arial" w:hAnsi="Arial" w:cs="Arial"/>
          <w:b/>
          <w:caps/>
          <w:sz w:val="22"/>
        </w:rPr>
        <w:t xml:space="preserve">2.1 </w:t>
      </w:r>
      <w:r w:rsidRPr="00A13612">
        <w:rPr>
          <w:rFonts w:ascii="Arial" w:hAnsi="Arial" w:cs="Arial"/>
          <w:b/>
          <w:sz w:val="22"/>
        </w:rPr>
        <w:t xml:space="preserve">Model Specification </w:t>
      </w:r>
    </w:p>
    <w:p w14:paraId="4806814C" w14:textId="77777777" w:rsidR="00606910" w:rsidRPr="00A13612" w:rsidRDefault="00606910" w:rsidP="00606910">
      <w:pPr>
        <w:pStyle w:val="Body"/>
        <w:spacing w:after="0"/>
        <w:rPr>
          <w:rFonts w:ascii="Arial" w:hAnsi="Arial" w:cs="Arial"/>
        </w:rPr>
      </w:pPr>
    </w:p>
    <w:p w14:paraId="3C9B1581" w14:textId="590D13D3" w:rsidR="00606910" w:rsidRPr="00A13612" w:rsidRDefault="00606910" w:rsidP="00606910">
      <w:pPr>
        <w:jc w:val="both"/>
        <w:rPr>
          <w:rFonts w:ascii="Arial" w:hAnsi="Arial" w:cs="Arial"/>
        </w:rPr>
      </w:pPr>
      <w:r w:rsidRPr="00A13612">
        <w:rPr>
          <w:rFonts w:ascii="Arial" w:hAnsi="Arial" w:cs="Arial"/>
        </w:rPr>
        <w:t>Th</w:t>
      </w:r>
      <w:r w:rsidR="00A61AF1" w:rsidRPr="00A13612">
        <w:rPr>
          <w:rFonts w:ascii="Arial" w:hAnsi="Arial" w:cs="Arial"/>
        </w:rPr>
        <w:t>e main motivation is to examine the impact of inflation on economic growth. Hence, the baseline model is Eq. (1).</w:t>
      </w:r>
    </w:p>
    <w:p w14:paraId="2494C7FD" w14:textId="77777777" w:rsidR="00606910" w:rsidRPr="00A13612" w:rsidRDefault="00606910" w:rsidP="00606910">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4"/>
        <w:gridCol w:w="524"/>
      </w:tblGrid>
      <w:tr w:rsidR="00606910" w:rsidRPr="00A13612" w14:paraId="1D01A562" w14:textId="77777777" w:rsidTr="00713784">
        <w:tc>
          <w:tcPr>
            <w:tcW w:w="8815" w:type="dxa"/>
            <w:vAlign w:val="center"/>
          </w:tcPr>
          <w:p w14:paraId="7AC8EB61" w14:textId="39A50730" w:rsidR="00606910" w:rsidRPr="00A13612" w:rsidRDefault="0042060D" w:rsidP="00713784">
            <w:pPr>
              <w:jc w:val="both"/>
              <w:rPr>
                <w:rFonts w:ascii="Arial" w:hAnsi="Arial" w:cs="Arial"/>
                <w:sz w:val="20"/>
                <w:szCs w:val="20"/>
              </w:rPr>
            </w:pPr>
            <m:oMathPara>
              <m:oMath>
                <m:r>
                  <w:rPr>
                    <w:rFonts w:ascii="Cambria Math" w:hAnsi="Cambria Math" w:cs="Arial"/>
                    <w:sz w:val="20"/>
                    <w:szCs w:val="20"/>
                  </w:rPr>
                  <m:t>GDP</m:t>
                </m:r>
                <m:sSub>
                  <m:sSubPr>
                    <m:ctrlPr>
                      <w:rPr>
                        <w:rFonts w:ascii="Cambria Math" w:hAnsi="Cambria Math" w:cs="Arial"/>
                        <w:i/>
                        <w:sz w:val="20"/>
                        <w:szCs w:val="20"/>
                      </w:rPr>
                    </m:ctrlPr>
                  </m:sSubPr>
                  <m:e>
                    <m:r>
                      <w:rPr>
                        <w:rFonts w:ascii="Cambria Math" w:hAnsi="Cambria Math" w:cs="Arial"/>
                        <w:sz w:val="20"/>
                        <w:szCs w:val="20"/>
                      </w:rPr>
                      <m:t>g</m:t>
                    </m:r>
                  </m:e>
                  <m:sub>
                    <m:r>
                      <w:rPr>
                        <w:rFonts w:ascii="Cambria Math" w:hAnsi="Cambria Math" w:cs="Arial"/>
                        <w:sz w:val="20"/>
                        <w:szCs w:val="20"/>
                      </w:rPr>
                      <m:t>t</m:t>
                    </m:r>
                  </m:sub>
                </m:sSub>
                <m:r>
                  <w:rPr>
                    <w:rFonts w:ascii="Cambria Math" w:hAnsi="Cambria Math" w:cs="Arial"/>
                    <w:sz w:val="20"/>
                    <w:szCs w:val="20"/>
                  </w:rPr>
                  <m:t>=f</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CPI</m:t>
                        </m:r>
                      </m:e>
                      <m:sub>
                        <m:r>
                          <w:rPr>
                            <w:rFonts w:ascii="Cambria Math" w:hAnsi="Cambria Math" w:cs="Arial"/>
                            <w:sz w:val="20"/>
                            <w:szCs w:val="20"/>
                          </w:rPr>
                          <m:t>t</m:t>
                        </m:r>
                      </m:sub>
                    </m:sSub>
                  </m:e>
                </m:d>
              </m:oMath>
            </m:oMathPara>
          </w:p>
        </w:tc>
        <w:tc>
          <w:tcPr>
            <w:tcW w:w="535" w:type="dxa"/>
            <w:vAlign w:val="center"/>
          </w:tcPr>
          <w:p w14:paraId="08FAEA78" w14:textId="77777777" w:rsidR="00606910" w:rsidRPr="00A13612" w:rsidRDefault="00606910" w:rsidP="00713784">
            <w:pPr>
              <w:jc w:val="both"/>
              <w:rPr>
                <w:rFonts w:ascii="Arial" w:hAnsi="Arial" w:cs="Arial"/>
                <w:color w:val="0D0D0D" w:themeColor="text1" w:themeTint="F2"/>
                <w:sz w:val="20"/>
                <w:szCs w:val="20"/>
              </w:rPr>
            </w:pPr>
            <w:r w:rsidRPr="00A13612">
              <w:rPr>
                <w:rFonts w:ascii="Arial" w:hAnsi="Arial" w:cs="Arial"/>
                <w:color w:val="0D0D0D" w:themeColor="text1" w:themeTint="F2"/>
                <w:sz w:val="20"/>
                <w:szCs w:val="20"/>
              </w:rPr>
              <w:t>(1)</w:t>
            </w:r>
          </w:p>
        </w:tc>
      </w:tr>
    </w:tbl>
    <w:p w14:paraId="63326562" w14:textId="77777777" w:rsidR="00606910" w:rsidRPr="00A13612" w:rsidRDefault="00606910" w:rsidP="00606910">
      <w:pPr>
        <w:jc w:val="both"/>
        <w:rPr>
          <w:rFonts w:ascii="Arial" w:hAnsi="Arial" w:cs="Arial"/>
        </w:rPr>
      </w:pPr>
    </w:p>
    <w:p w14:paraId="00E0E153" w14:textId="34FA1385" w:rsidR="00606910" w:rsidRPr="00A13612" w:rsidRDefault="00606910" w:rsidP="00606910">
      <w:pPr>
        <w:jc w:val="both"/>
        <w:rPr>
          <w:rFonts w:ascii="Arial" w:hAnsi="Arial" w:cs="Arial"/>
        </w:rPr>
      </w:pPr>
      <w:r w:rsidRPr="00A13612">
        <w:rPr>
          <w:rFonts w:ascii="Arial" w:hAnsi="Arial" w:cs="Arial"/>
        </w:rPr>
        <w:t xml:space="preserve">where </w:t>
      </w:r>
      <m:oMath>
        <m:sSub>
          <m:sSubPr>
            <m:ctrlPr>
              <w:rPr>
                <w:rFonts w:ascii="Cambria Math" w:hAnsi="Cambria Math" w:cs="Arial"/>
                <w:i/>
              </w:rPr>
            </m:ctrlPr>
          </m:sSubPr>
          <m:e>
            <m:r>
              <w:rPr>
                <w:rFonts w:ascii="Cambria Math" w:hAnsi="Cambria Math" w:cs="Arial"/>
              </w:rPr>
              <m:t>CPI</m:t>
            </m:r>
          </m:e>
          <m:sub>
            <m:r>
              <w:rPr>
                <w:rFonts w:ascii="Cambria Math" w:hAnsi="Cambria Math" w:cs="Arial"/>
              </w:rPr>
              <m:t>t</m:t>
            </m:r>
          </m:sub>
        </m:sSub>
      </m:oMath>
      <w:r w:rsidRPr="00A13612">
        <w:rPr>
          <w:rFonts w:ascii="Arial" w:hAnsi="Arial" w:cs="Arial"/>
        </w:rPr>
        <w:t xml:space="preserve"> shows the consumer price index, a measurement of inflation rates. By integrating the role of capital formation and labor force as suggested by the neoclassical growth model </w:t>
      </w:r>
      <w:r w:rsidRPr="00A13612">
        <w:rPr>
          <w:rFonts w:ascii="Arial" w:hAnsi="Arial" w:cs="Arial"/>
        </w:rPr>
        <w:fldChar w:fldCharType="begin" w:fldLock="1"/>
      </w:r>
      <w:r w:rsidR="00064CD9" w:rsidRPr="00A13612">
        <w:rPr>
          <w:rFonts w:ascii="Arial" w:hAnsi="Arial" w:cs="Arial"/>
        </w:rPr>
        <w:instrText>ADDIN CSL_CITATION {"citationItems":[{"id":"ITEM-1","itemData":{"DOI":"10.4236/ajibm.2019.912148","ISSN":"2164-5167","abstract":"The evolving population aging scenarios of the industrialized countries can be attributed to two major demographic dynamics: the declining fertility and fast aging population. The increasing old age dependency ratio, decreasing young dependency ratio, and shrinking share of working-age population in the aging economies generate substantial impacts on individual as well as aggregate consumption, saving and employment. Because retired people save less, an aging society with increasing proportion of retirees would experience a decline in aggregate savings, which in turn leads to lower capital formation and reduces economic growth. This paper focuses on the effect of population aging on aggregate saving, physical capital formation, and economic growth in Japan. The current study theorizes the effect of aging demographic dynamics on savings and capital formation. Taking into account the effects of population dynamics, saving, and capital formation together, this paper steps further in examining the implications of population aging for economic growth and discusses policy implications for the aging economy.","author":[{"dropping-particle":"","family":"Hsu","given":"Yuan-Ho","non-dropping-particle":"","parse-names":false,"suffix":""},{"dropping-particle":"","family":"Lo","given":"Huei-Chun","non-dropping-particle":"","parse-names":false,"suffix":""}],"container-title":"American Journal of Industrial and Business Management","id":"ITEM-1","issue":"12","issued":{"date-parts":[["2019"]]},"page":"2231-2249","title":"The Impacts of Population Aging on Saving, Capital Formation, and Economic Growth","type":"article-journal","volume":"09"},"uris":["http://www.mendeley.com/documents/?uuid=c4233f07-7784-40e3-83a2-1de51d24f3ae"]}],"mendeley":{"formattedCitation":"(Hsu &amp; Lo, 2019)","plainTextFormattedCitation":"(Hsu &amp; Lo, 2019)","previouslyFormattedCitation":"(Hsu &amp; Lo, 2019)"},"properties":{"noteIndex":0},"schema":"https://github.com/citation-style-language/schema/raw/master/csl-citation.json"}</w:instrText>
      </w:r>
      <w:r w:rsidRPr="00A13612">
        <w:rPr>
          <w:rFonts w:ascii="Arial" w:hAnsi="Arial" w:cs="Arial"/>
        </w:rPr>
        <w:fldChar w:fldCharType="separate"/>
      </w:r>
      <w:r w:rsidRPr="00A13612">
        <w:rPr>
          <w:rFonts w:ascii="Arial" w:hAnsi="Arial" w:cs="Arial"/>
          <w:noProof/>
        </w:rPr>
        <w:t>(Hsu &amp; Lo, 2019)</w:t>
      </w:r>
      <w:r w:rsidRPr="00A13612">
        <w:rPr>
          <w:rFonts w:ascii="Arial" w:hAnsi="Arial" w:cs="Arial"/>
        </w:rPr>
        <w:fldChar w:fldCharType="end"/>
      </w:r>
      <w:r w:rsidR="00064CD9" w:rsidRPr="00A13612">
        <w:rPr>
          <w:rFonts w:ascii="Arial" w:hAnsi="Arial" w:cs="Arial"/>
        </w:rPr>
        <w:fldChar w:fldCharType="begin" w:fldLock="1"/>
      </w:r>
      <w:r w:rsidR="00A61AF1" w:rsidRPr="00A13612">
        <w:rPr>
          <w:rFonts w:ascii="Arial" w:hAnsi="Arial" w:cs="Arial"/>
        </w:rPr>
        <w:instrText>ADDIN CSL_CITATION {"citationItems":[{"id":"ITEM-1","itemData":{"DOI":"10.31014/aior.1992.03.04.296","abstract":"In 2010, Vietnam achieved a total import-export turnover of US $ 154 billion, but by 2019, that number increased more than tripled, reaching over $ 500 billion. In 2020, while the context of complicated developments of the outbreak COVID-19 in the world, disrupting supply chain in international trade, Vietnam's merchandise exports remained the rising trend and exerted a positive impact on economic growth. In the article, the research team will present the results of examining the current situation of Vietnam's exports and economic growth in the period 2005 - 2019 and the fir</w:instrText>
      </w:r>
      <w:r w:rsidR="00A61AF1" w:rsidRPr="00A13612">
        <w:rPr>
          <w:rFonts w:ascii="Arial" w:hAnsi="Arial" w:cs="Arial"/>
          <w:lang w:val="nl-NL"/>
        </w:rPr>
        <w:instrText>st 9 months of 2020. By using Eview8 software to analyze the data series compiled every quarter in the period 2005 - 2019, the research team evaluated the impact of exports on Vietnam's economic growth in this period and pointed out some problems for export activities of Vietnam. Besides, the research team also considers the opportunities and challenges for export activities in the context of the COVID-19 pandemic. Finally, the research team made some recommendations to boost Vietnam's exports in the context of the COVID 19 pandemic.","author":[{"dropping-particle":"Van","family":"Anh","given":"Nguyen Thi","non-dropping-particle":"","parse-names":false,"suffix":""},{"dropping-particle":"","family":"Tung","given":"Hoang Thanh","non-dropping-particle":"","parse-names":false,"suffix":""},{"dropping-particle":"","family":"Hien","given":"Vu Thuy","non-dropping-particle":"","parse-names":false,"suffix":""}],"container-title":"Journal of Economics and Business","id":"ITEM-1","issue":"4","issued":{"date-parts":[["2020"]]},"title":"The Impact of Labor Force on Economic Growth in Vietnam","type":"article-journal","volume":"3"},"uris":["http://www.mendeley.com/documents/?uuid=87de3443-69d1-488d-9ed7-6b34c3bc285c"]}],"mendeley":{"formattedCitation":"(Anh et al., 2020)","plainTextFormattedCitation":"(Anh et al., 2020)","previouslyFormattedCitation":"(Anh et al., 2020)"},"properties":{"noteIndex":0},"schema":"https://github.com/citation-style-language/schema/raw/master/csl-citation.json"}</w:instrText>
      </w:r>
      <w:r w:rsidR="00064CD9" w:rsidRPr="00A13612">
        <w:rPr>
          <w:rFonts w:ascii="Arial" w:hAnsi="Arial" w:cs="Arial"/>
        </w:rPr>
        <w:fldChar w:fldCharType="separate"/>
      </w:r>
      <w:r w:rsidR="00064CD9" w:rsidRPr="00A13612">
        <w:rPr>
          <w:rFonts w:ascii="Arial" w:hAnsi="Arial" w:cs="Arial"/>
          <w:noProof/>
          <w:lang w:val="nl-NL"/>
        </w:rPr>
        <w:t>(Anh et al., 2020)</w:t>
      </w:r>
      <w:r w:rsidR="00064CD9" w:rsidRPr="00A13612">
        <w:rPr>
          <w:rFonts w:ascii="Arial" w:hAnsi="Arial" w:cs="Arial"/>
        </w:rPr>
        <w:fldChar w:fldCharType="end"/>
      </w:r>
      <w:r w:rsidR="00064CD9" w:rsidRPr="00A13612">
        <w:rPr>
          <w:rFonts w:ascii="Arial" w:hAnsi="Arial" w:cs="Arial"/>
        </w:rPr>
        <w:fldChar w:fldCharType="begin" w:fldLock="1"/>
      </w:r>
      <w:r w:rsidR="00064CD9" w:rsidRPr="00A13612">
        <w:rPr>
          <w:rFonts w:ascii="Arial" w:hAnsi="Arial" w:cs="Arial"/>
          <w:lang w:val="nl-NL"/>
        </w:rPr>
        <w:instrText>ADDIN CSL_CITATION {"citationItems":[{"id":"ITEM-1","itemData":{"DOI":"https://doi.org/10.1016/j.resourpol.2020.101622","ISSN":"0301-4207","abstract":"The aim of this paper is to analyze the effects of natural resources, energy consumption and gross capital accumulation on economic growth over the period 1980–2018 in 124 countries classified according to different income levels using Panel Vector Autoregressive (PVAR) approach. Panel VAR analysis yielded different findings according to low, middle and high-income country groups. In high income countries, gross capital formation, urbanization and energy consumption have a positive impact on economic growth whereas the coefficient of natural resources is positive but statistically insignificant. In middle income countries, an increase in natural resources, in energy consumption and in urbanization lead to GDP growth. Natural resources and energy consumption positively affect GDP, while capital formation has a negative impact in low income countries. That is, the natural resources curse hypothesis is invalid in all sample. Causality test results suggested that there is a unidirectional causality between gross capital formation, energy consumption and GDP in all panels. Also, there is a bidirectional causality among GDP and natural resources in middle- and high-income countries. Moreover, although there is a unidirectional causality from urbanization to GDP in high income countries, vice versa in low income countries. These findings obtained from a global sample confirmed that natural resources, energy consumption and gross capital formation have different effects on GDP according to the income levels of the countries and provided a new perspective on policy making process.","author":[{"dropping-particle":"","family":"Topcu","given":"Ebru","non-dropping-particle":"","parse-names":false,"suffix":""},{"dropping-particle":"","family":"Altinoz","given":"Buket","non-dropping-particle":"","parse-names":false,"suffix":""},{"dropping-particle":"","family":"Aslan","given":"Alper","non-dropping-particle":"","parse-names":false,"suffix":""}],"container-title":"Resources Policy","id":"ITEM-1","issued":{"date-parts":[["2020"]]},"page":"101622","title":"Global evidence from the link between economic growth, natural resources, energy consumption, and gross capital formation","type":"article-journal","volume":"66"},"uris":["http://www.mendeley.com/documents/?uuid=fd82c07c-51fd-3784-a24f-aa9bc7602eeb"]}],"mendeley":{"formattedCitation":"(Topcu et al., 2020)","plainTextFormattedCitation":"(Topcu et al., 2020)","previouslyFormattedCitation":"(Topcu et al., 2020)"},"properties":{"noteIndex":0},"schema":"https://github.com/citation-style-language/schema/raw/master/csl-citation.json"}</w:instrText>
      </w:r>
      <w:r w:rsidR="00064CD9" w:rsidRPr="00A13612">
        <w:rPr>
          <w:rFonts w:ascii="Arial" w:hAnsi="Arial" w:cs="Arial"/>
        </w:rPr>
        <w:fldChar w:fldCharType="separate"/>
      </w:r>
      <w:r w:rsidR="00064CD9" w:rsidRPr="00A13612">
        <w:rPr>
          <w:rFonts w:ascii="Arial" w:hAnsi="Arial" w:cs="Arial"/>
          <w:noProof/>
          <w:lang w:val="nl-NL"/>
        </w:rPr>
        <w:t>(Topcu et al., 2020)</w:t>
      </w:r>
      <w:r w:rsidR="00064CD9" w:rsidRPr="00A13612">
        <w:rPr>
          <w:rFonts w:ascii="Arial" w:hAnsi="Arial" w:cs="Arial"/>
        </w:rPr>
        <w:fldChar w:fldCharType="end"/>
      </w:r>
      <w:r w:rsidR="00064CD9" w:rsidRPr="00A13612">
        <w:rPr>
          <w:rFonts w:ascii="Arial" w:hAnsi="Arial" w:cs="Arial"/>
        </w:rPr>
        <w:fldChar w:fldCharType="begin" w:fldLock="1"/>
      </w:r>
      <w:r w:rsidR="00064CD9" w:rsidRPr="00A13612">
        <w:rPr>
          <w:rFonts w:ascii="Arial" w:hAnsi="Arial" w:cs="Arial"/>
          <w:lang w:val="nl-NL"/>
        </w:rPr>
        <w:instrText>ADDIN CSL_CITATION {"citationItems":[{"id":"ITEM-1","itemData":{"DOI":"https://doi.org/10.1016/j.resourpol.2021.102013","ISSN":"0301-4207","abstract":"The objective of this study is to discover the relationship between natural resources, gross capital formation, energy consumption and economic growth. In addition, the study also emphasizes on exploring whether financial openness can change the resource curse into a blessing. Using quarterly data from 1990Q1 to 2018Q4, the study used structural equation modeling technique for the empirical analysis. The conclusions of study indicated the negative relationship of natural resources with economic growth which confirms the existence of resource curse hypothesis. Although, renewable and non-renewable energy positively stimulate Pakistan's economic growth, but, the role of non-renewable energy toward economic growth is more strong compared with renewable energy. Financial openness also stimulates economic growth positively. However, the results for the influence of gross capital formation on economic growth were insignificant. The comprehensive assessment of the empirical examination of the role of financial openness in changing the resource curse into blessing indicated that financial openness doesn't have capability to change the resource curse into a blessing. The in depth analysis put-forward key guide lines for policy formation to efficiently utilize the natural resources in the country.","author":[{"dropping-particle":"","family":"Yasmeen","given":"Humaira","non-dropping-particle":"","parse-names":false,"suffix":""},{"dropping-particle":"","family":"Tan","given":"Qingmei","non-dropping-particle":"","parse-names":false,"suffix":""},{"dropping-particle":"","family":"Zameer","given":"Hashim","non-dropping-particle":"","parse-names":false,"suffix":""},{"dropping-particle":"","family":"Vo","given":"Xuan Vinh","non-dropping-particle":"","parse-names":false,"suffix":""},{"dropping-particle":"","family":"Shahbaz","given":"Muhammad","non-dropping-particle":"","parse-names":false,"suffix":""}],"container-title":"Resources Policy","id":"ITEM-1","issued":{"date-parts":[["2021"]]},"page":"102013","title":"Discovering the relationship between natural resources, energy consumption, gross capital formation with economic growth: Can lower financial openness change the curse into blessing","type":"article-journal","volume":"71"},"uris":["http://www.mendeley.com/documents/?uuid=c7e47608-c0bc-4013-8514-ac5e3f4c483d"]}],"mendeley":{"formattedCitation":"(Yasmeen et al., 2021)","plainTextFormattedCitation":"(Yasmeen et al., 2021)","previouslyFormattedCitation":"(Yasmeen et al., 2021)"},"properties":{"noteIndex":0},"schema":"https://github.com/citation-style-language/schema/raw/master/csl-citation.json"}</w:instrText>
      </w:r>
      <w:r w:rsidR="00064CD9" w:rsidRPr="00A13612">
        <w:rPr>
          <w:rFonts w:ascii="Arial" w:hAnsi="Arial" w:cs="Arial"/>
        </w:rPr>
        <w:fldChar w:fldCharType="separate"/>
      </w:r>
      <w:r w:rsidR="00064CD9" w:rsidRPr="00A13612">
        <w:rPr>
          <w:rFonts w:ascii="Arial" w:hAnsi="Arial" w:cs="Arial"/>
          <w:noProof/>
          <w:lang w:val="nl-NL"/>
        </w:rPr>
        <w:t>(Yasmeen et al., 2021)</w:t>
      </w:r>
      <w:r w:rsidR="00064CD9" w:rsidRPr="00A13612">
        <w:rPr>
          <w:rFonts w:ascii="Arial" w:hAnsi="Arial" w:cs="Arial"/>
        </w:rPr>
        <w:fldChar w:fldCharType="end"/>
      </w:r>
      <w:r w:rsidRPr="00A13612">
        <w:rPr>
          <w:rFonts w:ascii="Arial" w:hAnsi="Arial" w:cs="Arial"/>
          <w:lang w:val="nl-NL"/>
        </w:rPr>
        <w:t>. Therefore, Eq</w:t>
      </w:r>
      <w:r w:rsidR="00064CD9" w:rsidRPr="00A13612">
        <w:rPr>
          <w:rFonts w:ascii="Arial" w:hAnsi="Arial" w:cs="Arial"/>
          <w:lang w:val="nl-NL"/>
        </w:rPr>
        <w:t>.</w:t>
      </w:r>
      <w:r w:rsidRPr="00A13612">
        <w:rPr>
          <w:rFonts w:ascii="Arial" w:hAnsi="Arial" w:cs="Arial"/>
          <w:lang w:val="nl-NL"/>
        </w:rPr>
        <w:t xml:space="preserve"> </w:t>
      </w:r>
      <w:r w:rsidRPr="00A13612">
        <w:rPr>
          <w:rFonts w:ascii="Arial" w:hAnsi="Arial" w:cs="Arial"/>
        </w:rPr>
        <w:t>(1) is modified as Eq. (2)</w:t>
      </w:r>
    </w:p>
    <w:p w14:paraId="17D28520" w14:textId="77777777" w:rsidR="00064CD9" w:rsidRPr="00A13612" w:rsidRDefault="00064CD9" w:rsidP="00606910">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6"/>
        <w:gridCol w:w="522"/>
      </w:tblGrid>
      <w:tr w:rsidR="00606910" w:rsidRPr="00A13612" w14:paraId="3690E65F" w14:textId="77777777" w:rsidTr="00713784">
        <w:tc>
          <w:tcPr>
            <w:tcW w:w="8815" w:type="dxa"/>
            <w:vAlign w:val="center"/>
          </w:tcPr>
          <w:p w14:paraId="4E30DED4" w14:textId="77777777" w:rsidR="00606910" w:rsidRPr="00A13612" w:rsidRDefault="00606910" w:rsidP="00713784">
            <w:pPr>
              <w:jc w:val="both"/>
              <w:rPr>
                <w:rFonts w:ascii="Arial" w:eastAsiaTheme="minorEastAsia" w:hAnsi="Arial" w:cs="Arial"/>
                <w:sz w:val="20"/>
                <w:szCs w:val="20"/>
              </w:rPr>
            </w:pPr>
            <m:oMathPara>
              <m:oMath>
                <m:r>
                  <w:rPr>
                    <w:rFonts w:ascii="Cambria Math" w:hAnsi="Cambria Math" w:cs="Arial"/>
                    <w:sz w:val="20"/>
                    <w:szCs w:val="20"/>
                  </w:rPr>
                  <m:t>gd</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t</m:t>
                    </m:r>
                  </m:sub>
                </m:sSub>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cp</m:t>
                    </m:r>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t</m:t>
                        </m:r>
                      </m:sub>
                    </m:sSub>
                    <m:r>
                      <w:rPr>
                        <w:rFonts w:ascii="Cambria Math" w:hAnsi="Cambria Math" w:cs="Arial"/>
                        <w:sz w:val="20"/>
                        <w:szCs w:val="20"/>
                      </w:rPr>
                      <m:t>,ca</m:t>
                    </m:r>
                    <m:sSub>
                      <m:sSubPr>
                        <m:ctrlPr>
                          <w:rPr>
                            <w:rFonts w:ascii="Cambria Math" w:hAnsi="Cambria Math" w:cs="Arial"/>
                            <w:i/>
                            <w:sz w:val="20"/>
                            <w:szCs w:val="20"/>
                          </w:rPr>
                        </m:ctrlPr>
                      </m:sSubPr>
                      <m:e>
                        <m:r>
                          <w:rPr>
                            <w:rFonts w:ascii="Cambria Math" w:hAnsi="Cambria Math" w:cs="Arial"/>
                            <w:sz w:val="20"/>
                            <w:szCs w:val="20"/>
                          </w:rPr>
                          <m:t>p</m:t>
                        </m:r>
                        <m:r>
                          <w:rPr>
                            <w:rFonts w:ascii="Cambria Math" w:hAnsi="Cambria Math" w:cs="Arial"/>
                          </w:rPr>
                          <m:t>g</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rPr>
                          <m:t>wapg</m:t>
                        </m:r>
                      </m:e>
                      <m:sub>
                        <m:r>
                          <w:rPr>
                            <w:rFonts w:ascii="Cambria Math" w:hAnsi="Cambria Math" w:cs="Arial"/>
                            <w:sz w:val="20"/>
                            <w:szCs w:val="20"/>
                          </w:rPr>
                          <m:t>t</m:t>
                        </m:r>
                      </m:sub>
                    </m:sSub>
                  </m:e>
                </m:d>
              </m:oMath>
            </m:oMathPara>
          </w:p>
        </w:tc>
        <w:tc>
          <w:tcPr>
            <w:tcW w:w="535" w:type="dxa"/>
            <w:vAlign w:val="center"/>
          </w:tcPr>
          <w:p w14:paraId="43E15544" w14:textId="77777777" w:rsidR="00606910" w:rsidRPr="00A13612" w:rsidRDefault="00606910" w:rsidP="00713784">
            <w:pPr>
              <w:jc w:val="both"/>
              <w:rPr>
                <w:rFonts w:ascii="Arial" w:hAnsi="Arial" w:cs="Arial"/>
                <w:color w:val="0D0D0D" w:themeColor="text1" w:themeTint="F2"/>
                <w:sz w:val="20"/>
                <w:szCs w:val="20"/>
              </w:rPr>
            </w:pPr>
            <w:r w:rsidRPr="00A13612">
              <w:rPr>
                <w:rFonts w:ascii="Arial" w:hAnsi="Arial" w:cs="Arial"/>
                <w:color w:val="0D0D0D" w:themeColor="text1" w:themeTint="F2"/>
                <w:sz w:val="20"/>
                <w:szCs w:val="20"/>
              </w:rPr>
              <w:t>(2)</w:t>
            </w:r>
          </w:p>
        </w:tc>
      </w:tr>
    </w:tbl>
    <w:p w14:paraId="6FE2AE17" w14:textId="77777777" w:rsidR="00606910" w:rsidRPr="00A13612" w:rsidRDefault="00606910" w:rsidP="00606910">
      <w:pPr>
        <w:jc w:val="both"/>
        <w:rPr>
          <w:rFonts w:ascii="Arial" w:eastAsiaTheme="minorEastAsia" w:hAnsi="Arial" w:cs="Arial"/>
        </w:rPr>
      </w:pPr>
    </w:p>
    <w:p w14:paraId="663D918E" w14:textId="54E0BA79" w:rsidR="00606910" w:rsidRPr="00A13612" w:rsidRDefault="00606910" w:rsidP="00606910">
      <w:pPr>
        <w:jc w:val="both"/>
        <w:rPr>
          <w:rFonts w:ascii="Arial" w:eastAsiaTheme="minorEastAsia" w:hAnsi="Arial" w:cs="Arial"/>
        </w:rPr>
      </w:pPr>
      <w:r w:rsidRPr="00A13612">
        <w:rPr>
          <w:rFonts w:ascii="Arial" w:eastAsiaTheme="minorEastAsia" w:hAnsi="Arial" w:cs="Arial"/>
        </w:rPr>
        <w:t xml:space="preserve">where </w:t>
      </w:r>
      <w:proofErr w:type="spellStart"/>
      <w:r w:rsidR="0042060D" w:rsidRPr="00A13612">
        <w:rPr>
          <w:rFonts w:ascii="Arial" w:eastAsiaTheme="minorEastAsia" w:hAnsi="Arial" w:cs="Arial"/>
        </w:rPr>
        <w:t>CAPg</w:t>
      </w:r>
      <w:proofErr w:type="spellEnd"/>
      <w:r w:rsidRPr="00A13612">
        <w:rPr>
          <w:rFonts w:ascii="Arial" w:eastAsiaTheme="minorEastAsia" w:hAnsi="Arial" w:cs="Arial"/>
        </w:rPr>
        <w:t xml:space="preserve"> signifies gross fixed capital formation growth, a proxy for capital accumulation. </w:t>
      </w:r>
      <w:proofErr w:type="spellStart"/>
      <w:r w:rsidR="0042060D" w:rsidRPr="00A13612">
        <w:rPr>
          <w:rFonts w:ascii="Arial" w:eastAsiaTheme="minorEastAsia" w:hAnsi="Arial" w:cs="Arial"/>
        </w:rPr>
        <w:t>POPg</w:t>
      </w:r>
      <w:proofErr w:type="spellEnd"/>
      <w:r w:rsidRPr="00A13612">
        <w:rPr>
          <w:rFonts w:ascii="Arial" w:eastAsiaTheme="minorEastAsia" w:hAnsi="Arial" w:cs="Arial"/>
        </w:rPr>
        <w:t xml:space="preserve"> denotes working-age population growth, a proxy for labor force growth. </w:t>
      </w:r>
    </w:p>
    <w:p w14:paraId="6305CF53" w14:textId="77777777" w:rsidR="00606910" w:rsidRPr="00A13612" w:rsidRDefault="00606910" w:rsidP="00606910">
      <w:pPr>
        <w:jc w:val="both"/>
        <w:rPr>
          <w:rFonts w:ascii="Arial" w:eastAsiaTheme="minorEastAsia" w:hAnsi="Arial" w:cs="Arial"/>
        </w:rPr>
      </w:pPr>
      <w:r w:rsidRPr="00A13612">
        <w:rPr>
          <w:rFonts w:ascii="Arial" w:eastAsiaTheme="minorEastAsia" w:hAnsi="Arial" w:cs="Arial"/>
        </w:rPr>
        <w:t>Eq. (2) can be written as an econometric model as Eq. (3)</w:t>
      </w:r>
    </w:p>
    <w:p w14:paraId="70EF7BB7" w14:textId="77777777" w:rsidR="00606910" w:rsidRPr="00A13612" w:rsidRDefault="00606910" w:rsidP="00606910">
      <w:pPr>
        <w:jc w:val="both"/>
        <w:rPr>
          <w:rFonts w:ascii="Arial" w:eastAsiaTheme="minorEastAsia"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4"/>
        <w:gridCol w:w="524"/>
      </w:tblGrid>
      <w:tr w:rsidR="00606910" w:rsidRPr="00A13612" w14:paraId="59CCA8FC" w14:textId="77777777" w:rsidTr="00713784">
        <w:tc>
          <w:tcPr>
            <w:tcW w:w="8815" w:type="dxa"/>
            <w:vAlign w:val="center"/>
          </w:tcPr>
          <w:p w14:paraId="2E6A1025" w14:textId="4281CCB9" w:rsidR="00606910" w:rsidRPr="00A13612" w:rsidRDefault="00000000" w:rsidP="00713784">
            <w:pPr>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GDPg</m:t>
                    </m:r>
                  </m:e>
                  <m:sub>
                    <m:r>
                      <w:rPr>
                        <w:rFonts w:ascii="Cambria Math" w:hAnsi="Cambria Math" w:cs="Arial"/>
                        <w:sz w:val="20"/>
                        <w:szCs w:val="20"/>
                      </w:rPr>
                      <m:t>t</m:t>
                    </m:r>
                  </m:sub>
                </m:sSub>
                <m:r>
                  <w:rPr>
                    <w:rFonts w:ascii="Cambria Math" w:hAnsi="Cambria Math" w:cs="Arial"/>
                    <w:sz w:val="20"/>
                    <w:szCs w:val="20"/>
                  </w:rPr>
                  <m:t>=</m:t>
                </m:r>
                <w:bookmarkStart w:id="0" w:name="_Hlk196568086"/>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0</m:t>
                    </m:r>
                  </m:sub>
                </m:sSub>
                <w:bookmarkEnd w:id="0"/>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CPI</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rPr>
                      <m:t>CAPg</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π</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rPr>
                      <m:t>POPg</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rPr>
                    </m:ctrlPr>
                  </m:sSubPr>
                  <m:e>
                    <m:r>
                      <w:rPr>
                        <w:rFonts w:ascii="Cambria Math" w:hAnsi="Cambria Math" w:cs="Arial"/>
                      </w:rPr>
                      <m:t>D</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m:oMathPara>
          </w:p>
        </w:tc>
        <w:tc>
          <w:tcPr>
            <w:tcW w:w="535" w:type="dxa"/>
            <w:vAlign w:val="center"/>
          </w:tcPr>
          <w:p w14:paraId="35FA2E3D" w14:textId="77777777" w:rsidR="00606910" w:rsidRPr="00A13612" w:rsidRDefault="00606910" w:rsidP="00713784">
            <w:pPr>
              <w:jc w:val="both"/>
              <w:rPr>
                <w:rFonts w:ascii="Arial" w:hAnsi="Arial" w:cs="Arial"/>
                <w:color w:val="0D0D0D" w:themeColor="text1" w:themeTint="F2"/>
                <w:sz w:val="20"/>
                <w:szCs w:val="20"/>
              </w:rPr>
            </w:pPr>
            <w:r w:rsidRPr="00A13612">
              <w:rPr>
                <w:rFonts w:ascii="Arial" w:hAnsi="Arial" w:cs="Arial"/>
                <w:color w:val="0D0D0D" w:themeColor="text1" w:themeTint="F2"/>
                <w:sz w:val="20"/>
                <w:szCs w:val="20"/>
              </w:rPr>
              <w:t>(3)</w:t>
            </w:r>
          </w:p>
        </w:tc>
      </w:tr>
    </w:tbl>
    <w:p w14:paraId="1B7BA8AF" w14:textId="77777777" w:rsidR="00606910" w:rsidRPr="00A13612" w:rsidRDefault="00606910" w:rsidP="00606910">
      <w:pPr>
        <w:jc w:val="both"/>
        <w:rPr>
          <w:rFonts w:ascii="Arial" w:hAnsi="Arial" w:cs="Arial"/>
        </w:rPr>
      </w:pPr>
    </w:p>
    <w:p w14:paraId="720312F2" w14:textId="6ED28512" w:rsidR="00606910" w:rsidRPr="00A13612" w:rsidRDefault="00A61AF1" w:rsidP="00606910">
      <w:pPr>
        <w:jc w:val="both"/>
        <w:rPr>
          <w:rFonts w:ascii="Arial" w:hAnsi="Arial" w:cs="Arial"/>
        </w:rPr>
      </w:pPr>
      <w:r w:rsidRPr="00A13612">
        <w:rPr>
          <w:rFonts w:ascii="Arial" w:hAnsi="Arial" w:cs="Arial"/>
        </w:rPr>
        <w:t xml:space="preserve">where </w:t>
      </w:r>
      <m:oMath>
        <m:sSub>
          <m:sSubPr>
            <m:ctrlPr>
              <w:rPr>
                <w:rFonts w:ascii="Cambria Math" w:hAnsi="Cambria Math" w:cs="Arial"/>
                <w:i/>
              </w:rPr>
            </m:ctrlPr>
          </m:sSubPr>
          <m:e>
            <m:r>
              <w:rPr>
                <w:rFonts w:ascii="Cambria Math" w:hAnsi="Cambria Math" w:cs="Arial"/>
              </w:rPr>
              <m:t>π</m:t>
            </m:r>
          </m:e>
          <m:sub>
            <m:r>
              <w:rPr>
                <w:rFonts w:ascii="Cambria Math" w:hAnsi="Cambria Math" w:cs="Arial"/>
              </w:rPr>
              <m:t>0</m:t>
            </m:r>
          </m:sub>
        </m:sSub>
      </m:oMath>
      <w:r w:rsidRPr="00A13612">
        <w:rPr>
          <w:rFonts w:ascii="Arial" w:hAnsi="Arial" w:cs="Arial"/>
        </w:rPr>
        <w:t xml:space="preserve"> signifies the constant term. </w:t>
      </w:r>
      <m:oMath>
        <m:sSub>
          <m:sSubPr>
            <m:ctrlPr>
              <w:rPr>
                <w:rFonts w:ascii="Cambria Math" w:hAnsi="Cambria Math" w:cs="Arial"/>
                <w:i/>
              </w:rPr>
            </m:ctrlPr>
          </m:sSubPr>
          <m:e>
            <m:r>
              <w:rPr>
                <w:rFonts w:ascii="Cambria Math" w:hAnsi="Cambria Math" w:cs="Arial"/>
              </w:rPr>
              <m:t>π</m:t>
            </m:r>
          </m:e>
          <m:sub>
            <m:r>
              <w:rPr>
                <w:rFonts w:ascii="Cambria Math" w:hAnsi="Cambria Math" w:cs="Arial"/>
              </w:rPr>
              <m:t>1</m:t>
            </m:r>
          </m:sub>
        </m:sSub>
      </m:oMath>
      <w:r w:rsidRPr="00A13612">
        <w:rPr>
          <w:rFonts w:ascii="Arial" w:hAnsi="Arial" w:cs="Arial"/>
        </w:rPr>
        <w:t>…</w:t>
      </w:r>
      <m:oMath>
        <m:sSub>
          <m:sSubPr>
            <m:ctrlPr>
              <w:rPr>
                <w:rFonts w:ascii="Cambria Math" w:hAnsi="Cambria Math" w:cs="Arial"/>
                <w:i/>
              </w:rPr>
            </m:ctrlPr>
          </m:sSubPr>
          <m:e>
            <m:r>
              <w:rPr>
                <w:rFonts w:ascii="Cambria Math" w:hAnsi="Cambria Math" w:cs="Arial"/>
              </w:rPr>
              <m:t>π</m:t>
            </m:r>
          </m:e>
          <m:sub>
            <m:r>
              <w:rPr>
                <w:rFonts w:ascii="Cambria Math" w:hAnsi="Cambria Math" w:cs="Arial"/>
              </w:rPr>
              <m:t>4</m:t>
            </m:r>
          </m:sub>
        </m:sSub>
      </m:oMath>
      <w:r w:rsidRPr="00A13612">
        <w:rPr>
          <w:rFonts w:ascii="Arial" w:hAnsi="Arial" w:cs="Arial"/>
        </w:rPr>
        <w:t xml:space="preserve"> are parameter to be estimated. </w:t>
      </w:r>
      <m:oMath>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oMath>
      <w:r w:rsidRPr="00A13612">
        <w:rPr>
          <w:rFonts w:ascii="Arial" w:hAnsi="Arial" w:cs="Arial"/>
        </w:rPr>
        <w:t xml:space="preserve"> is the error term. CPI shows consumer price index</w:t>
      </w:r>
      <w:r w:rsidR="004E5219" w:rsidRPr="00A13612">
        <w:rPr>
          <w:rFonts w:ascii="Arial" w:hAnsi="Arial" w:cs="Arial"/>
        </w:rPr>
        <w:t xml:space="preserve"> (percent)</w:t>
      </w:r>
      <w:r w:rsidRPr="00A13612">
        <w:rPr>
          <w:rFonts w:ascii="Arial" w:hAnsi="Arial" w:cs="Arial"/>
        </w:rPr>
        <w:t xml:space="preserve">. </w:t>
      </w:r>
      <w:proofErr w:type="spellStart"/>
      <w:r w:rsidR="004E5219" w:rsidRPr="00A13612">
        <w:rPr>
          <w:rFonts w:ascii="Arial" w:hAnsi="Arial" w:cs="Arial"/>
        </w:rPr>
        <w:t>C</w:t>
      </w:r>
      <w:r w:rsidRPr="00A13612">
        <w:rPr>
          <w:rFonts w:ascii="Arial" w:hAnsi="Arial" w:cs="Arial"/>
        </w:rPr>
        <w:t>apg</w:t>
      </w:r>
      <w:proofErr w:type="spellEnd"/>
      <w:r w:rsidR="004E5219" w:rsidRPr="00A13612">
        <w:rPr>
          <w:rFonts w:ascii="Arial" w:hAnsi="Arial" w:cs="Arial"/>
        </w:rPr>
        <w:t xml:space="preserve"> depicts</w:t>
      </w:r>
      <w:r w:rsidRPr="00A13612">
        <w:rPr>
          <w:rFonts w:ascii="Arial" w:hAnsi="Arial" w:cs="Arial"/>
        </w:rPr>
        <w:t xml:space="preserve"> gross fixed capital formation </w:t>
      </w:r>
      <w:r w:rsidR="004E5219" w:rsidRPr="00A13612">
        <w:rPr>
          <w:rFonts w:ascii="Arial" w:hAnsi="Arial" w:cs="Arial"/>
        </w:rPr>
        <w:t xml:space="preserve">(constant 2015) </w:t>
      </w:r>
      <w:r w:rsidRPr="00A13612">
        <w:rPr>
          <w:rFonts w:ascii="Arial" w:hAnsi="Arial" w:cs="Arial"/>
        </w:rPr>
        <w:t xml:space="preserve">growth. </w:t>
      </w:r>
      <w:proofErr w:type="spellStart"/>
      <w:r w:rsidRPr="00A13612">
        <w:rPr>
          <w:rFonts w:ascii="Arial" w:hAnsi="Arial" w:cs="Arial"/>
        </w:rPr>
        <w:t>wapg</w:t>
      </w:r>
      <w:proofErr w:type="spellEnd"/>
      <w:r w:rsidRPr="00A13612">
        <w:rPr>
          <w:rFonts w:ascii="Arial" w:hAnsi="Arial" w:cs="Arial"/>
        </w:rPr>
        <w:t xml:space="preserve"> </w:t>
      </w:r>
      <w:r w:rsidR="004E5219" w:rsidRPr="00A13612">
        <w:rPr>
          <w:rFonts w:ascii="Arial" w:hAnsi="Arial" w:cs="Arial"/>
        </w:rPr>
        <w:t>denotes</w:t>
      </w:r>
      <w:r w:rsidRPr="00A13612">
        <w:rPr>
          <w:rFonts w:ascii="Arial" w:hAnsi="Arial" w:cs="Arial"/>
        </w:rPr>
        <w:t xml:space="preserve"> working-age population</w:t>
      </w:r>
      <w:r w:rsidR="004E5219" w:rsidRPr="00A13612">
        <w:rPr>
          <w:rFonts w:ascii="Arial" w:hAnsi="Arial" w:cs="Arial"/>
        </w:rPr>
        <w:t xml:space="preserve"> (population ages 15-64, total)</w:t>
      </w:r>
      <w:r w:rsidRPr="00A13612">
        <w:rPr>
          <w:rFonts w:ascii="Arial" w:hAnsi="Arial" w:cs="Arial"/>
        </w:rPr>
        <w:t xml:space="preserve"> growth. d stands for the dummy variable of year shock</w:t>
      </w:r>
      <w:r w:rsidR="004E5219" w:rsidRPr="00A13612">
        <w:rPr>
          <w:rFonts w:ascii="Arial" w:hAnsi="Arial" w:cs="Arial"/>
        </w:rPr>
        <w:t>s</w:t>
      </w:r>
      <w:r w:rsidRPr="00A13612">
        <w:rPr>
          <w:rFonts w:ascii="Arial" w:hAnsi="Arial" w:cs="Arial"/>
        </w:rPr>
        <w:t xml:space="preserve">. </w:t>
      </w:r>
      <w:r w:rsidR="00606910" w:rsidRPr="00A13612">
        <w:rPr>
          <w:rFonts w:ascii="Arial" w:hAnsi="Arial" w:cs="Arial"/>
        </w:rPr>
        <w:t xml:space="preserve">Both </w:t>
      </w:r>
      <w:r w:rsidR="00606910" w:rsidRPr="00A13612">
        <w:rPr>
          <w:rFonts w:ascii="Arial" w:eastAsiaTheme="minorEastAsia" w:hAnsi="Arial" w:cs="Arial"/>
        </w:rPr>
        <w:t xml:space="preserve">gross fixed capital formation growth and working-age population growth are expected to have a positive impact on </w:t>
      </w:r>
      <w:r w:rsidR="004E5219" w:rsidRPr="00A13612">
        <w:rPr>
          <w:rFonts w:ascii="Arial" w:eastAsiaTheme="minorEastAsia" w:hAnsi="Arial" w:cs="Arial"/>
        </w:rPr>
        <w:t xml:space="preserve">GDP </w:t>
      </w:r>
      <w:r w:rsidR="00606910" w:rsidRPr="00A13612">
        <w:rPr>
          <w:rFonts w:ascii="Arial" w:eastAsiaTheme="minorEastAsia" w:hAnsi="Arial" w:cs="Arial"/>
        </w:rPr>
        <w:t>growth. Meanwhile, CPI can either have a positive or negative effect on economic growth.</w:t>
      </w:r>
      <w:r w:rsidR="004E5219" w:rsidRPr="00A13612">
        <w:rPr>
          <w:rFonts w:ascii="Arial" w:eastAsiaTheme="minorEastAsia" w:hAnsi="Arial" w:cs="Arial"/>
        </w:rPr>
        <w:t xml:space="preserve"> All the data used for </w:t>
      </w:r>
      <w:proofErr w:type="spellStart"/>
      <w:r w:rsidR="004E5219" w:rsidRPr="00A13612">
        <w:rPr>
          <w:rFonts w:ascii="Arial" w:eastAsiaTheme="minorEastAsia" w:hAnsi="Arial" w:cs="Arial"/>
        </w:rPr>
        <w:t>builiding</w:t>
      </w:r>
      <w:proofErr w:type="spellEnd"/>
      <w:r w:rsidR="004E5219" w:rsidRPr="00A13612">
        <w:rPr>
          <w:rFonts w:ascii="Arial" w:eastAsiaTheme="minorEastAsia" w:hAnsi="Arial" w:cs="Arial"/>
        </w:rPr>
        <w:t xml:space="preserve"> the model collected from World Development Indicators (WDI), </w:t>
      </w:r>
      <w:proofErr w:type="spellStart"/>
      <w:r w:rsidR="004E5219" w:rsidRPr="00A13612">
        <w:rPr>
          <w:rFonts w:ascii="Arial" w:eastAsiaTheme="minorEastAsia" w:hAnsi="Arial" w:cs="Arial"/>
        </w:rPr>
        <w:t>publised</w:t>
      </w:r>
      <w:proofErr w:type="spellEnd"/>
      <w:r w:rsidR="004E5219" w:rsidRPr="00A13612">
        <w:rPr>
          <w:rFonts w:ascii="Arial" w:eastAsiaTheme="minorEastAsia" w:hAnsi="Arial" w:cs="Arial"/>
        </w:rPr>
        <w:t xml:space="preserve"> by the World Bank.</w:t>
      </w:r>
    </w:p>
    <w:p w14:paraId="7AFAB1CA" w14:textId="77777777" w:rsidR="00606910" w:rsidRPr="00A13612" w:rsidRDefault="00606910" w:rsidP="00606910">
      <w:pPr>
        <w:jc w:val="both"/>
        <w:rPr>
          <w:rFonts w:ascii="Arial" w:eastAsiaTheme="minorEastAsia" w:hAnsi="Arial" w:cs="Arial"/>
        </w:rPr>
      </w:pPr>
    </w:p>
    <w:p w14:paraId="7E839787" w14:textId="77777777" w:rsidR="00606910" w:rsidRPr="00A13612" w:rsidRDefault="00606910" w:rsidP="00606910">
      <w:pPr>
        <w:pStyle w:val="Body"/>
        <w:spacing w:after="0"/>
        <w:rPr>
          <w:rFonts w:ascii="Arial" w:hAnsi="Arial" w:cs="Arial"/>
          <w:b/>
          <w:sz w:val="22"/>
        </w:rPr>
      </w:pPr>
      <w:r w:rsidRPr="00A13612">
        <w:rPr>
          <w:rFonts w:ascii="Arial" w:hAnsi="Arial" w:cs="Arial"/>
          <w:b/>
          <w:caps/>
          <w:sz w:val="22"/>
        </w:rPr>
        <w:t xml:space="preserve">2.1 </w:t>
      </w:r>
      <w:r w:rsidRPr="00A13612">
        <w:rPr>
          <w:rFonts w:ascii="Arial" w:hAnsi="Arial" w:cs="Arial"/>
          <w:b/>
          <w:sz w:val="22"/>
        </w:rPr>
        <w:t xml:space="preserve">Estimation Method </w:t>
      </w:r>
    </w:p>
    <w:p w14:paraId="19590DB5" w14:textId="77777777" w:rsidR="00606910" w:rsidRPr="00A13612" w:rsidRDefault="00606910" w:rsidP="00606910">
      <w:pPr>
        <w:pStyle w:val="Body"/>
        <w:spacing w:after="0"/>
        <w:rPr>
          <w:rFonts w:ascii="Arial" w:hAnsi="Arial" w:cs="Arial"/>
          <w:b/>
          <w:sz w:val="22"/>
        </w:rPr>
      </w:pPr>
    </w:p>
    <w:p w14:paraId="086F8F61" w14:textId="77777777" w:rsidR="00606910" w:rsidRPr="00A13612" w:rsidRDefault="00606910" w:rsidP="00606910">
      <w:pPr>
        <w:jc w:val="both"/>
        <w:rPr>
          <w:rFonts w:ascii="Arial" w:eastAsiaTheme="minorEastAsia" w:hAnsi="Arial" w:cs="Arial"/>
        </w:rPr>
      </w:pPr>
      <w:r w:rsidRPr="00A13612">
        <w:rPr>
          <w:rFonts w:ascii="Arial" w:eastAsiaTheme="minorEastAsia" w:hAnsi="Arial" w:cs="Arial"/>
        </w:rPr>
        <w:t xml:space="preserve">This study applies several econometrics methods. The ARDL-Bounds test is the main estimation method to assess the impact of inflation on economic growth in Indonesia for the period 1985-2023 </w:t>
      </w:r>
      <w:r w:rsidRPr="00A13612">
        <w:rPr>
          <w:rFonts w:ascii="Arial" w:eastAsiaTheme="minorEastAsia" w:hAnsi="Arial" w:cs="Arial"/>
        </w:rPr>
        <w:fldChar w:fldCharType="begin" w:fldLock="1"/>
      </w:r>
      <w:r w:rsidRPr="00A13612">
        <w:rPr>
          <w:rFonts w:ascii="Arial" w:eastAsiaTheme="minorEastAsia" w:hAnsi="Arial" w:cs="Arial"/>
        </w:rPr>
        <w:instrText>ADDIN CSL_CITATION {"citationItems":[{"id":"ITEM-1","itemData":{"DOI":"10.1002/jae.616","ISSN":"08837252","abstract":"This paper develops a new approach to the problem of testing the existence of a level relationship between a dependent variable and a set of regressors, when it is not known with certainty whether the underlying regressors are trend-or first-difference stationary. The proposed tests are based on standard F-and t-statistics used to test the significance of the lagged levels of the variables in a univariate equilibrium correction mechanism. The asymptotic distributions of these statistics are non-standard under the null hypothesis that there exists no level relationship, irrespective of whether the regressors are I(0) or I(1). Two sets of asymptotic critical values are provided: one when all regressors are purely I(1) and the other if they are all purely I(0). These two sets of critical values provide a band covering all possible classifications of the regressors into purely I(0), purely I(1) or mutually cointegrated. Accordingly, various bounds testing procedures are proposed. It is shown that the proposed tests are consistent, and their asymptotic distribution under the null and suitably defined local alternatives are derived. The empirical relevance of the bounds procedures is demonstrated by a re-examination of the earnings equation included in the UK Treasury macroeconometric model. Copyright © 2001 John Wiley &amp; Sons, Ltd.","author":[{"dropping-particle":"","family":"Pesaran","given":"M. Hashem","non-dropping-particle":"","parse-names":false,"suffix":""},{"dropping-particle":"","family":"Shin","given":"Yongcheol","non-dropping-particle":"","parse-names":false,"suffix":""},{"dropping-particle":"","family":"Smith","given":"Richard J.","non-dropping-particle":"","parse-names":false,"suffix":""}],"container-title":"Journal of Applied Econometrics","id":"ITEM-1","issue":"3","issued":{"date-parts":[["2001"]]},"page":"289-326","title":"Bounds testing approaches to the analysis of level relationships","type":"article-journal","volume":"16"},"uris":["http://www.mendeley.com/documents/?uuid=8856d0f1-344e-439a-94cf-8db8fbd2867f"]}],"mendeley":{"formattedCitation":"(Pesaran et al., 2001)","plainTextFormattedCitation":"(Pesaran et al., 2001)","previouslyFormattedCitation":"(Pesaran et al., 2001)"},"properties":{"noteIndex":0},"schema":"https://github.com/citation-style-language/schema/raw/master/csl-citation.json"}</w:instrText>
      </w:r>
      <w:r w:rsidRPr="00A13612">
        <w:rPr>
          <w:rFonts w:ascii="Arial" w:eastAsiaTheme="minorEastAsia" w:hAnsi="Arial" w:cs="Arial"/>
        </w:rPr>
        <w:fldChar w:fldCharType="separate"/>
      </w:r>
      <w:r w:rsidRPr="00A13612">
        <w:rPr>
          <w:rFonts w:ascii="Arial" w:eastAsiaTheme="minorEastAsia" w:hAnsi="Arial" w:cs="Arial"/>
          <w:noProof/>
        </w:rPr>
        <w:t>(Pesaran et al., 2001)</w:t>
      </w:r>
      <w:r w:rsidRPr="00A13612">
        <w:rPr>
          <w:rFonts w:ascii="Arial" w:eastAsiaTheme="minorEastAsia" w:hAnsi="Arial" w:cs="Arial"/>
        </w:rPr>
        <w:fldChar w:fldCharType="end"/>
      </w:r>
      <w:r w:rsidRPr="00A13612">
        <w:rPr>
          <w:rFonts w:ascii="Arial" w:eastAsiaTheme="minorEastAsia" w:hAnsi="Arial" w:cs="Arial"/>
        </w:rPr>
        <w:t xml:space="preserve">. Some of the advantages of this approach are the ability to provide a clear cointegration process and dynamic relationships </w:t>
      </w:r>
      <w:r w:rsidRPr="00A13612">
        <w:rPr>
          <w:rFonts w:ascii="Arial" w:eastAsiaTheme="minorEastAsia" w:hAnsi="Arial" w:cs="Arial"/>
        </w:rPr>
        <w:fldChar w:fldCharType="begin" w:fldLock="1"/>
      </w:r>
      <w:r w:rsidRPr="00A13612">
        <w:rPr>
          <w:rFonts w:ascii="Arial" w:eastAsiaTheme="minorEastAsia" w:hAnsi="Arial" w:cs="Arial"/>
        </w:rPr>
        <w:instrText>ADDIN CSL_CITATION {"citationItems":[{"id":"ITEM-1","itemData":{"DOI":"10.1016/j.econmod.2018.11.001","ISSN":"02649993","abstract":"An augmented autoregressive distributed lag (ARDL) bounds test for cointegration involves an extra F-test on the lagged levels of the independent variable(s) in the ARDL equation. Originally, this testing strategy was introduced using the bootstrap procedure. This paper provides both the small sample and asymptotic critical values for easier implementation of the test, making it applicable for a broader range of researchers. Two advantages of this augmented ARDL bounds test are that the assumption of an I(1) dependent variable is not necessary, and a clear conclusion on the cointegration status is provided by the three tests. The augmented ARDL bounds test is demonstrated using an empirical study on government taxation and expenditures. The tests support the tax-and-spend hypothesis of the budgetary policy for the US, the UK, and France.","author":[{"dropping-particle":"","family":"Sam","given":"Chung Yan","non-dropping-particle":"","parse-names":false,"suffix":""},{"dropping-particle":"","family":"McNown","given":"Robert","non-dropping-particle":"","parse-names":false,"suffix":""},{"dropping-particle":"","family":"Goh","given":"Soo Khoon","non-dropping-particle":"","parse-names":false,"suffix":""}],"container-title":"Economic Modelling","id":"ITEM-1","issue":"November 2018","issued":{"date-parts":[["2019"]]},"page":"130-141","publisher":"Elsevier Ltd","title":"An augmented autoregressive distributed lag bounds test for cointegration","type":"article-journal","volume":"80"},"uris":["http://www.mendeley.com/documents/?uuid=ff95c777-d807-461c-b5e2-46b4fb3cb768"]}],"mendeley":{"formattedCitation":"(Sam et al., 2019)","plainTextFormattedCitation":"(Sam et al., 2019)","previouslyFormattedCitation":"(Sam et al., 2019)"},"properties":{"noteIndex":0},"schema":"https://github.com/citation-style-language/schema/raw/master/csl-citation.json"}</w:instrText>
      </w:r>
      <w:r w:rsidRPr="00A13612">
        <w:rPr>
          <w:rFonts w:ascii="Arial" w:eastAsiaTheme="minorEastAsia" w:hAnsi="Arial" w:cs="Arial"/>
        </w:rPr>
        <w:fldChar w:fldCharType="separate"/>
      </w:r>
      <w:r w:rsidRPr="00A13612">
        <w:rPr>
          <w:rFonts w:ascii="Arial" w:eastAsiaTheme="minorEastAsia" w:hAnsi="Arial" w:cs="Arial"/>
          <w:noProof/>
        </w:rPr>
        <w:t>(Sam et al., 2019)</w:t>
      </w:r>
      <w:r w:rsidRPr="00A13612">
        <w:rPr>
          <w:rFonts w:ascii="Arial" w:eastAsiaTheme="minorEastAsia" w:hAnsi="Arial" w:cs="Arial"/>
        </w:rPr>
        <w:fldChar w:fldCharType="end"/>
      </w:r>
      <w:r w:rsidRPr="00A13612">
        <w:rPr>
          <w:rFonts w:ascii="Arial" w:eastAsiaTheme="minorEastAsia" w:hAnsi="Arial" w:cs="Arial"/>
        </w:rPr>
        <w:t xml:space="preserve">. Furthermore, it remains efficient in the context of a small and large samples </w:t>
      </w:r>
      <w:r w:rsidRPr="00A13612">
        <w:rPr>
          <w:rFonts w:ascii="Arial" w:eastAsiaTheme="minorEastAsia" w:hAnsi="Arial" w:cs="Arial"/>
        </w:rPr>
        <w:fldChar w:fldCharType="begin" w:fldLock="1"/>
      </w:r>
      <w:r w:rsidRPr="00A13612">
        <w:rPr>
          <w:rFonts w:ascii="Arial" w:eastAsiaTheme="minorEastAsia" w:hAnsi="Arial" w:cs="Arial"/>
        </w:rPr>
        <w:instrText>ADDIN CSL_CITATION {"citationItems":[{"id":"ITEM-1","itemData":{"DOI":"10.1353/jda.2015.0154","abstract":"Savings and investment play a major role in any countries to fostering long term growth. It shows the amount of saving being converted into investment in the domestic economies which is related with capital mobility in the countries. Ever since seminal paper by Feldstein Horioka (1980), the issue regarding the relationship between saving and investment become one of the popular issues among economist researchers. They found that it has a strong relationship between saving and investment where about 85 percent to 95 percent approximately of the domestic saving are converted into domestic investment and at the same time capital mobility is relatively low. It means that saving and investment were circling around in the domestic countries rather than mobile to other countries. Many researchers relate this issue with capital immobility as domestic saving is easily transferred to the other countries and vice versa. As such, the aim of the present paper is to reinvestigate the nexus between saving and investment for the three-Asian economies namely China, India and Malaysia by employing the recent Autoregressive Distributed Lag (ARDL) co-integration modelling approach. Three emerging Asian countries have been chosen in this research which have its own economic strength and weaknesses. In which, the GDP growth prospect for China, India and Malaysia is 7%, 6% and 5% approximately in 2015. This study covers the annual sample from 1970 to 2013. The present paper employs ARDL bound procedure to test the presence of a co-integrated relationship which involves the standard F-test. One of the advantages of ARDL test is that it is more robust and performs better for small sample size of data which suitable for this research. The sample size is 43 years for each country. The annual time series data of saving and investment ratio as percentage of GDP in each country were utilized in this study. The result shows that the null hypothesis of the unit roots for the saving and investment series is rejected in first difference. It reveals that all the variables are co-integrated at first different. The ARDL F-test yields evidence a positive long run relationship between savings and investment for the three emerging Asian countries namely, Malaysia, China and India which is consistent with many past researches. It shows that the estimated ECTt-1 coefficient is found to be negative and statistically significant at 1% confidence level for China and India. Meanwhile, the estimated…","author":[{"dropping-particle":"","family":"Latif","given":"Nurul Wahilah Abdul","non-dropping-particle":"","parse-names":false,"suffix":""},{"dropping-particle":"","family":"Abdullah","given":"Zulkifli","non-dropping-particle":"","parse-names":false,"suffix":""},{"dropping-particle":"","family":"Razdi","given":"Muhamad Azhan Md","non-dropping-particle":"","parse-names":false,"suffix":""}],"container-title":"The Journal of Developing Areas","id":"ITEM-1","issue":"3","issued":{"date-parts":[["2015"]]},"page":"323-334","title":"An autoregressive distributed lag (ARDL) analysis of the nexus between savings and investment in the three Asian economies","type":"article-journal","volume":"49"},"uris":["http://www.mendeley.com/documents/?uuid=9082002e-bd4f-4a51-ba8c-e7bc1cab99f4"]}],"mendeley":{"formattedCitation":"(Latif et al., 2015)","plainTextFormattedCitation":"(Latif et al., 2015)","previouslyFormattedCitation":"(Latif et al., 2015)"},"properties":{"noteIndex":0},"schema":"https://github.com/citation-style-language/schema/raw/master/csl-citation.json"}</w:instrText>
      </w:r>
      <w:r w:rsidRPr="00A13612">
        <w:rPr>
          <w:rFonts w:ascii="Arial" w:eastAsiaTheme="minorEastAsia" w:hAnsi="Arial" w:cs="Arial"/>
        </w:rPr>
        <w:fldChar w:fldCharType="separate"/>
      </w:r>
      <w:r w:rsidRPr="00A13612">
        <w:rPr>
          <w:rFonts w:ascii="Arial" w:eastAsiaTheme="minorEastAsia" w:hAnsi="Arial" w:cs="Arial"/>
          <w:noProof/>
        </w:rPr>
        <w:t>(Latif et al., 2015)</w:t>
      </w:r>
      <w:r w:rsidRPr="00A13612">
        <w:rPr>
          <w:rFonts w:ascii="Arial" w:eastAsiaTheme="minorEastAsia" w:hAnsi="Arial" w:cs="Arial"/>
        </w:rPr>
        <w:fldChar w:fldCharType="end"/>
      </w:r>
      <w:r w:rsidRPr="00A13612">
        <w:rPr>
          <w:rFonts w:ascii="Arial" w:eastAsiaTheme="minorEastAsia" w:hAnsi="Arial" w:cs="Arial"/>
        </w:rPr>
        <w:t xml:space="preserve">. Nonetheless, it should be noted that this estimation method is no longer appropriate if </w:t>
      </w:r>
      <w:proofErr w:type="spellStart"/>
      <w:r w:rsidRPr="00A13612">
        <w:rPr>
          <w:rFonts w:ascii="Arial" w:eastAsiaTheme="minorEastAsia" w:hAnsi="Arial" w:cs="Arial"/>
        </w:rPr>
        <w:t>varaibles</w:t>
      </w:r>
      <w:proofErr w:type="spellEnd"/>
      <w:r w:rsidRPr="00A13612">
        <w:rPr>
          <w:rFonts w:ascii="Arial" w:eastAsiaTheme="minorEastAsia" w:hAnsi="Arial" w:cs="Arial"/>
        </w:rPr>
        <w:t xml:space="preserve"> are second-order stationary. Hence, this study integrates the unit root test. </w:t>
      </w:r>
    </w:p>
    <w:p w14:paraId="3ADC3FAD" w14:textId="77777777" w:rsidR="00606910" w:rsidRPr="00A13612" w:rsidRDefault="00606910" w:rsidP="00606910">
      <w:pPr>
        <w:jc w:val="both"/>
        <w:rPr>
          <w:rFonts w:ascii="Arial" w:eastAsiaTheme="minorEastAsia" w:hAnsi="Arial" w:cs="Arial"/>
        </w:rPr>
      </w:pPr>
    </w:p>
    <w:p w14:paraId="2814DD5E" w14:textId="48AFDAAC" w:rsidR="00606910" w:rsidRPr="00A13612" w:rsidRDefault="00606910" w:rsidP="00606910">
      <w:pPr>
        <w:jc w:val="both"/>
        <w:rPr>
          <w:rFonts w:ascii="Arial" w:eastAsiaTheme="minorEastAsia" w:hAnsi="Arial" w:cs="Arial"/>
        </w:rPr>
      </w:pPr>
      <w:r w:rsidRPr="00A13612">
        <w:rPr>
          <w:rFonts w:ascii="Arial" w:eastAsiaTheme="minorEastAsia" w:hAnsi="Arial" w:cs="Arial"/>
        </w:rPr>
        <w:t xml:space="preserve">Despite working with the conventional method, this study relies on the breakpoint approach, i.e., the </w:t>
      </w:r>
      <w:proofErr w:type="spellStart"/>
      <w:r w:rsidRPr="00A13612">
        <w:rPr>
          <w:rFonts w:ascii="Arial" w:eastAsiaTheme="minorEastAsia" w:hAnsi="Arial" w:cs="Arial"/>
        </w:rPr>
        <w:t>Zivot</w:t>
      </w:r>
      <w:proofErr w:type="spellEnd"/>
      <w:r w:rsidRPr="00A13612">
        <w:rPr>
          <w:rFonts w:ascii="Arial" w:eastAsiaTheme="minorEastAsia" w:hAnsi="Arial" w:cs="Arial"/>
        </w:rPr>
        <w:t xml:space="preserve">-Andrew (ZA) test, for the unit root investigation </w:t>
      </w:r>
      <w:r w:rsidRPr="00A13612">
        <w:rPr>
          <w:rFonts w:ascii="Arial" w:eastAsiaTheme="minorEastAsia" w:hAnsi="Arial" w:cs="Arial"/>
        </w:rPr>
        <w:fldChar w:fldCharType="begin" w:fldLock="1"/>
      </w:r>
      <w:r w:rsidRPr="00A13612">
        <w:rPr>
          <w:rFonts w:ascii="Arial" w:eastAsiaTheme="minorEastAsia" w:hAnsi="Arial" w:cs="Arial"/>
        </w:rPr>
        <w:instrText>ADDIN CSL_CITATION {"citationItems":[{"id":"ITEM-1","itemData":{"DOI":"https://doi.org/10.2307/1391541","author":[{"dropping-particle":"","family":"Zivot","given":"Eric","non-dropping-particle":"","parse-names":false,"suffix":""},{"dropping-particle":"","family":"Andrews","given":"Donald W K","non-dropping-particle":"","parse-names":false,"suffix":""}],"container-title":"Journal of Business &amp; Economic Statistics","id":"ITEM-1","issue":"3","issued":{"date-parts":[["1992"]]},"page":"251-270","title":"Further Evidence on the Great Crash, the Oild-Price Shock, and Unit-Root Hypothesis","type":"article-journal","volume":"10"},"uris":["http://www.mendeley.com/documents/?uuid=31ae5a47-e807-4c90-b2ff-70cdbad670f7"]}],"mendeley":{"formattedCitation":"(Zivot &amp; Andrews, 1992)","plainTextFormattedCitation":"(Zivot &amp; Andrews, 1992)","previouslyFormattedCitation":"(Zivot &amp; Andrews, 1992)"},"properties":{"noteIndex":0},"schema":"https://github.com/citation-style-language/schema/raw/master/csl-citation.json"}</w:instrText>
      </w:r>
      <w:r w:rsidRPr="00A13612">
        <w:rPr>
          <w:rFonts w:ascii="Arial" w:eastAsiaTheme="minorEastAsia" w:hAnsi="Arial" w:cs="Arial"/>
        </w:rPr>
        <w:fldChar w:fldCharType="separate"/>
      </w:r>
      <w:r w:rsidRPr="00A13612">
        <w:rPr>
          <w:rFonts w:ascii="Arial" w:eastAsiaTheme="minorEastAsia" w:hAnsi="Arial" w:cs="Arial"/>
          <w:noProof/>
        </w:rPr>
        <w:t>(Zivot &amp; Andrews, 1992)</w:t>
      </w:r>
      <w:r w:rsidRPr="00A13612">
        <w:rPr>
          <w:rFonts w:ascii="Arial" w:eastAsiaTheme="minorEastAsia" w:hAnsi="Arial" w:cs="Arial"/>
        </w:rPr>
        <w:fldChar w:fldCharType="end"/>
      </w:r>
      <w:r w:rsidRPr="00A13612">
        <w:rPr>
          <w:rFonts w:ascii="Arial" w:eastAsiaTheme="minorEastAsia" w:hAnsi="Arial" w:cs="Arial"/>
        </w:rPr>
        <w:t>. The nature of the economic data exhibits structural breaks, driven by policy shifts and external shocks. The ZA test addresses an endogenously determined structural break in the time series. It estimates multiple Augmented Dickey Fuller (ADF) regressions, each assuming a different potential break point within the series.</w:t>
      </w:r>
      <w:r w:rsidR="00064CD9" w:rsidRPr="00A13612">
        <w:rPr>
          <w:rFonts w:ascii="Arial" w:eastAsiaTheme="minorEastAsia" w:hAnsi="Arial" w:cs="Arial"/>
        </w:rPr>
        <w:t xml:space="preserve"> </w:t>
      </w:r>
      <w:r w:rsidR="00064CD9" w:rsidRPr="00A13612">
        <w:rPr>
          <w:rFonts w:ascii="Arial" w:hAnsi="Arial" w:cs="Arial"/>
        </w:rPr>
        <w:t xml:space="preserve">Supposed </w:t>
      </w:r>
      <w:r w:rsidRPr="00A13612">
        <w:rPr>
          <w:rFonts w:ascii="Arial" w:hAnsi="Arial" w:cs="Arial"/>
        </w:rPr>
        <w:t xml:space="preserve">none of the variables are </w:t>
      </w:r>
      <w:proofErr w:type="gramStart"/>
      <w:r w:rsidRPr="00A13612">
        <w:rPr>
          <w:rFonts w:ascii="Arial" w:hAnsi="Arial" w:cs="Arial"/>
        </w:rPr>
        <w:t>I(</w:t>
      </w:r>
      <w:proofErr w:type="gramEnd"/>
      <w:r w:rsidRPr="00A13612">
        <w:rPr>
          <w:rFonts w:ascii="Arial" w:hAnsi="Arial" w:cs="Arial"/>
        </w:rPr>
        <w:t>2), the ARDL (</w:t>
      </w:r>
      <w:proofErr w:type="spellStart"/>
      <w:proofErr w:type="gramStart"/>
      <w:r w:rsidRPr="00A13612">
        <w:rPr>
          <w:rFonts w:ascii="Arial" w:hAnsi="Arial" w:cs="Arial"/>
        </w:rPr>
        <w:t>p,q</w:t>
      </w:r>
      <w:proofErr w:type="spellEnd"/>
      <w:proofErr w:type="gramEnd"/>
      <w:r w:rsidRPr="00A13612">
        <w:rPr>
          <w:rFonts w:ascii="Arial" w:hAnsi="Arial" w:cs="Arial"/>
        </w:rPr>
        <w:t>) model is written as follows:</w:t>
      </w:r>
    </w:p>
    <w:p w14:paraId="437D15B2" w14:textId="77777777" w:rsidR="00606910" w:rsidRPr="00A13612" w:rsidRDefault="00606910" w:rsidP="00606910">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5"/>
        <w:gridCol w:w="523"/>
      </w:tblGrid>
      <w:tr w:rsidR="00606910" w:rsidRPr="00A13612" w14:paraId="3F44710A" w14:textId="77777777" w:rsidTr="00713784">
        <w:tc>
          <w:tcPr>
            <w:tcW w:w="8815" w:type="dxa"/>
            <w:vAlign w:val="center"/>
          </w:tcPr>
          <w:p w14:paraId="30B6307F" w14:textId="6238354B" w:rsidR="00606910" w:rsidRPr="00A13612" w:rsidRDefault="0042060D" w:rsidP="00713784">
            <w:pPr>
              <w:jc w:val="both"/>
              <w:rPr>
                <w:rFonts w:ascii="Arial" w:hAnsi="Arial" w:cs="Arial"/>
                <w:color w:val="0D0D0D" w:themeColor="text1" w:themeTint="F2"/>
                <w:sz w:val="20"/>
                <w:szCs w:val="20"/>
              </w:rPr>
            </w:pPr>
            <m:oMathPara>
              <m:oMath>
                <m:r>
                  <w:rPr>
                    <w:rFonts w:ascii="Cambria Math" w:hAnsi="Cambria Math" w:cs="Arial"/>
                    <w:color w:val="0D0D0D" w:themeColor="text1" w:themeTint="F2"/>
                    <w:sz w:val="20"/>
                    <w:szCs w:val="20"/>
                  </w:rPr>
                  <m:t>GDP</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g</m:t>
                    </m:r>
                  </m:e>
                  <m:sub>
                    <m:r>
                      <w:rPr>
                        <w:rFonts w:ascii="Cambria Math" w:hAnsi="Cambria Math" w:cs="Arial"/>
                        <w:color w:val="0D0D0D" w:themeColor="text1" w:themeTint="F2"/>
                        <w:sz w:val="20"/>
                        <w:szCs w:val="20"/>
                      </w:rPr>
                      <m:t>t</m:t>
                    </m:r>
                  </m:sub>
                </m:sSub>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0</m:t>
                    </m:r>
                  </m:sub>
                </m:sSub>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1</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i=0</m:t>
                    </m:r>
                  </m:sub>
                  <m:sup>
                    <m:r>
                      <w:rPr>
                        <w:rFonts w:ascii="Cambria Math" w:hAnsi="Cambria Math" w:cs="Arial"/>
                        <w:color w:val="0D0D0D" w:themeColor="text1" w:themeTint="F2"/>
                        <w:sz w:val="20"/>
                        <w:szCs w:val="20"/>
                      </w:rPr>
                      <m:t>p</m:t>
                    </m:r>
                  </m:sup>
                  <m:e>
                    <m:r>
                      <w:rPr>
                        <w:rFonts w:ascii="Cambria Math" w:hAnsi="Cambria Math" w:cs="Arial"/>
                        <w:color w:val="0D0D0D" w:themeColor="text1" w:themeTint="F2"/>
                        <w:sz w:val="20"/>
                        <w:szCs w:val="20"/>
                      </w:rPr>
                      <m:t>∆GDP</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g</m:t>
                        </m:r>
                      </m:e>
                      <m:sub>
                        <m:r>
                          <w:rPr>
                            <w:rFonts w:ascii="Cambria Math" w:hAnsi="Cambria Math" w:cs="Arial"/>
                            <w:color w:val="0D0D0D" w:themeColor="text1" w:themeTint="F2"/>
                            <w:sz w:val="20"/>
                            <w:szCs w:val="20"/>
                          </w:rPr>
                          <m:t>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2</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i=0</m:t>
                    </m:r>
                  </m:sub>
                  <m:sup>
                    <m:r>
                      <w:rPr>
                        <w:rFonts w:ascii="Cambria Math" w:hAnsi="Cambria Math" w:cs="Arial"/>
                        <w:color w:val="0D0D0D" w:themeColor="text1" w:themeTint="F2"/>
                        <w:sz w:val="20"/>
                        <w:szCs w:val="20"/>
                      </w:rPr>
                      <m:t>q</m:t>
                    </m:r>
                  </m:sup>
                  <m:e>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CPI</m:t>
                        </m:r>
                      </m:e>
                      <m:sub>
                        <m:r>
                          <w:rPr>
                            <w:rFonts w:ascii="Cambria Math" w:hAnsi="Cambria Math" w:cs="Arial"/>
                            <w:color w:val="0D0D0D" w:themeColor="text1" w:themeTint="F2"/>
                            <w:sz w:val="20"/>
                            <w:szCs w:val="20"/>
                          </w:rPr>
                          <m:t>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3</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i=0</m:t>
                    </m:r>
                  </m:sub>
                  <m:sup>
                    <m:r>
                      <w:rPr>
                        <w:rFonts w:ascii="Cambria Math" w:hAnsi="Cambria Math" w:cs="Arial"/>
                        <w:color w:val="0D0D0D" w:themeColor="text1" w:themeTint="F2"/>
                        <w:sz w:val="20"/>
                        <w:szCs w:val="20"/>
                      </w:rPr>
                      <m:t>q</m:t>
                    </m:r>
                  </m:sup>
                  <m:e>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CAPg</m:t>
                        </m:r>
                      </m:e>
                      <m:sub>
                        <m:r>
                          <w:rPr>
                            <w:rFonts w:ascii="Cambria Math" w:hAnsi="Cambria Math" w:cs="Arial"/>
                            <w:color w:val="0D0D0D" w:themeColor="text1" w:themeTint="F2"/>
                            <w:sz w:val="20"/>
                            <w:szCs w:val="20"/>
                          </w:rPr>
                          <m:t>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4</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i=0</m:t>
                    </m:r>
                  </m:sub>
                  <m:sup>
                    <m:r>
                      <w:rPr>
                        <w:rFonts w:ascii="Cambria Math" w:hAnsi="Cambria Math" w:cs="Arial"/>
                        <w:color w:val="0D0D0D" w:themeColor="text1" w:themeTint="F2"/>
                        <w:sz w:val="20"/>
                        <w:szCs w:val="20"/>
                      </w:rPr>
                      <m:t>q</m:t>
                    </m:r>
                  </m:sup>
                  <m:e>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∆POPg</m:t>
                        </m:r>
                      </m:e>
                      <m:sub>
                        <m:r>
                          <w:rPr>
                            <w:rFonts w:ascii="Cambria Math" w:hAnsi="Cambria Math" w:cs="Arial"/>
                            <w:color w:val="0D0D0D" w:themeColor="text1" w:themeTint="F2"/>
                            <w:sz w:val="20"/>
                            <w:szCs w:val="20"/>
                          </w:rPr>
                          <m:t>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5</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i=0</m:t>
                    </m:r>
                  </m:sub>
                  <m:sup>
                    <m:r>
                      <w:rPr>
                        <w:rFonts w:ascii="Cambria Math" w:hAnsi="Cambria Math" w:cs="Arial"/>
                        <w:color w:val="0D0D0D" w:themeColor="text1" w:themeTint="F2"/>
                        <w:sz w:val="20"/>
                        <w:szCs w:val="20"/>
                      </w:rPr>
                      <m:t>q</m:t>
                    </m:r>
                  </m:sup>
                  <m:e>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∆D</m:t>
                        </m:r>
                      </m:e>
                      <m:sub>
                        <m:r>
                          <w:rPr>
                            <w:rFonts w:ascii="Cambria Math" w:hAnsi="Cambria Math" w:cs="Arial"/>
                            <w:color w:val="0D0D0D" w:themeColor="text1" w:themeTint="F2"/>
                            <w:sz w:val="20"/>
                            <w:szCs w:val="20"/>
                          </w:rPr>
                          <m:t>t-i</m:t>
                        </m:r>
                      </m:sub>
                    </m:sSub>
                  </m:e>
                </m:nary>
                <m:r>
                  <w:rPr>
                    <w:rFonts w:ascii="Cambria Math" w:hAnsi="Cambria Math" w:cs="Arial"/>
                    <w:color w:val="0D0D0D" w:themeColor="text1" w:themeTint="F2"/>
                    <w:sz w:val="20"/>
                    <w:szCs w:val="20"/>
                  </w:rPr>
                  <m:t>+</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φ</m:t>
                    </m:r>
                  </m:e>
                  <m:sub>
                    <m:r>
                      <w:rPr>
                        <w:rFonts w:ascii="Cambria Math" w:eastAsiaTheme="minorEastAsia" w:hAnsi="Cambria Math" w:cs="Arial"/>
                        <w:color w:val="0D0D0D" w:themeColor="text1" w:themeTint="F2"/>
                        <w:sz w:val="20"/>
                        <w:szCs w:val="20"/>
                      </w:rPr>
                      <m:t>1</m:t>
                    </m:r>
                  </m:sub>
                </m:sSub>
                <m:sSub>
                  <m:sSubPr>
                    <m:ctrlPr>
                      <w:rPr>
                        <w:rFonts w:ascii="Cambria Math" w:eastAsiaTheme="minorEastAsia" w:hAnsi="Cambria Math" w:cs="Arial"/>
                        <w:i/>
                        <w:color w:val="0D0D0D" w:themeColor="text1" w:themeTint="F2"/>
                        <w:sz w:val="20"/>
                        <w:szCs w:val="20"/>
                      </w:rPr>
                    </m:ctrlPr>
                  </m:sSubPr>
                  <m:e>
                    <m:r>
                      <w:rPr>
                        <w:rFonts w:ascii="Cambria Math" w:hAnsi="Cambria Math" w:cs="Arial"/>
                        <w:color w:val="0D0D0D" w:themeColor="text1" w:themeTint="F2"/>
                        <w:sz w:val="20"/>
                        <w:szCs w:val="20"/>
                      </w:rPr>
                      <m:t>GDPg</m:t>
                    </m:r>
                  </m:e>
                  <m:sub>
                    <m:r>
                      <w:rPr>
                        <w:rFonts w:ascii="Cambria Math" w:eastAsiaTheme="minorEastAsia" w:hAnsi="Cambria Math" w:cs="Arial"/>
                        <w:color w:val="0D0D0D" w:themeColor="text1" w:themeTint="F2"/>
                        <w:sz w:val="20"/>
                        <w:szCs w:val="20"/>
                      </w:rPr>
                      <m:t>t</m:t>
                    </m:r>
                  </m:sub>
                </m:sSub>
                <m:r>
                  <w:rPr>
                    <w:rFonts w:ascii="Cambria Math" w:eastAsiaTheme="minorEastAsia" w:hAnsi="Cambria Math" w:cs="Arial"/>
                    <w:color w:val="0D0D0D" w:themeColor="text1" w:themeTint="F2"/>
                    <w:sz w:val="20"/>
                    <w:szCs w:val="20"/>
                  </w:rPr>
                  <m:t>+</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φ</m:t>
                    </m:r>
                  </m:e>
                  <m:sub>
                    <m:r>
                      <w:rPr>
                        <w:rFonts w:ascii="Cambria Math" w:eastAsiaTheme="minorEastAsia" w:hAnsi="Cambria Math" w:cs="Arial"/>
                        <w:color w:val="0D0D0D" w:themeColor="text1" w:themeTint="F2"/>
                        <w:sz w:val="20"/>
                        <w:szCs w:val="20"/>
                      </w:rPr>
                      <m:t>2</m:t>
                    </m:r>
                  </m:sub>
                </m:sSub>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CPI</m:t>
                    </m:r>
                  </m:e>
                  <m:sub>
                    <m:r>
                      <w:rPr>
                        <w:rFonts w:ascii="Cambria Math" w:eastAsiaTheme="minorEastAsia" w:hAnsi="Cambria Math" w:cs="Arial"/>
                        <w:color w:val="0D0D0D" w:themeColor="text1" w:themeTint="F2"/>
                        <w:sz w:val="20"/>
                        <w:szCs w:val="20"/>
                      </w:rPr>
                      <m:t>t</m:t>
                    </m:r>
                  </m:sub>
                </m:sSub>
                <m:r>
                  <w:rPr>
                    <w:rFonts w:ascii="Cambria Math" w:eastAsiaTheme="minorEastAsia" w:hAnsi="Cambria Math" w:cs="Arial"/>
                    <w:color w:val="0D0D0D" w:themeColor="text1" w:themeTint="F2"/>
                    <w:sz w:val="20"/>
                    <w:szCs w:val="20"/>
                  </w:rPr>
                  <m:t>+</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φ</m:t>
                    </m:r>
                  </m:e>
                  <m:sub>
                    <m:r>
                      <w:rPr>
                        <w:rFonts w:ascii="Cambria Math" w:eastAsiaTheme="minorEastAsia" w:hAnsi="Cambria Math" w:cs="Arial"/>
                        <w:color w:val="0D0D0D" w:themeColor="text1" w:themeTint="F2"/>
                        <w:sz w:val="20"/>
                        <w:szCs w:val="20"/>
                      </w:rPr>
                      <m:t>3</m:t>
                    </m:r>
                  </m:sub>
                </m:sSub>
                <m:r>
                  <w:rPr>
                    <w:rFonts w:ascii="Cambria Math" w:eastAsiaTheme="minorEastAsia" w:hAnsi="Cambria Math" w:cs="Arial"/>
                    <w:color w:val="0D0D0D" w:themeColor="text1" w:themeTint="F2"/>
                    <w:sz w:val="20"/>
                    <w:szCs w:val="20"/>
                  </w:rPr>
                  <m:t>CAP</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g</m:t>
                    </m:r>
                  </m:e>
                  <m:sub>
                    <m:r>
                      <w:rPr>
                        <w:rFonts w:ascii="Cambria Math" w:eastAsiaTheme="minorEastAsia" w:hAnsi="Cambria Math" w:cs="Arial"/>
                        <w:color w:val="0D0D0D" w:themeColor="text1" w:themeTint="F2"/>
                        <w:sz w:val="20"/>
                        <w:szCs w:val="20"/>
                      </w:rPr>
                      <m:t>t</m:t>
                    </m:r>
                  </m:sub>
                </m:sSub>
                <m:r>
                  <w:rPr>
                    <w:rFonts w:ascii="Cambria Math" w:eastAsiaTheme="minorEastAsia" w:hAnsi="Cambria Math" w:cs="Arial"/>
                    <w:color w:val="0D0D0D" w:themeColor="text1" w:themeTint="F2"/>
                    <w:sz w:val="20"/>
                    <w:szCs w:val="20"/>
                  </w:rPr>
                  <m:t>+</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φ</m:t>
                    </m:r>
                  </m:e>
                  <m:sub>
                    <m:r>
                      <w:rPr>
                        <w:rFonts w:ascii="Cambria Math" w:eastAsiaTheme="minorEastAsia" w:hAnsi="Cambria Math" w:cs="Arial"/>
                        <w:color w:val="0D0D0D" w:themeColor="text1" w:themeTint="F2"/>
                        <w:sz w:val="20"/>
                        <w:szCs w:val="20"/>
                      </w:rPr>
                      <m:t>4</m:t>
                    </m:r>
                  </m:sub>
                </m:sSub>
                <m:r>
                  <w:rPr>
                    <w:rFonts w:ascii="Cambria Math" w:eastAsiaTheme="minorEastAsia" w:hAnsi="Cambria Math" w:cs="Arial"/>
                    <w:color w:val="0D0D0D" w:themeColor="text1" w:themeTint="F2"/>
                    <w:sz w:val="20"/>
                    <w:szCs w:val="20"/>
                  </w:rPr>
                  <m:t>POP</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g</m:t>
                    </m:r>
                  </m:e>
                  <m:sub>
                    <m:r>
                      <w:rPr>
                        <w:rFonts w:ascii="Cambria Math" w:eastAsiaTheme="minorEastAsia" w:hAnsi="Cambria Math" w:cs="Arial"/>
                        <w:color w:val="0D0D0D" w:themeColor="text1" w:themeTint="F2"/>
                        <w:sz w:val="20"/>
                        <w:szCs w:val="20"/>
                      </w:rPr>
                      <m:t>t</m:t>
                    </m:r>
                  </m:sub>
                </m:sSub>
                <m:r>
                  <w:rPr>
                    <w:rFonts w:ascii="Cambria Math" w:eastAsiaTheme="minorEastAsia" w:hAnsi="Cambria Math" w:cs="Arial"/>
                    <w:color w:val="0D0D0D" w:themeColor="text1" w:themeTint="F2"/>
                    <w:sz w:val="20"/>
                    <w:szCs w:val="20"/>
                  </w:rPr>
                  <m:t>+</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φ</m:t>
                    </m:r>
                  </m:e>
                  <m:sub>
                    <m:r>
                      <w:rPr>
                        <w:rFonts w:ascii="Cambria Math" w:eastAsiaTheme="minorEastAsia" w:hAnsi="Cambria Math" w:cs="Arial"/>
                        <w:color w:val="0D0D0D" w:themeColor="text1" w:themeTint="F2"/>
                        <w:sz w:val="20"/>
                        <w:szCs w:val="20"/>
                      </w:rPr>
                      <m:t>5</m:t>
                    </m:r>
                  </m:sub>
                </m:sSub>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D</m:t>
                    </m:r>
                  </m:e>
                  <m:sub>
                    <m:r>
                      <w:rPr>
                        <w:rFonts w:ascii="Cambria Math" w:eastAsiaTheme="minorEastAsia" w:hAnsi="Cambria Math" w:cs="Arial"/>
                        <w:color w:val="0D0D0D" w:themeColor="text1" w:themeTint="F2"/>
                        <w:sz w:val="20"/>
                        <w:szCs w:val="20"/>
                      </w:rPr>
                      <m:t>t</m:t>
                    </m:r>
                  </m:sub>
                </m:sSub>
                <m:r>
                  <w:rPr>
                    <w:rFonts w:ascii="Cambria Math" w:eastAsiaTheme="minorEastAsia" w:hAnsi="Cambria Math" w:cs="Arial"/>
                    <w:color w:val="0D0D0D" w:themeColor="text1" w:themeTint="F2"/>
                    <w:sz w:val="20"/>
                    <w:szCs w:val="20"/>
                  </w:rPr>
                  <m:t>+</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ε</m:t>
                    </m:r>
                  </m:e>
                  <m:sub>
                    <m:r>
                      <w:rPr>
                        <w:rFonts w:ascii="Cambria Math" w:eastAsiaTheme="minorEastAsia" w:hAnsi="Cambria Math" w:cs="Arial"/>
                        <w:color w:val="0D0D0D" w:themeColor="text1" w:themeTint="F2"/>
                        <w:sz w:val="20"/>
                        <w:szCs w:val="20"/>
                      </w:rPr>
                      <m:t>t</m:t>
                    </m:r>
                  </m:sub>
                </m:sSub>
              </m:oMath>
            </m:oMathPara>
          </w:p>
        </w:tc>
        <w:tc>
          <w:tcPr>
            <w:tcW w:w="535" w:type="dxa"/>
            <w:vAlign w:val="center"/>
          </w:tcPr>
          <w:p w14:paraId="586F4204" w14:textId="77777777" w:rsidR="00606910" w:rsidRPr="00A13612" w:rsidRDefault="00606910" w:rsidP="00713784">
            <w:pPr>
              <w:jc w:val="both"/>
              <w:rPr>
                <w:rFonts w:ascii="Arial" w:hAnsi="Arial" w:cs="Arial"/>
                <w:color w:val="0D0D0D" w:themeColor="text1" w:themeTint="F2"/>
                <w:sz w:val="20"/>
                <w:szCs w:val="20"/>
              </w:rPr>
            </w:pPr>
            <w:r w:rsidRPr="00A13612">
              <w:rPr>
                <w:rFonts w:ascii="Arial" w:hAnsi="Arial" w:cs="Arial"/>
                <w:color w:val="0D0D0D" w:themeColor="text1" w:themeTint="F2"/>
                <w:sz w:val="20"/>
                <w:szCs w:val="20"/>
              </w:rPr>
              <w:t>(4)</w:t>
            </w:r>
          </w:p>
        </w:tc>
      </w:tr>
    </w:tbl>
    <w:p w14:paraId="3FB16174" w14:textId="2D2C6672" w:rsidR="00606910" w:rsidRPr="00A13612" w:rsidRDefault="00606910" w:rsidP="00606910">
      <w:pPr>
        <w:spacing w:before="160"/>
        <w:jc w:val="both"/>
        <w:rPr>
          <w:rFonts w:ascii="Arial" w:hAnsi="Arial" w:cs="Arial"/>
          <w:color w:val="0D0D0D" w:themeColor="text1" w:themeTint="F2"/>
        </w:rPr>
      </w:pPr>
      <w:r w:rsidRPr="00A13612">
        <w:rPr>
          <w:rFonts w:ascii="Arial" w:hAnsi="Arial" w:cs="Arial"/>
          <w:color w:val="0D0D0D" w:themeColor="text1" w:themeTint="F2"/>
        </w:rPr>
        <w:t xml:space="preserve">where </w:t>
      </w:r>
      <m:oMath>
        <m:sSub>
          <m:sSubPr>
            <m:ctrlPr>
              <w:rPr>
                <w:rFonts w:ascii="Cambria Math" w:hAnsi="Cambria Math" w:cs="Arial"/>
                <w:i/>
                <w:color w:val="0D0D0D" w:themeColor="text1" w:themeTint="F2"/>
              </w:rPr>
            </m:ctrlPr>
          </m:sSubPr>
          <m:e>
            <m:r>
              <w:rPr>
                <w:rFonts w:ascii="Cambria Math" w:hAnsi="Cambria Math" w:cs="Arial"/>
                <w:color w:val="0D0D0D" w:themeColor="text1" w:themeTint="F2"/>
              </w:rPr>
              <m:t>η</m:t>
            </m:r>
          </m:e>
          <m:sub>
            <m:r>
              <w:rPr>
                <w:rFonts w:ascii="Cambria Math" w:hAnsi="Cambria Math" w:cs="Arial"/>
                <w:color w:val="0D0D0D" w:themeColor="text1" w:themeTint="F2"/>
              </w:rPr>
              <m:t>0</m:t>
            </m:r>
          </m:sub>
        </m:sSub>
      </m:oMath>
      <w:r w:rsidRPr="00A13612">
        <w:rPr>
          <w:rFonts w:ascii="Arial" w:hAnsi="Arial" w:cs="Arial"/>
          <w:color w:val="0D0D0D" w:themeColor="text1" w:themeTint="F2"/>
        </w:rPr>
        <w:t xml:space="preserve"> signifies the constant term. </w:t>
      </w:r>
      <m:oMath>
        <m:sSub>
          <m:sSubPr>
            <m:ctrlPr>
              <w:rPr>
                <w:rFonts w:ascii="Cambria Math" w:hAnsi="Cambria Math" w:cs="Arial"/>
                <w:i/>
                <w:color w:val="0D0D0D" w:themeColor="text1" w:themeTint="F2"/>
              </w:rPr>
            </m:ctrlPr>
          </m:sSubPr>
          <m:e>
            <m:r>
              <w:rPr>
                <w:rFonts w:ascii="Cambria Math" w:hAnsi="Cambria Math" w:cs="Arial"/>
                <w:color w:val="0D0D0D" w:themeColor="text1" w:themeTint="F2"/>
              </w:rPr>
              <m:t>η</m:t>
            </m:r>
          </m:e>
          <m:sub>
            <m:r>
              <w:rPr>
                <w:rFonts w:ascii="Cambria Math" w:hAnsi="Cambria Math" w:cs="Arial"/>
                <w:color w:val="0D0D0D" w:themeColor="text1" w:themeTint="F2"/>
              </w:rPr>
              <m:t>1</m:t>
            </m:r>
          </m:sub>
        </m:sSub>
        <m:r>
          <w:rPr>
            <w:rFonts w:ascii="Cambria Math" w:hAnsi="Cambria Math" w:cs="Arial"/>
            <w:color w:val="0D0D0D" w:themeColor="text1" w:themeTint="F2"/>
          </w:rPr>
          <m:t>…</m:t>
        </m:r>
        <m:sSub>
          <m:sSubPr>
            <m:ctrlPr>
              <w:rPr>
                <w:rFonts w:ascii="Cambria Math" w:hAnsi="Cambria Math" w:cs="Arial"/>
                <w:i/>
                <w:color w:val="0D0D0D" w:themeColor="text1" w:themeTint="F2"/>
              </w:rPr>
            </m:ctrlPr>
          </m:sSubPr>
          <m:e>
            <m:r>
              <w:rPr>
                <w:rFonts w:ascii="Cambria Math" w:hAnsi="Cambria Math" w:cs="Arial"/>
                <w:color w:val="0D0D0D" w:themeColor="text1" w:themeTint="F2"/>
              </w:rPr>
              <m:t>η</m:t>
            </m:r>
          </m:e>
          <m:sub>
            <m:r>
              <w:rPr>
                <w:rFonts w:ascii="Cambria Math" w:hAnsi="Cambria Math" w:cs="Arial"/>
                <w:color w:val="0D0D0D" w:themeColor="text1" w:themeTint="F2"/>
              </w:rPr>
              <m:t>4</m:t>
            </m:r>
          </m:sub>
        </m:sSub>
      </m:oMath>
      <w:r w:rsidRPr="00A13612">
        <w:rPr>
          <w:rFonts w:ascii="Arial" w:hAnsi="Arial" w:cs="Arial"/>
          <w:color w:val="0D0D0D" w:themeColor="text1" w:themeTint="F2"/>
        </w:rPr>
        <w:t xml:space="preserve"> are short-run coefficients. </w:t>
      </w:r>
      <m:oMath>
        <m:sSub>
          <m:sSubPr>
            <m:ctrlPr>
              <w:rPr>
                <w:rFonts w:ascii="Cambria Math" w:eastAsiaTheme="minorEastAsia" w:hAnsi="Cambria Math" w:cs="Arial"/>
                <w:i/>
                <w:color w:val="0D0D0D" w:themeColor="text1" w:themeTint="F2"/>
              </w:rPr>
            </m:ctrlPr>
          </m:sSubPr>
          <m:e>
            <m:r>
              <w:rPr>
                <w:rFonts w:ascii="Cambria Math" w:eastAsiaTheme="minorEastAsia" w:hAnsi="Cambria Math" w:cs="Arial"/>
                <w:color w:val="0D0D0D" w:themeColor="text1" w:themeTint="F2"/>
              </w:rPr>
              <m:t>φ</m:t>
            </m:r>
          </m:e>
          <m:sub>
            <m:r>
              <w:rPr>
                <w:rFonts w:ascii="Cambria Math" w:eastAsiaTheme="minorEastAsia" w:hAnsi="Cambria Math" w:cs="Arial"/>
                <w:color w:val="0D0D0D" w:themeColor="text1" w:themeTint="F2"/>
              </w:rPr>
              <m:t>1</m:t>
            </m:r>
          </m:sub>
        </m:sSub>
      </m:oMath>
      <w:r w:rsidRPr="00A13612">
        <w:rPr>
          <w:rFonts w:ascii="Arial" w:hAnsi="Arial" w:cs="Arial"/>
          <w:color w:val="0D0D0D" w:themeColor="text1" w:themeTint="F2"/>
        </w:rPr>
        <w:t>...</w:t>
      </w:r>
      <m:oMath>
        <m:sSub>
          <m:sSubPr>
            <m:ctrlPr>
              <w:rPr>
                <w:rFonts w:ascii="Cambria Math" w:eastAsiaTheme="minorEastAsia" w:hAnsi="Cambria Math" w:cs="Arial"/>
                <w:i/>
                <w:color w:val="0D0D0D" w:themeColor="text1" w:themeTint="F2"/>
              </w:rPr>
            </m:ctrlPr>
          </m:sSubPr>
          <m:e>
            <m:r>
              <w:rPr>
                <w:rFonts w:ascii="Cambria Math" w:eastAsiaTheme="minorEastAsia" w:hAnsi="Cambria Math" w:cs="Arial"/>
                <w:color w:val="0D0D0D" w:themeColor="text1" w:themeTint="F2"/>
              </w:rPr>
              <m:t>φ</m:t>
            </m:r>
          </m:e>
          <m:sub>
            <m:r>
              <w:rPr>
                <w:rFonts w:ascii="Cambria Math" w:eastAsiaTheme="minorEastAsia" w:hAnsi="Cambria Math" w:cs="Arial"/>
                <w:color w:val="0D0D0D" w:themeColor="text1" w:themeTint="F2"/>
              </w:rPr>
              <m:t>4</m:t>
            </m:r>
          </m:sub>
        </m:sSub>
      </m:oMath>
      <w:r w:rsidRPr="00A13612">
        <w:rPr>
          <w:rFonts w:ascii="Arial" w:hAnsi="Arial" w:cs="Arial"/>
          <w:color w:val="0D0D0D" w:themeColor="text1" w:themeTint="F2"/>
        </w:rPr>
        <w:t xml:space="preserve"> show long-run coefficients. </w:t>
      </w:r>
      <w:r w:rsidR="00F03E59" w:rsidRPr="00A13612">
        <w:rPr>
          <w:rFonts w:ascii="Times New Roman" w:hAnsi="Times New Roman"/>
          <w:color w:val="0D0D0D" w:themeColor="text1" w:themeTint="F2"/>
        </w:rPr>
        <w:t>∆</w:t>
      </w:r>
      <w:r w:rsidR="00F03E59" w:rsidRPr="00A13612">
        <w:rPr>
          <w:rFonts w:ascii="Arial" w:hAnsi="Arial" w:cs="Arial"/>
          <w:color w:val="0D0D0D" w:themeColor="text1" w:themeTint="F2"/>
        </w:rPr>
        <w:t xml:space="preserve"> is the first difference notation.</w:t>
      </w:r>
    </w:p>
    <w:p w14:paraId="12F46A4C" w14:textId="77777777" w:rsidR="00606910" w:rsidRPr="00A13612" w:rsidRDefault="00606910" w:rsidP="00606910">
      <w:pPr>
        <w:spacing w:before="160"/>
        <w:jc w:val="both"/>
        <w:rPr>
          <w:rFonts w:ascii="Arial" w:hAnsi="Arial" w:cs="Arial"/>
          <w:color w:val="0D0D0D" w:themeColor="text1" w:themeTint="F2"/>
        </w:rPr>
      </w:pPr>
      <w:r w:rsidRPr="00A13612">
        <w:rPr>
          <w:rFonts w:ascii="Arial" w:hAnsi="Arial" w:cs="Arial"/>
          <w:color w:val="0D0D0D" w:themeColor="text1" w:themeTint="F2"/>
        </w:rPr>
        <w:t xml:space="preserve">The Bounds test is used to check whether the </w:t>
      </w:r>
      <w:proofErr w:type="spellStart"/>
      <w:r w:rsidRPr="00A13612">
        <w:rPr>
          <w:rFonts w:ascii="Arial" w:hAnsi="Arial" w:cs="Arial"/>
          <w:color w:val="0D0D0D" w:themeColor="text1" w:themeTint="F2"/>
        </w:rPr>
        <w:t>cointrgation</w:t>
      </w:r>
      <w:proofErr w:type="spellEnd"/>
      <w:r w:rsidRPr="00A13612">
        <w:rPr>
          <w:rFonts w:ascii="Arial" w:hAnsi="Arial" w:cs="Arial"/>
          <w:color w:val="0D0D0D" w:themeColor="text1" w:themeTint="F2"/>
        </w:rPr>
        <w:t xml:space="preserve"> between economic growth and </w:t>
      </w:r>
      <w:proofErr w:type="spellStart"/>
      <w:r w:rsidRPr="00A13612">
        <w:rPr>
          <w:rFonts w:ascii="Arial" w:hAnsi="Arial" w:cs="Arial"/>
          <w:color w:val="0D0D0D" w:themeColor="text1" w:themeTint="F2"/>
        </w:rPr>
        <w:t>infaltion</w:t>
      </w:r>
      <w:proofErr w:type="spellEnd"/>
      <w:r w:rsidRPr="00A13612">
        <w:rPr>
          <w:rFonts w:ascii="Arial" w:hAnsi="Arial" w:cs="Arial"/>
          <w:color w:val="0D0D0D" w:themeColor="text1" w:themeTint="F2"/>
        </w:rPr>
        <w:t xml:space="preserve"> is verified. Hence, the null </w:t>
      </w:r>
      <w:proofErr w:type="spellStart"/>
      <w:r w:rsidRPr="00A13612">
        <w:rPr>
          <w:rFonts w:ascii="Arial" w:hAnsi="Arial" w:cs="Arial"/>
          <w:color w:val="0D0D0D" w:themeColor="text1" w:themeTint="F2"/>
        </w:rPr>
        <w:t>hyppthesis</w:t>
      </w:r>
      <w:proofErr w:type="spellEnd"/>
      <w:r w:rsidRPr="00A13612">
        <w:rPr>
          <w:rFonts w:ascii="Arial" w:hAnsi="Arial" w:cs="Arial"/>
          <w:color w:val="0D0D0D" w:themeColor="text1" w:themeTint="F2"/>
        </w:rPr>
        <w:t xml:space="preserve"> (H0: no level relationship) is tested </w:t>
      </w:r>
      <w:proofErr w:type="spellStart"/>
      <w:r w:rsidRPr="00A13612">
        <w:rPr>
          <w:rFonts w:ascii="Arial" w:hAnsi="Arial" w:cs="Arial"/>
          <w:color w:val="0D0D0D" w:themeColor="text1" w:themeTint="F2"/>
        </w:rPr>
        <w:t>agains</w:t>
      </w:r>
      <w:proofErr w:type="spellEnd"/>
      <w:r w:rsidRPr="00A13612">
        <w:rPr>
          <w:rFonts w:ascii="Arial" w:hAnsi="Arial" w:cs="Arial"/>
          <w:color w:val="0D0D0D" w:themeColor="text1" w:themeTint="F2"/>
        </w:rPr>
        <w:t xml:space="preserve"> the alternative hypothesis.</w:t>
      </w:r>
    </w:p>
    <w:p w14:paraId="459EA034" w14:textId="77777777" w:rsidR="00606910" w:rsidRPr="00A13612" w:rsidRDefault="00606910" w:rsidP="00606910">
      <w:pPr>
        <w:spacing w:before="160"/>
        <w:jc w:val="both"/>
        <w:rPr>
          <w:rFonts w:ascii="Arial" w:hAnsi="Arial" w:cs="Arial"/>
          <w:color w:val="0D0D0D" w:themeColor="text1" w:themeTint="F2"/>
        </w:rPr>
      </w:pPr>
      <w:r w:rsidRPr="00A13612">
        <w:rPr>
          <w:rFonts w:ascii="Arial" w:hAnsi="Arial" w:cs="Arial"/>
          <w:color w:val="0D0D0D" w:themeColor="text1" w:themeTint="F2"/>
        </w:rPr>
        <w:t>H</w:t>
      </w:r>
      <w:r w:rsidRPr="00A13612">
        <w:rPr>
          <w:rFonts w:ascii="Arial" w:hAnsi="Arial" w:cs="Arial"/>
          <w:color w:val="0D0D0D" w:themeColor="text1" w:themeTint="F2"/>
          <w:vertAlign w:val="subscript"/>
        </w:rPr>
        <w:t>0</w:t>
      </w:r>
      <w:r w:rsidRPr="00A13612">
        <w:rPr>
          <w:rFonts w:ascii="Arial" w:hAnsi="Arial" w:cs="Arial"/>
          <w:color w:val="0D0D0D" w:themeColor="text1" w:themeTint="F2"/>
        </w:rPr>
        <w:t xml:space="preserve">: </w:t>
      </w:r>
      <m:oMath>
        <m:sSub>
          <m:sSubPr>
            <m:ctrlPr>
              <w:rPr>
                <w:rFonts w:ascii="Cambria Math" w:eastAsiaTheme="minorEastAsia" w:hAnsi="Cambria Math" w:cs="Arial"/>
                <w:i/>
                <w:color w:val="0D0D0D" w:themeColor="text1" w:themeTint="F2"/>
              </w:rPr>
            </m:ctrlPr>
          </m:sSubPr>
          <m:e>
            <m:r>
              <w:rPr>
                <w:rFonts w:ascii="Cambria Math" w:eastAsiaTheme="minorEastAsia" w:hAnsi="Cambria Math" w:cs="Arial"/>
                <w:color w:val="0D0D0D" w:themeColor="text1" w:themeTint="F2"/>
              </w:rPr>
              <m:t>φ</m:t>
            </m:r>
          </m:e>
          <m:sub>
            <m:r>
              <w:rPr>
                <w:rFonts w:ascii="Cambria Math" w:eastAsiaTheme="minorEastAsia" w:hAnsi="Cambria Math" w:cs="Arial"/>
                <w:color w:val="0D0D0D" w:themeColor="text1" w:themeTint="F2"/>
              </w:rPr>
              <m:t>1</m:t>
            </m:r>
          </m:sub>
        </m:sSub>
        <m:r>
          <w:rPr>
            <w:rFonts w:ascii="Cambria Math" w:eastAsiaTheme="minorEastAsia" w:hAnsi="Cambria Math" w:cs="Arial"/>
            <w:color w:val="0D0D0D" w:themeColor="text1" w:themeTint="F2"/>
          </w:rPr>
          <m:t>…</m:t>
        </m:r>
        <m:sSub>
          <m:sSubPr>
            <m:ctrlPr>
              <w:rPr>
                <w:rFonts w:ascii="Cambria Math" w:eastAsiaTheme="minorEastAsia" w:hAnsi="Cambria Math" w:cs="Arial"/>
                <w:i/>
                <w:color w:val="0D0D0D" w:themeColor="text1" w:themeTint="F2"/>
              </w:rPr>
            </m:ctrlPr>
          </m:sSubPr>
          <m:e>
            <m:r>
              <w:rPr>
                <w:rFonts w:ascii="Cambria Math" w:eastAsiaTheme="minorEastAsia" w:hAnsi="Cambria Math" w:cs="Arial"/>
                <w:color w:val="0D0D0D" w:themeColor="text1" w:themeTint="F2"/>
              </w:rPr>
              <m:t>φ</m:t>
            </m:r>
          </m:e>
          <m:sub>
            <m:r>
              <w:rPr>
                <w:rFonts w:ascii="Cambria Math" w:eastAsiaTheme="minorEastAsia" w:hAnsi="Cambria Math" w:cs="Arial"/>
                <w:color w:val="0D0D0D" w:themeColor="text1" w:themeTint="F2"/>
              </w:rPr>
              <m:t>4</m:t>
            </m:r>
          </m:sub>
        </m:sSub>
        <m:r>
          <w:rPr>
            <w:rFonts w:ascii="Cambria Math" w:eastAsiaTheme="minorEastAsia" w:hAnsi="Cambria Math" w:cs="Arial"/>
            <w:color w:val="0D0D0D" w:themeColor="text1" w:themeTint="F2"/>
          </w:rPr>
          <m:t>=0</m:t>
        </m:r>
      </m:oMath>
      <w:r w:rsidRPr="00A13612">
        <w:rPr>
          <w:rFonts w:ascii="Arial" w:eastAsiaTheme="minorEastAsia" w:hAnsi="Arial" w:cs="Arial"/>
          <w:color w:val="0D0D0D" w:themeColor="text1" w:themeTint="F2"/>
        </w:rPr>
        <w:t xml:space="preserve"> (</w:t>
      </w:r>
      <w:r w:rsidRPr="00A13612">
        <w:rPr>
          <w:rFonts w:ascii="Arial" w:hAnsi="Arial" w:cs="Arial"/>
          <w:color w:val="0D0D0D" w:themeColor="text1" w:themeTint="F2"/>
        </w:rPr>
        <w:t>no level of relationship)</w:t>
      </w:r>
    </w:p>
    <w:p w14:paraId="7174C660" w14:textId="77777777" w:rsidR="00606910" w:rsidRPr="00A13612" w:rsidRDefault="00606910" w:rsidP="00606910">
      <w:pPr>
        <w:spacing w:before="160"/>
        <w:jc w:val="both"/>
        <w:rPr>
          <w:rFonts w:ascii="Arial" w:hAnsi="Arial" w:cs="Arial"/>
          <w:color w:val="0D0D0D" w:themeColor="text1" w:themeTint="F2"/>
        </w:rPr>
      </w:pPr>
      <w:r w:rsidRPr="00A13612">
        <w:rPr>
          <w:rFonts w:ascii="Arial" w:hAnsi="Arial" w:cs="Arial"/>
          <w:color w:val="0D0D0D" w:themeColor="text1" w:themeTint="F2"/>
        </w:rPr>
        <w:t>H</w:t>
      </w:r>
      <w:r w:rsidRPr="00A13612">
        <w:rPr>
          <w:rFonts w:ascii="Arial" w:hAnsi="Arial" w:cs="Arial"/>
          <w:color w:val="0D0D0D" w:themeColor="text1" w:themeTint="F2"/>
          <w:vertAlign w:val="subscript"/>
        </w:rPr>
        <w:t>1</w:t>
      </w:r>
      <w:r w:rsidRPr="00A13612">
        <w:rPr>
          <w:rFonts w:ascii="Arial" w:hAnsi="Arial" w:cs="Arial"/>
          <w:color w:val="0D0D0D" w:themeColor="text1" w:themeTint="F2"/>
        </w:rPr>
        <w:t xml:space="preserve">: </w:t>
      </w:r>
      <m:oMath>
        <m:sSub>
          <m:sSubPr>
            <m:ctrlPr>
              <w:rPr>
                <w:rFonts w:ascii="Cambria Math" w:eastAsiaTheme="minorEastAsia" w:hAnsi="Cambria Math" w:cs="Arial"/>
                <w:i/>
                <w:color w:val="0D0D0D" w:themeColor="text1" w:themeTint="F2"/>
              </w:rPr>
            </m:ctrlPr>
          </m:sSubPr>
          <m:e>
            <m:r>
              <w:rPr>
                <w:rFonts w:ascii="Cambria Math" w:eastAsiaTheme="minorEastAsia" w:hAnsi="Cambria Math" w:cs="Arial"/>
                <w:color w:val="0D0D0D" w:themeColor="text1" w:themeTint="F2"/>
              </w:rPr>
              <m:t>φ</m:t>
            </m:r>
          </m:e>
          <m:sub>
            <m:r>
              <w:rPr>
                <w:rFonts w:ascii="Cambria Math" w:eastAsiaTheme="minorEastAsia" w:hAnsi="Cambria Math" w:cs="Arial"/>
                <w:color w:val="0D0D0D" w:themeColor="text1" w:themeTint="F2"/>
              </w:rPr>
              <m:t>1</m:t>
            </m:r>
          </m:sub>
        </m:sSub>
        <m:r>
          <w:rPr>
            <w:rFonts w:ascii="Cambria Math" w:eastAsiaTheme="minorEastAsia" w:hAnsi="Cambria Math" w:cs="Arial"/>
            <w:color w:val="0D0D0D" w:themeColor="text1" w:themeTint="F2"/>
          </w:rPr>
          <m:t>…</m:t>
        </m:r>
        <m:sSub>
          <m:sSubPr>
            <m:ctrlPr>
              <w:rPr>
                <w:rFonts w:ascii="Cambria Math" w:eastAsiaTheme="minorEastAsia" w:hAnsi="Cambria Math" w:cs="Arial"/>
                <w:i/>
                <w:color w:val="0D0D0D" w:themeColor="text1" w:themeTint="F2"/>
              </w:rPr>
            </m:ctrlPr>
          </m:sSubPr>
          <m:e>
            <m:r>
              <w:rPr>
                <w:rFonts w:ascii="Cambria Math" w:eastAsiaTheme="minorEastAsia" w:hAnsi="Cambria Math" w:cs="Arial"/>
                <w:color w:val="0D0D0D" w:themeColor="text1" w:themeTint="F2"/>
              </w:rPr>
              <m:t>φ</m:t>
            </m:r>
          </m:e>
          <m:sub>
            <m:r>
              <w:rPr>
                <w:rFonts w:ascii="Cambria Math" w:eastAsiaTheme="minorEastAsia" w:hAnsi="Cambria Math" w:cs="Arial"/>
                <w:color w:val="0D0D0D" w:themeColor="text1" w:themeTint="F2"/>
              </w:rPr>
              <m:t>4</m:t>
            </m:r>
          </m:sub>
        </m:sSub>
        <m:r>
          <w:rPr>
            <w:rFonts w:ascii="Cambria Math" w:eastAsiaTheme="minorEastAsia" w:hAnsi="Cambria Math" w:cs="Arial"/>
            <w:color w:val="0D0D0D" w:themeColor="text1" w:themeTint="F2"/>
          </w:rPr>
          <m:t>≠0</m:t>
        </m:r>
      </m:oMath>
    </w:p>
    <w:p w14:paraId="53F5553A" w14:textId="13067E98" w:rsidR="004E5219" w:rsidRPr="00A13612" w:rsidRDefault="00606910" w:rsidP="00606910">
      <w:pPr>
        <w:spacing w:before="160"/>
        <w:jc w:val="both"/>
        <w:rPr>
          <w:rFonts w:ascii="Arial" w:hAnsi="Arial" w:cs="Arial"/>
          <w:color w:val="0D0D0D" w:themeColor="text1" w:themeTint="F2"/>
        </w:rPr>
      </w:pPr>
      <w:r w:rsidRPr="00A13612">
        <w:rPr>
          <w:rFonts w:ascii="Arial" w:hAnsi="Arial" w:cs="Arial"/>
          <w:color w:val="0D0D0D" w:themeColor="text1" w:themeTint="F2"/>
        </w:rPr>
        <w:t xml:space="preserve">There are two critical values to check the presence of cointegration: lower bounds, </w:t>
      </w:r>
      <w:proofErr w:type="gramStart"/>
      <w:r w:rsidRPr="00A13612">
        <w:rPr>
          <w:rFonts w:ascii="Arial" w:hAnsi="Arial" w:cs="Arial"/>
          <w:color w:val="0D0D0D" w:themeColor="text1" w:themeTint="F2"/>
        </w:rPr>
        <w:t>I(</w:t>
      </w:r>
      <w:proofErr w:type="gramEnd"/>
      <w:r w:rsidRPr="00A13612">
        <w:rPr>
          <w:rFonts w:ascii="Arial" w:hAnsi="Arial" w:cs="Arial"/>
          <w:color w:val="0D0D0D" w:themeColor="text1" w:themeTint="F2"/>
        </w:rPr>
        <w:t xml:space="preserve">0), and upper bounds, </w:t>
      </w:r>
      <w:proofErr w:type="gramStart"/>
      <w:r w:rsidRPr="00A13612">
        <w:rPr>
          <w:rFonts w:ascii="Arial" w:hAnsi="Arial" w:cs="Arial"/>
          <w:color w:val="0D0D0D" w:themeColor="text1" w:themeTint="F2"/>
        </w:rPr>
        <w:t>I</w:t>
      </w:r>
      <w:r w:rsidR="00F03E59" w:rsidRPr="00A13612">
        <w:rPr>
          <w:rFonts w:ascii="Arial" w:hAnsi="Arial" w:cs="Arial"/>
          <w:color w:val="0D0D0D" w:themeColor="text1" w:themeTint="F2"/>
        </w:rPr>
        <w:t>[</w:t>
      </w:r>
      <w:proofErr w:type="gramEnd"/>
      <w:r w:rsidRPr="00A13612">
        <w:rPr>
          <w:rFonts w:ascii="Arial" w:hAnsi="Arial" w:cs="Arial"/>
          <w:color w:val="0D0D0D" w:themeColor="text1" w:themeTint="F2"/>
        </w:rPr>
        <w:t>1</w:t>
      </w:r>
      <w:r w:rsidR="00F03E59" w:rsidRPr="00A13612">
        <w:rPr>
          <w:rFonts w:ascii="Arial" w:hAnsi="Arial" w:cs="Arial"/>
          <w:color w:val="0D0D0D" w:themeColor="text1" w:themeTint="F2"/>
        </w:rPr>
        <w:t>]</w:t>
      </w:r>
      <w:r w:rsidRPr="00A13612">
        <w:rPr>
          <w:rFonts w:ascii="Arial" w:hAnsi="Arial" w:cs="Arial"/>
          <w:color w:val="0D0D0D" w:themeColor="text1" w:themeTint="F2"/>
        </w:rPr>
        <w:t xml:space="preserve">. Rejection of the H0 occurs when the computed F-statistic exceeds </w:t>
      </w:r>
      <w:proofErr w:type="gramStart"/>
      <w:r w:rsidRPr="00A13612">
        <w:rPr>
          <w:rFonts w:ascii="Arial" w:hAnsi="Arial" w:cs="Arial"/>
          <w:color w:val="0D0D0D" w:themeColor="text1" w:themeTint="F2"/>
        </w:rPr>
        <w:t>I</w:t>
      </w:r>
      <w:r w:rsidR="00F03E59" w:rsidRPr="00A13612">
        <w:rPr>
          <w:rFonts w:ascii="Arial" w:hAnsi="Arial" w:cs="Arial"/>
          <w:color w:val="0D0D0D" w:themeColor="text1" w:themeTint="F2"/>
        </w:rPr>
        <w:t>[</w:t>
      </w:r>
      <w:proofErr w:type="gramEnd"/>
      <w:r w:rsidRPr="00A13612">
        <w:rPr>
          <w:rFonts w:ascii="Arial" w:hAnsi="Arial" w:cs="Arial"/>
          <w:color w:val="0D0D0D" w:themeColor="text1" w:themeTint="F2"/>
        </w:rPr>
        <w:t>1</w:t>
      </w:r>
      <w:r w:rsidR="00F03E59" w:rsidRPr="00A13612">
        <w:rPr>
          <w:rFonts w:ascii="Arial" w:hAnsi="Arial" w:cs="Arial"/>
          <w:color w:val="0D0D0D" w:themeColor="text1" w:themeTint="F2"/>
        </w:rPr>
        <w:t>]</w:t>
      </w:r>
      <w:r w:rsidRPr="00A13612">
        <w:rPr>
          <w:rFonts w:ascii="Arial" w:hAnsi="Arial" w:cs="Arial"/>
          <w:color w:val="0D0D0D" w:themeColor="text1" w:themeTint="F2"/>
        </w:rPr>
        <w:t xml:space="preserve">. </w:t>
      </w:r>
      <w:proofErr w:type="spellStart"/>
      <w:r w:rsidRPr="00A13612">
        <w:rPr>
          <w:rFonts w:ascii="Arial" w:hAnsi="Arial" w:cs="Arial"/>
          <w:color w:val="0D0D0D" w:themeColor="text1" w:themeTint="F2"/>
        </w:rPr>
        <w:t>Otherewise</w:t>
      </w:r>
      <w:proofErr w:type="spellEnd"/>
      <w:r w:rsidRPr="00A13612">
        <w:rPr>
          <w:rFonts w:ascii="Arial" w:hAnsi="Arial" w:cs="Arial"/>
          <w:color w:val="0D0D0D" w:themeColor="text1" w:themeTint="F2"/>
        </w:rPr>
        <w:t>, there is no cointegration</w:t>
      </w:r>
      <w:r w:rsidR="00F03E59" w:rsidRPr="00A13612">
        <w:rPr>
          <w:rFonts w:ascii="Arial" w:hAnsi="Arial" w:cs="Arial"/>
          <w:color w:val="0D0D0D" w:themeColor="text1" w:themeTint="F2"/>
        </w:rPr>
        <w:t xml:space="preserve"> association</w:t>
      </w:r>
      <w:r w:rsidRPr="00A13612">
        <w:rPr>
          <w:rFonts w:ascii="Arial" w:hAnsi="Arial" w:cs="Arial"/>
          <w:color w:val="0D0D0D" w:themeColor="text1" w:themeTint="F2"/>
        </w:rPr>
        <w:t xml:space="preserve"> between the </w:t>
      </w:r>
      <w:r w:rsidR="00F03E59" w:rsidRPr="00A13612">
        <w:rPr>
          <w:rFonts w:ascii="Arial" w:hAnsi="Arial" w:cs="Arial"/>
          <w:color w:val="0D0D0D" w:themeColor="text1" w:themeTint="F2"/>
        </w:rPr>
        <w:t xml:space="preserve">model </w:t>
      </w:r>
      <w:r w:rsidRPr="00A13612">
        <w:rPr>
          <w:rFonts w:ascii="Arial" w:hAnsi="Arial" w:cs="Arial"/>
          <w:color w:val="0D0D0D" w:themeColor="text1" w:themeTint="F2"/>
        </w:rPr>
        <w:t xml:space="preserve">variables. Following the cointegration test, the short-run estimates </w:t>
      </w:r>
      <w:r w:rsidR="00F03E59" w:rsidRPr="00A13612">
        <w:rPr>
          <w:rFonts w:ascii="Arial" w:hAnsi="Arial" w:cs="Arial"/>
          <w:color w:val="0D0D0D" w:themeColor="text1" w:themeTint="F2"/>
        </w:rPr>
        <w:t xml:space="preserve">in the ARDL-Bounds procedure </w:t>
      </w:r>
      <w:r w:rsidRPr="00A13612">
        <w:rPr>
          <w:rFonts w:ascii="Arial" w:hAnsi="Arial" w:cs="Arial"/>
          <w:color w:val="0D0D0D" w:themeColor="text1" w:themeTint="F2"/>
        </w:rPr>
        <w:t xml:space="preserve">can be estimated </w:t>
      </w:r>
      <w:r w:rsidR="00F03E59" w:rsidRPr="00A13612">
        <w:rPr>
          <w:rFonts w:ascii="Arial" w:hAnsi="Arial" w:cs="Arial"/>
          <w:color w:val="0D0D0D" w:themeColor="text1" w:themeTint="F2"/>
        </w:rPr>
        <w:t xml:space="preserve">using an </w:t>
      </w:r>
      <w:r w:rsidRPr="00A13612">
        <w:rPr>
          <w:rFonts w:ascii="Arial" w:hAnsi="Arial" w:cs="Arial"/>
          <w:color w:val="0D0D0D" w:themeColor="text1" w:themeTint="F2"/>
        </w:rPr>
        <w:t xml:space="preserve">error correction equation. </w:t>
      </w:r>
    </w:p>
    <w:p w14:paraId="6BC1C79E" w14:textId="77777777" w:rsidR="004E5219" w:rsidRPr="00A13612" w:rsidRDefault="004E5219" w:rsidP="004E5219">
      <w:pPr>
        <w:jc w:val="both"/>
        <w:rPr>
          <w:rFonts w:ascii="Arial" w:hAnsi="Arial" w:cs="Arial"/>
          <w:color w:val="0D0D0D" w:themeColor="text1" w:themeTint="F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5"/>
        <w:gridCol w:w="523"/>
      </w:tblGrid>
      <w:tr w:rsidR="00606910" w:rsidRPr="00A13612" w14:paraId="4A82AA7C" w14:textId="77777777" w:rsidTr="00713784">
        <w:tc>
          <w:tcPr>
            <w:tcW w:w="8815" w:type="dxa"/>
            <w:vAlign w:val="center"/>
          </w:tcPr>
          <w:p w14:paraId="08532C4C" w14:textId="77777777" w:rsidR="00606910" w:rsidRPr="00A13612" w:rsidRDefault="00606910" w:rsidP="00713784">
            <w:pPr>
              <w:jc w:val="both"/>
              <w:rPr>
                <w:rFonts w:ascii="Arial" w:hAnsi="Arial" w:cs="Arial"/>
                <w:color w:val="0D0D0D" w:themeColor="text1" w:themeTint="F2"/>
                <w:sz w:val="20"/>
                <w:szCs w:val="20"/>
              </w:rPr>
            </w:pPr>
            <m:oMathPara>
              <m:oMath>
                <m:r>
                  <w:rPr>
                    <w:rFonts w:ascii="Cambria Math" w:hAnsi="Cambria Math" w:cs="Arial"/>
                    <w:color w:val="0D0D0D" w:themeColor="text1" w:themeTint="F2"/>
                    <w:sz w:val="20"/>
                    <w:szCs w:val="20"/>
                  </w:rPr>
                  <w:lastRenderedPageBreak/>
                  <m:t>gd</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pg</m:t>
                    </m:r>
                  </m:e>
                  <m:sub>
                    <m:r>
                      <w:rPr>
                        <w:rFonts w:ascii="Cambria Math" w:hAnsi="Cambria Math" w:cs="Arial"/>
                        <w:color w:val="0D0D0D" w:themeColor="text1" w:themeTint="F2"/>
                        <w:sz w:val="20"/>
                        <w:szCs w:val="20"/>
                      </w:rPr>
                      <m:t>t</m:t>
                    </m:r>
                  </m:sub>
                </m:sSub>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0</m:t>
                    </m:r>
                  </m:sub>
                </m:sSub>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1</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i=0</m:t>
                    </m:r>
                  </m:sub>
                  <m:sup>
                    <m:r>
                      <w:rPr>
                        <w:rFonts w:ascii="Cambria Math" w:hAnsi="Cambria Math" w:cs="Arial"/>
                        <w:color w:val="0D0D0D" w:themeColor="text1" w:themeTint="F2"/>
                        <w:sz w:val="20"/>
                        <w:szCs w:val="20"/>
                      </w:rPr>
                      <m:t>p</m:t>
                    </m:r>
                  </m:sup>
                  <m:e>
                    <m:r>
                      <w:rPr>
                        <w:rFonts w:ascii="Cambria Math" w:hAnsi="Cambria Math" w:cs="Arial"/>
                        <w:color w:val="0D0D0D" w:themeColor="text1" w:themeTint="F2"/>
                        <w:sz w:val="20"/>
                        <w:szCs w:val="20"/>
                      </w:rPr>
                      <m:t>∆gd</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pg</m:t>
                        </m:r>
                      </m:e>
                      <m:sub>
                        <m:r>
                          <w:rPr>
                            <w:rFonts w:ascii="Cambria Math" w:hAnsi="Cambria Math" w:cs="Arial"/>
                            <w:color w:val="0D0D0D" w:themeColor="text1" w:themeTint="F2"/>
                            <w:sz w:val="20"/>
                            <w:szCs w:val="20"/>
                          </w:rPr>
                          <m:t>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2</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i=0</m:t>
                    </m:r>
                  </m:sub>
                  <m:sup>
                    <m:r>
                      <w:rPr>
                        <w:rFonts w:ascii="Cambria Math" w:hAnsi="Cambria Math" w:cs="Arial"/>
                        <w:color w:val="0D0D0D" w:themeColor="text1" w:themeTint="F2"/>
                        <w:sz w:val="20"/>
                        <w:szCs w:val="20"/>
                      </w:rPr>
                      <m:t>q</m:t>
                    </m:r>
                  </m:sup>
                  <m:e>
                    <m:r>
                      <w:rPr>
                        <w:rFonts w:ascii="Cambria Math" w:hAnsi="Cambria Math" w:cs="Arial"/>
                        <w:color w:val="0D0D0D" w:themeColor="text1" w:themeTint="F2"/>
                        <w:sz w:val="20"/>
                        <w:szCs w:val="20"/>
                      </w:rPr>
                      <m:t>∆cp</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i</m:t>
                        </m:r>
                      </m:e>
                      <m:sub>
                        <m:r>
                          <w:rPr>
                            <w:rFonts w:ascii="Cambria Math" w:hAnsi="Cambria Math" w:cs="Arial"/>
                            <w:color w:val="0D0D0D" w:themeColor="text1" w:themeTint="F2"/>
                            <w:sz w:val="20"/>
                            <w:szCs w:val="20"/>
                          </w:rPr>
                          <m:t>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3</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i=0</m:t>
                    </m:r>
                  </m:sub>
                  <m:sup>
                    <m:r>
                      <w:rPr>
                        <w:rFonts w:ascii="Cambria Math" w:hAnsi="Cambria Math" w:cs="Arial"/>
                        <w:color w:val="0D0D0D" w:themeColor="text1" w:themeTint="F2"/>
                        <w:sz w:val="20"/>
                        <w:szCs w:val="20"/>
                      </w:rPr>
                      <m:t>q</m:t>
                    </m:r>
                  </m:sup>
                  <m:e>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capg</m:t>
                        </m:r>
                      </m:e>
                      <m:sub>
                        <m:r>
                          <w:rPr>
                            <w:rFonts w:ascii="Cambria Math" w:hAnsi="Cambria Math" w:cs="Arial"/>
                            <w:color w:val="0D0D0D" w:themeColor="text1" w:themeTint="F2"/>
                            <w:sz w:val="20"/>
                            <w:szCs w:val="20"/>
                          </w:rPr>
                          <m:t>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4</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i=0</m:t>
                    </m:r>
                  </m:sub>
                  <m:sup>
                    <m:r>
                      <w:rPr>
                        <w:rFonts w:ascii="Cambria Math" w:hAnsi="Cambria Math" w:cs="Arial"/>
                        <w:color w:val="0D0D0D" w:themeColor="text1" w:themeTint="F2"/>
                        <w:sz w:val="20"/>
                        <w:szCs w:val="20"/>
                      </w:rPr>
                      <m:t>q</m:t>
                    </m:r>
                  </m:sup>
                  <m:e>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∆wapg</m:t>
                        </m:r>
                      </m:e>
                      <m:sub>
                        <m:r>
                          <w:rPr>
                            <w:rFonts w:ascii="Cambria Math" w:hAnsi="Cambria Math" w:cs="Arial"/>
                            <w:color w:val="0D0D0D" w:themeColor="text1" w:themeTint="F2"/>
                            <w:sz w:val="20"/>
                            <w:szCs w:val="20"/>
                          </w:rPr>
                          <m:t>t-i</m:t>
                        </m:r>
                      </m:sub>
                    </m:sSub>
                  </m:e>
                </m:nary>
                <m:r>
                  <w:rPr>
                    <w:rFonts w:ascii="Cambria Math" w:hAnsi="Cambria Math" w:cs="Arial"/>
                    <w:color w:val="0D0D0D" w:themeColor="text1" w:themeTint="F2"/>
                    <w:sz w:val="20"/>
                    <w:szCs w:val="20"/>
                  </w:rPr>
                  <m:t>+</m:t>
                </m:r>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η</m:t>
                    </m:r>
                  </m:e>
                  <m:sub>
                    <m:r>
                      <w:rPr>
                        <w:rFonts w:ascii="Cambria Math" w:hAnsi="Cambria Math" w:cs="Arial"/>
                        <w:color w:val="0D0D0D" w:themeColor="text1" w:themeTint="F2"/>
                        <w:sz w:val="20"/>
                        <w:szCs w:val="20"/>
                      </w:rPr>
                      <m:t>5</m:t>
                    </m:r>
                  </m:sub>
                </m:sSub>
                <m:nary>
                  <m:naryPr>
                    <m:chr m:val="∑"/>
                    <m:limLoc m:val="undOvr"/>
                    <m:ctrlPr>
                      <w:rPr>
                        <w:rFonts w:ascii="Cambria Math" w:hAnsi="Cambria Math" w:cs="Arial"/>
                        <w:i/>
                        <w:color w:val="0D0D0D" w:themeColor="text1" w:themeTint="F2"/>
                        <w:sz w:val="20"/>
                        <w:szCs w:val="20"/>
                      </w:rPr>
                    </m:ctrlPr>
                  </m:naryPr>
                  <m:sub>
                    <m:r>
                      <w:rPr>
                        <w:rFonts w:ascii="Cambria Math" w:hAnsi="Cambria Math" w:cs="Arial"/>
                        <w:color w:val="0D0D0D" w:themeColor="text1" w:themeTint="F2"/>
                        <w:sz w:val="20"/>
                        <w:szCs w:val="20"/>
                      </w:rPr>
                      <m:t>i=0</m:t>
                    </m:r>
                  </m:sub>
                  <m:sup>
                    <m:r>
                      <w:rPr>
                        <w:rFonts w:ascii="Cambria Math" w:hAnsi="Cambria Math" w:cs="Arial"/>
                        <w:color w:val="0D0D0D" w:themeColor="text1" w:themeTint="F2"/>
                        <w:sz w:val="20"/>
                        <w:szCs w:val="20"/>
                      </w:rPr>
                      <m:t>q</m:t>
                    </m:r>
                  </m:sup>
                  <m:e>
                    <m:sSub>
                      <m:sSubPr>
                        <m:ctrlPr>
                          <w:rPr>
                            <w:rFonts w:ascii="Cambria Math" w:hAnsi="Cambria Math" w:cs="Arial"/>
                            <w:i/>
                            <w:color w:val="0D0D0D" w:themeColor="text1" w:themeTint="F2"/>
                            <w:sz w:val="20"/>
                            <w:szCs w:val="20"/>
                          </w:rPr>
                        </m:ctrlPr>
                      </m:sSubPr>
                      <m:e>
                        <m:r>
                          <w:rPr>
                            <w:rFonts w:ascii="Cambria Math" w:hAnsi="Cambria Math" w:cs="Arial"/>
                            <w:color w:val="0D0D0D" w:themeColor="text1" w:themeTint="F2"/>
                            <w:sz w:val="20"/>
                            <w:szCs w:val="20"/>
                          </w:rPr>
                          <m:t>∆d</m:t>
                        </m:r>
                      </m:e>
                      <m:sub>
                        <m:r>
                          <w:rPr>
                            <w:rFonts w:ascii="Cambria Math" w:hAnsi="Cambria Math" w:cs="Arial"/>
                            <w:color w:val="0D0D0D" w:themeColor="text1" w:themeTint="F2"/>
                            <w:sz w:val="20"/>
                            <w:szCs w:val="20"/>
                          </w:rPr>
                          <m:t>t-i</m:t>
                        </m:r>
                      </m:sub>
                    </m:sSub>
                  </m:e>
                </m:nary>
                <m:r>
                  <w:rPr>
                    <w:rFonts w:ascii="Cambria Math" w:hAnsi="Cambria Math" w:cs="Arial"/>
                    <w:color w:val="0D0D0D" w:themeColor="text1" w:themeTint="F2"/>
                    <w:sz w:val="20"/>
                    <w:szCs w:val="20"/>
                  </w:rPr>
                  <m:t>+</m:t>
                </m:r>
                <m:r>
                  <w:rPr>
                    <w:rFonts w:ascii="Cambria Math" w:eastAsiaTheme="minorEastAsia" w:hAnsi="Cambria Math" w:cs="Arial"/>
                    <w:color w:val="0D0D0D" w:themeColor="text1" w:themeTint="F2"/>
                    <w:sz w:val="20"/>
                    <w:szCs w:val="20"/>
                  </w:rPr>
                  <m:t>ϕEC</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M</m:t>
                    </m:r>
                  </m:e>
                  <m:sub>
                    <m:r>
                      <w:rPr>
                        <w:rFonts w:ascii="Cambria Math" w:eastAsiaTheme="minorEastAsia" w:hAnsi="Cambria Math" w:cs="Arial"/>
                        <w:color w:val="0D0D0D" w:themeColor="text1" w:themeTint="F2"/>
                        <w:sz w:val="20"/>
                        <w:szCs w:val="20"/>
                      </w:rPr>
                      <m:t>t-1</m:t>
                    </m:r>
                  </m:sub>
                </m:sSub>
                <m:r>
                  <w:rPr>
                    <w:rFonts w:ascii="Cambria Math" w:eastAsiaTheme="minorEastAsia" w:hAnsi="Cambria Math" w:cs="Arial"/>
                    <w:color w:val="0D0D0D" w:themeColor="text1" w:themeTint="F2"/>
                    <w:sz w:val="20"/>
                    <w:szCs w:val="20"/>
                  </w:rPr>
                  <m:t>+</m:t>
                </m:r>
                <m:sSub>
                  <m:sSubPr>
                    <m:ctrlPr>
                      <w:rPr>
                        <w:rFonts w:ascii="Cambria Math" w:eastAsiaTheme="minorEastAsia" w:hAnsi="Cambria Math" w:cs="Arial"/>
                        <w:i/>
                        <w:color w:val="0D0D0D" w:themeColor="text1" w:themeTint="F2"/>
                        <w:sz w:val="20"/>
                        <w:szCs w:val="20"/>
                      </w:rPr>
                    </m:ctrlPr>
                  </m:sSubPr>
                  <m:e>
                    <m:r>
                      <w:rPr>
                        <w:rFonts w:ascii="Cambria Math" w:eastAsiaTheme="minorEastAsia" w:hAnsi="Cambria Math" w:cs="Arial"/>
                        <w:color w:val="0D0D0D" w:themeColor="text1" w:themeTint="F2"/>
                        <w:sz w:val="20"/>
                        <w:szCs w:val="20"/>
                      </w:rPr>
                      <m:t>ε</m:t>
                    </m:r>
                  </m:e>
                  <m:sub>
                    <m:r>
                      <w:rPr>
                        <w:rFonts w:ascii="Cambria Math" w:eastAsiaTheme="minorEastAsia" w:hAnsi="Cambria Math" w:cs="Arial"/>
                        <w:color w:val="0D0D0D" w:themeColor="text1" w:themeTint="F2"/>
                        <w:sz w:val="20"/>
                        <w:szCs w:val="20"/>
                      </w:rPr>
                      <m:t>t</m:t>
                    </m:r>
                  </m:sub>
                </m:sSub>
              </m:oMath>
            </m:oMathPara>
          </w:p>
        </w:tc>
        <w:tc>
          <w:tcPr>
            <w:tcW w:w="535" w:type="dxa"/>
            <w:vAlign w:val="center"/>
          </w:tcPr>
          <w:p w14:paraId="79D70FB6" w14:textId="77777777" w:rsidR="00606910" w:rsidRPr="00A13612" w:rsidRDefault="00606910" w:rsidP="00713784">
            <w:pPr>
              <w:jc w:val="both"/>
              <w:rPr>
                <w:rFonts w:ascii="Arial" w:hAnsi="Arial" w:cs="Arial"/>
                <w:color w:val="0D0D0D" w:themeColor="text1" w:themeTint="F2"/>
                <w:sz w:val="20"/>
                <w:szCs w:val="20"/>
              </w:rPr>
            </w:pPr>
            <w:r w:rsidRPr="00A13612">
              <w:rPr>
                <w:rFonts w:ascii="Arial" w:hAnsi="Arial" w:cs="Arial"/>
                <w:color w:val="0D0D0D" w:themeColor="text1" w:themeTint="F2"/>
                <w:sz w:val="20"/>
                <w:szCs w:val="20"/>
              </w:rPr>
              <w:t>(5)</w:t>
            </w:r>
          </w:p>
        </w:tc>
      </w:tr>
    </w:tbl>
    <w:p w14:paraId="72552A4C" w14:textId="77777777" w:rsidR="004E5219" w:rsidRPr="00A13612" w:rsidRDefault="004E5219" w:rsidP="004E5219">
      <w:pPr>
        <w:jc w:val="both"/>
        <w:rPr>
          <w:rFonts w:ascii="Arial" w:hAnsi="Arial" w:cs="Arial"/>
          <w:color w:val="0D0D0D" w:themeColor="text1" w:themeTint="F2"/>
        </w:rPr>
      </w:pPr>
    </w:p>
    <w:p w14:paraId="11D32A25" w14:textId="5FD465E0" w:rsidR="00606910" w:rsidRPr="00A13612" w:rsidRDefault="00606910" w:rsidP="004E5219">
      <w:pPr>
        <w:jc w:val="both"/>
        <w:rPr>
          <w:rFonts w:ascii="Arial" w:hAnsi="Arial" w:cs="Arial"/>
          <w:color w:val="0D0D0D" w:themeColor="text1" w:themeTint="F2"/>
        </w:rPr>
      </w:pPr>
      <w:r w:rsidRPr="00A13612">
        <w:rPr>
          <w:rFonts w:ascii="Arial" w:hAnsi="Arial" w:cs="Arial"/>
          <w:color w:val="0D0D0D" w:themeColor="text1" w:themeTint="F2"/>
        </w:rPr>
        <w:t>where the ECM parameter (</w:t>
      </w:r>
      <m:oMath>
        <m:r>
          <w:rPr>
            <w:rFonts w:ascii="Cambria Math" w:eastAsiaTheme="minorEastAsia" w:hAnsi="Cambria Math" w:cs="Arial"/>
            <w:color w:val="0D0D0D" w:themeColor="text1" w:themeTint="F2"/>
          </w:rPr>
          <m:t>ϕ</m:t>
        </m:r>
      </m:oMath>
      <w:r w:rsidRPr="00A13612">
        <w:rPr>
          <w:rFonts w:ascii="Arial" w:hAnsi="Arial" w:cs="Arial"/>
          <w:color w:val="0D0D0D" w:themeColor="text1" w:themeTint="F2"/>
        </w:rPr>
        <w:t xml:space="preserve">) represents the pace of adjustment given any shocks. There is a long-run equilibrium if the estimated parameters of </w:t>
      </w:r>
      <m:oMath>
        <m:r>
          <w:rPr>
            <w:rFonts w:ascii="Cambria Math" w:eastAsiaTheme="minorEastAsia" w:hAnsi="Cambria Math" w:cs="Arial"/>
            <w:color w:val="0D0D0D" w:themeColor="text1" w:themeTint="F2"/>
          </w:rPr>
          <m:t>ϕ</m:t>
        </m:r>
      </m:oMath>
      <w:r w:rsidRPr="00A13612">
        <w:rPr>
          <w:rFonts w:ascii="Arial" w:hAnsi="Arial" w:cs="Arial"/>
          <w:color w:val="0D0D0D" w:themeColor="text1" w:themeTint="F2"/>
        </w:rPr>
        <w:t xml:space="preserve"> varies between 0 and -2. To prove reliable findings, the diagnostic and stability tests are integrated following the application of the ARDL-Bounds test. </w:t>
      </w:r>
    </w:p>
    <w:p w14:paraId="6D0491C6" w14:textId="77777777" w:rsidR="00606910" w:rsidRPr="00A13612" w:rsidRDefault="00606910" w:rsidP="00606910">
      <w:pPr>
        <w:pStyle w:val="Body"/>
        <w:spacing w:after="0"/>
        <w:rPr>
          <w:rFonts w:ascii="Arial" w:eastAsia="Calibri" w:hAnsi="Arial" w:cs="Arial"/>
          <w:szCs w:val="22"/>
        </w:rPr>
      </w:pPr>
    </w:p>
    <w:p w14:paraId="412CB3CF" w14:textId="5AE7CEA4" w:rsidR="00790ADA" w:rsidRPr="00A13612" w:rsidRDefault="00606910" w:rsidP="00441B6F">
      <w:pPr>
        <w:pStyle w:val="Body"/>
        <w:spacing w:after="0"/>
        <w:rPr>
          <w:rFonts w:ascii="Arial" w:eastAsia="Calibri" w:hAnsi="Arial" w:cs="Arial"/>
          <w:szCs w:val="22"/>
        </w:rPr>
      </w:pPr>
      <w:r w:rsidRPr="00A13612">
        <w:rPr>
          <w:rFonts w:ascii="Arial" w:eastAsia="Calibri" w:hAnsi="Arial" w:cs="Arial"/>
          <w:szCs w:val="22"/>
        </w:rPr>
        <w:t xml:space="preserve">In addition to ARDL, this study integrates cause-and-effect analysis by employing the Toda-Yamamoto (TY) test. The advantages of the TY test are that it remains valid regardless of the integration order of the variables involved (stationary or non-stationary variables) </w:t>
      </w:r>
      <w:r w:rsidRPr="00A13612">
        <w:rPr>
          <w:rFonts w:ascii="Arial" w:eastAsia="Calibri" w:hAnsi="Arial" w:cs="Arial"/>
          <w:szCs w:val="22"/>
        </w:rPr>
        <w:fldChar w:fldCharType="begin" w:fldLock="1"/>
      </w:r>
      <w:r w:rsidRPr="00A13612">
        <w:rPr>
          <w:rFonts w:ascii="Arial" w:eastAsia="Calibri" w:hAnsi="Arial" w:cs="Arial"/>
          <w:szCs w:val="22"/>
        </w:rPr>
        <w:instrText>ADDIN CSL_CITATION {"citationItems":[{"id":"ITEM-1","itemData":{"author":[{"dropping-particle":"","family":"Toda","given":"Hiro Y","non-dropping-particle":"","parse-names":false,"suffix":""},{"dropping-particle":"","family":"Yamamoto","given":"Taku","non-dropping-particle":"","parse-names":false,"suffix":""}],"container-title":"Journal of Econometrics","id":"ITEM-1","issue":"1-2","issued":{"date-parts":[["1995"]]},"page":"225-250","title":"Statistical inference in vector autoregressions with possibly integrated processes","type":"article-journal","volume":"66"},"uris":["http://www.mendeley.com/documents/?uuid=7566981a-12ab-4dcb-8578-b0a541dc349f"]}],"mendeley":{"formattedCitation":"(Toda &amp; Yamamoto, 1995)","plainTextFormattedCitation":"(Toda &amp; Yamamoto, 1995)","previouslyFormattedCitation":"(Toda &amp; Yamamoto, 1995)"},"properties":{"noteIndex":0},"schema":"https://github.com/citation-style-language/schema/raw/master/csl-citation.json"}</w:instrText>
      </w:r>
      <w:r w:rsidRPr="00A13612">
        <w:rPr>
          <w:rFonts w:ascii="Arial" w:eastAsia="Calibri" w:hAnsi="Arial" w:cs="Arial"/>
          <w:szCs w:val="22"/>
        </w:rPr>
        <w:fldChar w:fldCharType="separate"/>
      </w:r>
      <w:r w:rsidRPr="00A13612">
        <w:rPr>
          <w:rFonts w:ascii="Arial" w:eastAsia="Calibri" w:hAnsi="Arial" w:cs="Arial"/>
          <w:noProof/>
          <w:szCs w:val="22"/>
        </w:rPr>
        <w:t>(Toda &amp; Yamamoto, 1995)</w:t>
      </w:r>
      <w:r w:rsidRPr="00A13612">
        <w:rPr>
          <w:rFonts w:ascii="Arial" w:eastAsia="Calibri" w:hAnsi="Arial" w:cs="Arial"/>
          <w:szCs w:val="22"/>
        </w:rPr>
        <w:fldChar w:fldCharType="end"/>
      </w:r>
      <w:r w:rsidRPr="00A13612">
        <w:rPr>
          <w:rFonts w:ascii="Arial" w:eastAsia="Calibri" w:hAnsi="Arial" w:cs="Arial"/>
          <w:szCs w:val="22"/>
        </w:rPr>
        <w:t>. For estimation process, the TY test relies on the augmented version of the Vector Autoregression (VAR) model. It combines the maximum order of integration (</w:t>
      </w:r>
      <w:proofErr w:type="spellStart"/>
      <w:r w:rsidRPr="00A13612">
        <w:rPr>
          <w:rFonts w:ascii="Arial" w:eastAsia="Calibri" w:hAnsi="Arial" w:cs="Arial"/>
          <w:szCs w:val="22"/>
        </w:rPr>
        <w:t>dmax</w:t>
      </w:r>
      <w:proofErr w:type="spellEnd"/>
      <w:r w:rsidRPr="00A13612">
        <w:rPr>
          <w:rFonts w:ascii="Arial" w:eastAsia="Calibri" w:hAnsi="Arial" w:cs="Arial"/>
          <w:szCs w:val="22"/>
        </w:rPr>
        <w:t xml:space="preserve">) and the optimal lag length (k). </w:t>
      </w:r>
    </w:p>
    <w:p w14:paraId="78C2078B" w14:textId="77777777" w:rsidR="00790ADA" w:rsidRPr="00A13612" w:rsidRDefault="00790ADA" w:rsidP="00441B6F">
      <w:pPr>
        <w:pStyle w:val="Body"/>
        <w:spacing w:after="0"/>
        <w:rPr>
          <w:rFonts w:ascii="Arial" w:hAnsi="Arial" w:cs="Arial"/>
        </w:rPr>
      </w:pPr>
    </w:p>
    <w:p w14:paraId="46A84FD0" w14:textId="77777777" w:rsidR="00902823" w:rsidRPr="00A13612" w:rsidRDefault="00000F8F" w:rsidP="00441B6F">
      <w:pPr>
        <w:pStyle w:val="Head1"/>
        <w:spacing w:after="0"/>
        <w:jc w:val="both"/>
        <w:rPr>
          <w:rFonts w:ascii="Arial" w:hAnsi="Arial" w:cs="Arial"/>
        </w:rPr>
      </w:pPr>
      <w:r w:rsidRPr="00A13612">
        <w:rPr>
          <w:rFonts w:ascii="Arial" w:hAnsi="Arial" w:cs="Arial"/>
        </w:rPr>
        <w:t>3</w:t>
      </w:r>
      <w:r w:rsidR="00902823" w:rsidRPr="00A13612">
        <w:rPr>
          <w:rFonts w:ascii="Arial" w:hAnsi="Arial" w:cs="Arial"/>
        </w:rPr>
        <w:t xml:space="preserve">. </w:t>
      </w:r>
      <w:r w:rsidRPr="00A13612">
        <w:rPr>
          <w:rFonts w:ascii="Arial" w:hAnsi="Arial" w:cs="Arial"/>
        </w:rPr>
        <w:t>results and discussion</w:t>
      </w:r>
    </w:p>
    <w:p w14:paraId="0A5DDA0E" w14:textId="77777777" w:rsidR="00790ADA" w:rsidRPr="00A13612" w:rsidRDefault="00790ADA" w:rsidP="00441B6F">
      <w:pPr>
        <w:pStyle w:val="Body"/>
        <w:spacing w:after="0"/>
        <w:rPr>
          <w:rFonts w:ascii="Arial" w:hAnsi="Arial" w:cs="Arial"/>
        </w:rPr>
      </w:pPr>
    </w:p>
    <w:p w14:paraId="57215979" w14:textId="4DC5BCF1" w:rsidR="00C8170F" w:rsidRPr="00A13612" w:rsidRDefault="00C8170F" w:rsidP="00C8170F">
      <w:pPr>
        <w:pStyle w:val="Body"/>
        <w:spacing w:after="0"/>
        <w:rPr>
          <w:rFonts w:ascii="Arial" w:hAnsi="Arial" w:cs="Arial"/>
        </w:rPr>
      </w:pPr>
      <w:r w:rsidRPr="00A13612">
        <w:rPr>
          <w:rFonts w:ascii="Arial" w:hAnsi="Arial" w:cs="Arial"/>
        </w:rPr>
        <w:t xml:space="preserve">To commence with results and discussions, Table 1 displays the descriptive statistics of the model variables. Focusing on </w:t>
      </w:r>
      <w:proofErr w:type="spellStart"/>
      <w:r w:rsidRPr="00A13612">
        <w:rPr>
          <w:rFonts w:ascii="Arial" w:hAnsi="Arial" w:cs="Arial"/>
        </w:rPr>
        <w:t>varaibles</w:t>
      </w:r>
      <w:proofErr w:type="spellEnd"/>
      <w:r w:rsidRPr="00A13612">
        <w:rPr>
          <w:rFonts w:ascii="Arial" w:hAnsi="Arial" w:cs="Arial"/>
        </w:rPr>
        <w:t xml:space="preserve"> of interest, the maximum value of economic growth is 8.22% while the minimum value is -13,13%, showing a significant gap. This evidence indicates that, from 1985 to 2023, the Indonesian economy encompassed phases of both recession and economic boom. As shown in Figure 1, the lowest GDP growth was recorded in </w:t>
      </w:r>
      <w:r w:rsidR="00F03E59" w:rsidRPr="00A13612">
        <w:rPr>
          <w:rFonts w:ascii="Arial" w:hAnsi="Arial" w:cs="Arial"/>
        </w:rPr>
        <w:t xml:space="preserve">1987 and </w:t>
      </w:r>
      <w:r w:rsidRPr="00A13612">
        <w:rPr>
          <w:rFonts w:ascii="Arial" w:hAnsi="Arial" w:cs="Arial"/>
        </w:rPr>
        <w:t xml:space="preserve">1998, </w:t>
      </w:r>
      <w:r w:rsidR="00F03E59" w:rsidRPr="00A13612">
        <w:rPr>
          <w:rFonts w:ascii="Arial" w:hAnsi="Arial" w:cs="Arial"/>
        </w:rPr>
        <w:t>an account to</w:t>
      </w:r>
      <w:r w:rsidRPr="00A13612">
        <w:rPr>
          <w:rFonts w:ascii="Arial" w:hAnsi="Arial" w:cs="Arial"/>
        </w:rPr>
        <w:t xml:space="preserve"> </w:t>
      </w:r>
      <w:r w:rsidR="00F03E59" w:rsidRPr="00A13612">
        <w:rPr>
          <w:rFonts w:ascii="Arial" w:hAnsi="Arial" w:cs="Arial"/>
        </w:rPr>
        <w:t xml:space="preserve">the </w:t>
      </w:r>
      <w:r w:rsidRPr="00A13612">
        <w:rPr>
          <w:rFonts w:ascii="Arial" w:hAnsi="Arial" w:cs="Arial"/>
        </w:rPr>
        <w:t xml:space="preserve">Asian Financial Crisis. Indonesia’s economy </w:t>
      </w:r>
      <w:proofErr w:type="gramStart"/>
      <w:r w:rsidRPr="00A13612">
        <w:rPr>
          <w:rFonts w:ascii="Arial" w:hAnsi="Arial" w:cs="Arial"/>
        </w:rPr>
        <w:t>gr</w:t>
      </w:r>
      <w:r w:rsidR="00F03E59" w:rsidRPr="00A13612">
        <w:rPr>
          <w:rFonts w:ascii="Arial" w:hAnsi="Arial" w:cs="Arial"/>
        </w:rPr>
        <w:t>ow</w:t>
      </w:r>
      <w:proofErr w:type="gramEnd"/>
      <w:r w:rsidRPr="00A13612">
        <w:rPr>
          <w:rFonts w:ascii="Arial" w:hAnsi="Arial" w:cs="Arial"/>
        </w:rPr>
        <w:t xml:space="preserve"> by around 4.96% per year.</w:t>
      </w:r>
    </w:p>
    <w:p w14:paraId="635AF6DB" w14:textId="77777777" w:rsidR="00C8170F" w:rsidRPr="00A13612" w:rsidRDefault="00C8170F" w:rsidP="00C8170F">
      <w:pPr>
        <w:pStyle w:val="Body"/>
        <w:spacing w:after="0"/>
        <w:rPr>
          <w:rFonts w:ascii="Arial" w:hAnsi="Arial" w:cs="Arial"/>
        </w:rPr>
      </w:pPr>
    </w:p>
    <w:p w14:paraId="00833140" w14:textId="147CCCAD" w:rsidR="00C8170F" w:rsidRPr="00A13612" w:rsidRDefault="00C8170F" w:rsidP="00C8170F">
      <w:pPr>
        <w:pStyle w:val="Body"/>
        <w:spacing w:after="0"/>
        <w:rPr>
          <w:rFonts w:ascii="Arial" w:hAnsi="Arial" w:cs="Arial"/>
        </w:rPr>
      </w:pPr>
      <w:r w:rsidRPr="00A13612">
        <w:rPr>
          <w:rFonts w:ascii="Arial" w:hAnsi="Arial" w:cs="Arial"/>
        </w:rPr>
        <w:t>The value of</w:t>
      </w:r>
      <w:r w:rsidR="00276991" w:rsidRPr="00A13612">
        <w:rPr>
          <w:rFonts w:ascii="Arial" w:hAnsi="Arial" w:cs="Arial"/>
        </w:rPr>
        <w:t xml:space="preserve"> CPI </w:t>
      </w:r>
      <w:r w:rsidRPr="00A13612">
        <w:rPr>
          <w:rFonts w:ascii="Arial" w:hAnsi="Arial" w:cs="Arial"/>
        </w:rPr>
        <w:t>varies between 1.56% and 58.45%</w:t>
      </w:r>
      <w:r w:rsidR="00276991" w:rsidRPr="00A13612">
        <w:rPr>
          <w:rFonts w:ascii="Arial" w:hAnsi="Arial" w:cs="Arial"/>
        </w:rPr>
        <w:t xml:space="preserve"> for the period 1985-2023.</w:t>
      </w:r>
      <w:r w:rsidRPr="00A13612">
        <w:rPr>
          <w:rFonts w:ascii="Arial" w:hAnsi="Arial" w:cs="Arial"/>
        </w:rPr>
        <w:t xml:space="preserve"> This </w:t>
      </w:r>
      <w:r w:rsidR="00276991" w:rsidRPr="00A13612">
        <w:rPr>
          <w:rFonts w:ascii="Arial" w:hAnsi="Arial" w:cs="Arial"/>
        </w:rPr>
        <w:t>implies</w:t>
      </w:r>
      <w:r w:rsidRPr="00A13612">
        <w:rPr>
          <w:rFonts w:ascii="Arial" w:hAnsi="Arial" w:cs="Arial"/>
        </w:rPr>
        <w:t xml:space="preserve"> that Indonesia experienced both low and hyperinflation</w:t>
      </w:r>
      <w:r w:rsidR="00276991" w:rsidRPr="00A13612">
        <w:rPr>
          <w:rFonts w:ascii="Arial" w:hAnsi="Arial" w:cs="Arial"/>
        </w:rPr>
        <w:t xml:space="preserve">. </w:t>
      </w:r>
      <w:r w:rsidRPr="00A13612">
        <w:rPr>
          <w:rFonts w:ascii="Arial" w:hAnsi="Arial" w:cs="Arial"/>
        </w:rPr>
        <w:t>CPI reached its lowest level</w:t>
      </w:r>
      <w:r w:rsidR="00276991" w:rsidRPr="00A13612">
        <w:rPr>
          <w:rFonts w:ascii="Arial" w:hAnsi="Arial" w:cs="Arial"/>
        </w:rPr>
        <w:t xml:space="preserve"> during the C</w:t>
      </w:r>
      <w:r w:rsidR="00F03E59" w:rsidRPr="00A13612">
        <w:rPr>
          <w:rFonts w:ascii="Arial" w:hAnsi="Arial" w:cs="Arial"/>
        </w:rPr>
        <w:t>OVID-19 pandemic in 2021</w:t>
      </w:r>
      <w:r w:rsidR="00276991" w:rsidRPr="00A13612">
        <w:rPr>
          <w:rFonts w:ascii="Arial" w:hAnsi="Arial" w:cs="Arial"/>
        </w:rPr>
        <w:t>.</w:t>
      </w:r>
      <w:r w:rsidRPr="00A13612">
        <w:rPr>
          <w:rFonts w:ascii="Arial" w:hAnsi="Arial" w:cs="Arial"/>
        </w:rPr>
        <w:t xml:space="preserve"> Conversely, the highest </w:t>
      </w:r>
      <w:r w:rsidR="00F03E59" w:rsidRPr="00A13612">
        <w:rPr>
          <w:rFonts w:ascii="Arial" w:hAnsi="Arial" w:cs="Arial"/>
        </w:rPr>
        <w:t>CPI rates</w:t>
      </w:r>
      <w:r w:rsidRPr="00A13612">
        <w:rPr>
          <w:rFonts w:ascii="Arial" w:hAnsi="Arial" w:cs="Arial"/>
        </w:rPr>
        <w:t xml:space="preserve"> were </w:t>
      </w:r>
      <w:r w:rsidR="00F03E59" w:rsidRPr="00A13612">
        <w:rPr>
          <w:rFonts w:ascii="Arial" w:hAnsi="Arial" w:cs="Arial"/>
        </w:rPr>
        <w:t>found</w:t>
      </w:r>
      <w:r w:rsidRPr="00A13612">
        <w:rPr>
          <w:rFonts w:ascii="Arial" w:hAnsi="Arial" w:cs="Arial"/>
        </w:rPr>
        <w:t xml:space="preserve"> during the Asian Financial Crisis</w:t>
      </w:r>
      <w:r w:rsidR="00F03E59" w:rsidRPr="00A13612">
        <w:rPr>
          <w:rFonts w:ascii="Arial" w:hAnsi="Arial" w:cs="Arial"/>
        </w:rPr>
        <w:t xml:space="preserve"> of 1997-</w:t>
      </w:r>
      <w:r w:rsidRPr="00A13612">
        <w:rPr>
          <w:rFonts w:ascii="Arial" w:hAnsi="Arial" w:cs="Arial"/>
        </w:rPr>
        <w:t xml:space="preserve">1998. </w:t>
      </w:r>
      <w:r w:rsidR="00276991" w:rsidRPr="00A13612">
        <w:rPr>
          <w:rFonts w:ascii="Arial" w:hAnsi="Arial" w:cs="Arial"/>
        </w:rPr>
        <w:t>CPI tend to exhibit negative trend</w:t>
      </w:r>
      <w:r w:rsidR="00F03E59" w:rsidRPr="00A13612">
        <w:rPr>
          <w:rFonts w:ascii="Arial" w:hAnsi="Arial" w:cs="Arial"/>
        </w:rPr>
        <w:t xml:space="preserve"> (downward sloping)</w:t>
      </w:r>
      <w:r w:rsidR="00276991" w:rsidRPr="00A13612">
        <w:rPr>
          <w:rFonts w:ascii="Arial" w:hAnsi="Arial" w:cs="Arial"/>
        </w:rPr>
        <w:t xml:space="preserve"> after the Asian Financial Crisis. </w:t>
      </w:r>
      <w:r w:rsidRPr="00A13612">
        <w:rPr>
          <w:rFonts w:ascii="Arial" w:hAnsi="Arial" w:cs="Arial"/>
        </w:rPr>
        <w:t>Indonesia experienced an average CPI of 8.75%</w:t>
      </w:r>
      <w:r w:rsidR="00F03E59" w:rsidRPr="00A13612">
        <w:rPr>
          <w:rFonts w:ascii="Arial" w:hAnsi="Arial" w:cs="Arial"/>
        </w:rPr>
        <w:t xml:space="preserve">. In terms of control variables, </w:t>
      </w:r>
      <w:r w:rsidR="001531CF" w:rsidRPr="00A13612">
        <w:rPr>
          <w:rFonts w:ascii="Arial" w:hAnsi="Arial" w:cs="Arial"/>
        </w:rPr>
        <w:t xml:space="preserve">working-age population growth </w:t>
      </w:r>
      <w:proofErr w:type="spellStart"/>
      <w:r w:rsidR="001531CF" w:rsidRPr="00A13612">
        <w:rPr>
          <w:rFonts w:ascii="Arial" w:hAnsi="Arial" w:cs="Arial"/>
        </w:rPr>
        <w:t>veries</w:t>
      </w:r>
      <w:proofErr w:type="spellEnd"/>
      <w:r w:rsidR="001531CF" w:rsidRPr="00A13612">
        <w:rPr>
          <w:rFonts w:ascii="Arial" w:hAnsi="Arial" w:cs="Arial"/>
        </w:rPr>
        <w:t xml:space="preserve"> between 0.97% and 2.945, whereas gross capital formation </w:t>
      </w:r>
      <w:proofErr w:type="gramStart"/>
      <w:r w:rsidR="001531CF" w:rsidRPr="00A13612">
        <w:rPr>
          <w:rFonts w:ascii="Arial" w:hAnsi="Arial" w:cs="Arial"/>
        </w:rPr>
        <w:t>exhibit</w:t>
      </w:r>
      <w:proofErr w:type="gramEnd"/>
      <w:r w:rsidR="001531CF" w:rsidRPr="00A13612">
        <w:rPr>
          <w:rFonts w:ascii="Arial" w:hAnsi="Arial" w:cs="Arial"/>
        </w:rPr>
        <w:t xml:space="preserve"> significant gap, spanning between -33.01% and 16.74%</w:t>
      </w:r>
    </w:p>
    <w:p w14:paraId="21C22BCB" w14:textId="77777777" w:rsidR="00C8170F" w:rsidRPr="00A13612" w:rsidRDefault="00C8170F" w:rsidP="00441B6F">
      <w:pPr>
        <w:pStyle w:val="Body"/>
        <w:spacing w:after="0"/>
        <w:rPr>
          <w:rFonts w:ascii="Arial" w:hAnsi="Arial" w:cs="Arial"/>
        </w:rPr>
      </w:pPr>
    </w:p>
    <w:p w14:paraId="4D830228" w14:textId="3539FDC9" w:rsidR="00863BD3" w:rsidRPr="00A13612" w:rsidRDefault="009500A6" w:rsidP="00441B6F">
      <w:pPr>
        <w:tabs>
          <w:tab w:val="left" w:pos="1080"/>
        </w:tabs>
        <w:jc w:val="both"/>
        <w:rPr>
          <w:rFonts w:ascii="Arial" w:hAnsi="Arial" w:cs="Arial"/>
          <w:b/>
        </w:rPr>
      </w:pPr>
      <w:r w:rsidRPr="00A13612">
        <w:rPr>
          <w:rFonts w:ascii="Arial" w:hAnsi="Arial" w:cs="Arial"/>
          <w:b/>
        </w:rPr>
        <w:t>Table 1.</w:t>
      </w:r>
      <w:r w:rsidR="005B7238" w:rsidRPr="00A13612">
        <w:rPr>
          <w:rFonts w:ascii="Arial" w:hAnsi="Arial" w:cs="Arial"/>
          <w:b/>
        </w:rPr>
        <w:t xml:space="preserve"> </w:t>
      </w:r>
      <w:r w:rsidR="00A31135" w:rsidRPr="00A13612">
        <w:rPr>
          <w:rFonts w:ascii="Arial" w:hAnsi="Arial" w:cs="Arial"/>
          <w:b/>
        </w:rPr>
        <w:t>Descriptive Statistics</w:t>
      </w:r>
    </w:p>
    <w:p w14:paraId="35F6A5C7" w14:textId="77777777" w:rsidR="00863BD3" w:rsidRPr="00A13612" w:rsidRDefault="00863BD3" w:rsidP="00441B6F">
      <w:pPr>
        <w:tabs>
          <w:tab w:val="left" w:pos="1080"/>
        </w:tabs>
        <w:jc w:val="both"/>
        <w:rPr>
          <w:rFonts w:ascii="Arial" w:hAnsi="Arial" w:cs="Arial"/>
          <w:b/>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053"/>
        <w:gridCol w:w="1898"/>
        <w:gridCol w:w="1491"/>
        <w:gridCol w:w="1491"/>
        <w:gridCol w:w="1491"/>
      </w:tblGrid>
      <w:tr w:rsidR="00997F1A" w:rsidRPr="00A13612" w14:paraId="7B9FEBD3" w14:textId="5586BCC5" w:rsidTr="006E68EA">
        <w:trPr>
          <w:jc w:val="center"/>
        </w:trPr>
        <w:tc>
          <w:tcPr>
            <w:tcW w:w="2053" w:type="dxa"/>
            <w:tcBorders>
              <w:bottom w:val="single" w:sz="4" w:space="0" w:color="auto"/>
            </w:tcBorders>
            <w:vAlign w:val="bottom"/>
          </w:tcPr>
          <w:p w14:paraId="524296B0" w14:textId="2ACD913F" w:rsidR="00997F1A" w:rsidRPr="00A13612" w:rsidRDefault="00997F1A" w:rsidP="00997F1A">
            <w:pPr>
              <w:rPr>
                <w:rFonts w:ascii="Arial" w:hAnsi="Arial" w:cs="Arial"/>
                <w:b/>
                <w:bCs/>
              </w:rPr>
            </w:pPr>
          </w:p>
        </w:tc>
        <w:tc>
          <w:tcPr>
            <w:tcW w:w="1898" w:type="dxa"/>
            <w:tcBorders>
              <w:bottom w:val="single" w:sz="4" w:space="0" w:color="auto"/>
            </w:tcBorders>
            <w:vAlign w:val="bottom"/>
          </w:tcPr>
          <w:p w14:paraId="74DA73F8" w14:textId="4D7E0597" w:rsidR="00997F1A" w:rsidRPr="00A13612" w:rsidRDefault="00997F1A" w:rsidP="00997F1A">
            <w:pPr>
              <w:jc w:val="right"/>
              <w:rPr>
                <w:rFonts w:ascii="Arial" w:hAnsi="Arial" w:cs="Arial"/>
                <w:b/>
                <w:bCs/>
              </w:rPr>
            </w:pPr>
            <w:proofErr w:type="spellStart"/>
            <w:r w:rsidRPr="00A13612">
              <w:rPr>
                <w:rFonts w:ascii="Arial" w:hAnsi="Arial" w:cs="Arial"/>
              </w:rPr>
              <w:t>gdp</w:t>
            </w:r>
            <w:proofErr w:type="spellEnd"/>
          </w:p>
        </w:tc>
        <w:tc>
          <w:tcPr>
            <w:tcW w:w="1491" w:type="dxa"/>
            <w:tcBorders>
              <w:bottom w:val="single" w:sz="4" w:space="0" w:color="auto"/>
            </w:tcBorders>
            <w:vAlign w:val="bottom"/>
          </w:tcPr>
          <w:p w14:paraId="58E8A435" w14:textId="62DEE7A2" w:rsidR="00997F1A" w:rsidRPr="00A13612" w:rsidRDefault="00997F1A" w:rsidP="00997F1A">
            <w:pPr>
              <w:jc w:val="right"/>
              <w:rPr>
                <w:rFonts w:ascii="Arial" w:hAnsi="Arial" w:cs="Arial"/>
                <w:b/>
                <w:bCs/>
              </w:rPr>
            </w:pPr>
            <w:proofErr w:type="spellStart"/>
            <w:r w:rsidRPr="00A13612">
              <w:rPr>
                <w:rFonts w:ascii="Arial" w:hAnsi="Arial" w:cs="Arial"/>
              </w:rPr>
              <w:t>cap</w:t>
            </w:r>
            <w:r w:rsidR="00064CD9" w:rsidRPr="00A13612">
              <w:rPr>
                <w:rFonts w:ascii="Arial" w:hAnsi="Arial" w:cs="Arial"/>
              </w:rPr>
              <w:t>g</w:t>
            </w:r>
            <w:proofErr w:type="spellEnd"/>
          </w:p>
        </w:tc>
        <w:tc>
          <w:tcPr>
            <w:tcW w:w="1491" w:type="dxa"/>
            <w:tcBorders>
              <w:bottom w:val="single" w:sz="4" w:space="0" w:color="auto"/>
            </w:tcBorders>
            <w:vAlign w:val="bottom"/>
          </w:tcPr>
          <w:p w14:paraId="0E7C864D" w14:textId="711298DB" w:rsidR="00997F1A" w:rsidRPr="00A13612" w:rsidRDefault="00064CD9" w:rsidP="00997F1A">
            <w:pPr>
              <w:jc w:val="right"/>
              <w:rPr>
                <w:rFonts w:ascii="Arial" w:hAnsi="Arial" w:cs="Arial"/>
                <w:b/>
                <w:bCs/>
              </w:rPr>
            </w:pPr>
            <w:proofErr w:type="spellStart"/>
            <w:r w:rsidRPr="00A13612">
              <w:rPr>
                <w:rFonts w:ascii="Arial" w:hAnsi="Arial" w:cs="Arial"/>
              </w:rPr>
              <w:t>wap</w:t>
            </w:r>
            <w:r w:rsidR="00997F1A" w:rsidRPr="00A13612">
              <w:rPr>
                <w:rFonts w:ascii="Arial" w:hAnsi="Arial" w:cs="Arial"/>
              </w:rPr>
              <w:t>g</w:t>
            </w:r>
            <w:proofErr w:type="spellEnd"/>
          </w:p>
        </w:tc>
        <w:tc>
          <w:tcPr>
            <w:tcW w:w="1491" w:type="dxa"/>
            <w:tcBorders>
              <w:bottom w:val="single" w:sz="4" w:space="0" w:color="auto"/>
            </w:tcBorders>
            <w:vAlign w:val="bottom"/>
          </w:tcPr>
          <w:p w14:paraId="2D04B7D8" w14:textId="6979408D" w:rsidR="00997F1A" w:rsidRPr="00A13612" w:rsidRDefault="00997F1A" w:rsidP="00997F1A">
            <w:pPr>
              <w:jc w:val="right"/>
              <w:rPr>
                <w:rFonts w:ascii="Arial" w:hAnsi="Arial" w:cs="Arial"/>
                <w:b/>
                <w:bCs/>
              </w:rPr>
            </w:pPr>
            <w:r w:rsidRPr="00A13612">
              <w:rPr>
                <w:rFonts w:ascii="Arial" w:hAnsi="Arial" w:cs="Arial"/>
              </w:rPr>
              <w:t>cpi</w:t>
            </w:r>
          </w:p>
        </w:tc>
      </w:tr>
      <w:tr w:rsidR="00997F1A" w:rsidRPr="00A13612" w14:paraId="7FA7FF50" w14:textId="538E66C1" w:rsidTr="006E68EA">
        <w:trPr>
          <w:jc w:val="center"/>
        </w:trPr>
        <w:tc>
          <w:tcPr>
            <w:tcW w:w="2053" w:type="dxa"/>
            <w:tcBorders>
              <w:top w:val="nil"/>
              <w:bottom w:val="nil"/>
            </w:tcBorders>
            <w:vAlign w:val="bottom"/>
          </w:tcPr>
          <w:p w14:paraId="08F882B0" w14:textId="6BAE43AD" w:rsidR="00997F1A" w:rsidRPr="00A13612" w:rsidRDefault="00997F1A" w:rsidP="00997F1A">
            <w:pPr>
              <w:rPr>
                <w:rFonts w:ascii="Arial" w:hAnsi="Arial" w:cs="Arial"/>
              </w:rPr>
            </w:pPr>
            <w:r w:rsidRPr="00A13612">
              <w:rPr>
                <w:rFonts w:ascii="Arial" w:hAnsi="Arial" w:cs="Arial"/>
                <w:color w:val="000000"/>
              </w:rPr>
              <w:t>Mean</w:t>
            </w:r>
          </w:p>
        </w:tc>
        <w:tc>
          <w:tcPr>
            <w:tcW w:w="1898" w:type="dxa"/>
            <w:tcBorders>
              <w:top w:val="nil"/>
              <w:bottom w:val="nil"/>
            </w:tcBorders>
            <w:vAlign w:val="bottom"/>
          </w:tcPr>
          <w:p w14:paraId="61A12F7F" w14:textId="1767379D" w:rsidR="00997F1A" w:rsidRPr="00A13612" w:rsidRDefault="00997F1A" w:rsidP="00997F1A">
            <w:pPr>
              <w:jc w:val="right"/>
              <w:rPr>
                <w:rFonts w:ascii="Arial" w:hAnsi="Arial" w:cs="Arial"/>
              </w:rPr>
            </w:pPr>
            <w:r w:rsidRPr="00A13612">
              <w:rPr>
                <w:rFonts w:ascii="Arial" w:hAnsi="Arial" w:cs="Arial"/>
                <w:color w:val="000000"/>
              </w:rPr>
              <w:t>4.7897</w:t>
            </w:r>
          </w:p>
        </w:tc>
        <w:tc>
          <w:tcPr>
            <w:tcW w:w="1491" w:type="dxa"/>
            <w:tcBorders>
              <w:top w:val="nil"/>
              <w:bottom w:val="nil"/>
            </w:tcBorders>
            <w:vAlign w:val="bottom"/>
          </w:tcPr>
          <w:p w14:paraId="1132EA78" w14:textId="6DCD4DEF" w:rsidR="00997F1A" w:rsidRPr="00A13612" w:rsidRDefault="00997F1A" w:rsidP="00997F1A">
            <w:pPr>
              <w:jc w:val="right"/>
              <w:rPr>
                <w:rFonts w:ascii="Arial" w:hAnsi="Arial" w:cs="Arial"/>
              </w:rPr>
            </w:pPr>
            <w:r w:rsidRPr="00A13612">
              <w:rPr>
                <w:rFonts w:ascii="Arial" w:hAnsi="Arial" w:cs="Arial"/>
                <w:color w:val="000000"/>
              </w:rPr>
              <w:t>5.8754</w:t>
            </w:r>
          </w:p>
        </w:tc>
        <w:tc>
          <w:tcPr>
            <w:tcW w:w="1491" w:type="dxa"/>
            <w:tcBorders>
              <w:top w:val="nil"/>
              <w:bottom w:val="nil"/>
            </w:tcBorders>
            <w:vAlign w:val="bottom"/>
          </w:tcPr>
          <w:p w14:paraId="534B8B0B" w14:textId="7833CA19" w:rsidR="00997F1A" w:rsidRPr="00A13612" w:rsidRDefault="00997F1A" w:rsidP="00997F1A">
            <w:pPr>
              <w:jc w:val="right"/>
              <w:rPr>
                <w:rFonts w:ascii="Arial" w:hAnsi="Arial" w:cs="Arial"/>
              </w:rPr>
            </w:pPr>
            <w:r w:rsidRPr="00A13612">
              <w:rPr>
                <w:rFonts w:ascii="Arial" w:hAnsi="Arial" w:cs="Arial"/>
                <w:color w:val="000000"/>
              </w:rPr>
              <w:t>1.8533</w:t>
            </w:r>
          </w:p>
        </w:tc>
        <w:tc>
          <w:tcPr>
            <w:tcW w:w="1491" w:type="dxa"/>
            <w:tcBorders>
              <w:top w:val="nil"/>
              <w:bottom w:val="nil"/>
            </w:tcBorders>
            <w:vAlign w:val="bottom"/>
          </w:tcPr>
          <w:p w14:paraId="1908DF0B" w14:textId="75DD2015" w:rsidR="00997F1A" w:rsidRPr="00A13612" w:rsidRDefault="00997F1A" w:rsidP="00997F1A">
            <w:pPr>
              <w:jc w:val="right"/>
              <w:rPr>
                <w:rFonts w:ascii="Arial" w:hAnsi="Arial" w:cs="Arial"/>
              </w:rPr>
            </w:pPr>
            <w:r w:rsidRPr="00A13612">
              <w:rPr>
                <w:rFonts w:ascii="Arial" w:hAnsi="Arial" w:cs="Arial"/>
                <w:color w:val="000000"/>
              </w:rPr>
              <w:t>8.2861</w:t>
            </w:r>
          </w:p>
        </w:tc>
      </w:tr>
      <w:tr w:rsidR="00997F1A" w:rsidRPr="00A13612" w14:paraId="5513D394" w14:textId="0461762D" w:rsidTr="006E68EA">
        <w:trPr>
          <w:jc w:val="center"/>
        </w:trPr>
        <w:tc>
          <w:tcPr>
            <w:tcW w:w="2053" w:type="dxa"/>
            <w:tcBorders>
              <w:top w:val="nil"/>
              <w:bottom w:val="nil"/>
            </w:tcBorders>
            <w:vAlign w:val="bottom"/>
          </w:tcPr>
          <w:p w14:paraId="6AFA9AA5" w14:textId="3F24C156" w:rsidR="00997F1A" w:rsidRPr="00A13612" w:rsidRDefault="00997F1A" w:rsidP="00997F1A">
            <w:pPr>
              <w:rPr>
                <w:rFonts w:ascii="Arial" w:hAnsi="Arial" w:cs="Arial"/>
              </w:rPr>
            </w:pPr>
            <w:r w:rsidRPr="00A13612">
              <w:rPr>
                <w:rFonts w:ascii="Arial" w:hAnsi="Arial" w:cs="Arial"/>
                <w:color w:val="000000"/>
              </w:rPr>
              <w:t>Median</w:t>
            </w:r>
          </w:p>
        </w:tc>
        <w:tc>
          <w:tcPr>
            <w:tcW w:w="1898" w:type="dxa"/>
            <w:tcBorders>
              <w:top w:val="nil"/>
              <w:bottom w:val="nil"/>
            </w:tcBorders>
            <w:vAlign w:val="bottom"/>
          </w:tcPr>
          <w:p w14:paraId="0AFADD98" w14:textId="0019D5E4" w:rsidR="00997F1A" w:rsidRPr="00A13612" w:rsidRDefault="00997F1A" w:rsidP="00997F1A">
            <w:pPr>
              <w:jc w:val="right"/>
              <w:rPr>
                <w:rFonts w:ascii="Arial" w:hAnsi="Arial" w:cs="Arial"/>
              </w:rPr>
            </w:pPr>
            <w:r w:rsidRPr="00A13612">
              <w:rPr>
                <w:rFonts w:ascii="Arial" w:hAnsi="Arial" w:cs="Arial"/>
                <w:color w:val="000000"/>
              </w:rPr>
              <w:t>5.1743</w:t>
            </w:r>
          </w:p>
        </w:tc>
        <w:tc>
          <w:tcPr>
            <w:tcW w:w="1491" w:type="dxa"/>
            <w:tcBorders>
              <w:top w:val="nil"/>
              <w:bottom w:val="nil"/>
            </w:tcBorders>
            <w:vAlign w:val="bottom"/>
          </w:tcPr>
          <w:p w14:paraId="337D1399" w14:textId="7A2F308A" w:rsidR="00997F1A" w:rsidRPr="00A13612" w:rsidRDefault="00997F1A" w:rsidP="00997F1A">
            <w:pPr>
              <w:jc w:val="right"/>
              <w:rPr>
                <w:rFonts w:ascii="Arial" w:hAnsi="Arial" w:cs="Arial"/>
              </w:rPr>
            </w:pPr>
            <w:r w:rsidRPr="00A13612">
              <w:rPr>
                <w:rFonts w:ascii="Arial" w:hAnsi="Arial" w:cs="Arial"/>
                <w:color w:val="000000"/>
              </w:rPr>
              <w:t>6.4925</w:t>
            </w:r>
          </w:p>
        </w:tc>
        <w:tc>
          <w:tcPr>
            <w:tcW w:w="1491" w:type="dxa"/>
            <w:tcBorders>
              <w:top w:val="nil"/>
              <w:bottom w:val="nil"/>
            </w:tcBorders>
            <w:vAlign w:val="bottom"/>
          </w:tcPr>
          <w:p w14:paraId="77512860" w14:textId="7F661E7C" w:rsidR="00997F1A" w:rsidRPr="00A13612" w:rsidRDefault="00997F1A" w:rsidP="00997F1A">
            <w:pPr>
              <w:jc w:val="right"/>
              <w:rPr>
                <w:rFonts w:ascii="Arial" w:hAnsi="Arial" w:cs="Arial"/>
              </w:rPr>
            </w:pPr>
            <w:r w:rsidRPr="00A13612">
              <w:rPr>
                <w:rFonts w:ascii="Arial" w:hAnsi="Arial" w:cs="Arial"/>
                <w:color w:val="000000"/>
              </w:rPr>
              <w:t>1.6577</w:t>
            </w:r>
          </w:p>
        </w:tc>
        <w:tc>
          <w:tcPr>
            <w:tcW w:w="1491" w:type="dxa"/>
            <w:tcBorders>
              <w:top w:val="nil"/>
              <w:bottom w:val="nil"/>
            </w:tcBorders>
            <w:vAlign w:val="bottom"/>
          </w:tcPr>
          <w:p w14:paraId="29FF5346" w14:textId="0BAC685F" w:rsidR="00997F1A" w:rsidRPr="00A13612" w:rsidRDefault="00997F1A" w:rsidP="00997F1A">
            <w:pPr>
              <w:jc w:val="right"/>
              <w:rPr>
                <w:rFonts w:ascii="Arial" w:hAnsi="Arial" w:cs="Arial"/>
              </w:rPr>
            </w:pPr>
            <w:r w:rsidRPr="00A13612">
              <w:rPr>
                <w:rFonts w:ascii="Arial" w:hAnsi="Arial" w:cs="Arial"/>
                <w:color w:val="000000"/>
              </w:rPr>
              <w:t>6.4066</w:t>
            </w:r>
          </w:p>
        </w:tc>
      </w:tr>
      <w:tr w:rsidR="00997F1A" w:rsidRPr="00A13612" w14:paraId="3C50AADA" w14:textId="432A5D60" w:rsidTr="006E68EA">
        <w:trPr>
          <w:jc w:val="center"/>
        </w:trPr>
        <w:tc>
          <w:tcPr>
            <w:tcW w:w="2053" w:type="dxa"/>
            <w:tcBorders>
              <w:top w:val="nil"/>
              <w:bottom w:val="nil"/>
            </w:tcBorders>
            <w:vAlign w:val="bottom"/>
          </w:tcPr>
          <w:p w14:paraId="74A8B9EA" w14:textId="702CB896" w:rsidR="00997F1A" w:rsidRPr="00A13612" w:rsidRDefault="00997F1A" w:rsidP="00997F1A">
            <w:pPr>
              <w:rPr>
                <w:rFonts w:ascii="Arial" w:hAnsi="Arial" w:cs="Arial"/>
              </w:rPr>
            </w:pPr>
            <w:r w:rsidRPr="00A13612">
              <w:rPr>
                <w:rFonts w:ascii="Arial" w:hAnsi="Arial" w:cs="Arial"/>
                <w:color w:val="000000"/>
              </w:rPr>
              <w:t>Maximum</w:t>
            </w:r>
          </w:p>
        </w:tc>
        <w:tc>
          <w:tcPr>
            <w:tcW w:w="1898" w:type="dxa"/>
            <w:tcBorders>
              <w:top w:val="nil"/>
              <w:bottom w:val="nil"/>
            </w:tcBorders>
            <w:vAlign w:val="bottom"/>
          </w:tcPr>
          <w:p w14:paraId="05A8EB1F" w14:textId="7EB2358B" w:rsidR="00997F1A" w:rsidRPr="00A13612" w:rsidRDefault="00997F1A" w:rsidP="00997F1A">
            <w:pPr>
              <w:jc w:val="right"/>
              <w:rPr>
                <w:rFonts w:ascii="Arial" w:hAnsi="Arial" w:cs="Arial"/>
              </w:rPr>
            </w:pPr>
            <w:r w:rsidRPr="00A13612">
              <w:rPr>
                <w:rFonts w:ascii="Arial" w:hAnsi="Arial" w:cs="Arial"/>
                <w:color w:val="000000"/>
              </w:rPr>
              <w:t>8.2200</w:t>
            </w:r>
          </w:p>
        </w:tc>
        <w:tc>
          <w:tcPr>
            <w:tcW w:w="1491" w:type="dxa"/>
            <w:tcBorders>
              <w:top w:val="nil"/>
              <w:bottom w:val="nil"/>
            </w:tcBorders>
            <w:vAlign w:val="bottom"/>
          </w:tcPr>
          <w:p w14:paraId="345D7F63" w14:textId="15BD1ACC" w:rsidR="00997F1A" w:rsidRPr="00A13612" w:rsidRDefault="00997F1A" w:rsidP="00997F1A">
            <w:pPr>
              <w:jc w:val="right"/>
              <w:rPr>
                <w:rFonts w:ascii="Arial" w:hAnsi="Arial" w:cs="Arial"/>
              </w:rPr>
            </w:pPr>
            <w:r w:rsidRPr="00A13612">
              <w:rPr>
                <w:rFonts w:ascii="Arial" w:hAnsi="Arial" w:cs="Arial"/>
                <w:color w:val="000000"/>
              </w:rPr>
              <w:t>16.7373</w:t>
            </w:r>
          </w:p>
        </w:tc>
        <w:tc>
          <w:tcPr>
            <w:tcW w:w="1491" w:type="dxa"/>
            <w:tcBorders>
              <w:top w:val="nil"/>
              <w:bottom w:val="nil"/>
            </w:tcBorders>
            <w:vAlign w:val="bottom"/>
          </w:tcPr>
          <w:p w14:paraId="76B2E779" w14:textId="12B9BCFC" w:rsidR="00997F1A" w:rsidRPr="00A13612" w:rsidRDefault="00997F1A" w:rsidP="00997F1A">
            <w:pPr>
              <w:jc w:val="right"/>
              <w:rPr>
                <w:rFonts w:ascii="Arial" w:hAnsi="Arial" w:cs="Arial"/>
              </w:rPr>
            </w:pPr>
            <w:r w:rsidRPr="00A13612">
              <w:rPr>
                <w:rFonts w:ascii="Arial" w:hAnsi="Arial" w:cs="Arial"/>
                <w:color w:val="000000"/>
              </w:rPr>
              <w:t>2.9453</w:t>
            </w:r>
          </w:p>
        </w:tc>
        <w:tc>
          <w:tcPr>
            <w:tcW w:w="1491" w:type="dxa"/>
            <w:tcBorders>
              <w:top w:val="nil"/>
              <w:bottom w:val="nil"/>
            </w:tcBorders>
            <w:vAlign w:val="bottom"/>
          </w:tcPr>
          <w:p w14:paraId="4B4D0783" w14:textId="7A93BDD9" w:rsidR="00997F1A" w:rsidRPr="00A13612" w:rsidRDefault="00997F1A" w:rsidP="00997F1A">
            <w:pPr>
              <w:jc w:val="right"/>
              <w:rPr>
                <w:rFonts w:ascii="Arial" w:hAnsi="Arial" w:cs="Arial"/>
              </w:rPr>
            </w:pPr>
            <w:r w:rsidRPr="00A13612">
              <w:rPr>
                <w:rFonts w:ascii="Arial" w:hAnsi="Arial" w:cs="Arial"/>
                <w:color w:val="000000"/>
              </w:rPr>
              <w:t>58.4510</w:t>
            </w:r>
          </w:p>
        </w:tc>
      </w:tr>
      <w:tr w:rsidR="00997F1A" w:rsidRPr="00A13612" w14:paraId="704E00DA" w14:textId="77777777" w:rsidTr="006E68EA">
        <w:trPr>
          <w:jc w:val="center"/>
        </w:trPr>
        <w:tc>
          <w:tcPr>
            <w:tcW w:w="2053" w:type="dxa"/>
            <w:tcBorders>
              <w:top w:val="nil"/>
              <w:bottom w:val="nil"/>
            </w:tcBorders>
            <w:vAlign w:val="bottom"/>
          </w:tcPr>
          <w:p w14:paraId="3E280A50" w14:textId="10E737C7" w:rsidR="00997F1A" w:rsidRPr="00A13612" w:rsidRDefault="00997F1A" w:rsidP="00997F1A">
            <w:pPr>
              <w:rPr>
                <w:rFonts w:ascii="Arial" w:hAnsi="Arial" w:cs="Arial"/>
              </w:rPr>
            </w:pPr>
            <w:r w:rsidRPr="00A13612">
              <w:rPr>
                <w:rFonts w:ascii="Arial" w:hAnsi="Arial" w:cs="Arial"/>
                <w:color w:val="000000"/>
              </w:rPr>
              <w:t>Minimum</w:t>
            </w:r>
          </w:p>
        </w:tc>
        <w:tc>
          <w:tcPr>
            <w:tcW w:w="1898" w:type="dxa"/>
            <w:tcBorders>
              <w:top w:val="nil"/>
              <w:bottom w:val="nil"/>
            </w:tcBorders>
            <w:vAlign w:val="bottom"/>
          </w:tcPr>
          <w:p w14:paraId="21207768" w14:textId="11539035" w:rsidR="00997F1A" w:rsidRPr="00A13612" w:rsidRDefault="00997F1A" w:rsidP="00997F1A">
            <w:pPr>
              <w:jc w:val="right"/>
              <w:rPr>
                <w:rFonts w:ascii="Arial" w:hAnsi="Arial" w:cs="Arial"/>
              </w:rPr>
            </w:pPr>
            <w:r w:rsidRPr="00A13612">
              <w:rPr>
                <w:rFonts w:ascii="Arial" w:hAnsi="Arial" w:cs="Arial"/>
                <w:color w:val="000000"/>
              </w:rPr>
              <w:t>-13.1267</w:t>
            </w:r>
          </w:p>
        </w:tc>
        <w:tc>
          <w:tcPr>
            <w:tcW w:w="1491" w:type="dxa"/>
            <w:tcBorders>
              <w:top w:val="nil"/>
              <w:bottom w:val="nil"/>
            </w:tcBorders>
            <w:vAlign w:val="bottom"/>
          </w:tcPr>
          <w:p w14:paraId="75918A2C" w14:textId="4DCFFC99" w:rsidR="00997F1A" w:rsidRPr="00A13612" w:rsidRDefault="00997F1A" w:rsidP="00997F1A">
            <w:pPr>
              <w:jc w:val="right"/>
              <w:rPr>
                <w:rFonts w:ascii="Arial" w:hAnsi="Arial" w:cs="Arial"/>
              </w:rPr>
            </w:pPr>
            <w:r w:rsidRPr="00A13612">
              <w:rPr>
                <w:rFonts w:ascii="Arial" w:hAnsi="Arial" w:cs="Arial"/>
                <w:color w:val="000000"/>
              </w:rPr>
              <w:t>-33.0082</w:t>
            </w:r>
          </w:p>
        </w:tc>
        <w:tc>
          <w:tcPr>
            <w:tcW w:w="1491" w:type="dxa"/>
            <w:tcBorders>
              <w:top w:val="nil"/>
              <w:bottom w:val="nil"/>
            </w:tcBorders>
            <w:vAlign w:val="bottom"/>
          </w:tcPr>
          <w:p w14:paraId="6B6EBF6E" w14:textId="3F1A4E07" w:rsidR="00997F1A" w:rsidRPr="00A13612" w:rsidRDefault="00997F1A" w:rsidP="00997F1A">
            <w:pPr>
              <w:jc w:val="right"/>
              <w:rPr>
                <w:rFonts w:ascii="Arial" w:hAnsi="Arial" w:cs="Arial"/>
              </w:rPr>
            </w:pPr>
            <w:r w:rsidRPr="00A13612">
              <w:rPr>
                <w:rFonts w:ascii="Arial" w:hAnsi="Arial" w:cs="Arial"/>
                <w:color w:val="000000"/>
              </w:rPr>
              <w:t>0.9757</w:t>
            </w:r>
          </w:p>
        </w:tc>
        <w:tc>
          <w:tcPr>
            <w:tcW w:w="1491" w:type="dxa"/>
            <w:tcBorders>
              <w:top w:val="nil"/>
              <w:bottom w:val="nil"/>
            </w:tcBorders>
            <w:vAlign w:val="bottom"/>
          </w:tcPr>
          <w:p w14:paraId="12B2CC22" w14:textId="6F303137" w:rsidR="00997F1A" w:rsidRPr="00A13612" w:rsidRDefault="00997F1A" w:rsidP="00997F1A">
            <w:pPr>
              <w:jc w:val="right"/>
              <w:rPr>
                <w:rFonts w:ascii="Arial" w:hAnsi="Arial" w:cs="Arial"/>
              </w:rPr>
            </w:pPr>
            <w:r w:rsidRPr="00A13612">
              <w:rPr>
                <w:rFonts w:ascii="Arial" w:hAnsi="Arial" w:cs="Arial"/>
                <w:color w:val="000000"/>
              </w:rPr>
              <w:t>1.5601</w:t>
            </w:r>
          </w:p>
        </w:tc>
      </w:tr>
      <w:tr w:rsidR="00997F1A" w:rsidRPr="00A13612" w14:paraId="712976B5" w14:textId="77777777" w:rsidTr="006E68EA">
        <w:trPr>
          <w:jc w:val="center"/>
        </w:trPr>
        <w:tc>
          <w:tcPr>
            <w:tcW w:w="2053" w:type="dxa"/>
            <w:tcBorders>
              <w:top w:val="nil"/>
              <w:bottom w:val="nil"/>
            </w:tcBorders>
            <w:vAlign w:val="bottom"/>
          </w:tcPr>
          <w:p w14:paraId="05ABF429" w14:textId="26DD008B" w:rsidR="00997F1A" w:rsidRPr="00A13612" w:rsidRDefault="00997F1A" w:rsidP="00997F1A">
            <w:pPr>
              <w:rPr>
                <w:rFonts w:ascii="Arial" w:hAnsi="Arial" w:cs="Arial"/>
              </w:rPr>
            </w:pPr>
            <w:r w:rsidRPr="00A13612">
              <w:rPr>
                <w:rFonts w:ascii="Arial" w:hAnsi="Arial" w:cs="Arial"/>
                <w:color w:val="000000"/>
              </w:rPr>
              <w:t>Std. Dev.</w:t>
            </w:r>
          </w:p>
        </w:tc>
        <w:tc>
          <w:tcPr>
            <w:tcW w:w="1898" w:type="dxa"/>
            <w:tcBorders>
              <w:top w:val="nil"/>
              <w:bottom w:val="nil"/>
            </w:tcBorders>
            <w:vAlign w:val="bottom"/>
          </w:tcPr>
          <w:p w14:paraId="30C279D3" w14:textId="076AAE30" w:rsidR="00997F1A" w:rsidRPr="00A13612" w:rsidRDefault="00997F1A" w:rsidP="00997F1A">
            <w:pPr>
              <w:jc w:val="right"/>
              <w:rPr>
                <w:rFonts w:ascii="Arial" w:hAnsi="Arial" w:cs="Arial"/>
              </w:rPr>
            </w:pPr>
            <w:r w:rsidRPr="00A13612">
              <w:rPr>
                <w:rFonts w:ascii="Arial" w:hAnsi="Arial" w:cs="Arial"/>
                <w:color w:val="000000"/>
              </w:rPr>
              <w:t>3.4728</w:t>
            </w:r>
          </w:p>
        </w:tc>
        <w:tc>
          <w:tcPr>
            <w:tcW w:w="1491" w:type="dxa"/>
            <w:tcBorders>
              <w:top w:val="nil"/>
              <w:bottom w:val="nil"/>
            </w:tcBorders>
            <w:vAlign w:val="bottom"/>
          </w:tcPr>
          <w:p w14:paraId="2FC85E95" w14:textId="22A92B2D" w:rsidR="00997F1A" w:rsidRPr="00A13612" w:rsidRDefault="00997F1A" w:rsidP="00997F1A">
            <w:pPr>
              <w:jc w:val="right"/>
              <w:rPr>
                <w:rFonts w:ascii="Arial" w:hAnsi="Arial" w:cs="Arial"/>
              </w:rPr>
            </w:pPr>
            <w:r w:rsidRPr="00A13612">
              <w:rPr>
                <w:rFonts w:ascii="Arial" w:hAnsi="Arial" w:cs="Arial"/>
                <w:color w:val="000000"/>
              </w:rPr>
              <w:t>8.8219</w:t>
            </w:r>
          </w:p>
        </w:tc>
        <w:tc>
          <w:tcPr>
            <w:tcW w:w="1491" w:type="dxa"/>
            <w:tcBorders>
              <w:top w:val="nil"/>
              <w:bottom w:val="nil"/>
            </w:tcBorders>
            <w:vAlign w:val="bottom"/>
          </w:tcPr>
          <w:p w14:paraId="34E1462F" w14:textId="4EEA189E" w:rsidR="00997F1A" w:rsidRPr="00A13612" w:rsidRDefault="00997F1A" w:rsidP="00997F1A">
            <w:pPr>
              <w:jc w:val="right"/>
              <w:rPr>
                <w:rFonts w:ascii="Arial" w:hAnsi="Arial" w:cs="Arial"/>
              </w:rPr>
            </w:pPr>
            <w:r w:rsidRPr="00A13612">
              <w:rPr>
                <w:rFonts w:ascii="Arial" w:hAnsi="Arial" w:cs="Arial"/>
                <w:color w:val="000000"/>
              </w:rPr>
              <w:t>0.6027</w:t>
            </w:r>
          </w:p>
        </w:tc>
        <w:tc>
          <w:tcPr>
            <w:tcW w:w="1491" w:type="dxa"/>
            <w:tcBorders>
              <w:top w:val="nil"/>
              <w:bottom w:val="nil"/>
            </w:tcBorders>
            <w:vAlign w:val="bottom"/>
          </w:tcPr>
          <w:p w14:paraId="414E3A90" w14:textId="05BF32E1" w:rsidR="00997F1A" w:rsidRPr="00A13612" w:rsidRDefault="00997F1A" w:rsidP="00997F1A">
            <w:pPr>
              <w:jc w:val="right"/>
              <w:rPr>
                <w:rFonts w:ascii="Arial" w:hAnsi="Arial" w:cs="Arial"/>
              </w:rPr>
            </w:pPr>
            <w:r w:rsidRPr="00A13612">
              <w:rPr>
                <w:rFonts w:ascii="Arial" w:hAnsi="Arial" w:cs="Arial"/>
                <w:color w:val="000000"/>
              </w:rPr>
              <w:t>8.9819</w:t>
            </w:r>
          </w:p>
        </w:tc>
      </w:tr>
      <w:tr w:rsidR="00997F1A" w:rsidRPr="00A13612" w14:paraId="5B3FD603" w14:textId="77777777" w:rsidTr="006E68EA">
        <w:trPr>
          <w:jc w:val="center"/>
        </w:trPr>
        <w:tc>
          <w:tcPr>
            <w:tcW w:w="2053" w:type="dxa"/>
            <w:tcBorders>
              <w:top w:val="nil"/>
              <w:bottom w:val="nil"/>
            </w:tcBorders>
            <w:vAlign w:val="bottom"/>
          </w:tcPr>
          <w:p w14:paraId="3A4A5B85" w14:textId="130F8E2D" w:rsidR="00997F1A" w:rsidRPr="00A13612" w:rsidRDefault="00997F1A" w:rsidP="00997F1A">
            <w:pPr>
              <w:rPr>
                <w:rFonts w:ascii="Arial" w:hAnsi="Arial" w:cs="Arial"/>
              </w:rPr>
            </w:pPr>
            <w:r w:rsidRPr="00A13612">
              <w:rPr>
                <w:rFonts w:ascii="Arial" w:hAnsi="Arial" w:cs="Arial"/>
                <w:color w:val="000000"/>
              </w:rPr>
              <w:t>Skewness</w:t>
            </w:r>
          </w:p>
        </w:tc>
        <w:tc>
          <w:tcPr>
            <w:tcW w:w="1898" w:type="dxa"/>
            <w:tcBorders>
              <w:top w:val="nil"/>
              <w:bottom w:val="nil"/>
            </w:tcBorders>
            <w:vAlign w:val="bottom"/>
          </w:tcPr>
          <w:p w14:paraId="51A5E1A5" w14:textId="56CDFCCF" w:rsidR="00997F1A" w:rsidRPr="00A13612" w:rsidRDefault="00997F1A" w:rsidP="00997F1A">
            <w:pPr>
              <w:jc w:val="right"/>
              <w:rPr>
                <w:rFonts w:ascii="Arial" w:hAnsi="Arial" w:cs="Arial"/>
              </w:rPr>
            </w:pPr>
            <w:r w:rsidRPr="00A13612">
              <w:rPr>
                <w:rFonts w:ascii="Arial" w:hAnsi="Arial" w:cs="Arial"/>
                <w:color w:val="000000"/>
              </w:rPr>
              <w:t>-3.8151</w:t>
            </w:r>
          </w:p>
        </w:tc>
        <w:tc>
          <w:tcPr>
            <w:tcW w:w="1491" w:type="dxa"/>
            <w:tcBorders>
              <w:top w:val="nil"/>
              <w:bottom w:val="nil"/>
            </w:tcBorders>
            <w:vAlign w:val="bottom"/>
          </w:tcPr>
          <w:p w14:paraId="63CE5918" w14:textId="37686E56" w:rsidR="00997F1A" w:rsidRPr="00A13612" w:rsidRDefault="00997F1A" w:rsidP="00997F1A">
            <w:pPr>
              <w:jc w:val="right"/>
              <w:rPr>
                <w:rFonts w:ascii="Arial" w:hAnsi="Arial" w:cs="Arial"/>
              </w:rPr>
            </w:pPr>
            <w:r w:rsidRPr="00A13612">
              <w:rPr>
                <w:rFonts w:ascii="Arial" w:hAnsi="Arial" w:cs="Arial"/>
                <w:color w:val="000000"/>
              </w:rPr>
              <w:t>-2.6726</w:t>
            </w:r>
          </w:p>
        </w:tc>
        <w:tc>
          <w:tcPr>
            <w:tcW w:w="1491" w:type="dxa"/>
            <w:tcBorders>
              <w:top w:val="nil"/>
              <w:bottom w:val="nil"/>
            </w:tcBorders>
            <w:vAlign w:val="bottom"/>
          </w:tcPr>
          <w:p w14:paraId="7E3CEBF8" w14:textId="3C5DAA9D" w:rsidR="00997F1A" w:rsidRPr="00A13612" w:rsidRDefault="00997F1A" w:rsidP="00997F1A">
            <w:pPr>
              <w:jc w:val="right"/>
              <w:rPr>
                <w:rFonts w:ascii="Arial" w:hAnsi="Arial" w:cs="Arial"/>
              </w:rPr>
            </w:pPr>
            <w:r w:rsidRPr="00A13612">
              <w:rPr>
                <w:rFonts w:ascii="Arial" w:hAnsi="Arial" w:cs="Arial"/>
                <w:color w:val="000000"/>
              </w:rPr>
              <w:t>0.2763</w:t>
            </w:r>
          </w:p>
        </w:tc>
        <w:tc>
          <w:tcPr>
            <w:tcW w:w="1491" w:type="dxa"/>
            <w:tcBorders>
              <w:top w:val="nil"/>
              <w:bottom w:val="nil"/>
            </w:tcBorders>
            <w:vAlign w:val="bottom"/>
          </w:tcPr>
          <w:p w14:paraId="02358BC6" w14:textId="70672CE9" w:rsidR="00997F1A" w:rsidRPr="00A13612" w:rsidRDefault="00997F1A" w:rsidP="00997F1A">
            <w:pPr>
              <w:jc w:val="right"/>
              <w:rPr>
                <w:rFonts w:ascii="Arial" w:hAnsi="Arial" w:cs="Arial"/>
              </w:rPr>
            </w:pPr>
            <w:r w:rsidRPr="00A13612">
              <w:rPr>
                <w:rFonts w:ascii="Arial" w:hAnsi="Arial" w:cs="Arial"/>
                <w:color w:val="000000"/>
              </w:rPr>
              <w:t>4.6605</w:t>
            </w:r>
          </w:p>
        </w:tc>
      </w:tr>
      <w:tr w:rsidR="00997F1A" w:rsidRPr="00A13612" w14:paraId="15582D73" w14:textId="77777777" w:rsidTr="006E68EA">
        <w:trPr>
          <w:jc w:val="center"/>
        </w:trPr>
        <w:tc>
          <w:tcPr>
            <w:tcW w:w="2053" w:type="dxa"/>
            <w:tcBorders>
              <w:top w:val="nil"/>
              <w:bottom w:val="nil"/>
            </w:tcBorders>
            <w:vAlign w:val="bottom"/>
          </w:tcPr>
          <w:p w14:paraId="03C2E7D0" w14:textId="4132EBB8" w:rsidR="00997F1A" w:rsidRPr="00A13612" w:rsidRDefault="00997F1A" w:rsidP="00997F1A">
            <w:pPr>
              <w:rPr>
                <w:rFonts w:ascii="Arial" w:hAnsi="Arial" w:cs="Arial"/>
              </w:rPr>
            </w:pPr>
            <w:r w:rsidRPr="00A13612">
              <w:rPr>
                <w:rFonts w:ascii="Arial" w:hAnsi="Arial" w:cs="Arial"/>
                <w:color w:val="000000"/>
              </w:rPr>
              <w:t>Kurtosis</w:t>
            </w:r>
          </w:p>
        </w:tc>
        <w:tc>
          <w:tcPr>
            <w:tcW w:w="1898" w:type="dxa"/>
            <w:tcBorders>
              <w:top w:val="nil"/>
              <w:bottom w:val="nil"/>
            </w:tcBorders>
            <w:vAlign w:val="bottom"/>
          </w:tcPr>
          <w:p w14:paraId="6743B641" w14:textId="5989BC19" w:rsidR="00997F1A" w:rsidRPr="00A13612" w:rsidRDefault="00997F1A" w:rsidP="00997F1A">
            <w:pPr>
              <w:jc w:val="right"/>
              <w:rPr>
                <w:rFonts w:ascii="Arial" w:hAnsi="Arial" w:cs="Arial"/>
              </w:rPr>
            </w:pPr>
            <w:r w:rsidRPr="00A13612">
              <w:rPr>
                <w:rFonts w:ascii="Arial" w:hAnsi="Arial" w:cs="Arial"/>
                <w:color w:val="000000"/>
              </w:rPr>
              <w:t>19.6767</w:t>
            </w:r>
          </w:p>
        </w:tc>
        <w:tc>
          <w:tcPr>
            <w:tcW w:w="1491" w:type="dxa"/>
            <w:tcBorders>
              <w:top w:val="nil"/>
              <w:bottom w:val="nil"/>
            </w:tcBorders>
            <w:vAlign w:val="bottom"/>
          </w:tcPr>
          <w:p w14:paraId="2BB3D573" w14:textId="1401E526" w:rsidR="00997F1A" w:rsidRPr="00A13612" w:rsidRDefault="00997F1A" w:rsidP="00997F1A">
            <w:pPr>
              <w:jc w:val="right"/>
              <w:rPr>
                <w:rFonts w:ascii="Arial" w:hAnsi="Arial" w:cs="Arial"/>
              </w:rPr>
            </w:pPr>
            <w:r w:rsidRPr="00A13612">
              <w:rPr>
                <w:rFonts w:ascii="Arial" w:hAnsi="Arial" w:cs="Arial"/>
                <w:color w:val="000000"/>
              </w:rPr>
              <w:t>11.9619</w:t>
            </w:r>
          </w:p>
        </w:tc>
        <w:tc>
          <w:tcPr>
            <w:tcW w:w="1491" w:type="dxa"/>
            <w:tcBorders>
              <w:top w:val="nil"/>
              <w:bottom w:val="nil"/>
            </w:tcBorders>
            <w:vAlign w:val="bottom"/>
          </w:tcPr>
          <w:p w14:paraId="2D105D98" w14:textId="27C0A305" w:rsidR="00997F1A" w:rsidRPr="00A13612" w:rsidRDefault="00997F1A" w:rsidP="00997F1A">
            <w:pPr>
              <w:jc w:val="right"/>
              <w:rPr>
                <w:rFonts w:ascii="Arial" w:hAnsi="Arial" w:cs="Arial"/>
              </w:rPr>
            </w:pPr>
            <w:r w:rsidRPr="00A13612">
              <w:rPr>
                <w:rFonts w:ascii="Arial" w:hAnsi="Arial" w:cs="Arial"/>
                <w:color w:val="000000"/>
              </w:rPr>
              <w:t>1.7974</w:t>
            </w:r>
          </w:p>
        </w:tc>
        <w:tc>
          <w:tcPr>
            <w:tcW w:w="1491" w:type="dxa"/>
            <w:tcBorders>
              <w:top w:val="nil"/>
              <w:bottom w:val="nil"/>
            </w:tcBorders>
            <w:vAlign w:val="bottom"/>
          </w:tcPr>
          <w:p w14:paraId="67E34843" w14:textId="243AC3D8" w:rsidR="00997F1A" w:rsidRPr="00A13612" w:rsidRDefault="00997F1A" w:rsidP="00997F1A">
            <w:pPr>
              <w:jc w:val="right"/>
              <w:rPr>
                <w:rFonts w:ascii="Arial" w:hAnsi="Arial" w:cs="Arial"/>
              </w:rPr>
            </w:pPr>
            <w:r w:rsidRPr="00A13612">
              <w:rPr>
                <w:rFonts w:ascii="Arial" w:hAnsi="Arial" w:cs="Arial"/>
                <w:color w:val="000000"/>
              </w:rPr>
              <w:t>26.4088</w:t>
            </w:r>
          </w:p>
        </w:tc>
      </w:tr>
      <w:tr w:rsidR="00997F1A" w:rsidRPr="00A13612" w14:paraId="3EEAA407" w14:textId="77777777" w:rsidTr="006E68EA">
        <w:trPr>
          <w:jc w:val="center"/>
        </w:trPr>
        <w:tc>
          <w:tcPr>
            <w:tcW w:w="2053" w:type="dxa"/>
            <w:tcBorders>
              <w:top w:val="nil"/>
              <w:bottom w:val="nil"/>
            </w:tcBorders>
            <w:vAlign w:val="bottom"/>
          </w:tcPr>
          <w:p w14:paraId="741CFA5F" w14:textId="516A6000" w:rsidR="00997F1A" w:rsidRPr="00A13612" w:rsidRDefault="00997F1A" w:rsidP="00997F1A">
            <w:pPr>
              <w:rPr>
                <w:rFonts w:ascii="Arial" w:hAnsi="Arial" w:cs="Arial"/>
              </w:rPr>
            </w:pPr>
            <w:r w:rsidRPr="00A13612">
              <w:rPr>
                <w:rFonts w:ascii="Arial" w:hAnsi="Arial" w:cs="Arial"/>
                <w:color w:val="000000"/>
              </w:rPr>
              <w:t>p-value</w:t>
            </w:r>
          </w:p>
        </w:tc>
        <w:tc>
          <w:tcPr>
            <w:tcW w:w="1898" w:type="dxa"/>
            <w:tcBorders>
              <w:top w:val="nil"/>
              <w:bottom w:val="nil"/>
            </w:tcBorders>
            <w:vAlign w:val="bottom"/>
          </w:tcPr>
          <w:p w14:paraId="16BDFF6E" w14:textId="005DAD7B" w:rsidR="00997F1A" w:rsidRPr="00A13612" w:rsidRDefault="00997F1A" w:rsidP="00997F1A">
            <w:pPr>
              <w:jc w:val="right"/>
              <w:rPr>
                <w:rFonts w:ascii="Arial" w:hAnsi="Arial" w:cs="Arial"/>
              </w:rPr>
            </w:pPr>
            <w:r w:rsidRPr="00A13612">
              <w:rPr>
                <w:rFonts w:ascii="Arial" w:hAnsi="Arial" w:cs="Arial"/>
                <w:color w:val="000000"/>
              </w:rPr>
              <w:t>0.0000</w:t>
            </w:r>
          </w:p>
        </w:tc>
        <w:tc>
          <w:tcPr>
            <w:tcW w:w="1491" w:type="dxa"/>
            <w:tcBorders>
              <w:top w:val="nil"/>
              <w:bottom w:val="nil"/>
            </w:tcBorders>
            <w:vAlign w:val="bottom"/>
          </w:tcPr>
          <w:p w14:paraId="11FCEE9D" w14:textId="24D4FC5C" w:rsidR="00997F1A" w:rsidRPr="00A13612" w:rsidRDefault="00997F1A" w:rsidP="00997F1A">
            <w:pPr>
              <w:jc w:val="right"/>
              <w:rPr>
                <w:rFonts w:ascii="Arial" w:hAnsi="Arial" w:cs="Arial"/>
              </w:rPr>
            </w:pPr>
            <w:r w:rsidRPr="00A13612">
              <w:rPr>
                <w:rFonts w:ascii="Arial" w:hAnsi="Arial" w:cs="Arial"/>
                <w:color w:val="000000"/>
              </w:rPr>
              <w:t>0.0000</w:t>
            </w:r>
          </w:p>
        </w:tc>
        <w:tc>
          <w:tcPr>
            <w:tcW w:w="1491" w:type="dxa"/>
            <w:tcBorders>
              <w:top w:val="nil"/>
              <w:bottom w:val="nil"/>
            </w:tcBorders>
            <w:vAlign w:val="bottom"/>
          </w:tcPr>
          <w:p w14:paraId="2F5AB3BC" w14:textId="19E22380" w:rsidR="00997F1A" w:rsidRPr="00A13612" w:rsidRDefault="00997F1A" w:rsidP="00997F1A">
            <w:pPr>
              <w:jc w:val="right"/>
              <w:rPr>
                <w:rFonts w:ascii="Arial" w:hAnsi="Arial" w:cs="Arial"/>
              </w:rPr>
            </w:pPr>
            <w:r w:rsidRPr="00A13612">
              <w:rPr>
                <w:rFonts w:ascii="Arial" w:hAnsi="Arial" w:cs="Arial"/>
                <w:color w:val="000000"/>
              </w:rPr>
              <w:t>0.2410</w:t>
            </w:r>
          </w:p>
        </w:tc>
        <w:tc>
          <w:tcPr>
            <w:tcW w:w="1491" w:type="dxa"/>
            <w:tcBorders>
              <w:top w:val="nil"/>
              <w:bottom w:val="nil"/>
            </w:tcBorders>
            <w:vAlign w:val="bottom"/>
          </w:tcPr>
          <w:p w14:paraId="45ADFDB3" w14:textId="1378B1B5" w:rsidR="00997F1A" w:rsidRPr="00A13612" w:rsidRDefault="00997F1A" w:rsidP="00997F1A">
            <w:pPr>
              <w:jc w:val="right"/>
              <w:rPr>
                <w:rFonts w:ascii="Arial" w:hAnsi="Arial" w:cs="Arial"/>
              </w:rPr>
            </w:pPr>
            <w:r w:rsidRPr="00A13612">
              <w:rPr>
                <w:rFonts w:ascii="Arial" w:hAnsi="Arial" w:cs="Arial"/>
                <w:color w:val="000000"/>
              </w:rPr>
              <w:t>0.0000</w:t>
            </w:r>
          </w:p>
        </w:tc>
      </w:tr>
      <w:tr w:rsidR="00997F1A" w:rsidRPr="00A13612" w14:paraId="56436580" w14:textId="77777777" w:rsidTr="006E68EA">
        <w:trPr>
          <w:jc w:val="center"/>
        </w:trPr>
        <w:tc>
          <w:tcPr>
            <w:tcW w:w="2053" w:type="dxa"/>
            <w:tcBorders>
              <w:top w:val="nil"/>
              <w:bottom w:val="single" w:sz="4" w:space="0" w:color="auto"/>
            </w:tcBorders>
            <w:vAlign w:val="bottom"/>
          </w:tcPr>
          <w:p w14:paraId="36614A93" w14:textId="184615D1" w:rsidR="00997F1A" w:rsidRPr="00A13612" w:rsidRDefault="00997F1A" w:rsidP="00997F1A">
            <w:pPr>
              <w:rPr>
                <w:rFonts w:ascii="Arial" w:hAnsi="Arial" w:cs="Arial"/>
              </w:rPr>
            </w:pPr>
            <w:r w:rsidRPr="00A13612">
              <w:rPr>
                <w:rFonts w:ascii="Arial" w:hAnsi="Arial" w:cs="Arial"/>
                <w:color w:val="000000"/>
              </w:rPr>
              <w:t>T</w:t>
            </w:r>
          </w:p>
        </w:tc>
        <w:tc>
          <w:tcPr>
            <w:tcW w:w="1898" w:type="dxa"/>
            <w:tcBorders>
              <w:top w:val="nil"/>
              <w:bottom w:val="single" w:sz="4" w:space="0" w:color="auto"/>
            </w:tcBorders>
            <w:vAlign w:val="bottom"/>
          </w:tcPr>
          <w:p w14:paraId="4D76C723" w14:textId="53BFBB15" w:rsidR="00997F1A" w:rsidRPr="00A13612" w:rsidRDefault="00997F1A" w:rsidP="00997F1A">
            <w:pPr>
              <w:jc w:val="right"/>
              <w:rPr>
                <w:rFonts w:ascii="Arial" w:hAnsi="Arial" w:cs="Arial"/>
              </w:rPr>
            </w:pPr>
            <w:r w:rsidRPr="00A13612">
              <w:rPr>
                <w:rFonts w:ascii="Arial" w:hAnsi="Arial" w:cs="Arial"/>
                <w:color w:val="000000"/>
              </w:rPr>
              <w:t>39</w:t>
            </w:r>
          </w:p>
        </w:tc>
        <w:tc>
          <w:tcPr>
            <w:tcW w:w="1491" w:type="dxa"/>
            <w:tcBorders>
              <w:top w:val="nil"/>
              <w:bottom w:val="single" w:sz="4" w:space="0" w:color="auto"/>
            </w:tcBorders>
            <w:vAlign w:val="bottom"/>
          </w:tcPr>
          <w:p w14:paraId="60C26C78" w14:textId="7D78EB64" w:rsidR="00997F1A" w:rsidRPr="00A13612" w:rsidRDefault="00997F1A" w:rsidP="00997F1A">
            <w:pPr>
              <w:jc w:val="right"/>
              <w:rPr>
                <w:rFonts w:ascii="Arial" w:hAnsi="Arial" w:cs="Arial"/>
              </w:rPr>
            </w:pPr>
            <w:r w:rsidRPr="00A13612">
              <w:rPr>
                <w:rFonts w:ascii="Arial" w:hAnsi="Arial" w:cs="Arial"/>
                <w:color w:val="000000"/>
              </w:rPr>
              <w:t>39</w:t>
            </w:r>
          </w:p>
        </w:tc>
        <w:tc>
          <w:tcPr>
            <w:tcW w:w="1491" w:type="dxa"/>
            <w:tcBorders>
              <w:top w:val="nil"/>
              <w:bottom w:val="single" w:sz="4" w:space="0" w:color="auto"/>
            </w:tcBorders>
            <w:vAlign w:val="bottom"/>
          </w:tcPr>
          <w:p w14:paraId="1DC820DF" w14:textId="22EB6892" w:rsidR="00997F1A" w:rsidRPr="00A13612" w:rsidRDefault="00997F1A" w:rsidP="00997F1A">
            <w:pPr>
              <w:jc w:val="right"/>
              <w:rPr>
                <w:rFonts w:ascii="Arial" w:hAnsi="Arial" w:cs="Arial"/>
              </w:rPr>
            </w:pPr>
            <w:r w:rsidRPr="00A13612">
              <w:rPr>
                <w:rFonts w:ascii="Arial" w:hAnsi="Arial" w:cs="Arial"/>
                <w:color w:val="000000"/>
              </w:rPr>
              <w:t>39</w:t>
            </w:r>
          </w:p>
        </w:tc>
        <w:tc>
          <w:tcPr>
            <w:tcW w:w="1491" w:type="dxa"/>
            <w:tcBorders>
              <w:top w:val="nil"/>
              <w:bottom w:val="single" w:sz="4" w:space="0" w:color="auto"/>
            </w:tcBorders>
            <w:vAlign w:val="bottom"/>
          </w:tcPr>
          <w:p w14:paraId="21A1C65B" w14:textId="3C176BA7" w:rsidR="00997F1A" w:rsidRPr="00A13612" w:rsidRDefault="00997F1A" w:rsidP="00997F1A">
            <w:pPr>
              <w:jc w:val="right"/>
              <w:rPr>
                <w:rFonts w:ascii="Arial" w:hAnsi="Arial" w:cs="Arial"/>
              </w:rPr>
            </w:pPr>
            <w:r w:rsidRPr="00A13612">
              <w:rPr>
                <w:rFonts w:ascii="Arial" w:hAnsi="Arial" w:cs="Arial"/>
                <w:color w:val="000000"/>
              </w:rPr>
              <w:t>39</w:t>
            </w:r>
          </w:p>
        </w:tc>
      </w:tr>
    </w:tbl>
    <w:p w14:paraId="7F28380A" w14:textId="62602BCC" w:rsidR="001531CF" w:rsidRPr="00A13612" w:rsidRDefault="00863BD3" w:rsidP="001531CF">
      <w:pPr>
        <w:pStyle w:val="BodyText3"/>
        <w:tabs>
          <w:tab w:val="left" w:pos="1080"/>
        </w:tabs>
        <w:spacing w:after="0"/>
        <w:ind w:left="1080" w:hanging="1080"/>
        <w:jc w:val="both"/>
        <w:rPr>
          <w:rFonts w:ascii="Arial" w:hAnsi="Arial" w:cs="Arial"/>
          <w:bCs/>
          <w:i/>
          <w:sz w:val="18"/>
        </w:rPr>
      </w:pPr>
      <w:r w:rsidRPr="00A13612">
        <w:rPr>
          <w:rFonts w:ascii="Arial" w:hAnsi="Arial" w:cs="Arial"/>
          <w:bCs/>
          <w:i/>
          <w:sz w:val="18"/>
        </w:rPr>
        <w:t>*</w:t>
      </w:r>
      <w:r w:rsidR="00064CD9" w:rsidRPr="00A13612">
        <w:rPr>
          <w:rFonts w:ascii="Arial" w:hAnsi="Arial" w:cs="Arial"/>
          <w:bCs/>
          <w:i/>
          <w:sz w:val="18"/>
        </w:rPr>
        <w:t xml:space="preserve">p-value is based on the Jarque Bera test. T shows the </w:t>
      </w:r>
      <w:proofErr w:type="gramStart"/>
      <w:r w:rsidR="00064CD9" w:rsidRPr="00A13612">
        <w:rPr>
          <w:rFonts w:ascii="Arial" w:hAnsi="Arial" w:cs="Arial"/>
          <w:bCs/>
          <w:i/>
          <w:sz w:val="18"/>
        </w:rPr>
        <w:t>number</w:t>
      </w:r>
      <w:proofErr w:type="gramEnd"/>
      <w:r w:rsidR="00064CD9" w:rsidRPr="00A13612">
        <w:rPr>
          <w:rFonts w:ascii="Arial" w:hAnsi="Arial" w:cs="Arial"/>
          <w:bCs/>
          <w:i/>
          <w:sz w:val="18"/>
        </w:rPr>
        <w:t xml:space="preserve"> of series.</w:t>
      </w:r>
    </w:p>
    <w:p w14:paraId="6B8E0FF3" w14:textId="77777777" w:rsidR="001531CF" w:rsidRPr="00A13612" w:rsidRDefault="001531CF" w:rsidP="001531CF">
      <w:pPr>
        <w:pStyle w:val="BodyText3"/>
        <w:tabs>
          <w:tab w:val="left" w:pos="1080"/>
        </w:tabs>
        <w:spacing w:after="0"/>
        <w:ind w:left="1080" w:hanging="1080"/>
        <w:jc w:val="both"/>
        <w:rPr>
          <w:rFonts w:ascii="Arial" w:hAnsi="Arial" w:cs="Arial"/>
          <w:bCs/>
          <w:i/>
          <w:sz w:val="18"/>
        </w:rPr>
      </w:pPr>
    </w:p>
    <w:p w14:paraId="1D5E4460" w14:textId="58276ADA" w:rsidR="00A31135" w:rsidRPr="00A13612" w:rsidRDefault="00276991" w:rsidP="00276991">
      <w:pPr>
        <w:jc w:val="both"/>
        <w:rPr>
          <w:rFonts w:ascii="Arial" w:hAnsi="Arial" w:cs="Arial"/>
        </w:rPr>
      </w:pPr>
      <w:r w:rsidRPr="00A13612">
        <w:rPr>
          <w:rFonts w:ascii="Arial" w:hAnsi="Arial" w:cs="Arial"/>
        </w:rPr>
        <w:t>Whil</w:t>
      </w:r>
      <w:r w:rsidR="00A61AF1" w:rsidRPr="00A13612">
        <w:rPr>
          <w:rFonts w:ascii="Arial" w:hAnsi="Arial" w:cs="Arial"/>
        </w:rPr>
        <w:t>st</w:t>
      </w:r>
      <w:r w:rsidRPr="00A13612">
        <w:rPr>
          <w:rFonts w:ascii="Arial" w:hAnsi="Arial" w:cs="Arial"/>
        </w:rPr>
        <w:t xml:space="preserve"> no perfect collinearity is not a strict assumption in regression analysis, it is </w:t>
      </w:r>
      <w:r w:rsidR="00A61AF1" w:rsidRPr="00A13612">
        <w:rPr>
          <w:rFonts w:ascii="Arial" w:hAnsi="Arial" w:cs="Arial"/>
        </w:rPr>
        <w:t xml:space="preserve">crucial </w:t>
      </w:r>
      <w:r w:rsidRPr="00A13612">
        <w:rPr>
          <w:rFonts w:ascii="Arial" w:hAnsi="Arial" w:cs="Arial"/>
        </w:rPr>
        <w:t xml:space="preserve">to check whether the </w:t>
      </w:r>
      <w:r w:rsidR="002673BB" w:rsidRPr="00A13612">
        <w:rPr>
          <w:rFonts w:ascii="Arial" w:hAnsi="Arial" w:cs="Arial"/>
        </w:rPr>
        <w:t xml:space="preserve">issue </w:t>
      </w:r>
      <w:r w:rsidRPr="00A13612">
        <w:rPr>
          <w:rFonts w:ascii="Arial" w:hAnsi="Arial" w:cs="Arial"/>
        </w:rPr>
        <w:t xml:space="preserve">of multicollinearity is evident. Table 2 presents a correlation matrix of </w:t>
      </w:r>
      <w:r w:rsidRPr="00A13612">
        <w:rPr>
          <w:rFonts w:ascii="Arial" w:hAnsi="Arial" w:cs="Arial"/>
        </w:rPr>
        <w:lastRenderedPageBreak/>
        <w:t>the model variables. The Pearson correlations between the explanatory variables, i.e., gross fixed capital formation growth, working</w:t>
      </w:r>
      <w:r w:rsidR="00A61AF1" w:rsidRPr="00A13612">
        <w:rPr>
          <w:rFonts w:ascii="Arial" w:hAnsi="Arial" w:cs="Arial"/>
        </w:rPr>
        <w:t>-</w:t>
      </w:r>
      <w:r w:rsidRPr="00A13612">
        <w:rPr>
          <w:rFonts w:ascii="Arial" w:hAnsi="Arial" w:cs="Arial"/>
        </w:rPr>
        <w:t xml:space="preserve">age population growth, and </w:t>
      </w:r>
      <w:r w:rsidR="00A61AF1" w:rsidRPr="00A13612">
        <w:rPr>
          <w:rFonts w:ascii="Arial" w:hAnsi="Arial" w:cs="Arial"/>
        </w:rPr>
        <w:t>CPI</w:t>
      </w:r>
      <w:r w:rsidRPr="00A13612">
        <w:rPr>
          <w:rFonts w:ascii="Arial" w:hAnsi="Arial" w:cs="Arial"/>
        </w:rPr>
        <w:t xml:space="preserve">, are lower than 0.9, showing low scores. </w:t>
      </w:r>
      <w:r w:rsidR="00A61AF1" w:rsidRPr="00A13612">
        <w:rPr>
          <w:rFonts w:ascii="Arial" w:hAnsi="Arial" w:cs="Arial"/>
        </w:rPr>
        <w:t>Thus,</w:t>
      </w:r>
      <w:r w:rsidRPr="00A13612">
        <w:rPr>
          <w:rFonts w:ascii="Arial" w:hAnsi="Arial" w:cs="Arial"/>
        </w:rPr>
        <w:t xml:space="preserve"> it can be inferred that the problem of perfect multicollinearity is not verified.</w:t>
      </w:r>
    </w:p>
    <w:p w14:paraId="72398779" w14:textId="77777777" w:rsidR="00376BBE" w:rsidRPr="00A13612" w:rsidRDefault="00376BBE" w:rsidP="00441B6F">
      <w:pPr>
        <w:pStyle w:val="Body"/>
        <w:spacing w:after="0"/>
        <w:rPr>
          <w:rFonts w:ascii="Arial" w:hAnsi="Arial" w:cs="Arial"/>
        </w:rPr>
      </w:pPr>
    </w:p>
    <w:p w14:paraId="29C1DCE4" w14:textId="07932E00" w:rsidR="00A31135" w:rsidRPr="00A13612" w:rsidRDefault="00A31135" w:rsidP="00A31135">
      <w:pPr>
        <w:tabs>
          <w:tab w:val="left" w:pos="1080"/>
        </w:tabs>
        <w:jc w:val="both"/>
        <w:rPr>
          <w:rFonts w:ascii="Arial" w:hAnsi="Arial" w:cs="Arial"/>
          <w:b/>
        </w:rPr>
      </w:pPr>
      <w:r w:rsidRPr="00A13612">
        <w:rPr>
          <w:rFonts w:ascii="Arial" w:hAnsi="Arial" w:cs="Arial"/>
          <w:b/>
        </w:rPr>
        <w:t>Table 2.</w:t>
      </w:r>
      <w:r w:rsidR="005B7238" w:rsidRPr="00A13612">
        <w:rPr>
          <w:rFonts w:ascii="Arial" w:hAnsi="Arial" w:cs="Arial"/>
          <w:b/>
        </w:rPr>
        <w:t xml:space="preserve"> </w:t>
      </w:r>
      <w:r w:rsidRPr="00A13612">
        <w:rPr>
          <w:rFonts w:ascii="Arial" w:hAnsi="Arial" w:cs="Arial"/>
          <w:b/>
        </w:rPr>
        <w:t>Correlation matrix</w:t>
      </w:r>
    </w:p>
    <w:p w14:paraId="0D43DC24" w14:textId="77777777" w:rsidR="00A31135" w:rsidRPr="00A13612" w:rsidRDefault="00A31135" w:rsidP="00A31135">
      <w:pPr>
        <w:tabs>
          <w:tab w:val="left" w:pos="1080"/>
        </w:tabs>
        <w:jc w:val="both"/>
        <w:rPr>
          <w:rFonts w:ascii="Arial" w:hAnsi="Arial" w:cs="Arial"/>
          <w:b/>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053"/>
        <w:gridCol w:w="1898"/>
        <w:gridCol w:w="1491"/>
        <w:gridCol w:w="1491"/>
        <w:gridCol w:w="1491"/>
      </w:tblGrid>
      <w:tr w:rsidR="00A31135" w:rsidRPr="00A13612" w14:paraId="3EEE1ED4" w14:textId="77777777" w:rsidTr="00C4598A">
        <w:trPr>
          <w:jc w:val="center"/>
        </w:trPr>
        <w:tc>
          <w:tcPr>
            <w:tcW w:w="2053" w:type="dxa"/>
            <w:tcBorders>
              <w:bottom w:val="single" w:sz="4" w:space="0" w:color="auto"/>
            </w:tcBorders>
            <w:vAlign w:val="bottom"/>
          </w:tcPr>
          <w:p w14:paraId="7F61053A" w14:textId="77777777" w:rsidR="00A31135" w:rsidRPr="00A13612" w:rsidRDefault="00A31135" w:rsidP="00A31135">
            <w:pPr>
              <w:rPr>
                <w:rFonts w:ascii="Arial" w:hAnsi="Arial" w:cs="Arial"/>
                <w:b/>
                <w:bCs/>
              </w:rPr>
            </w:pPr>
          </w:p>
        </w:tc>
        <w:tc>
          <w:tcPr>
            <w:tcW w:w="1898" w:type="dxa"/>
            <w:tcBorders>
              <w:bottom w:val="single" w:sz="4" w:space="0" w:color="auto"/>
            </w:tcBorders>
            <w:vAlign w:val="bottom"/>
          </w:tcPr>
          <w:p w14:paraId="48126C18" w14:textId="12221FF7" w:rsidR="00A31135" w:rsidRPr="00A13612" w:rsidRDefault="005B7238" w:rsidP="00A31135">
            <w:pPr>
              <w:jc w:val="right"/>
              <w:rPr>
                <w:rFonts w:ascii="Arial" w:hAnsi="Arial" w:cs="Arial"/>
                <w:b/>
                <w:bCs/>
              </w:rPr>
            </w:pPr>
            <w:proofErr w:type="spellStart"/>
            <w:r w:rsidRPr="00A13612">
              <w:rPr>
                <w:rFonts w:ascii="Arial" w:hAnsi="Arial" w:cs="Arial"/>
                <w:b/>
                <w:bCs/>
                <w:color w:val="000000"/>
              </w:rPr>
              <w:t>gdpg</w:t>
            </w:r>
            <w:proofErr w:type="spellEnd"/>
          </w:p>
        </w:tc>
        <w:tc>
          <w:tcPr>
            <w:tcW w:w="1491" w:type="dxa"/>
            <w:tcBorders>
              <w:bottom w:val="single" w:sz="4" w:space="0" w:color="auto"/>
            </w:tcBorders>
            <w:vAlign w:val="bottom"/>
          </w:tcPr>
          <w:p w14:paraId="05C9AF76" w14:textId="084287B4" w:rsidR="00A31135" w:rsidRPr="00A13612" w:rsidRDefault="005B7238" w:rsidP="00A31135">
            <w:pPr>
              <w:jc w:val="right"/>
              <w:rPr>
                <w:rFonts w:ascii="Arial" w:hAnsi="Arial" w:cs="Arial"/>
                <w:b/>
                <w:bCs/>
              </w:rPr>
            </w:pPr>
            <w:proofErr w:type="spellStart"/>
            <w:r w:rsidRPr="00A13612">
              <w:rPr>
                <w:rFonts w:ascii="Arial" w:hAnsi="Arial" w:cs="Arial"/>
                <w:b/>
                <w:bCs/>
              </w:rPr>
              <w:t>capg</w:t>
            </w:r>
            <w:proofErr w:type="spellEnd"/>
          </w:p>
        </w:tc>
        <w:tc>
          <w:tcPr>
            <w:tcW w:w="1491" w:type="dxa"/>
            <w:tcBorders>
              <w:bottom w:val="single" w:sz="4" w:space="0" w:color="auto"/>
            </w:tcBorders>
            <w:vAlign w:val="bottom"/>
          </w:tcPr>
          <w:p w14:paraId="255CF412" w14:textId="3095ADD9" w:rsidR="00A31135" w:rsidRPr="00A13612" w:rsidRDefault="005B7238" w:rsidP="00A31135">
            <w:pPr>
              <w:jc w:val="right"/>
              <w:rPr>
                <w:rFonts w:ascii="Arial" w:hAnsi="Arial" w:cs="Arial"/>
                <w:b/>
                <w:bCs/>
              </w:rPr>
            </w:pPr>
            <w:proofErr w:type="spellStart"/>
            <w:r w:rsidRPr="00A13612">
              <w:rPr>
                <w:rFonts w:ascii="Arial" w:hAnsi="Arial" w:cs="Arial"/>
                <w:b/>
                <w:bCs/>
              </w:rPr>
              <w:t>wpg</w:t>
            </w:r>
            <w:proofErr w:type="spellEnd"/>
          </w:p>
        </w:tc>
        <w:tc>
          <w:tcPr>
            <w:tcW w:w="1491" w:type="dxa"/>
            <w:tcBorders>
              <w:bottom w:val="single" w:sz="4" w:space="0" w:color="auto"/>
            </w:tcBorders>
            <w:vAlign w:val="bottom"/>
          </w:tcPr>
          <w:p w14:paraId="7A0C24D6" w14:textId="4689AA68" w:rsidR="00A31135" w:rsidRPr="00A13612" w:rsidRDefault="005B7238" w:rsidP="00A31135">
            <w:pPr>
              <w:jc w:val="right"/>
              <w:rPr>
                <w:rFonts w:ascii="Arial" w:hAnsi="Arial" w:cs="Arial"/>
                <w:b/>
                <w:bCs/>
              </w:rPr>
            </w:pPr>
            <w:r w:rsidRPr="00A13612">
              <w:rPr>
                <w:rFonts w:ascii="Arial" w:hAnsi="Arial" w:cs="Arial"/>
                <w:b/>
                <w:bCs/>
              </w:rPr>
              <w:t>cpi</w:t>
            </w:r>
          </w:p>
        </w:tc>
      </w:tr>
      <w:tr w:rsidR="00A31135" w:rsidRPr="00A13612" w14:paraId="31F00E35" w14:textId="77777777" w:rsidTr="00C4598A">
        <w:trPr>
          <w:jc w:val="center"/>
        </w:trPr>
        <w:tc>
          <w:tcPr>
            <w:tcW w:w="2053" w:type="dxa"/>
            <w:tcBorders>
              <w:top w:val="nil"/>
              <w:bottom w:val="nil"/>
            </w:tcBorders>
            <w:vAlign w:val="bottom"/>
          </w:tcPr>
          <w:p w14:paraId="502172DF" w14:textId="13CE4623" w:rsidR="00A31135" w:rsidRPr="00A13612" w:rsidRDefault="005B7238" w:rsidP="00A31135">
            <w:pPr>
              <w:rPr>
                <w:rFonts w:ascii="Arial" w:hAnsi="Arial" w:cs="Arial"/>
                <w:b/>
                <w:bCs/>
              </w:rPr>
            </w:pPr>
            <w:proofErr w:type="spellStart"/>
            <w:r w:rsidRPr="00A13612">
              <w:rPr>
                <w:rFonts w:ascii="Arial" w:hAnsi="Arial" w:cs="Arial"/>
                <w:b/>
                <w:bCs/>
              </w:rPr>
              <w:t>gdpg</w:t>
            </w:r>
            <w:proofErr w:type="spellEnd"/>
          </w:p>
        </w:tc>
        <w:tc>
          <w:tcPr>
            <w:tcW w:w="1898" w:type="dxa"/>
            <w:tcBorders>
              <w:top w:val="nil"/>
              <w:bottom w:val="nil"/>
            </w:tcBorders>
            <w:vAlign w:val="bottom"/>
          </w:tcPr>
          <w:p w14:paraId="2E40B645" w14:textId="76AA8AA0" w:rsidR="00A31135" w:rsidRPr="00A13612" w:rsidRDefault="00A31135" w:rsidP="00A31135">
            <w:pPr>
              <w:jc w:val="right"/>
              <w:rPr>
                <w:rFonts w:ascii="Arial" w:hAnsi="Arial" w:cs="Arial"/>
              </w:rPr>
            </w:pPr>
            <w:r w:rsidRPr="00A13612">
              <w:rPr>
                <w:rFonts w:ascii="Arial" w:hAnsi="Arial" w:cs="Arial"/>
                <w:color w:val="000000"/>
              </w:rPr>
              <w:t>1.0000</w:t>
            </w:r>
          </w:p>
        </w:tc>
        <w:tc>
          <w:tcPr>
            <w:tcW w:w="1491" w:type="dxa"/>
            <w:tcBorders>
              <w:top w:val="nil"/>
              <w:bottom w:val="nil"/>
            </w:tcBorders>
            <w:vAlign w:val="bottom"/>
          </w:tcPr>
          <w:p w14:paraId="039D4611" w14:textId="07952506" w:rsidR="00A31135" w:rsidRPr="00A13612" w:rsidRDefault="00A31135" w:rsidP="00A31135">
            <w:pPr>
              <w:jc w:val="right"/>
              <w:rPr>
                <w:rFonts w:ascii="Arial" w:hAnsi="Arial" w:cs="Arial"/>
              </w:rPr>
            </w:pPr>
          </w:p>
        </w:tc>
        <w:tc>
          <w:tcPr>
            <w:tcW w:w="1491" w:type="dxa"/>
            <w:tcBorders>
              <w:top w:val="nil"/>
              <w:bottom w:val="nil"/>
            </w:tcBorders>
            <w:vAlign w:val="bottom"/>
          </w:tcPr>
          <w:p w14:paraId="4395BB37" w14:textId="7FBA0542" w:rsidR="00A31135" w:rsidRPr="00A13612" w:rsidRDefault="00A31135" w:rsidP="00A31135">
            <w:pPr>
              <w:jc w:val="right"/>
              <w:rPr>
                <w:rFonts w:ascii="Arial" w:hAnsi="Arial" w:cs="Arial"/>
              </w:rPr>
            </w:pPr>
          </w:p>
        </w:tc>
        <w:tc>
          <w:tcPr>
            <w:tcW w:w="1491" w:type="dxa"/>
            <w:tcBorders>
              <w:top w:val="nil"/>
              <w:bottom w:val="nil"/>
            </w:tcBorders>
            <w:vAlign w:val="bottom"/>
          </w:tcPr>
          <w:p w14:paraId="623BF9EE" w14:textId="1E68AA04" w:rsidR="00A31135" w:rsidRPr="00A13612" w:rsidRDefault="00A31135" w:rsidP="00A31135">
            <w:pPr>
              <w:jc w:val="right"/>
              <w:rPr>
                <w:rFonts w:ascii="Arial" w:hAnsi="Arial" w:cs="Arial"/>
              </w:rPr>
            </w:pPr>
          </w:p>
        </w:tc>
      </w:tr>
      <w:tr w:rsidR="00A31135" w:rsidRPr="00A13612" w14:paraId="0B751B9A" w14:textId="77777777" w:rsidTr="00C4598A">
        <w:trPr>
          <w:jc w:val="center"/>
        </w:trPr>
        <w:tc>
          <w:tcPr>
            <w:tcW w:w="2053" w:type="dxa"/>
            <w:tcBorders>
              <w:top w:val="nil"/>
              <w:bottom w:val="nil"/>
            </w:tcBorders>
            <w:vAlign w:val="bottom"/>
          </w:tcPr>
          <w:p w14:paraId="615DCC90" w14:textId="09602C7A" w:rsidR="00A31135" w:rsidRPr="00A13612" w:rsidRDefault="005B7238" w:rsidP="00A31135">
            <w:pPr>
              <w:rPr>
                <w:rFonts w:ascii="Arial" w:hAnsi="Arial" w:cs="Arial"/>
                <w:b/>
                <w:bCs/>
              </w:rPr>
            </w:pPr>
            <w:proofErr w:type="spellStart"/>
            <w:r w:rsidRPr="00A13612">
              <w:rPr>
                <w:rFonts w:ascii="Arial" w:hAnsi="Arial" w:cs="Arial"/>
                <w:b/>
                <w:bCs/>
              </w:rPr>
              <w:t>capg</w:t>
            </w:r>
            <w:proofErr w:type="spellEnd"/>
            <w:r w:rsidRPr="00A13612">
              <w:rPr>
                <w:rFonts w:ascii="Arial" w:hAnsi="Arial" w:cs="Arial"/>
                <w:b/>
                <w:bCs/>
              </w:rPr>
              <w:t xml:space="preserve"> </w:t>
            </w:r>
          </w:p>
        </w:tc>
        <w:tc>
          <w:tcPr>
            <w:tcW w:w="1898" w:type="dxa"/>
            <w:tcBorders>
              <w:top w:val="nil"/>
              <w:bottom w:val="nil"/>
            </w:tcBorders>
            <w:vAlign w:val="bottom"/>
          </w:tcPr>
          <w:p w14:paraId="667D8AD3" w14:textId="4C7101AD" w:rsidR="00A31135" w:rsidRPr="00A13612" w:rsidRDefault="00A31135" w:rsidP="00A31135">
            <w:pPr>
              <w:jc w:val="right"/>
              <w:rPr>
                <w:rFonts w:ascii="Arial" w:hAnsi="Arial" w:cs="Arial"/>
              </w:rPr>
            </w:pPr>
            <w:r w:rsidRPr="00A13612">
              <w:rPr>
                <w:rFonts w:ascii="Arial" w:hAnsi="Arial" w:cs="Arial"/>
                <w:color w:val="000000"/>
              </w:rPr>
              <w:t>0.8756</w:t>
            </w:r>
          </w:p>
        </w:tc>
        <w:tc>
          <w:tcPr>
            <w:tcW w:w="1491" w:type="dxa"/>
            <w:tcBorders>
              <w:top w:val="nil"/>
              <w:bottom w:val="nil"/>
            </w:tcBorders>
            <w:vAlign w:val="bottom"/>
          </w:tcPr>
          <w:p w14:paraId="7943AAAC" w14:textId="6DE0C889" w:rsidR="00A31135" w:rsidRPr="00A13612" w:rsidRDefault="00A31135" w:rsidP="00A31135">
            <w:pPr>
              <w:jc w:val="right"/>
              <w:rPr>
                <w:rFonts w:ascii="Arial" w:hAnsi="Arial" w:cs="Arial"/>
              </w:rPr>
            </w:pPr>
            <w:r w:rsidRPr="00A13612">
              <w:rPr>
                <w:rFonts w:ascii="Arial" w:hAnsi="Arial" w:cs="Arial"/>
                <w:color w:val="000000"/>
              </w:rPr>
              <w:t>1.0000</w:t>
            </w:r>
          </w:p>
        </w:tc>
        <w:tc>
          <w:tcPr>
            <w:tcW w:w="1491" w:type="dxa"/>
            <w:tcBorders>
              <w:top w:val="nil"/>
              <w:bottom w:val="nil"/>
            </w:tcBorders>
            <w:vAlign w:val="bottom"/>
          </w:tcPr>
          <w:p w14:paraId="33F78983" w14:textId="637A16F2" w:rsidR="00A31135" w:rsidRPr="00A13612" w:rsidRDefault="00A31135" w:rsidP="00A31135">
            <w:pPr>
              <w:jc w:val="right"/>
              <w:rPr>
                <w:rFonts w:ascii="Arial" w:hAnsi="Arial" w:cs="Arial"/>
              </w:rPr>
            </w:pPr>
          </w:p>
        </w:tc>
        <w:tc>
          <w:tcPr>
            <w:tcW w:w="1491" w:type="dxa"/>
            <w:tcBorders>
              <w:top w:val="nil"/>
              <w:bottom w:val="nil"/>
            </w:tcBorders>
            <w:vAlign w:val="bottom"/>
          </w:tcPr>
          <w:p w14:paraId="3A633856" w14:textId="5DCF2066" w:rsidR="00A31135" w:rsidRPr="00A13612" w:rsidRDefault="00A31135" w:rsidP="00A31135">
            <w:pPr>
              <w:jc w:val="right"/>
              <w:rPr>
                <w:rFonts w:ascii="Arial" w:hAnsi="Arial" w:cs="Arial"/>
              </w:rPr>
            </w:pPr>
          </w:p>
        </w:tc>
      </w:tr>
      <w:tr w:rsidR="00A31135" w:rsidRPr="00A13612" w14:paraId="6F598BBC" w14:textId="77777777" w:rsidTr="00C4598A">
        <w:trPr>
          <w:jc w:val="center"/>
        </w:trPr>
        <w:tc>
          <w:tcPr>
            <w:tcW w:w="2053" w:type="dxa"/>
            <w:tcBorders>
              <w:top w:val="nil"/>
              <w:bottom w:val="nil"/>
            </w:tcBorders>
            <w:vAlign w:val="bottom"/>
          </w:tcPr>
          <w:p w14:paraId="26B0AD0D" w14:textId="1EBB2CC9" w:rsidR="00A31135" w:rsidRPr="00A13612" w:rsidRDefault="005B7238" w:rsidP="00A31135">
            <w:pPr>
              <w:rPr>
                <w:rFonts w:ascii="Arial" w:hAnsi="Arial" w:cs="Arial"/>
                <w:b/>
                <w:bCs/>
              </w:rPr>
            </w:pPr>
            <w:proofErr w:type="spellStart"/>
            <w:r w:rsidRPr="00A13612">
              <w:rPr>
                <w:rFonts w:ascii="Arial" w:hAnsi="Arial" w:cs="Arial"/>
                <w:b/>
                <w:bCs/>
              </w:rPr>
              <w:t>wapg</w:t>
            </w:r>
            <w:proofErr w:type="spellEnd"/>
          </w:p>
        </w:tc>
        <w:tc>
          <w:tcPr>
            <w:tcW w:w="1898" w:type="dxa"/>
            <w:tcBorders>
              <w:top w:val="nil"/>
              <w:bottom w:val="nil"/>
            </w:tcBorders>
            <w:vAlign w:val="bottom"/>
          </w:tcPr>
          <w:p w14:paraId="62EB97D9" w14:textId="162BA704" w:rsidR="00A31135" w:rsidRPr="00A13612" w:rsidRDefault="00A31135" w:rsidP="00A31135">
            <w:pPr>
              <w:jc w:val="right"/>
              <w:rPr>
                <w:rFonts w:ascii="Arial" w:hAnsi="Arial" w:cs="Arial"/>
              </w:rPr>
            </w:pPr>
            <w:r w:rsidRPr="00A13612">
              <w:rPr>
                <w:rFonts w:ascii="Arial" w:hAnsi="Arial" w:cs="Arial"/>
                <w:color w:val="000000"/>
              </w:rPr>
              <w:t>0.0839</w:t>
            </w:r>
          </w:p>
        </w:tc>
        <w:tc>
          <w:tcPr>
            <w:tcW w:w="1491" w:type="dxa"/>
            <w:tcBorders>
              <w:top w:val="nil"/>
              <w:bottom w:val="nil"/>
            </w:tcBorders>
            <w:vAlign w:val="bottom"/>
          </w:tcPr>
          <w:p w14:paraId="032D4EA8" w14:textId="253167E0" w:rsidR="00A31135" w:rsidRPr="00A13612" w:rsidRDefault="00A31135" w:rsidP="00A31135">
            <w:pPr>
              <w:jc w:val="right"/>
              <w:rPr>
                <w:rFonts w:ascii="Arial" w:hAnsi="Arial" w:cs="Arial"/>
              </w:rPr>
            </w:pPr>
            <w:r w:rsidRPr="00A13612">
              <w:rPr>
                <w:rFonts w:ascii="Arial" w:hAnsi="Arial" w:cs="Arial"/>
                <w:color w:val="000000"/>
              </w:rPr>
              <w:t>0.1338</w:t>
            </w:r>
          </w:p>
        </w:tc>
        <w:tc>
          <w:tcPr>
            <w:tcW w:w="1491" w:type="dxa"/>
            <w:tcBorders>
              <w:top w:val="nil"/>
              <w:bottom w:val="nil"/>
            </w:tcBorders>
            <w:vAlign w:val="bottom"/>
          </w:tcPr>
          <w:p w14:paraId="7C2F28F1" w14:textId="60B4FB2C" w:rsidR="00A31135" w:rsidRPr="00A13612" w:rsidRDefault="00A31135" w:rsidP="00A31135">
            <w:pPr>
              <w:jc w:val="right"/>
              <w:rPr>
                <w:rFonts w:ascii="Arial" w:hAnsi="Arial" w:cs="Arial"/>
              </w:rPr>
            </w:pPr>
            <w:r w:rsidRPr="00A13612">
              <w:rPr>
                <w:rFonts w:ascii="Arial" w:hAnsi="Arial" w:cs="Arial"/>
                <w:color w:val="000000"/>
              </w:rPr>
              <w:t>1.0000</w:t>
            </w:r>
          </w:p>
        </w:tc>
        <w:tc>
          <w:tcPr>
            <w:tcW w:w="1491" w:type="dxa"/>
            <w:tcBorders>
              <w:top w:val="nil"/>
              <w:bottom w:val="nil"/>
            </w:tcBorders>
            <w:vAlign w:val="bottom"/>
          </w:tcPr>
          <w:p w14:paraId="3842A24F" w14:textId="1A14BFB2" w:rsidR="00A31135" w:rsidRPr="00A13612" w:rsidRDefault="00A31135" w:rsidP="00A31135">
            <w:pPr>
              <w:jc w:val="right"/>
              <w:rPr>
                <w:rFonts w:ascii="Arial" w:hAnsi="Arial" w:cs="Arial"/>
              </w:rPr>
            </w:pPr>
          </w:p>
        </w:tc>
      </w:tr>
      <w:tr w:rsidR="00A31135" w:rsidRPr="00A13612" w14:paraId="5BA4698F" w14:textId="77777777" w:rsidTr="005B7238">
        <w:trPr>
          <w:jc w:val="center"/>
        </w:trPr>
        <w:tc>
          <w:tcPr>
            <w:tcW w:w="2053" w:type="dxa"/>
            <w:tcBorders>
              <w:top w:val="nil"/>
              <w:bottom w:val="single" w:sz="4" w:space="0" w:color="auto"/>
            </w:tcBorders>
            <w:vAlign w:val="bottom"/>
          </w:tcPr>
          <w:p w14:paraId="41866C7D" w14:textId="533B7161" w:rsidR="00A31135" w:rsidRPr="00A13612" w:rsidRDefault="005B7238" w:rsidP="00A31135">
            <w:pPr>
              <w:rPr>
                <w:rFonts w:ascii="Arial" w:hAnsi="Arial" w:cs="Arial"/>
                <w:b/>
                <w:bCs/>
                <w:color w:val="000000"/>
              </w:rPr>
            </w:pPr>
            <w:r w:rsidRPr="00A13612">
              <w:rPr>
                <w:rFonts w:ascii="Arial" w:hAnsi="Arial" w:cs="Arial"/>
                <w:b/>
                <w:bCs/>
                <w:color w:val="000000"/>
              </w:rPr>
              <w:t>cpi</w:t>
            </w:r>
          </w:p>
        </w:tc>
        <w:tc>
          <w:tcPr>
            <w:tcW w:w="1898" w:type="dxa"/>
            <w:tcBorders>
              <w:top w:val="nil"/>
              <w:bottom w:val="single" w:sz="4" w:space="0" w:color="auto"/>
            </w:tcBorders>
            <w:vAlign w:val="bottom"/>
          </w:tcPr>
          <w:p w14:paraId="5CFCC808" w14:textId="3DCF247F" w:rsidR="00A31135" w:rsidRPr="00A13612" w:rsidRDefault="00A31135" w:rsidP="00A31135">
            <w:pPr>
              <w:jc w:val="right"/>
              <w:rPr>
                <w:rFonts w:ascii="Arial" w:hAnsi="Arial" w:cs="Arial"/>
                <w:color w:val="000000"/>
              </w:rPr>
            </w:pPr>
            <w:r w:rsidRPr="00A13612">
              <w:rPr>
                <w:rFonts w:ascii="Arial" w:hAnsi="Arial" w:cs="Arial"/>
                <w:color w:val="000000"/>
              </w:rPr>
              <w:t>-0.7717</w:t>
            </w:r>
          </w:p>
        </w:tc>
        <w:tc>
          <w:tcPr>
            <w:tcW w:w="1491" w:type="dxa"/>
            <w:tcBorders>
              <w:top w:val="nil"/>
              <w:bottom w:val="single" w:sz="4" w:space="0" w:color="auto"/>
            </w:tcBorders>
            <w:vAlign w:val="bottom"/>
          </w:tcPr>
          <w:p w14:paraId="6892C5D4" w14:textId="4EB8021D" w:rsidR="00A31135" w:rsidRPr="00A13612" w:rsidRDefault="00A31135" w:rsidP="00A31135">
            <w:pPr>
              <w:jc w:val="right"/>
              <w:rPr>
                <w:rFonts w:ascii="Arial" w:hAnsi="Arial" w:cs="Arial"/>
                <w:color w:val="000000"/>
              </w:rPr>
            </w:pPr>
            <w:r w:rsidRPr="00A13612">
              <w:rPr>
                <w:rFonts w:ascii="Arial" w:hAnsi="Arial" w:cs="Arial"/>
                <w:color w:val="000000"/>
              </w:rPr>
              <w:t>-0.7451</w:t>
            </w:r>
          </w:p>
        </w:tc>
        <w:tc>
          <w:tcPr>
            <w:tcW w:w="1491" w:type="dxa"/>
            <w:tcBorders>
              <w:top w:val="nil"/>
              <w:bottom w:val="single" w:sz="4" w:space="0" w:color="auto"/>
            </w:tcBorders>
            <w:vAlign w:val="bottom"/>
          </w:tcPr>
          <w:p w14:paraId="61BC3792" w14:textId="0435F48C" w:rsidR="00A31135" w:rsidRPr="00A13612" w:rsidRDefault="00A31135" w:rsidP="00A31135">
            <w:pPr>
              <w:jc w:val="right"/>
              <w:rPr>
                <w:rFonts w:ascii="Arial" w:hAnsi="Arial" w:cs="Arial"/>
                <w:color w:val="000000"/>
              </w:rPr>
            </w:pPr>
            <w:r w:rsidRPr="00A13612">
              <w:rPr>
                <w:rFonts w:ascii="Arial" w:hAnsi="Arial" w:cs="Arial"/>
                <w:color w:val="000000"/>
              </w:rPr>
              <w:t>0.2466</w:t>
            </w:r>
          </w:p>
        </w:tc>
        <w:tc>
          <w:tcPr>
            <w:tcW w:w="1491" w:type="dxa"/>
            <w:tcBorders>
              <w:top w:val="nil"/>
              <w:bottom w:val="single" w:sz="4" w:space="0" w:color="auto"/>
            </w:tcBorders>
            <w:vAlign w:val="bottom"/>
          </w:tcPr>
          <w:p w14:paraId="0CACC8EA" w14:textId="24F34274" w:rsidR="00A31135" w:rsidRPr="00A13612" w:rsidRDefault="00A31135" w:rsidP="00A31135">
            <w:pPr>
              <w:jc w:val="right"/>
              <w:rPr>
                <w:rFonts w:ascii="Arial" w:hAnsi="Arial" w:cs="Arial"/>
              </w:rPr>
            </w:pPr>
            <w:r w:rsidRPr="00A13612">
              <w:rPr>
                <w:rFonts w:ascii="Arial" w:hAnsi="Arial" w:cs="Arial"/>
                <w:color w:val="000000"/>
              </w:rPr>
              <w:t>1.0000</w:t>
            </w:r>
          </w:p>
        </w:tc>
      </w:tr>
    </w:tbl>
    <w:p w14:paraId="174AF8AD" w14:textId="77777777" w:rsidR="00A31135" w:rsidRPr="00A13612" w:rsidRDefault="00A31135" w:rsidP="00441B6F">
      <w:pPr>
        <w:pStyle w:val="Body"/>
        <w:spacing w:after="0"/>
        <w:rPr>
          <w:rFonts w:ascii="Arial" w:hAnsi="Arial" w:cs="Arial"/>
        </w:rPr>
      </w:pPr>
    </w:p>
    <w:p w14:paraId="5A46EE42" w14:textId="77777777" w:rsidR="004E5219" w:rsidRPr="00A13612" w:rsidRDefault="004E5219" w:rsidP="00441B6F">
      <w:pPr>
        <w:pStyle w:val="Body"/>
        <w:spacing w:after="0"/>
        <w:rPr>
          <w:rFonts w:ascii="Arial" w:hAnsi="Arial" w:cs="Arial"/>
        </w:rPr>
      </w:pPr>
    </w:p>
    <w:p w14:paraId="75D1293A" w14:textId="44981E75" w:rsidR="00927834" w:rsidRPr="00A13612" w:rsidRDefault="001531CF" w:rsidP="00276991">
      <w:pPr>
        <w:autoSpaceDE w:val="0"/>
        <w:autoSpaceDN w:val="0"/>
        <w:adjustRightInd w:val="0"/>
        <w:jc w:val="center"/>
        <w:rPr>
          <w:rFonts w:ascii="Arial" w:hAnsi="Arial" w:cs="Arial"/>
          <w:b/>
          <w:bCs/>
          <w:sz w:val="22"/>
          <w:szCs w:val="22"/>
        </w:rPr>
      </w:pPr>
      <w:r w:rsidRPr="00A13612">
        <w:rPr>
          <w:rFonts w:ascii="Arial" w:hAnsi="Arial" w:cs="Arial"/>
        </w:rPr>
        <w:object w:dxaOrig="10040" w:dyaOrig="6290" w14:anchorId="501A8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224.25pt" o:ole="">
            <v:imagedata r:id="rId8" o:title=""/>
          </v:shape>
          <o:OLEObject Type="Embed" ProgID="EViews.Workfile.2" ShapeID="_x0000_i1025" DrawAspect="Content" ObjectID="_1807345734" r:id="rId9"/>
        </w:object>
      </w:r>
    </w:p>
    <w:p w14:paraId="74278BB4" w14:textId="77777777" w:rsidR="00927834" w:rsidRPr="00A13612" w:rsidRDefault="00927834" w:rsidP="00441B6F">
      <w:pPr>
        <w:autoSpaceDE w:val="0"/>
        <w:autoSpaceDN w:val="0"/>
        <w:adjustRightInd w:val="0"/>
        <w:jc w:val="both"/>
        <w:rPr>
          <w:rFonts w:ascii="Arial" w:hAnsi="Arial" w:cs="Arial"/>
          <w:b/>
          <w:bCs/>
          <w:szCs w:val="22"/>
        </w:rPr>
      </w:pPr>
    </w:p>
    <w:p w14:paraId="2C277F7D" w14:textId="772BC129" w:rsidR="00927834" w:rsidRPr="00A13612" w:rsidRDefault="009E048A" w:rsidP="00441B6F">
      <w:pPr>
        <w:autoSpaceDE w:val="0"/>
        <w:autoSpaceDN w:val="0"/>
        <w:adjustRightInd w:val="0"/>
        <w:jc w:val="both"/>
        <w:rPr>
          <w:rFonts w:ascii="Arial" w:hAnsi="Arial" w:cs="Arial"/>
          <w:b/>
          <w:bCs/>
          <w:szCs w:val="22"/>
        </w:rPr>
      </w:pPr>
      <w:r w:rsidRPr="00A13612">
        <w:rPr>
          <w:rFonts w:ascii="Arial" w:hAnsi="Arial" w:cs="Arial"/>
          <w:b/>
          <w:bCs/>
          <w:szCs w:val="22"/>
        </w:rPr>
        <w:t>Fig.</w:t>
      </w:r>
      <w:r w:rsidR="00927834" w:rsidRPr="00A13612">
        <w:rPr>
          <w:rFonts w:ascii="Arial" w:hAnsi="Arial" w:cs="Arial"/>
          <w:b/>
          <w:bCs/>
          <w:szCs w:val="22"/>
        </w:rPr>
        <w:t xml:space="preserve"> 1</w:t>
      </w:r>
      <w:r w:rsidRPr="00A13612">
        <w:rPr>
          <w:rFonts w:ascii="Arial" w:hAnsi="Arial" w:cs="Arial"/>
          <w:b/>
          <w:bCs/>
          <w:szCs w:val="22"/>
        </w:rPr>
        <w:t>.</w:t>
      </w:r>
      <w:r w:rsidR="00927834" w:rsidRPr="00A13612">
        <w:rPr>
          <w:rFonts w:ascii="Arial" w:hAnsi="Arial" w:cs="Arial"/>
          <w:b/>
          <w:bCs/>
          <w:szCs w:val="22"/>
        </w:rPr>
        <w:t xml:space="preserve"> </w:t>
      </w:r>
      <w:r w:rsidR="00A31135" w:rsidRPr="00A13612">
        <w:rPr>
          <w:rFonts w:ascii="Arial" w:hAnsi="Arial" w:cs="Arial"/>
          <w:b/>
          <w:bCs/>
          <w:szCs w:val="22"/>
        </w:rPr>
        <w:t>Trends of Model Variables</w:t>
      </w:r>
    </w:p>
    <w:p w14:paraId="2C24931E" w14:textId="01EC3F23" w:rsidR="00863BD3" w:rsidRPr="00A13612" w:rsidRDefault="00AB7482" w:rsidP="00AB7482">
      <w:pPr>
        <w:ind w:left="360"/>
        <w:jc w:val="both"/>
        <w:rPr>
          <w:rFonts w:ascii="Arial" w:hAnsi="Arial" w:cs="Arial"/>
          <w:i/>
          <w:sz w:val="18"/>
        </w:rPr>
      </w:pPr>
      <w:proofErr w:type="spellStart"/>
      <w:r w:rsidRPr="00A13612">
        <w:rPr>
          <w:rFonts w:ascii="Arial" w:hAnsi="Arial" w:cs="Arial"/>
          <w:i/>
          <w:sz w:val="18"/>
        </w:rPr>
        <w:t>Gdpg</w:t>
      </w:r>
      <w:proofErr w:type="spellEnd"/>
      <w:r w:rsidRPr="00A13612">
        <w:rPr>
          <w:rFonts w:ascii="Arial" w:hAnsi="Arial" w:cs="Arial"/>
          <w:i/>
          <w:sz w:val="18"/>
        </w:rPr>
        <w:t xml:space="preserve"> represents GDP growth. </w:t>
      </w:r>
      <w:proofErr w:type="spellStart"/>
      <w:r w:rsidRPr="00A13612">
        <w:rPr>
          <w:rFonts w:ascii="Arial" w:hAnsi="Arial" w:cs="Arial"/>
          <w:i/>
          <w:sz w:val="18"/>
        </w:rPr>
        <w:t>Capg</w:t>
      </w:r>
      <w:proofErr w:type="spellEnd"/>
      <w:r w:rsidRPr="00A13612">
        <w:rPr>
          <w:rFonts w:ascii="Arial" w:hAnsi="Arial" w:cs="Arial"/>
          <w:i/>
          <w:sz w:val="18"/>
        </w:rPr>
        <w:t xml:space="preserve"> depicts gross fixed capital formation growth. </w:t>
      </w:r>
      <w:proofErr w:type="spellStart"/>
      <w:r w:rsidRPr="00A13612">
        <w:rPr>
          <w:rFonts w:ascii="Arial" w:hAnsi="Arial" w:cs="Arial"/>
          <w:i/>
          <w:sz w:val="18"/>
        </w:rPr>
        <w:t>Wapg</w:t>
      </w:r>
      <w:proofErr w:type="spellEnd"/>
      <w:r w:rsidRPr="00A13612">
        <w:rPr>
          <w:rFonts w:ascii="Arial" w:hAnsi="Arial" w:cs="Arial"/>
          <w:i/>
          <w:sz w:val="18"/>
        </w:rPr>
        <w:t xml:space="preserve"> denotes working-age population growth. CPI signifies the consumer price index</w:t>
      </w:r>
    </w:p>
    <w:p w14:paraId="18D8DBB6" w14:textId="77777777" w:rsidR="00AB7482" w:rsidRPr="00A13612" w:rsidRDefault="00AB7482" w:rsidP="00AB7482">
      <w:pPr>
        <w:ind w:left="360"/>
        <w:jc w:val="both"/>
        <w:rPr>
          <w:rFonts w:ascii="Arial" w:hAnsi="Arial" w:cs="Arial"/>
        </w:rPr>
      </w:pPr>
    </w:p>
    <w:p w14:paraId="02568B58" w14:textId="77777777" w:rsidR="00A31135" w:rsidRPr="00A13612" w:rsidRDefault="00C30A0F" w:rsidP="00441B6F">
      <w:pPr>
        <w:pStyle w:val="Body"/>
        <w:spacing w:after="0"/>
        <w:rPr>
          <w:rFonts w:ascii="Arial" w:hAnsi="Arial" w:cs="Arial"/>
          <w:b/>
          <w:sz w:val="22"/>
        </w:rPr>
      </w:pPr>
      <w:r w:rsidRPr="00A13612">
        <w:rPr>
          <w:rFonts w:ascii="Arial" w:hAnsi="Arial" w:cs="Arial"/>
          <w:b/>
          <w:caps/>
          <w:sz w:val="22"/>
        </w:rPr>
        <w:t xml:space="preserve">3.1 </w:t>
      </w:r>
      <w:r w:rsidR="00A31135" w:rsidRPr="00A13612">
        <w:rPr>
          <w:rFonts w:ascii="Arial" w:hAnsi="Arial" w:cs="Arial"/>
          <w:b/>
          <w:sz w:val="22"/>
        </w:rPr>
        <w:t xml:space="preserve">Unit root test results </w:t>
      </w:r>
    </w:p>
    <w:p w14:paraId="6392F11C" w14:textId="77777777" w:rsidR="00A31135" w:rsidRPr="00A13612" w:rsidRDefault="00A31135" w:rsidP="00A31135">
      <w:pPr>
        <w:pStyle w:val="Body"/>
        <w:spacing w:after="0"/>
        <w:rPr>
          <w:rFonts w:ascii="Arial" w:hAnsi="Arial" w:cs="Arial"/>
          <w:b/>
          <w:caps/>
        </w:rPr>
      </w:pPr>
    </w:p>
    <w:p w14:paraId="40A5AC67" w14:textId="1C913D1F" w:rsidR="002673BB" w:rsidRPr="00A13612" w:rsidRDefault="00A31135" w:rsidP="00A31135">
      <w:pPr>
        <w:pStyle w:val="Body"/>
        <w:spacing w:after="0"/>
        <w:rPr>
          <w:rFonts w:ascii="Arial" w:hAnsi="Arial" w:cs="Arial"/>
        </w:rPr>
      </w:pPr>
      <w:r w:rsidRPr="00A13612">
        <w:rPr>
          <w:rFonts w:ascii="Arial" w:hAnsi="Arial" w:cs="Arial"/>
        </w:rPr>
        <w:t xml:space="preserve">Determining the order of integration for each variable used is crucial before proceeding with the ARDL-Bounds test. Critical values of F-statistics </w:t>
      </w:r>
      <w:r w:rsidR="002673BB" w:rsidRPr="00A13612">
        <w:rPr>
          <w:rFonts w:ascii="Arial" w:hAnsi="Arial" w:cs="Arial"/>
        </w:rPr>
        <w:t xml:space="preserve">in ARDL </w:t>
      </w:r>
      <w:r w:rsidRPr="00A13612">
        <w:rPr>
          <w:rFonts w:ascii="Arial" w:hAnsi="Arial" w:cs="Arial"/>
        </w:rPr>
        <w:t xml:space="preserve">are based on the assumption that variables are either </w:t>
      </w:r>
      <w:proofErr w:type="gramStart"/>
      <w:r w:rsidRPr="00A13612">
        <w:rPr>
          <w:rFonts w:ascii="Arial" w:hAnsi="Arial" w:cs="Arial"/>
        </w:rPr>
        <w:t>I(</w:t>
      </w:r>
      <w:proofErr w:type="gramEnd"/>
      <w:r w:rsidRPr="00A13612">
        <w:rPr>
          <w:rFonts w:ascii="Arial" w:hAnsi="Arial" w:cs="Arial"/>
        </w:rPr>
        <w:t xml:space="preserve">0) or </w:t>
      </w:r>
      <w:proofErr w:type="gramStart"/>
      <w:r w:rsidRPr="00A13612">
        <w:rPr>
          <w:rFonts w:ascii="Arial" w:hAnsi="Arial" w:cs="Arial"/>
        </w:rPr>
        <w:t>I(</w:t>
      </w:r>
      <w:proofErr w:type="gramEnd"/>
      <w:r w:rsidRPr="00A13612">
        <w:rPr>
          <w:rFonts w:ascii="Arial" w:hAnsi="Arial" w:cs="Arial"/>
        </w:rPr>
        <w:t xml:space="preserve">1). </w:t>
      </w:r>
      <w:r w:rsidR="007D54E7" w:rsidRPr="00A13612">
        <w:rPr>
          <w:rFonts w:ascii="Arial" w:hAnsi="Arial" w:cs="Arial"/>
        </w:rPr>
        <w:t xml:space="preserve">Therefore, this study employs the ZA test for unit root investigation. </w:t>
      </w:r>
      <w:r w:rsidR="002673BB" w:rsidRPr="00A13612">
        <w:rPr>
          <w:rFonts w:ascii="Arial" w:hAnsi="Arial" w:cs="Arial"/>
        </w:rPr>
        <w:t>T</w:t>
      </w:r>
      <w:r w:rsidRPr="00A13612">
        <w:rPr>
          <w:rFonts w:ascii="Arial" w:hAnsi="Arial" w:cs="Arial"/>
        </w:rPr>
        <w:t>he ZA test</w:t>
      </w:r>
      <w:r w:rsidR="002673BB" w:rsidRPr="00A13612">
        <w:rPr>
          <w:rFonts w:ascii="Arial" w:hAnsi="Arial" w:cs="Arial"/>
        </w:rPr>
        <w:t xml:space="preserve"> is </w:t>
      </w:r>
      <w:r w:rsidR="007D54E7" w:rsidRPr="00A13612">
        <w:rPr>
          <w:rFonts w:ascii="Arial" w:hAnsi="Arial" w:cs="Arial"/>
        </w:rPr>
        <w:t>utilized</w:t>
      </w:r>
      <w:r w:rsidR="002673BB" w:rsidRPr="00A13612">
        <w:rPr>
          <w:rFonts w:ascii="Arial" w:hAnsi="Arial" w:cs="Arial"/>
        </w:rPr>
        <w:t xml:space="preserve"> </w:t>
      </w:r>
      <w:r w:rsidR="00AB7482" w:rsidRPr="00A13612">
        <w:rPr>
          <w:rFonts w:ascii="Arial" w:hAnsi="Arial" w:cs="Arial"/>
        </w:rPr>
        <w:t>because</w:t>
      </w:r>
      <w:r w:rsidR="002673BB" w:rsidRPr="00A13612">
        <w:rPr>
          <w:rFonts w:ascii="Arial" w:hAnsi="Arial" w:cs="Arial"/>
        </w:rPr>
        <w:t xml:space="preserve"> </w:t>
      </w:r>
      <w:r w:rsidR="00AB7482" w:rsidRPr="00A13612">
        <w:rPr>
          <w:rFonts w:ascii="Arial" w:hAnsi="Arial" w:cs="Arial"/>
        </w:rPr>
        <w:t xml:space="preserve">it </w:t>
      </w:r>
      <w:proofErr w:type="spellStart"/>
      <w:r w:rsidR="007D54E7" w:rsidRPr="00A13612">
        <w:rPr>
          <w:rFonts w:ascii="Arial" w:hAnsi="Arial" w:cs="Arial"/>
        </w:rPr>
        <w:t>acommodats</w:t>
      </w:r>
      <w:proofErr w:type="spellEnd"/>
      <w:r w:rsidR="002673BB" w:rsidRPr="00A13612">
        <w:rPr>
          <w:rFonts w:ascii="Arial" w:hAnsi="Arial" w:cs="Arial"/>
        </w:rPr>
        <w:t xml:space="preserve"> structural breaks. </w:t>
      </w:r>
      <w:r w:rsidRPr="00A13612">
        <w:rPr>
          <w:rFonts w:ascii="Arial" w:hAnsi="Arial" w:cs="Arial"/>
        </w:rPr>
        <w:t xml:space="preserve">The model includes </w:t>
      </w:r>
      <w:r w:rsidR="002673BB" w:rsidRPr="00A13612">
        <w:rPr>
          <w:rFonts w:ascii="Arial" w:hAnsi="Arial" w:cs="Arial"/>
        </w:rPr>
        <w:t xml:space="preserve">the </w:t>
      </w:r>
      <w:r w:rsidR="00AB7482" w:rsidRPr="00A13612">
        <w:rPr>
          <w:rFonts w:ascii="Arial" w:hAnsi="Arial" w:cs="Arial"/>
        </w:rPr>
        <w:t>deterministic</w:t>
      </w:r>
      <w:r w:rsidR="002673BB" w:rsidRPr="00A13612">
        <w:rPr>
          <w:rFonts w:ascii="Arial" w:hAnsi="Arial" w:cs="Arial"/>
        </w:rPr>
        <w:t xml:space="preserve"> terms of</w:t>
      </w:r>
      <w:r w:rsidRPr="00A13612">
        <w:rPr>
          <w:rFonts w:ascii="Arial" w:hAnsi="Arial" w:cs="Arial"/>
        </w:rPr>
        <w:t xml:space="preserve"> trend and intercept. </w:t>
      </w:r>
    </w:p>
    <w:p w14:paraId="156585AF" w14:textId="77777777" w:rsidR="002673BB" w:rsidRPr="00A13612" w:rsidRDefault="002673BB" w:rsidP="00A31135">
      <w:pPr>
        <w:pStyle w:val="Body"/>
        <w:spacing w:after="0"/>
        <w:rPr>
          <w:rFonts w:ascii="Arial" w:hAnsi="Arial" w:cs="Arial"/>
        </w:rPr>
      </w:pPr>
    </w:p>
    <w:p w14:paraId="33718BBA" w14:textId="4C35B366" w:rsidR="00A31135" w:rsidRPr="00A13612" w:rsidRDefault="002673BB" w:rsidP="00A31135">
      <w:pPr>
        <w:pStyle w:val="Body"/>
        <w:spacing w:after="0"/>
        <w:rPr>
          <w:rFonts w:ascii="Arial" w:hAnsi="Arial" w:cs="Arial"/>
        </w:rPr>
      </w:pPr>
      <w:r w:rsidRPr="00A13612">
        <w:rPr>
          <w:rFonts w:ascii="Arial" w:hAnsi="Arial" w:cs="Arial"/>
        </w:rPr>
        <w:t xml:space="preserve">Table 3 presents the results of the unit root check by setting </w:t>
      </w:r>
      <w:r w:rsidR="00AB7482" w:rsidRPr="00A13612">
        <w:rPr>
          <w:rFonts w:ascii="Arial" w:hAnsi="Arial" w:cs="Arial"/>
        </w:rPr>
        <w:t xml:space="preserve">the </w:t>
      </w:r>
      <w:r w:rsidRPr="00A13612">
        <w:rPr>
          <w:rFonts w:ascii="Arial" w:hAnsi="Arial" w:cs="Arial"/>
        </w:rPr>
        <w:t xml:space="preserve">maximum lag </w:t>
      </w:r>
      <w:r w:rsidR="00AB7482" w:rsidRPr="00A13612">
        <w:rPr>
          <w:rFonts w:ascii="Arial" w:hAnsi="Arial" w:cs="Arial"/>
        </w:rPr>
        <w:t>to</w:t>
      </w:r>
      <w:r w:rsidRPr="00A13612">
        <w:rPr>
          <w:rFonts w:ascii="Arial" w:hAnsi="Arial" w:cs="Arial"/>
        </w:rPr>
        <w:t xml:space="preserve"> 4. </w:t>
      </w:r>
      <w:r w:rsidR="00A31135" w:rsidRPr="00A13612">
        <w:rPr>
          <w:rFonts w:ascii="Arial" w:hAnsi="Arial" w:cs="Arial"/>
        </w:rPr>
        <w:t xml:space="preserve">Gross fixed capital formation growth, working-age population growth, and consumer price index are observed to reject the null hypothesis at their original data level. Therefore, these variables are integrated into order zero, </w:t>
      </w:r>
      <w:proofErr w:type="gramStart"/>
      <w:r w:rsidR="00A31135" w:rsidRPr="00A13612">
        <w:rPr>
          <w:rFonts w:ascii="Arial" w:hAnsi="Arial" w:cs="Arial"/>
        </w:rPr>
        <w:t>I(</w:t>
      </w:r>
      <w:proofErr w:type="gramEnd"/>
      <w:r w:rsidR="00A31135" w:rsidRPr="00A13612">
        <w:rPr>
          <w:rFonts w:ascii="Arial" w:hAnsi="Arial" w:cs="Arial"/>
        </w:rPr>
        <w:t xml:space="preserve">0). Economic growth is found to reject the null hypothesis at its first difference, indicating first-order integration, </w:t>
      </w:r>
      <w:proofErr w:type="gramStart"/>
      <w:r w:rsidR="00A31135" w:rsidRPr="00A13612">
        <w:rPr>
          <w:rFonts w:ascii="Arial" w:hAnsi="Arial" w:cs="Arial"/>
        </w:rPr>
        <w:t>I(</w:t>
      </w:r>
      <w:proofErr w:type="gramEnd"/>
      <w:r w:rsidR="00A31135" w:rsidRPr="00A13612">
        <w:rPr>
          <w:rFonts w:ascii="Arial" w:hAnsi="Arial" w:cs="Arial"/>
        </w:rPr>
        <w:t xml:space="preserve">1). None of the model variables are second-order stationary, </w:t>
      </w:r>
      <w:proofErr w:type="gramStart"/>
      <w:r w:rsidR="00A31135" w:rsidRPr="00A13612">
        <w:rPr>
          <w:rFonts w:ascii="Arial" w:hAnsi="Arial" w:cs="Arial"/>
        </w:rPr>
        <w:t>I(</w:t>
      </w:r>
      <w:proofErr w:type="gramEnd"/>
      <w:r w:rsidR="00A31135" w:rsidRPr="00A13612">
        <w:rPr>
          <w:rFonts w:ascii="Arial" w:hAnsi="Arial" w:cs="Arial"/>
        </w:rPr>
        <w:t xml:space="preserve">2); </w:t>
      </w:r>
      <w:r w:rsidR="00EC40CA" w:rsidRPr="00A13612">
        <w:rPr>
          <w:rFonts w:ascii="Arial" w:hAnsi="Arial" w:cs="Arial"/>
        </w:rPr>
        <w:t>Hence</w:t>
      </w:r>
      <w:r w:rsidR="00A31135" w:rsidRPr="00A13612">
        <w:rPr>
          <w:rFonts w:ascii="Arial" w:hAnsi="Arial" w:cs="Arial"/>
        </w:rPr>
        <w:t xml:space="preserve">, the ARDL-Bounds test is </w:t>
      </w:r>
      <w:r w:rsidR="00EC40CA" w:rsidRPr="00A13612">
        <w:rPr>
          <w:rFonts w:ascii="Arial" w:hAnsi="Arial" w:cs="Arial"/>
        </w:rPr>
        <w:t xml:space="preserve">a proper estimation </w:t>
      </w:r>
      <w:r w:rsidR="001531CF" w:rsidRPr="00A13612">
        <w:rPr>
          <w:rFonts w:ascii="Arial" w:hAnsi="Arial" w:cs="Arial"/>
        </w:rPr>
        <w:t xml:space="preserve">approach </w:t>
      </w:r>
      <w:r w:rsidR="00A31135" w:rsidRPr="00A13612">
        <w:rPr>
          <w:rFonts w:ascii="Arial" w:hAnsi="Arial" w:cs="Arial"/>
        </w:rPr>
        <w:t>for the application.</w:t>
      </w:r>
    </w:p>
    <w:p w14:paraId="43485930" w14:textId="77777777" w:rsidR="0042060D" w:rsidRPr="00A13612" w:rsidRDefault="0042060D" w:rsidP="00441B6F">
      <w:pPr>
        <w:pStyle w:val="Body"/>
        <w:spacing w:after="0"/>
        <w:rPr>
          <w:rFonts w:ascii="Arial" w:hAnsi="Arial" w:cs="Arial"/>
        </w:rPr>
      </w:pPr>
    </w:p>
    <w:p w14:paraId="3C32A889" w14:textId="6CFDD0DD" w:rsidR="005B7238" w:rsidRPr="00A13612" w:rsidRDefault="005B7238" w:rsidP="005B7238">
      <w:pPr>
        <w:tabs>
          <w:tab w:val="left" w:pos="1080"/>
        </w:tabs>
        <w:jc w:val="both"/>
        <w:rPr>
          <w:rFonts w:ascii="Arial" w:hAnsi="Arial" w:cs="Arial"/>
          <w:b/>
        </w:rPr>
      </w:pPr>
      <w:r w:rsidRPr="00A13612">
        <w:rPr>
          <w:rFonts w:ascii="Arial" w:hAnsi="Arial" w:cs="Arial"/>
          <w:b/>
        </w:rPr>
        <w:t>Table 3. The ZA test</w:t>
      </w:r>
    </w:p>
    <w:p w14:paraId="4C3C77AB" w14:textId="77777777" w:rsidR="005B7238" w:rsidRPr="00A13612" w:rsidRDefault="005B7238" w:rsidP="00441B6F">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944"/>
        <w:gridCol w:w="926"/>
        <w:gridCol w:w="832"/>
        <w:gridCol w:w="922"/>
        <w:gridCol w:w="944"/>
        <w:gridCol w:w="927"/>
        <w:gridCol w:w="833"/>
        <w:gridCol w:w="922"/>
      </w:tblGrid>
      <w:tr w:rsidR="00A31135" w:rsidRPr="00A13612" w14:paraId="06108937" w14:textId="77777777" w:rsidTr="0042060D">
        <w:tc>
          <w:tcPr>
            <w:tcW w:w="974" w:type="dxa"/>
            <w:tcBorders>
              <w:top w:val="single" w:sz="4" w:space="0" w:color="auto"/>
              <w:bottom w:val="single" w:sz="4" w:space="0" w:color="auto"/>
            </w:tcBorders>
          </w:tcPr>
          <w:p w14:paraId="40629BB2" w14:textId="77777777" w:rsidR="00A31135" w:rsidRPr="00A13612" w:rsidRDefault="00A31135" w:rsidP="00C4598A">
            <w:pPr>
              <w:rPr>
                <w:rFonts w:ascii="Arial" w:hAnsi="Arial" w:cs="Arial"/>
                <w:sz w:val="20"/>
                <w:szCs w:val="20"/>
              </w:rPr>
            </w:pPr>
          </w:p>
        </w:tc>
        <w:tc>
          <w:tcPr>
            <w:tcW w:w="3724" w:type="dxa"/>
            <w:gridSpan w:val="4"/>
            <w:tcBorders>
              <w:top w:val="single" w:sz="4" w:space="0" w:color="auto"/>
              <w:bottom w:val="single" w:sz="4" w:space="0" w:color="auto"/>
            </w:tcBorders>
          </w:tcPr>
          <w:p w14:paraId="21FBE11E" w14:textId="77777777" w:rsidR="00A31135" w:rsidRPr="00A13612" w:rsidRDefault="00A31135" w:rsidP="00C4598A">
            <w:pPr>
              <w:jc w:val="center"/>
              <w:rPr>
                <w:rFonts w:ascii="Arial" w:hAnsi="Arial" w:cs="Arial"/>
                <w:sz w:val="20"/>
                <w:szCs w:val="20"/>
              </w:rPr>
            </w:pPr>
            <w:r w:rsidRPr="00A13612">
              <w:rPr>
                <w:rFonts w:ascii="Arial" w:eastAsia="Times New Roman" w:hAnsi="Arial" w:cs="Arial"/>
                <w:color w:val="000000"/>
                <w:sz w:val="20"/>
                <w:szCs w:val="20"/>
              </w:rPr>
              <w:t xml:space="preserve">Level </w:t>
            </w:r>
          </w:p>
        </w:tc>
        <w:tc>
          <w:tcPr>
            <w:tcW w:w="3726" w:type="dxa"/>
            <w:gridSpan w:val="4"/>
            <w:tcBorders>
              <w:top w:val="single" w:sz="4" w:space="0" w:color="auto"/>
              <w:bottom w:val="single" w:sz="4" w:space="0" w:color="auto"/>
            </w:tcBorders>
            <w:vAlign w:val="bottom"/>
          </w:tcPr>
          <w:p w14:paraId="56F8137D" w14:textId="77777777" w:rsidR="00A31135" w:rsidRPr="00A13612" w:rsidRDefault="00A31135" w:rsidP="00C4598A">
            <w:pPr>
              <w:jc w:val="center"/>
              <w:rPr>
                <w:rFonts w:ascii="Arial" w:hAnsi="Arial" w:cs="Arial"/>
                <w:sz w:val="20"/>
                <w:szCs w:val="20"/>
              </w:rPr>
            </w:pPr>
            <w:r w:rsidRPr="00A13612">
              <w:rPr>
                <w:rFonts w:ascii="Arial" w:eastAsia="Times New Roman" w:hAnsi="Arial" w:cs="Arial"/>
                <w:color w:val="000000"/>
                <w:sz w:val="20"/>
                <w:szCs w:val="20"/>
              </w:rPr>
              <w:t>First difference</w:t>
            </w:r>
          </w:p>
        </w:tc>
      </w:tr>
      <w:tr w:rsidR="00A31135" w:rsidRPr="00A13612" w14:paraId="030A2727" w14:textId="77777777" w:rsidTr="0042060D">
        <w:tc>
          <w:tcPr>
            <w:tcW w:w="974" w:type="dxa"/>
            <w:tcBorders>
              <w:top w:val="single" w:sz="4" w:space="0" w:color="auto"/>
              <w:bottom w:val="single" w:sz="4" w:space="0" w:color="auto"/>
            </w:tcBorders>
            <w:vAlign w:val="bottom"/>
          </w:tcPr>
          <w:p w14:paraId="436CBE8C" w14:textId="77777777" w:rsidR="00A31135" w:rsidRPr="00A13612" w:rsidRDefault="00A31135" w:rsidP="00C4598A">
            <w:pPr>
              <w:rPr>
                <w:rFonts w:ascii="Arial" w:hAnsi="Arial" w:cs="Arial"/>
                <w:sz w:val="20"/>
                <w:szCs w:val="20"/>
              </w:rPr>
            </w:pPr>
          </w:p>
        </w:tc>
        <w:tc>
          <w:tcPr>
            <w:tcW w:w="963" w:type="dxa"/>
            <w:tcBorders>
              <w:top w:val="single" w:sz="4" w:space="0" w:color="auto"/>
              <w:bottom w:val="single" w:sz="4" w:space="0" w:color="auto"/>
            </w:tcBorders>
            <w:vAlign w:val="bottom"/>
          </w:tcPr>
          <w:p w14:paraId="3DD6EA36" w14:textId="5499ACDE" w:rsidR="00A31135" w:rsidRPr="00A13612" w:rsidRDefault="007D54E7" w:rsidP="007D54E7">
            <w:pPr>
              <w:jc w:val="center"/>
              <w:rPr>
                <w:rFonts w:ascii="Arial" w:hAnsi="Arial" w:cs="Arial"/>
                <w:sz w:val="20"/>
                <w:szCs w:val="20"/>
              </w:rPr>
            </w:pPr>
            <w:r w:rsidRPr="00A13612">
              <w:rPr>
                <w:rFonts w:ascii="Arial" w:eastAsia="Times New Roman" w:hAnsi="Arial" w:cs="Arial"/>
                <w:color w:val="000000"/>
                <w:sz w:val="20"/>
                <w:szCs w:val="20"/>
              </w:rPr>
              <w:t>S</w:t>
            </w:r>
            <w:r w:rsidR="00A31135" w:rsidRPr="00A13612">
              <w:rPr>
                <w:rFonts w:ascii="Arial" w:eastAsia="Times New Roman" w:hAnsi="Arial" w:cs="Arial"/>
                <w:color w:val="000000"/>
                <w:sz w:val="20"/>
                <w:szCs w:val="20"/>
              </w:rPr>
              <w:t>tat</w:t>
            </w:r>
            <w:r w:rsidRPr="00A13612">
              <w:rPr>
                <w:rFonts w:ascii="Arial" w:eastAsia="Times New Roman" w:hAnsi="Arial" w:cs="Arial"/>
                <w:color w:val="000000"/>
                <w:sz w:val="20"/>
                <w:szCs w:val="20"/>
              </w:rPr>
              <w:t>.</w:t>
            </w:r>
          </w:p>
        </w:tc>
        <w:tc>
          <w:tcPr>
            <w:tcW w:w="943" w:type="dxa"/>
            <w:tcBorders>
              <w:top w:val="single" w:sz="4" w:space="0" w:color="auto"/>
              <w:bottom w:val="single" w:sz="4" w:space="0" w:color="auto"/>
            </w:tcBorders>
            <w:vAlign w:val="bottom"/>
          </w:tcPr>
          <w:p w14:paraId="78E3DBED" w14:textId="77777777" w:rsidR="00A31135" w:rsidRPr="00A13612" w:rsidRDefault="00A31135" w:rsidP="007D54E7">
            <w:pPr>
              <w:jc w:val="center"/>
              <w:rPr>
                <w:rFonts w:ascii="Arial" w:hAnsi="Arial" w:cs="Arial"/>
                <w:sz w:val="20"/>
                <w:szCs w:val="20"/>
              </w:rPr>
            </w:pPr>
            <w:r w:rsidRPr="00A13612">
              <w:rPr>
                <w:rFonts w:ascii="Arial" w:eastAsia="Times New Roman" w:hAnsi="Arial" w:cs="Arial"/>
                <w:color w:val="000000"/>
                <w:sz w:val="20"/>
                <w:szCs w:val="20"/>
              </w:rPr>
              <w:t>p-value</w:t>
            </w:r>
          </w:p>
        </w:tc>
        <w:tc>
          <w:tcPr>
            <w:tcW w:w="874" w:type="dxa"/>
            <w:tcBorders>
              <w:top w:val="single" w:sz="4" w:space="0" w:color="auto"/>
              <w:bottom w:val="single" w:sz="4" w:space="0" w:color="auto"/>
            </w:tcBorders>
            <w:vAlign w:val="bottom"/>
          </w:tcPr>
          <w:p w14:paraId="587909C8" w14:textId="084FEDE3" w:rsidR="00A31135" w:rsidRPr="00A13612" w:rsidRDefault="007D54E7" w:rsidP="007D54E7">
            <w:pPr>
              <w:jc w:val="center"/>
              <w:rPr>
                <w:rFonts w:ascii="Arial" w:hAnsi="Arial" w:cs="Arial"/>
                <w:sz w:val="20"/>
                <w:szCs w:val="20"/>
              </w:rPr>
            </w:pPr>
            <w:r w:rsidRPr="00A13612">
              <w:rPr>
                <w:rFonts w:ascii="Arial" w:hAnsi="Arial" w:cs="Arial"/>
                <w:sz w:val="20"/>
                <w:szCs w:val="20"/>
              </w:rPr>
              <w:t>k</w:t>
            </w:r>
          </w:p>
        </w:tc>
        <w:tc>
          <w:tcPr>
            <w:tcW w:w="944" w:type="dxa"/>
            <w:tcBorders>
              <w:top w:val="single" w:sz="4" w:space="0" w:color="auto"/>
              <w:bottom w:val="single" w:sz="4" w:space="0" w:color="auto"/>
            </w:tcBorders>
            <w:vAlign w:val="bottom"/>
          </w:tcPr>
          <w:p w14:paraId="36793312" w14:textId="3209EDC8" w:rsidR="00A31135" w:rsidRPr="00A13612" w:rsidRDefault="007D54E7" w:rsidP="007D54E7">
            <w:pPr>
              <w:jc w:val="center"/>
              <w:rPr>
                <w:rFonts w:ascii="Arial" w:hAnsi="Arial" w:cs="Arial"/>
                <w:sz w:val="20"/>
                <w:szCs w:val="20"/>
              </w:rPr>
            </w:pPr>
            <w:r w:rsidRPr="00A13612">
              <w:rPr>
                <w:rFonts w:ascii="Arial" w:hAnsi="Arial" w:cs="Arial"/>
                <w:sz w:val="20"/>
                <w:szCs w:val="20"/>
              </w:rPr>
              <w:t>B</w:t>
            </w:r>
          </w:p>
        </w:tc>
        <w:tc>
          <w:tcPr>
            <w:tcW w:w="963" w:type="dxa"/>
            <w:tcBorders>
              <w:top w:val="single" w:sz="4" w:space="0" w:color="auto"/>
              <w:bottom w:val="single" w:sz="4" w:space="0" w:color="auto"/>
            </w:tcBorders>
            <w:vAlign w:val="bottom"/>
          </w:tcPr>
          <w:p w14:paraId="62A90537" w14:textId="559BF030" w:rsidR="00A31135" w:rsidRPr="00A13612" w:rsidRDefault="007D54E7" w:rsidP="007D54E7">
            <w:pPr>
              <w:jc w:val="center"/>
              <w:rPr>
                <w:rFonts w:ascii="Arial" w:hAnsi="Arial" w:cs="Arial"/>
                <w:sz w:val="20"/>
                <w:szCs w:val="20"/>
              </w:rPr>
            </w:pPr>
            <w:r w:rsidRPr="00A13612">
              <w:rPr>
                <w:rFonts w:ascii="Arial" w:eastAsia="Times New Roman" w:hAnsi="Arial" w:cs="Arial"/>
                <w:color w:val="000000"/>
                <w:sz w:val="20"/>
                <w:szCs w:val="20"/>
              </w:rPr>
              <w:t>Stat.</w:t>
            </w:r>
          </w:p>
        </w:tc>
        <w:tc>
          <w:tcPr>
            <w:tcW w:w="944" w:type="dxa"/>
            <w:tcBorders>
              <w:top w:val="single" w:sz="4" w:space="0" w:color="auto"/>
              <w:bottom w:val="single" w:sz="4" w:space="0" w:color="auto"/>
            </w:tcBorders>
            <w:vAlign w:val="bottom"/>
          </w:tcPr>
          <w:p w14:paraId="0939FA5B" w14:textId="77777777" w:rsidR="00A31135" w:rsidRPr="00A13612" w:rsidRDefault="00A31135" w:rsidP="007D54E7">
            <w:pPr>
              <w:jc w:val="center"/>
              <w:rPr>
                <w:rFonts w:ascii="Arial" w:hAnsi="Arial" w:cs="Arial"/>
                <w:sz w:val="20"/>
                <w:szCs w:val="20"/>
              </w:rPr>
            </w:pPr>
            <w:r w:rsidRPr="00A13612">
              <w:rPr>
                <w:rFonts w:ascii="Arial" w:eastAsia="Times New Roman" w:hAnsi="Arial" w:cs="Arial"/>
                <w:color w:val="000000"/>
                <w:sz w:val="20"/>
                <w:szCs w:val="20"/>
              </w:rPr>
              <w:t>p-value</w:t>
            </w:r>
          </w:p>
        </w:tc>
        <w:tc>
          <w:tcPr>
            <w:tcW w:w="875" w:type="dxa"/>
            <w:tcBorders>
              <w:top w:val="single" w:sz="4" w:space="0" w:color="auto"/>
              <w:bottom w:val="single" w:sz="4" w:space="0" w:color="auto"/>
            </w:tcBorders>
            <w:vAlign w:val="bottom"/>
          </w:tcPr>
          <w:p w14:paraId="104633B4" w14:textId="15B66C09" w:rsidR="00A31135" w:rsidRPr="00A13612" w:rsidRDefault="007D54E7" w:rsidP="007D54E7">
            <w:pPr>
              <w:jc w:val="center"/>
              <w:rPr>
                <w:rFonts w:ascii="Arial" w:hAnsi="Arial" w:cs="Arial"/>
                <w:sz w:val="20"/>
                <w:szCs w:val="20"/>
              </w:rPr>
            </w:pPr>
            <w:r w:rsidRPr="00A13612">
              <w:rPr>
                <w:rFonts w:ascii="Arial" w:hAnsi="Arial" w:cs="Arial"/>
                <w:sz w:val="20"/>
                <w:szCs w:val="20"/>
              </w:rPr>
              <w:t>k</w:t>
            </w:r>
          </w:p>
        </w:tc>
        <w:tc>
          <w:tcPr>
            <w:tcW w:w="944" w:type="dxa"/>
            <w:tcBorders>
              <w:top w:val="single" w:sz="4" w:space="0" w:color="auto"/>
              <w:bottom w:val="single" w:sz="4" w:space="0" w:color="auto"/>
            </w:tcBorders>
            <w:vAlign w:val="bottom"/>
          </w:tcPr>
          <w:p w14:paraId="703A2E2B" w14:textId="4639CA12" w:rsidR="00A31135" w:rsidRPr="00A13612" w:rsidRDefault="007D54E7" w:rsidP="007D54E7">
            <w:pPr>
              <w:jc w:val="center"/>
              <w:rPr>
                <w:rFonts w:ascii="Arial" w:hAnsi="Arial" w:cs="Arial"/>
                <w:sz w:val="20"/>
                <w:szCs w:val="20"/>
              </w:rPr>
            </w:pPr>
            <w:r w:rsidRPr="00A13612">
              <w:rPr>
                <w:rFonts w:ascii="Arial" w:hAnsi="Arial" w:cs="Arial"/>
                <w:sz w:val="20"/>
                <w:szCs w:val="20"/>
              </w:rPr>
              <w:t>B</w:t>
            </w:r>
          </w:p>
        </w:tc>
      </w:tr>
      <w:tr w:rsidR="00A31135" w:rsidRPr="00A13612" w14:paraId="2498C0AB" w14:textId="77777777" w:rsidTr="0042060D">
        <w:tc>
          <w:tcPr>
            <w:tcW w:w="974" w:type="dxa"/>
            <w:tcBorders>
              <w:top w:val="single" w:sz="4" w:space="0" w:color="auto"/>
            </w:tcBorders>
            <w:vAlign w:val="bottom"/>
          </w:tcPr>
          <w:p w14:paraId="378CBCA4" w14:textId="16D1B2BC" w:rsidR="00A31135" w:rsidRPr="00A13612" w:rsidRDefault="0042060D" w:rsidP="00C4598A">
            <w:pPr>
              <w:rPr>
                <w:rFonts w:ascii="Arial" w:hAnsi="Arial" w:cs="Arial"/>
                <w:sz w:val="20"/>
                <w:szCs w:val="20"/>
              </w:rPr>
            </w:pPr>
            <w:proofErr w:type="spellStart"/>
            <w:r w:rsidRPr="00A13612">
              <w:rPr>
                <w:rFonts w:ascii="Arial" w:eastAsia="Times New Roman" w:hAnsi="Arial" w:cs="Arial"/>
                <w:color w:val="000000"/>
                <w:sz w:val="20"/>
                <w:szCs w:val="20"/>
              </w:rPr>
              <w:t>GDPg</w:t>
            </w:r>
            <w:proofErr w:type="spellEnd"/>
          </w:p>
        </w:tc>
        <w:tc>
          <w:tcPr>
            <w:tcW w:w="963" w:type="dxa"/>
            <w:tcBorders>
              <w:top w:val="single" w:sz="4" w:space="0" w:color="auto"/>
            </w:tcBorders>
            <w:vAlign w:val="bottom"/>
          </w:tcPr>
          <w:p w14:paraId="2D2D9F45"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-5.179</w:t>
            </w:r>
          </w:p>
        </w:tc>
        <w:tc>
          <w:tcPr>
            <w:tcW w:w="943" w:type="dxa"/>
            <w:tcBorders>
              <w:top w:val="single" w:sz="4" w:space="0" w:color="auto"/>
            </w:tcBorders>
            <w:vAlign w:val="bottom"/>
          </w:tcPr>
          <w:p w14:paraId="4A43F3AE"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0.113</w:t>
            </w:r>
          </w:p>
        </w:tc>
        <w:tc>
          <w:tcPr>
            <w:tcW w:w="874" w:type="dxa"/>
            <w:tcBorders>
              <w:top w:val="single" w:sz="4" w:space="0" w:color="auto"/>
            </w:tcBorders>
            <w:vAlign w:val="bottom"/>
          </w:tcPr>
          <w:p w14:paraId="2BE83D58"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w:t>
            </w:r>
          </w:p>
        </w:tc>
        <w:tc>
          <w:tcPr>
            <w:tcW w:w="944" w:type="dxa"/>
            <w:tcBorders>
              <w:top w:val="single" w:sz="4" w:space="0" w:color="auto"/>
            </w:tcBorders>
            <w:vAlign w:val="bottom"/>
          </w:tcPr>
          <w:p w14:paraId="0786185D"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1997</w:t>
            </w:r>
          </w:p>
        </w:tc>
        <w:tc>
          <w:tcPr>
            <w:tcW w:w="963" w:type="dxa"/>
            <w:tcBorders>
              <w:top w:val="single" w:sz="4" w:space="0" w:color="auto"/>
            </w:tcBorders>
            <w:vAlign w:val="bottom"/>
          </w:tcPr>
          <w:p w14:paraId="3E614E86" w14:textId="3FD42215"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-7.722</w:t>
            </w:r>
          </w:p>
        </w:tc>
        <w:tc>
          <w:tcPr>
            <w:tcW w:w="944" w:type="dxa"/>
            <w:tcBorders>
              <w:top w:val="single" w:sz="4" w:space="0" w:color="auto"/>
            </w:tcBorders>
            <w:vAlign w:val="bottom"/>
          </w:tcPr>
          <w:p w14:paraId="360E40FF"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0.000</w:t>
            </w:r>
          </w:p>
        </w:tc>
        <w:tc>
          <w:tcPr>
            <w:tcW w:w="875" w:type="dxa"/>
            <w:tcBorders>
              <w:top w:val="single" w:sz="4" w:space="0" w:color="auto"/>
            </w:tcBorders>
            <w:vAlign w:val="bottom"/>
          </w:tcPr>
          <w:p w14:paraId="5BE05A11"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w:t>
            </w:r>
          </w:p>
        </w:tc>
        <w:tc>
          <w:tcPr>
            <w:tcW w:w="944" w:type="dxa"/>
            <w:tcBorders>
              <w:top w:val="single" w:sz="4" w:space="0" w:color="auto"/>
            </w:tcBorders>
            <w:vAlign w:val="bottom"/>
          </w:tcPr>
          <w:p w14:paraId="48EC1970"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1999</w:t>
            </w:r>
          </w:p>
        </w:tc>
      </w:tr>
      <w:tr w:rsidR="0042060D" w:rsidRPr="00A13612" w14:paraId="03D3A049" w14:textId="77777777" w:rsidTr="0042060D">
        <w:tc>
          <w:tcPr>
            <w:tcW w:w="974" w:type="dxa"/>
            <w:vAlign w:val="bottom"/>
          </w:tcPr>
          <w:p w14:paraId="132437F1" w14:textId="4A5A03F5" w:rsidR="0042060D" w:rsidRPr="00A13612" w:rsidRDefault="0042060D" w:rsidP="0042060D">
            <w:pPr>
              <w:rPr>
                <w:rFonts w:ascii="Arial" w:eastAsia="Times New Roman" w:hAnsi="Arial" w:cs="Arial"/>
                <w:color w:val="000000"/>
                <w:sz w:val="20"/>
                <w:szCs w:val="20"/>
              </w:rPr>
            </w:pPr>
            <w:proofErr w:type="spellStart"/>
            <w:r w:rsidRPr="00A13612">
              <w:rPr>
                <w:rFonts w:ascii="Arial" w:eastAsia="Times New Roman" w:hAnsi="Arial" w:cs="Arial"/>
                <w:color w:val="000000"/>
                <w:sz w:val="20"/>
                <w:szCs w:val="20"/>
              </w:rPr>
              <w:t>CAPg</w:t>
            </w:r>
            <w:proofErr w:type="spellEnd"/>
          </w:p>
        </w:tc>
        <w:tc>
          <w:tcPr>
            <w:tcW w:w="963" w:type="dxa"/>
            <w:vAlign w:val="bottom"/>
          </w:tcPr>
          <w:p w14:paraId="6F82C787"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-6.512</w:t>
            </w:r>
          </w:p>
        </w:tc>
        <w:tc>
          <w:tcPr>
            <w:tcW w:w="943" w:type="dxa"/>
            <w:vAlign w:val="bottom"/>
          </w:tcPr>
          <w:p w14:paraId="072D81FA"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0.001</w:t>
            </w:r>
          </w:p>
        </w:tc>
        <w:tc>
          <w:tcPr>
            <w:tcW w:w="874" w:type="dxa"/>
            <w:vAlign w:val="bottom"/>
          </w:tcPr>
          <w:p w14:paraId="77E01814"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w:t>
            </w:r>
          </w:p>
        </w:tc>
        <w:tc>
          <w:tcPr>
            <w:tcW w:w="944" w:type="dxa"/>
            <w:vAlign w:val="bottom"/>
          </w:tcPr>
          <w:p w14:paraId="6B08A34F"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2002</w:t>
            </w:r>
          </w:p>
        </w:tc>
        <w:tc>
          <w:tcPr>
            <w:tcW w:w="963" w:type="dxa"/>
            <w:vAlign w:val="bottom"/>
          </w:tcPr>
          <w:p w14:paraId="456E0B34" w14:textId="692BF9DB"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-8.296</w:t>
            </w:r>
          </w:p>
        </w:tc>
        <w:tc>
          <w:tcPr>
            <w:tcW w:w="944" w:type="dxa"/>
            <w:vAlign w:val="bottom"/>
          </w:tcPr>
          <w:p w14:paraId="29B0AD52"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0.016</w:t>
            </w:r>
          </w:p>
        </w:tc>
        <w:tc>
          <w:tcPr>
            <w:tcW w:w="875" w:type="dxa"/>
            <w:vAlign w:val="bottom"/>
          </w:tcPr>
          <w:p w14:paraId="79F5FE0C"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w:t>
            </w:r>
          </w:p>
        </w:tc>
        <w:tc>
          <w:tcPr>
            <w:tcW w:w="944" w:type="dxa"/>
            <w:vAlign w:val="bottom"/>
          </w:tcPr>
          <w:p w14:paraId="6D201BB3"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2000</w:t>
            </w:r>
          </w:p>
        </w:tc>
      </w:tr>
      <w:tr w:rsidR="0042060D" w:rsidRPr="00A13612" w14:paraId="7A1B9859" w14:textId="77777777" w:rsidTr="0042060D">
        <w:tc>
          <w:tcPr>
            <w:tcW w:w="974" w:type="dxa"/>
            <w:vAlign w:val="bottom"/>
          </w:tcPr>
          <w:p w14:paraId="68B8C68A" w14:textId="7A56B82D" w:rsidR="0042060D" w:rsidRPr="00A13612" w:rsidRDefault="0042060D" w:rsidP="0042060D">
            <w:pPr>
              <w:rPr>
                <w:rFonts w:ascii="Arial" w:eastAsia="Times New Roman" w:hAnsi="Arial" w:cs="Arial"/>
                <w:color w:val="000000"/>
                <w:sz w:val="20"/>
                <w:szCs w:val="20"/>
              </w:rPr>
            </w:pPr>
            <w:proofErr w:type="spellStart"/>
            <w:r w:rsidRPr="00A13612">
              <w:rPr>
                <w:rFonts w:ascii="Arial" w:eastAsia="Times New Roman" w:hAnsi="Arial" w:cs="Arial"/>
                <w:color w:val="000000"/>
                <w:sz w:val="20"/>
                <w:szCs w:val="20"/>
              </w:rPr>
              <w:t>POPg</w:t>
            </w:r>
            <w:proofErr w:type="spellEnd"/>
          </w:p>
        </w:tc>
        <w:tc>
          <w:tcPr>
            <w:tcW w:w="963" w:type="dxa"/>
            <w:vAlign w:val="bottom"/>
          </w:tcPr>
          <w:p w14:paraId="13A59AEA"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-4.427</w:t>
            </w:r>
          </w:p>
        </w:tc>
        <w:tc>
          <w:tcPr>
            <w:tcW w:w="943" w:type="dxa"/>
            <w:vAlign w:val="bottom"/>
          </w:tcPr>
          <w:p w14:paraId="5334C35F"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0.037</w:t>
            </w:r>
          </w:p>
        </w:tc>
        <w:tc>
          <w:tcPr>
            <w:tcW w:w="874" w:type="dxa"/>
            <w:vAlign w:val="bottom"/>
          </w:tcPr>
          <w:p w14:paraId="2A37EE7A"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w:t>
            </w:r>
          </w:p>
        </w:tc>
        <w:tc>
          <w:tcPr>
            <w:tcW w:w="944" w:type="dxa"/>
            <w:vAlign w:val="bottom"/>
          </w:tcPr>
          <w:p w14:paraId="3EC4856D"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2000</w:t>
            </w:r>
          </w:p>
        </w:tc>
        <w:tc>
          <w:tcPr>
            <w:tcW w:w="963" w:type="dxa"/>
            <w:vAlign w:val="bottom"/>
          </w:tcPr>
          <w:p w14:paraId="143F8EE7" w14:textId="571D46FC"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-3.365</w:t>
            </w:r>
          </w:p>
        </w:tc>
        <w:tc>
          <w:tcPr>
            <w:tcW w:w="944" w:type="dxa"/>
            <w:vAlign w:val="bottom"/>
          </w:tcPr>
          <w:p w14:paraId="6559E166"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0.087</w:t>
            </w:r>
          </w:p>
        </w:tc>
        <w:tc>
          <w:tcPr>
            <w:tcW w:w="875" w:type="dxa"/>
            <w:vAlign w:val="bottom"/>
          </w:tcPr>
          <w:p w14:paraId="4428E9B6"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3</w:t>
            </w:r>
          </w:p>
        </w:tc>
        <w:tc>
          <w:tcPr>
            <w:tcW w:w="944" w:type="dxa"/>
            <w:vAlign w:val="bottom"/>
          </w:tcPr>
          <w:p w14:paraId="709AB4EB"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2006</w:t>
            </w:r>
          </w:p>
        </w:tc>
      </w:tr>
      <w:tr w:rsidR="0042060D" w:rsidRPr="00A13612" w14:paraId="7049D1F0" w14:textId="77777777" w:rsidTr="0042060D">
        <w:tc>
          <w:tcPr>
            <w:tcW w:w="974" w:type="dxa"/>
            <w:tcBorders>
              <w:bottom w:val="single" w:sz="4" w:space="0" w:color="auto"/>
            </w:tcBorders>
            <w:vAlign w:val="bottom"/>
          </w:tcPr>
          <w:p w14:paraId="0FB08DA3" w14:textId="6BE47EF2" w:rsidR="0042060D" w:rsidRPr="00A13612" w:rsidRDefault="0042060D" w:rsidP="0042060D">
            <w:pPr>
              <w:rPr>
                <w:rFonts w:ascii="Arial" w:eastAsia="Times New Roman" w:hAnsi="Arial" w:cs="Arial"/>
                <w:color w:val="000000"/>
                <w:sz w:val="20"/>
                <w:szCs w:val="20"/>
              </w:rPr>
            </w:pPr>
            <w:r w:rsidRPr="00A13612">
              <w:rPr>
                <w:rFonts w:ascii="Arial" w:eastAsia="Times New Roman" w:hAnsi="Arial" w:cs="Arial"/>
                <w:color w:val="000000"/>
                <w:sz w:val="20"/>
                <w:szCs w:val="20"/>
              </w:rPr>
              <w:t>CPI</w:t>
            </w:r>
          </w:p>
        </w:tc>
        <w:tc>
          <w:tcPr>
            <w:tcW w:w="963" w:type="dxa"/>
            <w:tcBorders>
              <w:bottom w:val="single" w:sz="4" w:space="0" w:color="auto"/>
            </w:tcBorders>
            <w:vAlign w:val="bottom"/>
          </w:tcPr>
          <w:p w14:paraId="03367112"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-6.862</w:t>
            </w:r>
          </w:p>
        </w:tc>
        <w:tc>
          <w:tcPr>
            <w:tcW w:w="943" w:type="dxa"/>
            <w:tcBorders>
              <w:bottom w:val="single" w:sz="4" w:space="0" w:color="auto"/>
            </w:tcBorders>
            <w:vAlign w:val="bottom"/>
          </w:tcPr>
          <w:p w14:paraId="5A9C849F"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0.001</w:t>
            </w:r>
          </w:p>
        </w:tc>
        <w:tc>
          <w:tcPr>
            <w:tcW w:w="874" w:type="dxa"/>
            <w:tcBorders>
              <w:bottom w:val="single" w:sz="4" w:space="0" w:color="auto"/>
            </w:tcBorders>
            <w:vAlign w:val="bottom"/>
          </w:tcPr>
          <w:p w14:paraId="4198B3BC"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w:t>
            </w:r>
          </w:p>
        </w:tc>
        <w:tc>
          <w:tcPr>
            <w:tcW w:w="944" w:type="dxa"/>
            <w:tcBorders>
              <w:bottom w:val="single" w:sz="4" w:space="0" w:color="auto"/>
            </w:tcBorders>
            <w:vAlign w:val="bottom"/>
          </w:tcPr>
          <w:p w14:paraId="1A341A53"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2000</w:t>
            </w:r>
          </w:p>
        </w:tc>
        <w:tc>
          <w:tcPr>
            <w:tcW w:w="963" w:type="dxa"/>
            <w:tcBorders>
              <w:bottom w:val="single" w:sz="4" w:space="0" w:color="auto"/>
            </w:tcBorders>
            <w:vAlign w:val="bottom"/>
          </w:tcPr>
          <w:p w14:paraId="5BE2B2A0" w14:textId="0CA20F52"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-8.507</w:t>
            </w:r>
          </w:p>
        </w:tc>
        <w:tc>
          <w:tcPr>
            <w:tcW w:w="944" w:type="dxa"/>
            <w:tcBorders>
              <w:bottom w:val="single" w:sz="4" w:space="0" w:color="auto"/>
            </w:tcBorders>
            <w:vAlign w:val="bottom"/>
          </w:tcPr>
          <w:p w14:paraId="22EB811D"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0.000</w:t>
            </w:r>
          </w:p>
        </w:tc>
        <w:tc>
          <w:tcPr>
            <w:tcW w:w="875" w:type="dxa"/>
            <w:tcBorders>
              <w:bottom w:val="single" w:sz="4" w:space="0" w:color="auto"/>
            </w:tcBorders>
            <w:vAlign w:val="bottom"/>
          </w:tcPr>
          <w:p w14:paraId="3FC4F8F9"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w:t>
            </w:r>
          </w:p>
        </w:tc>
        <w:tc>
          <w:tcPr>
            <w:tcW w:w="944" w:type="dxa"/>
            <w:tcBorders>
              <w:bottom w:val="single" w:sz="4" w:space="0" w:color="auto"/>
            </w:tcBorders>
            <w:vAlign w:val="bottom"/>
          </w:tcPr>
          <w:p w14:paraId="02902E38" w14:textId="77777777" w:rsidR="0042060D" w:rsidRPr="00A13612" w:rsidRDefault="0042060D" w:rsidP="0042060D">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1999</w:t>
            </w:r>
          </w:p>
        </w:tc>
      </w:tr>
    </w:tbl>
    <w:p w14:paraId="2C99B093" w14:textId="6D36F8E4" w:rsidR="007D54E7" w:rsidRPr="00A13612" w:rsidRDefault="007D54E7" w:rsidP="007D54E7">
      <w:pPr>
        <w:ind w:left="360"/>
        <w:jc w:val="both"/>
        <w:rPr>
          <w:rFonts w:ascii="Arial" w:hAnsi="Arial" w:cs="Arial"/>
          <w:i/>
          <w:sz w:val="18"/>
        </w:rPr>
      </w:pPr>
      <w:r w:rsidRPr="00A13612">
        <w:rPr>
          <w:rFonts w:ascii="Arial" w:hAnsi="Arial" w:cs="Arial"/>
          <w:i/>
          <w:sz w:val="18"/>
        </w:rPr>
        <w:t xml:space="preserve">k shows the selected lag length. B denote year breakpoint.  </w:t>
      </w:r>
    </w:p>
    <w:p w14:paraId="7BA67C87" w14:textId="77777777" w:rsidR="007D54E7" w:rsidRPr="00A13612" w:rsidRDefault="007D54E7" w:rsidP="00441B6F">
      <w:pPr>
        <w:pStyle w:val="Body"/>
        <w:spacing w:after="0"/>
        <w:rPr>
          <w:rFonts w:ascii="Arial" w:hAnsi="Arial" w:cs="Arial"/>
        </w:rPr>
      </w:pPr>
    </w:p>
    <w:p w14:paraId="4247421B" w14:textId="2EB5158D" w:rsidR="005B7238" w:rsidRPr="00A13612" w:rsidRDefault="005B7238" w:rsidP="005B7238">
      <w:pPr>
        <w:pStyle w:val="Body"/>
        <w:spacing w:after="0"/>
        <w:rPr>
          <w:rFonts w:ascii="Arial" w:hAnsi="Arial" w:cs="Arial"/>
          <w:b/>
          <w:sz w:val="22"/>
        </w:rPr>
      </w:pPr>
      <w:r w:rsidRPr="00A13612">
        <w:rPr>
          <w:rFonts w:ascii="Arial" w:hAnsi="Arial" w:cs="Arial"/>
          <w:b/>
          <w:caps/>
          <w:sz w:val="22"/>
        </w:rPr>
        <w:t xml:space="preserve">3.2 </w:t>
      </w:r>
      <w:r w:rsidRPr="00A13612">
        <w:rPr>
          <w:rFonts w:ascii="Arial" w:hAnsi="Arial" w:cs="Arial"/>
          <w:b/>
          <w:sz w:val="22"/>
        </w:rPr>
        <w:t>Model Selection</w:t>
      </w:r>
    </w:p>
    <w:p w14:paraId="02300C13" w14:textId="77777777" w:rsidR="005B7238" w:rsidRPr="00A13612" w:rsidRDefault="005B7238" w:rsidP="005B7238">
      <w:pPr>
        <w:pStyle w:val="Body"/>
        <w:spacing w:after="0"/>
        <w:rPr>
          <w:rFonts w:ascii="Arial" w:hAnsi="Arial" w:cs="Arial"/>
          <w:b/>
          <w:sz w:val="22"/>
        </w:rPr>
      </w:pPr>
    </w:p>
    <w:p w14:paraId="3AC21BDD" w14:textId="0FC14EA8" w:rsidR="00A31135" w:rsidRPr="00A13612" w:rsidRDefault="00A31135" w:rsidP="00A31135">
      <w:pPr>
        <w:jc w:val="both"/>
        <w:rPr>
          <w:rFonts w:ascii="Arial" w:hAnsi="Arial" w:cs="Arial"/>
        </w:rPr>
      </w:pPr>
      <w:r w:rsidRPr="00A13612">
        <w:rPr>
          <w:rFonts w:ascii="Arial" w:hAnsi="Arial" w:cs="Arial"/>
        </w:rPr>
        <w:t xml:space="preserve">Having </w:t>
      </w:r>
      <w:r w:rsidR="005B7238" w:rsidRPr="00A13612">
        <w:rPr>
          <w:rFonts w:ascii="Arial" w:hAnsi="Arial" w:cs="Arial"/>
        </w:rPr>
        <w:t>conducted</w:t>
      </w:r>
      <w:r w:rsidRPr="00A13612">
        <w:rPr>
          <w:rFonts w:ascii="Arial" w:hAnsi="Arial" w:cs="Arial"/>
        </w:rPr>
        <w:t xml:space="preserve"> the stationary test, it is crucial to determine the optimal lag </w:t>
      </w:r>
      <w:r w:rsidR="005B7238" w:rsidRPr="00A13612">
        <w:rPr>
          <w:rFonts w:ascii="Arial" w:hAnsi="Arial" w:cs="Arial"/>
        </w:rPr>
        <w:t>given that</w:t>
      </w:r>
      <w:r w:rsidRPr="00A13612">
        <w:rPr>
          <w:rFonts w:ascii="Arial" w:hAnsi="Arial" w:cs="Arial"/>
        </w:rPr>
        <w:t xml:space="preserve"> ARDL-Bounds (</w:t>
      </w:r>
      <w:proofErr w:type="spellStart"/>
      <w:proofErr w:type="gramStart"/>
      <w:r w:rsidRPr="00A13612">
        <w:rPr>
          <w:rFonts w:ascii="Arial" w:hAnsi="Arial" w:cs="Arial"/>
        </w:rPr>
        <w:t>p,q</w:t>
      </w:r>
      <w:proofErr w:type="spellEnd"/>
      <w:proofErr w:type="gramEnd"/>
      <w:r w:rsidRPr="00A13612">
        <w:rPr>
          <w:rFonts w:ascii="Arial" w:hAnsi="Arial" w:cs="Arial"/>
        </w:rPr>
        <w:t xml:space="preserve">) </w:t>
      </w:r>
      <w:r w:rsidR="005B7238" w:rsidRPr="00A13612">
        <w:rPr>
          <w:rFonts w:ascii="Arial" w:hAnsi="Arial" w:cs="Arial"/>
        </w:rPr>
        <w:t>models are sensitive to lag length</w:t>
      </w:r>
      <w:r w:rsidRPr="00A13612">
        <w:rPr>
          <w:rFonts w:ascii="Arial" w:hAnsi="Arial" w:cs="Arial"/>
        </w:rPr>
        <w:t xml:space="preserve">. Inappropriate lag length can produce inefficient parameter estimates. </w:t>
      </w:r>
      <w:r w:rsidR="00F04524" w:rsidRPr="00A13612">
        <w:rPr>
          <w:rFonts w:ascii="Arial" w:hAnsi="Arial" w:cs="Arial"/>
        </w:rPr>
        <w:t>Therefore</w:t>
      </w:r>
      <w:r w:rsidRPr="00A13612">
        <w:rPr>
          <w:rFonts w:ascii="Arial" w:hAnsi="Arial" w:cs="Arial"/>
        </w:rPr>
        <w:t xml:space="preserve">, the AIC test is included. Table 4 </w:t>
      </w:r>
      <w:r w:rsidR="00F04524" w:rsidRPr="00A13612">
        <w:rPr>
          <w:rFonts w:ascii="Arial" w:hAnsi="Arial" w:cs="Arial"/>
        </w:rPr>
        <w:t xml:space="preserve">demonstrates </w:t>
      </w:r>
      <w:r w:rsidRPr="00A13612">
        <w:rPr>
          <w:rFonts w:ascii="Arial" w:hAnsi="Arial" w:cs="Arial"/>
        </w:rPr>
        <w:t xml:space="preserve">that the maximum lag length for modeling the </w:t>
      </w:r>
      <w:r w:rsidR="00F04524" w:rsidRPr="00A13612">
        <w:rPr>
          <w:rFonts w:ascii="Arial" w:hAnsi="Arial" w:cs="Arial"/>
        </w:rPr>
        <w:t>association</w:t>
      </w:r>
      <w:r w:rsidRPr="00A13612">
        <w:rPr>
          <w:rFonts w:ascii="Arial" w:hAnsi="Arial" w:cs="Arial"/>
        </w:rPr>
        <w:t xml:space="preserve"> between economic growth, capital formation, population growth, and consumer price index is the lag order 2.</w:t>
      </w:r>
      <w:r w:rsidR="00F04524" w:rsidRPr="00A13612">
        <w:rPr>
          <w:rFonts w:ascii="Arial" w:hAnsi="Arial" w:cs="Arial"/>
        </w:rPr>
        <w:t xml:space="preserve"> This suggestion is in line with the FPE and HQIC approaches.</w:t>
      </w:r>
      <w:r w:rsidRPr="00A13612">
        <w:rPr>
          <w:rFonts w:ascii="Arial" w:hAnsi="Arial" w:cs="Arial"/>
        </w:rPr>
        <w:t xml:space="preserve"> Following </w:t>
      </w:r>
      <w:r w:rsidR="00F04524" w:rsidRPr="00A13612">
        <w:rPr>
          <w:rFonts w:ascii="Arial" w:hAnsi="Arial" w:cs="Arial"/>
        </w:rPr>
        <w:t xml:space="preserve">this evidence, </w:t>
      </w:r>
      <w:r w:rsidRPr="00A13612">
        <w:rPr>
          <w:rFonts w:ascii="Arial" w:hAnsi="Arial" w:cs="Arial"/>
        </w:rPr>
        <w:t xml:space="preserve">Figure </w:t>
      </w:r>
      <w:r w:rsidR="004E5219" w:rsidRPr="00A13612">
        <w:rPr>
          <w:rFonts w:ascii="Arial" w:hAnsi="Arial" w:cs="Arial"/>
        </w:rPr>
        <w:t>2</w:t>
      </w:r>
      <w:r w:rsidRPr="00A13612">
        <w:rPr>
          <w:rFonts w:ascii="Arial" w:hAnsi="Arial" w:cs="Arial"/>
        </w:rPr>
        <w:t xml:space="preserve"> </w:t>
      </w:r>
      <w:r w:rsidR="004E5219" w:rsidRPr="00A13612">
        <w:rPr>
          <w:rFonts w:ascii="Arial" w:hAnsi="Arial" w:cs="Arial"/>
        </w:rPr>
        <w:t>denotes</w:t>
      </w:r>
      <w:r w:rsidRPr="00A13612">
        <w:rPr>
          <w:rFonts w:ascii="Arial" w:hAnsi="Arial" w:cs="Arial"/>
        </w:rPr>
        <w:t xml:space="preserve"> the</w:t>
      </w:r>
      <w:r w:rsidR="00F04524" w:rsidRPr="00A13612">
        <w:rPr>
          <w:rFonts w:ascii="Arial" w:hAnsi="Arial" w:cs="Arial"/>
        </w:rPr>
        <w:t xml:space="preserve"> </w:t>
      </w:r>
      <w:r w:rsidR="004E5219" w:rsidRPr="00A13612">
        <w:rPr>
          <w:rFonts w:ascii="Arial" w:hAnsi="Arial" w:cs="Arial"/>
        </w:rPr>
        <w:t xml:space="preserve">results of </w:t>
      </w:r>
      <w:r w:rsidRPr="00A13612">
        <w:rPr>
          <w:rFonts w:ascii="Arial" w:hAnsi="Arial" w:cs="Arial"/>
        </w:rPr>
        <w:t>model selection</w:t>
      </w:r>
      <w:r w:rsidR="004E5219" w:rsidRPr="00A13612">
        <w:rPr>
          <w:rFonts w:ascii="Arial" w:hAnsi="Arial" w:cs="Arial"/>
        </w:rPr>
        <w:t>s</w:t>
      </w:r>
      <w:r w:rsidR="00F04524" w:rsidRPr="00A13612">
        <w:rPr>
          <w:rFonts w:ascii="Arial" w:hAnsi="Arial" w:cs="Arial"/>
        </w:rPr>
        <w:t>, summarizing the top 20 models.</w:t>
      </w:r>
      <w:r w:rsidRPr="00A13612">
        <w:rPr>
          <w:rFonts w:ascii="Arial" w:hAnsi="Arial" w:cs="Arial"/>
        </w:rPr>
        <w:t xml:space="preserve"> The results </w:t>
      </w:r>
      <w:r w:rsidR="004E5219" w:rsidRPr="00A13612">
        <w:rPr>
          <w:rFonts w:ascii="Arial" w:hAnsi="Arial" w:cs="Arial"/>
        </w:rPr>
        <w:t>implies</w:t>
      </w:r>
      <w:r w:rsidRPr="00A13612">
        <w:rPr>
          <w:rFonts w:ascii="Arial" w:hAnsi="Arial" w:cs="Arial"/>
        </w:rPr>
        <w:t xml:space="preserve"> that the best model is ARDL (2,0,2,0,0)</w:t>
      </w:r>
      <w:r w:rsidR="005B7238" w:rsidRPr="00A13612">
        <w:rPr>
          <w:rFonts w:ascii="Arial" w:hAnsi="Arial" w:cs="Arial"/>
        </w:rPr>
        <w:t>.</w:t>
      </w:r>
    </w:p>
    <w:p w14:paraId="2BC6D2FC" w14:textId="77777777" w:rsidR="005B7238" w:rsidRPr="00A13612" w:rsidRDefault="005B7238" w:rsidP="00A31135">
      <w:pPr>
        <w:jc w:val="both"/>
        <w:rPr>
          <w:rFonts w:ascii="Arial" w:hAnsi="Arial" w:cs="Arial"/>
        </w:rPr>
      </w:pPr>
    </w:p>
    <w:p w14:paraId="59FE4EC7" w14:textId="5B0BE3BF" w:rsidR="005B7238" w:rsidRPr="00A13612" w:rsidRDefault="005B7238" w:rsidP="005B7238">
      <w:pPr>
        <w:tabs>
          <w:tab w:val="left" w:pos="1080"/>
        </w:tabs>
        <w:jc w:val="both"/>
        <w:rPr>
          <w:rFonts w:ascii="Arial" w:hAnsi="Arial" w:cs="Arial"/>
          <w:b/>
        </w:rPr>
      </w:pPr>
      <w:r w:rsidRPr="00A13612">
        <w:rPr>
          <w:rFonts w:ascii="Arial" w:hAnsi="Arial" w:cs="Arial"/>
          <w:b/>
        </w:rPr>
        <w:t xml:space="preserve">Table </w:t>
      </w:r>
      <w:r w:rsidR="004E5219" w:rsidRPr="00A13612">
        <w:rPr>
          <w:rFonts w:ascii="Arial" w:hAnsi="Arial" w:cs="Arial"/>
          <w:b/>
        </w:rPr>
        <w:t>4</w:t>
      </w:r>
      <w:r w:rsidRPr="00A13612">
        <w:rPr>
          <w:rFonts w:ascii="Arial" w:hAnsi="Arial" w:cs="Arial"/>
          <w:b/>
        </w:rPr>
        <w:t>. Lag Selection</w:t>
      </w:r>
    </w:p>
    <w:p w14:paraId="2353E080" w14:textId="77777777" w:rsidR="005B7238" w:rsidRPr="00A13612" w:rsidRDefault="005B7238" w:rsidP="00A31135">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1085"/>
        <w:gridCol w:w="1163"/>
        <w:gridCol w:w="1194"/>
        <w:gridCol w:w="1216"/>
        <w:gridCol w:w="1216"/>
        <w:gridCol w:w="1216"/>
      </w:tblGrid>
      <w:tr w:rsidR="005B7238" w:rsidRPr="00A13612" w14:paraId="0327896B" w14:textId="77777777" w:rsidTr="00276991">
        <w:tc>
          <w:tcPr>
            <w:tcW w:w="1157" w:type="dxa"/>
            <w:tcBorders>
              <w:top w:val="single" w:sz="4" w:space="0" w:color="auto"/>
              <w:bottom w:val="single" w:sz="4" w:space="0" w:color="auto"/>
            </w:tcBorders>
            <w:vAlign w:val="bottom"/>
          </w:tcPr>
          <w:p w14:paraId="43B3C241" w14:textId="77777777" w:rsidR="00A31135" w:rsidRPr="00A13612" w:rsidRDefault="00A31135" w:rsidP="00C4598A">
            <w:pPr>
              <w:jc w:val="center"/>
              <w:rPr>
                <w:rFonts w:ascii="Arial" w:hAnsi="Arial" w:cs="Arial"/>
                <w:b/>
                <w:bCs/>
                <w:sz w:val="20"/>
                <w:szCs w:val="20"/>
              </w:rPr>
            </w:pPr>
            <w:r w:rsidRPr="00A13612">
              <w:rPr>
                <w:rFonts w:ascii="Arial" w:eastAsia="Times New Roman" w:hAnsi="Arial" w:cs="Arial"/>
                <w:b/>
                <w:bCs/>
                <w:color w:val="000000"/>
                <w:sz w:val="20"/>
                <w:szCs w:val="20"/>
              </w:rPr>
              <w:t>Lag</w:t>
            </w:r>
          </w:p>
        </w:tc>
        <w:tc>
          <w:tcPr>
            <w:tcW w:w="1133" w:type="dxa"/>
            <w:tcBorders>
              <w:top w:val="single" w:sz="4" w:space="0" w:color="auto"/>
              <w:bottom w:val="single" w:sz="4" w:space="0" w:color="auto"/>
            </w:tcBorders>
            <w:vAlign w:val="bottom"/>
          </w:tcPr>
          <w:p w14:paraId="623010B4" w14:textId="77777777" w:rsidR="00A31135" w:rsidRPr="00A13612" w:rsidRDefault="00A31135" w:rsidP="00134D14">
            <w:pPr>
              <w:jc w:val="center"/>
              <w:rPr>
                <w:rFonts w:ascii="Arial" w:hAnsi="Arial" w:cs="Arial"/>
                <w:b/>
                <w:bCs/>
                <w:sz w:val="20"/>
                <w:szCs w:val="20"/>
              </w:rPr>
            </w:pPr>
            <w:proofErr w:type="spellStart"/>
            <w:r w:rsidRPr="00A13612">
              <w:rPr>
                <w:rFonts w:ascii="Arial" w:eastAsia="Times New Roman" w:hAnsi="Arial" w:cs="Arial"/>
                <w:b/>
                <w:bCs/>
                <w:color w:val="000000"/>
                <w:sz w:val="20"/>
                <w:szCs w:val="20"/>
              </w:rPr>
              <w:t>df</w:t>
            </w:r>
            <w:proofErr w:type="spellEnd"/>
          </w:p>
        </w:tc>
        <w:tc>
          <w:tcPr>
            <w:tcW w:w="1196" w:type="dxa"/>
            <w:tcBorders>
              <w:top w:val="single" w:sz="4" w:space="0" w:color="auto"/>
              <w:bottom w:val="single" w:sz="4" w:space="0" w:color="auto"/>
            </w:tcBorders>
            <w:vAlign w:val="bottom"/>
          </w:tcPr>
          <w:p w14:paraId="68FDA21B" w14:textId="77777777" w:rsidR="00A31135" w:rsidRPr="00A13612" w:rsidRDefault="00A31135" w:rsidP="00C4598A">
            <w:pPr>
              <w:jc w:val="right"/>
              <w:rPr>
                <w:rFonts w:ascii="Arial" w:hAnsi="Arial" w:cs="Arial"/>
                <w:b/>
                <w:bCs/>
                <w:sz w:val="20"/>
                <w:szCs w:val="20"/>
              </w:rPr>
            </w:pPr>
            <w:r w:rsidRPr="00A13612">
              <w:rPr>
                <w:rFonts w:ascii="Arial" w:eastAsia="Times New Roman" w:hAnsi="Arial" w:cs="Arial"/>
                <w:b/>
                <w:bCs/>
                <w:color w:val="000000"/>
                <w:sz w:val="20"/>
                <w:szCs w:val="20"/>
              </w:rPr>
              <w:t>p</w:t>
            </w:r>
          </w:p>
        </w:tc>
        <w:tc>
          <w:tcPr>
            <w:tcW w:w="1221" w:type="dxa"/>
            <w:tcBorders>
              <w:top w:val="single" w:sz="4" w:space="0" w:color="auto"/>
              <w:bottom w:val="single" w:sz="4" w:space="0" w:color="auto"/>
            </w:tcBorders>
            <w:vAlign w:val="bottom"/>
          </w:tcPr>
          <w:p w14:paraId="6540C20B" w14:textId="77777777" w:rsidR="00A31135" w:rsidRPr="00A13612" w:rsidRDefault="00A31135" w:rsidP="00C4598A">
            <w:pPr>
              <w:jc w:val="right"/>
              <w:rPr>
                <w:rFonts w:ascii="Arial" w:hAnsi="Arial" w:cs="Arial"/>
                <w:b/>
                <w:bCs/>
                <w:sz w:val="20"/>
                <w:szCs w:val="20"/>
              </w:rPr>
            </w:pPr>
            <w:r w:rsidRPr="00A13612">
              <w:rPr>
                <w:rFonts w:ascii="Arial" w:eastAsia="Times New Roman" w:hAnsi="Arial" w:cs="Arial"/>
                <w:b/>
                <w:bCs/>
                <w:color w:val="000000"/>
                <w:sz w:val="20"/>
                <w:szCs w:val="20"/>
              </w:rPr>
              <w:t>FPE</w:t>
            </w:r>
          </w:p>
        </w:tc>
        <w:tc>
          <w:tcPr>
            <w:tcW w:w="1239" w:type="dxa"/>
            <w:tcBorders>
              <w:top w:val="single" w:sz="4" w:space="0" w:color="auto"/>
              <w:bottom w:val="single" w:sz="4" w:space="0" w:color="auto"/>
            </w:tcBorders>
            <w:vAlign w:val="bottom"/>
          </w:tcPr>
          <w:p w14:paraId="006110D8" w14:textId="77777777" w:rsidR="00A31135" w:rsidRPr="00A13612" w:rsidRDefault="00A31135" w:rsidP="00C4598A">
            <w:pPr>
              <w:jc w:val="right"/>
              <w:rPr>
                <w:rFonts w:ascii="Arial" w:hAnsi="Arial" w:cs="Arial"/>
                <w:b/>
                <w:bCs/>
                <w:sz w:val="20"/>
                <w:szCs w:val="20"/>
              </w:rPr>
            </w:pPr>
            <w:r w:rsidRPr="00A13612">
              <w:rPr>
                <w:rFonts w:ascii="Arial" w:eastAsia="Times New Roman" w:hAnsi="Arial" w:cs="Arial"/>
                <w:b/>
                <w:bCs/>
                <w:color w:val="000000"/>
                <w:sz w:val="20"/>
                <w:szCs w:val="20"/>
              </w:rPr>
              <w:t>AIC</w:t>
            </w:r>
          </w:p>
        </w:tc>
        <w:tc>
          <w:tcPr>
            <w:tcW w:w="1239" w:type="dxa"/>
            <w:tcBorders>
              <w:top w:val="single" w:sz="4" w:space="0" w:color="auto"/>
              <w:bottom w:val="single" w:sz="4" w:space="0" w:color="auto"/>
            </w:tcBorders>
            <w:vAlign w:val="bottom"/>
          </w:tcPr>
          <w:p w14:paraId="26CFD0B6" w14:textId="77777777" w:rsidR="00A31135" w:rsidRPr="00A13612" w:rsidRDefault="00A31135" w:rsidP="00C4598A">
            <w:pPr>
              <w:jc w:val="right"/>
              <w:rPr>
                <w:rFonts w:ascii="Arial" w:hAnsi="Arial" w:cs="Arial"/>
                <w:b/>
                <w:bCs/>
                <w:sz w:val="20"/>
                <w:szCs w:val="20"/>
              </w:rPr>
            </w:pPr>
            <w:r w:rsidRPr="00A13612">
              <w:rPr>
                <w:rFonts w:ascii="Arial" w:eastAsia="Times New Roman" w:hAnsi="Arial" w:cs="Arial"/>
                <w:b/>
                <w:bCs/>
                <w:color w:val="000000"/>
                <w:sz w:val="20"/>
                <w:szCs w:val="20"/>
              </w:rPr>
              <w:t>HQIC</w:t>
            </w:r>
          </w:p>
        </w:tc>
        <w:tc>
          <w:tcPr>
            <w:tcW w:w="1239" w:type="dxa"/>
            <w:tcBorders>
              <w:top w:val="single" w:sz="4" w:space="0" w:color="auto"/>
              <w:bottom w:val="single" w:sz="4" w:space="0" w:color="auto"/>
            </w:tcBorders>
            <w:vAlign w:val="bottom"/>
          </w:tcPr>
          <w:p w14:paraId="0D86B056" w14:textId="77777777" w:rsidR="00A31135" w:rsidRPr="00A13612" w:rsidRDefault="00A31135" w:rsidP="00C4598A">
            <w:pPr>
              <w:jc w:val="right"/>
              <w:rPr>
                <w:rFonts w:ascii="Arial" w:hAnsi="Arial" w:cs="Arial"/>
                <w:b/>
                <w:bCs/>
                <w:sz w:val="20"/>
                <w:szCs w:val="20"/>
              </w:rPr>
            </w:pPr>
            <w:r w:rsidRPr="00A13612">
              <w:rPr>
                <w:rFonts w:ascii="Arial" w:eastAsia="Times New Roman" w:hAnsi="Arial" w:cs="Arial"/>
                <w:b/>
                <w:bCs/>
                <w:color w:val="000000"/>
                <w:sz w:val="20"/>
                <w:szCs w:val="20"/>
              </w:rPr>
              <w:t>SBIC</w:t>
            </w:r>
          </w:p>
        </w:tc>
      </w:tr>
      <w:tr w:rsidR="005B7238" w:rsidRPr="00A13612" w14:paraId="0F82B509" w14:textId="77777777" w:rsidTr="00276991">
        <w:tc>
          <w:tcPr>
            <w:tcW w:w="1157" w:type="dxa"/>
            <w:tcBorders>
              <w:top w:val="single" w:sz="4" w:space="0" w:color="auto"/>
            </w:tcBorders>
            <w:vAlign w:val="bottom"/>
          </w:tcPr>
          <w:p w14:paraId="1ECF8DDD" w14:textId="77777777" w:rsidR="00A31135" w:rsidRPr="00A13612" w:rsidRDefault="00A31135" w:rsidP="00C4598A">
            <w:pPr>
              <w:jc w:val="center"/>
              <w:rPr>
                <w:rFonts w:ascii="Arial" w:hAnsi="Arial" w:cs="Arial"/>
                <w:sz w:val="20"/>
                <w:szCs w:val="20"/>
              </w:rPr>
            </w:pPr>
            <w:r w:rsidRPr="00A13612">
              <w:rPr>
                <w:rFonts w:ascii="Arial" w:eastAsia="Times New Roman" w:hAnsi="Arial" w:cs="Arial"/>
                <w:color w:val="000000"/>
                <w:sz w:val="20"/>
                <w:szCs w:val="20"/>
              </w:rPr>
              <w:t>0</w:t>
            </w:r>
          </w:p>
        </w:tc>
        <w:tc>
          <w:tcPr>
            <w:tcW w:w="1133" w:type="dxa"/>
            <w:tcBorders>
              <w:top w:val="single" w:sz="4" w:space="0" w:color="auto"/>
            </w:tcBorders>
            <w:vAlign w:val="bottom"/>
          </w:tcPr>
          <w:p w14:paraId="1B820F69" w14:textId="77777777" w:rsidR="00A31135" w:rsidRPr="00A13612" w:rsidRDefault="00A31135" w:rsidP="00134D14">
            <w:pPr>
              <w:jc w:val="center"/>
              <w:rPr>
                <w:rFonts w:ascii="Arial" w:hAnsi="Arial" w:cs="Arial"/>
                <w:sz w:val="20"/>
                <w:szCs w:val="20"/>
              </w:rPr>
            </w:pPr>
          </w:p>
        </w:tc>
        <w:tc>
          <w:tcPr>
            <w:tcW w:w="1196" w:type="dxa"/>
            <w:tcBorders>
              <w:top w:val="single" w:sz="4" w:space="0" w:color="auto"/>
            </w:tcBorders>
            <w:vAlign w:val="bottom"/>
          </w:tcPr>
          <w:p w14:paraId="6795FB7F" w14:textId="77777777" w:rsidR="00A31135" w:rsidRPr="00A13612" w:rsidRDefault="00A31135" w:rsidP="00C4598A">
            <w:pPr>
              <w:jc w:val="right"/>
              <w:rPr>
                <w:rFonts w:ascii="Arial" w:hAnsi="Arial" w:cs="Arial"/>
                <w:sz w:val="20"/>
                <w:szCs w:val="20"/>
              </w:rPr>
            </w:pPr>
          </w:p>
        </w:tc>
        <w:tc>
          <w:tcPr>
            <w:tcW w:w="1221" w:type="dxa"/>
            <w:tcBorders>
              <w:top w:val="single" w:sz="4" w:space="0" w:color="auto"/>
            </w:tcBorders>
            <w:vAlign w:val="bottom"/>
          </w:tcPr>
          <w:p w14:paraId="7FDE147E" w14:textId="7777777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94.499</w:t>
            </w:r>
          </w:p>
        </w:tc>
        <w:tc>
          <w:tcPr>
            <w:tcW w:w="1239" w:type="dxa"/>
            <w:tcBorders>
              <w:top w:val="single" w:sz="4" w:space="0" w:color="auto"/>
            </w:tcBorders>
            <w:vAlign w:val="bottom"/>
          </w:tcPr>
          <w:p w14:paraId="05C5326B" w14:textId="7777777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18.738</w:t>
            </w:r>
          </w:p>
        </w:tc>
        <w:tc>
          <w:tcPr>
            <w:tcW w:w="1239" w:type="dxa"/>
            <w:tcBorders>
              <w:top w:val="single" w:sz="4" w:space="0" w:color="auto"/>
            </w:tcBorders>
            <w:vAlign w:val="bottom"/>
          </w:tcPr>
          <w:p w14:paraId="792BE419" w14:textId="7777777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18.815</w:t>
            </w:r>
          </w:p>
        </w:tc>
        <w:tc>
          <w:tcPr>
            <w:tcW w:w="1239" w:type="dxa"/>
            <w:tcBorders>
              <w:top w:val="single" w:sz="4" w:space="0" w:color="auto"/>
            </w:tcBorders>
            <w:vAlign w:val="bottom"/>
          </w:tcPr>
          <w:p w14:paraId="23DA79E3" w14:textId="7777777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18.960</w:t>
            </w:r>
          </w:p>
        </w:tc>
      </w:tr>
      <w:tr w:rsidR="005B7238" w:rsidRPr="00A13612" w14:paraId="0A70E21B" w14:textId="77777777" w:rsidTr="00276991">
        <w:tc>
          <w:tcPr>
            <w:tcW w:w="1157" w:type="dxa"/>
            <w:vAlign w:val="bottom"/>
          </w:tcPr>
          <w:p w14:paraId="2467DD42" w14:textId="77777777" w:rsidR="00A31135" w:rsidRPr="00A13612" w:rsidRDefault="00A31135" w:rsidP="00C4598A">
            <w:pPr>
              <w:jc w:val="center"/>
              <w:rPr>
                <w:rFonts w:ascii="Arial" w:hAnsi="Arial" w:cs="Arial"/>
                <w:sz w:val="20"/>
                <w:szCs w:val="20"/>
              </w:rPr>
            </w:pPr>
            <w:r w:rsidRPr="00A13612">
              <w:rPr>
                <w:rFonts w:ascii="Arial" w:eastAsia="Times New Roman" w:hAnsi="Arial" w:cs="Arial"/>
                <w:color w:val="000000"/>
                <w:sz w:val="20"/>
                <w:szCs w:val="20"/>
              </w:rPr>
              <w:t>1</w:t>
            </w:r>
          </w:p>
        </w:tc>
        <w:tc>
          <w:tcPr>
            <w:tcW w:w="1133" w:type="dxa"/>
            <w:vAlign w:val="bottom"/>
          </w:tcPr>
          <w:p w14:paraId="3F9FEF4A" w14:textId="77777777" w:rsidR="00A31135" w:rsidRPr="00A13612" w:rsidRDefault="00A31135" w:rsidP="00134D14">
            <w:pPr>
              <w:jc w:val="center"/>
              <w:rPr>
                <w:rFonts w:ascii="Arial" w:hAnsi="Arial" w:cs="Arial"/>
                <w:sz w:val="20"/>
                <w:szCs w:val="20"/>
              </w:rPr>
            </w:pPr>
            <w:r w:rsidRPr="00A13612">
              <w:rPr>
                <w:rFonts w:ascii="Arial" w:eastAsia="Times New Roman" w:hAnsi="Arial" w:cs="Arial"/>
                <w:color w:val="000000"/>
                <w:sz w:val="20"/>
                <w:szCs w:val="20"/>
              </w:rPr>
              <w:t>25</w:t>
            </w:r>
          </w:p>
        </w:tc>
        <w:tc>
          <w:tcPr>
            <w:tcW w:w="1196" w:type="dxa"/>
            <w:vAlign w:val="bottom"/>
          </w:tcPr>
          <w:p w14:paraId="75ABBA34" w14:textId="2F69821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0</w:t>
            </w:r>
            <w:r w:rsidR="005B7238" w:rsidRPr="00A13612">
              <w:rPr>
                <w:rFonts w:ascii="Arial" w:eastAsia="Times New Roman" w:hAnsi="Arial" w:cs="Arial"/>
                <w:color w:val="000000"/>
                <w:sz w:val="20"/>
                <w:szCs w:val="20"/>
              </w:rPr>
              <w:t>.000</w:t>
            </w:r>
          </w:p>
        </w:tc>
        <w:tc>
          <w:tcPr>
            <w:tcW w:w="1221" w:type="dxa"/>
            <w:vAlign w:val="bottom"/>
          </w:tcPr>
          <w:p w14:paraId="5813524D" w14:textId="7777777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0.270</w:t>
            </w:r>
          </w:p>
        </w:tc>
        <w:tc>
          <w:tcPr>
            <w:tcW w:w="1239" w:type="dxa"/>
            <w:vAlign w:val="bottom"/>
          </w:tcPr>
          <w:p w14:paraId="78494616" w14:textId="7777777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12.862</w:t>
            </w:r>
          </w:p>
        </w:tc>
        <w:tc>
          <w:tcPr>
            <w:tcW w:w="1239" w:type="dxa"/>
            <w:vAlign w:val="bottom"/>
          </w:tcPr>
          <w:p w14:paraId="2E12AC56" w14:textId="77777777"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13.322</w:t>
            </w:r>
          </w:p>
        </w:tc>
        <w:tc>
          <w:tcPr>
            <w:tcW w:w="1239" w:type="dxa"/>
            <w:vAlign w:val="bottom"/>
          </w:tcPr>
          <w:p w14:paraId="1D6A19EA" w14:textId="5E746772" w:rsidR="00A31135" w:rsidRPr="00A13612" w:rsidRDefault="00A31135" w:rsidP="00C4598A">
            <w:pPr>
              <w:jc w:val="right"/>
              <w:rPr>
                <w:rFonts w:ascii="Arial" w:hAnsi="Arial" w:cs="Arial"/>
                <w:sz w:val="20"/>
                <w:szCs w:val="20"/>
              </w:rPr>
            </w:pPr>
            <w:r w:rsidRPr="00A13612">
              <w:rPr>
                <w:rFonts w:ascii="Arial" w:eastAsia="Times New Roman" w:hAnsi="Arial" w:cs="Arial"/>
                <w:color w:val="000000"/>
                <w:sz w:val="20"/>
                <w:szCs w:val="20"/>
              </w:rPr>
              <w:t>14.19</w:t>
            </w:r>
            <w:r w:rsidR="005B7238" w:rsidRPr="00A13612">
              <w:rPr>
                <w:rFonts w:ascii="Arial" w:eastAsia="Times New Roman" w:hAnsi="Arial" w:cs="Arial"/>
                <w:color w:val="000000"/>
                <w:sz w:val="20"/>
                <w:szCs w:val="20"/>
              </w:rPr>
              <w:t>5</w:t>
            </w:r>
            <w:r w:rsidRPr="00A13612">
              <w:rPr>
                <w:rFonts w:ascii="Arial" w:eastAsia="Times New Roman" w:hAnsi="Arial" w:cs="Arial"/>
                <w:color w:val="000000"/>
                <w:sz w:val="20"/>
                <w:szCs w:val="20"/>
              </w:rPr>
              <w:t>*</w:t>
            </w:r>
          </w:p>
        </w:tc>
      </w:tr>
      <w:tr w:rsidR="005B7238" w:rsidRPr="00A13612" w14:paraId="485B663C" w14:textId="77777777" w:rsidTr="00276991">
        <w:tc>
          <w:tcPr>
            <w:tcW w:w="1157" w:type="dxa"/>
            <w:vAlign w:val="bottom"/>
          </w:tcPr>
          <w:p w14:paraId="279ECCD9"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w:t>
            </w:r>
          </w:p>
        </w:tc>
        <w:tc>
          <w:tcPr>
            <w:tcW w:w="1133" w:type="dxa"/>
            <w:vAlign w:val="bottom"/>
          </w:tcPr>
          <w:p w14:paraId="12256CAA" w14:textId="77777777" w:rsidR="00A31135" w:rsidRPr="00A13612" w:rsidRDefault="00A31135" w:rsidP="00134D14">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25</w:t>
            </w:r>
          </w:p>
        </w:tc>
        <w:tc>
          <w:tcPr>
            <w:tcW w:w="1196" w:type="dxa"/>
            <w:vAlign w:val="bottom"/>
          </w:tcPr>
          <w:p w14:paraId="40C66257" w14:textId="65B02FB3"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w:t>
            </w:r>
            <w:r w:rsidR="005B7238" w:rsidRPr="00A13612">
              <w:rPr>
                <w:rFonts w:ascii="Arial" w:eastAsia="Times New Roman" w:hAnsi="Arial" w:cs="Arial"/>
                <w:color w:val="000000"/>
                <w:sz w:val="20"/>
                <w:szCs w:val="20"/>
              </w:rPr>
              <w:t>.000</w:t>
            </w:r>
          </w:p>
        </w:tc>
        <w:tc>
          <w:tcPr>
            <w:tcW w:w="1221" w:type="dxa"/>
            <w:vAlign w:val="bottom"/>
          </w:tcPr>
          <w:p w14:paraId="15B7805F" w14:textId="5143259A"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0.15</w:t>
            </w:r>
            <w:r w:rsidR="005B7238" w:rsidRPr="00A13612">
              <w:rPr>
                <w:rFonts w:ascii="Arial" w:eastAsia="Times New Roman" w:hAnsi="Arial" w:cs="Arial"/>
                <w:color w:val="000000"/>
                <w:sz w:val="20"/>
                <w:szCs w:val="20"/>
              </w:rPr>
              <w:t>9</w:t>
            </w:r>
            <w:r w:rsidRPr="00A13612">
              <w:rPr>
                <w:rFonts w:ascii="Arial" w:eastAsia="Times New Roman" w:hAnsi="Arial" w:cs="Arial"/>
                <w:color w:val="000000"/>
                <w:sz w:val="20"/>
                <w:szCs w:val="20"/>
              </w:rPr>
              <w:t>*</w:t>
            </w:r>
          </w:p>
        </w:tc>
        <w:tc>
          <w:tcPr>
            <w:tcW w:w="1239" w:type="dxa"/>
            <w:vAlign w:val="bottom"/>
          </w:tcPr>
          <w:p w14:paraId="3BC46B0B" w14:textId="50D884BF"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12.23</w:t>
            </w:r>
            <w:r w:rsidR="005B7238" w:rsidRPr="00A13612">
              <w:rPr>
                <w:rFonts w:ascii="Arial" w:eastAsia="Times New Roman" w:hAnsi="Arial" w:cs="Arial"/>
                <w:color w:val="000000"/>
                <w:sz w:val="20"/>
                <w:szCs w:val="20"/>
              </w:rPr>
              <w:t>9</w:t>
            </w:r>
            <w:r w:rsidRPr="00A13612">
              <w:rPr>
                <w:rFonts w:ascii="Arial" w:eastAsia="Times New Roman" w:hAnsi="Arial" w:cs="Arial"/>
                <w:color w:val="000000"/>
                <w:sz w:val="20"/>
                <w:szCs w:val="20"/>
              </w:rPr>
              <w:t>*</w:t>
            </w:r>
          </w:p>
        </w:tc>
        <w:tc>
          <w:tcPr>
            <w:tcW w:w="1239" w:type="dxa"/>
            <w:vAlign w:val="bottom"/>
          </w:tcPr>
          <w:p w14:paraId="794B571D" w14:textId="5E8FC75C"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13.082*</w:t>
            </w:r>
          </w:p>
        </w:tc>
        <w:tc>
          <w:tcPr>
            <w:tcW w:w="1239" w:type="dxa"/>
            <w:vAlign w:val="bottom"/>
          </w:tcPr>
          <w:p w14:paraId="5A59F6BC"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14.683</w:t>
            </w:r>
          </w:p>
        </w:tc>
      </w:tr>
      <w:tr w:rsidR="005B7238" w:rsidRPr="00A13612" w14:paraId="0BBCABAF" w14:textId="77777777" w:rsidTr="00276991">
        <w:tc>
          <w:tcPr>
            <w:tcW w:w="1157" w:type="dxa"/>
            <w:vAlign w:val="bottom"/>
          </w:tcPr>
          <w:p w14:paraId="756DE0C3"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3</w:t>
            </w:r>
          </w:p>
        </w:tc>
        <w:tc>
          <w:tcPr>
            <w:tcW w:w="1133" w:type="dxa"/>
            <w:vAlign w:val="bottom"/>
          </w:tcPr>
          <w:p w14:paraId="1354984C" w14:textId="77777777" w:rsidR="00A31135" w:rsidRPr="00A13612" w:rsidRDefault="00A31135" w:rsidP="00134D14">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25</w:t>
            </w:r>
          </w:p>
        </w:tc>
        <w:tc>
          <w:tcPr>
            <w:tcW w:w="1196" w:type="dxa"/>
            <w:vAlign w:val="bottom"/>
          </w:tcPr>
          <w:p w14:paraId="2F634E0A"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0.184</w:t>
            </w:r>
          </w:p>
        </w:tc>
        <w:tc>
          <w:tcPr>
            <w:tcW w:w="1221" w:type="dxa"/>
            <w:vAlign w:val="bottom"/>
          </w:tcPr>
          <w:p w14:paraId="0FB5927A"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0.351</w:t>
            </w:r>
          </w:p>
        </w:tc>
        <w:tc>
          <w:tcPr>
            <w:tcW w:w="1239" w:type="dxa"/>
            <w:vAlign w:val="bottom"/>
          </w:tcPr>
          <w:p w14:paraId="43C118AE"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12.777</w:t>
            </w:r>
          </w:p>
        </w:tc>
        <w:tc>
          <w:tcPr>
            <w:tcW w:w="1239" w:type="dxa"/>
            <w:vAlign w:val="bottom"/>
          </w:tcPr>
          <w:p w14:paraId="61DC9430"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14.004</w:t>
            </w:r>
          </w:p>
        </w:tc>
        <w:tc>
          <w:tcPr>
            <w:tcW w:w="1239" w:type="dxa"/>
            <w:vAlign w:val="bottom"/>
          </w:tcPr>
          <w:p w14:paraId="662DF27E"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16.332</w:t>
            </w:r>
          </w:p>
        </w:tc>
      </w:tr>
      <w:tr w:rsidR="005B7238" w:rsidRPr="00A13612" w14:paraId="35AB83AE" w14:textId="77777777" w:rsidTr="00276991">
        <w:tc>
          <w:tcPr>
            <w:tcW w:w="1157" w:type="dxa"/>
            <w:tcBorders>
              <w:bottom w:val="single" w:sz="4" w:space="0" w:color="auto"/>
            </w:tcBorders>
            <w:vAlign w:val="bottom"/>
          </w:tcPr>
          <w:p w14:paraId="60131F3B" w14:textId="77777777" w:rsidR="00A31135" w:rsidRPr="00A13612" w:rsidRDefault="00A31135" w:rsidP="00C4598A">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4</w:t>
            </w:r>
          </w:p>
        </w:tc>
        <w:tc>
          <w:tcPr>
            <w:tcW w:w="1133" w:type="dxa"/>
            <w:tcBorders>
              <w:bottom w:val="single" w:sz="4" w:space="0" w:color="auto"/>
            </w:tcBorders>
            <w:vAlign w:val="bottom"/>
          </w:tcPr>
          <w:p w14:paraId="58A1FF49" w14:textId="77777777" w:rsidR="00A31135" w:rsidRPr="00A13612" w:rsidRDefault="00A31135" w:rsidP="00134D14">
            <w:pPr>
              <w:jc w:val="center"/>
              <w:rPr>
                <w:rFonts w:ascii="Arial" w:eastAsia="Times New Roman" w:hAnsi="Arial" w:cs="Arial"/>
                <w:color w:val="000000"/>
                <w:sz w:val="20"/>
                <w:szCs w:val="20"/>
              </w:rPr>
            </w:pPr>
            <w:r w:rsidRPr="00A13612">
              <w:rPr>
                <w:rFonts w:ascii="Arial" w:eastAsia="Times New Roman" w:hAnsi="Arial" w:cs="Arial"/>
                <w:color w:val="000000"/>
                <w:sz w:val="20"/>
                <w:szCs w:val="20"/>
              </w:rPr>
              <w:t>25</w:t>
            </w:r>
          </w:p>
        </w:tc>
        <w:tc>
          <w:tcPr>
            <w:tcW w:w="1196" w:type="dxa"/>
            <w:tcBorders>
              <w:bottom w:val="single" w:sz="4" w:space="0" w:color="auto"/>
            </w:tcBorders>
            <w:vAlign w:val="bottom"/>
          </w:tcPr>
          <w:p w14:paraId="59CB8017"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0.002</w:t>
            </w:r>
          </w:p>
        </w:tc>
        <w:tc>
          <w:tcPr>
            <w:tcW w:w="1221" w:type="dxa"/>
            <w:tcBorders>
              <w:bottom w:val="single" w:sz="4" w:space="0" w:color="auto"/>
            </w:tcBorders>
            <w:vAlign w:val="bottom"/>
          </w:tcPr>
          <w:p w14:paraId="6EFDD3C2"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0.625</w:t>
            </w:r>
          </w:p>
        </w:tc>
        <w:tc>
          <w:tcPr>
            <w:tcW w:w="1239" w:type="dxa"/>
            <w:tcBorders>
              <w:bottom w:val="single" w:sz="4" w:space="0" w:color="auto"/>
            </w:tcBorders>
            <w:vAlign w:val="bottom"/>
          </w:tcPr>
          <w:p w14:paraId="1AB1BEC7"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12.789</w:t>
            </w:r>
          </w:p>
        </w:tc>
        <w:tc>
          <w:tcPr>
            <w:tcW w:w="1239" w:type="dxa"/>
            <w:tcBorders>
              <w:bottom w:val="single" w:sz="4" w:space="0" w:color="auto"/>
            </w:tcBorders>
            <w:vAlign w:val="bottom"/>
          </w:tcPr>
          <w:p w14:paraId="2FF0912A"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14.399</w:t>
            </w:r>
          </w:p>
        </w:tc>
        <w:tc>
          <w:tcPr>
            <w:tcW w:w="1239" w:type="dxa"/>
            <w:tcBorders>
              <w:bottom w:val="single" w:sz="4" w:space="0" w:color="auto"/>
            </w:tcBorders>
            <w:vAlign w:val="bottom"/>
          </w:tcPr>
          <w:p w14:paraId="3AFDCCED" w14:textId="77777777" w:rsidR="00A31135" w:rsidRPr="00A13612" w:rsidRDefault="00A31135" w:rsidP="00C4598A">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17.455</w:t>
            </w:r>
          </w:p>
        </w:tc>
      </w:tr>
    </w:tbl>
    <w:p w14:paraId="0FE76D0D" w14:textId="1C3BF092" w:rsidR="00A31135" w:rsidRPr="00A13612" w:rsidRDefault="00276991" w:rsidP="00A31135">
      <w:pPr>
        <w:rPr>
          <w:rFonts w:ascii="Arial" w:hAnsi="Arial" w:cs="Arial"/>
          <w:i/>
          <w:sz w:val="18"/>
        </w:rPr>
      </w:pPr>
      <w:r w:rsidRPr="00A13612">
        <w:rPr>
          <w:rFonts w:ascii="Arial" w:hAnsi="Arial" w:cs="Arial"/>
          <w:i/>
          <w:sz w:val="18"/>
        </w:rPr>
        <w:t xml:space="preserve">* </w:t>
      </w:r>
      <w:proofErr w:type="gramStart"/>
      <w:r w:rsidRPr="00A13612">
        <w:rPr>
          <w:rFonts w:ascii="Arial" w:hAnsi="Arial" w:cs="Arial"/>
          <w:i/>
          <w:sz w:val="18"/>
        </w:rPr>
        <w:t>shows</w:t>
      </w:r>
      <w:proofErr w:type="gramEnd"/>
      <w:r w:rsidRPr="00A13612">
        <w:rPr>
          <w:rFonts w:ascii="Arial" w:hAnsi="Arial" w:cs="Arial"/>
          <w:i/>
          <w:sz w:val="18"/>
        </w:rPr>
        <w:t xml:space="preserve"> the optimal lag length</w:t>
      </w:r>
    </w:p>
    <w:p w14:paraId="6489ED92" w14:textId="77777777" w:rsidR="00606910" w:rsidRPr="00A13612" w:rsidRDefault="00606910" w:rsidP="00A31135">
      <w:pPr>
        <w:rPr>
          <w:rFonts w:ascii="Arial" w:hAnsi="Arial" w:cs="Arial"/>
          <w:szCs w:val="22"/>
        </w:rPr>
      </w:pPr>
    </w:p>
    <w:p w14:paraId="475AD7A6" w14:textId="615DF11F" w:rsidR="00A31135" w:rsidRPr="00A13612" w:rsidRDefault="00AB7482" w:rsidP="00A31135">
      <w:pPr>
        <w:rPr>
          <w:rFonts w:ascii="Arial" w:hAnsi="Arial" w:cs="Arial"/>
        </w:rPr>
      </w:pPr>
      <w:r w:rsidRPr="00A13612">
        <w:rPr>
          <w:rFonts w:ascii="Arial" w:hAnsi="Arial" w:cs="Arial"/>
        </w:rPr>
        <w:object w:dxaOrig="8910" w:dyaOrig="6660" w14:anchorId="56F2C6D1">
          <v:shape id="_x0000_i1026" type="#_x0000_t75" style="width:222pt;height:165.75pt" o:ole="">
            <v:imagedata r:id="rId10" o:title=""/>
          </v:shape>
          <o:OLEObject Type="Embed" ProgID="EViews.Workfile.2" ShapeID="_x0000_i1026" DrawAspect="Content" ObjectID="_1807345735" r:id="rId11"/>
        </w:object>
      </w:r>
    </w:p>
    <w:p w14:paraId="73121E90" w14:textId="77777777" w:rsidR="005B7238" w:rsidRPr="00A13612" w:rsidRDefault="005B7238" w:rsidP="005B7238">
      <w:pPr>
        <w:autoSpaceDE w:val="0"/>
        <w:autoSpaceDN w:val="0"/>
        <w:adjustRightInd w:val="0"/>
        <w:jc w:val="both"/>
        <w:rPr>
          <w:rFonts w:ascii="Arial" w:hAnsi="Arial" w:cs="Arial"/>
          <w:b/>
          <w:bCs/>
          <w:szCs w:val="22"/>
        </w:rPr>
      </w:pPr>
    </w:p>
    <w:p w14:paraId="302DF7FC" w14:textId="51EA2444" w:rsidR="005B7238" w:rsidRPr="00A13612" w:rsidRDefault="005B7238" w:rsidP="005B7238">
      <w:pPr>
        <w:autoSpaceDE w:val="0"/>
        <w:autoSpaceDN w:val="0"/>
        <w:adjustRightInd w:val="0"/>
        <w:jc w:val="both"/>
        <w:rPr>
          <w:rFonts w:ascii="Arial" w:hAnsi="Arial" w:cs="Arial"/>
          <w:b/>
          <w:bCs/>
          <w:szCs w:val="22"/>
        </w:rPr>
      </w:pPr>
      <w:r w:rsidRPr="00A13612">
        <w:rPr>
          <w:rFonts w:ascii="Arial" w:hAnsi="Arial" w:cs="Arial"/>
          <w:b/>
          <w:bCs/>
          <w:szCs w:val="22"/>
        </w:rPr>
        <w:t>Fig. 2. Model Selection</w:t>
      </w:r>
    </w:p>
    <w:p w14:paraId="6CC76FFA" w14:textId="4B7A047E" w:rsidR="00064CD9" w:rsidRPr="00A13612" w:rsidRDefault="00064CD9" w:rsidP="00064CD9">
      <w:pPr>
        <w:ind w:left="360"/>
        <w:jc w:val="both"/>
        <w:rPr>
          <w:rFonts w:ascii="Arial" w:hAnsi="Arial" w:cs="Arial"/>
          <w:i/>
          <w:iCs/>
          <w:sz w:val="18"/>
        </w:rPr>
      </w:pPr>
      <w:r w:rsidRPr="00A13612">
        <w:rPr>
          <w:rFonts w:ascii="Arial" w:hAnsi="Arial" w:cs="Arial"/>
          <w:i/>
          <w:iCs/>
          <w:sz w:val="18"/>
          <w:szCs w:val="18"/>
        </w:rPr>
        <w:t>(2,0,2,0,0) is the selected model</w:t>
      </w:r>
    </w:p>
    <w:p w14:paraId="4BC2F373" w14:textId="77777777" w:rsidR="005B7238" w:rsidRPr="00A13612" w:rsidRDefault="005B7238" w:rsidP="00A31135">
      <w:pPr>
        <w:rPr>
          <w:rFonts w:ascii="Arial" w:hAnsi="Arial" w:cs="Arial"/>
        </w:rPr>
      </w:pPr>
    </w:p>
    <w:p w14:paraId="6E5A2557" w14:textId="733AF52B" w:rsidR="005B7238" w:rsidRPr="00A13612" w:rsidRDefault="005B7238" w:rsidP="005B7238">
      <w:pPr>
        <w:pStyle w:val="Body"/>
        <w:spacing w:after="0"/>
        <w:rPr>
          <w:rFonts w:ascii="Arial" w:hAnsi="Arial" w:cs="Arial"/>
          <w:b/>
          <w:sz w:val="22"/>
        </w:rPr>
      </w:pPr>
      <w:r w:rsidRPr="00A13612">
        <w:rPr>
          <w:rFonts w:ascii="Arial" w:hAnsi="Arial" w:cs="Arial"/>
          <w:b/>
          <w:caps/>
          <w:sz w:val="22"/>
        </w:rPr>
        <w:t xml:space="preserve">3.3 </w:t>
      </w:r>
      <w:r w:rsidRPr="00A13612">
        <w:rPr>
          <w:rFonts w:ascii="Arial" w:hAnsi="Arial" w:cs="Arial"/>
          <w:b/>
          <w:sz w:val="22"/>
        </w:rPr>
        <w:t xml:space="preserve">Cointegration test results </w:t>
      </w:r>
    </w:p>
    <w:p w14:paraId="21979A64" w14:textId="77777777" w:rsidR="00276991" w:rsidRPr="00A13612" w:rsidRDefault="00276991" w:rsidP="00276991">
      <w:pPr>
        <w:jc w:val="both"/>
        <w:rPr>
          <w:rFonts w:ascii="Arial" w:hAnsi="Arial" w:cs="Arial"/>
        </w:rPr>
      </w:pPr>
    </w:p>
    <w:p w14:paraId="5F80A41E" w14:textId="0B0834F6" w:rsidR="00276991" w:rsidRPr="00A13612" w:rsidRDefault="00276991" w:rsidP="00276991">
      <w:pPr>
        <w:jc w:val="both"/>
        <w:rPr>
          <w:rFonts w:ascii="Arial" w:hAnsi="Arial" w:cs="Arial"/>
        </w:rPr>
      </w:pPr>
      <w:r w:rsidRPr="00A13612">
        <w:rPr>
          <w:rFonts w:ascii="Arial" w:hAnsi="Arial" w:cs="Arial"/>
        </w:rPr>
        <w:lastRenderedPageBreak/>
        <w:t xml:space="preserve">Before interpreting the dynamic relationships between the model variables, it is crucial to assess the presence of cointegration. Table </w:t>
      </w:r>
      <w:r w:rsidR="004E5219" w:rsidRPr="00A13612">
        <w:rPr>
          <w:rFonts w:ascii="Arial" w:hAnsi="Arial" w:cs="Arial"/>
        </w:rPr>
        <w:t>5</w:t>
      </w:r>
      <w:r w:rsidRPr="00A13612">
        <w:rPr>
          <w:rFonts w:ascii="Arial" w:hAnsi="Arial" w:cs="Arial"/>
        </w:rPr>
        <w:t xml:space="preserve"> presents the results of the cointegration test under the Bounds testing procedure. The calculated F-statistics (</w:t>
      </w:r>
      <w:r w:rsidRPr="00A13612">
        <w:rPr>
          <w:rFonts w:ascii="Arial" w:hAnsi="Arial" w:cs="Arial"/>
          <w:color w:val="000000"/>
        </w:rPr>
        <w:t>95.3567)</w:t>
      </w:r>
      <w:r w:rsidRPr="00A13612">
        <w:rPr>
          <w:rFonts w:ascii="Arial" w:hAnsi="Arial" w:cs="Arial"/>
        </w:rPr>
        <w:t xml:space="preserve"> outpace the upper bounds (</w:t>
      </w:r>
      <w:r w:rsidRPr="00A13612">
        <w:rPr>
          <w:rFonts w:ascii="Arial" w:hAnsi="Arial" w:cs="Arial"/>
          <w:color w:val="000000"/>
        </w:rPr>
        <w:t xml:space="preserve">4.37) at a 1% </w:t>
      </w:r>
      <w:r w:rsidR="004E5219" w:rsidRPr="00A13612">
        <w:rPr>
          <w:rFonts w:ascii="Arial" w:hAnsi="Arial" w:cs="Arial"/>
          <w:color w:val="000000"/>
        </w:rPr>
        <w:t>critical value.</w:t>
      </w:r>
      <w:r w:rsidRPr="00A13612">
        <w:rPr>
          <w:rFonts w:ascii="Arial" w:hAnsi="Arial" w:cs="Arial"/>
          <w:color w:val="000000"/>
        </w:rPr>
        <w:t xml:space="preserve"> </w:t>
      </w:r>
      <w:r w:rsidR="004E5219" w:rsidRPr="00A13612">
        <w:rPr>
          <w:rFonts w:ascii="Arial" w:hAnsi="Arial" w:cs="Arial"/>
          <w:color w:val="000000"/>
        </w:rPr>
        <w:t xml:space="preserve">Therefore, it can </w:t>
      </w:r>
      <w:proofErr w:type="gramStart"/>
      <w:r w:rsidR="004E5219" w:rsidRPr="00A13612">
        <w:rPr>
          <w:rFonts w:ascii="Arial" w:hAnsi="Arial" w:cs="Arial"/>
          <w:color w:val="000000"/>
        </w:rPr>
        <w:t>stated</w:t>
      </w:r>
      <w:proofErr w:type="gramEnd"/>
      <w:r w:rsidR="004E5219" w:rsidRPr="00A13612">
        <w:rPr>
          <w:rFonts w:ascii="Arial" w:hAnsi="Arial" w:cs="Arial"/>
          <w:color w:val="000000"/>
        </w:rPr>
        <w:t xml:space="preserve"> that</w:t>
      </w:r>
      <w:r w:rsidRPr="00A13612">
        <w:rPr>
          <w:rFonts w:ascii="Arial" w:hAnsi="Arial" w:cs="Arial"/>
          <w:color w:val="000000"/>
        </w:rPr>
        <w:t xml:space="preserve"> the equilibrium relationship </w:t>
      </w:r>
      <w:r w:rsidRPr="00A13612">
        <w:rPr>
          <w:rFonts w:ascii="Arial" w:hAnsi="Arial" w:cs="Arial"/>
        </w:rPr>
        <w:t xml:space="preserve">between </w:t>
      </w:r>
      <w:r w:rsidR="004E5219" w:rsidRPr="00A13612">
        <w:rPr>
          <w:rFonts w:ascii="Arial" w:hAnsi="Arial" w:cs="Arial"/>
        </w:rPr>
        <w:t>GDP</w:t>
      </w:r>
      <w:r w:rsidRPr="00A13612">
        <w:rPr>
          <w:rFonts w:ascii="Arial" w:hAnsi="Arial" w:cs="Arial"/>
        </w:rPr>
        <w:t xml:space="preserve"> growth, gross fixed capital formation growth, working-age population growth, </w:t>
      </w:r>
      <w:r w:rsidR="004E5219" w:rsidRPr="00A13612">
        <w:rPr>
          <w:rFonts w:ascii="Arial" w:hAnsi="Arial" w:cs="Arial"/>
        </w:rPr>
        <w:t>and CPI</w:t>
      </w:r>
      <w:r w:rsidRPr="00A13612">
        <w:rPr>
          <w:rFonts w:ascii="Arial" w:hAnsi="Arial" w:cs="Arial"/>
        </w:rPr>
        <w:t xml:space="preserve"> is confirmed in the case of Indonesia. </w:t>
      </w:r>
    </w:p>
    <w:p w14:paraId="030FC99C" w14:textId="77777777" w:rsidR="00A31135" w:rsidRPr="00A13612" w:rsidRDefault="00A31135" w:rsidP="00A31135">
      <w:pPr>
        <w:rPr>
          <w:rFonts w:ascii="Arial" w:hAnsi="Arial" w:cs="Arial"/>
        </w:rPr>
      </w:pPr>
    </w:p>
    <w:p w14:paraId="68742DC1" w14:textId="56684B51" w:rsidR="005B7238" w:rsidRPr="00A13612" w:rsidRDefault="005B7238" w:rsidP="005B7238">
      <w:pPr>
        <w:tabs>
          <w:tab w:val="left" w:pos="1080"/>
        </w:tabs>
        <w:jc w:val="both"/>
        <w:rPr>
          <w:rFonts w:ascii="Arial" w:hAnsi="Arial" w:cs="Arial"/>
        </w:rPr>
      </w:pPr>
      <w:r w:rsidRPr="00A13612">
        <w:rPr>
          <w:rFonts w:ascii="Arial" w:hAnsi="Arial" w:cs="Arial"/>
          <w:b/>
        </w:rPr>
        <w:t xml:space="preserve">Table </w:t>
      </w:r>
      <w:r w:rsidR="004E5219" w:rsidRPr="00A13612">
        <w:rPr>
          <w:rFonts w:ascii="Arial" w:hAnsi="Arial" w:cs="Arial"/>
          <w:b/>
        </w:rPr>
        <w:t>5</w:t>
      </w:r>
      <w:r w:rsidRPr="00A13612">
        <w:rPr>
          <w:rFonts w:ascii="Arial" w:hAnsi="Arial" w:cs="Arial"/>
          <w:b/>
        </w:rPr>
        <w:t>. The Bounds Test</w:t>
      </w:r>
    </w:p>
    <w:p w14:paraId="0FB61208" w14:textId="70EDA8DE" w:rsidR="00A31135" w:rsidRPr="00A13612" w:rsidRDefault="00A31135" w:rsidP="005B7238">
      <w:pPr>
        <w:tabs>
          <w:tab w:val="left" w:pos="1080"/>
        </w:tabs>
        <w:jc w:val="both"/>
        <w:rPr>
          <w:rFonts w:ascii="Arial" w:hAnsi="Arial" w:cs="Arial"/>
          <w:b/>
        </w:rPr>
      </w:pPr>
      <w:r w:rsidRPr="00A13612">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695"/>
        <w:gridCol w:w="1665"/>
        <w:gridCol w:w="1632"/>
        <w:gridCol w:w="1632"/>
      </w:tblGrid>
      <w:tr w:rsidR="00A31135" w:rsidRPr="00A13612" w14:paraId="47F75491" w14:textId="77777777" w:rsidTr="00606910">
        <w:tc>
          <w:tcPr>
            <w:tcW w:w="1638" w:type="dxa"/>
            <w:tcBorders>
              <w:top w:val="single" w:sz="4" w:space="0" w:color="auto"/>
              <w:bottom w:val="single" w:sz="4" w:space="0" w:color="auto"/>
            </w:tcBorders>
          </w:tcPr>
          <w:p w14:paraId="56DE84C4" w14:textId="77777777" w:rsidR="00A31135" w:rsidRPr="00A13612" w:rsidRDefault="00A31135" w:rsidP="00C4598A">
            <w:pPr>
              <w:rPr>
                <w:rFonts w:ascii="Arial" w:hAnsi="Arial" w:cs="Arial"/>
                <w:sz w:val="20"/>
                <w:szCs w:val="20"/>
              </w:rPr>
            </w:pPr>
          </w:p>
        </w:tc>
        <w:tc>
          <w:tcPr>
            <w:tcW w:w="1728" w:type="dxa"/>
            <w:tcBorders>
              <w:top w:val="single" w:sz="4" w:space="0" w:color="auto"/>
              <w:bottom w:val="single" w:sz="4" w:space="0" w:color="auto"/>
            </w:tcBorders>
          </w:tcPr>
          <w:p w14:paraId="3198251A" w14:textId="05A70CC6" w:rsidR="00A31135" w:rsidRPr="00A13612" w:rsidRDefault="00134D14" w:rsidP="00C4598A">
            <w:pPr>
              <w:rPr>
                <w:rFonts w:ascii="Arial" w:hAnsi="Arial" w:cs="Arial"/>
                <w:sz w:val="20"/>
                <w:szCs w:val="20"/>
              </w:rPr>
            </w:pPr>
            <w:r w:rsidRPr="00A13612">
              <w:rPr>
                <w:rFonts w:ascii="Arial" w:hAnsi="Arial" w:cs="Arial"/>
                <w:sz w:val="20"/>
                <w:szCs w:val="20"/>
              </w:rPr>
              <w:t>Statistic</w:t>
            </w:r>
          </w:p>
        </w:tc>
        <w:tc>
          <w:tcPr>
            <w:tcW w:w="1704" w:type="dxa"/>
            <w:tcBorders>
              <w:top w:val="single" w:sz="4" w:space="0" w:color="auto"/>
              <w:bottom w:val="single" w:sz="4" w:space="0" w:color="auto"/>
            </w:tcBorders>
          </w:tcPr>
          <w:p w14:paraId="34D41E61" w14:textId="4BE6163F" w:rsidR="00A31135" w:rsidRPr="00A13612" w:rsidRDefault="00134D14" w:rsidP="00606910">
            <w:pPr>
              <w:jc w:val="right"/>
              <w:rPr>
                <w:rFonts w:ascii="Arial" w:hAnsi="Arial" w:cs="Arial"/>
                <w:sz w:val="20"/>
                <w:szCs w:val="20"/>
              </w:rPr>
            </w:pPr>
            <w:r w:rsidRPr="00A13612">
              <w:rPr>
                <w:rFonts w:ascii="Arial" w:hAnsi="Arial" w:cs="Arial"/>
                <w:sz w:val="20"/>
                <w:szCs w:val="20"/>
              </w:rPr>
              <w:t>p-value</w:t>
            </w:r>
          </w:p>
        </w:tc>
        <w:tc>
          <w:tcPr>
            <w:tcW w:w="1677" w:type="dxa"/>
            <w:tcBorders>
              <w:top w:val="single" w:sz="4" w:space="0" w:color="auto"/>
              <w:bottom w:val="single" w:sz="4" w:space="0" w:color="auto"/>
            </w:tcBorders>
          </w:tcPr>
          <w:p w14:paraId="489E311A" w14:textId="253CB0CC" w:rsidR="00A31135" w:rsidRPr="00A13612" w:rsidRDefault="00134D14" w:rsidP="00606910">
            <w:pPr>
              <w:jc w:val="right"/>
              <w:rPr>
                <w:rFonts w:ascii="Arial" w:hAnsi="Arial" w:cs="Arial"/>
                <w:sz w:val="20"/>
                <w:szCs w:val="20"/>
              </w:rPr>
            </w:pPr>
            <w:proofErr w:type="gramStart"/>
            <w:r w:rsidRPr="00A13612">
              <w:rPr>
                <w:rFonts w:ascii="Arial" w:hAnsi="Arial" w:cs="Arial"/>
                <w:sz w:val="20"/>
                <w:szCs w:val="20"/>
              </w:rPr>
              <w:t>I</w:t>
            </w:r>
            <w:r w:rsidR="00606910" w:rsidRPr="00A13612">
              <w:rPr>
                <w:rFonts w:ascii="Arial" w:hAnsi="Arial" w:cs="Arial"/>
                <w:sz w:val="20"/>
                <w:szCs w:val="20"/>
              </w:rPr>
              <w:t>[</w:t>
            </w:r>
            <w:proofErr w:type="gramEnd"/>
            <w:r w:rsidRPr="00A13612">
              <w:rPr>
                <w:rFonts w:ascii="Arial" w:hAnsi="Arial" w:cs="Arial"/>
                <w:sz w:val="20"/>
                <w:szCs w:val="20"/>
              </w:rPr>
              <w:t>0</w:t>
            </w:r>
            <w:r w:rsidR="00606910" w:rsidRPr="00A13612">
              <w:rPr>
                <w:rFonts w:ascii="Arial" w:hAnsi="Arial" w:cs="Arial"/>
                <w:sz w:val="20"/>
                <w:szCs w:val="20"/>
              </w:rPr>
              <w:t>]</w:t>
            </w:r>
          </w:p>
        </w:tc>
        <w:tc>
          <w:tcPr>
            <w:tcW w:w="1677" w:type="dxa"/>
            <w:tcBorders>
              <w:top w:val="single" w:sz="4" w:space="0" w:color="auto"/>
              <w:bottom w:val="single" w:sz="4" w:space="0" w:color="auto"/>
            </w:tcBorders>
          </w:tcPr>
          <w:p w14:paraId="77CE7F52" w14:textId="61C4DA8A" w:rsidR="00A31135" w:rsidRPr="00A13612" w:rsidRDefault="00606910" w:rsidP="00606910">
            <w:pPr>
              <w:jc w:val="right"/>
              <w:rPr>
                <w:rFonts w:ascii="Arial" w:hAnsi="Arial" w:cs="Arial"/>
                <w:sz w:val="20"/>
                <w:szCs w:val="20"/>
              </w:rPr>
            </w:pPr>
            <w:r w:rsidRPr="00A13612">
              <w:rPr>
                <w:rFonts w:ascii="Arial" w:hAnsi="Arial" w:cs="Arial"/>
                <w:sz w:val="20"/>
                <w:szCs w:val="20"/>
              </w:rPr>
              <w:t>1[</w:t>
            </w:r>
            <w:r w:rsidR="00134D14" w:rsidRPr="00A13612">
              <w:rPr>
                <w:rFonts w:ascii="Arial" w:hAnsi="Arial" w:cs="Arial"/>
                <w:sz w:val="20"/>
                <w:szCs w:val="20"/>
              </w:rPr>
              <w:t>1</w:t>
            </w:r>
            <w:r w:rsidRPr="00A13612">
              <w:rPr>
                <w:rFonts w:ascii="Arial" w:hAnsi="Arial" w:cs="Arial"/>
                <w:sz w:val="20"/>
                <w:szCs w:val="20"/>
              </w:rPr>
              <w:t>]</w:t>
            </w:r>
          </w:p>
        </w:tc>
      </w:tr>
      <w:tr w:rsidR="00A31135" w:rsidRPr="00A13612" w14:paraId="4F7A9DAE" w14:textId="77777777" w:rsidTr="00606910">
        <w:tc>
          <w:tcPr>
            <w:tcW w:w="1638" w:type="dxa"/>
            <w:tcBorders>
              <w:top w:val="single" w:sz="4" w:space="0" w:color="auto"/>
            </w:tcBorders>
            <w:vAlign w:val="bottom"/>
          </w:tcPr>
          <w:p w14:paraId="7674082D" w14:textId="77777777" w:rsidR="00A31135" w:rsidRPr="00A13612" w:rsidRDefault="00A31135" w:rsidP="00C4598A">
            <w:pPr>
              <w:rPr>
                <w:rFonts w:ascii="Arial" w:hAnsi="Arial" w:cs="Arial"/>
                <w:sz w:val="20"/>
                <w:szCs w:val="20"/>
              </w:rPr>
            </w:pPr>
            <w:r w:rsidRPr="00A13612">
              <w:rPr>
                <w:rFonts w:ascii="Arial" w:eastAsia="Times New Roman" w:hAnsi="Arial" w:cs="Arial"/>
                <w:color w:val="000000"/>
                <w:sz w:val="20"/>
                <w:szCs w:val="20"/>
              </w:rPr>
              <w:t>F</w:t>
            </w:r>
          </w:p>
        </w:tc>
        <w:tc>
          <w:tcPr>
            <w:tcW w:w="1728" w:type="dxa"/>
            <w:tcBorders>
              <w:top w:val="single" w:sz="4" w:space="0" w:color="auto"/>
            </w:tcBorders>
            <w:vAlign w:val="bottom"/>
          </w:tcPr>
          <w:p w14:paraId="5C6AADD1" w14:textId="77777777" w:rsidR="00A31135" w:rsidRPr="00A13612" w:rsidRDefault="00A31135" w:rsidP="00C4598A">
            <w:pPr>
              <w:rPr>
                <w:rFonts w:ascii="Arial" w:hAnsi="Arial" w:cs="Arial"/>
                <w:sz w:val="20"/>
                <w:szCs w:val="20"/>
              </w:rPr>
            </w:pPr>
            <w:r w:rsidRPr="00A13612">
              <w:rPr>
                <w:rFonts w:ascii="Arial" w:eastAsia="Times New Roman" w:hAnsi="Arial" w:cs="Arial"/>
                <w:color w:val="000000"/>
                <w:sz w:val="20"/>
                <w:szCs w:val="20"/>
              </w:rPr>
              <w:t>95.3567</w:t>
            </w:r>
          </w:p>
        </w:tc>
        <w:tc>
          <w:tcPr>
            <w:tcW w:w="1704" w:type="dxa"/>
            <w:tcBorders>
              <w:top w:val="single" w:sz="4" w:space="0" w:color="auto"/>
            </w:tcBorders>
            <w:vAlign w:val="bottom"/>
          </w:tcPr>
          <w:p w14:paraId="039B145B" w14:textId="77777777" w:rsidR="00A31135" w:rsidRPr="00A13612" w:rsidRDefault="00A31135" w:rsidP="00606910">
            <w:pPr>
              <w:jc w:val="right"/>
              <w:rPr>
                <w:rFonts w:ascii="Arial" w:hAnsi="Arial" w:cs="Arial"/>
                <w:sz w:val="20"/>
                <w:szCs w:val="20"/>
              </w:rPr>
            </w:pPr>
            <w:r w:rsidRPr="00A13612">
              <w:rPr>
                <w:rFonts w:ascii="Arial" w:eastAsia="Times New Roman" w:hAnsi="Arial" w:cs="Arial"/>
                <w:color w:val="000000"/>
                <w:sz w:val="20"/>
                <w:szCs w:val="20"/>
              </w:rPr>
              <w:t>10%</w:t>
            </w:r>
          </w:p>
        </w:tc>
        <w:tc>
          <w:tcPr>
            <w:tcW w:w="1677" w:type="dxa"/>
            <w:tcBorders>
              <w:top w:val="single" w:sz="4" w:space="0" w:color="auto"/>
            </w:tcBorders>
            <w:vAlign w:val="bottom"/>
          </w:tcPr>
          <w:p w14:paraId="6F6889F9" w14:textId="77777777" w:rsidR="00A31135" w:rsidRPr="00A13612" w:rsidRDefault="00A31135" w:rsidP="00606910">
            <w:pPr>
              <w:jc w:val="right"/>
              <w:rPr>
                <w:rFonts w:ascii="Arial" w:hAnsi="Arial" w:cs="Arial"/>
                <w:sz w:val="20"/>
                <w:szCs w:val="20"/>
              </w:rPr>
            </w:pPr>
            <w:r w:rsidRPr="00A13612">
              <w:rPr>
                <w:rFonts w:ascii="Arial" w:eastAsia="Times New Roman" w:hAnsi="Arial" w:cs="Arial"/>
                <w:color w:val="000000"/>
                <w:sz w:val="20"/>
                <w:szCs w:val="20"/>
              </w:rPr>
              <w:t>2.20</w:t>
            </w:r>
          </w:p>
        </w:tc>
        <w:tc>
          <w:tcPr>
            <w:tcW w:w="1677" w:type="dxa"/>
            <w:tcBorders>
              <w:top w:val="single" w:sz="4" w:space="0" w:color="auto"/>
            </w:tcBorders>
            <w:vAlign w:val="bottom"/>
          </w:tcPr>
          <w:p w14:paraId="18820806" w14:textId="77777777" w:rsidR="00A31135" w:rsidRPr="00A13612" w:rsidRDefault="00A31135" w:rsidP="00606910">
            <w:pPr>
              <w:jc w:val="right"/>
              <w:rPr>
                <w:rFonts w:ascii="Arial" w:hAnsi="Arial" w:cs="Arial"/>
                <w:sz w:val="20"/>
                <w:szCs w:val="20"/>
              </w:rPr>
            </w:pPr>
            <w:r w:rsidRPr="00A13612">
              <w:rPr>
                <w:rFonts w:ascii="Arial" w:eastAsia="Times New Roman" w:hAnsi="Arial" w:cs="Arial"/>
                <w:color w:val="000000"/>
                <w:sz w:val="20"/>
                <w:szCs w:val="20"/>
              </w:rPr>
              <w:t>3.09</w:t>
            </w:r>
          </w:p>
        </w:tc>
      </w:tr>
      <w:tr w:rsidR="00A31135" w:rsidRPr="00A13612" w14:paraId="04BAEB6C" w14:textId="77777777" w:rsidTr="00606910">
        <w:tc>
          <w:tcPr>
            <w:tcW w:w="1638" w:type="dxa"/>
            <w:vAlign w:val="bottom"/>
          </w:tcPr>
          <w:p w14:paraId="2DFFEB56" w14:textId="77777777" w:rsidR="00A31135" w:rsidRPr="00A13612" w:rsidRDefault="00A31135" w:rsidP="00C4598A">
            <w:pPr>
              <w:rPr>
                <w:rFonts w:ascii="Arial" w:hAnsi="Arial" w:cs="Arial"/>
                <w:sz w:val="20"/>
                <w:szCs w:val="20"/>
              </w:rPr>
            </w:pPr>
            <w:r w:rsidRPr="00A13612">
              <w:rPr>
                <w:rFonts w:ascii="Arial" w:eastAsia="Times New Roman" w:hAnsi="Arial" w:cs="Arial"/>
                <w:color w:val="000000"/>
                <w:sz w:val="20"/>
                <w:szCs w:val="20"/>
              </w:rPr>
              <w:t>t</w:t>
            </w:r>
          </w:p>
        </w:tc>
        <w:tc>
          <w:tcPr>
            <w:tcW w:w="1728" w:type="dxa"/>
            <w:vAlign w:val="bottom"/>
          </w:tcPr>
          <w:p w14:paraId="4DF414E3" w14:textId="77777777" w:rsidR="00A31135" w:rsidRPr="00A13612" w:rsidRDefault="00A31135" w:rsidP="00C4598A">
            <w:pPr>
              <w:rPr>
                <w:rFonts w:ascii="Arial" w:hAnsi="Arial" w:cs="Arial"/>
                <w:sz w:val="20"/>
                <w:szCs w:val="20"/>
              </w:rPr>
            </w:pPr>
            <w:r w:rsidRPr="00A13612">
              <w:rPr>
                <w:rFonts w:ascii="Arial" w:eastAsia="Times New Roman" w:hAnsi="Arial" w:cs="Arial"/>
                <w:color w:val="000000"/>
                <w:sz w:val="20"/>
                <w:szCs w:val="20"/>
              </w:rPr>
              <w:t>4</w:t>
            </w:r>
          </w:p>
        </w:tc>
        <w:tc>
          <w:tcPr>
            <w:tcW w:w="1704" w:type="dxa"/>
            <w:vAlign w:val="bottom"/>
          </w:tcPr>
          <w:p w14:paraId="27D22FB8" w14:textId="77777777" w:rsidR="00A31135" w:rsidRPr="00A13612" w:rsidRDefault="00A31135" w:rsidP="00606910">
            <w:pPr>
              <w:jc w:val="right"/>
              <w:rPr>
                <w:rFonts w:ascii="Arial" w:hAnsi="Arial" w:cs="Arial"/>
                <w:sz w:val="20"/>
                <w:szCs w:val="20"/>
              </w:rPr>
            </w:pPr>
            <w:r w:rsidRPr="00A13612">
              <w:rPr>
                <w:rFonts w:ascii="Arial" w:eastAsia="Times New Roman" w:hAnsi="Arial" w:cs="Arial"/>
                <w:color w:val="000000"/>
                <w:sz w:val="20"/>
                <w:szCs w:val="20"/>
              </w:rPr>
              <w:t>5%</w:t>
            </w:r>
          </w:p>
        </w:tc>
        <w:tc>
          <w:tcPr>
            <w:tcW w:w="1677" w:type="dxa"/>
            <w:vAlign w:val="bottom"/>
          </w:tcPr>
          <w:p w14:paraId="457D64DC" w14:textId="77777777" w:rsidR="00A31135" w:rsidRPr="00A13612" w:rsidRDefault="00A31135" w:rsidP="00606910">
            <w:pPr>
              <w:jc w:val="right"/>
              <w:rPr>
                <w:rFonts w:ascii="Arial" w:hAnsi="Arial" w:cs="Arial"/>
                <w:sz w:val="20"/>
                <w:szCs w:val="20"/>
              </w:rPr>
            </w:pPr>
            <w:r w:rsidRPr="00A13612">
              <w:rPr>
                <w:rFonts w:ascii="Arial" w:eastAsia="Times New Roman" w:hAnsi="Arial" w:cs="Arial"/>
                <w:color w:val="000000"/>
                <w:sz w:val="20"/>
                <w:szCs w:val="20"/>
              </w:rPr>
              <w:t>2.56</w:t>
            </w:r>
          </w:p>
        </w:tc>
        <w:tc>
          <w:tcPr>
            <w:tcW w:w="1677" w:type="dxa"/>
            <w:vAlign w:val="bottom"/>
          </w:tcPr>
          <w:p w14:paraId="76931C8B" w14:textId="77777777" w:rsidR="00A31135" w:rsidRPr="00A13612" w:rsidRDefault="00A31135" w:rsidP="00606910">
            <w:pPr>
              <w:jc w:val="right"/>
              <w:rPr>
                <w:rFonts w:ascii="Arial" w:hAnsi="Arial" w:cs="Arial"/>
                <w:sz w:val="20"/>
                <w:szCs w:val="20"/>
              </w:rPr>
            </w:pPr>
            <w:r w:rsidRPr="00A13612">
              <w:rPr>
                <w:rFonts w:ascii="Arial" w:eastAsia="Times New Roman" w:hAnsi="Arial" w:cs="Arial"/>
                <w:color w:val="000000"/>
                <w:sz w:val="20"/>
                <w:szCs w:val="20"/>
              </w:rPr>
              <w:t>3.49</w:t>
            </w:r>
          </w:p>
        </w:tc>
      </w:tr>
      <w:tr w:rsidR="00A31135" w:rsidRPr="00A13612" w14:paraId="5107A0C4" w14:textId="77777777" w:rsidTr="00606910">
        <w:tc>
          <w:tcPr>
            <w:tcW w:w="1638" w:type="dxa"/>
            <w:vAlign w:val="bottom"/>
          </w:tcPr>
          <w:p w14:paraId="11E64981" w14:textId="77777777" w:rsidR="00A31135" w:rsidRPr="00A13612" w:rsidRDefault="00A31135" w:rsidP="00C4598A">
            <w:pPr>
              <w:rPr>
                <w:rFonts w:ascii="Arial" w:eastAsia="Times New Roman" w:hAnsi="Arial" w:cs="Arial"/>
                <w:color w:val="000000"/>
                <w:sz w:val="20"/>
                <w:szCs w:val="20"/>
              </w:rPr>
            </w:pPr>
            <w:r w:rsidRPr="00A13612">
              <w:rPr>
                <w:rFonts w:ascii="Arial" w:eastAsia="Times New Roman" w:hAnsi="Arial" w:cs="Arial"/>
                <w:color w:val="000000"/>
                <w:sz w:val="20"/>
                <w:szCs w:val="20"/>
              </w:rPr>
              <w:t>k</w:t>
            </w:r>
          </w:p>
        </w:tc>
        <w:tc>
          <w:tcPr>
            <w:tcW w:w="1728" w:type="dxa"/>
            <w:vAlign w:val="bottom"/>
          </w:tcPr>
          <w:p w14:paraId="4A9EA757" w14:textId="77777777" w:rsidR="00A31135" w:rsidRPr="00A13612" w:rsidRDefault="00A31135" w:rsidP="00C4598A">
            <w:pPr>
              <w:rPr>
                <w:rFonts w:ascii="Arial" w:eastAsia="Times New Roman" w:hAnsi="Arial" w:cs="Arial"/>
                <w:color w:val="000000"/>
                <w:sz w:val="20"/>
                <w:szCs w:val="20"/>
              </w:rPr>
            </w:pPr>
          </w:p>
        </w:tc>
        <w:tc>
          <w:tcPr>
            <w:tcW w:w="1704" w:type="dxa"/>
            <w:vAlign w:val="bottom"/>
          </w:tcPr>
          <w:p w14:paraId="43868767" w14:textId="77777777" w:rsidR="00A31135" w:rsidRPr="00A13612" w:rsidRDefault="00A31135" w:rsidP="00606910">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2.50%</w:t>
            </w:r>
          </w:p>
        </w:tc>
        <w:tc>
          <w:tcPr>
            <w:tcW w:w="1677" w:type="dxa"/>
            <w:vAlign w:val="bottom"/>
          </w:tcPr>
          <w:p w14:paraId="1B05493F" w14:textId="77777777" w:rsidR="00A31135" w:rsidRPr="00A13612" w:rsidRDefault="00A31135" w:rsidP="00606910">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2.88</w:t>
            </w:r>
          </w:p>
        </w:tc>
        <w:tc>
          <w:tcPr>
            <w:tcW w:w="1677" w:type="dxa"/>
            <w:vAlign w:val="bottom"/>
          </w:tcPr>
          <w:p w14:paraId="34D7ACA9" w14:textId="77777777" w:rsidR="00A31135" w:rsidRPr="00A13612" w:rsidRDefault="00A31135" w:rsidP="00606910">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3.87</w:t>
            </w:r>
          </w:p>
        </w:tc>
      </w:tr>
      <w:tr w:rsidR="00A31135" w:rsidRPr="00A13612" w14:paraId="37167DA7" w14:textId="77777777" w:rsidTr="00606910">
        <w:tc>
          <w:tcPr>
            <w:tcW w:w="1638" w:type="dxa"/>
            <w:tcBorders>
              <w:bottom w:val="single" w:sz="4" w:space="0" w:color="auto"/>
            </w:tcBorders>
            <w:vAlign w:val="bottom"/>
          </w:tcPr>
          <w:p w14:paraId="2CAF6316" w14:textId="77777777" w:rsidR="00A31135" w:rsidRPr="00A13612" w:rsidRDefault="00A31135" w:rsidP="00C4598A">
            <w:pPr>
              <w:rPr>
                <w:rFonts w:ascii="Arial" w:eastAsia="Times New Roman" w:hAnsi="Arial" w:cs="Arial"/>
                <w:color w:val="000000"/>
                <w:sz w:val="20"/>
                <w:szCs w:val="20"/>
              </w:rPr>
            </w:pPr>
          </w:p>
        </w:tc>
        <w:tc>
          <w:tcPr>
            <w:tcW w:w="1728" w:type="dxa"/>
            <w:tcBorders>
              <w:bottom w:val="single" w:sz="4" w:space="0" w:color="auto"/>
            </w:tcBorders>
            <w:vAlign w:val="bottom"/>
          </w:tcPr>
          <w:p w14:paraId="5F78FB56" w14:textId="77777777" w:rsidR="00A31135" w:rsidRPr="00A13612" w:rsidRDefault="00A31135" w:rsidP="00C4598A">
            <w:pPr>
              <w:rPr>
                <w:rFonts w:ascii="Arial" w:eastAsia="Times New Roman" w:hAnsi="Arial" w:cs="Arial"/>
                <w:color w:val="000000"/>
                <w:sz w:val="20"/>
                <w:szCs w:val="20"/>
              </w:rPr>
            </w:pPr>
          </w:p>
        </w:tc>
        <w:tc>
          <w:tcPr>
            <w:tcW w:w="1704" w:type="dxa"/>
            <w:tcBorders>
              <w:bottom w:val="single" w:sz="4" w:space="0" w:color="auto"/>
            </w:tcBorders>
            <w:vAlign w:val="bottom"/>
          </w:tcPr>
          <w:p w14:paraId="3F4F02DC" w14:textId="77777777" w:rsidR="00A31135" w:rsidRPr="00A13612" w:rsidRDefault="00A31135" w:rsidP="00606910">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w:t>
            </w:r>
          </w:p>
        </w:tc>
        <w:tc>
          <w:tcPr>
            <w:tcW w:w="1677" w:type="dxa"/>
            <w:tcBorders>
              <w:bottom w:val="single" w:sz="4" w:space="0" w:color="auto"/>
            </w:tcBorders>
            <w:vAlign w:val="bottom"/>
          </w:tcPr>
          <w:p w14:paraId="552D8BFC" w14:textId="77777777" w:rsidR="00A31135" w:rsidRPr="00A13612" w:rsidRDefault="00A31135" w:rsidP="00606910">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3.29</w:t>
            </w:r>
          </w:p>
        </w:tc>
        <w:tc>
          <w:tcPr>
            <w:tcW w:w="1677" w:type="dxa"/>
            <w:tcBorders>
              <w:bottom w:val="single" w:sz="4" w:space="0" w:color="auto"/>
            </w:tcBorders>
            <w:vAlign w:val="bottom"/>
          </w:tcPr>
          <w:p w14:paraId="4F602920" w14:textId="77777777" w:rsidR="00A31135" w:rsidRPr="00A13612" w:rsidRDefault="00A31135" w:rsidP="00606910">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4.37</w:t>
            </w:r>
          </w:p>
        </w:tc>
      </w:tr>
    </w:tbl>
    <w:p w14:paraId="74DF3F04" w14:textId="1BA87BA4" w:rsidR="00A31135" w:rsidRPr="00A13612" w:rsidRDefault="00606910" w:rsidP="007D54E7">
      <w:pPr>
        <w:ind w:left="360"/>
        <w:jc w:val="both"/>
        <w:rPr>
          <w:rFonts w:ascii="Arial" w:hAnsi="Arial" w:cs="Arial"/>
          <w:i/>
          <w:iCs/>
          <w:sz w:val="18"/>
        </w:rPr>
      </w:pPr>
      <w:proofErr w:type="gramStart"/>
      <w:r w:rsidRPr="00A13612">
        <w:rPr>
          <w:rFonts w:ascii="Arial" w:hAnsi="Arial" w:cs="Arial"/>
          <w:sz w:val="18"/>
          <w:szCs w:val="18"/>
        </w:rPr>
        <w:t>I[</w:t>
      </w:r>
      <w:proofErr w:type="gramEnd"/>
      <w:r w:rsidRPr="00A13612">
        <w:rPr>
          <w:rFonts w:ascii="Arial" w:hAnsi="Arial" w:cs="Arial"/>
          <w:sz w:val="18"/>
          <w:szCs w:val="18"/>
        </w:rPr>
        <w:t xml:space="preserve">0] and </w:t>
      </w:r>
      <w:proofErr w:type="gramStart"/>
      <w:r w:rsidRPr="00A13612">
        <w:rPr>
          <w:rFonts w:ascii="Arial" w:hAnsi="Arial" w:cs="Arial"/>
          <w:sz w:val="18"/>
          <w:szCs w:val="18"/>
        </w:rPr>
        <w:t>I[</w:t>
      </w:r>
      <w:proofErr w:type="gramEnd"/>
      <w:r w:rsidRPr="00A13612">
        <w:rPr>
          <w:rFonts w:ascii="Arial" w:hAnsi="Arial" w:cs="Arial"/>
          <w:sz w:val="18"/>
          <w:szCs w:val="18"/>
        </w:rPr>
        <w:t xml:space="preserve">0] </w:t>
      </w:r>
      <w:r w:rsidR="007D54E7" w:rsidRPr="00A13612">
        <w:rPr>
          <w:rFonts w:ascii="Arial" w:hAnsi="Arial" w:cs="Arial"/>
          <w:sz w:val="18"/>
          <w:szCs w:val="18"/>
        </w:rPr>
        <w:t xml:space="preserve">denote </w:t>
      </w:r>
      <w:r w:rsidRPr="00A13612">
        <w:rPr>
          <w:rFonts w:ascii="Arial" w:hAnsi="Arial" w:cs="Arial"/>
          <w:sz w:val="18"/>
          <w:szCs w:val="18"/>
        </w:rPr>
        <w:t>lower and upper critical bounds.</w:t>
      </w:r>
    </w:p>
    <w:p w14:paraId="30D90A44" w14:textId="77777777" w:rsidR="005B7238" w:rsidRPr="00A13612" w:rsidRDefault="005B7238" w:rsidP="005B7238">
      <w:pPr>
        <w:rPr>
          <w:rFonts w:ascii="Arial" w:hAnsi="Arial" w:cs="Arial"/>
        </w:rPr>
      </w:pPr>
    </w:p>
    <w:p w14:paraId="116BB131" w14:textId="3AB08B54" w:rsidR="005B7238" w:rsidRPr="00A13612" w:rsidRDefault="005B7238" w:rsidP="005B7238">
      <w:pPr>
        <w:pStyle w:val="Body"/>
        <w:spacing w:after="0"/>
        <w:rPr>
          <w:rFonts w:ascii="Arial" w:hAnsi="Arial" w:cs="Arial"/>
          <w:b/>
          <w:sz w:val="22"/>
        </w:rPr>
      </w:pPr>
      <w:r w:rsidRPr="00A13612">
        <w:rPr>
          <w:rFonts w:ascii="Arial" w:hAnsi="Arial" w:cs="Arial"/>
          <w:b/>
          <w:caps/>
          <w:sz w:val="22"/>
        </w:rPr>
        <w:t xml:space="preserve">3.4 </w:t>
      </w:r>
      <w:r w:rsidRPr="00A13612">
        <w:rPr>
          <w:rFonts w:ascii="Arial" w:hAnsi="Arial" w:cs="Arial"/>
          <w:b/>
          <w:sz w:val="22"/>
        </w:rPr>
        <w:t xml:space="preserve">ARDL-Bounds test estimates </w:t>
      </w:r>
    </w:p>
    <w:p w14:paraId="3D9B5B0C" w14:textId="77777777" w:rsidR="00276991" w:rsidRPr="00A13612" w:rsidRDefault="00276991" w:rsidP="00276991">
      <w:pPr>
        <w:jc w:val="both"/>
        <w:rPr>
          <w:rFonts w:ascii="Arial" w:hAnsi="Arial" w:cs="Arial"/>
        </w:rPr>
      </w:pPr>
    </w:p>
    <w:p w14:paraId="05AFB841" w14:textId="76CD3832" w:rsidR="00276991" w:rsidRPr="00A13612" w:rsidRDefault="001531CF" w:rsidP="00276991">
      <w:pPr>
        <w:jc w:val="both"/>
        <w:rPr>
          <w:rFonts w:ascii="Arial" w:hAnsi="Arial" w:cs="Arial"/>
        </w:rPr>
      </w:pPr>
      <w:r w:rsidRPr="00A13612">
        <w:rPr>
          <w:rFonts w:ascii="Arial" w:hAnsi="Arial" w:cs="Arial"/>
        </w:rPr>
        <w:t xml:space="preserve">Having </w:t>
      </w:r>
      <w:r w:rsidR="009B28FF" w:rsidRPr="00A13612">
        <w:rPr>
          <w:rFonts w:ascii="Arial" w:hAnsi="Arial" w:cs="Arial"/>
        </w:rPr>
        <w:t>conducted model selection</w:t>
      </w:r>
      <w:r w:rsidRPr="00A13612">
        <w:rPr>
          <w:rFonts w:ascii="Arial" w:hAnsi="Arial" w:cs="Arial"/>
        </w:rPr>
        <w:t>, t</w:t>
      </w:r>
      <w:r w:rsidR="00276991" w:rsidRPr="00A13612">
        <w:rPr>
          <w:rFonts w:ascii="Arial" w:hAnsi="Arial" w:cs="Arial"/>
        </w:rPr>
        <w:t xml:space="preserve">able </w:t>
      </w:r>
      <w:r w:rsidR="004E5219" w:rsidRPr="00A13612">
        <w:rPr>
          <w:rFonts w:ascii="Arial" w:hAnsi="Arial" w:cs="Arial"/>
        </w:rPr>
        <w:t>6</w:t>
      </w:r>
      <w:r w:rsidR="00276991" w:rsidRPr="00A13612">
        <w:rPr>
          <w:rFonts w:ascii="Arial" w:hAnsi="Arial" w:cs="Arial"/>
        </w:rPr>
        <w:t xml:space="preserve"> </w:t>
      </w:r>
      <w:r w:rsidR="009B28FF" w:rsidRPr="00A13612">
        <w:rPr>
          <w:rFonts w:ascii="Arial" w:hAnsi="Arial" w:cs="Arial"/>
        </w:rPr>
        <w:t>shows</w:t>
      </w:r>
      <w:r w:rsidR="00276991" w:rsidRPr="00A13612">
        <w:rPr>
          <w:rFonts w:ascii="Arial" w:hAnsi="Arial" w:cs="Arial"/>
        </w:rPr>
        <w:t xml:space="preserve"> the results of long-run estimates between economic growth and its set of determinants obtained from the ARDL-Bounds test. </w:t>
      </w:r>
      <w:r w:rsidR="004E5219" w:rsidRPr="00A13612">
        <w:rPr>
          <w:rFonts w:ascii="Arial" w:hAnsi="Arial" w:cs="Arial"/>
        </w:rPr>
        <w:t>CPI</w:t>
      </w:r>
      <w:r w:rsidR="00276991" w:rsidRPr="00A13612">
        <w:rPr>
          <w:rFonts w:ascii="Arial" w:hAnsi="Arial" w:cs="Arial"/>
        </w:rPr>
        <w:t xml:space="preserve"> is </w:t>
      </w:r>
      <w:r w:rsidR="009B28FF" w:rsidRPr="00A13612">
        <w:rPr>
          <w:rFonts w:ascii="Arial" w:hAnsi="Arial" w:cs="Arial"/>
        </w:rPr>
        <w:t xml:space="preserve">found to be </w:t>
      </w:r>
      <w:r w:rsidR="00276991" w:rsidRPr="00A13612">
        <w:rPr>
          <w:rFonts w:ascii="Arial" w:hAnsi="Arial" w:cs="Arial"/>
        </w:rPr>
        <w:t xml:space="preserve">negatively associated with </w:t>
      </w:r>
      <w:r w:rsidR="00606910" w:rsidRPr="00A13612">
        <w:rPr>
          <w:rFonts w:ascii="Arial" w:hAnsi="Arial" w:cs="Arial"/>
        </w:rPr>
        <w:t>GDP</w:t>
      </w:r>
      <w:r w:rsidR="00276991" w:rsidRPr="00A13612">
        <w:rPr>
          <w:rFonts w:ascii="Arial" w:hAnsi="Arial" w:cs="Arial"/>
        </w:rPr>
        <w:t xml:space="preserve"> growth at a 5% critical value</w:t>
      </w:r>
      <w:r w:rsidR="009B28FF" w:rsidRPr="00A13612">
        <w:rPr>
          <w:rFonts w:ascii="Arial" w:hAnsi="Arial" w:cs="Arial"/>
        </w:rPr>
        <w:t xml:space="preserve">. </w:t>
      </w:r>
      <w:r w:rsidR="00276991" w:rsidRPr="00A13612">
        <w:rPr>
          <w:rFonts w:ascii="Arial" w:hAnsi="Arial" w:cs="Arial"/>
        </w:rPr>
        <w:t xml:space="preserve">This evidence </w:t>
      </w:r>
      <w:r w:rsidR="00606910" w:rsidRPr="00A13612">
        <w:rPr>
          <w:rFonts w:ascii="Arial" w:hAnsi="Arial" w:cs="Arial"/>
        </w:rPr>
        <w:t xml:space="preserve">is in line with </w:t>
      </w:r>
      <w:r w:rsidR="00A61AF1" w:rsidRPr="00A13612">
        <w:rPr>
          <w:rFonts w:ascii="Arial" w:hAnsi="Arial" w:cs="Arial"/>
        </w:rPr>
        <w:t>earlier</w:t>
      </w:r>
      <w:r w:rsidR="00606910" w:rsidRPr="00A13612">
        <w:rPr>
          <w:rFonts w:ascii="Arial" w:hAnsi="Arial" w:cs="Arial"/>
        </w:rPr>
        <w:t xml:space="preserve"> studies in </w:t>
      </w:r>
      <w:proofErr w:type="spellStart"/>
      <w:r w:rsidR="00606910" w:rsidRPr="00A13612">
        <w:rPr>
          <w:rFonts w:ascii="Arial" w:hAnsi="Arial" w:cs="Arial"/>
        </w:rPr>
        <w:t>Jaapan</w:t>
      </w:r>
      <w:proofErr w:type="spellEnd"/>
      <w:r w:rsidR="00606910" w:rsidRPr="00A13612">
        <w:rPr>
          <w:rFonts w:ascii="Arial" w:hAnsi="Arial" w:cs="Arial"/>
        </w:rPr>
        <w:t xml:space="preserve"> </w:t>
      </w:r>
      <w:r w:rsidR="00064CD9" w:rsidRPr="00A13612">
        <w:rPr>
          <w:rFonts w:ascii="Arial" w:hAnsi="Arial" w:cs="Arial"/>
        </w:rPr>
        <w:fldChar w:fldCharType="begin" w:fldLock="1"/>
      </w:r>
      <w:r w:rsidR="00064CD9" w:rsidRPr="00A13612">
        <w:rPr>
          <w:rFonts w:ascii="Arial" w:hAnsi="Arial" w:cs="Arial"/>
        </w:rPr>
        <w:instrText>ADDIN CSL_CITATION {"citationItems":[{"id":"ITEM-1","itemData":{"DOI":"10.4236/jss.2018.63003","ISSN":"2327-5952","abstract":"To develop a way to analyze the dynamic relationship between the economic growth and the level of inflation in Japan, we propose a Bayesian regression method to estimate the dynamic dependence of the stationary component of GDP on a stationary component of the CPI. First, we extract stationary components from original GDP and CPI time series using a set of state space models. Then, we construct a set of Bayesian regression models with a time-varying coefficient. We also analyze the dynamic relationship between the stationary components of GDP and the CPI using Japanese economic statistics from 1980 to 2005.","author":[{"dropping-particle":"","family":"Kyo","given":"Koki","non-dropping-particle":"","parse-names":false,"suffix":""}],"container-title":"Open Journal of Social Sciences","id":"ITEM-1","issue":"03","issued":{"date-parts":[["2018"]]},"page":"20-32","title":"The Dynamic Relationship between Economic Growth and Inflation in Japan","type":"article-journal","volume":"06"},"uris":["http://www.mendeley.com/documents/?uuid=22979fdc-d891-4c67-bf3a-b88f9899c68b"]}],"mendeley":{"formattedCitation":"(Kyo, 2018)","plainTextFormattedCitation":"(Kyo, 2018)","previouslyFormattedCitation":"(Kyo, 2018)"},"properties":{"noteIndex":0},"schema":"https://github.com/citation-style-language/schema/raw/master/csl-citation.json"}</w:instrText>
      </w:r>
      <w:r w:rsidR="00064CD9" w:rsidRPr="00A13612">
        <w:rPr>
          <w:rFonts w:ascii="Arial" w:hAnsi="Arial" w:cs="Arial"/>
        </w:rPr>
        <w:fldChar w:fldCharType="separate"/>
      </w:r>
      <w:r w:rsidR="00064CD9" w:rsidRPr="00A13612">
        <w:rPr>
          <w:rFonts w:ascii="Arial" w:hAnsi="Arial" w:cs="Arial"/>
          <w:noProof/>
        </w:rPr>
        <w:t>(Kyo, 2018)</w:t>
      </w:r>
      <w:r w:rsidR="00064CD9" w:rsidRPr="00A13612">
        <w:rPr>
          <w:rFonts w:ascii="Arial" w:hAnsi="Arial" w:cs="Arial"/>
        </w:rPr>
        <w:fldChar w:fldCharType="end"/>
      </w:r>
      <w:r w:rsidR="00A61AF1" w:rsidRPr="00A13612">
        <w:rPr>
          <w:rFonts w:ascii="Arial" w:hAnsi="Arial" w:cs="Arial"/>
        </w:rPr>
        <w:t xml:space="preserve"> and Sri Lanka </w:t>
      </w:r>
      <w:r w:rsidR="00A61AF1" w:rsidRPr="00A13612">
        <w:rPr>
          <w:rFonts w:ascii="Arial" w:hAnsi="Arial" w:cs="Arial"/>
        </w:rPr>
        <w:fldChar w:fldCharType="begin" w:fldLock="1"/>
      </w:r>
      <w:r w:rsidR="00A61AF1" w:rsidRPr="00A13612">
        <w:rPr>
          <w:rFonts w:ascii="Arial" w:hAnsi="Arial" w:cs="Arial"/>
        </w:rPr>
        <w:instrText>ADDIN CSL_CITATION {"citationItems":[{"id":"ITEM-1","itemData":{"DOI":"10.24940/ijird/2018/v7/i8/aug18054","abstract":"An essential goal for any developing country like Sri Lanka is to attain high economic growth. Although there are many factors that affect economic growth (GDP), this paper mainly focuses on Consumer Price Index (CPI) and Gross Domestic Saving (GDS) in Sri Lanka, based on the annual time series data for the period of 1960 - 2016 obtained from the Annual Report of World Bank Economic Indicators and Annual Report of Central Bank of Sri Lanka. The Augmented Dickey Fuller unit root test was employed to check the stationarity among the three variables (GDP, CPI, and GDS). The existence of cointegration of the variables was ensured by the Johansen Co-integration test and then the short-run or long-run association among the variables was assessed by Vector Error Correction (VEC) test. The causal relationships among the variables were checked using Granger Causality test. The empirical findings of this study reveal that all the variables have unit root problem at level, but become stationary after first differencing. The results of Johansen Co-integration tests indicate one co- integration equation while the VEC test recommends no short-run relationship among the variables whereas the existence of a long-run relationship. Correspondingly Granger causality test exhibits a unidirectional causality movement from GDP to GDS. Model adequacy tests were implemented on the residuals of the VECM remarks that there is no heteroscedasticity, no serial correlation, and are normally distributed signifying that the model is good enough. This study satisfies an eminent necessity of how CPI and GDS supportive for economic growth.","author":[{"dropping-particle":"","family":"Aboobucker","given":"Haalisha","non-dropping-particle":"","parse-names":false,"suffix":""},{"dropping-particle":"","family":"Jahufer","given":"A.","non-dropping-particle":"","parse-names":false,"suffix":""}],"container-title":"International Journal of Innovative Research and Development","id":"ITEM-1","issue":"8","issued":{"date-parts":[["2018"]]},"title":"Impact of Consumer Price Index and Gross Domestic Saving on Economic Growth in Sri Lanka: An Econometric Analysis Using Johansen Co-Integration Approach","type":"article-journal","volume":"7"},"uris":["http://www.mendeley.com/documents/?uuid=e4327ff2-cd6f-4963-80c2-3bdf752621da"]}],"mendeley":{"formattedCitation":"(Aboobucker &amp; Jahufer, 2018)","plainTextFormattedCitation":"(Aboobucker &amp; Jahufer, 2018)"},"properties":{"noteIndex":0},"schema":"https://github.com/citation-style-language/schema/raw/master/csl-citation.json"}</w:instrText>
      </w:r>
      <w:r w:rsidR="00A61AF1" w:rsidRPr="00A13612">
        <w:rPr>
          <w:rFonts w:ascii="Arial" w:hAnsi="Arial" w:cs="Arial"/>
        </w:rPr>
        <w:fldChar w:fldCharType="separate"/>
      </w:r>
      <w:r w:rsidR="00A61AF1" w:rsidRPr="00A13612">
        <w:rPr>
          <w:rFonts w:ascii="Arial" w:hAnsi="Arial" w:cs="Arial"/>
          <w:noProof/>
        </w:rPr>
        <w:t>(Aboobucker &amp; Jahufer, 2018)</w:t>
      </w:r>
      <w:r w:rsidR="00A61AF1" w:rsidRPr="00A13612">
        <w:rPr>
          <w:rFonts w:ascii="Arial" w:hAnsi="Arial" w:cs="Arial"/>
        </w:rPr>
        <w:fldChar w:fldCharType="end"/>
      </w:r>
      <w:r w:rsidR="00A61AF1" w:rsidRPr="00A13612">
        <w:rPr>
          <w:rFonts w:ascii="Arial" w:hAnsi="Arial" w:cs="Arial"/>
        </w:rPr>
        <w:t>. This indicates that</w:t>
      </w:r>
      <w:r w:rsidR="00276991" w:rsidRPr="00A13612">
        <w:rPr>
          <w:rFonts w:ascii="Arial" w:hAnsi="Arial" w:cs="Arial"/>
        </w:rPr>
        <w:t xml:space="preserve"> </w:t>
      </w:r>
      <w:r w:rsidR="009B28FF" w:rsidRPr="00A13612">
        <w:rPr>
          <w:rFonts w:ascii="Arial" w:hAnsi="Arial" w:cs="Arial"/>
        </w:rPr>
        <w:t>an increase in prices</w:t>
      </w:r>
      <w:r w:rsidR="00276991" w:rsidRPr="00A13612">
        <w:rPr>
          <w:rFonts w:ascii="Arial" w:hAnsi="Arial" w:cs="Arial"/>
        </w:rPr>
        <w:t xml:space="preserve"> has a detrimental effect on national output. In other words, an increase in inflation rates exerts a negative impact on the trajectory of economic activities. Therefore, it is crucial to maintain low and stable prices. </w:t>
      </w:r>
    </w:p>
    <w:p w14:paraId="413C4425" w14:textId="77777777" w:rsidR="00276991" w:rsidRPr="00A13612" w:rsidRDefault="00276991" w:rsidP="00276991">
      <w:pPr>
        <w:jc w:val="both"/>
        <w:rPr>
          <w:rFonts w:ascii="Arial" w:hAnsi="Arial" w:cs="Arial"/>
        </w:rPr>
      </w:pPr>
    </w:p>
    <w:p w14:paraId="5F52DDB1" w14:textId="77777777" w:rsidR="009B28FF" w:rsidRPr="00A13612" w:rsidRDefault="00276991" w:rsidP="00276991">
      <w:pPr>
        <w:jc w:val="both"/>
        <w:rPr>
          <w:rFonts w:ascii="Arial" w:hAnsi="Arial" w:cs="Arial"/>
        </w:rPr>
      </w:pPr>
      <w:r w:rsidRPr="00A13612">
        <w:rPr>
          <w:rFonts w:ascii="Arial" w:hAnsi="Arial" w:cs="Arial"/>
        </w:rPr>
        <w:t xml:space="preserve">High inflation rates </w:t>
      </w:r>
      <w:r w:rsidR="009B28FF" w:rsidRPr="00A13612">
        <w:rPr>
          <w:rFonts w:ascii="Arial" w:hAnsi="Arial" w:cs="Arial"/>
        </w:rPr>
        <w:t xml:space="preserve">are argued to </w:t>
      </w:r>
      <w:r w:rsidRPr="00A13612">
        <w:rPr>
          <w:rFonts w:ascii="Arial" w:hAnsi="Arial" w:cs="Arial"/>
        </w:rPr>
        <w:t xml:space="preserve">drive uncertainty in the economy, discourage investment, and distort price signals, </w:t>
      </w:r>
      <w:r w:rsidR="009B28FF" w:rsidRPr="00A13612">
        <w:rPr>
          <w:rFonts w:ascii="Arial" w:hAnsi="Arial" w:cs="Arial"/>
        </w:rPr>
        <w:t xml:space="preserve">which in turn, </w:t>
      </w:r>
      <w:r w:rsidRPr="00A13612">
        <w:rPr>
          <w:rFonts w:ascii="Arial" w:hAnsi="Arial" w:cs="Arial"/>
        </w:rPr>
        <w:t xml:space="preserve">leading to sluggish economic growth. </w:t>
      </w:r>
      <w:r w:rsidR="009B28FF" w:rsidRPr="00A13612">
        <w:rPr>
          <w:rFonts w:ascii="Arial" w:hAnsi="Arial" w:cs="Arial"/>
        </w:rPr>
        <w:t xml:space="preserve">High inflation </w:t>
      </w:r>
      <w:r w:rsidRPr="00A13612">
        <w:rPr>
          <w:rFonts w:ascii="Arial" w:hAnsi="Arial" w:cs="Arial"/>
        </w:rPr>
        <w:t>erode</w:t>
      </w:r>
      <w:r w:rsidR="009B28FF" w:rsidRPr="00A13612">
        <w:rPr>
          <w:rFonts w:ascii="Arial" w:hAnsi="Arial" w:cs="Arial"/>
        </w:rPr>
        <w:t>s</w:t>
      </w:r>
      <w:r w:rsidRPr="00A13612">
        <w:rPr>
          <w:rFonts w:ascii="Arial" w:hAnsi="Arial" w:cs="Arial"/>
        </w:rPr>
        <w:t xml:space="preserve"> purchasing power, </w:t>
      </w:r>
      <w:r w:rsidR="009B28FF" w:rsidRPr="00A13612">
        <w:rPr>
          <w:rFonts w:ascii="Arial" w:hAnsi="Arial" w:cs="Arial"/>
        </w:rPr>
        <w:t xml:space="preserve">i.e., </w:t>
      </w:r>
      <w:r w:rsidRPr="00A13612">
        <w:rPr>
          <w:rFonts w:ascii="Arial" w:hAnsi="Arial" w:cs="Arial"/>
        </w:rPr>
        <w:t xml:space="preserve">reducing consumer spending on goods and services, which is a </w:t>
      </w:r>
      <w:r w:rsidR="009B28FF" w:rsidRPr="00A13612">
        <w:rPr>
          <w:rFonts w:ascii="Arial" w:hAnsi="Arial" w:cs="Arial"/>
        </w:rPr>
        <w:t xml:space="preserve">key </w:t>
      </w:r>
      <w:r w:rsidRPr="00A13612">
        <w:rPr>
          <w:rFonts w:ascii="Arial" w:hAnsi="Arial" w:cs="Arial"/>
        </w:rPr>
        <w:t>driver of final value added</w:t>
      </w:r>
      <w:r w:rsidR="009B28FF" w:rsidRPr="00A13612">
        <w:rPr>
          <w:rFonts w:ascii="Arial" w:hAnsi="Arial" w:cs="Arial"/>
        </w:rPr>
        <w:t xml:space="preserve">. High inflation rates also distort resource allocation, driving </w:t>
      </w:r>
    </w:p>
    <w:p w14:paraId="400F1190" w14:textId="03EABFD5" w:rsidR="00276991" w:rsidRPr="00A13612" w:rsidRDefault="009B28FF" w:rsidP="00276991">
      <w:pPr>
        <w:jc w:val="both"/>
        <w:rPr>
          <w:rFonts w:ascii="Arial" w:hAnsi="Arial" w:cs="Arial"/>
        </w:rPr>
      </w:pPr>
      <w:r w:rsidRPr="00A13612">
        <w:rPr>
          <w:rFonts w:ascii="Arial" w:hAnsi="Arial" w:cs="Arial"/>
        </w:rPr>
        <w:t xml:space="preserve">speculative activities rather than productive investments. </w:t>
      </w:r>
      <w:r w:rsidR="00276991" w:rsidRPr="00A13612">
        <w:rPr>
          <w:rFonts w:ascii="Arial" w:hAnsi="Arial" w:cs="Arial"/>
        </w:rPr>
        <w:t>Furthermore, high inflation can lead to higher interest rates, which raise borrowing costs for businesses and consumers, further dampening economic activity.</w:t>
      </w:r>
    </w:p>
    <w:p w14:paraId="79F672D6" w14:textId="77777777" w:rsidR="005B7238" w:rsidRPr="00A13612" w:rsidRDefault="005B7238" w:rsidP="00A31135">
      <w:pPr>
        <w:jc w:val="both"/>
        <w:rPr>
          <w:rFonts w:ascii="Arial" w:hAnsi="Arial" w:cs="Arial"/>
        </w:rPr>
      </w:pPr>
    </w:p>
    <w:p w14:paraId="531922AA" w14:textId="48DC8685" w:rsidR="005B7238" w:rsidRPr="00A13612" w:rsidRDefault="005B7238" w:rsidP="005B7238">
      <w:pPr>
        <w:tabs>
          <w:tab w:val="left" w:pos="1080"/>
        </w:tabs>
        <w:jc w:val="both"/>
        <w:rPr>
          <w:rFonts w:ascii="Arial" w:hAnsi="Arial" w:cs="Arial"/>
        </w:rPr>
      </w:pPr>
      <w:bookmarkStart w:id="1" w:name="_Hlk195607631"/>
      <w:r w:rsidRPr="00A13612">
        <w:rPr>
          <w:rFonts w:ascii="Arial" w:hAnsi="Arial" w:cs="Arial"/>
          <w:b/>
        </w:rPr>
        <w:t xml:space="preserve">Table </w:t>
      </w:r>
      <w:r w:rsidR="004E5219" w:rsidRPr="00A13612">
        <w:rPr>
          <w:rFonts w:ascii="Arial" w:hAnsi="Arial" w:cs="Arial"/>
          <w:b/>
        </w:rPr>
        <w:t>6</w:t>
      </w:r>
      <w:r w:rsidRPr="00A13612">
        <w:rPr>
          <w:rFonts w:ascii="Arial" w:hAnsi="Arial" w:cs="Arial"/>
          <w:b/>
        </w:rPr>
        <w:t>. Long-run Estimates</w:t>
      </w:r>
    </w:p>
    <w:p w14:paraId="05E65568" w14:textId="3A9C55C8" w:rsidR="00A31135" w:rsidRPr="00A13612" w:rsidRDefault="00A31135" w:rsidP="00A31135">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70"/>
        <w:gridCol w:w="1635"/>
        <w:gridCol w:w="1601"/>
        <w:gridCol w:w="1601"/>
      </w:tblGrid>
      <w:tr w:rsidR="00A31135" w:rsidRPr="00A13612" w14:paraId="4757D3FF" w14:textId="77777777" w:rsidTr="004A7EBD">
        <w:tc>
          <w:tcPr>
            <w:tcW w:w="1737" w:type="dxa"/>
            <w:tcBorders>
              <w:top w:val="single" w:sz="4" w:space="0" w:color="auto"/>
              <w:bottom w:val="single" w:sz="4" w:space="0" w:color="auto"/>
            </w:tcBorders>
            <w:vAlign w:val="bottom"/>
          </w:tcPr>
          <w:p w14:paraId="70671E7E" w14:textId="77777777" w:rsidR="00A31135" w:rsidRPr="00A13612" w:rsidRDefault="00A31135" w:rsidP="00C4598A">
            <w:pPr>
              <w:rPr>
                <w:rFonts w:ascii="Arial" w:hAnsi="Arial" w:cs="Arial"/>
                <w:sz w:val="20"/>
                <w:szCs w:val="20"/>
              </w:rPr>
            </w:pPr>
            <w:r w:rsidRPr="00A13612">
              <w:rPr>
                <w:rFonts w:ascii="Arial" w:hAnsi="Arial" w:cs="Arial"/>
                <w:sz w:val="20"/>
                <w:szCs w:val="20"/>
              </w:rPr>
              <w:t>Variable</w:t>
            </w:r>
          </w:p>
        </w:tc>
        <w:tc>
          <w:tcPr>
            <w:tcW w:w="1703" w:type="dxa"/>
            <w:tcBorders>
              <w:top w:val="single" w:sz="4" w:space="0" w:color="auto"/>
              <w:bottom w:val="single" w:sz="4" w:space="0" w:color="auto"/>
            </w:tcBorders>
            <w:vAlign w:val="bottom"/>
          </w:tcPr>
          <w:p w14:paraId="3F09ABF4" w14:textId="77777777" w:rsidR="00A31135" w:rsidRPr="00A13612" w:rsidRDefault="00A31135" w:rsidP="00C4598A">
            <w:pPr>
              <w:jc w:val="right"/>
              <w:rPr>
                <w:rFonts w:ascii="Arial" w:hAnsi="Arial" w:cs="Arial"/>
                <w:sz w:val="20"/>
                <w:szCs w:val="20"/>
              </w:rPr>
            </w:pPr>
            <w:r w:rsidRPr="00A13612">
              <w:rPr>
                <w:rFonts w:ascii="Arial" w:hAnsi="Arial" w:cs="Arial"/>
                <w:sz w:val="20"/>
                <w:szCs w:val="20"/>
              </w:rPr>
              <w:t>Coeff.</w:t>
            </w:r>
          </w:p>
        </w:tc>
        <w:tc>
          <w:tcPr>
            <w:tcW w:w="1679" w:type="dxa"/>
            <w:tcBorders>
              <w:top w:val="single" w:sz="4" w:space="0" w:color="auto"/>
              <w:bottom w:val="single" w:sz="4" w:space="0" w:color="auto"/>
            </w:tcBorders>
            <w:vAlign w:val="bottom"/>
          </w:tcPr>
          <w:p w14:paraId="711683EF" w14:textId="77777777" w:rsidR="00A31135" w:rsidRPr="00A13612" w:rsidRDefault="00A31135" w:rsidP="00C4598A">
            <w:pPr>
              <w:jc w:val="right"/>
              <w:rPr>
                <w:rFonts w:ascii="Arial" w:hAnsi="Arial" w:cs="Arial"/>
                <w:sz w:val="20"/>
                <w:szCs w:val="20"/>
              </w:rPr>
            </w:pPr>
            <w:r w:rsidRPr="00A13612">
              <w:rPr>
                <w:rFonts w:ascii="Arial" w:hAnsi="Arial" w:cs="Arial"/>
                <w:sz w:val="20"/>
                <w:szCs w:val="20"/>
              </w:rPr>
              <w:t>Std. error.</w:t>
            </w:r>
          </w:p>
        </w:tc>
        <w:tc>
          <w:tcPr>
            <w:tcW w:w="1655" w:type="dxa"/>
            <w:tcBorders>
              <w:top w:val="single" w:sz="4" w:space="0" w:color="auto"/>
              <w:bottom w:val="single" w:sz="4" w:space="0" w:color="auto"/>
            </w:tcBorders>
            <w:vAlign w:val="bottom"/>
          </w:tcPr>
          <w:p w14:paraId="07D04EEE" w14:textId="77777777" w:rsidR="00A31135" w:rsidRPr="00A13612" w:rsidRDefault="00A31135" w:rsidP="00C4598A">
            <w:pPr>
              <w:jc w:val="right"/>
              <w:rPr>
                <w:rFonts w:ascii="Arial" w:hAnsi="Arial" w:cs="Arial"/>
                <w:sz w:val="20"/>
                <w:szCs w:val="20"/>
              </w:rPr>
            </w:pPr>
            <w:r w:rsidRPr="00A13612">
              <w:rPr>
                <w:rFonts w:ascii="Arial" w:hAnsi="Arial" w:cs="Arial"/>
                <w:sz w:val="20"/>
                <w:szCs w:val="20"/>
              </w:rPr>
              <w:t>t-stat</w:t>
            </w:r>
          </w:p>
        </w:tc>
        <w:tc>
          <w:tcPr>
            <w:tcW w:w="1650" w:type="dxa"/>
            <w:tcBorders>
              <w:top w:val="single" w:sz="4" w:space="0" w:color="auto"/>
              <w:bottom w:val="single" w:sz="4" w:space="0" w:color="auto"/>
            </w:tcBorders>
            <w:vAlign w:val="bottom"/>
          </w:tcPr>
          <w:p w14:paraId="5D70B18A" w14:textId="77777777" w:rsidR="00A31135" w:rsidRPr="00A13612" w:rsidRDefault="00A31135" w:rsidP="00C4598A">
            <w:pPr>
              <w:jc w:val="right"/>
              <w:rPr>
                <w:rFonts w:ascii="Arial" w:hAnsi="Arial" w:cs="Arial"/>
                <w:sz w:val="20"/>
                <w:szCs w:val="20"/>
              </w:rPr>
            </w:pPr>
            <w:r w:rsidRPr="00A13612">
              <w:rPr>
                <w:rFonts w:ascii="Arial" w:hAnsi="Arial" w:cs="Arial"/>
                <w:sz w:val="20"/>
                <w:szCs w:val="20"/>
              </w:rPr>
              <w:t>p-value</w:t>
            </w:r>
          </w:p>
        </w:tc>
      </w:tr>
      <w:tr w:rsidR="0042060D" w:rsidRPr="00A13612" w14:paraId="51C0628E" w14:textId="77777777" w:rsidTr="004A7EBD">
        <w:tc>
          <w:tcPr>
            <w:tcW w:w="1737" w:type="dxa"/>
            <w:tcBorders>
              <w:top w:val="single" w:sz="4" w:space="0" w:color="auto"/>
            </w:tcBorders>
            <w:vAlign w:val="bottom"/>
          </w:tcPr>
          <w:p w14:paraId="0F6CC7D0" w14:textId="1BDABAFD" w:rsidR="0042060D" w:rsidRPr="00A13612" w:rsidRDefault="007D54E7" w:rsidP="0042060D">
            <w:pPr>
              <w:rPr>
                <w:rFonts w:ascii="Arial" w:eastAsia="Times New Roman" w:hAnsi="Arial" w:cs="Arial"/>
                <w:color w:val="000000"/>
                <w:sz w:val="20"/>
                <w:szCs w:val="20"/>
              </w:rPr>
            </w:pPr>
            <w:proofErr w:type="spellStart"/>
            <w:r w:rsidRPr="00A13612">
              <w:rPr>
                <w:rFonts w:ascii="Arial" w:eastAsia="Times New Roman" w:hAnsi="Arial" w:cs="Arial"/>
                <w:color w:val="000000"/>
                <w:sz w:val="20"/>
                <w:szCs w:val="20"/>
              </w:rPr>
              <w:t>CAPg</w:t>
            </w:r>
            <w:proofErr w:type="spellEnd"/>
          </w:p>
        </w:tc>
        <w:tc>
          <w:tcPr>
            <w:tcW w:w="1703" w:type="dxa"/>
            <w:tcBorders>
              <w:top w:val="single" w:sz="4" w:space="0" w:color="auto"/>
            </w:tcBorders>
            <w:vAlign w:val="bottom"/>
          </w:tcPr>
          <w:p w14:paraId="5B3A38CC" w14:textId="50689F05"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0.2854***</w:t>
            </w:r>
          </w:p>
        </w:tc>
        <w:tc>
          <w:tcPr>
            <w:tcW w:w="1679" w:type="dxa"/>
            <w:tcBorders>
              <w:top w:val="single" w:sz="4" w:space="0" w:color="auto"/>
            </w:tcBorders>
            <w:vAlign w:val="bottom"/>
          </w:tcPr>
          <w:p w14:paraId="63A1D9D3"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0.0408</w:t>
            </w:r>
          </w:p>
        </w:tc>
        <w:tc>
          <w:tcPr>
            <w:tcW w:w="1655" w:type="dxa"/>
            <w:tcBorders>
              <w:top w:val="single" w:sz="4" w:space="0" w:color="auto"/>
            </w:tcBorders>
            <w:vAlign w:val="bottom"/>
          </w:tcPr>
          <w:p w14:paraId="532E6D2F"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7.00</w:t>
            </w:r>
          </w:p>
        </w:tc>
        <w:tc>
          <w:tcPr>
            <w:tcW w:w="1650" w:type="dxa"/>
            <w:tcBorders>
              <w:top w:val="single" w:sz="4" w:space="0" w:color="auto"/>
            </w:tcBorders>
            <w:vAlign w:val="bottom"/>
          </w:tcPr>
          <w:p w14:paraId="371F95BE"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0.00</w:t>
            </w:r>
          </w:p>
        </w:tc>
      </w:tr>
      <w:tr w:rsidR="0042060D" w:rsidRPr="00A13612" w14:paraId="43D98539" w14:textId="77777777" w:rsidTr="004A7EBD">
        <w:tc>
          <w:tcPr>
            <w:tcW w:w="1737" w:type="dxa"/>
            <w:vAlign w:val="bottom"/>
          </w:tcPr>
          <w:p w14:paraId="5C91B4D4" w14:textId="4C7A2A4D" w:rsidR="0042060D" w:rsidRPr="00A13612" w:rsidRDefault="0042060D" w:rsidP="0042060D">
            <w:pPr>
              <w:rPr>
                <w:rFonts w:ascii="Arial" w:eastAsia="Times New Roman" w:hAnsi="Arial" w:cs="Arial"/>
                <w:color w:val="000000"/>
                <w:sz w:val="20"/>
                <w:szCs w:val="20"/>
              </w:rPr>
            </w:pPr>
            <w:proofErr w:type="spellStart"/>
            <w:r w:rsidRPr="00A13612">
              <w:rPr>
                <w:rFonts w:ascii="Arial" w:eastAsia="Times New Roman" w:hAnsi="Arial" w:cs="Arial"/>
                <w:color w:val="000000"/>
                <w:sz w:val="20"/>
                <w:szCs w:val="20"/>
              </w:rPr>
              <w:t>POP</w:t>
            </w:r>
            <w:r w:rsidR="007D54E7" w:rsidRPr="00A13612">
              <w:rPr>
                <w:rFonts w:ascii="Arial" w:eastAsia="Times New Roman" w:hAnsi="Arial" w:cs="Arial"/>
                <w:color w:val="000000"/>
                <w:sz w:val="20"/>
                <w:szCs w:val="20"/>
              </w:rPr>
              <w:t>g</w:t>
            </w:r>
            <w:proofErr w:type="spellEnd"/>
          </w:p>
        </w:tc>
        <w:tc>
          <w:tcPr>
            <w:tcW w:w="1703" w:type="dxa"/>
            <w:vAlign w:val="bottom"/>
          </w:tcPr>
          <w:p w14:paraId="5CD321A6" w14:textId="58A96DE3"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0.7319*</w:t>
            </w:r>
          </w:p>
        </w:tc>
        <w:tc>
          <w:tcPr>
            <w:tcW w:w="1679" w:type="dxa"/>
            <w:vAlign w:val="bottom"/>
          </w:tcPr>
          <w:p w14:paraId="2ABEC814"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0.3973</w:t>
            </w:r>
          </w:p>
        </w:tc>
        <w:tc>
          <w:tcPr>
            <w:tcW w:w="1655" w:type="dxa"/>
            <w:vAlign w:val="bottom"/>
          </w:tcPr>
          <w:p w14:paraId="740E7AE2"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1.84</w:t>
            </w:r>
          </w:p>
        </w:tc>
        <w:tc>
          <w:tcPr>
            <w:tcW w:w="1650" w:type="dxa"/>
            <w:vAlign w:val="bottom"/>
          </w:tcPr>
          <w:p w14:paraId="6A8D2536"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0.08</w:t>
            </w:r>
          </w:p>
        </w:tc>
      </w:tr>
      <w:tr w:rsidR="0042060D" w:rsidRPr="00A13612" w14:paraId="6471FD57" w14:textId="77777777" w:rsidTr="004A7EBD">
        <w:tc>
          <w:tcPr>
            <w:tcW w:w="1737" w:type="dxa"/>
            <w:vAlign w:val="bottom"/>
          </w:tcPr>
          <w:p w14:paraId="0AD8B82C" w14:textId="59BFA268" w:rsidR="0042060D" w:rsidRPr="00A13612" w:rsidRDefault="0042060D" w:rsidP="0042060D">
            <w:pPr>
              <w:rPr>
                <w:rFonts w:ascii="Arial" w:eastAsia="Times New Roman" w:hAnsi="Arial" w:cs="Arial"/>
                <w:color w:val="000000"/>
                <w:sz w:val="20"/>
                <w:szCs w:val="20"/>
              </w:rPr>
            </w:pPr>
            <w:r w:rsidRPr="00A13612">
              <w:rPr>
                <w:rFonts w:ascii="Arial" w:eastAsia="Times New Roman" w:hAnsi="Arial" w:cs="Arial"/>
                <w:color w:val="000000"/>
                <w:sz w:val="20"/>
                <w:szCs w:val="20"/>
              </w:rPr>
              <w:t>C</w:t>
            </w:r>
            <w:r w:rsidR="007D54E7" w:rsidRPr="00A13612">
              <w:rPr>
                <w:rFonts w:ascii="Arial" w:eastAsia="Times New Roman" w:hAnsi="Arial" w:cs="Arial"/>
                <w:color w:val="000000"/>
                <w:sz w:val="20"/>
                <w:szCs w:val="20"/>
              </w:rPr>
              <w:t>PI</w:t>
            </w:r>
          </w:p>
        </w:tc>
        <w:tc>
          <w:tcPr>
            <w:tcW w:w="1703" w:type="dxa"/>
            <w:vAlign w:val="bottom"/>
          </w:tcPr>
          <w:p w14:paraId="371E2901" w14:textId="78D177A1"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-0.1007**</w:t>
            </w:r>
          </w:p>
        </w:tc>
        <w:tc>
          <w:tcPr>
            <w:tcW w:w="1679" w:type="dxa"/>
            <w:vAlign w:val="bottom"/>
          </w:tcPr>
          <w:p w14:paraId="1B17EDF9"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0.0388</w:t>
            </w:r>
          </w:p>
        </w:tc>
        <w:tc>
          <w:tcPr>
            <w:tcW w:w="1655" w:type="dxa"/>
            <w:vAlign w:val="bottom"/>
          </w:tcPr>
          <w:p w14:paraId="00111E70"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-2.60</w:t>
            </w:r>
          </w:p>
        </w:tc>
        <w:tc>
          <w:tcPr>
            <w:tcW w:w="1650" w:type="dxa"/>
            <w:vAlign w:val="bottom"/>
          </w:tcPr>
          <w:p w14:paraId="2BC94BE9"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0.02</w:t>
            </w:r>
          </w:p>
        </w:tc>
      </w:tr>
      <w:tr w:rsidR="0042060D" w:rsidRPr="00A13612" w14:paraId="494423A9" w14:textId="77777777" w:rsidTr="004A7EBD">
        <w:tc>
          <w:tcPr>
            <w:tcW w:w="1737" w:type="dxa"/>
            <w:vAlign w:val="bottom"/>
          </w:tcPr>
          <w:p w14:paraId="0410D5F7" w14:textId="3F42BBBD" w:rsidR="0042060D" w:rsidRPr="00A13612" w:rsidRDefault="0042060D" w:rsidP="0042060D">
            <w:pPr>
              <w:rPr>
                <w:rFonts w:ascii="Arial" w:eastAsia="Times New Roman" w:hAnsi="Arial" w:cs="Arial"/>
                <w:color w:val="000000"/>
                <w:sz w:val="20"/>
                <w:szCs w:val="20"/>
              </w:rPr>
            </w:pPr>
            <w:r w:rsidRPr="00A13612">
              <w:rPr>
                <w:rFonts w:ascii="Arial" w:eastAsia="Times New Roman" w:hAnsi="Arial" w:cs="Arial"/>
                <w:color w:val="000000"/>
                <w:sz w:val="20"/>
                <w:szCs w:val="20"/>
              </w:rPr>
              <w:t>Dshock</w:t>
            </w:r>
          </w:p>
        </w:tc>
        <w:tc>
          <w:tcPr>
            <w:tcW w:w="1703" w:type="dxa"/>
            <w:vAlign w:val="bottom"/>
          </w:tcPr>
          <w:p w14:paraId="14ED12AA" w14:textId="6E8B82C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-2.2650***</w:t>
            </w:r>
          </w:p>
        </w:tc>
        <w:tc>
          <w:tcPr>
            <w:tcW w:w="1679" w:type="dxa"/>
            <w:vAlign w:val="bottom"/>
          </w:tcPr>
          <w:p w14:paraId="65F1C47E"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0.5954</w:t>
            </w:r>
          </w:p>
        </w:tc>
        <w:tc>
          <w:tcPr>
            <w:tcW w:w="1655" w:type="dxa"/>
            <w:vAlign w:val="bottom"/>
          </w:tcPr>
          <w:p w14:paraId="070C1395"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-3.80</w:t>
            </w:r>
          </w:p>
        </w:tc>
        <w:tc>
          <w:tcPr>
            <w:tcW w:w="1650" w:type="dxa"/>
            <w:vAlign w:val="bottom"/>
          </w:tcPr>
          <w:p w14:paraId="7557EDA1" w14:textId="77777777" w:rsidR="0042060D" w:rsidRPr="00A13612" w:rsidRDefault="0042060D" w:rsidP="0042060D">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0.00</w:t>
            </w:r>
          </w:p>
        </w:tc>
      </w:tr>
      <w:tr w:rsidR="002673BB" w:rsidRPr="00A13612" w14:paraId="35E3101A" w14:textId="77777777" w:rsidTr="004A7EBD">
        <w:tc>
          <w:tcPr>
            <w:tcW w:w="1737" w:type="dxa"/>
            <w:tcBorders>
              <w:bottom w:val="single" w:sz="4" w:space="0" w:color="auto"/>
            </w:tcBorders>
            <w:vAlign w:val="bottom"/>
          </w:tcPr>
          <w:p w14:paraId="5618F311" w14:textId="0A203D6F" w:rsidR="002673BB" w:rsidRPr="00A13612" w:rsidRDefault="0042060D" w:rsidP="002673BB">
            <w:pPr>
              <w:rPr>
                <w:rFonts w:ascii="Arial" w:eastAsia="Times New Roman" w:hAnsi="Arial" w:cs="Arial"/>
                <w:color w:val="000000"/>
                <w:sz w:val="20"/>
                <w:szCs w:val="20"/>
              </w:rPr>
            </w:pPr>
            <w:r w:rsidRPr="00A13612">
              <w:rPr>
                <w:rFonts w:ascii="Arial" w:eastAsia="Times New Roman" w:hAnsi="Arial" w:cs="Arial"/>
                <w:color w:val="000000"/>
                <w:sz w:val="20"/>
                <w:szCs w:val="20"/>
              </w:rPr>
              <w:t>C</w:t>
            </w:r>
            <w:r w:rsidR="002673BB" w:rsidRPr="00A13612">
              <w:rPr>
                <w:rFonts w:ascii="Arial" w:eastAsia="Times New Roman" w:hAnsi="Arial" w:cs="Arial"/>
                <w:color w:val="000000"/>
                <w:sz w:val="20"/>
                <w:szCs w:val="20"/>
              </w:rPr>
              <w:t>onst</w:t>
            </w:r>
            <w:r w:rsidRPr="00A13612">
              <w:rPr>
                <w:rFonts w:ascii="Arial" w:eastAsia="Times New Roman" w:hAnsi="Arial" w:cs="Arial"/>
                <w:color w:val="000000"/>
                <w:sz w:val="20"/>
                <w:szCs w:val="20"/>
              </w:rPr>
              <w:t>ant</w:t>
            </w:r>
            <w:r w:rsidR="002673BB" w:rsidRPr="00A13612">
              <w:rPr>
                <w:rFonts w:ascii="Arial" w:eastAsia="Times New Roman" w:hAnsi="Arial" w:cs="Arial"/>
                <w:color w:val="000000"/>
                <w:sz w:val="20"/>
                <w:szCs w:val="20"/>
              </w:rPr>
              <w:t xml:space="preserve"> </w:t>
            </w:r>
          </w:p>
        </w:tc>
        <w:tc>
          <w:tcPr>
            <w:tcW w:w="1703" w:type="dxa"/>
            <w:tcBorders>
              <w:bottom w:val="single" w:sz="4" w:space="0" w:color="auto"/>
            </w:tcBorders>
            <w:vAlign w:val="bottom"/>
          </w:tcPr>
          <w:p w14:paraId="1631C9DD" w14:textId="08A6E254"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3.4211***</w:t>
            </w:r>
          </w:p>
        </w:tc>
        <w:tc>
          <w:tcPr>
            <w:tcW w:w="1679" w:type="dxa"/>
            <w:tcBorders>
              <w:bottom w:val="single" w:sz="4" w:space="0" w:color="auto"/>
            </w:tcBorders>
            <w:vAlign w:val="bottom"/>
          </w:tcPr>
          <w:p w14:paraId="0F19F256"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0.6109</w:t>
            </w:r>
          </w:p>
        </w:tc>
        <w:tc>
          <w:tcPr>
            <w:tcW w:w="1655" w:type="dxa"/>
            <w:tcBorders>
              <w:bottom w:val="single" w:sz="4" w:space="0" w:color="auto"/>
            </w:tcBorders>
            <w:vAlign w:val="bottom"/>
          </w:tcPr>
          <w:p w14:paraId="717298EB"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5.60</w:t>
            </w:r>
          </w:p>
        </w:tc>
        <w:tc>
          <w:tcPr>
            <w:tcW w:w="1650" w:type="dxa"/>
            <w:tcBorders>
              <w:bottom w:val="single" w:sz="4" w:space="0" w:color="auto"/>
            </w:tcBorders>
            <w:vAlign w:val="bottom"/>
          </w:tcPr>
          <w:p w14:paraId="54615ABE"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0.00</w:t>
            </w:r>
          </w:p>
        </w:tc>
      </w:tr>
      <w:bookmarkEnd w:id="1"/>
    </w:tbl>
    <w:p w14:paraId="5906B026" w14:textId="77777777" w:rsidR="004A7EBD" w:rsidRPr="00A13612" w:rsidRDefault="004A7EBD" w:rsidP="00EC40CA">
      <w:pPr>
        <w:jc w:val="both"/>
        <w:rPr>
          <w:rFonts w:ascii="Arial" w:hAnsi="Arial" w:cs="Arial"/>
        </w:rPr>
      </w:pPr>
    </w:p>
    <w:p w14:paraId="00933422" w14:textId="241B5EB7" w:rsidR="00A31135" w:rsidRPr="00A13612" w:rsidRDefault="00A31135" w:rsidP="00EC40CA">
      <w:pPr>
        <w:jc w:val="both"/>
        <w:rPr>
          <w:rFonts w:ascii="Arial" w:hAnsi="Arial" w:cs="Arial"/>
        </w:rPr>
      </w:pPr>
      <w:r w:rsidRPr="00A13612">
        <w:rPr>
          <w:rFonts w:ascii="Arial" w:hAnsi="Arial" w:cs="Arial"/>
        </w:rPr>
        <w:t xml:space="preserve">Regarding control variables, gross fixed capital formation </w:t>
      </w:r>
      <w:r w:rsidR="00EC40CA" w:rsidRPr="00A13612">
        <w:rPr>
          <w:rFonts w:ascii="Arial" w:hAnsi="Arial" w:cs="Arial"/>
        </w:rPr>
        <w:t xml:space="preserve">growth </w:t>
      </w:r>
      <w:r w:rsidRPr="00A13612">
        <w:rPr>
          <w:rFonts w:ascii="Arial" w:hAnsi="Arial" w:cs="Arial"/>
        </w:rPr>
        <w:t xml:space="preserve">has a positive impact on GDP growth at a 1% critical value. This finding suggests that capital formation is </w:t>
      </w:r>
      <w:r w:rsidR="00EC40CA" w:rsidRPr="00A13612">
        <w:rPr>
          <w:rFonts w:ascii="Arial" w:hAnsi="Arial" w:cs="Arial"/>
        </w:rPr>
        <w:t>validated</w:t>
      </w:r>
      <w:r w:rsidRPr="00A13612">
        <w:rPr>
          <w:rFonts w:ascii="Arial" w:hAnsi="Arial" w:cs="Arial"/>
        </w:rPr>
        <w:t xml:space="preserve"> as an engine of economic growth</w:t>
      </w:r>
      <w:r w:rsidR="00EC40CA" w:rsidRPr="00A13612">
        <w:rPr>
          <w:rFonts w:ascii="Arial" w:hAnsi="Arial" w:cs="Arial"/>
        </w:rPr>
        <w:t xml:space="preserve"> in Indonesia</w:t>
      </w:r>
      <w:r w:rsidRPr="00A13612">
        <w:rPr>
          <w:rFonts w:ascii="Arial" w:hAnsi="Arial" w:cs="Arial"/>
        </w:rPr>
        <w:t xml:space="preserve">. Another novel </w:t>
      </w:r>
      <w:r w:rsidR="001531CF" w:rsidRPr="00A13612">
        <w:rPr>
          <w:rFonts w:ascii="Arial" w:hAnsi="Arial" w:cs="Arial"/>
        </w:rPr>
        <w:t>result</w:t>
      </w:r>
      <w:r w:rsidRPr="00A13612">
        <w:rPr>
          <w:rFonts w:ascii="Arial" w:hAnsi="Arial" w:cs="Arial"/>
        </w:rPr>
        <w:t xml:space="preserve"> </w:t>
      </w:r>
      <w:r w:rsidR="001531CF" w:rsidRPr="00A13612">
        <w:rPr>
          <w:rFonts w:ascii="Arial" w:hAnsi="Arial" w:cs="Arial"/>
        </w:rPr>
        <w:t>depicts</w:t>
      </w:r>
      <w:r w:rsidRPr="00A13612">
        <w:rPr>
          <w:rFonts w:ascii="Arial" w:hAnsi="Arial" w:cs="Arial"/>
        </w:rPr>
        <w:t xml:space="preserve"> that working-age population growth has a positive impact on GDP growth at a 10% critical value. This finding emphasizes the critical role of </w:t>
      </w:r>
      <w:r w:rsidR="00EC2C9D" w:rsidRPr="00A13612">
        <w:rPr>
          <w:rFonts w:ascii="Arial" w:hAnsi="Arial" w:cs="Arial"/>
        </w:rPr>
        <w:t xml:space="preserve">the </w:t>
      </w:r>
      <w:r w:rsidRPr="00A13612">
        <w:rPr>
          <w:rFonts w:ascii="Arial" w:hAnsi="Arial" w:cs="Arial"/>
        </w:rPr>
        <w:t xml:space="preserve">labor force in driving economic activities. This evidence </w:t>
      </w:r>
      <w:r w:rsidR="00EC40CA" w:rsidRPr="00A13612">
        <w:rPr>
          <w:rFonts w:ascii="Arial" w:hAnsi="Arial" w:cs="Arial"/>
        </w:rPr>
        <w:t>also corroborates</w:t>
      </w:r>
      <w:r w:rsidRPr="00A13612">
        <w:rPr>
          <w:rFonts w:ascii="Arial" w:hAnsi="Arial" w:cs="Arial"/>
        </w:rPr>
        <w:t xml:space="preserve"> the neoclassical growth model. From a theoretical standpoint, the working age population</w:t>
      </w:r>
      <w:r w:rsidR="001531CF" w:rsidRPr="00A13612">
        <w:rPr>
          <w:rFonts w:ascii="Arial" w:hAnsi="Arial" w:cs="Arial"/>
        </w:rPr>
        <w:t>s</w:t>
      </w:r>
      <w:r w:rsidRPr="00A13612">
        <w:rPr>
          <w:rFonts w:ascii="Arial" w:hAnsi="Arial" w:cs="Arial"/>
        </w:rPr>
        <w:t xml:space="preserve"> contributes to the </w:t>
      </w:r>
      <w:r w:rsidR="001531CF" w:rsidRPr="00A13612">
        <w:rPr>
          <w:rFonts w:ascii="Arial" w:hAnsi="Arial" w:cs="Arial"/>
        </w:rPr>
        <w:t>labor supply (</w:t>
      </w:r>
      <w:r w:rsidRPr="00A13612">
        <w:rPr>
          <w:rFonts w:ascii="Arial" w:hAnsi="Arial" w:cs="Arial"/>
        </w:rPr>
        <w:t>labor force</w:t>
      </w:r>
      <w:r w:rsidR="001531CF" w:rsidRPr="00A13612">
        <w:rPr>
          <w:rFonts w:ascii="Arial" w:hAnsi="Arial" w:cs="Arial"/>
        </w:rPr>
        <w:t xml:space="preserve">). </w:t>
      </w:r>
    </w:p>
    <w:p w14:paraId="1AACDAFA" w14:textId="77777777" w:rsidR="009B28FF" w:rsidRPr="00A13612" w:rsidRDefault="009B28FF" w:rsidP="00EC40CA">
      <w:pPr>
        <w:jc w:val="both"/>
        <w:rPr>
          <w:rFonts w:ascii="Arial" w:hAnsi="Arial" w:cs="Arial"/>
        </w:rPr>
      </w:pPr>
    </w:p>
    <w:p w14:paraId="2A43A57E" w14:textId="229BAD34" w:rsidR="00A31135" w:rsidRPr="00A13612" w:rsidRDefault="00EC40CA" w:rsidP="00EC40CA">
      <w:pPr>
        <w:jc w:val="both"/>
        <w:rPr>
          <w:rFonts w:ascii="Arial" w:hAnsi="Arial" w:cs="Arial"/>
        </w:rPr>
      </w:pPr>
      <w:r w:rsidRPr="00A13612">
        <w:rPr>
          <w:rFonts w:ascii="Arial" w:hAnsi="Arial" w:cs="Arial"/>
        </w:rPr>
        <w:t xml:space="preserve">Another novel </w:t>
      </w:r>
      <w:r w:rsidR="001531CF" w:rsidRPr="00A13612">
        <w:rPr>
          <w:rFonts w:ascii="Arial" w:hAnsi="Arial" w:cs="Arial"/>
        </w:rPr>
        <w:t>result</w:t>
      </w:r>
      <w:r w:rsidRPr="00A13612">
        <w:rPr>
          <w:rFonts w:ascii="Arial" w:hAnsi="Arial" w:cs="Arial"/>
        </w:rPr>
        <w:t xml:space="preserve"> is that</w:t>
      </w:r>
      <w:r w:rsidR="00A31135" w:rsidRPr="00A13612">
        <w:rPr>
          <w:rFonts w:ascii="Arial" w:hAnsi="Arial" w:cs="Arial"/>
        </w:rPr>
        <w:t xml:space="preserve"> the dummy variable of shock</w:t>
      </w:r>
      <w:r w:rsidR="001531CF" w:rsidRPr="00A13612">
        <w:rPr>
          <w:rFonts w:ascii="Arial" w:hAnsi="Arial" w:cs="Arial"/>
        </w:rPr>
        <w:t>s</w:t>
      </w:r>
      <w:r w:rsidR="00A31135" w:rsidRPr="00A13612">
        <w:rPr>
          <w:rFonts w:ascii="Arial" w:hAnsi="Arial" w:cs="Arial"/>
        </w:rPr>
        <w:t xml:space="preserve"> is negatively associated with </w:t>
      </w:r>
      <w:r w:rsidR="00A61AF1" w:rsidRPr="00A13612">
        <w:rPr>
          <w:rFonts w:ascii="Arial" w:hAnsi="Arial" w:cs="Arial"/>
        </w:rPr>
        <w:t>GDP</w:t>
      </w:r>
      <w:r w:rsidR="00A31135" w:rsidRPr="00A13612">
        <w:rPr>
          <w:rFonts w:ascii="Arial" w:hAnsi="Arial" w:cs="Arial"/>
        </w:rPr>
        <w:t xml:space="preserve"> growth </w:t>
      </w:r>
      <w:r w:rsidRPr="00A13612">
        <w:rPr>
          <w:rFonts w:ascii="Arial" w:hAnsi="Arial" w:cs="Arial"/>
        </w:rPr>
        <w:t xml:space="preserve">at a 1% critical value </w:t>
      </w:r>
      <w:r w:rsidR="00A31135" w:rsidRPr="00A13612">
        <w:rPr>
          <w:rFonts w:ascii="Arial" w:hAnsi="Arial" w:cs="Arial"/>
        </w:rPr>
        <w:t xml:space="preserve">as expected. This finding </w:t>
      </w:r>
      <w:proofErr w:type="spellStart"/>
      <w:r w:rsidR="0042060D" w:rsidRPr="00A13612">
        <w:rPr>
          <w:rFonts w:ascii="Arial" w:hAnsi="Arial" w:cs="Arial"/>
        </w:rPr>
        <w:t>demonstates</w:t>
      </w:r>
      <w:proofErr w:type="spellEnd"/>
      <w:r w:rsidR="00A31135" w:rsidRPr="00A13612">
        <w:rPr>
          <w:rFonts w:ascii="Arial" w:hAnsi="Arial" w:cs="Arial"/>
        </w:rPr>
        <w:t xml:space="preserve"> th</w:t>
      </w:r>
      <w:r w:rsidR="001531CF" w:rsidRPr="00A13612">
        <w:rPr>
          <w:rFonts w:ascii="Arial" w:hAnsi="Arial" w:cs="Arial"/>
        </w:rPr>
        <w:t xml:space="preserve">at shocks caused by </w:t>
      </w:r>
      <w:r w:rsidR="004E5219" w:rsidRPr="00A13612">
        <w:rPr>
          <w:rFonts w:ascii="Arial" w:hAnsi="Arial" w:cs="Arial"/>
        </w:rPr>
        <w:lastRenderedPageBreak/>
        <w:t>the Financial Asia</w:t>
      </w:r>
      <w:r w:rsidR="0042060D" w:rsidRPr="00A13612">
        <w:rPr>
          <w:rFonts w:ascii="Arial" w:hAnsi="Arial" w:cs="Arial"/>
        </w:rPr>
        <w:t>n</w:t>
      </w:r>
      <w:r w:rsidR="004E5219" w:rsidRPr="00A13612">
        <w:rPr>
          <w:rFonts w:ascii="Arial" w:hAnsi="Arial" w:cs="Arial"/>
        </w:rPr>
        <w:t xml:space="preserve"> Crisis (1997-1998) </w:t>
      </w:r>
      <w:r w:rsidR="00A31135" w:rsidRPr="00A13612">
        <w:rPr>
          <w:rFonts w:ascii="Arial" w:hAnsi="Arial" w:cs="Arial"/>
        </w:rPr>
        <w:t>and</w:t>
      </w:r>
      <w:r w:rsidR="004E5219" w:rsidRPr="00A13612">
        <w:rPr>
          <w:rFonts w:ascii="Arial" w:hAnsi="Arial" w:cs="Arial"/>
        </w:rPr>
        <w:t xml:space="preserve"> COVID-19</w:t>
      </w:r>
      <w:r w:rsidR="001531CF" w:rsidRPr="00A13612">
        <w:rPr>
          <w:rFonts w:ascii="Arial" w:hAnsi="Arial" w:cs="Arial"/>
        </w:rPr>
        <w:t xml:space="preserve"> </w:t>
      </w:r>
      <w:proofErr w:type="spellStart"/>
      <w:r w:rsidR="001531CF" w:rsidRPr="00A13612">
        <w:rPr>
          <w:rFonts w:ascii="Arial" w:hAnsi="Arial" w:cs="Arial"/>
        </w:rPr>
        <w:t>pandemi</w:t>
      </w:r>
      <w:proofErr w:type="spellEnd"/>
      <w:r w:rsidR="004E5219" w:rsidRPr="00A13612">
        <w:rPr>
          <w:rFonts w:ascii="Arial" w:hAnsi="Arial" w:cs="Arial"/>
        </w:rPr>
        <w:t xml:space="preserve"> (2020-2021)</w:t>
      </w:r>
      <w:r w:rsidR="00A31135" w:rsidRPr="00A13612">
        <w:rPr>
          <w:rFonts w:ascii="Arial" w:hAnsi="Arial" w:cs="Arial"/>
        </w:rPr>
        <w:t xml:space="preserve"> </w:t>
      </w:r>
      <w:r w:rsidR="001531CF" w:rsidRPr="00A13612">
        <w:rPr>
          <w:rFonts w:ascii="Arial" w:hAnsi="Arial" w:cs="Arial"/>
        </w:rPr>
        <w:t xml:space="preserve">drive </w:t>
      </w:r>
      <w:r w:rsidR="00A31135" w:rsidRPr="00A13612">
        <w:rPr>
          <w:rFonts w:ascii="Arial" w:hAnsi="Arial" w:cs="Arial"/>
        </w:rPr>
        <w:t>damaging effects on the business</w:t>
      </w:r>
      <w:r w:rsidR="0042060D" w:rsidRPr="00A13612">
        <w:rPr>
          <w:rFonts w:ascii="Arial" w:hAnsi="Arial" w:cs="Arial"/>
        </w:rPr>
        <w:t xml:space="preserve"> </w:t>
      </w:r>
      <w:r w:rsidR="001531CF" w:rsidRPr="00A13612">
        <w:rPr>
          <w:rFonts w:ascii="Arial" w:hAnsi="Arial" w:cs="Arial"/>
        </w:rPr>
        <w:t xml:space="preserve">operation </w:t>
      </w:r>
      <w:r w:rsidR="0042060D" w:rsidRPr="00A13612">
        <w:rPr>
          <w:rFonts w:ascii="Arial" w:hAnsi="Arial" w:cs="Arial"/>
        </w:rPr>
        <w:t xml:space="preserve">and consumer </w:t>
      </w:r>
      <w:proofErr w:type="spellStart"/>
      <w:r w:rsidR="0042060D" w:rsidRPr="00A13612">
        <w:rPr>
          <w:rFonts w:ascii="Arial" w:hAnsi="Arial" w:cs="Arial"/>
        </w:rPr>
        <w:t>purchaing</w:t>
      </w:r>
      <w:proofErr w:type="spellEnd"/>
      <w:r w:rsidR="0042060D" w:rsidRPr="00A13612">
        <w:rPr>
          <w:rFonts w:ascii="Arial" w:hAnsi="Arial" w:cs="Arial"/>
        </w:rPr>
        <w:t xml:space="preserve"> power parity in Indonesia</w:t>
      </w:r>
      <w:r w:rsidR="00A31135" w:rsidRPr="00A13612">
        <w:rPr>
          <w:rFonts w:ascii="Arial" w:hAnsi="Arial" w:cs="Arial"/>
        </w:rPr>
        <w:t>, which in turn cause a decrease in total output growth.</w:t>
      </w:r>
      <w:r w:rsidR="001531CF" w:rsidRPr="00A13612">
        <w:rPr>
          <w:rFonts w:ascii="Arial" w:hAnsi="Arial" w:cs="Arial"/>
        </w:rPr>
        <w:t xml:space="preserve"> Therefore, it is advocated for policymakers to mitigate numerous types of shocks, particularly health and economic, in order to ensure sustainable development</w:t>
      </w:r>
    </w:p>
    <w:p w14:paraId="2B17AAA7" w14:textId="77777777" w:rsidR="00636307" w:rsidRPr="00A13612" w:rsidRDefault="00636307" w:rsidP="00EC40CA">
      <w:pPr>
        <w:jc w:val="both"/>
        <w:rPr>
          <w:rFonts w:ascii="Arial" w:hAnsi="Arial" w:cs="Arial"/>
        </w:rPr>
      </w:pPr>
    </w:p>
    <w:p w14:paraId="16CD40AF" w14:textId="7EDE2E67" w:rsidR="00636307" w:rsidRPr="00A13612" w:rsidRDefault="00134D14" w:rsidP="00134D14">
      <w:pPr>
        <w:tabs>
          <w:tab w:val="left" w:pos="1080"/>
        </w:tabs>
        <w:jc w:val="both"/>
        <w:rPr>
          <w:rFonts w:ascii="Arial" w:hAnsi="Arial" w:cs="Arial"/>
        </w:rPr>
      </w:pPr>
      <w:r w:rsidRPr="00A13612">
        <w:rPr>
          <w:rFonts w:ascii="Arial" w:hAnsi="Arial" w:cs="Arial"/>
          <w:b/>
        </w:rPr>
        <w:t xml:space="preserve">Table </w:t>
      </w:r>
      <w:r w:rsidR="0042060D" w:rsidRPr="00A13612">
        <w:rPr>
          <w:rFonts w:ascii="Arial" w:hAnsi="Arial" w:cs="Arial"/>
          <w:b/>
        </w:rPr>
        <w:t>7</w:t>
      </w:r>
      <w:r w:rsidRPr="00A13612">
        <w:rPr>
          <w:rFonts w:ascii="Arial" w:hAnsi="Arial" w:cs="Arial"/>
          <w:b/>
        </w:rPr>
        <w:t>. Short-run Estimates</w:t>
      </w:r>
    </w:p>
    <w:p w14:paraId="38753A44" w14:textId="77777777" w:rsidR="004A7EBD" w:rsidRPr="00A13612" w:rsidRDefault="004A7EBD" w:rsidP="00EC40CA">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1664"/>
        <w:gridCol w:w="1635"/>
        <w:gridCol w:w="1607"/>
        <w:gridCol w:w="1603"/>
      </w:tblGrid>
      <w:tr w:rsidR="004A7EBD" w:rsidRPr="00A13612" w14:paraId="0BFC2AE2" w14:textId="77777777" w:rsidTr="004A7EBD">
        <w:tc>
          <w:tcPr>
            <w:tcW w:w="1737" w:type="dxa"/>
            <w:tcBorders>
              <w:top w:val="single" w:sz="4" w:space="0" w:color="auto"/>
              <w:bottom w:val="single" w:sz="4" w:space="0" w:color="auto"/>
            </w:tcBorders>
            <w:vAlign w:val="bottom"/>
          </w:tcPr>
          <w:p w14:paraId="28DD7F8C" w14:textId="77777777" w:rsidR="004A7EBD" w:rsidRPr="00A13612" w:rsidRDefault="004A7EBD" w:rsidP="004A7EBD">
            <w:pPr>
              <w:rPr>
                <w:rFonts w:ascii="Arial" w:hAnsi="Arial" w:cs="Arial"/>
                <w:color w:val="000000"/>
                <w:sz w:val="20"/>
                <w:szCs w:val="20"/>
              </w:rPr>
            </w:pPr>
          </w:p>
        </w:tc>
        <w:tc>
          <w:tcPr>
            <w:tcW w:w="1703" w:type="dxa"/>
            <w:tcBorders>
              <w:top w:val="single" w:sz="4" w:space="0" w:color="auto"/>
              <w:bottom w:val="single" w:sz="4" w:space="0" w:color="auto"/>
            </w:tcBorders>
            <w:vAlign w:val="bottom"/>
          </w:tcPr>
          <w:p w14:paraId="5472EF61" w14:textId="64BF43B3" w:rsidR="004A7EBD" w:rsidRPr="00A13612" w:rsidRDefault="004A7EBD" w:rsidP="004A7EBD">
            <w:pPr>
              <w:jc w:val="right"/>
              <w:rPr>
                <w:rFonts w:ascii="Arial" w:hAnsi="Arial" w:cs="Arial"/>
                <w:b/>
                <w:bCs/>
                <w:color w:val="000000"/>
                <w:sz w:val="20"/>
                <w:szCs w:val="20"/>
              </w:rPr>
            </w:pPr>
            <w:r w:rsidRPr="00A13612">
              <w:rPr>
                <w:rFonts w:ascii="Arial" w:hAnsi="Arial" w:cs="Arial"/>
                <w:b/>
                <w:bCs/>
                <w:sz w:val="20"/>
                <w:szCs w:val="20"/>
              </w:rPr>
              <w:t>Coeff.</w:t>
            </w:r>
          </w:p>
        </w:tc>
        <w:tc>
          <w:tcPr>
            <w:tcW w:w="1679" w:type="dxa"/>
            <w:tcBorders>
              <w:top w:val="single" w:sz="4" w:space="0" w:color="auto"/>
              <w:bottom w:val="single" w:sz="4" w:space="0" w:color="auto"/>
            </w:tcBorders>
            <w:vAlign w:val="bottom"/>
          </w:tcPr>
          <w:p w14:paraId="58564E0E" w14:textId="189509B7" w:rsidR="004A7EBD" w:rsidRPr="00A13612" w:rsidRDefault="004A7EBD" w:rsidP="004A7EBD">
            <w:pPr>
              <w:jc w:val="right"/>
              <w:rPr>
                <w:rFonts w:ascii="Arial" w:hAnsi="Arial" w:cs="Arial"/>
                <w:b/>
                <w:bCs/>
                <w:color w:val="000000"/>
                <w:sz w:val="20"/>
                <w:szCs w:val="20"/>
              </w:rPr>
            </w:pPr>
            <w:r w:rsidRPr="00A13612">
              <w:rPr>
                <w:rFonts w:ascii="Arial" w:hAnsi="Arial" w:cs="Arial"/>
                <w:b/>
                <w:bCs/>
                <w:sz w:val="20"/>
                <w:szCs w:val="20"/>
              </w:rPr>
              <w:t>Std. error.</w:t>
            </w:r>
          </w:p>
        </w:tc>
        <w:tc>
          <w:tcPr>
            <w:tcW w:w="1655" w:type="dxa"/>
            <w:tcBorders>
              <w:top w:val="single" w:sz="4" w:space="0" w:color="auto"/>
              <w:bottom w:val="single" w:sz="4" w:space="0" w:color="auto"/>
            </w:tcBorders>
            <w:vAlign w:val="bottom"/>
          </w:tcPr>
          <w:p w14:paraId="01FD458F" w14:textId="28A2633C" w:rsidR="004A7EBD" w:rsidRPr="00A13612" w:rsidRDefault="004A7EBD" w:rsidP="004A7EBD">
            <w:pPr>
              <w:jc w:val="right"/>
              <w:rPr>
                <w:rFonts w:ascii="Arial" w:hAnsi="Arial" w:cs="Arial"/>
                <w:b/>
                <w:bCs/>
                <w:color w:val="000000"/>
                <w:sz w:val="20"/>
                <w:szCs w:val="20"/>
              </w:rPr>
            </w:pPr>
            <w:r w:rsidRPr="00A13612">
              <w:rPr>
                <w:rFonts w:ascii="Arial" w:hAnsi="Arial" w:cs="Arial"/>
                <w:b/>
                <w:bCs/>
                <w:sz w:val="20"/>
                <w:szCs w:val="20"/>
              </w:rPr>
              <w:t>t-stat</w:t>
            </w:r>
          </w:p>
        </w:tc>
        <w:tc>
          <w:tcPr>
            <w:tcW w:w="1650" w:type="dxa"/>
            <w:tcBorders>
              <w:top w:val="single" w:sz="4" w:space="0" w:color="auto"/>
              <w:bottom w:val="single" w:sz="4" w:space="0" w:color="auto"/>
            </w:tcBorders>
            <w:vAlign w:val="bottom"/>
          </w:tcPr>
          <w:p w14:paraId="6C622396" w14:textId="78C5BFA6" w:rsidR="004A7EBD" w:rsidRPr="00A13612" w:rsidRDefault="004A7EBD" w:rsidP="004A7EBD">
            <w:pPr>
              <w:jc w:val="right"/>
              <w:rPr>
                <w:rFonts w:ascii="Arial" w:hAnsi="Arial" w:cs="Arial"/>
                <w:b/>
                <w:bCs/>
                <w:color w:val="000000"/>
                <w:sz w:val="20"/>
                <w:szCs w:val="20"/>
              </w:rPr>
            </w:pPr>
            <w:r w:rsidRPr="00A13612">
              <w:rPr>
                <w:rFonts w:ascii="Arial" w:hAnsi="Arial" w:cs="Arial"/>
                <w:b/>
                <w:bCs/>
                <w:sz w:val="20"/>
                <w:szCs w:val="20"/>
              </w:rPr>
              <w:t>p-value</w:t>
            </w:r>
          </w:p>
        </w:tc>
      </w:tr>
      <w:tr w:rsidR="002673BB" w:rsidRPr="00A13612" w14:paraId="02CE0A38" w14:textId="77777777" w:rsidTr="004A7EBD">
        <w:tc>
          <w:tcPr>
            <w:tcW w:w="1737" w:type="dxa"/>
            <w:tcBorders>
              <w:top w:val="single" w:sz="4" w:space="0" w:color="auto"/>
            </w:tcBorders>
            <w:vAlign w:val="bottom"/>
          </w:tcPr>
          <w:p w14:paraId="268B28CD" w14:textId="0034FC12" w:rsidR="002673BB" w:rsidRPr="00A13612" w:rsidRDefault="002673BB" w:rsidP="002673BB">
            <w:pPr>
              <w:rPr>
                <w:rFonts w:ascii="Arial" w:eastAsia="Times New Roman" w:hAnsi="Arial" w:cs="Arial"/>
                <w:color w:val="000000"/>
                <w:sz w:val="20"/>
                <w:szCs w:val="20"/>
              </w:rPr>
            </w:pPr>
            <w:r w:rsidRPr="00A13612">
              <w:rPr>
                <w:rFonts w:ascii="Arial" w:eastAsia="Times New Roman" w:hAnsi="Arial" w:cs="Arial"/>
                <w:color w:val="000000"/>
                <w:sz w:val="20"/>
                <w:szCs w:val="20"/>
              </w:rPr>
              <w:t>∆</w:t>
            </w:r>
            <w:proofErr w:type="spellStart"/>
            <w:r w:rsidR="0042060D" w:rsidRPr="00A13612">
              <w:rPr>
                <w:rFonts w:ascii="Arial" w:eastAsia="Times New Roman" w:hAnsi="Arial" w:cs="Arial"/>
                <w:color w:val="000000"/>
                <w:sz w:val="20"/>
                <w:szCs w:val="20"/>
              </w:rPr>
              <w:t>GDPg</w:t>
            </w:r>
            <w:proofErr w:type="spellEnd"/>
            <w:r w:rsidRPr="00A13612">
              <w:rPr>
                <w:rFonts w:ascii="Arial" w:eastAsia="Times New Roman" w:hAnsi="Arial" w:cs="Arial"/>
                <w:color w:val="000000"/>
                <w:sz w:val="20"/>
                <w:szCs w:val="20"/>
              </w:rPr>
              <w:t xml:space="preserve"> </w:t>
            </w:r>
          </w:p>
        </w:tc>
        <w:tc>
          <w:tcPr>
            <w:tcW w:w="1703" w:type="dxa"/>
            <w:tcBorders>
              <w:top w:val="single" w:sz="4" w:space="0" w:color="auto"/>
            </w:tcBorders>
            <w:vAlign w:val="bottom"/>
          </w:tcPr>
          <w:p w14:paraId="43A91956"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-0.2058</w:t>
            </w:r>
          </w:p>
        </w:tc>
        <w:tc>
          <w:tcPr>
            <w:tcW w:w="1679" w:type="dxa"/>
            <w:tcBorders>
              <w:top w:val="single" w:sz="4" w:space="0" w:color="auto"/>
            </w:tcBorders>
            <w:vAlign w:val="bottom"/>
          </w:tcPr>
          <w:p w14:paraId="493DE26A"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0.0570</w:t>
            </w:r>
          </w:p>
        </w:tc>
        <w:tc>
          <w:tcPr>
            <w:tcW w:w="1655" w:type="dxa"/>
            <w:tcBorders>
              <w:top w:val="single" w:sz="4" w:space="0" w:color="auto"/>
            </w:tcBorders>
            <w:vAlign w:val="bottom"/>
          </w:tcPr>
          <w:p w14:paraId="6623E51B"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-3.61</w:t>
            </w:r>
          </w:p>
        </w:tc>
        <w:tc>
          <w:tcPr>
            <w:tcW w:w="1650" w:type="dxa"/>
            <w:tcBorders>
              <w:top w:val="single" w:sz="4" w:space="0" w:color="auto"/>
            </w:tcBorders>
            <w:vAlign w:val="bottom"/>
          </w:tcPr>
          <w:p w14:paraId="0A192C88"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0.00</w:t>
            </w:r>
          </w:p>
        </w:tc>
      </w:tr>
      <w:tr w:rsidR="002673BB" w:rsidRPr="00A13612" w14:paraId="6761AED1" w14:textId="77777777" w:rsidTr="009B05F5">
        <w:tc>
          <w:tcPr>
            <w:tcW w:w="1737" w:type="dxa"/>
            <w:vAlign w:val="bottom"/>
          </w:tcPr>
          <w:p w14:paraId="356AAB49" w14:textId="0F16B1FC" w:rsidR="002673BB" w:rsidRPr="00A13612" w:rsidRDefault="002673BB" w:rsidP="002673BB">
            <w:pPr>
              <w:rPr>
                <w:rFonts w:ascii="Arial" w:eastAsia="Times New Roman" w:hAnsi="Arial" w:cs="Arial"/>
                <w:color w:val="000000"/>
                <w:sz w:val="20"/>
                <w:szCs w:val="20"/>
              </w:rPr>
            </w:pPr>
            <w:r w:rsidRPr="00A13612">
              <w:rPr>
                <w:rFonts w:ascii="Arial" w:eastAsia="Times New Roman" w:hAnsi="Arial" w:cs="Arial"/>
                <w:color w:val="000000"/>
                <w:sz w:val="20"/>
                <w:szCs w:val="20"/>
              </w:rPr>
              <w:t>∆</w:t>
            </w:r>
            <w:proofErr w:type="spellStart"/>
            <w:r w:rsidR="0042060D" w:rsidRPr="00A13612">
              <w:rPr>
                <w:rFonts w:ascii="Arial" w:eastAsia="Times New Roman" w:hAnsi="Arial" w:cs="Arial"/>
                <w:color w:val="000000"/>
                <w:sz w:val="20"/>
                <w:szCs w:val="20"/>
              </w:rPr>
              <w:t>CAPg</w:t>
            </w:r>
            <w:proofErr w:type="spellEnd"/>
          </w:p>
        </w:tc>
        <w:tc>
          <w:tcPr>
            <w:tcW w:w="1703" w:type="dxa"/>
            <w:vAlign w:val="bottom"/>
          </w:tcPr>
          <w:p w14:paraId="5839D80D"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0.2864</w:t>
            </w:r>
          </w:p>
        </w:tc>
        <w:tc>
          <w:tcPr>
            <w:tcW w:w="1679" w:type="dxa"/>
            <w:vAlign w:val="bottom"/>
          </w:tcPr>
          <w:p w14:paraId="3E2254F9"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0.0424</w:t>
            </w:r>
          </w:p>
        </w:tc>
        <w:tc>
          <w:tcPr>
            <w:tcW w:w="1655" w:type="dxa"/>
            <w:vAlign w:val="bottom"/>
          </w:tcPr>
          <w:p w14:paraId="46229DA9"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6.76</w:t>
            </w:r>
          </w:p>
        </w:tc>
        <w:tc>
          <w:tcPr>
            <w:tcW w:w="1650" w:type="dxa"/>
            <w:vAlign w:val="bottom"/>
          </w:tcPr>
          <w:p w14:paraId="390747FE"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0.00</w:t>
            </w:r>
          </w:p>
        </w:tc>
      </w:tr>
      <w:tr w:rsidR="002673BB" w:rsidRPr="00A13612" w14:paraId="78C73B1A" w14:textId="77777777" w:rsidTr="009B05F5">
        <w:tc>
          <w:tcPr>
            <w:tcW w:w="1737" w:type="dxa"/>
            <w:vAlign w:val="bottom"/>
          </w:tcPr>
          <w:p w14:paraId="297C7612" w14:textId="216461DD" w:rsidR="002673BB" w:rsidRPr="00A13612" w:rsidRDefault="002673BB" w:rsidP="002673BB">
            <w:pPr>
              <w:rPr>
                <w:rFonts w:ascii="Arial" w:eastAsia="Times New Roman" w:hAnsi="Arial" w:cs="Arial"/>
                <w:color w:val="000000"/>
                <w:sz w:val="20"/>
                <w:szCs w:val="20"/>
              </w:rPr>
            </w:pPr>
            <w:r w:rsidRPr="00A13612">
              <w:rPr>
                <w:rFonts w:ascii="Arial" w:eastAsia="Times New Roman" w:hAnsi="Arial" w:cs="Arial"/>
                <w:color w:val="000000"/>
                <w:sz w:val="20"/>
                <w:szCs w:val="20"/>
              </w:rPr>
              <w:t>∆</w:t>
            </w:r>
            <w:proofErr w:type="spellStart"/>
            <w:r w:rsidR="0042060D" w:rsidRPr="00A13612">
              <w:rPr>
                <w:rFonts w:ascii="Arial" w:eastAsia="Times New Roman" w:hAnsi="Arial" w:cs="Arial"/>
                <w:color w:val="000000"/>
                <w:sz w:val="20"/>
                <w:szCs w:val="20"/>
              </w:rPr>
              <w:t>POP</w:t>
            </w:r>
            <w:r w:rsidRPr="00A13612">
              <w:rPr>
                <w:rFonts w:ascii="Arial" w:eastAsia="Times New Roman" w:hAnsi="Arial" w:cs="Arial"/>
                <w:color w:val="000000"/>
                <w:sz w:val="20"/>
                <w:szCs w:val="20"/>
              </w:rPr>
              <w:t>g</w:t>
            </w:r>
            <w:proofErr w:type="spellEnd"/>
          </w:p>
        </w:tc>
        <w:tc>
          <w:tcPr>
            <w:tcW w:w="1703" w:type="dxa"/>
            <w:vAlign w:val="bottom"/>
          </w:tcPr>
          <w:p w14:paraId="26CA6AD4"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20.1791</w:t>
            </w:r>
          </w:p>
        </w:tc>
        <w:tc>
          <w:tcPr>
            <w:tcW w:w="1679" w:type="dxa"/>
            <w:vAlign w:val="bottom"/>
          </w:tcPr>
          <w:p w14:paraId="3E711C22"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7.2683</w:t>
            </w:r>
          </w:p>
        </w:tc>
        <w:tc>
          <w:tcPr>
            <w:tcW w:w="1655" w:type="dxa"/>
            <w:vAlign w:val="bottom"/>
          </w:tcPr>
          <w:p w14:paraId="14512B62"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2.78</w:t>
            </w:r>
          </w:p>
        </w:tc>
        <w:tc>
          <w:tcPr>
            <w:tcW w:w="1650" w:type="dxa"/>
            <w:vAlign w:val="bottom"/>
          </w:tcPr>
          <w:p w14:paraId="08F9F8B7"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0.01</w:t>
            </w:r>
          </w:p>
        </w:tc>
      </w:tr>
      <w:tr w:rsidR="002673BB" w:rsidRPr="00A13612" w14:paraId="5471F587" w14:textId="77777777" w:rsidTr="009B05F5">
        <w:tc>
          <w:tcPr>
            <w:tcW w:w="1737" w:type="dxa"/>
            <w:vAlign w:val="bottom"/>
          </w:tcPr>
          <w:p w14:paraId="0E333E3F" w14:textId="0C08A09A" w:rsidR="002673BB" w:rsidRPr="00A13612" w:rsidRDefault="002673BB" w:rsidP="002673BB">
            <w:pPr>
              <w:rPr>
                <w:rFonts w:ascii="Arial" w:eastAsia="Times New Roman" w:hAnsi="Arial" w:cs="Arial"/>
                <w:color w:val="000000"/>
                <w:sz w:val="20"/>
                <w:szCs w:val="20"/>
              </w:rPr>
            </w:pPr>
            <w:r w:rsidRPr="00A13612">
              <w:rPr>
                <w:rFonts w:ascii="Arial" w:eastAsia="Times New Roman" w:hAnsi="Arial" w:cs="Arial"/>
                <w:color w:val="000000"/>
                <w:sz w:val="20"/>
                <w:szCs w:val="20"/>
              </w:rPr>
              <w:t>∆</w:t>
            </w:r>
            <w:r w:rsidR="0042060D" w:rsidRPr="00A13612">
              <w:rPr>
                <w:rFonts w:ascii="Arial" w:eastAsia="Times New Roman" w:hAnsi="Arial" w:cs="Arial"/>
                <w:color w:val="000000"/>
                <w:sz w:val="20"/>
                <w:szCs w:val="20"/>
              </w:rPr>
              <w:t>CPI</w:t>
            </w:r>
          </w:p>
        </w:tc>
        <w:tc>
          <w:tcPr>
            <w:tcW w:w="1703" w:type="dxa"/>
            <w:vAlign w:val="bottom"/>
          </w:tcPr>
          <w:p w14:paraId="5EE7BCA5"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-0.1011</w:t>
            </w:r>
          </w:p>
        </w:tc>
        <w:tc>
          <w:tcPr>
            <w:tcW w:w="1679" w:type="dxa"/>
            <w:vAlign w:val="bottom"/>
          </w:tcPr>
          <w:p w14:paraId="7B3CE3E6"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0.0368</w:t>
            </w:r>
          </w:p>
        </w:tc>
        <w:tc>
          <w:tcPr>
            <w:tcW w:w="1655" w:type="dxa"/>
            <w:vAlign w:val="bottom"/>
          </w:tcPr>
          <w:p w14:paraId="69FFE637"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-2.75</w:t>
            </w:r>
          </w:p>
        </w:tc>
        <w:tc>
          <w:tcPr>
            <w:tcW w:w="1650" w:type="dxa"/>
            <w:vAlign w:val="bottom"/>
          </w:tcPr>
          <w:p w14:paraId="192FA8F8"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0.01</w:t>
            </w:r>
          </w:p>
        </w:tc>
      </w:tr>
      <w:tr w:rsidR="002673BB" w:rsidRPr="00A13612" w14:paraId="7A96F466" w14:textId="77777777" w:rsidTr="004A7EBD">
        <w:tc>
          <w:tcPr>
            <w:tcW w:w="1737" w:type="dxa"/>
            <w:vAlign w:val="bottom"/>
          </w:tcPr>
          <w:p w14:paraId="32E5282A" w14:textId="6CB8978F" w:rsidR="002673BB" w:rsidRPr="00A13612" w:rsidRDefault="002673BB" w:rsidP="002673BB">
            <w:pPr>
              <w:rPr>
                <w:rFonts w:ascii="Arial" w:eastAsia="Times New Roman" w:hAnsi="Arial" w:cs="Arial"/>
                <w:color w:val="000000"/>
                <w:sz w:val="20"/>
                <w:szCs w:val="20"/>
              </w:rPr>
            </w:pPr>
            <w:r w:rsidRPr="00A13612">
              <w:rPr>
                <w:rFonts w:ascii="Arial" w:eastAsia="Times New Roman" w:hAnsi="Arial" w:cs="Arial"/>
                <w:color w:val="000000"/>
                <w:sz w:val="20"/>
                <w:szCs w:val="20"/>
              </w:rPr>
              <w:t>∆</w:t>
            </w:r>
            <w:r w:rsidR="0042060D" w:rsidRPr="00A13612">
              <w:rPr>
                <w:rFonts w:ascii="Arial" w:eastAsia="Times New Roman" w:hAnsi="Arial" w:cs="Arial"/>
                <w:color w:val="000000"/>
                <w:sz w:val="20"/>
                <w:szCs w:val="20"/>
              </w:rPr>
              <w:t>D</w:t>
            </w:r>
            <w:r w:rsidRPr="00A13612">
              <w:rPr>
                <w:rFonts w:ascii="Arial" w:eastAsia="Times New Roman" w:hAnsi="Arial" w:cs="Arial"/>
                <w:color w:val="000000"/>
                <w:sz w:val="20"/>
                <w:szCs w:val="20"/>
              </w:rPr>
              <w:t>s</w:t>
            </w:r>
            <w:r w:rsidR="0042060D" w:rsidRPr="00A13612">
              <w:rPr>
                <w:rFonts w:ascii="Arial" w:eastAsia="Times New Roman" w:hAnsi="Arial" w:cs="Arial"/>
                <w:color w:val="000000"/>
                <w:sz w:val="20"/>
                <w:szCs w:val="20"/>
              </w:rPr>
              <w:t>hoc</w:t>
            </w:r>
            <w:r w:rsidRPr="00A13612">
              <w:rPr>
                <w:rFonts w:ascii="Arial" w:eastAsia="Times New Roman" w:hAnsi="Arial" w:cs="Arial"/>
                <w:color w:val="000000"/>
                <w:sz w:val="20"/>
                <w:szCs w:val="20"/>
              </w:rPr>
              <w:t>k</w:t>
            </w:r>
          </w:p>
        </w:tc>
        <w:tc>
          <w:tcPr>
            <w:tcW w:w="1703" w:type="dxa"/>
            <w:vAlign w:val="bottom"/>
          </w:tcPr>
          <w:p w14:paraId="1C42B138"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-2.2730</w:t>
            </w:r>
          </w:p>
        </w:tc>
        <w:tc>
          <w:tcPr>
            <w:tcW w:w="1679" w:type="dxa"/>
            <w:vAlign w:val="bottom"/>
          </w:tcPr>
          <w:p w14:paraId="459582A4"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0.5422</w:t>
            </w:r>
          </w:p>
        </w:tc>
        <w:tc>
          <w:tcPr>
            <w:tcW w:w="1655" w:type="dxa"/>
            <w:vAlign w:val="bottom"/>
          </w:tcPr>
          <w:p w14:paraId="13C1AA7E"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-4.19</w:t>
            </w:r>
          </w:p>
        </w:tc>
        <w:tc>
          <w:tcPr>
            <w:tcW w:w="1650" w:type="dxa"/>
            <w:vAlign w:val="bottom"/>
          </w:tcPr>
          <w:p w14:paraId="07B6603F" w14:textId="77777777" w:rsidR="002673BB" w:rsidRPr="00A13612" w:rsidRDefault="002673BB" w:rsidP="002673BB">
            <w:pPr>
              <w:jc w:val="right"/>
              <w:rPr>
                <w:rFonts w:ascii="Arial" w:eastAsia="Times New Roman" w:hAnsi="Arial" w:cs="Arial"/>
                <w:color w:val="000000"/>
                <w:sz w:val="20"/>
                <w:szCs w:val="20"/>
              </w:rPr>
            </w:pPr>
            <w:r w:rsidRPr="00A13612">
              <w:rPr>
                <w:rFonts w:ascii="Arial" w:eastAsia="Times New Roman" w:hAnsi="Arial" w:cs="Arial"/>
                <w:color w:val="000000"/>
                <w:sz w:val="20"/>
                <w:szCs w:val="20"/>
              </w:rPr>
              <w:t>0.00</w:t>
            </w:r>
          </w:p>
        </w:tc>
      </w:tr>
      <w:tr w:rsidR="002673BB" w:rsidRPr="00A13612" w14:paraId="3ED61AAB" w14:textId="77777777" w:rsidTr="007D54E7">
        <w:tc>
          <w:tcPr>
            <w:tcW w:w="1737" w:type="dxa"/>
            <w:tcBorders>
              <w:bottom w:val="single" w:sz="4" w:space="0" w:color="auto"/>
            </w:tcBorders>
            <w:vAlign w:val="bottom"/>
          </w:tcPr>
          <w:p w14:paraId="666C2064" w14:textId="211FADF6" w:rsidR="002673BB" w:rsidRPr="00A13612" w:rsidRDefault="007D54E7" w:rsidP="002673BB">
            <w:pPr>
              <w:rPr>
                <w:rFonts w:ascii="Arial" w:hAnsi="Arial" w:cs="Arial"/>
                <w:color w:val="000000"/>
                <w:sz w:val="20"/>
                <w:szCs w:val="20"/>
              </w:rPr>
            </w:pPr>
            <w:r w:rsidRPr="00A13612">
              <w:rPr>
                <w:rFonts w:ascii="Arial" w:hAnsi="Arial" w:cs="Arial"/>
                <w:color w:val="000000"/>
                <w:sz w:val="20"/>
                <w:szCs w:val="20"/>
              </w:rPr>
              <w:t>ECM</w:t>
            </w:r>
          </w:p>
        </w:tc>
        <w:tc>
          <w:tcPr>
            <w:tcW w:w="1703" w:type="dxa"/>
            <w:tcBorders>
              <w:bottom w:val="single" w:sz="4" w:space="0" w:color="auto"/>
            </w:tcBorders>
            <w:vAlign w:val="bottom"/>
          </w:tcPr>
          <w:p w14:paraId="5D2395C9" w14:textId="652CA6D7" w:rsidR="002673BB" w:rsidRPr="00A13612" w:rsidRDefault="002673BB" w:rsidP="002673BB">
            <w:pPr>
              <w:jc w:val="right"/>
              <w:rPr>
                <w:rFonts w:ascii="Arial" w:hAnsi="Arial" w:cs="Arial"/>
                <w:color w:val="000000"/>
                <w:sz w:val="20"/>
                <w:szCs w:val="20"/>
              </w:rPr>
            </w:pPr>
            <w:r w:rsidRPr="00A13612">
              <w:rPr>
                <w:rFonts w:ascii="Arial" w:eastAsia="Times New Roman" w:hAnsi="Arial" w:cs="Arial"/>
                <w:color w:val="000000"/>
                <w:sz w:val="20"/>
                <w:szCs w:val="20"/>
              </w:rPr>
              <w:t>-1.0035</w:t>
            </w:r>
          </w:p>
        </w:tc>
        <w:tc>
          <w:tcPr>
            <w:tcW w:w="1679" w:type="dxa"/>
            <w:tcBorders>
              <w:bottom w:val="single" w:sz="4" w:space="0" w:color="auto"/>
            </w:tcBorders>
            <w:vAlign w:val="bottom"/>
          </w:tcPr>
          <w:p w14:paraId="39362AB8" w14:textId="7D0983FB" w:rsidR="002673BB" w:rsidRPr="00A13612" w:rsidRDefault="002673BB" w:rsidP="002673BB">
            <w:pPr>
              <w:jc w:val="right"/>
              <w:rPr>
                <w:rFonts w:ascii="Arial" w:hAnsi="Arial" w:cs="Arial"/>
                <w:color w:val="000000"/>
                <w:sz w:val="20"/>
                <w:szCs w:val="20"/>
              </w:rPr>
            </w:pPr>
            <w:r w:rsidRPr="00A13612">
              <w:rPr>
                <w:rFonts w:ascii="Arial" w:eastAsia="Times New Roman" w:hAnsi="Arial" w:cs="Arial"/>
                <w:color w:val="000000"/>
                <w:sz w:val="20"/>
                <w:szCs w:val="20"/>
              </w:rPr>
              <w:t>0.0704</w:t>
            </w:r>
          </w:p>
        </w:tc>
        <w:tc>
          <w:tcPr>
            <w:tcW w:w="1655" w:type="dxa"/>
            <w:tcBorders>
              <w:bottom w:val="single" w:sz="4" w:space="0" w:color="auto"/>
            </w:tcBorders>
            <w:vAlign w:val="bottom"/>
          </w:tcPr>
          <w:p w14:paraId="6E11A17E" w14:textId="71193A61" w:rsidR="002673BB" w:rsidRPr="00A13612" w:rsidRDefault="002673BB" w:rsidP="002673BB">
            <w:pPr>
              <w:jc w:val="right"/>
              <w:rPr>
                <w:rFonts w:ascii="Arial" w:hAnsi="Arial" w:cs="Arial"/>
                <w:color w:val="000000"/>
                <w:sz w:val="20"/>
                <w:szCs w:val="20"/>
              </w:rPr>
            </w:pPr>
            <w:r w:rsidRPr="00A13612">
              <w:rPr>
                <w:rFonts w:ascii="Arial" w:eastAsia="Times New Roman" w:hAnsi="Arial" w:cs="Arial"/>
                <w:color w:val="000000"/>
                <w:sz w:val="20"/>
                <w:szCs w:val="20"/>
              </w:rPr>
              <w:t>-14.26</w:t>
            </w:r>
          </w:p>
        </w:tc>
        <w:tc>
          <w:tcPr>
            <w:tcW w:w="1650" w:type="dxa"/>
            <w:tcBorders>
              <w:bottom w:val="single" w:sz="4" w:space="0" w:color="auto"/>
            </w:tcBorders>
            <w:vAlign w:val="bottom"/>
          </w:tcPr>
          <w:p w14:paraId="356D5802" w14:textId="6FE1815D" w:rsidR="002673BB" w:rsidRPr="00A13612" w:rsidRDefault="002673BB" w:rsidP="002673BB">
            <w:pPr>
              <w:jc w:val="right"/>
              <w:rPr>
                <w:rFonts w:ascii="Arial" w:hAnsi="Arial" w:cs="Arial"/>
                <w:color w:val="000000"/>
                <w:sz w:val="20"/>
                <w:szCs w:val="20"/>
              </w:rPr>
            </w:pPr>
            <w:r w:rsidRPr="00A13612">
              <w:rPr>
                <w:rFonts w:ascii="Arial" w:eastAsia="Times New Roman" w:hAnsi="Arial" w:cs="Arial"/>
                <w:color w:val="000000"/>
                <w:sz w:val="20"/>
                <w:szCs w:val="20"/>
              </w:rPr>
              <w:t>0.00</w:t>
            </w:r>
          </w:p>
        </w:tc>
      </w:tr>
      <w:tr w:rsidR="007D54E7" w:rsidRPr="00A13612" w14:paraId="599554FA" w14:textId="77777777" w:rsidTr="007D54E7">
        <w:tc>
          <w:tcPr>
            <w:tcW w:w="1737" w:type="dxa"/>
            <w:tcBorders>
              <w:top w:val="single" w:sz="4" w:space="0" w:color="auto"/>
            </w:tcBorders>
            <w:vAlign w:val="bottom"/>
          </w:tcPr>
          <w:p w14:paraId="5616C390" w14:textId="1796E553" w:rsidR="007D54E7" w:rsidRPr="00A13612" w:rsidRDefault="007D54E7" w:rsidP="007D54E7">
            <w:pPr>
              <w:rPr>
                <w:rFonts w:ascii="Arial" w:hAnsi="Arial" w:cs="Arial"/>
                <w:color w:val="000000"/>
                <w:vertAlign w:val="superscript"/>
              </w:rPr>
            </w:pPr>
            <w:r w:rsidRPr="00A13612">
              <w:rPr>
                <w:rFonts w:ascii="Arial" w:hAnsi="Arial" w:cs="Arial"/>
                <w:color w:val="000000"/>
              </w:rPr>
              <w:t>R</w:t>
            </w:r>
            <w:r w:rsidRPr="00A13612">
              <w:rPr>
                <w:rFonts w:ascii="Arial" w:hAnsi="Arial" w:cs="Arial"/>
                <w:color w:val="000000"/>
                <w:vertAlign w:val="superscript"/>
              </w:rPr>
              <w:t>2</w:t>
            </w:r>
          </w:p>
        </w:tc>
        <w:tc>
          <w:tcPr>
            <w:tcW w:w="1703" w:type="dxa"/>
            <w:tcBorders>
              <w:top w:val="single" w:sz="4" w:space="0" w:color="auto"/>
            </w:tcBorders>
            <w:vAlign w:val="bottom"/>
          </w:tcPr>
          <w:p w14:paraId="42594E98" w14:textId="6BE7B466" w:rsidR="007D54E7" w:rsidRPr="00A13612" w:rsidRDefault="007D54E7" w:rsidP="007D54E7">
            <w:pPr>
              <w:jc w:val="right"/>
              <w:rPr>
                <w:rFonts w:ascii="Arial" w:hAnsi="Arial" w:cs="Arial"/>
                <w:color w:val="000000"/>
              </w:rPr>
            </w:pPr>
            <w:r w:rsidRPr="00A13612">
              <w:rPr>
                <w:rFonts w:ascii="Aptos Narrow" w:hAnsi="Aptos Narrow"/>
                <w:color w:val="000000"/>
              </w:rPr>
              <w:t>0.9572</w:t>
            </w:r>
          </w:p>
        </w:tc>
        <w:tc>
          <w:tcPr>
            <w:tcW w:w="1679" w:type="dxa"/>
            <w:tcBorders>
              <w:top w:val="single" w:sz="4" w:space="0" w:color="auto"/>
            </w:tcBorders>
            <w:vAlign w:val="bottom"/>
          </w:tcPr>
          <w:p w14:paraId="7728EA8B" w14:textId="77777777" w:rsidR="007D54E7" w:rsidRPr="00A13612" w:rsidRDefault="007D54E7" w:rsidP="007D54E7">
            <w:pPr>
              <w:jc w:val="right"/>
              <w:rPr>
                <w:rFonts w:ascii="Arial" w:hAnsi="Arial" w:cs="Arial"/>
                <w:color w:val="000000"/>
              </w:rPr>
            </w:pPr>
          </w:p>
        </w:tc>
        <w:tc>
          <w:tcPr>
            <w:tcW w:w="1655" w:type="dxa"/>
            <w:tcBorders>
              <w:top w:val="single" w:sz="4" w:space="0" w:color="auto"/>
            </w:tcBorders>
            <w:vAlign w:val="bottom"/>
          </w:tcPr>
          <w:p w14:paraId="77BAC1B7" w14:textId="77777777" w:rsidR="007D54E7" w:rsidRPr="00A13612" w:rsidRDefault="007D54E7" w:rsidP="007D54E7">
            <w:pPr>
              <w:jc w:val="right"/>
              <w:rPr>
                <w:rFonts w:ascii="Arial" w:hAnsi="Arial" w:cs="Arial"/>
                <w:color w:val="000000"/>
              </w:rPr>
            </w:pPr>
          </w:p>
        </w:tc>
        <w:tc>
          <w:tcPr>
            <w:tcW w:w="1650" w:type="dxa"/>
            <w:tcBorders>
              <w:top w:val="single" w:sz="4" w:space="0" w:color="auto"/>
            </w:tcBorders>
            <w:vAlign w:val="bottom"/>
          </w:tcPr>
          <w:p w14:paraId="52A686FC" w14:textId="77777777" w:rsidR="007D54E7" w:rsidRPr="00A13612" w:rsidRDefault="007D54E7" w:rsidP="007D54E7">
            <w:pPr>
              <w:jc w:val="right"/>
              <w:rPr>
                <w:rFonts w:ascii="Arial" w:hAnsi="Arial" w:cs="Arial"/>
                <w:color w:val="000000"/>
              </w:rPr>
            </w:pPr>
          </w:p>
        </w:tc>
      </w:tr>
      <w:tr w:rsidR="007D54E7" w:rsidRPr="00A13612" w14:paraId="750B3F22" w14:textId="77777777" w:rsidTr="009B05F5">
        <w:tc>
          <w:tcPr>
            <w:tcW w:w="1737" w:type="dxa"/>
            <w:tcBorders>
              <w:bottom w:val="single" w:sz="4" w:space="0" w:color="auto"/>
            </w:tcBorders>
            <w:vAlign w:val="bottom"/>
          </w:tcPr>
          <w:p w14:paraId="3D431FA0" w14:textId="2AF3DCEE" w:rsidR="007D54E7" w:rsidRPr="00A13612" w:rsidRDefault="007D54E7" w:rsidP="007D54E7">
            <w:pPr>
              <w:rPr>
                <w:rFonts w:ascii="Arial" w:hAnsi="Arial" w:cs="Arial"/>
                <w:color w:val="000000"/>
              </w:rPr>
            </w:pPr>
            <w:r w:rsidRPr="00A13612">
              <w:rPr>
                <w:rFonts w:ascii="Arial" w:hAnsi="Arial" w:cs="Arial"/>
                <w:color w:val="000000"/>
              </w:rPr>
              <w:t>Adj. R</w:t>
            </w:r>
            <w:r w:rsidRPr="00A13612">
              <w:rPr>
                <w:rFonts w:ascii="Arial" w:hAnsi="Arial" w:cs="Arial"/>
                <w:color w:val="000000"/>
                <w:vertAlign w:val="superscript"/>
              </w:rPr>
              <w:t>2</w:t>
            </w:r>
          </w:p>
        </w:tc>
        <w:tc>
          <w:tcPr>
            <w:tcW w:w="1703" w:type="dxa"/>
            <w:tcBorders>
              <w:bottom w:val="single" w:sz="4" w:space="0" w:color="auto"/>
            </w:tcBorders>
            <w:vAlign w:val="bottom"/>
          </w:tcPr>
          <w:p w14:paraId="53211E9B" w14:textId="3300AA90" w:rsidR="007D54E7" w:rsidRPr="00A13612" w:rsidRDefault="007D54E7" w:rsidP="007D54E7">
            <w:pPr>
              <w:jc w:val="right"/>
              <w:rPr>
                <w:rFonts w:ascii="Arial" w:hAnsi="Arial" w:cs="Arial"/>
                <w:color w:val="000000"/>
              </w:rPr>
            </w:pPr>
            <w:r w:rsidRPr="00A13612">
              <w:rPr>
                <w:rFonts w:ascii="Aptos Narrow" w:hAnsi="Aptos Narrow"/>
                <w:color w:val="000000"/>
              </w:rPr>
              <w:t>0.945</w:t>
            </w:r>
          </w:p>
        </w:tc>
        <w:tc>
          <w:tcPr>
            <w:tcW w:w="1679" w:type="dxa"/>
            <w:tcBorders>
              <w:bottom w:val="single" w:sz="4" w:space="0" w:color="auto"/>
            </w:tcBorders>
            <w:vAlign w:val="bottom"/>
          </w:tcPr>
          <w:p w14:paraId="38A00636" w14:textId="77777777" w:rsidR="007D54E7" w:rsidRPr="00A13612" w:rsidRDefault="007D54E7" w:rsidP="007D54E7">
            <w:pPr>
              <w:jc w:val="right"/>
              <w:rPr>
                <w:rFonts w:ascii="Arial" w:hAnsi="Arial" w:cs="Arial"/>
                <w:color w:val="000000"/>
              </w:rPr>
            </w:pPr>
          </w:p>
        </w:tc>
        <w:tc>
          <w:tcPr>
            <w:tcW w:w="1655" w:type="dxa"/>
            <w:tcBorders>
              <w:bottom w:val="single" w:sz="4" w:space="0" w:color="auto"/>
            </w:tcBorders>
            <w:vAlign w:val="bottom"/>
          </w:tcPr>
          <w:p w14:paraId="6E1B20A7" w14:textId="77777777" w:rsidR="007D54E7" w:rsidRPr="00A13612" w:rsidRDefault="007D54E7" w:rsidP="007D54E7">
            <w:pPr>
              <w:jc w:val="right"/>
              <w:rPr>
                <w:rFonts w:ascii="Arial" w:hAnsi="Arial" w:cs="Arial"/>
                <w:color w:val="000000"/>
              </w:rPr>
            </w:pPr>
          </w:p>
        </w:tc>
        <w:tc>
          <w:tcPr>
            <w:tcW w:w="1650" w:type="dxa"/>
            <w:tcBorders>
              <w:bottom w:val="single" w:sz="4" w:space="0" w:color="auto"/>
            </w:tcBorders>
            <w:vAlign w:val="bottom"/>
          </w:tcPr>
          <w:p w14:paraId="21C09B1C" w14:textId="77777777" w:rsidR="007D54E7" w:rsidRPr="00A13612" w:rsidRDefault="007D54E7" w:rsidP="007D54E7">
            <w:pPr>
              <w:jc w:val="right"/>
              <w:rPr>
                <w:rFonts w:ascii="Arial" w:hAnsi="Arial" w:cs="Arial"/>
                <w:color w:val="000000"/>
              </w:rPr>
            </w:pPr>
          </w:p>
        </w:tc>
      </w:tr>
    </w:tbl>
    <w:p w14:paraId="109A3965" w14:textId="06222DD5" w:rsidR="007D54E7" w:rsidRPr="00A13612" w:rsidRDefault="007D54E7" w:rsidP="007D54E7">
      <w:pPr>
        <w:ind w:left="360"/>
        <w:jc w:val="both"/>
        <w:rPr>
          <w:rFonts w:ascii="Arial" w:hAnsi="Arial" w:cs="Arial"/>
          <w:i/>
          <w:iCs/>
          <w:sz w:val="16"/>
          <w:szCs w:val="18"/>
          <w:lang w:val="pt-BR"/>
        </w:rPr>
      </w:pPr>
      <w:r w:rsidRPr="00A13612">
        <w:rPr>
          <w:rFonts w:ascii="Arial" w:hAnsi="Arial" w:cs="Arial"/>
          <w:i/>
          <w:iCs/>
          <w:color w:val="000000"/>
          <w:sz w:val="18"/>
          <w:szCs w:val="18"/>
        </w:rPr>
        <w:t>R</w:t>
      </w:r>
      <w:r w:rsidRPr="00A13612">
        <w:rPr>
          <w:rFonts w:ascii="Arial" w:hAnsi="Arial" w:cs="Arial"/>
          <w:i/>
          <w:iCs/>
          <w:color w:val="000000"/>
          <w:sz w:val="18"/>
          <w:szCs w:val="18"/>
          <w:vertAlign w:val="superscript"/>
        </w:rPr>
        <w:t>2</w:t>
      </w:r>
      <w:r w:rsidRPr="00A13612">
        <w:rPr>
          <w:rFonts w:ascii="Arial" w:hAnsi="Arial" w:cs="Arial"/>
          <w:i/>
          <w:iCs/>
          <w:color w:val="000000"/>
          <w:sz w:val="18"/>
          <w:szCs w:val="18"/>
        </w:rPr>
        <w:t xml:space="preserve"> is R-squares, </w:t>
      </w:r>
      <w:proofErr w:type="spellStart"/>
      <w:r w:rsidRPr="00A13612">
        <w:rPr>
          <w:rFonts w:ascii="Arial" w:hAnsi="Arial" w:cs="Arial"/>
          <w:i/>
          <w:iCs/>
          <w:color w:val="000000"/>
          <w:sz w:val="18"/>
          <w:szCs w:val="18"/>
        </w:rPr>
        <w:t>shownig</w:t>
      </w:r>
      <w:proofErr w:type="spellEnd"/>
      <w:r w:rsidRPr="00A13612">
        <w:rPr>
          <w:rFonts w:ascii="Arial" w:hAnsi="Arial" w:cs="Arial"/>
          <w:i/>
          <w:iCs/>
          <w:color w:val="000000"/>
          <w:sz w:val="18"/>
          <w:szCs w:val="18"/>
        </w:rPr>
        <w:t xml:space="preserve"> the goodness of fit. </w:t>
      </w:r>
      <w:r w:rsidRPr="00A13612">
        <w:rPr>
          <w:rFonts w:ascii="Arial" w:hAnsi="Arial" w:cs="Arial"/>
          <w:i/>
          <w:iCs/>
          <w:color w:val="000000"/>
          <w:sz w:val="18"/>
          <w:szCs w:val="18"/>
          <w:lang w:val="pt-BR"/>
        </w:rPr>
        <w:t>Adj. R</w:t>
      </w:r>
      <w:r w:rsidRPr="00A13612">
        <w:rPr>
          <w:rFonts w:ascii="Arial" w:hAnsi="Arial" w:cs="Arial"/>
          <w:i/>
          <w:iCs/>
          <w:color w:val="000000"/>
          <w:sz w:val="18"/>
          <w:szCs w:val="18"/>
          <w:vertAlign w:val="superscript"/>
          <w:lang w:val="pt-BR"/>
        </w:rPr>
        <w:t>2</w:t>
      </w:r>
      <w:r w:rsidRPr="00A13612">
        <w:rPr>
          <w:rFonts w:ascii="Arial" w:hAnsi="Arial" w:cs="Arial"/>
          <w:i/>
          <w:iCs/>
          <w:color w:val="000000"/>
          <w:sz w:val="18"/>
          <w:szCs w:val="18"/>
          <w:lang w:val="pt-BR"/>
        </w:rPr>
        <w:t xml:space="preserve"> denotes adjusted R-squares.</w:t>
      </w:r>
    </w:p>
    <w:p w14:paraId="63BBAFF0" w14:textId="77777777" w:rsidR="007D54E7" w:rsidRPr="00A13612" w:rsidRDefault="007D54E7" w:rsidP="00EC40CA">
      <w:pPr>
        <w:jc w:val="both"/>
        <w:rPr>
          <w:rFonts w:ascii="Arial" w:hAnsi="Arial" w:cs="Arial"/>
          <w:sz w:val="22"/>
          <w:szCs w:val="22"/>
          <w:lang w:val="pt-BR"/>
        </w:rPr>
      </w:pPr>
    </w:p>
    <w:p w14:paraId="57DDDAAE" w14:textId="0528DCF8" w:rsidR="00EC2C9D" w:rsidRPr="00A13612" w:rsidRDefault="00636307" w:rsidP="00EC40CA">
      <w:pPr>
        <w:jc w:val="both"/>
        <w:rPr>
          <w:rFonts w:ascii="Arial" w:hAnsi="Arial" w:cs="Arial"/>
        </w:rPr>
      </w:pPr>
      <w:r w:rsidRPr="00A13612">
        <w:rPr>
          <w:rFonts w:ascii="Arial" w:hAnsi="Arial" w:cs="Arial"/>
        </w:rPr>
        <w:t xml:space="preserve">Table </w:t>
      </w:r>
      <w:r w:rsidR="0042060D" w:rsidRPr="00A13612">
        <w:rPr>
          <w:rFonts w:ascii="Arial" w:hAnsi="Arial" w:cs="Arial"/>
        </w:rPr>
        <w:t>7</w:t>
      </w:r>
      <w:r w:rsidRPr="00A13612">
        <w:rPr>
          <w:rFonts w:ascii="Arial" w:hAnsi="Arial" w:cs="Arial"/>
        </w:rPr>
        <w:t xml:space="preserve"> presents the results of the short-run estimates obtained from the ARDL-Bounds test. </w:t>
      </w:r>
      <w:r w:rsidR="00A31135" w:rsidRPr="00A13612">
        <w:rPr>
          <w:rFonts w:ascii="Arial" w:hAnsi="Arial" w:cs="Arial"/>
        </w:rPr>
        <w:t>The findings for the nexus between economic growth, consumer price index, gross fixed capital formation</w:t>
      </w:r>
      <w:r w:rsidRPr="00A13612">
        <w:rPr>
          <w:rFonts w:ascii="Arial" w:hAnsi="Arial" w:cs="Arial"/>
        </w:rPr>
        <w:t xml:space="preserve"> growth</w:t>
      </w:r>
      <w:r w:rsidR="00A31135" w:rsidRPr="00A13612">
        <w:rPr>
          <w:rFonts w:ascii="Arial" w:hAnsi="Arial" w:cs="Arial"/>
        </w:rPr>
        <w:t xml:space="preserve">, and </w:t>
      </w:r>
      <w:r w:rsidRPr="00A13612">
        <w:rPr>
          <w:rFonts w:ascii="Arial" w:hAnsi="Arial" w:cs="Arial"/>
        </w:rPr>
        <w:t xml:space="preserve">working age </w:t>
      </w:r>
      <w:r w:rsidR="00A31135" w:rsidRPr="00A13612">
        <w:rPr>
          <w:rFonts w:ascii="Arial" w:hAnsi="Arial" w:cs="Arial"/>
        </w:rPr>
        <w:t xml:space="preserve">population growth are consistent </w:t>
      </w:r>
      <w:r w:rsidR="00EC40CA" w:rsidRPr="00A13612">
        <w:rPr>
          <w:rFonts w:ascii="Arial" w:hAnsi="Arial" w:cs="Arial"/>
        </w:rPr>
        <w:t>with</w:t>
      </w:r>
      <w:r w:rsidR="00A31135" w:rsidRPr="00A13612">
        <w:rPr>
          <w:rFonts w:ascii="Arial" w:hAnsi="Arial" w:cs="Arial"/>
        </w:rPr>
        <w:t xml:space="preserve"> the </w:t>
      </w:r>
      <w:r w:rsidR="00EC2C9D" w:rsidRPr="00A13612">
        <w:rPr>
          <w:rFonts w:ascii="Arial" w:hAnsi="Arial" w:cs="Arial"/>
        </w:rPr>
        <w:t>short-run</w:t>
      </w:r>
      <w:r w:rsidR="00EC40CA" w:rsidRPr="00A13612">
        <w:rPr>
          <w:rFonts w:ascii="Arial" w:hAnsi="Arial" w:cs="Arial"/>
        </w:rPr>
        <w:t xml:space="preserve"> analysis</w:t>
      </w:r>
      <w:r w:rsidR="00A31135" w:rsidRPr="00A13612">
        <w:rPr>
          <w:rFonts w:ascii="Arial" w:hAnsi="Arial" w:cs="Arial"/>
        </w:rPr>
        <w:t xml:space="preserve">. </w:t>
      </w:r>
      <w:r w:rsidRPr="00A13612">
        <w:rPr>
          <w:rFonts w:ascii="Arial" w:hAnsi="Arial" w:cs="Arial"/>
        </w:rPr>
        <w:t>CPI</w:t>
      </w:r>
      <w:r w:rsidR="00A31135" w:rsidRPr="00A13612">
        <w:rPr>
          <w:rFonts w:ascii="Arial" w:hAnsi="Arial" w:cs="Arial"/>
        </w:rPr>
        <w:t xml:space="preserve"> is negatively</w:t>
      </w:r>
      <w:r w:rsidRPr="00A13612">
        <w:rPr>
          <w:rFonts w:ascii="Arial" w:hAnsi="Arial" w:cs="Arial"/>
        </w:rPr>
        <w:t xml:space="preserve"> linked </w:t>
      </w:r>
      <w:r w:rsidR="00A31135" w:rsidRPr="00A13612">
        <w:rPr>
          <w:rFonts w:ascii="Arial" w:hAnsi="Arial" w:cs="Arial"/>
        </w:rPr>
        <w:t>with GDP growth</w:t>
      </w:r>
      <w:r w:rsidRPr="00A13612">
        <w:rPr>
          <w:rFonts w:ascii="Arial" w:hAnsi="Arial" w:cs="Arial"/>
        </w:rPr>
        <w:t>, indicating that higher inflation rates negatively influence the economy both in the short run and long run.</w:t>
      </w:r>
      <w:r w:rsidR="00A31135" w:rsidRPr="00A13612">
        <w:rPr>
          <w:rFonts w:ascii="Arial" w:hAnsi="Arial" w:cs="Arial"/>
        </w:rPr>
        <w:t xml:space="preserve"> </w:t>
      </w:r>
      <w:r w:rsidRPr="00A13612">
        <w:rPr>
          <w:rFonts w:ascii="Arial" w:hAnsi="Arial" w:cs="Arial"/>
        </w:rPr>
        <w:t>Conversely,</w:t>
      </w:r>
      <w:r w:rsidR="00A31135" w:rsidRPr="00A13612">
        <w:rPr>
          <w:rFonts w:ascii="Arial" w:hAnsi="Arial" w:cs="Arial"/>
        </w:rPr>
        <w:t xml:space="preserve"> </w:t>
      </w:r>
      <w:r w:rsidRPr="00A13612">
        <w:rPr>
          <w:rFonts w:ascii="Arial" w:hAnsi="Arial" w:cs="Arial"/>
        </w:rPr>
        <w:t xml:space="preserve">gross fixed </w:t>
      </w:r>
      <w:r w:rsidR="00A31135" w:rsidRPr="00A13612">
        <w:rPr>
          <w:rFonts w:ascii="Arial" w:hAnsi="Arial" w:cs="Arial"/>
        </w:rPr>
        <w:t xml:space="preserve">capital formation </w:t>
      </w:r>
      <w:r w:rsidR="002673BB" w:rsidRPr="00A13612">
        <w:rPr>
          <w:rFonts w:ascii="Arial" w:hAnsi="Arial" w:cs="Arial"/>
        </w:rPr>
        <w:t xml:space="preserve">growth </w:t>
      </w:r>
      <w:r w:rsidR="00A31135" w:rsidRPr="00A13612">
        <w:rPr>
          <w:rFonts w:ascii="Arial" w:hAnsi="Arial" w:cs="Arial"/>
        </w:rPr>
        <w:t xml:space="preserve">and </w:t>
      </w:r>
      <w:r w:rsidRPr="00A13612">
        <w:rPr>
          <w:rFonts w:ascii="Arial" w:hAnsi="Arial" w:cs="Arial"/>
        </w:rPr>
        <w:t xml:space="preserve">working-age </w:t>
      </w:r>
      <w:r w:rsidR="00A31135" w:rsidRPr="00A13612">
        <w:rPr>
          <w:rFonts w:ascii="Arial" w:hAnsi="Arial" w:cs="Arial"/>
        </w:rPr>
        <w:t>population growth have a beneficial effect on GDP growth.</w:t>
      </w:r>
      <w:r w:rsidR="00EC2C9D" w:rsidRPr="00A13612">
        <w:rPr>
          <w:rFonts w:ascii="Arial" w:hAnsi="Arial" w:cs="Arial"/>
        </w:rPr>
        <w:t xml:space="preserve"> Furthermore, the dummy variable of shock has a negative influence on </w:t>
      </w:r>
      <w:r w:rsidRPr="00A13612">
        <w:rPr>
          <w:rFonts w:ascii="Arial" w:hAnsi="Arial" w:cs="Arial"/>
        </w:rPr>
        <w:t xml:space="preserve">GDP </w:t>
      </w:r>
      <w:r w:rsidR="00EC2C9D" w:rsidRPr="00A13612">
        <w:rPr>
          <w:rFonts w:ascii="Arial" w:hAnsi="Arial" w:cs="Arial"/>
        </w:rPr>
        <w:t>growth</w:t>
      </w:r>
      <w:r w:rsidR="002673BB" w:rsidRPr="00A13612">
        <w:rPr>
          <w:rFonts w:ascii="Arial" w:hAnsi="Arial" w:cs="Arial"/>
        </w:rPr>
        <w:t>.</w:t>
      </w:r>
    </w:p>
    <w:p w14:paraId="55FA0366" w14:textId="77777777" w:rsidR="00EC2C9D" w:rsidRPr="00A13612" w:rsidRDefault="00EC2C9D" w:rsidP="00EC40CA">
      <w:pPr>
        <w:jc w:val="both"/>
        <w:rPr>
          <w:rFonts w:ascii="Arial" w:hAnsi="Arial" w:cs="Arial"/>
        </w:rPr>
      </w:pPr>
    </w:p>
    <w:p w14:paraId="633DE2D9" w14:textId="6B78EE8D" w:rsidR="00D71997" w:rsidRPr="00A13612" w:rsidRDefault="004A7EBD" w:rsidP="00EC40CA">
      <w:pPr>
        <w:jc w:val="both"/>
        <w:rPr>
          <w:rFonts w:ascii="Arial" w:hAnsi="Arial" w:cs="Arial"/>
          <w:color w:val="000000"/>
        </w:rPr>
      </w:pPr>
      <w:r w:rsidRPr="00A13612">
        <w:rPr>
          <w:rFonts w:ascii="Arial" w:hAnsi="Arial" w:cs="Arial"/>
        </w:rPr>
        <w:t>The short-run estimates also</w:t>
      </w:r>
      <w:r w:rsidR="002673BB" w:rsidRPr="00A13612">
        <w:rPr>
          <w:rFonts w:ascii="Arial" w:hAnsi="Arial" w:cs="Arial"/>
        </w:rPr>
        <w:t xml:space="preserve"> give information in term of </w:t>
      </w:r>
      <w:r w:rsidRPr="00A13612">
        <w:rPr>
          <w:rFonts w:ascii="Arial" w:hAnsi="Arial" w:cs="Arial"/>
        </w:rPr>
        <w:t xml:space="preserve">the adjustment process. </w:t>
      </w:r>
      <w:r w:rsidR="00A31135" w:rsidRPr="00A13612">
        <w:rPr>
          <w:rFonts w:ascii="Arial" w:hAnsi="Arial" w:cs="Arial"/>
        </w:rPr>
        <w:t xml:space="preserve">The ECM parameter </w:t>
      </w:r>
      <w:r w:rsidR="00646899" w:rsidRPr="00A13612">
        <w:rPr>
          <w:rFonts w:ascii="Arial" w:hAnsi="Arial" w:cs="Arial"/>
        </w:rPr>
        <w:t>has</w:t>
      </w:r>
      <w:r w:rsidR="00A31135" w:rsidRPr="00A13612">
        <w:rPr>
          <w:rFonts w:ascii="Arial" w:hAnsi="Arial" w:cs="Arial"/>
        </w:rPr>
        <w:t xml:space="preserve"> a negative </w:t>
      </w:r>
      <w:r w:rsidRPr="00A13612">
        <w:rPr>
          <w:rFonts w:ascii="Arial" w:hAnsi="Arial" w:cs="Arial"/>
        </w:rPr>
        <w:t>sign</w:t>
      </w:r>
      <w:r w:rsidR="00A31135" w:rsidRPr="00A13612">
        <w:rPr>
          <w:rFonts w:ascii="Arial" w:hAnsi="Arial" w:cs="Arial"/>
        </w:rPr>
        <w:t xml:space="preserve"> and is </w:t>
      </w:r>
      <w:r w:rsidRPr="00A13612">
        <w:rPr>
          <w:rFonts w:ascii="Arial" w:hAnsi="Arial" w:cs="Arial"/>
        </w:rPr>
        <w:t xml:space="preserve">statistically </w:t>
      </w:r>
      <w:r w:rsidR="00A31135" w:rsidRPr="00A13612">
        <w:rPr>
          <w:rFonts w:ascii="Arial" w:hAnsi="Arial" w:cs="Arial"/>
        </w:rPr>
        <w:t>significant. This evidence demonstrates that</w:t>
      </w:r>
      <w:r w:rsidRPr="00A13612">
        <w:rPr>
          <w:rFonts w:ascii="Arial" w:hAnsi="Arial" w:cs="Arial"/>
        </w:rPr>
        <w:t xml:space="preserve"> </w:t>
      </w:r>
      <w:r w:rsidR="00A31135" w:rsidRPr="00A13612">
        <w:rPr>
          <w:rFonts w:ascii="Arial" w:hAnsi="Arial" w:cs="Arial"/>
        </w:rPr>
        <w:t>shocks</w:t>
      </w:r>
      <w:r w:rsidRPr="00A13612">
        <w:rPr>
          <w:rFonts w:ascii="Arial" w:hAnsi="Arial" w:cs="Arial"/>
        </w:rPr>
        <w:t xml:space="preserve"> </w:t>
      </w:r>
      <w:r w:rsidR="00A31135" w:rsidRPr="00A13612">
        <w:rPr>
          <w:rFonts w:ascii="Arial" w:hAnsi="Arial" w:cs="Arial"/>
        </w:rPr>
        <w:t>in the short run will be adjusted to</w:t>
      </w:r>
      <w:r w:rsidR="002673BB" w:rsidRPr="00A13612">
        <w:rPr>
          <w:rFonts w:ascii="Arial" w:hAnsi="Arial" w:cs="Arial"/>
        </w:rPr>
        <w:t>ward</w:t>
      </w:r>
      <w:r w:rsidR="00A31135" w:rsidRPr="00A13612">
        <w:rPr>
          <w:rFonts w:ascii="Arial" w:hAnsi="Arial" w:cs="Arial"/>
        </w:rPr>
        <w:t xml:space="preserve"> long-run equilibrium</w:t>
      </w:r>
      <w:r w:rsidR="002673BB" w:rsidRPr="00A13612">
        <w:rPr>
          <w:rFonts w:ascii="Arial" w:hAnsi="Arial" w:cs="Arial"/>
        </w:rPr>
        <w:t xml:space="preserve"> (cointegration)</w:t>
      </w:r>
      <w:r w:rsidR="00A31135" w:rsidRPr="00A13612">
        <w:rPr>
          <w:rFonts w:ascii="Arial" w:hAnsi="Arial" w:cs="Arial"/>
        </w:rPr>
        <w:t>.</w:t>
      </w:r>
      <w:r w:rsidRPr="00A13612">
        <w:rPr>
          <w:rFonts w:ascii="Arial" w:hAnsi="Arial" w:cs="Arial"/>
        </w:rPr>
        <w:t xml:space="preserve"> The estimated parameter of </w:t>
      </w:r>
      <w:r w:rsidRPr="00A13612">
        <w:rPr>
          <w:rFonts w:ascii="Arial" w:hAnsi="Arial" w:cs="Arial"/>
          <w:color w:val="000000"/>
        </w:rPr>
        <w:t>-1.00 represents that</w:t>
      </w:r>
      <w:r w:rsidR="00A31135" w:rsidRPr="00A13612">
        <w:rPr>
          <w:rFonts w:ascii="Arial" w:hAnsi="Arial" w:cs="Arial"/>
          <w:color w:val="000000"/>
        </w:rPr>
        <w:t xml:space="preserve"> the speed of adjustment is less than 1 year.</w:t>
      </w:r>
      <w:r w:rsidR="002673BB" w:rsidRPr="00A13612">
        <w:rPr>
          <w:rFonts w:ascii="Arial" w:hAnsi="Arial" w:cs="Arial"/>
          <w:color w:val="000000"/>
        </w:rPr>
        <w:t xml:space="preserve"> This finding also corroborates the Bounds test.</w:t>
      </w:r>
    </w:p>
    <w:p w14:paraId="7E4159E3" w14:textId="77777777" w:rsidR="00D345CF" w:rsidRPr="00A13612" w:rsidRDefault="00D345CF" w:rsidP="00EC40CA">
      <w:pPr>
        <w:jc w:val="both"/>
        <w:rPr>
          <w:rFonts w:ascii="Arial" w:hAnsi="Arial" w:cs="Arial"/>
          <w:color w:val="000000"/>
        </w:rPr>
      </w:pPr>
    </w:p>
    <w:p w14:paraId="36BBA11F" w14:textId="5C47DDC0" w:rsidR="00D345CF" w:rsidRPr="00A13612" w:rsidRDefault="00D345CF" w:rsidP="00D345CF">
      <w:pPr>
        <w:pStyle w:val="Body"/>
        <w:spacing w:after="0"/>
        <w:rPr>
          <w:rFonts w:ascii="Arial" w:hAnsi="Arial" w:cs="Arial"/>
          <w:b/>
          <w:sz w:val="22"/>
        </w:rPr>
      </w:pPr>
      <w:r w:rsidRPr="00A13612">
        <w:rPr>
          <w:rFonts w:ascii="Arial" w:hAnsi="Arial" w:cs="Arial"/>
          <w:b/>
          <w:caps/>
          <w:sz w:val="22"/>
        </w:rPr>
        <w:t xml:space="preserve">3.4 </w:t>
      </w:r>
      <w:r w:rsidRPr="00A13612">
        <w:rPr>
          <w:rFonts w:ascii="Arial" w:hAnsi="Arial" w:cs="Arial"/>
          <w:b/>
          <w:sz w:val="22"/>
        </w:rPr>
        <w:t xml:space="preserve">Diagnostic and Stability Tests </w:t>
      </w:r>
    </w:p>
    <w:p w14:paraId="5720ED0A" w14:textId="77777777" w:rsidR="00D345CF" w:rsidRPr="00A13612" w:rsidRDefault="00D345CF" w:rsidP="00D345CF">
      <w:pPr>
        <w:jc w:val="both"/>
        <w:rPr>
          <w:rFonts w:ascii="Arial" w:hAnsi="Arial" w:cs="Arial"/>
        </w:rPr>
      </w:pPr>
    </w:p>
    <w:p w14:paraId="5A75048B" w14:textId="612B3973" w:rsidR="00C04B87" w:rsidRPr="00A13612" w:rsidRDefault="00D345CF" w:rsidP="00D345CF">
      <w:pPr>
        <w:jc w:val="both"/>
        <w:rPr>
          <w:rFonts w:ascii="Arial" w:hAnsi="Arial" w:cs="Arial"/>
        </w:rPr>
      </w:pPr>
      <w:r w:rsidRPr="00A13612">
        <w:rPr>
          <w:rFonts w:ascii="Arial" w:hAnsi="Arial" w:cs="Arial"/>
        </w:rPr>
        <w:t xml:space="preserve">Having </w:t>
      </w:r>
      <w:r w:rsidR="009E5963" w:rsidRPr="00A13612">
        <w:rPr>
          <w:rFonts w:ascii="Arial" w:hAnsi="Arial" w:cs="Arial"/>
        </w:rPr>
        <w:t>worked</w:t>
      </w:r>
      <w:r w:rsidRPr="00A13612">
        <w:rPr>
          <w:rFonts w:ascii="Arial" w:hAnsi="Arial" w:cs="Arial"/>
        </w:rPr>
        <w:t xml:space="preserve"> with </w:t>
      </w:r>
      <w:r w:rsidR="009E5963" w:rsidRPr="00A13612">
        <w:rPr>
          <w:rFonts w:ascii="Arial" w:hAnsi="Arial" w:cs="Arial"/>
        </w:rPr>
        <w:t xml:space="preserve">the </w:t>
      </w:r>
      <w:r w:rsidRPr="00A13612">
        <w:rPr>
          <w:rFonts w:ascii="Arial" w:hAnsi="Arial" w:cs="Arial"/>
        </w:rPr>
        <w:t xml:space="preserve">ARDL-Bounds test, it is suggested </w:t>
      </w:r>
      <w:r w:rsidR="006630E5" w:rsidRPr="00A13612">
        <w:rPr>
          <w:rFonts w:ascii="Arial" w:hAnsi="Arial" w:cs="Arial"/>
        </w:rPr>
        <w:t>to perform diagnostic and stability tests</w:t>
      </w:r>
      <w:r w:rsidR="00C04B87" w:rsidRPr="00A13612">
        <w:rPr>
          <w:rFonts w:ascii="Arial" w:hAnsi="Arial" w:cs="Arial"/>
        </w:rPr>
        <w:t xml:space="preserve"> for the selected model</w:t>
      </w:r>
      <w:r w:rsidR="006630E5" w:rsidRPr="00A13612">
        <w:rPr>
          <w:rFonts w:ascii="Arial" w:hAnsi="Arial" w:cs="Arial"/>
        </w:rPr>
        <w:t xml:space="preserve">. Table </w:t>
      </w:r>
      <w:r w:rsidR="0042060D" w:rsidRPr="00A13612">
        <w:rPr>
          <w:rFonts w:ascii="Arial" w:hAnsi="Arial" w:cs="Arial"/>
        </w:rPr>
        <w:t>8</w:t>
      </w:r>
      <w:r w:rsidR="006630E5" w:rsidRPr="00A13612">
        <w:rPr>
          <w:rFonts w:ascii="Arial" w:hAnsi="Arial" w:cs="Arial"/>
        </w:rPr>
        <w:t xml:space="preserve"> </w:t>
      </w:r>
      <w:r w:rsidR="00C04B87" w:rsidRPr="00A13612">
        <w:rPr>
          <w:rFonts w:ascii="Arial" w:hAnsi="Arial" w:cs="Arial"/>
        </w:rPr>
        <w:t xml:space="preserve">jointly </w:t>
      </w:r>
      <w:r w:rsidR="006630E5" w:rsidRPr="00A13612">
        <w:rPr>
          <w:rFonts w:ascii="Arial" w:hAnsi="Arial" w:cs="Arial"/>
        </w:rPr>
        <w:t xml:space="preserve">presents the results of </w:t>
      </w:r>
      <w:r w:rsidR="009E5963" w:rsidRPr="00A13612">
        <w:rPr>
          <w:rFonts w:ascii="Arial" w:hAnsi="Arial" w:cs="Arial"/>
        </w:rPr>
        <w:t>diagnostic</w:t>
      </w:r>
      <w:r w:rsidR="006630E5" w:rsidRPr="00A13612">
        <w:rPr>
          <w:rFonts w:ascii="Arial" w:hAnsi="Arial" w:cs="Arial"/>
        </w:rPr>
        <w:t xml:space="preserve"> tests. </w:t>
      </w:r>
      <w:r w:rsidR="00C04B87" w:rsidRPr="00A13612">
        <w:rPr>
          <w:rFonts w:ascii="Arial" w:hAnsi="Arial" w:cs="Arial"/>
        </w:rPr>
        <w:t xml:space="preserve">The BP test fails to reject the H0, implying that the problem of serial correlation is not </w:t>
      </w:r>
      <w:r w:rsidR="009E5963" w:rsidRPr="00A13612">
        <w:rPr>
          <w:rFonts w:ascii="Arial" w:hAnsi="Arial" w:cs="Arial"/>
        </w:rPr>
        <w:t>evident</w:t>
      </w:r>
      <w:r w:rsidR="00C04B87" w:rsidRPr="00A13612">
        <w:rPr>
          <w:rFonts w:ascii="Arial" w:hAnsi="Arial" w:cs="Arial"/>
        </w:rPr>
        <w:t xml:space="preserve">. Next, the </w:t>
      </w:r>
      <w:proofErr w:type="spellStart"/>
      <w:r w:rsidR="00C04B87" w:rsidRPr="00A13612">
        <w:rPr>
          <w:rFonts w:ascii="Arial" w:hAnsi="Arial" w:cs="Arial"/>
        </w:rPr>
        <w:t>Glejser</w:t>
      </w:r>
      <w:proofErr w:type="spellEnd"/>
      <w:r w:rsidR="00C04B87" w:rsidRPr="00A13612">
        <w:rPr>
          <w:rFonts w:ascii="Arial" w:hAnsi="Arial" w:cs="Arial"/>
        </w:rPr>
        <w:t xml:space="preserve"> test also </w:t>
      </w:r>
      <w:r w:rsidR="009E5963" w:rsidRPr="00A13612">
        <w:rPr>
          <w:rFonts w:ascii="Arial" w:hAnsi="Arial" w:cs="Arial"/>
        </w:rPr>
        <w:t>signifies</w:t>
      </w:r>
      <w:r w:rsidR="00C04B87" w:rsidRPr="00A13612">
        <w:rPr>
          <w:rFonts w:ascii="Arial" w:hAnsi="Arial" w:cs="Arial"/>
        </w:rPr>
        <w:t xml:space="preserve"> that the problem of </w:t>
      </w:r>
      <w:r w:rsidR="009E5963" w:rsidRPr="00A13612">
        <w:rPr>
          <w:rFonts w:ascii="Arial" w:hAnsi="Arial" w:cs="Arial"/>
        </w:rPr>
        <w:t>heteroscedasticity</w:t>
      </w:r>
      <w:r w:rsidR="00C04B87" w:rsidRPr="00A13612">
        <w:rPr>
          <w:rFonts w:ascii="Arial" w:hAnsi="Arial" w:cs="Arial"/>
        </w:rPr>
        <w:t xml:space="preserve"> is not confirmed</w:t>
      </w:r>
      <w:r w:rsidR="009E5963" w:rsidRPr="00A13612">
        <w:rPr>
          <w:rFonts w:ascii="Arial" w:hAnsi="Arial" w:cs="Arial"/>
        </w:rPr>
        <w:t>,</w:t>
      </w:r>
      <w:r w:rsidR="00C04B87" w:rsidRPr="00A13612">
        <w:rPr>
          <w:rFonts w:ascii="Arial" w:hAnsi="Arial" w:cs="Arial"/>
        </w:rPr>
        <w:t xml:space="preserve"> </w:t>
      </w:r>
      <w:r w:rsidR="009E5963" w:rsidRPr="00A13612">
        <w:rPr>
          <w:rFonts w:ascii="Arial" w:hAnsi="Arial" w:cs="Arial"/>
        </w:rPr>
        <w:t>since its p-value exceeds the 5% significance level</w:t>
      </w:r>
      <w:r w:rsidR="00C04B87" w:rsidRPr="00A13612">
        <w:rPr>
          <w:rFonts w:ascii="Arial" w:hAnsi="Arial" w:cs="Arial"/>
        </w:rPr>
        <w:t xml:space="preserve">. The JB test, </w:t>
      </w:r>
      <w:r w:rsidR="009E5963" w:rsidRPr="00A13612">
        <w:rPr>
          <w:rFonts w:ascii="Arial" w:hAnsi="Arial" w:cs="Arial"/>
        </w:rPr>
        <w:t>considering</w:t>
      </w:r>
      <w:r w:rsidR="00C04B87" w:rsidRPr="00A13612">
        <w:rPr>
          <w:rFonts w:ascii="Arial" w:hAnsi="Arial" w:cs="Arial"/>
        </w:rPr>
        <w:t xml:space="preserve"> a 5% </w:t>
      </w:r>
      <w:r w:rsidR="009E5963" w:rsidRPr="00A13612">
        <w:rPr>
          <w:rFonts w:ascii="Arial" w:hAnsi="Arial" w:cs="Arial"/>
        </w:rPr>
        <w:t>critical</w:t>
      </w:r>
      <w:r w:rsidR="00C04B87" w:rsidRPr="00A13612">
        <w:rPr>
          <w:rFonts w:ascii="Arial" w:hAnsi="Arial" w:cs="Arial"/>
        </w:rPr>
        <w:t xml:space="preserve"> value, denotes that errors are </w:t>
      </w:r>
      <w:r w:rsidR="009E5963" w:rsidRPr="00A13612">
        <w:rPr>
          <w:rFonts w:ascii="Arial" w:hAnsi="Arial" w:cs="Arial"/>
        </w:rPr>
        <w:t>normally</w:t>
      </w:r>
      <w:r w:rsidR="00C04B87" w:rsidRPr="00A13612">
        <w:rPr>
          <w:rFonts w:ascii="Arial" w:hAnsi="Arial" w:cs="Arial"/>
        </w:rPr>
        <w:t xml:space="preserve"> distributed.</w:t>
      </w:r>
    </w:p>
    <w:p w14:paraId="54992F69" w14:textId="77777777" w:rsidR="00B0264E" w:rsidRPr="00A13612" w:rsidRDefault="00B0264E" w:rsidP="00D345CF">
      <w:pPr>
        <w:jc w:val="both"/>
        <w:rPr>
          <w:rFonts w:ascii="Arial" w:hAnsi="Arial" w:cs="Arial"/>
        </w:rPr>
      </w:pPr>
    </w:p>
    <w:p w14:paraId="305B88CD" w14:textId="2F74EBA9" w:rsidR="00B0264E" w:rsidRPr="00A13612" w:rsidRDefault="00B0264E" w:rsidP="00B0264E">
      <w:pPr>
        <w:tabs>
          <w:tab w:val="left" w:pos="1080"/>
        </w:tabs>
        <w:jc w:val="both"/>
        <w:rPr>
          <w:rFonts w:ascii="Arial" w:hAnsi="Arial" w:cs="Arial"/>
        </w:rPr>
      </w:pPr>
      <w:r w:rsidRPr="00A13612">
        <w:rPr>
          <w:rFonts w:ascii="Arial" w:hAnsi="Arial" w:cs="Arial"/>
          <w:b/>
        </w:rPr>
        <w:t xml:space="preserve">Table </w:t>
      </w:r>
      <w:r w:rsidR="0042060D" w:rsidRPr="00A13612">
        <w:rPr>
          <w:rFonts w:ascii="Arial" w:hAnsi="Arial" w:cs="Arial"/>
          <w:b/>
        </w:rPr>
        <w:t>8</w:t>
      </w:r>
      <w:r w:rsidRPr="00A13612">
        <w:rPr>
          <w:rFonts w:ascii="Arial" w:hAnsi="Arial" w:cs="Arial"/>
          <w:b/>
        </w:rPr>
        <w:t>. Diagnostic Test Results</w:t>
      </w:r>
    </w:p>
    <w:p w14:paraId="27FCE078" w14:textId="77777777" w:rsidR="00C04B87" w:rsidRPr="00A13612" w:rsidRDefault="00C04B87" w:rsidP="00D345CF">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3431"/>
        <w:gridCol w:w="1558"/>
        <w:gridCol w:w="1615"/>
      </w:tblGrid>
      <w:tr w:rsidR="00C04B87" w:rsidRPr="00A13612" w14:paraId="6ED3D864" w14:textId="77777777" w:rsidTr="00B0264E">
        <w:tc>
          <w:tcPr>
            <w:tcW w:w="1638" w:type="dxa"/>
            <w:tcBorders>
              <w:top w:val="single" w:sz="4" w:space="0" w:color="auto"/>
              <w:bottom w:val="single" w:sz="4" w:space="0" w:color="auto"/>
            </w:tcBorders>
          </w:tcPr>
          <w:p w14:paraId="51387D60" w14:textId="296E721F" w:rsidR="00C04B87" w:rsidRPr="00A13612" w:rsidRDefault="00B0264E" w:rsidP="00B0264E">
            <w:pPr>
              <w:jc w:val="center"/>
              <w:rPr>
                <w:rFonts w:ascii="Arial" w:hAnsi="Arial" w:cs="Arial"/>
                <w:b/>
                <w:bCs/>
                <w:sz w:val="20"/>
                <w:szCs w:val="20"/>
              </w:rPr>
            </w:pPr>
            <w:r w:rsidRPr="00A13612">
              <w:rPr>
                <w:rFonts w:ascii="Arial" w:hAnsi="Arial" w:cs="Arial"/>
                <w:b/>
                <w:bCs/>
                <w:sz w:val="20"/>
                <w:szCs w:val="20"/>
              </w:rPr>
              <w:t>Test</w:t>
            </w:r>
          </w:p>
        </w:tc>
        <w:tc>
          <w:tcPr>
            <w:tcW w:w="3522" w:type="dxa"/>
            <w:tcBorders>
              <w:top w:val="single" w:sz="4" w:space="0" w:color="auto"/>
              <w:bottom w:val="single" w:sz="4" w:space="0" w:color="auto"/>
            </w:tcBorders>
          </w:tcPr>
          <w:p w14:paraId="7F2E9D05" w14:textId="3ADEC6E2" w:rsidR="00C04B87" w:rsidRPr="00A13612" w:rsidRDefault="00B0264E" w:rsidP="008D6553">
            <w:pPr>
              <w:jc w:val="center"/>
              <w:rPr>
                <w:rFonts w:ascii="Arial" w:hAnsi="Arial" w:cs="Arial"/>
                <w:b/>
                <w:bCs/>
                <w:sz w:val="20"/>
                <w:szCs w:val="20"/>
              </w:rPr>
            </w:pPr>
            <w:r w:rsidRPr="00A13612">
              <w:rPr>
                <w:rFonts w:ascii="Arial" w:hAnsi="Arial" w:cs="Arial"/>
                <w:b/>
                <w:bCs/>
                <w:sz w:val="20"/>
                <w:szCs w:val="20"/>
              </w:rPr>
              <w:t>H0</w:t>
            </w:r>
          </w:p>
        </w:tc>
        <w:tc>
          <w:tcPr>
            <w:tcW w:w="1602" w:type="dxa"/>
            <w:tcBorders>
              <w:top w:val="single" w:sz="4" w:space="0" w:color="auto"/>
              <w:bottom w:val="single" w:sz="4" w:space="0" w:color="auto"/>
            </w:tcBorders>
          </w:tcPr>
          <w:p w14:paraId="3A4ABE28" w14:textId="77777777" w:rsidR="00C04B87" w:rsidRPr="00A13612" w:rsidRDefault="00C04B87" w:rsidP="008D6553">
            <w:pPr>
              <w:jc w:val="center"/>
              <w:rPr>
                <w:rFonts w:ascii="Arial" w:hAnsi="Arial" w:cs="Arial"/>
                <w:b/>
                <w:bCs/>
                <w:sz w:val="20"/>
                <w:szCs w:val="20"/>
              </w:rPr>
            </w:pPr>
            <w:proofErr w:type="spellStart"/>
            <w:r w:rsidRPr="00A13612">
              <w:rPr>
                <w:rFonts w:ascii="Arial" w:hAnsi="Arial" w:cs="Arial"/>
                <w:b/>
                <w:bCs/>
                <w:sz w:val="20"/>
                <w:szCs w:val="20"/>
              </w:rPr>
              <w:t>df</w:t>
            </w:r>
            <w:proofErr w:type="spellEnd"/>
          </w:p>
        </w:tc>
        <w:tc>
          <w:tcPr>
            <w:tcW w:w="1662" w:type="dxa"/>
            <w:tcBorders>
              <w:top w:val="single" w:sz="4" w:space="0" w:color="auto"/>
              <w:bottom w:val="single" w:sz="4" w:space="0" w:color="auto"/>
            </w:tcBorders>
          </w:tcPr>
          <w:p w14:paraId="606DC964" w14:textId="77777777" w:rsidR="00C04B87" w:rsidRPr="00A13612" w:rsidRDefault="00C04B87" w:rsidP="008D6553">
            <w:pPr>
              <w:jc w:val="center"/>
              <w:rPr>
                <w:rFonts w:ascii="Arial" w:hAnsi="Arial" w:cs="Arial"/>
                <w:b/>
                <w:bCs/>
                <w:sz w:val="20"/>
                <w:szCs w:val="20"/>
              </w:rPr>
            </w:pPr>
            <w:r w:rsidRPr="00A13612">
              <w:rPr>
                <w:rFonts w:ascii="Arial" w:hAnsi="Arial" w:cs="Arial"/>
                <w:b/>
                <w:bCs/>
                <w:sz w:val="20"/>
                <w:szCs w:val="20"/>
              </w:rPr>
              <w:t>p-value</w:t>
            </w:r>
          </w:p>
        </w:tc>
      </w:tr>
      <w:tr w:rsidR="00C04B87" w:rsidRPr="00A13612" w14:paraId="7B301479" w14:textId="77777777" w:rsidTr="00B0264E">
        <w:tc>
          <w:tcPr>
            <w:tcW w:w="1638" w:type="dxa"/>
            <w:tcBorders>
              <w:top w:val="single" w:sz="4" w:space="0" w:color="auto"/>
            </w:tcBorders>
            <w:vAlign w:val="bottom"/>
          </w:tcPr>
          <w:p w14:paraId="50217714" w14:textId="08CE9B7F" w:rsidR="00C04B87" w:rsidRPr="00A13612" w:rsidRDefault="00C04B87" w:rsidP="00C04B87">
            <w:pPr>
              <w:jc w:val="center"/>
              <w:rPr>
                <w:rFonts w:ascii="Arial" w:hAnsi="Arial" w:cs="Arial"/>
                <w:sz w:val="20"/>
                <w:szCs w:val="20"/>
              </w:rPr>
            </w:pPr>
            <w:r w:rsidRPr="00A13612">
              <w:rPr>
                <w:rFonts w:ascii="Arial" w:hAnsi="Arial" w:cs="Arial"/>
                <w:sz w:val="20"/>
                <w:szCs w:val="20"/>
              </w:rPr>
              <w:t>Breusch-Pagan</w:t>
            </w:r>
          </w:p>
        </w:tc>
        <w:tc>
          <w:tcPr>
            <w:tcW w:w="3522" w:type="dxa"/>
            <w:tcBorders>
              <w:top w:val="single" w:sz="4" w:space="0" w:color="auto"/>
            </w:tcBorders>
            <w:vAlign w:val="bottom"/>
          </w:tcPr>
          <w:p w14:paraId="2EE212C2" w14:textId="6243B491" w:rsidR="00C04B87" w:rsidRPr="00A13612" w:rsidRDefault="00B0264E" w:rsidP="00C04B87">
            <w:pPr>
              <w:jc w:val="center"/>
              <w:rPr>
                <w:rFonts w:ascii="Arial" w:hAnsi="Arial" w:cs="Arial"/>
                <w:sz w:val="20"/>
                <w:szCs w:val="20"/>
              </w:rPr>
            </w:pPr>
            <w:r w:rsidRPr="00A13612">
              <w:rPr>
                <w:rFonts w:ascii="Arial" w:hAnsi="Arial" w:cs="Arial"/>
                <w:sz w:val="20"/>
                <w:szCs w:val="20"/>
              </w:rPr>
              <w:t xml:space="preserve">No serial correlation </w:t>
            </w:r>
          </w:p>
        </w:tc>
        <w:tc>
          <w:tcPr>
            <w:tcW w:w="1602" w:type="dxa"/>
            <w:tcBorders>
              <w:top w:val="single" w:sz="4" w:space="0" w:color="auto"/>
            </w:tcBorders>
            <w:vAlign w:val="bottom"/>
          </w:tcPr>
          <w:p w14:paraId="31F663CF" w14:textId="0BE29895" w:rsidR="00C04B87" w:rsidRPr="00A13612" w:rsidRDefault="00C04B87" w:rsidP="00C04B87">
            <w:pPr>
              <w:jc w:val="center"/>
              <w:rPr>
                <w:rFonts w:ascii="Arial" w:hAnsi="Arial" w:cs="Arial"/>
                <w:sz w:val="20"/>
                <w:szCs w:val="20"/>
              </w:rPr>
            </w:pPr>
            <w:r w:rsidRPr="00A13612">
              <w:rPr>
                <w:rFonts w:ascii="Aptos Narrow" w:hAnsi="Aptos Narrow"/>
                <w:color w:val="000000"/>
                <w:sz w:val="20"/>
                <w:szCs w:val="20"/>
              </w:rPr>
              <w:t>0.0580</w:t>
            </w:r>
          </w:p>
        </w:tc>
        <w:tc>
          <w:tcPr>
            <w:tcW w:w="1662" w:type="dxa"/>
            <w:tcBorders>
              <w:top w:val="single" w:sz="4" w:space="0" w:color="auto"/>
            </w:tcBorders>
            <w:vAlign w:val="bottom"/>
          </w:tcPr>
          <w:p w14:paraId="545FD30A" w14:textId="33D4AEC8" w:rsidR="00C04B87" w:rsidRPr="00A13612" w:rsidRDefault="00C04B87" w:rsidP="00C04B87">
            <w:pPr>
              <w:jc w:val="center"/>
              <w:rPr>
                <w:rFonts w:ascii="Arial" w:hAnsi="Arial" w:cs="Arial"/>
                <w:sz w:val="20"/>
                <w:szCs w:val="20"/>
              </w:rPr>
            </w:pPr>
            <w:r w:rsidRPr="00A13612">
              <w:rPr>
                <w:rFonts w:ascii="Aptos Narrow" w:hAnsi="Aptos Narrow"/>
                <w:color w:val="000000"/>
                <w:sz w:val="20"/>
                <w:szCs w:val="20"/>
              </w:rPr>
              <w:t>0.9438</w:t>
            </w:r>
          </w:p>
        </w:tc>
      </w:tr>
      <w:tr w:rsidR="00C04B87" w:rsidRPr="00A13612" w14:paraId="289DC324" w14:textId="77777777" w:rsidTr="00B0264E">
        <w:tc>
          <w:tcPr>
            <w:tcW w:w="1638" w:type="dxa"/>
            <w:vAlign w:val="bottom"/>
          </w:tcPr>
          <w:p w14:paraId="7E8E7118" w14:textId="602F44BA" w:rsidR="00C04B87" w:rsidRPr="00A13612" w:rsidRDefault="00C04B87" w:rsidP="00C04B87">
            <w:pPr>
              <w:jc w:val="center"/>
              <w:rPr>
                <w:rFonts w:ascii="Arial" w:hAnsi="Arial" w:cs="Arial"/>
                <w:sz w:val="20"/>
                <w:szCs w:val="20"/>
              </w:rPr>
            </w:pPr>
            <w:proofErr w:type="spellStart"/>
            <w:r w:rsidRPr="00A13612">
              <w:rPr>
                <w:rFonts w:ascii="Arial" w:hAnsi="Arial" w:cs="Arial"/>
                <w:sz w:val="20"/>
                <w:szCs w:val="20"/>
              </w:rPr>
              <w:t>Glejser</w:t>
            </w:r>
            <w:proofErr w:type="spellEnd"/>
          </w:p>
        </w:tc>
        <w:tc>
          <w:tcPr>
            <w:tcW w:w="3522" w:type="dxa"/>
            <w:vAlign w:val="bottom"/>
          </w:tcPr>
          <w:p w14:paraId="3995B1C3" w14:textId="1CFEF30E" w:rsidR="00C04B87" w:rsidRPr="00A13612" w:rsidRDefault="00B0264E" w:rsidP="00C04B87">
            <w:pPr>
              <w:jc w:val="center"/>
              <w:rPr>
                <w:rFonts w:ascii="Arial" w:hAnsi="Arial" w:cs="Arial"/>
                <w:sz w:val="20"/>
                <w:szCs w:val="20"/>
              </w:rPr>
            </w:pPr>
            <w:r w:rsidRPr="00A13612">
              <w:rPr>
                <w:rFonts w:ascii="Arial" w:hAnsi="Arial" w:cs="Arial"/>
                <w:sz w:val="20"/>
                <w:szCs w:val="20"/>
              </w:rPr>
              <w:t>No heteroscedasticity</w:t>
            </w:r>
          </w:p>
        </w:tc>
        <w:tc>
          <w:tcPr>
            <w:tcW w:w="1602" w:type="dxa"/>
            <w:vAlign w:val="bottom"/>
          </w:tcPr>
          <w:p w14:paraId="3ED14C0C" w14:textId="58EE941D" w:rsidR="00C04B87" w:rsidRPr="00A13612" w:rsidRDefault="00C04B87" w:rsidP="00C04B87">
            <w:pPr>
              <w:jc w:val="center"/>
              <w:rPr>
                <w:rFonts w:ascii="Arial" w:hAnsi="Arial" w:cs="Arial"/>
                <w:sz w:val="20"/>
                <w:szCs w:val="20"/>
              </w:rPr>
            </w:pPr>
            <w:r w:rsidRPr="00A13612">
              <w:rPr>
                <w:rFonts w:ascii="Aptos Narrow" w:hAnsi="Aptos Narrow"/>
                <w:color w:val="000000"/>
                <w:sz w:val="20"/>
                <w:szCs w:val="20"/>
              </w:rPr>
              <w:t>0.5906</w:t>
            </w:r>
          </w:p>
        </w:tc>
        <w:tc>
          <w:tcPr>
            <w:tcW w:w="1662" w:type="dxa"/>
            <w:vAlign w:val="bottom"/>
          </w:tcPr>
          <w:p w14:paraId="7E5F49C3" w14:textId="64D1CAAB" w:rsidR="00C04B87" w:rsidRPr="00A13612" w:rsidRDefault="00C04B87" w:rsidP="00C04B87">
            <w:pPr>
              <w:jc w:val="center"/>
              <w:rPr>
                <w:rFonts w:ascii="Arial" w:hAnsi="Arial" w:cs="Arial"/>
                <w:sz w:val="20"/>
                <w:szCs w:val="20"/>
              </w:rPr>
            </w:pPr>
            <w:r w:rsidRPr="00A13612">
              <w:rPr>
                <w:rFonts w:ascii="Aptos Narrow" w:hAnsi="Aptos Narrow"/>
                <w:color w:val="000000"/>
                <w:sz w:val="20"/>
                <w:szCs w:val="20"/>
              </w:rPr>
              <w:t>0.7772</w:t>
            </w:r>
          </w:p>
        </w:tc>
      </w:tr>
      <w:tr w:rsidR="00C04B87" w:rsidRPr="00A13612" w14:paraId="073C7612" w14:textId="77777777" w:rsidTr="00B0264E">
        <w:tc>
          <w:tcPr>
            <w:tcW w:w="1638" w:type="dxa"/>
            <w:tcBorders>
              <w:bottom w:val="single" w:sz="4" w:space="0" w:color="auto"/>
            </w:tcBorders>
            <w:vAlign w:val="bottom"/>
          </w:tcPr>
          <w:p w14:paraId="4753F4F3" w14:textId="227F62FE" w:rsidR="00C04B87" w:rsidRPr="00A13612" w:rsidRDefault="00C04B87" w:rsidP="00C04B87">
            <w:pPr>
              <w:jc w:val="center"/>
              <w:rPr>
                <w:rFonts w:ascii="Arial" w:hAnsi="Arial" w:cs="Arial"/>
                <w:sz w:val="20"/>
                <w:szCs w:val="20"/>
              </w:rPr>
            </w:pPr>
            <w:r w:rsidRPr="00A13612">
              <w:rPr>
                <w:rFonts w:ascii="Arial" w:hAnsi="Arial" w:cs="Arial"/>
                <w:sz w:val="20"/>
                <w:szCs w:val="20"/>
              </w:rPr>
              <w:t>Jarque-</w:t>
            </w:r>
            <w:proofErr w:type="spellStart"/>
            <w:r w:rsidRPr="00A13612">
              <w:rPr>
                <w:rFonts w:ascii="Arial" w:hAnsi="Arial" w:cs="Arial"/>
                <w:sz w:val="20"/>
                <w:szCs w:val="20"/>
              </w:rPr>
              <w:t>bera</w:t>
            </w:r>
            <w:proofErr w:type="spellEnd"/>
          </w:p>
        </w:tc>
        <w:tc>
          <w:tcPr>
            <w:tcW w:w="3522" w:type="dxa"/>
            <w:tcBorders>
              <w:bottom w:val="single" w:sz="4" w:space="0" w:color="auto"/>
            </w:tcBorders>
            <w:vAlign w:val="bottom"/>
          </w:tcPr>
          <w:p w14:paraId="7AE8E2F1" w14:textId="056CE908" w:rsidR="00C04B87" w:rsidRPr="00A13612" w:rsidRDefault="00B0264E" w:rsidP="00C04B87">
            <w:pPr>
              <w:jc w:val="center"/>
              <w:rPr>
                <w:rFonts w:ascii="Arial" w:hAnsi="Arial" w:cs="Arial"/>
                <w:sz w:val="20"/>
                <w:szCs w:val="20"/>
              </w:rPr>
            </w:pPr>
            <w:r w:rsidRPr="00A13612">
              <w:rPr>
                <w:rFonts w:ascii="Arial" w:hAnsi="Arial" w:cs="Arial"/>
                <w:sz w:val="20"/>
                <w:szCs w:val="20"/>
              </w:rPr>
              <w:t>Errors exhibit normal distribution</w:t>
            </w:r>
          </w:p>
        </w:tc>
        <w:tc>
          <w:tcPr>
            <w:tcW w:w="1602" w:type="dxa"/>
            <w:tcBorders>
              <w:bottom w:val="single" w:sz="4" w:space="0" w:color="auto"/>
            </w:tcBorders>
            <w:vAlign w:val="bottom"/>
          </w:tcPr>
          <w:p w14:paraId="5357417E" w14:textId="6FBEB53E" w:rsidR="00C04B87" w:rsidRPr="00A13612" w:rsidRDefault="00C04B87" w:rsidP="00C04B87">
            <w:pPr>
              <w:jc w:val="center"/>
              <w:rPr>
                <w:rFonts w:ascii="Arial" w:hAnsi="Arial" w:cs="Arial"/>
                <w:sz w:val="20"/>
                <w:szCs w:val="20"/>
              </w:rPr>
            </w:pPr>
            <w:r w:rsidRPr="00A13612">
              <w:rPr>
                <w:rFonts w:ascii="Aptos Narrow" w:hAnsi="Aptos Narrow"/>
                <w:color w:val="000000"/>
                <w:sz w:val="20"/>
                <w:szCs w:val="20"/>
              </w:rPr>
              <w:t>5.8726</w:t>
            </w:r>
          </w:p>
        </w:tc>
        <w:tc>
          <w:tcPr>
            <w:tcW w:w="1662" w:type="dxa"/>
            <w:tcBorders>
              <w:bottom w:val="single" w:sz="4" w:space="0" w:color="auto"/>
            </w:tcBorders>
            <w:vAlign w:val="bottom"/>
          </w:tcPr>
          <w:p w14:paraId="5578680C" w14:textId="52C90544" w:rsidR="00C04B87" w:rsidRPr="00A13612" w:rsidRDefault="00C04B87" w:rsidP="00C04B87">
            <w:pPr>
              <w:jc w:val="center"/>
              <w:rPr>
                <w:rFonts w:ascii="Arial" w:hAnsi="Arial" w:cs="Arial"/>
                <w:sz w:val="20"/>
                <w:szCs w:val="20"/>
              </w:rPr>
            </w:pPr>
            <w:r w:rsidRPr="00A13612">
              <w:rPr>
                <w:rFonts w:ascii="Aptos Narrow" w:hAnsi="Aptos Narrow"/>
                <w:color w:val="000000"/>
                <w:sz w:val="20"/>
                <w:szCs w:val="20"/>
              </w:rPr>
              <w:t>0.0531</w:t>
            </w:r>
          </w:p>
        </w:tc>
      </w:tr>
    </w:tbl>
    <w:p w14:paraId="513AA5B1" w14:textId="77777777" w:rsidR="00C04B87" w:rsidRPr="00A13612" w:rsidRDefault="00C04B87" w:rsidP="00D345CF">
      <w:pPr>
        <w:jc w:val="both"/>
        <w:rPr>
          <w:rFonts w:ascii="Arial" w:hAnsi="Arial" w:cs="Arial"/>
        </w:rPr>
      </w:pPr>
    </w:p>
    <w:p w14:paraId="4776B53E" w14:textId="73B5CF80" w:rsidR="00B0264E" w:rsidRPr="00A13612" w:rsidRDefault="00B0264E" w:rsidP="00B0264E">
      <w:pPr>
        <w:jc w:val="both"/>
        <w:rPr>
          <w:rFonts w:ascii="Arial" w:hAnsi="Arial" w:cs="Arial"/>
        </w:rPr>
      </w:pPr>
      <w:r w:rsidRPr="00A13612">
        <w:rPr>
          <w:rFonts w:ascii="Arial" w:hAnsi="Arial" w:cs="Arial"/>
        </w:rPr>
        <w:t>In terms of the stability analysis of the ARDL (</w:t>
      </w:r>
      <w:proofErr w:type="spellStart"/>
      <w:proofErr w:type="gramStart"/>
      <w:r w:rsidRPr="00A13612">
        <w:rPr>
          <w:rFonts w:ascii="Arial" w:hAnsi="Arial" w:cs="Arial"/>
        </w:rPr>
        <w:t>p,q</w:t>
      </w:r>
      <w:proofErr w:type="spellEnd"/>
      <w:proofErr w:type="gramEnd"/>
      <w:r w:rsidRPr="00A13612">
        <w:rPr>
          <w:rFonts w:ascii="Arial" w:hAnsi="Arial" w:cs="Arial"/>
        </w:rPr>
        <w:t xml:space="preserve">) model, this study relies on the cumulative sum approaches. Figures 3 and 4 </w:t>
      </w:r>
      <w:r w:rsidR="009E5963" w:rsidRPr="00A13612">
        <w:rPr>
          <w:rFonts w:ascii="Arial" w:hAnsi="Arial" w:cs="Arial"/>
        </w:rPr>
        <w:t>present</w:t>
      </w:r>
      <w:r w:rsidRPr="00A13612">
        <w:rPr>
          <w:rFonts w:ascii="Arial" w:hAnsi="Arial" w:cs="Arial"/>
        </w:rPr>
        <w:t xml:space="preserve"> the results of </w:t>
      </w:r>
      <w:r w:rsidR="009E5963" w:rsidRPr="00A13612">
        <w:rPr>
          <w:rFonts w:ascii="Arial" w:hAnsi="Arial" w:cs="Arial"/>
        </w:rPr>
        <w:t xml:space="preserve">the </w:t>
      </w:r>
      <w:r w:rsidRPr="00A13612">
        <w:rPr>
          <w:rFonts w:ascii="Arial" w:hAnsi="Arial" w:cs="Arial"/>
        </w:rPr>
        <w:t xml:space="preserve">cumulative sum (CUSUM) and cumulative sum squares (CUSUMSQ) of recursive residual tests. </w:t>
      </w:r>
      <w:r w:rsidR="009E5963" w:rsidRPr="00A13612">
        <w:rPr>
          <w:rFonts w:ascii="Arial" w:hAnsi="Arial" w:cs="Arial"/>
        </w:rPr>
        <w:t>These</w:t>
      </w:r>
      <w:r w:rsidRPr="00A13612">
        <w:rPr>
          <w:rFonts w:ascii="Arial" w:hAnsi="Arial" w:cs="Arial"/>
        </w:rPr>
        <w:t xml:space="preserve"> estimations </w:t>
      </w:r>
      <w:r w:rsidR="009E5963" w:rsidRPr="00A13612">
        <w:rPr>
          <w:rFonts w:ascii="Arial" w:hAnsi="Arial" w:cs="Arial"/>
        </w:rPr>
        <w:t xml:space="preserve">are </w:t>
      </w:r>
      <w:r w:rsidRPr="00A13612">
        <w:rPr>
          <w:rFonts w:ascii="Arial" w:hAnsi="Arial" w:cs="Arial"/>
        </w:rPr>
        <w:lastRenderedPageBreak/>
        <w:t xml:space="preserve">based on 5% </w:t>
      </w:r>
      <w:r w:rsidR="009E5963" w:rsidRPr="00A13612">
        <w:rPr>
          <w:rFonts w:ascii="Arial" w:hAnsi="Arial" w:cs="Arial"/>
        </w:rPr>
        <w:t>critical</w:t>
      </w:r>
      <w:r w:rsidRPr="00A13612">
        <w:rPr>
          <w:rFonts w:ascii="Arial" w:hAnsi="Arial" w:cs="Arial"/>
        </w:rPr>
        <w:t xml:space="preserve"> values. The blue plots in the CUSUM and CUSUMSQ tests fluctuate within the </w:t>
      </w:r>
      <w:r w:rsidR="009E5963" w:rsidRPr="00A13612">
        <w:rPr>
          <w:rFonts w:ascii="Arial" w:hAnsi="Arial" w:cs="Arial"/>
        </w:rPr>
        <w:t>critical</w:t>
      </w:r>
      <w:r w:rsidRPr="00A13612">
        <w:rPr>
          <w:rFonts w:ascii="Arial" w:hAnsi="Arial" w:cs="Arial"/>
        </w:rPr>
        <w:t xml:space="preserve"> value. </w:t>
      </w:r>
      <w:r w:rsidR="009E5963" w:rsidRPr="00A13612">
        <w:rPr>
          <w:rFonts w:ascii="Arial" w:hAnsi="Arial" w:cs="Arial"/>
        </w:rPr>
        <w:t>Thus,</w:t>
      </w:r>
      <w:r w:rsidRPr="00A13612">
        <w:rPr>
          <w:rFonts w:ascii="Arial" w:hAnsi="Arial" w:cs="Arial"/>
        </w:rPr>
        <w:t xml:space="preserve"> it can be concluded that the estimated </w:t>
      </w:r>
      <w:r w:rsidR="009E5963" w:rsidRPr="00A13612">
        <w:rPr>
          <w:rFonts w:ascii="Arial" w:hAnsi="Arial" w:cs="Arial"/>
        </w:rPr>
        <w:t>parameters</w:t>
      </w:r>
      <w:r w:rsidRPr="00A13612">
        <w:rPr>
          <w:rFonts w:ascii="Arial" w:hAnsi="Arial" w:cs="Arial"/>
        </w:rPr>
        <w:t xml:space="preserve"> obtained from the ARDL (2,0,2,0,0,) are stable. </w:t>
      </w:r>
    </w:p>
    <w:p w14:paraId="7A71FA14" w14:textId="77777777" w:rsidR="00B0264E" w:rsidRPr="00A13612" w:rsidRDefault="00B0264E" w:rsidP="00D345CF">
      <w:pPr>
        <w:jc w:val="both"/>
      </w:pPr>
    </w:p>
    <w:p w14:paraId="0E598D5E" w14:textId="01E7F839" w:rsidR="00C04B87" w:rsidRPr="00A13612" w:rsidRDefault="00AB7482" w:rsidP="00D345CF">
      <w:pPr>
        <w:jc w:val="both"/>
      </w:pPr>
      <w:r w:rsidRPr="00A13612">
        <w:object w:dxaOrig="7330" w:dyaOrig="5390" w14:anchorId="614B81E7">
          <v:shape id="_x0000_i1027" type="#_x0000_t75" style="width:200.25pt;height:147pt" o:ole="">
            <v:imagedata r:id="rId12" o:title=""/>
          </v:shape>
          <o:OLEObject Type="Embed" ProgID="EViews.Workfile.2" ShapeID="_x0000_i1027" DrawAspect="Content" ObjectID="_1807345736" r:id="rId13"/>
        </w:object>
      </w:r>
    </w:p>
    <w:p w14:paraId="49ECB8AA" w14:textId="77777777" w:rsidR="0042060D" w:rsidRPr="00A13612" w:rsidRDefault="0042060D" w:rsidP="00D345CF">
      <w:pPr>
        <w:jc w:val="both"/>
      </w:pPr>
    </w:p>
    <w:p w14:paraId="67C46ED0" w14:textId="55C162EC" w:rsidR="00B0264E" w:rsidRPr="00A13612" w:rsidRDefault="00B0264E" w:rsidP="00B0264E">
      <w:pPr>
        <w:autoSpaceDE w:val="0"/>
        <w:autoSpaceDN w:val="0"/>
        <w:adjustRightInd w:val="0"/>
        <w:jc w:val="both"/>
        <w:rPr>
          <w:rFonts w:ascii="Arial" w:hAnsi="Arial" w:cs="Arial"/>
          <w:b/>
          <w:bCs/>
          <w:szCs w:val="22"/>
        </w:rPr>
      </w:pPr>
      <w:r w:rsidRPr="00A13612">
        <w:rPr>
          <w:rFonts w:ascii="Arial" w:hAnsi="Arial" w:cs="Arial"/>
          <w:b/>
          <w:bCs/>
          <w:szCs w:val="22"/>
        </w:rPr>
        <w:t>Fig. 3. The CUSUM Test Result</w:t>
      </w:r>
    </w:p>
    <w:p w14:paraId="61A95C70" w14:textId="77777777" w:rsidR="00B0264E" w:rsidRPr="00A13612" w:rsidRDefault="00B0264E" w:rsidP="00D345CF">
      <w:pPr>
        <w:jc w:val="both"/>
      </w:pPr>
    </w:p>
    <w:p w14:paraId="5A012B5A" w14:textId="3A7AD0B5" w:rsidR="00B0264E" w:rsidRPr="00A13612" w:rsidRDefault="00AB7482" w:rsidP="00D345CF">
      <w:pPr>
        <w:jc w:val="both"/>
      </w:pPr>
      <w:r w:rsidRPr="00A13612">
        <w:object w:dxaOrig="7410" w:dyaOrig="5390" w14:anchorId="71CBAFE1">
          <v:shape id="_x0000_i1028" type="#_x0000_t75" style="width:201.75pt;height:147pt" o:ole="">
            <v:imagedata r:id="rId14" o:title=""/>
          </v:shape>
          <o:OLEObject Type="Embed" ProgID="EViews.Workfile.2" ShapeID="_x0000_i1028" DrawAspect="Content" ObjectID="_1807345737" r:id="rId15"/>
        </w:object>
      </w:r>
    </w:p>
    <w:p w14:paraId="07428155" w14:textId="77777777" w:rsidR="0042060D" w:rsidRPr="00A13612" w:rsidRDefault="0042060D" w:rsidP="00D345CF">
      <w:pPr>
        <w:jc w:val="both"/>
      </w:pPr>
    </w:p>
    <w:p w14:paraId="6F365E13" w14:textId="7A67D3D0" w:rsidR="00B0264E" w:rsidRPr="00A13612" w:rsidRDefault="00B0264E" w:rsidP="00B0264E">
      <w:pPr>
        <w:autoSpaceDE w:val="0"/>
        <w:autoSpaceDN w:val="0"/>
        <w:adjustRightInd w:val="0"/>
        <w:jc w:val="both"/>
        <w:rPr>
          <w:rFonts w:ascii="Arial" w:hAnsi="Arial" w:cs="Arial"/>
          <w:b/>
          <w:bCs/>
          <w:szCs w:val="22"/>
        </w:rPr>
      </w:pPr>
      <w:r w:rsidRPr="00A13612">
        <w:rPr>
          <w:rFonts w:ascii="Arial" w:hAnsi="Arial" w:cs="Arial"/>
          <w:b/>
          <w:bCs/>
          <w:szCs w:val="22"/>
        </w:rPr>
        <w:t>Fig. 4. The CUSUMSQ Test Result</w:t>
      </w:r>
    </w:p>
    <w:p w14:paraId="00309289" w14:textId="47ADA3FA" w:rsidR="00A31135" w:rsidRPr="00A13612" w:rsidRDefault="00A31135" w:rsidP="00A31135">
      <w:pPr>
        <w:rPr>
          <w:rFonts w:ascii="Arial" w:hAnsi="Arial" w:cs="Arial"/>
          <w:color w:val="000000"/>
          <w:sz w:val="22"/>
          <w:szCs w:val="22"/>
        </w:rPr>
      </w:pPr>
    </w:p>
    <w:p w14:paraId="07D1E76F" w14:textId="0BF3EC96" w:rsidR="005B7238" w:rsidRPr="00A13612" w:rsidRDefault="005B7238" w:rsidP="005B7238">
      <w:pPr>
        <w:pStyle w:val="Body"/>
        <w:spacing w:after="0"/>
        <w:rPr>
          <w:rFonts w:ascii="Arial" w:hAnsi="Arial" w:cs="Arial"/>
          <w:b/>
          <w:sz w:val="22"/>
        </w:rPr>
      </w:pPr>
      <w:r w:rsidRPr="00A13612">
        <w:rPr>
          <w:rFonts w:ascii="Arial" w:hAnsi="Arial" w:cs="Arial"/>
          <w:b/>
          <w:caps/>
          <w:sz w:val="22"/>
        </w:rPr>
        <w:t xml:space="preserve">3.5 </w:t>
      </w:r>
      <w:r w:rsidRPr="00A13612">
        <w:rPr>
          <w:rFonts w:ascii="Arial" w:hAnsi="Arial" w:cs="Arial"/>
          <w:b/>
          <w:sz w:val="22"/>
        </w:rPr>
        <w:t xml:space="preserve">Causality Analysis </w:t>
      </w:r>
    </w:p>
    <w:p w14:paraId="326FEC91" w14:textId="77777777" w:rsidR="00D71997" w:rsidRPr="00A13612" w:rsidRDefault="00D71997" w:rsidP="005B7238">
      <w:pPr>
        <w:pStyle w:val="Body"/>
        <w:spacing w:after="0"/>
        <w:rPr>
          <w:rFonts w:ascii="Arial" w:hAnsi="Arial" w:cs="Arial"/>
          <w:b/>
          <w:sz w:val="22"/>
        </w:rPr>
      </w:pPr>
    </w:p>
    <w:p w14:paraId="18211846" w14:textId="79EF3439" w:rsidR="00D71997" w:rsidRPr="00A13612" w:rsidRDefault="00D71997" w:rsidP="00D71997">
      <w:pPr>
        <w:pStyle w:val="Body"/>
        <w:spacing w:after="0"/>
        <w:rPr>
          <w:rFonts w:ascii="Arial" w:hAnsi="Arial" w:cs="Arial"/>
        </w:rPr>
      </w:pPr>
      <w:r w:rsidRPr="00A13612">
        <w:rPr>
          <w:rFonts w:ascii="Arial" w:hAnsi="Arial" w:cs="Arial"/>
        </w:rPr>
        <w:t xml:space="preserve">Table </w:t>
      </w:r>
      <w:r w:rsidR="0042060D" w:rsidRPr="00A13612">
        <w:rPr>
          <w:rFonts w:ascii="Arial" w:hAnsi="Arial" w:cs="Arial"/>
        </w:rPr>
        <w:t>9</w:t>
      </w:r>
      <w:r w:rsidRPr="00A13612">
        <w:rPr>
          <w:rFonts w:ascii="Arial" w:hAnsi="Arial" w:cs="Arial"/>
        </w:rPr>
        <w:t xml:space="preserve"> presents the results of the TY test, consisting of the directional relationship between the model variables. Based on the computed Wald statistics, there is a bidirectional causality between GDP growth and CPI. A change in economic growth causes a </w:t>
      </w:r>
      <w:r w:rsidR="00916BD6" w:rsidRPr="00A13612">
        <w:rPr>
          <w:rFonts w:ascii="Arial" w:hAnsi="Arial" w:cs="Arial"/>
        </w:rPr>
        <w:t>significant</w:t>
      </w:r>
      <w:r w:rsidRPr="00A13612">
        <w:rPr>
          <w:rFonts w:ascii="Arial" w:hAnsi="Arial" w:cs="Arial"/>
        </w:rPr>
        <w:t xml:space="preserve"> change in price </w:t>
      </w:r>
      <w:r w:rsidR="00916BD6" w:rsidRPr="00A13612">
        <w:rPr>
          <w:rFonts w:ascii="Arial" w:hAnsi="Arial" w:cs="Arial"/>
        </w:rPr>
        <w:t>levels</w:t>
      </w:r>
      <w:r w:rsidRPr="00A13612">
        <w:rPr>
          <w:rFonts w:ascii="Arial" w:hAnsi="Arial" w:cs="Arial"/>
        </w:rPr>
        <w:t>, and vice versa.</w:t>
      </w:r>
      <w:r w:rsidR="00916BD6" w:rsidRPr="00A13612">
        <w:rPr>
          <w:rFonts w:ascii="Arial" w:hAnsi="Arial" w:cs="Arial"/>
        </w:rPr>
        <w:t xml:space="preserve"> The presence of a feedback loop is reasonable since boosted aggregate demand from higher disposable income and business investment drives upward pressure on prices, generating demand-pull inflation</w:t>
      </w:r>
      <w:r w:rsidR="0067001B" w:rsidRPr="00A13612">
        <w:rPr>
          <w:rFonts w:ascii="Arial" w:hAnsi="Arial" w:cs="Arial"/>
        </w:rPr>
        <w:t xml:space="preserve"> </w:t>
      </w:r>
      <w:r w:rsidR="0067001B" w:rsidRPr="00A13612">
        <w:rPr>
          <w:rFonts w:ascii="Arial" w:hAnsi="Arial" w:cs="Arial"/>
        </w:rPr>
        <w:fldChar w:fldCharType="begin" w:fldLock="1"/>
      </w:r>
      <w:r w:rsidR="00D93A65" w:rsidRPr="00A13612">
        <w:rPr>
          <w:rFonts w:ascii="Arial" w:hAnsi="Arial" w:cs="Arial"/>
        </w:rPr>
        <w:instrText>ADDIN CSL_CITATION {"citationItems":[{"id":"ITEM-1","itemData":{"DOI":"10.2991/978-94-6463-546-1","ISBN":"9789464635461","author":[{"dropping-particle":"","family":"Song","given":"Yiqi","non-dropping-particle":"","parse-names":false,"suffix":""}],"container-title":"Proceedings of the 2024 2nd International Conference on Finance, Trade and Business Management (FTBM 2024)","id":"ITEM-1","issue":"Ftbm","issued":{"date-parts":[["2024"]]},"publisher":"Atlantis Press International BV","title":"The Relationship between CPI and Employment and National GDP : Empirical Research Based on French Data","type":"paper-conference"},"uris":["http://www.mendeley.com/documents/?uuid=b905298b-7f68-49b1-813e-785d3496cb99"]}],"mendeley":{"formattedCitation":"(Song, 2024)","plainTextFormattedCitation":"(Song, 2024)","previouslyFormattedCitation":"(Song, 2024)"},"properties":{"noteIndex":0},"schema":"https://github.com/citation-style-language/schema/raw/master/csl-citation.json"}</w:instrText>
      </w:r>
      <w:r w:rsidR="0067001B" w:rsidRPr="00A13612">
        <w:rPr>
          <w:rFonts w:ascii="Arial" w:hAnsi="Arial" w:cs="Arial"/>
        </w:rPr>
        <w:fldChar w:fldCharType="separate"/>
      </w:r>
      <w:r w:rsidR="0067001B" w:rsidRPr="00A13612">
        <w:rPr>
          <w:rFonts w:ascii="Arial" w:hAnsi="Arial" w:cs="Arial"/>
          <w:noProof/>
        </w:rPr>
        <w:t>(Song, 2024)</w:t>
      </w:r>
      <w:r w:rsidR="0067001B" w:rsidRPr="00A13612">
        <w:rPr>
          <w:rFonts w:ascii="Arial" w:hAnsi="Arial" w:cs="Arial"/>
        </w:rPr>
        <w:fldChar w:fldCharType="end"/>
      </w:r>
      <w:r w:rsidR="00916BD6" w:rsidRPr="00A13612">
        <w:rPr>
          <w:rFonts w:ascii="Arial" w:hAnsi="Arial" w:cs="Arial"/>
        </w:rPr>
        <w:t xml:space="preserve">. </w:t>
      </w:r>
    </w:p>
    <w:p w14:paraId="140D1049" w14:textId="77777777" w:rsidR="00F03E59" w:rsidRPr="00A13612" w:rsidRDefault="00F03E59" w:rsidP="00D71997">
      <w:pPr>
        <w:pStyle w:val="Body"/>
        <w:spacing w:after="0"/>
        <w:rPr>
          <w:rFonts w:ascii="Arial" w:hAnsi="Arial" w:cs="Arial"/>
        </w:rPr>
      </w:pPr>
    </w:p>
    <w:p w14:paraId="7E3B5D42" w14:textId="1EBDAE5B" w:rsidR="00F03E59" w:rsidRPr="00A13612" w:rsidRDefault="00F03E59" w:rsidP="00F03E59">
      <w:pPr>
        <w:pStyle w:val="Body"/>
        <w:spacing w:after="0"/>
        <w:rPr>
          <w:rFonts w:ascii="Arial" w:hAnsi="Arial" w:cs="Arial"/>
        </w:rPr>
      </w:pPr>
      <w:r w:rsidRPr="00A13612">
        <w:rPr>
          <w:rFonts w:ascii="Arial" w:hAnsi="Arial" w:cs="Arial"/>
        </w:rPr>
        <w:t xml:space="preserve">Another notable finding shows a unidirectionality running from gross fixed capital formation growth to GDP growth. This evidence emphasizes the beneficial role of capital formation as an engine of economic growth. Capital formation is </w:t>
      </w:r>
      <w:proofErr w:type="gramStart"/>
      <w:r w:rsidRPr="00A13612">
        <w:rPr>
          <w:rFonts w:ascii="Arial" w:hAnsi="Arial" w:cs="Arial"/>
        </w:rPr>
        <w:t>an</w:t>
      </w:r>
      <w:proofErr w:type="gramEnd"/>
      <w:r w:rsidRPr="00A13612">
        <w:rPr>
          <w:rFonts w:ascii="Arial" w:hAnsi="Arial" w:cs="Arial"/>
        </w:rPr>
        <w:t xml:space="preserve"> key engine of economic growth since it fuels </w:t>
      </w:r>
      <w:proofErr w:type="spellStart"/>
      <w:r w:rsidRPr="00A13612">
        <w:rPr>
          <w:rFonts w:ascii="Arial" w:hAnsi="Arial" w:cs="Arial"/>
        </w:rPr>
        <w:t>invesment</w:t>
      </w:r>
      <w:proofErr w:type="spellEnd"/>
      <w:r w:rsidRPr="00A13612">
        <w:rPr>
          <w:rFonts w:ascii="Arial" w:hAnsi="Arial" w:cs="Arial"/>
        </w:rPr>
        <w:t xml:space="preserve"> and expand production scale. Last, of all, there is a unidirectional causality running from GDP growth toward working-age population growth</w:t>
      </w:r>
      <w:r w:rsidR="007E485F" w:rsidRPr="00A13612">
        <w:rPr>
          <w:rFonts w:ascii="Arial" w:hAnsi="Arial" w:cs="Arial"/>
        </w:rPr>
        <w:t xml:space="preserve">, as well as a unidirectional </w:t>
      </w:r>
      <w:proofErr w:type="spellStart"/>
      <w:r w:rsidR="007E485F" w:rsidRPr="00A13612">
        <w:rPr>
          <w:rFonts w:ascii="Arial" w:hAnsi="Arial" w:cs="Arial"/>
        </w:rPr>
        <w:t>cuasality</w:t>
      </w:r>
      <w:proofErr w:type="spellEnd"/>
      <w:r w:rsidR="007E485F" w:rsidRPr="00A13612">
        <w:rPr>
          <w:rFonts w:ascii="Arial" w:hAnsi="Arial" w:cs="Arial"/>
        </w:rPr>
        <w:t xml:space="preserve"> running from gross fixed capital formation toward CPI.</w:t>
      </w:r>
      <w:r w:rsidRPr="00A13612">
        <w:rPr>
          <w:rFonts w:ascii="Arial" w:hAnsi="Arial" w:cs="Arial"/>
        </w:rPr>
        <w:t xml:space="preserve"> </w:t>
      </w:r>
    </w:p>
    <w:p w14:paraId="281362AC" w14:textId="77777777" w:rsidR="00EC2C9D" w:rsidRPr="00A13612" w:rsidRDefault="00EC2C9D" w:rsidP="005B7238">
      <w:pPr>
        <w:tabs>
          <w:tab w:val="left" w:pos="1080"/>
        </w:tabs>
        <w:jc w:val="both"/>
        <w:rPr>
          <w:rFonts w:ascii="Arial" w:hAnsi="Arial" w:cs="Arial"/>
          <w:color w:val="000000"/>
          <w:sz w:val="22"/>
          <w:szCs w:val="22"/>
        </w:rPr>
      </w:pPr>
    </w:p>
    <w:p w14:paraId="54738468" w14:textId="52314CCF" w:rsidR="005B7238" w:rsidRPr="00A13612" w:rsidRDefault="005B7238" w:rsidP="005B7238">
      <w:pPr>
        <w:tabs>
          <w:tab w:val="left" w:pos="1080"/>
        </w:tabs>
        <w:jc w:val="both"/>
        <w:rPr>
          <w:rFonts w:ascii="Arial" w:hAnsi="Arial" w:cs="Arial"/>
        </w:rPr>
      </w:pPr>
      <w:r w:rsidRPr="00A13612">
        <w:rPr>
          <w:rFonts w:ascii="Arial" w:hAnsi="Arial" w:cs="Arial"/>
          <w:b/>
        </w:rPr>
        <w:t xml:space="preserve">Table </w:t>
      </w:r>
      <w:r w:rsidR="007E485F" w:rsidRPr="00A13612">
        <w:rPr>
          <w:rFonts w:ascii="Arial" w:hAnsi="Arial" w:cs="Arial"/>
          <w:b/>
        </w:rPr>
        <w:t>9</w:t>
      </w:r>
      <w:r w:rsidRPr="00A13612">
        <w:rPr>
          <w:rFonts w:ascii="Arial" w:hAnsi="Arial" w:cs="Arial"/>
          <w:b/>
        </w:rPr>
        <w:t>. TY Test results</w:t>
      </w:r>
    </w:p>
    <w:p w14:paraId="62724834" w14:textId="2843D3EA" w:rsidR="00A31135" w:rsidRPr="00A13612" w:rsidRDefault="00A31135" w:rsidP="00A31135">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8"/>
        <w:gridCol w:w="1666"/>
        <w:gridCol w:w="1570"/>
        <w:gridCol w:w="1644"/>
      </w:tblGrid>
      <w:tr w:rsidR="00A31135" w:rsidRPr="00A13612" w14:paraId="5F2FA5F6" w14:textId="77777777" w:rsidTr="00D71997">
        <w:tc>
          <w:tcPr>
            <w:tcW w:w="3410" w:type="dxa"/>
            <w:tcBorders>
              <w:top w:val="single" w:sz="4" w:space="0" w:color="auto"/>
              <w:bottom w:val="single" w:sz="4" w:space="0" w:color="auto"/>
            </w:tcBorders>
          </w:tcPr>
          <w:p w14:paraId="5548DE73" w14:textId="77777777" w:rsidR="00A31135" w:rsidRPr="00A13612" w:rsidRDefault="00A31135" w:rsidP="00C4598A">
            <w:pPr>
              <w:rPr>
                <w:rFonts w:ascii="Arial" w:hAnsi="Arial" w:cs="Arial"/>
                <w:sz w:val="20"/>
                <w:szCs w:val="20"/>
              </w:rPr>
            </w:pPr>
          </w:p>
        </w:tc>
        <w:tc>
          <w:tcPr>
            <w:tcW w:w="1704" w:type="dxa"/>
            <w:tcBorders>
              <w:top w:val="single" w:sz="4" w:space="0" w:color="auto"/>
              <w:bottom w:val="single" w:sz="4" w:space="0" w:color="auto"/>
            </w:tcBorders>
          </w:tcPr>
          <w:p w14:paraId="678AD35E" w14:textId="20A62F44" w:rsidR="00A31135" w:rsidRPr="00A13612" w:rsidRDefault="00D71997" w:rsidP="00D71997">
            <w:pPr>
              <w:jc w:val="center"/>
              <w:rPr>
                <w:rFonts w:ascii="Arial" w:hAnsi="Arial" w:cs="Arial"/>
                <w:sz w:val="20"/>
                <w:szCs w:val="20"/>
              </w:rPr>
            </w:pPr>
            <w:r w:rsidRPr="00A13612">
              <w:rPr>
                <w:rFonts w:ascii="Arial" w:hAnsi="Arial" w:cs="Arial"/>
                <w:sz w:val="20"/>
                <w:szCs w:val="20"/>
              </w:rPr>
              <w:t>Chi2</w:t>
            </w:r>
          </w:p>
        </w:tc>
        <w:tc>
          <w:tcPr>
            <w:tcW w:w="1624" w:type="dxa"/>
            <w:tcBorders>
              <w:top w:val="single" w:sz="4" w:space="0" w:color="auto"/>
              <w:bottom w:val="single" w:sz="4" w:space="0" w:color="auto"/>
            </w:tcBorders>
          </w:tcPr>
          <w:p w14:paraId="53DBA513" w14:textId="06FE0B76" w:rsidR="00A31135" w:rsidRPr="00A13612" w:rsidRDefault="00D71997" w:rsidP="00D71997">
            <w:pPr>
              <w:jc w:val="center"/>
              <w:rPr>
                <w:rFonts w:ascii="Arial" w:hAnsi="Arial" w:cs="Arial"/>
                <w:sz w:val="20"/>
                <w:szCs w:val="20"/>
              </w:rPr>
            </w:pPr>
            <w:proofErr w:type="spellStart"/>
            <w:r w:rsidRPr="00A13612">
              <w:rPr>
                <w:rFonts w:ascii="Arial" w:hAnsi="Arial" w:cs="Arial"/>
                <w:sz w:val="20"/>
                <w:szCs w:val="20"/>
              </w:rPr>
              <w:t>df</w:t>
            </w:r>
            <w:proofErr w:type="spellEnd"/>
          </w:p>
        </w:tc>
        <w:tc>
          <w:tcPr>
            <w:tcW w:w="1686" w:type="dxa"/>
            <w:tcBorders>
              <w:top w:val="single" w:sz="4" w:space="0" w:color="auto"/>
              <w:bottom w:val="single" w:sz="4" w:space="0" w:color="auto"/>
            </w:tcBorders>
          </w:tcPr>
          <w:p w14:paraId="2C58A145" w14:textId="44AA0B64" w:rsidR="00A31135" w:rsidRPr="00A13612" w:rsidRDefault="00D71997" w:rsidP="00D71997">
            <w:pPr>
              <w:jc w:val="center"/>
              <w:rPr>
                <w:rFonts w:ascii="Arial" w:hAnsi="Arial" w:cs="Arial"/>
                <w:sz w:val="20"/>
                <w:szCs w:val="20"/>
              </w:rPr>
            </w:pPr>
            <w:r w:rsidRPr="00A13612">
              <w:rPr>
                <w:rFonts w:ascii="Arial" w:hAnsi="Arial" w:cs="Arial"/>
                <w:sz w:val="20"/>
                <w:szCs w:val="20"/>
              </w:rPr>
              <w:t>p-value</w:t>
            </w:r>
          </w:p>
        </w:tc>
      </w:tr>
      <w:tr w:rsidR="00D71997" w:rsidRPr="00A13612" w14:paraId="218EA0B5" w14:textId="77777777" w:rsidTr="00D71997">
        <w:tc>
          <w:tcPr>
            <w:tcW w:w="3410" w:type="dxa"/>
            <w:tcBorders>
              <w:top w:val="single" w:sz="4" w:space="0" w:color="auto"/>
            </w:tcBorders>
            <w:vAlign w:val="bottom"/>
          </w:tcPr>
          <w:p w14:paraId="41FEBCA9" w14:textId="095418F4" w:rsidR="00D71997" w:rsidRPr="00A13612" w:rsidRDefault="0042060D" w:rsidP="00D71997">
            <w:pPr>
              <w:jc w:val="center"/>
              <w:rPr>
                <w:rFonts w:ascii="Arial" w:hAnsi="Arial" w:cs="Arial"/>
                <w:sz w:val="20"/>
                <w:szCs w:val="20"/>
              </w:rPr>
            </w:pPr>
            <w:proofErr w:type="spellStart"/>
            <w:r w:rsidRPr="00A13612">
              <w:rPr>
                <w:rFonts w:ascii="Arial" w:eastAsia="Times New Roman" w:hAnsi="Arial" w:cs="Arial"/>
                <w:color w:val="000000"/>
                <w:sz w:val="20"/>
                <w:szCs w:val="20"/>
              </w:rPr>
              <w:t>GDPg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CAPg</w:t>
            </w:r>
            <w:proofErr w:type="spellEnd"/>
          </w:p>
        </w:tc>
        <w:tc>
          <w:tcPr>
            <w:tcW w:w="1704" w:type="dxa"/>
            <w:tcBorders>
              <w:top w:val="single" w:sz="4" w:space="0" w:color="auto"/>
            </w:tcBorders>
            <w:vAlign w:val="bottom"/>
          </w:tcPr>
          <w:p w14:paraId="6498879E" w14:textId="0621039C"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8.109</w:t>
            </w:r>
          </w:p>
        </w:tc>
        <w:tc>
          <w:tcPr>
            <w:tcW w:w="1624" w:type="dxa"/>
            <w:tcBorders>
              <w:top w:val="single" w:sz="4" w:space="0" w:color="auto"/>
            </w:tcBorders>
            <w:vAlign w:val="bottom"/>
          </w:tcPr>
          <w:p w14:paraId="4A97ABA3" w14:textId="40A6A730"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2</w:t>
            </w:r>
          </w:p>
        </w:tc>
        <w:tc>
          <w:tcPr>
            <w:tcW w:w="1686" w:type="dxa"/>
            <w:tcBorders>
              <w:top w:val="single" w:sz="4" w:space="0" w:color="auto"/>
            </w:tcBorders>
            <w:vAlign w:val="bottom"/>
          </w:tcPr>
          <w:p w14:paraId="37A073FE" w14:textId="51FFDE20"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0.017</w:t>
            </w:r>
          </w:p>
        </w:tc>
      </w:tr>
      <w:tr w:rsidR="00D71997" w:rsidRPr="00A13612" w14:paraId="644ED045" w14:textId="77777777" w:rsidTr="00D71997">
        <w:tc>
          <w:tcPr>
            <w:tcW w:w="3410" w:type="dxa"/>
            <w:vAlign w:val="bottom"/>
          </w:tcPr>
          <w:p w14:paraId="77B7F387" w14:textId="2F367A28" w:rsidR="00D71997" w:rsidRPr="00A13612" w:rsidRDefault="0042060D" w:rsidP="00D71997">
            <w:pPr>
              <w:jc w:val="center"/>
              <w:rPr>
                <w:rFonts w:ascii="Arial" w:hAnsi="Arial" w:cs="Arial"/>
                <w:sz w:val="20"/>
                <w:szCs w:val="20"/>
              </w:rPr>
            </w:pPr>
            <w:proofErr w:type="spellStart"/>
            <w:r w:rsidRPr="00A13612">
              <w:rPr>
                <w:rFonts w:ascii="Arial" w:eastAsia="Times New Roman" w:hAnsi="Arial" w:cs="Arial"/>
                <w:color w:val="000000"/>
                <w:sz w:val="20"/>
                <w:szCs w:val="20"/>
              </w:rPr>
              <w:t>GDPg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POP</w:t>
            </w:r>
            <w:r w:rsidR="00D71997" w:rsidRPr="00A13612">
              <w:rPr>
                <w:rFonts w:ascii="Arial" w:eastAsia="Times New Roman" w:hAnsi="Arial" w:cs="Arial"/>
                <w:color w:val="000000"/>
                <w:sz w:val="20"/>
                <w:szCs w:val="20"/>
              </w:rPr>
              <w:t>g</w:t>
            </w:r>
            <w:proofErr w:type="spellEnd"/>
          </w:p>
        </w:tc>
        <w:tc>
          <w:tcPr>
            <w:tcW w:w="1704" w:type="dxa"/>
            <w:vAlign w:val="bottom"/>
          </w:tcPr>
          <w:p w14:paraId="67066F96" w14:textId="7B54F471"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1.285</w:t>
            </w:r>
          </w:p>
        </w:tc>
        <w:tc>
          <w:tcPr>
            <w:tcW w:w="1624" w:type="dxa"/>
            <w:vAlign w:val="bottom"/>
          </w:tcPr>
          <w:p w14:paraId="7CF3BCE8" w14:textId="7D53F84B"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2</w:t>
            </w:r>
          </w:p>
        </w:tc>
        <w:tc>
          <w:tcPr>
            <w:tcW w:w="1686" w:type="dxa"/>
            <w:vAlign w:val="bottom"/>
          </w:tcPr>
          <w:p w14:paraId="2DA3144E" w14:textId="7A617EB0"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0.526</w:t>
            </w:r>
          </w:p>
        </w:tc>
      </w:tr>
      <w:tr w:rsidR="00D71997" w:rsidRPr="00A13612" w14:paraId="147F320C" w14:textId="77777777" w:rsidTr="00D71997">
        <w:tc>
          <w:tcPr>
            <w:tcW w:w="3410" w:type="dxa"/>
            <w:vAlign w:val="bottom"/>
          </w:tcPr>
          <w:p w14:paraId="3E98E266" w14:textId="0154AF6D" w:rsidR="00D71997" w:rsidRPr="00A13612" w:rsidRDefault="0042060D" w:rsidP="00D71997">
            <w:pPr>
              <w:jc w:val="center"/>
              <w:rPr>
                <w:rFonts w:ascii="Arial" w:hAnsi="Arial" w:cs="Arial"/>
                <w:sz w:val="20"/>
                <w:szCs w:val="20"/>
              </w:rPr>
            </w:pPr>
            <w:proofErr w:type="spellStart"/>
            <w:r w:rsidRPr="00A13612">
              <w:rPr>
                <w:rFonts w:ascii="Arial" w:eastAsia="Times New Roman" w:hAnsi="Arial" w:cs="Arial"/>
                <w:color w:val="000000"/>
                <w:sz w:val="20"/>
                <w:szCs w:val="20"/>
              </w:rPr>
              <w:t>GDPg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CPI</w:t>
            </w:r>
            <w:proofErr w:type="spellEnd"/>
          </w:p>
        </w:tc>
        <w:tc>
          <w:tcPr>
            <w:tcW w:w="1704" w:type="dxa"/>
            <w:vAlign w:val="bottom"/>
          </w:tcPr>
          <w:p w14:paraId="0A323C26" w14:textId="63FE1BB7"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9.147</w:t>
            </w:r>
          </w:p>
        </w:tc>
        <w:tc>
          <w:tcPr>
            <w:tcW w:w="1624" w:type="dxa"/>
            <w:vAlign w:val="bottom"/>
          </w:tcPr>
          <w:p w14:paraId="443A3028" w14:textId="38BB2C7B"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2</w:t>
            </w:r>
          </w:p>
        </w:tc>
        <w:tc>
          <w:tcPr>
            <w:tcW w:w="1686" w:type="dxa"/>
            <w:vAlign w:val="bottom"/>
          </w:tcPr>
          <w:p w14:paraId="07564AC6" w14:textId="2965F16E"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0.010</w:t>
            </w:r>
          </w:p>
        </w:tc>
      </w:tr>
      <w:tr w:rsidR="00D71997" w:rsidRPr="00A13612" w14:paraId="598C903C" w14:textId="77777777" w:rsidTr="00D71997">
        <w:tc>
          <w:tcPr>
            <w:tcW w:w="3410" w:type="dxa"/>
            <w:vAlign w:val="bottom"/>
          </w:tcPr>
          <w:p w14:paraId="5CCF0BBD" w14:textId="484D4024" w:rsidR="00D71997" w:rsidRPr="00A13612" w:rsidRDefault="0042060D" w:rsidP="00D71997">
            <w:pPr>
              <w:jc w:val="center"/>
              <w:rPr>
                <w:rFonts w:ascii="Arial" w:hAnsi="Arial" w:cs="Arial"/>
                <w:sz w:val="20"/>
                <w:szCs w:val="20"/>
              </w:rPr>
            </w:pPr>
            <w:proofErr w:type="spellStart"/>
            <w:r w:rsidRPr="00A13612">
              <w:rPr>
                <w:rFonts w:ascii="Arial" w:eastAsia="Times New Roman" w:hAnsi="Arial" w:cs="Arial"/>
                <w:color w:val="000000"/>
                <w:sz w:val="20"/>
                <w:szCs w:val="20"/>
              </w:rPr>
              <w:t>CAPg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GPDg</w:t>
            </w:r>
            <w:proofErr w:type="spellEnd"/>
          </w:p>
        </w:tc>
        <w:tc>
          <w:tcPr>
            <w:tcW w:w="1704" w:type="dxa"/>
            <w:vAlign w:val="bottom"/>
          </w:tcPr>
          <w:p w14:paraId="0E0229B4" w14:textId="5FFBC014"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0.463</w:t>
            </w:r>
          </w:p>
        </w:tc>
        <w:tc>
          <w:tcPr>
            <w:tcW w:w="1624" w:type="dxa"/>
            <w:vAlign w:val="bottom"/>
          </w:tcPr>
          <w:p w14:paraId="0406A248" w14:textId="448C25CE"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2</w:t>
            </w:r>
          </w:p>
        </w:tc>
        <w:tc>
          <w:tcPr>
            <w:tcW w:w="1686" w:type="dxa"/>
            <w:vAlign w:val="bottom"/>
          </w:tcPr>
          <w:p w14:paraId="0D8C4700" w14:textId="5E5904FF" w:rsidR="00D71997" w:rsidRPr="00A13612" w:rsidRDefault="00D71997" w:rsidP="00D71997">
            <w:pPr>
              <w:jc w:val="center"/>
              <w:rPr>
                <w:rFonts w:ascii="Arial" w:hAnsi="Arial" w:cs="Arial"/>
                <w:sz w:val="20"/>
                <w:szCs w:val="20"/>
              </w:rPr>
            </w:pPr>
            <w:r w:rsidRPr="00A13612">
              <w:rPr>
                <w:rFonts w:ascii="Arial" w:hAnsi="Arial" w:cs="Arial"/>
                <w:color w:val="000000"/>
                <w:sz w:val="20"/>
                <w:szCs w:val="20"/>
              </w:rPr>
              <w:t>0.793</w:t>
            </w:r>
          </w:p>
        </w:tc>
      </w:tr>
      <w:tr w:rsidR="00D71997" w:rsidRPr="00A13612" w14:paraId="6A9FD0E3" w14:textId="77777777" w:rsidTr="00D71997">
        <w:tc>
          <w:tcPr>
            <w:tcW w:w="3410" w:type="dxa"/>
            <w:vAlign w:val="bottom"/>
          </w:tcPr>
          <w:p w14:paraId="00862159" w14:textId="0C00DA04" w:rsidR="00D71997" w:rsidRPr="00A13612" w:rsidRDefault="0042060D" w:rsidP="00D71997">
            <w:pPr>
              <w:jc w:val="center"/>
              <w:rPr>
                <w:rFonts w:ascii="Arial" w:eastAsia="Times New Roman" w:hAnsi="Arial" w:cs="Arial"/>
                <w:color w:val="000000"/>
                <w:sz w:val="20"/>
                <w:szCs w:val="20"/>
              </w:rPr>
            </w:pPr>
            <w:proofErr w:type="spellStart"/>
            <w:r w:rsidRPr="00A13612">
              <w:rPr>
                <w:rFonts w:ascii="Arial" w:eastAsia="Times New Roman" w:hAnsi="Arial" w:cs="Arial"/>
                <w:color w:val="000000"/>
                <w:sz w:val="20"/>
                <w:szCs w:val="20"/>
              </w:rPr>
              <w:t>CAPg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POP</w:t>
            </w:r>
            <w:r w:rsidR="00D71997" w:rsidRPr="00A13612">
              <w:rPr>
                <w:rFonts w:ascii="Arial" w:eastAsia="Times New Roman" w:hAnsi="Arial" w:cs="Arial"/>
                <w:color w:val="000000"/>
                <w:sz w:val="20"/>
                <w:szCs w:val="20"/>
              </w:rPr>
              <w:t>g</w:t>
            </w:r>
            <w:proofErr w:type="spellEnd"/>
          </w:p>
        </w:tc>
        <w:tc>
          <w:tcPr>
            <w:tcW w:w="1704" w:type="dxa"/>
            <w:vAlign w:val="bottom"/>
          </w:tcPr>
          <w:p w14:paraId="34B9F4C0" w14:textId="5C8D23D5"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1.529</w:t>
            </w:r>
          </w:p>
        </w:tc>
        <w:tc>
          <w:tcPr>
            <w:tcW w:w="1624" w:type="dxa"/>
            <w:vAlign w:val="bottom"/>
          </w:tcPr>
          <w:p w14:paraId="5CEF440A" w14:textId="1A104416"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vAlign w:val="bottom"/>
          </w:tcPr>
          <w:p w14:paraId="62121440" w14:textId="08D26574"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0.466</w:t>
            </w:r>
          </w:p>
        </w:tc>
      </w:tr>
      <w:tr w:rsidR="00D71997" w:rsidRPr="00A13612" w14:paraId="35087597" w14:textId="77777777" w:rsidTr="00D71997">
        <w:tc>
          <w:tcPr>
            <w:tcW w:w="3410" w:type="dxa"/>
            <w:vAlign w:val="bottom"/>
          </w:tcPr>
          <w:p w14:paraId="101D750D" w14:textId="234D3CDF" w:rsidR="00D71997" w:rsidRPr="00A13612" w:rsidRDefault="0042060D" w:rsidP="00D71997">
            <w:pPr>
              <w:jc w:val="center"/>
              <w:rPr>
                <w:rFonts w:ascii="Arial" w:eastAsia="Times New Roman" w:hAnsi="Arial" w:cs="Arial"/>
                <w:color w:val="000000"/>
                <w:sz w:val="20"/>
                <w:szCs w:val="20"/>
              </w:rPr>
            </w:pPr>
            <w:proofErr w:type="spellStart"/>
            <w:r w:rsidRPr="00A13612">
              <w:rPr>
                <w:rFonts w:ascii="Arial" w:eastAsia="Times New Roman" w:hAnsi="Arial" w:cs="Arial"/>
                <w:color w:val="000000"/>
                <w:sz w:val="20"/>
                <w:szCs w:val="20"/>
              </w:rPr>
              <w:t>CAPg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CPI</w:t>
            </w:r>
            <w:proofErr w:type="spellEnd"/>
          </w:p>
        </w:tc>
        <w:tc>
          <w:tcPr>
            <w:tcW w:w="1704" w:type="dxa"/>
            <w:vAlign w:val="bottom"/>
          </w:tcPr>
          <w:p w14:paraId="55202C5E" w14:textId="0987E659"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0.537</w:t>
            </w:r>
          </w:p>
        </w:tc>
        <w:tc>
          <w:tcPr>
            <w:tcW w:w="1624" w:type="dxa"/>
            <w:vAlign w:val="bottom"/>
          </w:tcPr>
          <w:p w14:paraId="4E52F846" w14:textId="3DC8D73B"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vAlign w:val="bottom"/>
          </w:tcPr>
          <w:p w14:paraId="600B855F" w14:textId="5BDB7469"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0.764</w:t>
            </w:r>
          </w:p>
        </w:tc>
      </w:tr>
      <w:tr w:rsidR="00D71997" w:rsidRPr="00A13612" w14:paraId="544EE603" w14:textId="77777777" w:rsidTr="00D71997">
        <w:tc>
          <w:tcPr>
            <w:tcW w:w="3410" w:type="dxa"/>
            <w:vAlign w:val="bottom"/>
          </w:tcPr>
          <w:p w14:paraId="70C6DD61" w14:textId="1CCA780C" w:rsidR="00D71997" w:rsidRPr="00A13612" w:rsidRDefault="0042060D" w:rsidP="00D71997">
            <w:pPr>
              <w:jc w:val="center"/>
              <w:rPr>
                <w:rFonts w:ascii="Arial" w:eastAsia="Times New Roman" w:hAnsi="Arial" w:cs="Arial"/>
                <w:color w:val="000000"/>
                <w:sz w:val="20"/>
                <w:szCs w:val="20"/>
              </w:rPr>
            </w:pPr>
            <w:proofErr w:type="spellStart"/>
            <w:r w:rsidRPr="00A13612">
              <w:rPr>
                <w:rFonts w:ascii="Arial" w:eastAsia="Times New Roman" w:hAnsi="Arial" w:cs="Arial"/>
                <w:color w:val="000000"/>
                <w:sz w:val="20"/>
                <w:szCs w:val="20"/>
              </w:rPr>
              <w:t>POPg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GDPg</w:t>
            </w:r>
            <w:proofErr w:type="spellEnd"/>
          </w:p>
        </w:tc>
        <w:tc>
          <w:tcPr>
            <w:tcW w:w="1704" w:type="dxa"/>
            <w:vAlign w:val="bottom"/>
          </w:tcPr>
          <w:p w14:paraId="1827C542" w14:textId="66CC5A5E"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37.266</w:t>
            </w:r>
          </w:p>
        </w:tc>
        <w:tc>
          <w:tcPr>
            <w:tcW w:w="1624" w:type="dxa"/>
            <w:vAlign w:val="bottom"/>
          </w:tcPr>
          <w:p w14:paraId="48C7218F" w14:textId="2FBEA88C"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vAlign w:val="bottom"/>
          </w:tcPr>
          <w:p w14:paraId="1A5F47B7" w14:textId="10BAE6B0"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0.000</w:t>
            </w:r>
          </w:p>
        </w:tc>
      </w:tr>
      <w:tr w:rsidR="00D71997" w:rsidRPr="00A13612" w14:paraId="0A696FD6" w14:textId="77777777" w:rsidTr="00D71997">
        <w:tc>
          <w:tcPr>
            <w:tcW w:w="3410" w:type="dxa"/>
            <w:vAlign w:val="bottom"/>
          </w:tcPr>
          <w:p w14:paraId="71DAD335" w14:textId="375C1611" w:rsidR="00D71997" w:rsidRPr="00A13612" w:rsidRDefault="0042060D" w:rsidP="00D71997">
            <w:pPr>
              <w:jc w:val="center"/>
              <w:rPr>
                <w:rFonts w:ascii="Arial" w:eastAsia="Times New Roman" w:hAnsi="Arial" w:cs="Arial"/>
                <w:color w:val="000000"/>
                <w:sz w:val="20"/>
                <w:szCs w:val="20"/>
              </w:rPr>
            </w:pPr>
            <w:proofErr w:type="spellStart"/>
            <w:r w:rsidRPr="00A13612">
              <w:rPr>
                <w:rFonts w:ascii="Arial" w:eastAsia="Times New Roman" w:hAnsi="Arial" w:cs="Arial"/>
                <w:color w:val="000000"/>
                <w:sz w:val="20"/>
                <w:szCs w:val="20"/>
              </w:rPr>
              <w:t>POPg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CAPg</w:t>
            </w:r>
            <w:proofErr w:type="spellEnd"/>
          </w:p>
        </w:tc>
        <w:tc>
          <w:tcPr>
            <w:tcW w:w="1704" w:type="dxa"/>
            <w:vAlign w:val="bottom"/>
          </w:tcPr>
          <w:p w14:paraId="72E59B73" w14:textId="7F1D209F"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14.716</w:t>
            </w:r>
          </w:p>
        </w:tc>
        <w:tc>
          <w:tcPr>
            <w:tcW w:w="1624" w:type="dxa"/>
            <w:vAlign w:val="bottom"/>
          </w:tcPr>
          <w:p w14:paraId="6D898D13" w14:textId="1EC70C71"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vAlign w:val="bottom"/>
          </w:tcPr>
          <w:p w14:paraId="50F60D4F" w14:textId="71F7BA75"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0.001</w:t>
            </w:r>
          </w:p>
        </w:tc>
      </w:tr>
      <w:tr w:rsidR="00D71997" w:rsidRPr="00A13612" w14:paraId="71CDF5FA" w14:textId="77777777" w:rsidTr="00D71997">
        <w:tc>
          <w:tcPr>
            <w:tcW w:w="3410" w:type="dxa"/>
            <w:vAlign w:val="bottom"/>
          </w:tcPr>
          <w:p w14:paraId="09F419F2" w14:textId="134CA20C" w:rsidR="00D71997" w:rsidRPr="00A13612" w:rsidRDefault="0042060D" w:rsidP="00D71997">
            <w:pPr>
              <w:jc w:val="center"/>
              <w:rPr>
                <w:rFonts w:ascii="Arial" w:eastAsia="Times New Roman" w:hAnsi="Arial" w:cs="Arial"/>
                <w:color w:val="000000"/>
                <w:sz w:val="20"/>
                <w:szCs w:val="20"/>
              </w:rPr>
            </w:pPr>
            <w:proofErr w:type="spellStart"/>
            <w:r w:rsidRPr="00A13612">
              <w:rPr>
                <w:rFonts w:ascii="Arial" w:eastAsia="Times New Roman" w:hAnsi="Arial" w:cs="Arial"/>
                <w:color w:val="000000"/>
                <w:sz w:val="20"/>
                <w:szCs w:val="20"/>
              </w:rPr>
              <w:t>POPg</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CPI</w:t>
            </w:r>
            <w:proofErr w:type="spellEnd"/>
          </w:p>
        </w:tc>
        <w:tc>
          <w:tcPr>
            <w:tcW w:w="1704" w:type="dxa"/>
            <w:vAlign w:val="bottom"/>
          </w:tcPr>
          <w:p w14:paraId="74940B0A" w14:textId="1F00F471"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36.194</w:t>
            </w:r>
          </w:p>
        </w:tc>
        <w:tc>
          <w:tcPr>
            <w:tcW w:w="1624" w:type="dxa"/>
            <w:vAlign w:val="bottom"/>
          </w:tcPr>
          <w:p w14:paraId="6E786C53" w14:textId="76DC6C49"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vAlign w:val="bottom"/>
          </w:tcPr>
          <w:p w14:paraId="1CE0A95C" w14:textId="1FF7A41C"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0.000</w:t>
            </w:r>
          </w:p>
        </w:tc>
      </w:tr>
      <w:tr w:rsidR="00D71997" w:rsidRPr="00A13612" w14:paraId="3C8D3D6A" w14:textId="77777777" w:rsidTr="00D71997">
        <w:tc>
          <w:tcPr>
            <w:tcW w:w="3410" w:type="dxa"/>
            <w:vAlign w:val="bottom"/>
          </w:tcPr>
          <w:p w14:paraId="1BF1CFD7" w14:textId="4C5060FB" w:rsidR="00D71997" w:rsidRPr="00A13612" w:rsidRDefault="0042060D" w:rsidP="00D71997">
            <w:pPr>
              <w:jc w:val="center"/>
              <w:rPr>
                <w:rFonts w:ascii="Arial" w:eastAsia="Times New Roman" w:hAnsi="Arial" w:cs="Arial"/>
                <w:color w:val="000000"/>
                <w:sz w:val="20"/>
                <w:szCs w:val="20"/>
              </w:rPr>
            </w:pPr>
            <w:proofErr w:type="spellStart"/>
            <w:r w:rsidRPr="00A13612">
              <w:rPr>
                <w:rFonts w:ascii="Arial" w:eastAsia="Times New Roman" w:hAnsi="Arial" w:cs="Arial"/>
                <w:color w:val="000000"/>
                <w:sz w:val="20"/>
                <w:szCs w:val="20"/>
              </w:rPr>
              <w:t>CPI</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GDPg</w:t>
            </w:r>
            <w:proofErr w:type="spellEnd"/>
          </w:p>
        </w:tc>
        <w:tc>
          <w:tcPr>
            <w:tcW w:w="1704" w:type="dxa"/>
            <w:vAlign w:val="bottom"/>
          </w:tcPr>
          <w:p w14:paraId="26BF3C7B" w14:textId="3F5FA939"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6.876</w:t>
            </w:r>
          </w:p>
        </w:tc>
        <w:tc>
          <w:tcPr>
            <w:tcW w:w="1624" w:type="dxa"/>
            <w:vAlign w:val="bottom"/>
          </w:tcPr>
          <w:p w14:paraId="117FF834" w14:textId="183B0A8D"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vAlign w:val="bottom"/>
          </w:tcPr>
          <w:p w14:paraId="75619B3C" w14:textId="0FBA764A"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0.032</w:t>
            </w:r>
          </w:p>
        </w:tc>
      </w:tr>
      <w:tr w:rsidR="00D71997" w:rsidRPr="00A13612" w14:paraId="3A42B8D6" w14:textId="77777777" w:rsidTr="00D71997">
        <w:tc>
          <w:tcPr>
            <w:tcW w:w="3410" w:type="dxa"/>
            <w:vAlign w:val="bottom"/>
          </w:tcPr>
          <w:p w14:paraId="1179E5A6" w14:textId="5C6E78E2" w:rsidR="00D71997" w:rsidRPr="00A13612" w:rsidRDefault="0042060D" w:rsidP="00D71997">
            <w:pPr>
              <w:jc w:val="center"/>
              <w:rPr>
                <w:rFonts w:ascii="Arial" w:eastAsia="Times New Roman" w:hAnsi="Arial" w:cs="Arial"/>
                <w:color w:val="000000"/>
                <w:sz w:val="20"/>
                <w:szCs w:val="20"/>
              </w:rPr>
            </w:pPr>
            <w:proofErr w:type="spellStart"/>
            <w:r w:rsidRPr="00A13612">
              <w:rPr>
                <w:rFonts w:ascii="Arial" w:eastAsia="Times New Roman" w:hAnsi="Arial" w:cs="Arial"/>
                <w:color w:val="000000"/>
                <w:sz w:val="20"/>
                <w:szCs w:val="20"/>
              </w:rPr>
              <w:t>CPI</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CAPg</w:t>
            </w:r>
            <w:proofErr w:type="spellEnd"/>
          </w:p>
        </w:tc>
        <w:tc>
          <w:tcPr>
            <w:tcW w:w="1704" w:type="dxa"/>
            <w:vAlign w:val="bottom"/>
          </w:tcPr>
          <w:p w14:paraId="0C6BD87D" w14:textId="05627891"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5.129</w:t>
            </w:r>
          </w:p>
        </w:tc>
        <w:tc>
          <w:tcPr>
            <w:tcW w:w="1624" w:type="dxa"/>
            <w:vAlign w:val="bottom"/>
          </w:tcPr>
          <w:p w14:paraId="205CFC51" w14:textId="06C863BE"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vAlign w:val="bottom"/>
          </w:tcPr>
          <w:p w14:paraId="2A487F27" w14:textId="364BFFB5"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0.077</w:t>
            </w:r>
          </w:p>
        </w:tc>
      </w:tr>
      <w:tr w:rsidR="00D71997" w:rsidRPr="00A13612" w14:paraId="54D25B09" w14:textId="77777777" w:rsidTr="00D71997">
        <w:tc>
          <w:tcPr>
            <w:tcW w:w="3410" w:type="dxa"/>
            <w:tcBorders>
              <w:bottom w:val="single" w:sz="4" w:space="0" w:color="auto"/>
            </w:tcBorders>
            <w:vAlign w:val="bottom"/>
          </w:tcPr>
          <w:p w14:paraId="2CB9B007" w14:textId="2F04B8EF" w:rsidR="00D71997" w:rsidRPr="00A13612" w:rsidRDefault="0042060D" w:rsidP="00D71997">
            <w:pPr>
              <w:jc w:val="center"/>
              <w:rPr>
                <w:rFonts w:ascii="Arial" w:eastAsia="Times New Roman" w:hAnsi="Arial" w:cs="Arial"/>
                <w:color w:val="000000"/>
                <w:sz w:val="20"/>
                <w:szCs w:val="20"/>
              </w:rPr>
            </w:pPr>
            <w:proofErr w:type="spellStart"/>
            <w:r w:rsidRPr="00A13612">
              <w:rPr>
                <w:rFonts w:ascii="Arial" w:eastAsia="Times New Roman" w:hAnsi="Arial" w:cs="Arial"/>
                <w:color w:val="000000"/>
                <w:sz w:val="20"/>
                <w:szCs w:val="20"/>
              </w:rPr>
              <w:t>CPI</w:t>
            </w:r>
            <w:r w:rsidR="00D71997" w:rsidRPr="00A13612">
              <w:rPr>
                <w:rFonts w:ascii="Arial" w:eastAsia="Times New Roman" w:hAnsi="Arial" w:cs="Arial"/>
                <w:color w:val="000000"/>
                <w:sz w:val="20"/>
                <w:szCs w:val="20"/>
              </w:rPr>
              <w:t>←</w:t>
            </w:r>
            <w:r w:rsidRPr="00A13612">
              <w:rPr>
                <w:rFonts w:ascii="Arial" w:eastAsia="Times New Roman" w:hAnsi="Arial" w:cs="Arial"/>
                <w:color w:val="000000"/>
                <w:sz w:val="20"/>
                <w:szCs w:val="20"/>
              </w:rPr>
              <w:t>POPg</w:t>
            </w:r>
            <w:proofErr w:type="spellEnd"/>
          </w:p>
        </w:tc>
        <w:tc>
          <w:tcPr>
            <w:tcW w:w="1704" w:type="dxa"/>
            <w:tcBorders>
              <w:bottom w:val="single" w:sz="4" w:space="0" w:color="auto"/>
            </w:tcBorders>
            <w:vAlign w:val="bottom"/>
          </w:tcPr>
          <w:p w14:paraId="6AA2BE8D" w14:textId="66003FB7"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4.576</w:t>
            </w:r>
          </w:p>
        </w:tc>
        <w:tc>
          <w:tcPr>
            <w:tcW w:w="1624" w:type="dxa"/>
            <w:tcBorders>
              <w:bottom w:val="single" w:sz="4" w:space="0" w:color="auto"/>
            </w:tcBorders>
            <w:vAlign w:val="bottom"/>
          </w:tcPr>
          <w:p w14:paraId="00752867" w14:textId="3CCC92AE"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2</w:t>
            </w:r>
          </w:p>
        </w:tc>
        <w:tc>
          <w:tcPr>
            <w:tcW w:w="1686" w:type="dxa"/>
            <w:tcBorders>
              <w:bottom w:val="single" w:sz="4" w:space="0" w:color="auto"/>
            </w:tcBorders>
            <w:vAlign w:val="bottom"/>
          </w:tcPr>
          <w:p w14:paraId="299BB097" w14:textId="719001FA" w:rsidR="00D71997" w:rsidRPr="00A13612" w:rsidRDefault="00D71997" w:rsidP="00D71997">
            <w:pPr>
              <w:jc w:val="center"/>
              <w:rPr>
                <w:rFonts w:ascii="Arial" w:eastAsia="Times New Roman" w:hAnsi="Arial" w:cs="Arial"/>
                <w:color w:val="000000"/>
                <w:sz w:val="20"/>
                <w:szCs w:val="20"/>
              </w:rPr>
            </w:pPr>
            <w:r w:rsidRPr="00A13612">
              <w:rPr>
                <w:rFonts w:ascii="Arial" w:hAnsi="Arial" w:cs="Arial"/>
                <w:color w:val="000000"/>
                <w:sz w:val="20"/>
                <w:szCs w:val="20"/>
              </w:rPr>
              <w:t>0.101</w:t>
            </w:r>
          </w:p>
        </w:tc>
      </w:tr>
    </w:tbl>
    <w:p w14:paraId="06BE41A5" w14:textId="77777777" w:rsidR="00790ADA" w:rsidRPr="00A13612" w:rsidRDefault="00790ADA" w:rsidP="00441B6F">
      <w:pPr>
        <w:pStyle w:val="Body"/>
        <w:spacing w:after="0"/>
        <w:rPr>
          <w:rFonts w:ascii="Arial" w:hAnsi="Arial" w:cs="Arial"/>
        </w:rPr>
      </w:pPr>
    </w:p>
    <w:p w14:paraId="4BE8FAFB" w14:textId="77777777" w:rsidR="00B01FCD" w:rsidRPr="00A13612" w:rsidRDefault="00000F8F" w:rsidP="00441B6F">
      <w:pPr>
        <w:pStyle w:val="ConcHead"/>
        <w:spacing w:after="0"/>
        <w:jc w:val="both"/>
        <w:rPr>
          <w:rFonts w:ascii="Arial" w:hAnsi="Arial" w:cs="Arial"/>
        </w:rPr>
      </w:pPr>
      <w:r w:rsidRPr="00A13612">
        <w:rPr>
          <w:rFonts w:ascii="Arial" w:hAnsi="Arial" w:cs="Arial"/>
        </w:rPr>
        <w:t xml:space="preserve">4. </w:t>
      </w:r>
      <w:r w:rsidR="00B01FCD" w:rsidRPr="00A13612">
        <w:rPr>
          <w:rFonts w:ascii="Arial" w:hAnsi="Arial" w:cs="Arial"/>
        </w:rPr>
        <w:t>Conclusion</w:t>
      </w:r>
    </w:p>
    <w:p w14:paraId="43F1572F" w14:textId="77777777" w:rsidR="00790ADA" w:rsidRPr="00A13612" w:rsidRDefault="00790ADA" w:rsidP="00441B6F">
      <w:pPr>
        <w:pStyle w:val="ConcHead"/>
        <w:spacing w:after="0"/>
        <w:jc w:val="both"/>
        <w:rPr>
          <w:rFonts w:ascii="Arial" w:hAnsi="Arial" w:cs="Arial"/>
        </w:rPr>
      </w:pPr>
    </w:p>
    <w:p w14:paraId="1CAA8469" w14:textId="5AF17B0D" w:rsidR="00B01FCD" w:rsidRPr="00A13612" w:rsidRDefault="00EC2C9D" w:rsidP="00441B6F">
      <w:pPr>
        <w:pStyle w:val="Body"/>
        <w:spacing w:after="0"/>
        <w:rPr>
          <w:rFonts w:ascii="Arial" w:hAnsi="Arial" w:cs="Arial"/>
        </w:rPr>
      </w:pPr>
      <w:r w:rsidRPr="00A13612">
        <w:rPr>
          <w:rFonts w:ascii="Arial" w:hAnsi="Arial" w:cs="Arial"/>
        </w:rPr>
        <w:t xml:space="preserve">The dynamic </w:t>
      </w:r>
      <w:r w:rsidR="007E485F" w:rsidRPr="00A13612">
        <w:rPr>
          <w:rFonts w:ascii="Arial" w:hAnsi="Arial" w:cs="Arial"/>
        </w:rPr>
        <w:t xml:space="preserve">nexus </w:t>
      </w:r>
      <w:r w:rsidRPr="00A13612">
        <w:rPr>
          <w:rFonts w:ascii="Arial" w:hAnsi="Arial" w:cs="Arial"/>
        </w:rPr>
        <w:t xml:space="preserve">between inflation and economic growth </w:t>
      </w:r>
      <w:r w:rsidR="007E485F" w:rsidRPr="00A13612">
        <w:rPr>
          <w:rFonts w:ascii="Arial" w:hAnsi="Arial" w:cs="Arial"/>
        </w:rPr>
        <w:t xml:space="preserve">in case of Indonesia </w:t>
      </w:r>
      <w:r w:rsidRPr="00A13612">
        <w:rPr>
          <w:rFonts w:ascii="Arial" w:hAnsi="Arial" w:cs="Arial"/>
        </w:rPr>
        <w:t xml:space="preserve">is estimated in this </w:t>
      </w:r>
      <w:r w:rsidR="007E485F" w:rsidRPr="00A13612">
        <w:rPr>
          <w:rFonts w:ascii="Arial" w:hAnsi="Arial" w:cs="Arial"/>
        </w:rPr>
        <w:t xml:space="preserve">empirical </w:t>
      </w:r>
      <w:r w:rsidRPr="00A13612">
        <w:rPr>
          <w:rFonts w:ascii="Arial" w:hAnsi="Arial" w:cs="Arial"/>
        </w:rPr>
        <w:t xml:space="preserve">study, considering the impact of gross fixed capital formation and the working-age population. </w:t>
      </w:r>
      <w:r w:rsidR="007E485F" w:rsidRPr="00A13612">
        <w:rPr>
          <w:rFonts w:ascii="Arial" w:hAnsi="Arial" w:cs="Arial"/>
        </w:rPr>
        <w:t xml:space="preserve">Inflation is proxied using consumer price index. </w:t>
      </w:r>
      <w:r w:rsidRPr="00A13612">
        <w:rPr>
          <w:rFonts w:ascii="Arial" w:hAnsi="Arial" w:cs="Arial"/>
        </w:rPr>
        <w:t>The dummy variable of year shock is also included in the model. Annual data between 1985 and 2023 were used, collected from the World Bank. This study employs several econometric methods, namely the ARDL-Bounds test, the ZV unit root test, and the TY causality test.</w:t>
      </w:r>
    </w:p>
    <w:p w14:paraId="277202F2" w14:textId="77777777" w:rsidR="00EC2C9D" w:rsidRPr="00A13612" w:rsidRDefault="00EC2C9D" w:rsidP="00441B6F">
      <w:pPr>
        <w:pStyle w:val="Body"/>
        <w:spacing w:after="0"/>
        <w:rPr>
          <w:rFonts w:ascii="Arial" w:hAnsi="Arial" w:cs="Arial"/>
        </w:rPr>
      </w:pPr>
    </w:p>
    <w:p w14:paraId="58C8B364" w14:textId="74D328D8" w:rsidR="00EC2C9D" w:rsidRPr="00A13612" w:rsidRDefault="00EC2C9D" w:rsidP="00441B6F">
      <w:pPr>
        <w:pStyle w:val="Body"/>
        <w:spacing w:after="0"/>
        <w:rPr>
          <w:rFonts w:ascii="Arial" w:hAnsi="Arial" w:cs="Arial"/>
        </w:rPr>
      </w:pPr>
      <w:r w:rsidRPr="00A13612">
        <w:rPr>
          <w:rFonts w:ascii="Arial" w:hAnsi="Arial" w:cs="Arial"/>
        </w:rPr>
        <w:t xml:space="preserve">The ZA test </w:t>
      </w:r>
      <w:proofErr w:type="gramStart"/>
      <w:r w:rsidR="00184735" w:rsidRPr="00A13612">
        <w:rPr>
          <w:rFonts w:ascii="Arial" w:hAnsi="Arial" w:cs="Arial"/>
        </w:rPr>
        <w:t>depict</w:t>
      </w:r>
      <w:proofErr w:type="gramEnd"/>
      <w:r w:rsidRPr="00A13612">
        <w:rPr>
          <w:rFonts w:ascii="Arial" w:hAnsi="Arial" w:cs="Arial"/>
        </w:rPr>
        <w:t xml:space="preserve"> that none of the variables analyzed are stationary at the second-order, and the Bounds test d</w:t>
      </w:r>
      <w:r w:rsidR="00E93DFC" w:rsidRPr="00A13612">
        <w:rPr>
          <w:rFonts w:ascii="Arial" w:hAnsi="Arial" w:cs="Arial"/>
        </w:rPr>
        <w:t>emonstrates</w:t>
      </w:r>
      <w:r w:rsidRPr="00A13612">
        <w:rPr>
          <w:rFonts w:ascii="Arial" w:hAnsi="Arial" w:cs="Arial"/>
        </w:rPr>
        <w:t xml:space="preserve"> that economic growth, </w:t>
      </w:r>
      <w:r w:rsidR="00E93DFC" w:rsidRPr="00A13612">
        <w:rPr>
          <w:rFonts w:ascii="Arial" w:hAnsi="Arial" w:cs="Arial"/>
        </w:rPr>
        <w:t xml:space="preserve">CPI, gross fixed </w:t>
      </w:r>
      <w:r w:rsidRPr="00A13612">
        <w:rPr>
          <w:rFonts w:ascii="Arial" w:hAnsi="Arial" w:cs="Arial"/>
        </w:rPr>
        <w:t xml:space="preserve">capital formation, </w:t>
      </w:r>
      <w:r w:rsidR="00E93DFC" w:rsidRPr="00A13612">
        <w:rPr>
          <w:rFonts w:ascii="Arial" w:hAnsi="Arial" w:cs="Arial"/>
        </w:rPr>
        <w:t>working-age population, and the dummy variable of year shock</w:t>
      </w:r>
      <w:r w:rsidRPr="00A13612">
        <w:rPr>
          <w:rFonts w:ascii="Arial" w:hAnsi="Arial" w:cs="Arial"/>
        </w:rPr>
        <w:t xml:space="preserve"> </w:t>
      </w:r>
      <w:r w:rsidR="00E93DFC" w:rsidRPr="00A13612">
        <w:rPr>
          <w:rFonts w:ascii="Arial" w:hAnsi="Arial" w:cs="Arial"/>
        </w:rPr>
        <w:t>are firmly</w:t>
      </w:r>
      <w:r w:rsidRPr="00A13612">
        <w:rPr>
          <w:rFonts w:ascii="Arial" w:hAnsi="Arial" w:cs="Arial"/>
        </w:rPr>
        <w:t xml:space="preserve"> cointegrated. </w:t>
      </w:r>
      <w:r w:rsidR="00E93DFC" w:rsidRPr="00A13612">
        <w:rPr>
          <w:rFonts w:ascii="Arial" w:hAnsi="Arial" w:cs="Arial"/>
        </w:rPr>
        <w:t xml:space="preserve">CPI is negatively associated with GDP growth in the long run, indicating the damaging impact of high inflation rates on </w:t>
      </w:r>
      <w:r w:rsidR="007E485F" w:rsidRPr="00A13612">
        <w:rPr>
          <w:rFonts w:ascii="Arial" w:hAnsi="Arial" w:cs="Arial"/>
        </w:rPr>
        <w:t>the national output</w:t>
      </w:r>
      <w:r w:rsidR="00E93DFC" w:rsidRPr="00A13612">
        <w:rPr>
          <w:rFonts w:ascii="Arial" w:hAnsi="Arial" w:cs="Arial"/>
        </w:rPr>
        <w:t xml:space="preserve">. The results of the TY test signify a bidirectional causality between CPI and GDP growth. Regarding control variables, both </w:t>
      </w:r>
      <w:r w:rsidR="00184735" w:rsidRPr="00A13612">
        <w:rPr>
          <w:rFonts w:ascii="Arial" w:hAnsi="Arial" w:cs="Arial"/>
        </w:rPr>
        <w:t xml:space="preserve">gross fixed </w:t>
      </w:r>
      <w:r w:rsidR="00E93DFC" w:rsidRPr="00A13612">
        <w:rPr>
          <w:rFonts w:ascii="Arial" w:hAnsi="Arial" w:cs="Arial"/>
        </w:rPr>
        <w:t xml:space="preserve">capital formation and working-age population are positively associated with GDP growth as expected. Following the findings, it is crucial for Indonesia to maintain </w:t>
      </w:r>
      <w:r w:rsidR="00184735" w:rsidRPr="00A13612">
        <w:rPr>
          <w:rFonts w:ascii="Arial" w:hAnsi="Arial" w:cs="Arial"/>
        </w:rPr>
        <w:t>the level of inflation</w:t>
      </w:r>
      <w:r w:rsidR="00E93DFC" w:rsidRPr="00A13612">
        <w:rPr>
          <w:rFonts w:ascii="Arial" w:hAnsi="Arial" w:cs="Arial"/>
        </w:rPr>
        <w:t xml:space="preserve"> at moderate or lo</w:t>
      </w:r>
      <w:r w:rsidR="00184735" w:rsidRPr="00A13612">
        <w:rPr>
          <w:rFonts w:ascii="Arial" w:hAnsi="Arial" w:cs="Arial"/>
        </w:rPr>
        <w:t>w le</w:t>
      </w:r>
      <w:r w:rsidR="00E93DFC" w:rsidRPr="00A13612">
        <w:rPr>
          <w:rFonts w:ascii="Arial" w:hAnsi="Arial" w:cs="Arial"/>
        </w:rPr>
        <w:t xml:space="preserve">vel in order to spur </w:t>
      </w:r>
      <w:r w:rsidR="00184735" w:rsidRPr="00A13612">
        <w:rPr>
          <w:rFonts w:ascii="Arial" w:hAnsi="Arial" w:cs="Arial"/>
        </w:rPr>
        <w:t xml:space="preserve">sustainable </w:t>
      </w:r>
      <w:r w:rsidR="00E93DFC" w:rsidRPr="00A13612">
        <w:rPr>
          <w:rFonts w:ascii="Arial" w:hAnsi="Arial" w:cs="Arial"/>
        </w:rPr>
        <w:t>economic growth.</w:t>
      </w:r>
    </w:p>
    <w:p w14:paraId="54A67DEB" w14:textId="77777777" w:rsidR="00790ADA" w:rsidRPr="00A13612" w:rsidRDefault="00790ADA" w:rsidP="00441B6F">
      <w:pPr>
        <w:pStyle w:val="Body"/>
        <w:spacing w:after="0"/>
        <w:rPr>
          <w:rFonts w:ascii="Arial" w:hAnsi="Arial" w:cs="Arial"/>
        </w:rPr>
      </w:pPr>
    </w:p>
    <w:p w14:paraId="2370CBFA" w14:textId="77777777" w:rsidR="007E485F" w:rsidRPr="00A13612" w:rsidRDefault="007E485F" w:rsidP="00441B6F">
      <w:pPr>
        <w:rPr>
          <w:rFonts w:ascii="Arial" w:hAnsi="Arial" w:cs="Arial"/>
          <w:b/>
          <w:bCs/>
        </w:rPr>
      </w:pPr>
      <w:r w:rsidRPr="00A13612">
        <w:rPr>
          <w:rFonts w:ascii="Arial" w:hAnsi="Arial" w:cs="Arial"/>
          <w:b/>
          <w:bCs/>
        </w:rPr>
        <w:t>DISCLAIMER (ARTIFICIAL INTELLIGENCE)</w:t>
      </w:r>
    </w:p>
    <w:p w14:paraId="463A9BFA" w14:textId="77777777" w:rsidR="007E485F" w:rsidRPr="00A13612" w:rsidRDefault="007E485F" w:rsidP="00441B6F">
      <w:pPr>
        <w:rPr>
          <w:rFonts w:ascii="Arial" w:hAnsi="Arial" w:cs="Arial"/>
        </w:rPr>
      </w:pPr>
    </w:p>
    <w:p w14:paraId="29B6EAA3" w14:textId="6FBFA38F" w:rsidR="007E485F" w:rsidRPr="00A13612" w:rsidRDefault="007E485F" w:rsidP="007E485F">
      <w:pPr>
        <w:jc w:val="both"/>
        <w:rPr>
          <w:rFonts w:ascii="Arial" w:hAnsi="Arial" w:cs="Arial"/>
        </w:rPr>
      </w:pPr>
      <w:r w:rsidRPr="00A13612">
        <w:rPr>
          <w:rFonts w:ascii="Arial" w:hAnsi="Arial" w:cs="Arial"/>
        </w:rPr>
        <w:t>Author(</w:t>
      </w:r>
      <w:proofErr w:type="gramStart"/>
      <w:r w:rsidRPr="00A13612">
        <w:rPr>
          <w:rFonts w:ascii="Arial" w:hAnsi="Arial" w:cs="Arial"/>
        </w:rPr>
        <w:t>s)  hereby</w:t>
      </w:r>
      <w:proofErr w:type="gramEnd"/>
      <w:r w:rsidRPr="00A13612">
        <w:rPr>
          <w:rFonts w:ascii="Arial" w:hAnsi="Arial" w:cs="Arial"/>
        </w:rPr>
        <w:t xml:space="preserve">  </w:t>
      </w:r>
      <w:proofErr w:type="gramStart"/>
      <w:r w:rsidRPr="00A13612">
        <w:rPr>
          <w:rFonts w:ascii="Arial" w:hAnsi="Arial" w:cs="Arial"/>
        </w:rPr>
        <w:t>declare  that</w:t>
      </w:r>
      <w:proofErr w:type="gramEnd"/>
      <w:r w:rsidRPr="00A13612">
        <w:rPr>
          <w:rFonts w:ascii="Arial" w:hAnsi="Arial" w:cs="Arial"/>
        </w:rPr>
        <w:t xml:space="preserve">  </w:t>
      </w:r>
      <w:proofErr w:type="gramStart"/>
      <w:r w:rsidRPr="00A13612">
        <w:rPr>
          <w:rFonts w:ascii="Arial" w:hAnsi="Arial" w:cs="Arial"/>
        </w:rPr>
        <w:t>NO  generative</w:t>
      </w:r>
      <w:proofErr w:type="gramEnd"/>
      <w:r w:rsidRPr="00A13612">
        <w:rPr>
          <w:rFonts w:ascii="Arial" w:hAnsi="Arial" w:cs="Arial"/>
        </w:rPr>
        <w:t xml:space="preserve"> AI </w:t>
      </w:r>
      <w:proofErr w:type="gramStart"/>
      <w:r w:rsidRPr="00A13612">
        <w:rPr>
          <w:rFonts w:ascii="Arial" w:hAnsi="Arial" w:cs="Arial"/>
        </w:rPr>
        <w:t>technologies  such</w:t>
      </w:r>
      <w:proofErr w:type="gramEnd"/>
      <w:r w:rsidRPr="00A13612">
        <w:rPr>
          <w:rFonts w:ascii="Arial" w:hAnsi="Arial" w:cs="Arial"/>
        </w:rPr>
        <w:t xml:space="preserve">  </w:t>
      </w:r>
      <w:proofErr w:type="gramStart"/>
      <w:r w:rsidRPr="00A13612">
        <w:rPr>
          <w:rFonts w:ascii="Arial" w:hAnsi="Arial" w:cs="Arial"/>
        </w:rPr>
        <w:t>as  Large</w:t>
      </w:r>
      <w:proofErr w:type="gramEnd"/>
      <w:r w:rsidRPr="00A13612">
        <w:rPr>
          <w:rFonts w:ascii="Arial" w:hAnsi="Arial" w:cs="Arial"/>
        </w:rPr>
        <w:t xml:space="preserve">  </w:t>
      </w:r>
      <w:proofErr w:type="gramStart"/>
      <w:r w:rsidRPr="00A13612">
        <w:rPr>
          <w:rFonts w:ascii="Arial" w:hAnsi="Arial" w:cs="Arial"/>
        </w:rPr>
        <w:t>Language  Models</w:t>
      </w:r>
      <w:proofErr w:type="gramEnd"/>
      <w:r w:rsidRPr="00A13612">
        <w:rPr>
          <w:rFonts w:ascii="Arial" w:hAnsi="Arial" w:cs="Arial"/>
        </w:rPr>
        <w:t xml:space="preserve"> (</w:t>
      </w:r>
      <w:proofErr w:type="gramStart"/>
      <w:r w:rsidRPr="00A13612">
        <w:rPr>
          <w:rFonts w:ascii="Arial" w:hAnsi="Arial" w:cs="Arial"/>
        </w:rPr>
        <w:t xml:space="preserve">ChatGPT,   COPILOT,   </w:t>
      </w:r>
      <w:proofErr w:type="gramEnd"/>
      <w:r w:rsidRPr="00A13612">
        <w:rPr>
          <w:rFonts w:ascii="Arial" w:hAnsi="Arial" w:cs="Arial"/>
        </w:rPr>
        <w:t xml:space="preserve">etc.)   and   text-to-image generators have been used during </w:t>
      </w:r>
      <w:proofErr w:type="gramStart"/>
      <w:r w:rsidRPr="00A13612">
        <w:rPr>
          <w:rFonts w:ascii="Arial" w:hAnsi="Arial" w:cs="Arial"/>
        </w:rPr>
        <w:t>the  writing</w:t>
      </w:r>
      <w:proofErr w:type="gramEnd"/>
      <w:r w:rsidRPr="00A13612">
        <w:rPr>
          <w:rFonts w:ascii="Arial" w:hAnsi="Arial" w:cs="Arial"/>
        </w:rPr>
        <w:t xml:space="preserve"> or editing of this manuscript</w:t>
      </w:r>
    </w:p>
    <w:p w14:paraId="7FAF8784" w14:textId="77777777" w:rsidR="007E485F" w:rsidRPr="00A13612" w:rsidRDefault="007E485F" w:rsidP="00441B6F">
      <w:pPr>
        <w:rPr>
          <w:rFonts w:ascii="Arial" w:hAnsi="Arial" w:cs="Arial"/>
        </w:rPr>
      </w:pPr>
    </w:p>
    <w:p w14:paraId="2BFEC196" w14:textId="77777777" w:rsidR="007E485F" w:rsidRPr="00A13612" w:rsidRDefault="007E485F" w:rsidP="00441B6F">
      <w:pPr>
        <w:rPr>
          <w:rFonts w:ascii="Arial" w:hAnsi="Arial" w:cs="Arial"/>
        </w:rPr>
      </w:pPr>
    </w:p>
    <w:p w14:paraId="382D823C" w14:textId="77777777" w:rsidR="00B01FCD" w:rsidRPr="00A13612" w:rsidRDefault="00B01FCD" w:rsidP="00441B6F">
      <w:pPr>
        <w:pStyle w:val="ReferHead"/>
        <w:spacing w:after="0"/>
        <w:jc w:val="both"/>
        <w:rPr>
          <w:rFonts w:ascii="Arial" w:hAnsi="Arial" w:cs="Arial"/>
          <w:lang w:val="de-DE"/>
        </w:rPr>
      </w:pPr>
      <w:r w:rsidRPr="00A13612">
        <w:rPr>
          <w:rFonts w:ascii="Arial" w:hAnsi="Arial" w:cs="Arial"/>
          <w:lang w:val="de-DE"/>
        </w:rPr>
        <w:t>References</w:t>
      </w:r>
    </w:p>
    <w:p w14:paraId="04219BBB" w14:textId="08C63C9C" w:rsidR="00916BD6" w:rsidRPr="00A13612" w:rsidRDefault="00916BD6" w:rsidP="00441B6F">
      <w:pPr>
        <w:pStyle w:val="Body"/>
        <w:spacing w:after="0"/>
        <w:rPr>
          <w:rFonts w:ascii="Arial" w:hAnsi="Arial" w:cs="Arial"/>
          <w:lang w:val="de-DE"/>
        </w:rPr>
      </w:pPr>
    </w:p>
    <w:p w14:paraId="2F937C0D" w14:textId="09661298" w:rsidR="00A61AF1" w:rsidRPr="00A13612" w:rsidRDefault="0067001B" w:rsidP="00A61AF1">
      <w:pPr>
        <w:widowControl w:val="0"/>
        <w:autoSpaceDE w:val="0"/>
        <w:autoSpaceDN w:val="0"/>
        <w:adjustRightInd w:val="0"/>
        <w:ind w:left="480" w:hanging="480"/>
        <w:rPr>
          <w:rFonts w:ascii="Arial" w:hAnsi="Arial" w:cs="Arial"/>
          <w:noProof/>
        </w:rPr>
      </w:pPr>
      <w:r w:rsidRPr="00A13612">
        <w:rPr>
          <w:rFonts w:ascii="Arial" w:hAnsi="Arial" w:cs="Arial"/>
        </w:rPr>
        <w:fldChar w:fldCharType="begin" w:fldLock="1"/>
      </w:r>
      <w:r w:rsidRPr="00A13612">
        <w:rPr>
          <w:rFonts w:ascii="Arial" w:hAnsi="Arial" w:cs="Arial"/>
          <w:lang w:val="de-DE"/>
        </w:rPr>
        <w:instrText xml:space="preserve">ADDIN Mendeley Bibliography CSL_BIBLIOGRAPHY </w:instrText>
      </w:r>
      <w:r w:rsidRPr="00A13612">
        <w:rPr>
          <w:rFonts w:ascii="Arial" w:hAnsi="Arial" w:cs="Arial"/>
        </w:rPr>
        <w:fldChar w:fldCharType="separate"/>
      </w:r>
      <w:r w:rsidR="00A61AF1" w:rsidRPr="00A13612">
        <w:rPr>
          <w:rFonts w:ascii="Arial" w:hAnsi="Arial" w:cs="Arial"/>
          <w:noProof/>
          <w:lang w:val="de-DE"/>
        </w:rPr>
        <w:t xml:space="preserve">Aboobucker, H., &amp; Jahufer, A. (2018). </w:t>
      </w:r>
      <w:r w:rsidR="00A61AF1" w:rsidRPr="00A13612">
        <w:rPr>
          <w:rFonts w:ascii="Arial" w:hAnsi="Arial" w:cs="Arial"/>
          <w:noProof/>
        </w:rPr>
        <w:t xml:space="preserve">Impact of Consumer Price Index and Gross Domestic Saving on Economic Growth in Sri Lanka: An Econometric Analysis Using Johansen Co-Integration Approach. </w:t>
      </w:r>
      <w:r w:rsidR="00A61AF1" w:rsidRPr="00A13612">
        <w:rPr>
          <w:rFonts w:ascii="Arial" w:hAnsi="Arial" w:cs="Arial"/>
          <w:i/>
          <w:iCs/>
          <w:noProof/>
        </w:rPr>
        <w:t>International Journal of Innovative Research and Development</w:t>
      </w:r>
      <w:r w:rsidR="00A61AF1" w:rsidRPr="00A13612">
        <w:rPr>
          <w:rFonts w:ascii="Arial" w:hAnsi="Arial" w:cs="Arial"/>
          <w:noProof/>
        </w:rPr>
        <w:t xml:space="preserve">, </w:t>
      </w:r>
      <w:r w:rsidR="00A61AF1" w:rsidRPr="00A13612">
        <w:rPr>
          <w:rFonts w:ascii="Arial" w:hAnsi="Arial" w:cs="Arial"/>
          <w:i/>
          <w:iCs/>
          <w:noProof/>
        </w:rPr>
        <w:t>7</w:t>
      </w:r>
      <w:r w:rsidR="00A61AF1" w:rsidRPr="00A13612">
        <w:rPr>
          <w:rFonts w:ascii="Arial" w:hAnsi="Arial" w:cs="Arial"/>
          <w:noProof/>
        </w:rPr>
        <w:t>(8). https://doi.org/10.24940/ijird/2018/v7/i8/aug18054</w:t>
      </w:r>
    </w:p>
    <w:p w14:paraId="480AC3CE"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lang w:val="pt-BR"/>
        </w:rPr>
        <w:t xml:space="preserve">Afonso, A., José, A., &amp; and Balhote, R. (2019). </w:t>
      </w:r>
      <w:r w:rsidRPr="00A13612">
        <w:rPr>
          <w:rFonts w:ascii="Arial" w:hAnsi="Arial" w:cs="Arial"/>
          <w:noProof/>
        </w:rPr>
        <w:t xml:space="preserve">Interactions between monetary and fiscal policies. </w:t>
      </w:r>
      <w:r w:rsidRPr="00A13612">
        <w:rPr>
          <w:rFonts w:ascii="Arial" w:hAnsi="Arial" w:cs="Arial"/>
          <w:i/>
          <w:iCs/>
          <w:noProof/>
        </w:rPr>
        <w:t>Journal of Applied Economics</w:t>
      </w:r>
      <w:r w:rsidRPr="00A13612">
        <w:rPr>
          <w:rFonts w:ascii="Arial" w:hAnsi="Arial" w:cs="Arial"/>
          <w:noProof/>
        </w:rPr>
        <w:t xml:space="preserve">, </w:t>
      </w:r>
      <w:r w:rsidRPr="00A13612">
        <w:rPr>
          <w:rFonts w:ascii="Arial" w:hAnsi="Arial" w:cs="Arial"/>
          <w:i/>
          <w:iCs/>
          <w:noProof/>
        </w:rPr>
        <w:t>22</w:t>
      </w:r>
      <w:r w:rsidRPr="00A13612">
        <w:rPr>
          <w:rFonts w:ascii="Arial" w:hAnsi="Arial" w:cs="Arial"/>
          <w:noProof/>
        </w:rPr>
        <w:t>(1), 132–151. https://doi.org/10.1080/15140326.2019.1583309</w:t>
      </w:r>
    </w:p>
    <w:p w14:paraId="6006A1CE"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Ahiadorme, J. W. (2022). Monetary policy in search of macroeconomic stability and inclusive growth. </w:t>
      </w:r>
      <w:r w:rsidRPr="00A13612">
        <w:rPr>
          <w:rFonts w:ascii="Arial" w:hAnsi="Arial" w:cs="Arial"/>
          <w:i/>
          <w:iCs/>
          <w:noProof/>
        </w:rPr>
        <w:t>Research in Economics</w:t>
      </w:r>
      <w:r w:rsidRPr="00A13612">
        <w:rPr>
          <w:rFonts w:ascii="Arial" w:hAnsi="Arial" w:cs="Arial"/>
          <w:noProof/>
        </w:rPr>
        <w:t xml:space="preserve">, </w:t>
      </w:r>
      <w:r w:rsidRPr="00A13612">
        <w:rPr>
          <w:rFonts w:ascii="Arial" w:hAnsi="Arial" w:cs="Arial"/>
          <w:i/>
          <w:iCs/>
          <w:noProof/>
        </w:rPr>
        <w:t>76</w:t>
      </w:r>
      <w:r w:rsidRPr="00A13612">
        <w:rPr>
          <w:rFonts w:ascii="Arial" w:hAnsi="Arial" w:cs="Arial"/>
          <w:noProof/>
        </w:rPr>
        <w:t>(4), 308–324. https://doi.org/https://doi.org/10.1016/j.rie.2022.08.002</w:t>
      </w:r>
    </w:p>
    <w:p w14:paraId="797A5238"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lang w:val="pt-BR"/>
        </w:rPr>
        <w:lastRenderedPageBreak/>
        <w:t xml:space="preserve">Akinsola, F. A., &amp; Odhiambo, N. M. (2017). </w:t>
      </w:r>
      <w:r w:rsidRPr="00A13612">
        <w:rPr>
          <w:rFonts w:ascii="Arial" w:hAnsi="Arial" w:cs="Arial"/>
          <w:noProof/>
        </w:rPr>
        <w:t xml:space="preserve">Inflation and Economic Growth: A Review of the International Literature. </w:t>
      </w:r>
      <w:r w:rsidRPr="00A13612">
        <w:rPr>
          <w:rFonts w:ascii="Arial" w:hAnsi="Arial" w:cs="Arial"/>
          <w:i/>
          <w:iCs/>
          <w:noProof/>
        </w:rPr>
        <w:t>Comparative Economic Research</w:t>
      </w:r>
      <w:r w:rsidRPr="00A13612">
        <w:rPr>
          <w:rFonts w:ascii="Arial" w:hAnsi="Arial" w:cs="Arial"/>
          <w:noProof/>
        </w:rPr>
        <w:t xml:space="preserve">, </w:t>
      </w:r>
      <w:r w:rsidRPr="00A13612">
        <w:rPr>
          <w:rFonts w:ascii="Arial" w:hAnsi="Arial" w:cs="Arial"/>
          <w:i/>
          <w:iCs/>
          <w:noProof/>
        </w:rPr>
        <w:t>20</w:t>
      </w:r>
      <w:r w:rsidRPr="00A13612">
        <w:rPr>
          <w:rFonts w:ascii="Arial" w:hAnsi="Arial" w:cs="Arial"/>
          <w:noProof/>
        </w:rPr>
        <w:t>(3), 41–56. https://doi.org/10.1515/cer-2017-0019</w:t>
      </w:r>
    </w:p>
    <w:p w14:paraId="64B12E3F"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Anh, N. T. Van, Tung, H. T., &amp; Hien, V. T. (2020). The Impact of Labor Force on Economic Growth in Vietnam. </w:t>
      </w:r>
      <w:r w:rsidRPr="00A13612">
        <w:rPr>
          <w:rFonts w:ascii="Arial" w:hAnsi="Arial" w:cs="Arial"/>
          <w:i/>
          <w:iCs/>
          <w:noProof/>
        </w:rPr>
        <w:t>Journal of Economics and Business</w:t>
      </w:r>
      <w:r w:rsidRPr="00A13612">
        <w:rPr>
          <w:rFonts w:ascii="Arial" w:hAnsi="Arial" w:cs="Arial"/>
          <w:noProof/>
        </w:rPr>
        <w:t xml:space="preserve">, </w:t>
      </w:r>
      <w:r w:rsidRPr="00A13612">
        <w:rPr>
          <w:rFonts w:ascii="Arial" w:hAnsi="Arial" w:cs="Arial"/>
          <w:i/>
          <w:iCs/>
          <w:noProof/>
        </w:rPr>
        <w:t>3</w:t>
      </w:r>
      <w:r w:rsidRPr="00A13612">
        <w:rPr>
          <w:rFonts w:ascii="Arial" w:hAnsi="Arial" w:cs="Arial"/>
          <w:noProof/>
        </w:rPr>
        <w:t>(4). https://doi.org/10.31014/aior.1992.03.04.296</w:t>
      </w:r>
    </w:p>
    <w:p w14:paraId="7C48031F"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Arawatari, R., Hori, T., &amp; Mino, K. (2018). On the nonlinear relationship between inflation and growth: A theoretical exposition. </w:t>
      </w:r>
      <w:r w:rsidRPr="00A13612">
        <w:rPr>
          <w:rFonts w:ascii="Arial" w:hAnsi="Arial" w:cs="Arial"/>
          <w:i/>
          <w:iCs/>
          <w:noProof/>
        </w:rPr>
        <w:t>Journal of Monetary Economics</w:t>
      </w:r>
      <w:r w:rsidRPr="00A13612">
        <w:rPr>
          <w:rFonts w:ascii="Arial" w:hAnsi="Arial" w:cs="Arial"/>
          <w:noProof/>
        </w:rPr>
        <w:t xml:space="preserve">, </w:t>
      </w:r>
      <w:r w:rsidRPr="00A13612">
        <w:rPr>
          <w:rFonts w:ascii="Arial" w:hAnsi="Arial" w:cs="Arial"/>
          <w:i/>
          <w:iCs/>
          <w:noProof/>
        </w:rPr>
        <w:t>94</w:t>
      </w:r>
      <w:r w:rsidRPr="00A13612">
        <w:rPr>
          <w:rFonts w:ascii="Arial" w:hAnsi="Arial" w:cs="Arial"/>
          <w:noProof/>
        </w:rPr>
        <w:t>, 79–93. https://doi.org/https://doi.org/10.1016/j.jmoneco.2017.12.001</w:t>
      </w:r>
    </w:p>
    <w:p w14:paraId="71ACAD1A"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Barro, R. J. (1995). Inflation and economic growth. </w:t>
      </w:r>
      <w:r w:rsidRPr="00A13612">
        <w:rPr>
          <w:rFonts w:ascii="Arial" w:hAnsi="Arial" w:cs="Arial"/>
          <w:i/>
          <w:iCs/>
          <w:noProof/>
        </w:rPr>
        <w:t>Bank of England Quarterly Bulletin</w:t>
      </w:r>
      <w:r w:rsidRPr="00A13612">
        <w:rPr>
          <w:rFonts w:ascii="Arial" w:hAnsi="Arial" w:cs="Arial"/>
          <w:noProof/>
        </w:rPr>
        <w:t xml:space="preserve">, </w:t>
      </w:r>
      <w:r w:rsidRPr="00A13612">
        <w:rPr>
          <w:rFonts w:ascii="Arial" w:hAnsi="Arial" w:cs="Arial"/>
          <w:i/>
          <w:iCs/>
          <w:noProof/>
        </w:rPr>
        <w:t>32</w:t>
      </w:r>
      <w:r w:rsidRPr="00A13612">
        <w:rPr>
          <w:rFonts w:ascii="Arial" w:hAnsi="Arial" w:cs="Arial"/>
          <w:noProof/>
        </w:rPr>
        <w:t>(2), 166–176. https://doi.org///doi.org/10.3386/w5326</w:t>
      </w:r>
    </w:p>
    <w:p w14:paraId="0879AD91"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Hsu, Y.-H., &amp; Lo, H.-C. (2019). The Impacts of Population Aging on Saving, Capital Formation, and Economic Growth. </w:t>
      </w:r>
      <w:r w:rsidRPr="00A13612">
        <w:rPr>
          <w:rFonts w:ascii="Arial" w:hAnsi="Arial" w:cs="Arial"/>
          <w:i/>
          <w:iCs/>
          <w:noProof/>
        </w:rPr>
        <w:t>American Journal of Industrial and Business Management</w:t>
      </w:r>
      <w:r w:rsidRPr="00A13612">
        <w:rPr>
          <w:rFonts w:ascii="Arial" w:hAnsi="Arial" w:cs="Arial"/>
          <w:noProof/>
        </w:rPr>
        <w:t xml:space="preserve">, </w:t>
      </w:r>
      <w:r w:rsidRPr="00A13612">
        <w:rPr>
          <w:rFonts w:ascii="Arial" w:hAnsi="Arial" w:cs="Arial"/>
          <w:i/>
          <w:iCs/>
          <w:noProof/>
        </w:rPr>
        <w:t>09</w:t>
      </w:r>
      <w:r w:rsidRPr="00A13612">
        <w:rPr>
          <w:rFonts w:ascii="Arial" w:hAnsi="Arial" w:cs="Arial"/>
          <w:noProof/>
        </w:rPr>
        <w:t>(12), 2231–2249. https://doi.org/10.4236/ajibm.2019.912148</w:t>
      </w:r>
    </w:p>
    <w:p w14:paraId="3F04558A"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lang w:val="de-DE"/>
        </w:rPr>
        <w:t xml:space="preserve">Jung, W. S., &amp; Marshall, P. J. (1986). </w:t>
      </w:r>
      <w:r w:rsidRPr="00A13612">
        <w:rPr>
          <w:rFonts w:ascii="Arial" w:hAnsi="Arial" w:cs="Arial"/>
          <w:noProof/>
        </w:rPr>
        <w:t xml:space="preserve">Inflation and Economic Growth: Some International Evidence on Structuralist and Distortionist Positions: Note. </w:t>
      </w:r>
      <w:r w:rsidRPr="00A13612">
        <w:rPr>
          <w:rFonts w:ascii="Arial" w:hAnsi="Arial" w:cs="Arial"/>
          <w:i/>
          <w:iCs/>
          <w:noProof/>
        </w:rPr>
        <w:t>Journal of Money, Credit and Banking</w:t>
      </w:r>
      <w:r w:rsidRPr="00A13612">
        <w:rPr>
          <w:rFonts w:ascii="Arial" w:hAnsi="Arial" w:cs="Arial"/>
          <w:noProof/>
        </w:rPr>
        <w:t xml:space="preserve">, </w:t>
      </w:r>
      <w:r w:rsidRPr="00A13612">
        <w:rPr>
          <w:rFonts w:ascii="Arial" w:hAnsi="Arial" w:cs="Arial"/>
          <w:i/>
          <w:iCs/>
          <w:noProof/>
        </w:rPr>
        <w:t>18</w:t>
      </w:r>
      <w:r w:rsidRPr="00A13612">
        <w:rPr>
          <w:rFonts w:ascii="Arial" w:hAnsi="Arial" w:cs="Arial"/>
          <w:noProof/>
        </w:rPr>
        <w:t>(2), 227–232. https://doi.org/10.2307/1992206</w:t>
      </w:r>
    </w:p>
    <w:p w14:paraId="24525C03"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Kusumatrisna, A. L., Sugema, I., &amp; Pasaribu, S. H. (2022). Threshold Effect in the Relationship between Inflation Rate and Economic Growth in Indonesia. </w:t>
      </w:r>
      <w:r w:rsidRPr="00A13612">
        <w:rPr>
          <w:rFonts w:ascii="Arial" w:hAnsi="Arial" w:cs="Arial"/>
          <w:i/>
          <w:iCs/>
          <w:noProof/>
        </w:rPr>
        <w:t>Buletin Ekonomi Moneter Dan Perbankan</w:t>
      </w:r>
      <w:r w:rsidRPr="00A13612">
        <w:rPr>
          <w:rFonts w:ascii="Arial" w:hAnsi="Arial" w:cs="Arial"/>
          <w:noProof/>
        </w:rPr>
        <w:t xml:space="preserve">, </w:t>
      </w:r>
      <w:r w:rsidRPr="00A13612">
        <w:rPr>
          <w:rFonts w:ascii="Arial" w:hAnsi="Arial" w:cs="Arial"/>
          <w:i/>
          <w:iCs/>
          <w:noProof/>
        </w:rPr>
        <w:t>25</w:t>
      </w:r>
      <w:r w:rsidRPr="00A13612">
        <w:rPr>
          <w:rFonts w:ascii="Arial" w:hAnsi="Arial" w:cs="Arial"/>
          <w:noProof/>
        </w:rPr>
        <w:t>(2), 117–132. https://doi.org/10.21098/bemp.v25i1.1045</w:t>
      </w:r>
    </w:p>
    <w:p w14:paraId="06A0A082"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Kyo, K. (2018). The Dynamic Relationship between Economic Growth and Inflation in Japan. </w:t>
      </w:r>
      <w:r w:rsidRPr="00A13612">
        <w:rPr>
          <w:rFonts w:ascii="Arial" w:hAnsi="Arial" w:cs="Arial"/>
          <w:i/>
          <w:iCs/>
          <w:noProof/>
        </w:rPr>
        <w:t>Open Journal of Social Sciences</w:t>
      </w:r>
      <w:r w:rsidRPr="00A13612">
        <w:rPr>
          <w:rFonts w:ascii="Arial" w:hAnsi="Arial" w:cs="Arial"/>
          <w:noProof/>
        </w:rPr>
        <w:t xml:space="preserve">, </w:t>
      </w:r>
      <w:r w:rsidRPr="00A13612">
        <w:rPr>
          <w:rFonts w:ascii="Arial" w:hAnsi="Arial" w:cs="Arial"/>
          <w:i/>
          <w:iCs/>
          <w:noProof/>
        </w:rPr>
        <w:t>06</w:t>
      </w:r>
      <w:r w:rsidRPr="00A13612">
        <w:rPr>
          <w:rFonts w:ascii="Arial" w:hAnsi="Arial" w:cs="Arial"/>
          <w:noProof/>
        </w:rPr>
        <w:t>(03), 20–32. https://doi.org/10.4236/jss.2018.63003</w:t>
      </w:r>
    </w:p>
    <w:p w14:paraId="5B3A3E4B"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Latif, N. W. A., Abdullah, Z., &amp; Razdi, M. A. M. (2015). An autoregressive distributed lag (ARDL) analysis of the nexus between savings and investment in the three Asian economies. </w:t>
      </w:r>
      <w:r w:rsidRPr="00A13612">
        <w:rPr>
          <w:rFonts w:ascii="Arial" w:hAnsi="Arial" w:cs="Arial"/>
          <w:i/>
          <w:iCs/>
          <w:noProof/>
        </w:rPr>
        <w:t>The Journal of Developing Areas</w:t>
      </w:r>
      <w:r w:rsidRPr="00A13612">
        <w:rPr>
          <w:rFonts w:ascii="Arial" w:hAnsi="Arial" w:cs="Arial"/>
          <w:noProof/>
        </w:rPr>
        <w:t xml:space="preserve">, </w:t>
      </w:r>
      <w:r w:rsidRPr="00A13612">
        <w:rPr>
          <w:rFonts w:ascii="Arial" w:hAnsi="Arial" w:cs="Arial"/>
          <w:i/>
          <w:iCs/>
          <w:noProof/>
        </w:rPr>
        <w:t>49</w:t>
      </w:r>
      <w:r w:rsidRPr="00A13612">
        <w:rPr>
          <w:rFonts w:ascii="Arial" w:hAnsi="Arial" w:cs="Arial"/>
          <w:noProof/>
        </w:rPr>
        <w:t>(3), 323–334. https://doi.org/10.1353/jda.2015.0154</w:t>
      </w:r>
    </w:p>
    <w:p w14:paraId="64749D62"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Mandeya, S. M. T., &amp; Ho, S.-Y. (2021). Inflation, inflation uncertainty and the economic growth nexus: An impact study of South Africa. </w:t>
      </w:r>
      <w:r w:rsidRPr="00A13612">
        <w:rPr>
          <w:rFonts w:ascii="Arial" w:hAnsi="Arial" w:cs="Arial"/>
          <w:i/>
          <w:iCs/>
          <w:noProof/>
        </w:rPr>
        <w:t>MethodsX</w:t>
      </w:r>
      <w:r w:rsidRPr="00A13612">
        <w:rPr>
          <w:rFonts w:ascii="Arial" w:hAnsi="Arial" w:cs="Arial"/>
          <w:noProof/>
        </w:rPr>
        <w:t xml:space="preserve">, </w:t>
      </w:r>
      <w:r w:rsidRPr="00A13612">
        <w:rPr>
          <w:rFonts w:ascii="Arial" w:hAnsi="Arial" w:cs="Arial"/>
          <w:i/>
          <w:iCs/>
          <w:noProof/>
        </w:rPr>
        <w:t>8</w:t>
      </w:r>
      <w:r w:rsidRPr="00A13612">
        <w:rPr>
          <w:rFonts w:ascii="Arial" w:hAnsi="Arial" w:cs="Arial"/>
          <w:noProof/>
        </w:rPr>
        <w:t>, 101501. https://doi.org/https://doi.org/10.1016/j.mex.2021.101501</w:t>
      </w:r>
    </w:p>
    <w:p w14:paraId="68C6A625"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Mishchenko, V., Naumenkova, S., Mishchenko, S., &amp; Ivanov, V. (2018). Inflation and economic growth: The search for a compromise for the Central Bank’s monetary policy. </w:t>
      </w:r>
      <w:r w:rsidRPr="00A13612">
        <w:rPr>
          <w:rFonts w:ascii="Arial" w:hAnsi="Arial" w:cs="Arial"/>
          <w:i/>
          <w:iCs/>
          <w:noProof/>
        </w:rPr>
        <w:t>Banks and Bank Systems</w:t>
      </w:r>
      <w:r w:rsidRPr="00A13612">
        <w:rPr>
          <w:rFonts w:ascii="Arial" w:hAnsi="Arial" w:cs="Arial"/>
          <w:noProof/>
        </w:rPr>
        <w:t xml:space="preserve">, </w:t>
      </w:r>
      <w:r w:rsidRPr="00A13612">
        <w:rPr>
          <w:rFonts w:ascii="Arial" w:hAnsi="Arial" w:cs="Arial"/>
          <w:i/>
          <w:iCs/>
          <w:noProof/>
        </w:rPr>
        <w:t>13</w:t>
      </w:r>
      <w:r w:rsidRPr="00A13612">
        <w:rPr>
          <w:rFonts w:ascii="Arial" w:hAnsi="Arial" w:cs="Arial"/>
          <w:noProof/>
        </w:rPr>
        <w:t>(2), 153–163. https://doi.org/10.21511/bbs.13(2).2018.13</w:t>
      </w:r>
    </w:p>
    <w:p w14:paraId="27E0C8B6"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Musarat, M. A., Alaloul, W. S., &amp; Liew, M. S. (2021). Impact of inflation rate on construction projects budget: A review. </w:t>
      </w:r>
      <w:r w:rsidRPr="00A13612">
        <w:rPr>
          <w:rFonts w:ascii="Arial" w:hAnsi="Arial" w:cs="Arial"/>
          <w:i/>
          <w:iCs/>
          <w:noProof/>
        </w:rPr>
        <w:t>Ain Shams Engineering Journal</w:t>
      </w:r>
      <w:r w:rsidRPr="00A13612">
        <w:rPr>
          <w:rFonts w:ascii="Arial" w:hAnsi="Arial" w:cs="Arial"/>
          <w:noProof/>
        </w:rPr>
        <w:t xml:space="preserve">, </w:t>
      </w:r>
      <w:r w:rsidRPr="00A13612">
        <w:rPr>
          <w:rFonts w:ascii="Arial" w:hAnsi="Arial" w:cs="Arial"/>
          <w:i/>
          <w:iCs/>
          <w:noProof/>
        </w:rPr>
        <w:t>12</w:t>
      </w:r>
      <w:r w:rsidRPr="00A13612">
        <w:rPr>
          <w:rFonts w:ascii="Arial" w:hAnsi="Arial" w:cs="Arial"/>
          <w:noProof/>
        </w:rPr>
        <w:t>(1), 407–414. https://doi.org/https://doi.org/10.1016/j.asej.2020.04.009</w:t>
      </w:r>
    </w:p>
    <w:p w14:paraId="7580BDD7"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Negm, E. M. (2023). Consumers’ purchase behavior reactions: a focus on the steady devaluation of currency, compounding increase in inflation rates in Egypt. </w:t>
      </w:r>
      <w:r w:rsidRPr="00A13612">
        <w:rPr>
          <w:rFonts w:ascii="Arial" w:hAnsi="Arial" w:cs="Arial"/>
          <w:i/>
          <w:iCs/>
          <w:noProof/>
        </w:rPr>
        <w:t>Journal of Humanities and Applied Social Sciences</w:t>
      </w:r>
      <w:r w:rsidRPr="00A13612">
        <w:rPr>
          <w:rFonts w:ascii="Arial" w:hAnsi="Arial" w:cs="Arial"/>
          <w:noProof/>
        </w:rPr>
        <w:t xml:space="preserve">, </w:t>
      </w:r>
      <w:r w:rsidRPr="00A13612">
        <w:rPr>
          <w:rFonts w:ascii="Arial" w:hAnsi="Arial" w:cs="Arial"/>
          <w:i/>
          <w:iCs/>
          <w:noProof/>
        </w:rPr>
        <w:t>5</w:t>
      </w:r>
      <w:r w:rsidRPr="00A13612">
        <w:rPr>
          <w:rFonts w:ascii="Arial" w:hAnsi="Arial" w:cs="Arial"/>
          <w:noProof/>
        </w:rPr>
        <w:t>(5), 383–401. https://doi.org/10.1108/jhass-05-2023-0054</w:t>
      </w:r>
    </w:p>
    <w:p w14:paraId="66FFC522"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lang w:val="pt-BR"/>
        </w:rPr>
        <w:t xml:space="preserve">Nicolay, R., &amp; de Oliveira, A. J. (2019). </w:t>
      </w:r>
      <w:r w:rsidRPr="00A13612">
        <w:rPr>
          <w:rFonts w:ascii="Arial" w:hAnsi="Arial" w:cs="Arial"/>
          <w:noProof/>
        </w:rPr>
        <w:t xml:space="preserve">Inflation volatility, monetary policy signaling and clarity of the central bank communication. </w:t>
      </w:r>
      <w:r w:rsidRPr="00A13612">
        <w:rPr>
          <w:rFonts w:ascii="Arial" w:hAnsi="Arial" w:cs="Arial"/>
          <w:i/>
          <w:iCs/>
          <w:noProof/>
        </w:rPr>
        <w:t>Journal of Economic Studies</w:t>
      </w:r>
      <w:r w:rsidRPr="00A13612">
        <w:rPr>
          <w:rFonts w:ascii="Arial" w:hAnsi="Arial" w:cs="Arial"/>
          <w:noProof/>
        </w:rPr>
        <w:t xml:space="preserve">, </w:t>
      </w:r>
      <w:r w:rsidRPr="00A13612">
        <w:rPr>
          <w:rFonts w:ascii="Arial" w:hAnsi="Arial" w:cs="Arial"/>
          <w:i/>
          <w:iCs/>
          <w:noProof/>
        </w:rPr>
        <w:t>46</w:t>
      </w:r>
      <w:r w:rsidRPr="00A13612">
        <w:rPr>
          <w:rFonts w:ascii="Arial" w:hAnsi="Arial" w:cs="Arial"/>
          <w:noProof/>
        </w:rPr>
        <w:t>(2), 266–283. https://doi.org/10.1108/JES-10-2017-0293</w:t>
      </w:r>
    </w:p>
    <w:p w14:paraId="7D3A9612"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Nwosu, A. E., Bello, V. A., Oyetunji, A. K., &amp; Amaechi, C. V. (2024). Dynamics of the Inflation-Hedging Capabilities of Real Estate Investment Portfolios in the Nigerian Property Market. </w:t>
      </w:r>
      <w:r w:rsidRPr="00A13612">
        <w:rPr>
          <w:rFonts w:ascii="Arial" w:hAnsi="Arial" w:cs="Arial"/>
          <w:i/>
          <w:iCs/>
          <w:noProof/>
        </w:rPr>
        <w:t>Buildings</w:t>
      </w:r>
      <w:r w:rsidRPr="00A13612">
        <w:rPr>
          <w:rFonts w:ascii="Arial" w:hAnsi="Arial" w:cs="Arial"/>
          <w:noProof/>
        </w:rPr>
        <w:t xml:space="preserve">, </w:t>
      </w:r>
      <w:r w:rsidRPr="00A13612">
        <w:rPr>
          <w:rFonts w:ascii="Arial" w:hAnsi="Arial" w:cs="Arial"/>
          <w:i/>
          <w:iCs/>
          <w:noProof/>
        </w:rPr>
        <w:t>14</w:t>
      </w:r>
      <w:r w:rsidRPr="00A13612">
        <w:rPr>
          <w:rFonts w:ascii="Arial" w:hAnsi="Arial" w:cs="Arial"/>
          <w:noProof/>
        </w:rPr>
        <w:t>(1). https://doi.org/10.3390/buildings14010072</w:t>
      </w:r>
    </w:p>
    <w:p w14:paraId="4B9C1FE2"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Papell, D. H., &amp; Prodan, R. (2020). Long-run purchasing power parity redux. </w:t>
      </w:r>
      <w:r w:rsidRPr="00A13612">
        <w:rPr>
          <w:rFonts w:ascii="Arial" w:hAnsi="Arial" w:cs="Arial"/>
          <w:i/>
          <w:iCs/>
          <w:noProof/>
        </w:rPr>
        <w:t>Journal of International Money and Finance</w:t>
      </w:r>
      <w:r w:rsidRPr="00A13612">
        <w:rPr>
          <w:rFonts w:ascii="Arial" w:hAnsi="Arial" w:cs="Arial"/>
          <w:noProof/>
        </w:rPr>
        <w:t xml:space="preserve">, </w:t>
      </w:r>
      <w:r w:rsidRPr="00A13612">
        <w:rPr>
          <w:rFonts w:ascii="Arial" w:hAnsi="Arial" w:cs="Arial"/>
          <w:i/>
          <w:iCs/>
          <w:noProof/>
        </w:rPr>
        <w:t>109</w:t>
      </w:r>
      <w:r w:rsidRPr="00A13612">
        <w:rPr>
          <w:rFonts w:ascii="Arial" w:hAnsi="Arial" w:cs="Arial"/>
          <w:noProof/>
        </w:rPr>
        <w:t>, 102260. https://doi.org/https://doi.org/10.1016/j.jimonfin.2020.102260</w:t>
      </w:r>
    </w:p>
    <w:p w14:paraId="3F7FF7F2"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Parkin, M. (2017). </w:t>
      </w:r>
      <w:r w:rsidRPr="00A13612">
        <w:rPr>
          <w:rFonts w:ascii="Arial" w:hAnsi="Arial" w:cs="Arial"/>
          <w:i/>
          <w:iCs/>
          <w:noProof/>
        </w:rPr>
        <w:t>Inflation BT  - The New Palgrave Dictionary of Economics</w:t>
      </w:r>
      <w:r w:rsidRPr="00A13612">
        <w:rPr>
          <w:rFonts w:ascii="Arial" w:hAnsi="Arial" w:cs="Arial"/>
          <w:noProof/>
        </w:rPr>
        <w:t xml:space="preserve"> (pp. 1–14). Palgrave Macmillan UK. https://doi.org/10.1057/978-1-349-95121-5_888-2</w:t>
      </w:r>
    </w:p>
    <w:p w14:paraId="2B57C666"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Pesaran, M. H., Shin, Y., &amp; Smith, R. J. (2001). Bounds testing approaches to the analysis of </w:t>
      </w:r>
      <w:r w:rsidRPr="00A13612">
        <w:rPr>
          <w:rFonts w:ascii="Arial" w:hAnsi="Arial" w:cs="Arial"/>
          <w:noProof/>
        </w:rPr>
        <w:lastRenderedPageBreak/>
        <w:t xml:space="preserve">level relationships. </w:t>
      </w:r>
      <w:r w:rsidRPr="00A13612">
        <w:rPr>
          <w:rFonts w:ascii="Arial" w:hAnsi="Arial" w:cs="Arial"/>
          <w:i/>
          <w:iCs/>
          <w:noProof/>
        </w:rPr>
        <w:t>Journal of Applied Econometrics</w:t>
      </w:r>
      <w:r w:rsidRPr="00A13612">
        <w:rPr>
          <w:rFonts w:ascii="Arial" w:hAnsi="Arial" w:cs="Arial"/>
          <w:noProof/>
        </w:rPr>
        <w:t xml:space="preserve">, </w:t>
      </w:r>
      <w:r w:rsidRPr="00A13612">
        <w:rPr>
          <w:rFonts w:ascii="Arial" w:hAnsi="Arial" w:cs="Arial"/>
          <w:i/>
          <w:iCs/>
          <w:noProof/>
        </w:rPr>
        <w:t>16</w:t>
      </w:r>
      <w:r w:rsidRPr="00A13612">
        <w:rPr>
          <w:rFonts w:ascii="Arial" w:hAnsi="Arial" w:cs="Arial"/>
          <w:noProof/>
        </w:rPr>
        <w:t>(3), 289–326. https://doi.org/10.1002/jae.616</w:t>
      </w:r>
    </w:p>
    <w:p w14:paraId="6162F578"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Sam, C. Y., McNown, R., &amp; Goh, S. K. (2019). An augmented autoregressive distributed lag bounds test for cointegration. </w:t>
      </w:r>
      <w:r w:rsidRPr="00A13612">
        <w:rPr>
          <w:rFonts w:ascii="Arial" w:hAnsi="Arial" w:cs="Arial"/>
          <w:i/>
          <w:iCs/>
          <w:noProof/>
        </w:rPr>
        <w:t>Economic Modelling</w:t>
      </w:r>
      <w:r w:rsidRPr="00A13612">
        <w:rPr>
          <w:rFonts w:ascii="Arial" w:hAnsi="Arial" w:cs="Arial"/>
          <w:noProof/>
        </w:rPr>
        <w:t xml:space="preserve">, </w:t>
      </w:r>
      <w:r w:rsidRPr="00A13612">
        <w:rPr>
          <w:rFonts w:ascii="Arial" w:hAnsi="Arial" w:cs="Arial"/>
          <w:i/>
          <w:iCs/>
          <w:noProof/>
        </w:rPr>
        <w:t>80</w:t>
      </w:r>
      <w:r w:rsidRPr="00A13612">
        <w:rPr>
          <w:rFonts w:ascii="Arial" w:hAnsi="Arial" w:cs="Arial"/>
          <w:noProof/>
        </w:rPr>
        <w:t>(November 2018), 130–141. https://doi.org/10.1016/j.econmod.2018.11.001</w:t>
      </w:r>
    </w:p>
    <w:p w14:paraId="2C6FE233"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Song, Y. (2024). The Relationship between CPI and Employment and National GDP : Empirical Research Based on French Data. </w:t>
      </w:r>
      <w:r w:rsidRPr="00A13612">
        <w:rPr>
          <w:rFonts w:ascii="Arial" w:hAnsi="Arial" w:cs="Arial"/>
          <w:i/>
          <w:iCs/>
          <w:noProof/>
        </w:rPr>
        <w:t>Proceedings of the 2024 2nd International Conference on Finance, Trade and Business Management (FTBM 2024)</w:t>
      </w:r>
      <w:r w:rsidRPr="00A13612">
        <w:rPr>
          <w:rFonts w:ascii="Arial" w:hAnsi="Arial" w:cs="Arial"/>
          <w:noProof/>
        </w:rPr>
        <w:t xml:space="preserve">, </w:t>
      </w:r>
      <w:r w:rsidRPr="00A13612">
        <w:rPr>
          <w:rFonts w:ascii="Arial" w:hAnsi="Arial" w:cs="Arial"/>
          <w:i/>
          <w:iCs/>
          <w:noProof/>
        </w:rPr>
        <w:t>Ftbm</w:t>
      </w:r>
      <w:r w:rsidRPr="00A13612">
        <w:rPr>
          <w:rFonts w:ascii="Arial" w:hAnsi="Arial" w:cs="Arial"/>
          <w:noProof/>
        </w:rPr>
        <w:t>. https://doi.org/10.2991/978-94-6463-546-1</w:t>
      </w:r>
    </w:p>
    <w:p w14:paraId="5B457DB1"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lang w:val="pt-BR"/>
        </w:rPr>
        <w:t xml:space="preserve">Toda, H. Y., &amp; Yamamoto, T. (1995). </w:t>
      </w:r>
      <w:r w:rsidRPr="00A13612">
        <w:rPr>
          <w:rFonts w:ascii="Arial" w:hAnsi="Arial" w:cs="Arial"/>
          <w:noProof/>
        </w:rPr>
        <w:t xml:space="preserve">Statistical inference in vector autoregressions with possibly integrated processes. </w:t>
      </w:r>
      <w:r w:rsidRPr="00A13612">
        <w:rPr>
          <w:rFonts w:ascii="Arial" w:hAnsi="Arial" w:cs="Arial"/>
          <w:i/>
          <w:iCs/>
          <w:noProof/>
        </w:rPr>
        <w:t>Journal of Econometrics</w:t>
      </w:r>
      <w:r w:rsidRPr="00A13612">
        <w:rPr>
          <w:rFonts w:ascii="Arial" w:hAnsi="Arial" w:cs="Arial"/>
          <w:noProof/>
        </w:rPr>
        <w:t xml:space="preserve">, </w:t>
      </w:r>
      <w:r w:rsidRPr="00A13612">
        <w:rPr>
          <w:rFonts w:ascii="Arial" w:hAnsi="Arial" w:cs="Arial"/>
          <w:i/>
          <w:iCs/>
          <w:noProof/>
        </w:rPr>
        <w:t>66</w:t>
      </w:r>
      <w:r w:rsidRPr="00A13612">
        <w:rPr>
          <w:rFonts w:ascii="Arial" w:hAnsi="Arial" w:cs="Arial"/>
          <w:noProof/>
        </w:rPr>
        <w:t>(1–2), 225–250. https://econpapers.repec.org/RePEc:eee:econom:v:66:y:1995:i:1-2:p:225-250</w:t>
      </w:r>
    </w:p>
    <w:p w14:paraId="13F3CDDD"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Topcu, E., Altinoz, B., &amp; Aslan, A. (2020). Global evidence from the link between economic growth, natural resources, energy consumption, and gross capital formation. </w:t>
      </w:r>
      <w:r w:rsidRPr="00A13612">
        <w:rPr>
          <w:rFonts w:ascii="Arial" w:hAnsi="Arial" w:cs="Arial"/>
          <w:i/>
          <w:iCs/>
          <w:noProof/>
        </w:rPr>
        <w:t>Resources Policy</w:t>
      </w:r>
      <w:r w:rsidRPr="00A13612">
        <w:rPr>
          <w:rFonts w:ascii="Arial" w:hAnsi="Arial" w:cs="Arial"/>
          <w:noProof/>
        </w:rPr>
        <w:t xml:space="preserve">, </w:t>
      </w:r>
      <w:r w:rsidRPr="00A13612">
        <w:rPr>
          <w:rFonts w:ascii="Arial" w:hAnsi="Arial" w:cs="Arial"/>
          <w:i/>
          <w:iCs/>
          <w:noProof/>
        </w:rPr>
        <w:t>66</w:t>
      </w:r>
      <w:r w:rsidRPr="00A13612">
        <w:rPr>
          <w:rFonts w:ascii="Arial" w:hAnsi="Arial" w:cs="Arial"/>
          <w:noProof/>
        </w:rPr>
        <w:t>, 101622. https://doi.org/https://doi.org/10.1016/j.resourpol.2020.101622</w:t>
      </w:r>
    </w:p>
    <w:p w14:paraId="0B2D539B"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lang w:val="nl-NL"/>
        </w:rPr>
        <w:t xml:space="preserve">Yasmeen, H., Tan, Q., Zameer, H., Vo, X. V., &amp; Shahbaz, M. (2021). </w:t>
      </w:r>
      <w:r w:rsidRPr="00A13612">
        <w:rPr>
          <w:rFonts w:ascii="Arial" w:hAnsi="Arial" w:cs="Arial"/>
          <w:noProof/>
        </w:rPr>
        <w:t xml:space="preserve">Discovering the relationship between natural resources, energy consumption, gross capital formation with economic growth: Can lower financial openness change the curse into blessing. </w:t>
      </w:r>
      <w:r w:rsidRPr="00A13612">
        <w:rPr>
          <w:rFonts w:ascii="Arial" w:hAnsi="Arial" w:cs="Arial"/>
          <w:i/>
          <w:iCs/>
          <w:noProof/>
        </w:rPr>
        <w:t>Resources Policy</w:t>
      </w:r>
      <w:r w:rsidRPr="00A13612">
        <w:rPr>
          <w:rFonts w:ascii="Arial" w:hAnsi="Arial" w:cs="Arial"/>
          <w:noProof/>
        </w:rPr>
        <w:t xml:space="preserve">, </w:t>
      </w:r>
      <w:r w:rsidRPr="00A13612">
        <w:rPr>
          <w:rFonts w:ascii="Arial" w:hAnsi="Arial" w:cs="Arial"/>
          <w:i/>
          <w:iCs/>
          <w:noProof/>
        </w:rPr>
        <w:t>71</w:t>
      </w:r>
      <w:r w:rsidRPr="00A13612">
        <w:rPr>
          <w:rFonts w:ascii="Arial" w:hAnsi="Arial" w:cs="Arial"/>
          <w:noProof/>
        </w:rPr>
        <w:t>, 102013. https://doi.org/https://doi.org/10.1016/j.resourpol.2021.102013</w:t>
      </w:r>
    </w:p>
    <w:p w14:paraId="64ED1D40" w14:textId="77777777" w:rsidR="00A61AF1" w:rsidRPr="00A13612" w:rsidRDefault="00A61AF1" w:rsidP="00A61AF1">
      <w:pPr>
        <w:widowControl w:val="0"/>
        <w:autoSpaceDE w:val="0"/>
        <w:autoSpaceDN w:val="0"/>
        <w:adjustRightInd w:val="0"/>
        <w:ind w:left="480" w:hanging="480"/>
        <w:rPr>
          <w:rFonts w:ascii="Arial" w:hAnsi="Arial" w:cs="Arial"/>
          <w:noProof/>
        </w:rPr>
      </w:pPr>
      <w:r w:rsidRPr="00A13612">
        <w:rPr>
          <w:rFonts w:ascii="Arial" w:hAnsi="Arial" w:cs="Arial"/>
          <w:noProof/>
        </w:rPr>
        <w:t xml:space="preserve">Zivot, E., &amp; Andrews, D. W. K. (1992). Further Evidence on the Great Crash, the Oild-Price Shock, and Unit-Root Hypothesis. </w:t>
      </w:r>
      <w:r w:rsidRPr="00A13612">
        <w:rPr>
          <w:rFonts w:ascii="Arial" w:hAnsi="Arial" w:cs="Arial"/>
          <w:i/>
          <w:iCs/>
          <w:noProof/>
        </w:rPr>
        <w:t>Journal of Business &amp; Economic Statistics</w:t>
      </w:r>
      <w:r w:rsidRPr="00A13612">
        <w:rPr>
          <w:rFonts w:ascii="Arial" w:hAnsi="Arial" w:cs="Arial"/>
          <w:noProof/>
        </w:rPr>
        <w:t xml:space="preserve">, </w:t>
      </w:r>
      <w:r w:rsidRPr="00A13612">
        <w:rPr>
          <w:rFonts w:ascii="Arial" w:hAnsi="Arial" w:cs="Arial"/>
          <w:i/>
          <w:iCs/>
          <w:noProof/>
        </w:rPr>
        <w:t>10</w:t>
      </w:r>
      <w:r w:rsidRPr="00A13612">
        <w:rPr>
          <w:rFonts w:ascii="Arial" w:hAnsi="Arial" w:cs="Arial"/>
          <w:noProof/>
        </w:rPr>
        <w:t>(3), 251–270. https://doi.org/https://doi.org/10.2307/1391541</w:t>
      </w:r>
    </w:p>
    <w:p w14:paraId="7C8736E5" w14:textId="3D5C6F0D" w:rsidR="00916BD6" w:rsidRDefault="0067001B" w:rsidP="00441B6F">
      <w:pPr>
        <w:pStyle w:val="Body"/>
        <w:spacing w:after="0"/>
        <w:rPr>
          <w:rFonts w:ascii="Arial" w:hAnsi="Arial" w:cs="Arial"/>
        </w:rPr>
      </w:pPr>
      <w:r w:rsidRPr="00A13612">
        <w:rPr>
          <w:rFonts w:ascii="Arial" w:hAnsi="Arial" w:cs="Arial"/>
        </w:rPr>
        <w:fldChar w:fldCharType="end"/>
      </w:r>
    </w:p>
    <w:p w14:paraId="40F83020" w14:textId="38F35653" w:rsidR="004D4277" w:rsidRPr="005B7238" w:rsidRDefault="004D4277" w:rsidP="00441B6F">
      <w:pPr>
        <w:pStyle w:val="Appendix"/>
        <w:spacing w:after="0"/>
        <w:jc w:val="both"/>
        <w:rPr>
          <w:rFonts w:ascii="Arial" w:hAnsi="Arial" w:cs="Arial"/>
          <w:b w:val="0"/>
        </w:rPr>
        <w:sectPr w:rsidR="004D4277" w:rsidRPr="005B7238" w:rsidSect="001A207D">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2016" w:bottom="2016" w:left="2016" w:header="720" w:footer="1123" w:gutter="0"/>
          <w:cols w:space="720"/>
          <w:docGrid w:linePitch="272"/>
        </w:sectPr>
      </w:pPr>
    </w:p>
    <w:p w14:paraId="0C5B0A74" w14:textId="77777777" w:rsidR="00B01FCD" w:rsidRPr="005B7238" w:rsidRDefault="00B01FCD" w:rsidP="00441B6F">
      <w:pPr>
        <w:pStyle w:val="Appendix"/>
        <w:spacing w:after="0"/>
        <w:jc w:val="both"/>
        <w:rPr>
          <w:rFonts w:ascii="Arial" w:hAnsi="Arial" w:cs="Arial"/>
          <w:b w:val="0"/>
        </w:rPr>
      </w:pPr>
    </w:p>
    <w:sectPr w:rsidR="00B01FCD" w:rsidRPr="005B7238" w:rsidSect="001A207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BD90" w14:textId="77777777" w:rsidR="000466ED" w:rsidRDefault="000466ED" w:rsidP="00C37E61">
      <w:r>
        <w:separator/>
      </w:r>
    </w:p>
  </w:endnote>
  <w:endnote w:type="continuationSeparator" w:id="0">
    <w:p w14:paraId="0FDD1AC7" w14:textId="77777777" w:rsidR="000466ED" w:rsidRDefault="000466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4B2D" w14:textId="77777777" w:rsidR="001A207D" w:rsidRDefault="001A2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BB33"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787A" w14:textId="77777777" w:rsidR="001A207D" w:rsidRDefault="001A2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5DB2A" w14:textId="77777777" w:rsidR="000466ED" w:rsidRDefault="000466ED" w:rsidP="00C37E61">
      <w:r>
        <w:separator/>
      </w:r>
    </w:p>
  </w:footnote>
  <w:footnote w:type="continuationSeparator" w:id="0">
    <w:p w14:paraId="47589143" w14:textId="77777777" w:rsidR="000466ED" w:rsidRDefault="000466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EC31" w14:textId="124B6D9A" w:rsidR="001A207D" w:rsidRDefault="001A207D">
    <w:pPr>
      <w:pStyle w:val="Header"/>
    </w:pPr>
    <w:r>
      <w:rPr>
        <w:noProof/>
      </w:rPr>
      <w:pict w14:anchorId="6AA9E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047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8CCB" w14:textId="0F73DFDD" w:rsidR="001A207D" w:rsidRDefault="001A207D">
    <w:pPr>
      <w:pStyle w:val="Header"/>
    </w:pPr>
    <w:r>
      <w:rPr>
        <w:noProof/>
      </w:rPr>
      <w:pict w14:anchorId="65C9F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047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AE34" w14:textId="2D6C46FC" w:rsidR="001A207D" w:rsidRDefault="001A207D">
    <w:pPr>
      <w:pStyle w:val="Header"/>
    </w:pPr>
    <w:r>
      <w:rPr>
        <w:noProof/>
      </w:rPr>
      <w:pict w14:anchorId="7AEE9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04718"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588299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24275056">
    <w:abstractNumId w:val="15"/>
  </w:num>
  <w:num w:numId="3" w16cid:durableId="491262716">
    <w:abstractNumId w:val="23"/>
  </w:num>
  <w:num w:numId="4" w16cid:durableId="17932392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33806395">
    <w:abstractNumId w:val="7"/>
  </w:num>
  <w:num w:numId="6" w16cid:durableId="237596570">
    <w:abstractNumId w:val="6"/>
  </w:num>
  <w:num w:numId="7" w16cid:durableId="333263483">
    <w:abstractNumId w:val="1"/>
  </w:num>
  <w:num w:numId="8" w16cid:durableId="1083449190">
    <w:abstractNumId w:val="12"/>
  </w:num>
  <w:num w:numId="9" w16cid:durableId="1968926464">
    <w:abstractNumId w:val="25"/>
  </w:num>
  <w:num w:numId="10" w16cid:durableId="1444811742">
    <w:abstractNumId w:val="2"/>
  </w:num>
  <w:num w:numId="11" w16cid:durableId="1500653437">
    <w:abstractNumId w:val="18"/>
  </w:num>
  <w:num w:numId="12" w16cid:durableId="636379500">
    <w:abstractNumId w:val="3"/>
  </w:num>
  <w:num w:numId="13" w16cid:durableId="359938463">
    <w:abstractNumId w:val="17"/>
  </w:num>
  <w:num w:numId="14" w16cid:durableId="1521896135">
    <w:abstractNumId w:val="8"/>
  </w:num>
  <w:num w:numId="15" w16cid:durableId="375392047">
    <w:abstractNumId w:val="21"/>
  </w:num>
  <w:num w:numId="16" w16cid:durableId="4525929">
    <w:abstractNumId w:val="5"/>
  </w:num>
  <w:num w:numId="17" w16cid:durableId="1461072357">
    <w:abstractNumId w:val="22"/>
  </w:num>
  <w:num w:numId="18" w16cid:durableId="2112583303">
    <w:abstractNumId w:val="14"/>
  </w:num>
  <w:num w:numId="19" w16cid:durableId="1991127885">
    <w:abstractNumId w:val="28"/>
  </w:num>
  <w:num w:numId="20" w16cid:durableId="1764035215">
    <w:abstractNumId w:val="11"/>
  </w:num>
  <w:num w:numId="21" w16cid:durableId="852231162">
    <w:abstractNumId w:val="9"/>
  </w:num>
  <w:num w:numId="22" w16cid:durableId="2060127505">
    <w:abstractNumId w:val="13"/>
  </w:num>
  <w:num w:numId="23" w16cid:durableId="4864836">
    <w:abstractNumId w:val="19"/>
  </w:num>
  <w:num w:numId="24" w16cid:durableId="984554866">
    <w:abstractNumId w:val="26"/>
  </w:num>
  <w:num w:numId="25" w16cid:durableId="1168441448">
    <w:abstractNumId w:val="4"/>
  </w:num>
  <w:num w:numId="26" w16cid:durableId="1310137086">
    <w:abstractNumId w:val="16"/>
  </w:num>
  <w:num w:numId="27" w16cid:durableId="993797441">
    <w:abstractNumId w:val="20"/>
  </w:num>
  <w:num w:numId="28" w16cid:durableId="1186092936">
    <w:abstractNumId w:val="27"/>
  </w:num>
  <w:num w:numId="29" w16cid:durableId="2035685707">
    <w:abstractNumId w:val="24"/>
  </w:num>
  <w:num w:numId="30" w16cid:durableId="9512786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15A"/>
    <w:rsid w:val="00030174"/>
    <w:rsid w:val="0004579C"/>
    <w:rsid w:val="000466ED"/>
    <w:rsid w:val="00064CD9"/>
    <w:rsid w:val="000A47FA"/>
    <w:rsid w:val="000A611F"/>
    <w:rsid w:val="000A65D3"/>
    <w:rsid w:val="000B1E33"/>
    <w:rsid w:val="000B352D"/>
    <w:rsid w:val="000D2511"/>
    <w:rsid w:val="000D689F"/>
    <w:rsid w:val="000E7B7B"/>
    <w:rsid w:val="000E7D62"/>
    <w:rsid w:val="00103357"/>
    <w:rsid w:val="00104560"/>
    <w:rsid w:val="00123C9F"/>
    <w:rsid w:val="00126190"/>
    <w:rsid w:val="00130F17"/>
    <w:rsid w:val="001320BF"/>
    <w:rsid w:val="00134D14"/>
    <w:rsid w:val="001531CF"/>
    <w:rsid w:val="00163BC4"/>
    <w:rsid w:val="00171382"/>
    <w:rsid w:val="00184735"/>
    <w:rsid w:val="00191062"/>
    <w:rsid w:val="00192B72"/>
    <w:rsid w:val="001A207D"/>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73BB"/>
    <w:rsid w:val="00276991"/>
    <w:rsid w:val="00283105"/>
    <w:rsid w:val="00284C4C"/>
    <w:rsid w:val="00287E68"/>
    <w:rsid w:val="00296529"/>
    <w:rsid w:val="002B27FB"/>
    <w:rsid w:val="002B685A"/>
    <w:rsid w:val="002C57D2"/>
    <w:rsid w:val="002E0D56"/>
    <w:rsid w:val="002F4A44"/>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060D"/>
    <w:rsid w:val="00423789"/>
    <w:rsid w:val="00440F43"/>
    <w:rsid w:val="00441B6F"/>
    <w:rsid w:val="00446221"/>
    <w:rsid w:val="00450E62"/>
    <w:rsid w:val="004539DB"/>
    <w:rsid w:val="00471A80"/>
    <w:rsid w:val="004A7EBD"/>
    <w:rsid w:val="004D305E"/>
    <w:rsid w:val="004D4277"/>
    <w:rsid w:val="004E3776"/>
    <w:rsid w:val="004E5219"/>
    <w:rsid w:val="00502516"/>
    <w:rsid w:val="00505F06"/>
    <w:rsid w:val="00506828"/>
    <w:rsid w:val="0053056E"/>
    <w:rsid w:val="00554FDA"/>
    <w:rsid w:val="005B7238"/>
    <w:rsid w:val="005C784C"/>
    <w:rsid w:val="005D17F6"/>
    <w:rsid w:val="005E5539"/>
    <w:rsid w:val="005F04AF"/>
    <w:rsid w:val="00602BF5"/>
    <w:rsid w:val="00606910"/>
    <w:rsid w:val="00617FDD"/>
    <w:rsid w:val="0062776C"/>
    <w:rsid w:val="00633614"/>
    <w:rsid w:val="00633F68"/>
    <w:rsid w:val="00636307"/>
    <w:rsid w:val="00636EB2"/>
    <w:rsid w:val="006375B8"/>
    <w:rsid w:val="00646899"/>
    <w:rsid w:val="006630E5"/>
    <w:rsid w:val="0066510A"/>
    <w:rsid w:val="00667D35"/>
    <w:rsid w:val="0067001B"/>
    <w:rsid w:val="00673F9F"/>
    <w:rsid w:val="00686953"/>
    <w:rsid w:val="00687DEA"/>
    <w:rsid w:val="00687E67"/>
    <w:rsid w:val="006967F7"/>
    <w:rsid w:val="006A250C"/>
    <w:rsid w:val="006B21D3"/>
    <w:rsid w:val="006B57D0"/>
    <w:rsid w:val="006B5BA1"/>
    <w:rsid w:val="006D30FF"/>
    <w:rsid w:val="006D6940"/>
    <w:rsid w:val="006E6E8F"/>
    <w:rsid w:val="006F11EC"/>
    <w:rsid w:val="0070082C"/>
    <w:rsid w:val="00705B7D"/>
    <w:rsid w:val="007369E6"/>
    <w:rsid w:val="00746E59"/>
    <w:rsid w:val="00754C9A"/>
    <w:rsid w:val="0075599A"/>
    <w:rsid w:val="00761D52"/>
    <w:rsid w:val="0077749E"/>
    <w:rsid w:val="00790ADA"/>
    <w:rsid w:val="007B7513"/>
    <w:rsid w:val="007D2288"/>
    <w:rsid w:val="007D54E7"/>
    <w:rsid w:val="007E088F"/>
    <w:rsid w:val="007E485F"/>
    <w:rsid w:val="007F7B32"/>
    <w:rsid w:val="00804BC2"/>
    <w:rsid w:val="0081431A"/>
    <w:rsid w:val="008209F6"/>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16BD6"/>
    <w:rsid w:val="00927834"/>
    <w:rsid w:val="00941FF8"/>
    <w:rsid w:val="009500A6"/>
    <w:rsid w:val="00957C18"/>
    <w:rsid w:val="009659BA"/>
    <w:rsid w:val="00983040"/>
    <w:rsid w:val="00997F1A"/>
    <w:rsid w:val="009B28FF"/>
    <w:rsid w:val="009B3FB9"/>
    <w:rsid w:val="009B6DE1"/>
    <w:rsid w:val="009C2465"/>
    <w:rsid w:val="009D35A0"/>
    <w:rsid w:val="009D7EB7"/>
    <w:rsid w:val="009E048A"/>
    <w:rsid w:val="009E08E9"/>
    <w:rsid w:val="009E3DB9"/>
    <w:rsid w:val="009E5963"/>
    <w:rsid w:val="009E6E35"/>
    <w:rsid w:val="009F0EDA"/>
    <w:rsid w:val="00A025C3"/>
    <w:rsid w:val="00A03B96"/>
    <w:rsid w:val="00A05B19"/>
    <w:rsid w:val="00A1134E"/>
    <w:rsid w:val="00A13612"/>
    <w:rsid w:val="00A24E7E"/>
    <w:rsid w:val="00A258C3"/>
    <w:rsid w:val="00A3000B"/>
    <w:rsid w:val="00A31135"/>
    <w:rsid w:val="00A347C0"/>
    <w:rsid w:val="00A51431"/>
    <w:rsid w:val="00A539AD"/>
    <w:rsid w:val="00A60E00"/>
    <w:rsid w:val="00A61AF1"/>
    <w:rsid w:val="00A94063"/>
    <w:rsid w:val="00AA6219"/>
    <w:rsid w:val="00AA74E0"/>
    <w:rsid w:val="00AB703F"/>
    <w:rsid w:val="00AB7482"/>
    <w:rsid w:val="00AC6BB8"/>
    <w:rsid w:val="00AD73C5"/>
    <w:rsid w:val="00AE008F"/>
    <w:rsid w:val="00AF0C4D"/>
    <w:rsid w:val="00B01FCD"/>
    <w:rsid w:val="00B0264E"/>
    <w:rsid w:val="00B1776C"/>
    <w:rsid w:val="00B4016B"/>
    <w:rsid w:val="00B52583"/>
    <w:rsid w:val="00B52896"/>
    <w:rsid w:val="00B67916"/>
    <w:rsid w:val="00B95236"/>
    <w:rsid w:val="00B96BD9"/>
    <w:rsid w:val="00BA1B01"/>
    <w:rsid w:val="00BA2641"/>
    <w:rsid w:val="00BB37AA"/>
    <w:rsid w:val="00BC53A0"/>
    <w:rsid w:val="00BE62AD"/>
    <w:rsid w:val="00BF121F"/>
    <w:rsid w:val="00BF1F80"/>
    <w:rsid w:val="00C04B87"/>
    <w:rsid w:val="00C166EF"/>
    <w:rsid w:val="00C17EB0"/>
    <w:rsid w:val="00C27F5F"/>
    <w:rsid w:val="00C30A0F"/>
    <w:rsid w:val="00C37E61"/>
    <w:rsid w:val="00C43182"/>
    <w:rsid w:val="00C70F1B"/>
    <w:rsid w:val="00C71A47"/>
    <w:rsid w:val="00C7464C"/>
    <w:rsid w:val="00C8170F"/>
    <w:rsid w:val="00C85588"/>
    <w:rsid w:val="00CD4AFE"/>
    <w:rsid w:val="00CD6755"/>
    <w:rsid w:val="00CD6856"/>
    <w:rsid w:val="00CD777D"/>
    <w:rsid w:val="00CE0089"/>
    <w:rsid w:val="00CE793C"/>
    <w:rsid w:val="00CF193C"/>
    <w:rsid w:val="00D173F1"/>
    <w:rsid w:val="00D345CF"/>
    <w:rsid w:val="00D71997"/>
    <w:rsid w:val="00D72961"/>
    <w:rsid w:val="00D74CB0"/>
    <w:rsid w:val="00D8295D"/>
    <w:rsid w:val="00D93A65"/>
    <w:rsid w:val="00DB2E5B"/>
    <w:rsid w:val="00DC2A65"/>
    <w:rsid w:val="00DC2D4A"/>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5555"/>
    <w:rsid w:val="00E93DFC"/>
    <w:rsid w:val="00EA012C"/>
    <w:rsid w:val="00EA3908"/>
    <w:rsid w:val="00EC2C9D"/>
    <w:rsid w:val="00EC40CA"/>
    <w:rsid w:val="00EC6A55"/>
    <w:rsid w:val="00ED0288"/>
    <w:rsid w:val="00ED29C2"/>
    <w:rsid w:val="00EE52CB"/>
    <w:rsid w:val="00EF581D"/>
    <w:rsid w:val="00EF7FD8"/>
    <w:rsid w:val="00F03E59"/>
    <w:rsid w:val="00F04524"/>
    <w:rsid w:val="00F06F59"/>
    <w:rsid w:val="00F17988"/>
    <w:rsid w:val="00F33E43"/>
    <w:rsid w:val="00F4396A"/>
    <w:rsid w:val="00F469F0"/>
    <w:rsid w:val="00F53273"/>
    <w:rsid w:val="00F755E4"/>
    <w:rsid w:val="00F77D02"/>
    <w:rsid w:val="00FB3A86"/>
    <w:rsid w:val="00FC39B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74A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D73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AD73C5"/>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4A7E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352393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8211281">
      <w:bodyDiv w:val="1"/>
      <w:marLeft w:val="0"/>
      <w:marRight w:val="0"/>
      <w:marTop w:val="0"/>
      <w:marBottom w:val="0"/>
      <w:divBdr>
        <w:top w:val="none" w:sz="0" w:space="0" w:color="auto"/>
        <w:left w:val="none" w:sz="0" w:space="0" w:color="auto"/>
        <w:bottom w:val="none" w:sz="0" w:space="0" w:color="auto"/>
        <w:right w:val="none" w:sz="0" w:space="0" w:color="auto"/>
      </w:divBdr>
    </w:div>
    <w:div w:id="760874758">
      <w:bodyDiv w:val="1"/>
      <w:marLeft w:val="0"/>
      <w:marRight w:val="0"/>
      <w:marTop w:val="0"/>
      <w:marBottom w:val="0"/>
      <w:divBdr>
        <w:top w:val="none" w:sz="0" w:space="0" w:color="auto"/>
        <w:left w:val="none" w:sz="0" w:space="0" w:color="auto"/>
        <w:bottom w:val="none" w:sz="0" w:space="0" w:color="auto"/>
        <w:right w:val="none" w:sz="0" w:space="0" w:color="auto"/>
      </w:divBdr>
    </w:div>
    <w:div w:id="8064303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253174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12</Pages>
  <Words>13329</Words>
  <Characters>75978</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89129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11</cp:revision>
  <cp:lastPrinted>1999-07-06T11:00:00Z</cp:lastPrinted>
  <dcterms:created xsi:type="dcterms:W3CDTF">2025-04-27T09:39:00Z</dcterms:created>
  <dcterms:modified xsi:type="dcterms:W3CDTF">2025-04-28T06:12:00Z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c0d680220b504a297051ec0d161b8bb8348256a3d0596924ab399d60fba537f1</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http://www.zotero.org/styles/chicago-note-bibliography</vt:lpwstr>
  </property>
  <property fmtid="{D5CDD505-2E9C-101B-9397-08002B2CF9AE}" pid="6" name="Mendeley Recent Style Name 1_1">
    <vt:lpwstr>Chicago Manual of Style 17th edition (note)</vt:lpwstr>
  </property>
  <property fmtid="{D5CDD505-2E9C-101B-9397-08002B2CF9AE}" pid="7" name="Mendeley Recent Style Id 2_1">
    <vt:lpwstr>http://www.zotero.org/styles/harvard1</vt:lpwstr>
  </property>
  <property fmtid="{D5CDD505-2E9C-101B-9397-08002B2CF9AE}" pid="8" name="Mendeley Recent Style Name 2_1">
    <vt:lpwstr>Harvard reference format 1 (deprecated)</vt:lpwstr>
  </property>
  <property fmtid="{D5CDD505-2E9C-101B-9397-08002B2CF9AE}" pid="9" name="Mendeley Recent Style Id 3_1">
    <vt:lpwstr>http://www.zotero.org/styles/ieee</vt:lpwstr>
  </property>
  <property fmtid="{D5CDD505-2E9C-101B-9397-08002B2CF9AE}" pid="10" name="Mendeley Recent Style Name 3_1">
    <vt:lpwstr>IEEE</vt:lpwstr>
  </property>
  <property fmtid="{D5CDD505-2E9C-101B-9397-08002B2CF9AE}" pid="11" name="Mendeley Recent Style Id 4_1">
    <vt:lpwstr>http://www.zotero.org/styles/ieee-access</vt:lpwstr>
  </property>
  <property fmtid="{D5CDD505-2E9C-101B-9397-08002B2CF9AE}" pid="12" name="Mendeley Recent Style Name 4_1">
    <vt:lpwstr>IEEE Access</vt:lpwstr>
  </property>
  <property fmtid="{D5CDD505-2E9C-101B-9397-08002B2CF9AE}" pid="13" name="Mendeley Recent Style Id 5_1">
    <vt:lpwstr>http://www.zotero.org/styles/ieee-annals-of-the-history-of-computing</vt:lpwstr>
  </property>
  <property fmtid="{D5CDD505-2E9C-101B-9397-08002B2CF9AE}" pid="14" name="Mendeley Recent Style Name 5_1">
    <vt:lpwstr>IEEE Annals of the History of Computing</vt:lpwstr>
  </property>
  <property fmtid="{D5CDD505-2E9C-101B-9397-08002B2CF9AE}" pid="15" name="Mendeley Recent Style Id 6_1">
    <vt:lpwstr>http://www.zotero.org/styles/ieee-communications-letters</vt:lpwstr>
  </property>
  <property fmtid="{D5CDD505-2E9C-101B-9397-08002B2CF9AE}" pid="16" name="Mendeley Recent Style Name 6_1">
    <vt:lpwstr>IEEE Communications Letters</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http://www.zotero.org/styles/national-library-of-medicine</vt:lpwstr>
  </property>
  <property fmtid="{D5CDD505-2E9C-101B-9397-08002B2CF9AE}" pid="20" name="Mendeley Recent Style Name 8_1">
    <vt:lpwstr>National Library of Medicine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607f78c1-d0db-3f37-92a4-dd2af83a4ee5</vt:lpwstr>
  </property>
  <property fmtid="{D5CDD505-2E9C-101B-9397-08002B2CF9AE}" pid="25" name="Mendeley Citation Style_1">
    <vt:lpwstr>http://www.zotero.org/styles/apa</vt:lpwstr>
  </property>
</Properties>
</file>