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9DB6" w14:textId="77777777" w:rsidR="008B5D3D" w:rsidRPr="008B5D3D" w:rsidRDefault="008B5D3D" w:rsidP="008B5D3D">
      <w:pPr>
        <w:spacing w:line="240" w:lineRule="auto"/>
        <w:jc w:val="right"/>
        <w:rPr>
          <w:rFonts w:ascii="Arial" w:hAnsi="Arial" w:cs="Arial"/>
          <w:b/>
          <w:bCs/>
          <w:i/>
          <w:iCs/>
          <w:sz w:val="24"/>
          <w:szCs w:val="24"/>
          <w:u w:val="single"/>
          <w:lang w:val="en-US"/>
        </w:rPr>
      </w:pPr>
      <w:r w:rsidRPr="008B5D3D">
        <w:rPr>
          <w:rFonts w:ascii="Arial" w:hAnsi="Arial" w:cs="Arial"/>
          <w:b/>
          <w:bCs/>
          <w:i/>
          <w:iCs/>
          <w:sz w:val="24"/>
          <w:szCs w:val="24"/>
          <w:u w:val="single"/>
          <w:lang w:val="en-US"/>
        </w:rPr>
        <w:t>Original Research Article</w:t>
      </w:r>
    </w:p>
    <w:p w14:paraId="790A679D" w14:textId="73969DFF" w:rsidR="00157666" w:rsidRPr="00415B4C" w:rsidRDefault="00C550FF" w:rsidP="003314FB">
      <w:pPr>
        <w:spacing w:line="240" w:lineRule="auto"/>
        <w:jc w:val="right"/>
        <w:rPr>
          <w:rFonts w:ascii="Arial" w:hAnsi="Arial" w:cs="Arial"/>
          <w:b/>
          <w:bCs/>
          <w:sz w:val="24"/>
          <w:szCs w:val="24"/>
        </w:rPr>
      </w:pPr>
      <w:r w:rsidRPr="00415B4C">
        <w:rPr>
          <w:rFonts w:ascii="Arial" w:hAnsi="Arial" w:cs="Arial"/>
          <w:b/>
          <w:bCs/>
          <w:sz w:val="24"/>
          <w:szCs w:val="24"/>
        </w:rPr>
        <w:t>IMPACT OF INVESTOR SENTIMENT ON STOCK MARKET RETURNS</w:t>
      </w:r>
      <w:r w:rsidR="000574BD" w:rsidRPr="00415B4C">
        <w:rPr>
          <w:rFonts w:ascii="Arial" w:hAnsi="Arial" w:cs="Arial"/>
          <w:b/>
          <w:bCs/>
          <w:sz w:val="24"/>
          <w:szCs w:val="24"/>
        </w:rPr>
        <w:t xml:space="preserve">: </w:t>
      </w:r>
      <w:r w:rsidR="00D57271" w:rsidRPr="00415B4C">
        <w:rPr>
          <w:rFonts w:ascii="Arial" w:hAnsi="Arial" w:cs="Arial"/>
          <w:b/>
          <w:bCs/>
          <w:sz w:val="24"/>
          <w:szCs w:val="24"/>
        </w:rPr>
        <w:t>EVIDENCE</w:t>
      </w:r>
      <w:r w:rsidR="00036866" w:rsidRPr="00415B4C">
        <w:rPr>
          <w:rFonts w:ascii="Arial" w:hAnsi="Arial" w:cs="Arial"/>
          <w:b/>
          <w:bCs/>
          <w:sz w:val="24"/>
          <w:szCs w:val="24"/>
        </w:rPr>
        <w:t xml:space="preserve"> </w:t>
      </w:r>
      <w:r w:rsidR="00901E14" w:rsidRPr="00415B4C">
        <w:rPr>
          <w:rFonts w:ascii="Arial" w:hAnsi="Arial" w:cs="Arial"/>
          <w:b/>
          <w:bCs/>
          <w:sz w:val="24"/>
          <w:szCs w:val="24"/>
        </w:rPr>
        <w:t>FROM INDIA</w:t>
      </w:r>
    </w:p>
    <w:p w14:paraId="19EA528B" w14:textId="77777777" w:rsidR="00921C34" w:rsidRDefault="00921C34" w:rsidP="00415B4C">
      <w:pPr>
        <w:spacing w:after="0" w:line="240" w:lineRule="auto"/>
        <w:jc w:val="both"/>
        <w:rPr>
          <w:rFonts w:ascii="Arial" w:hAnsi="Arial" w:cs="Arial"/>
          <w:b/>
          <w:bCs/>
          <w:sz w:val="24"/>
          <w:szCs w:val="24"/>
        </w:rPr>
      </w:pPr>
    </w:p>
    <w:p w14:paraId="78B76F0E" w14:textId="77777777" w:rsidR="00921C34" w:rsidRDefault="00921C34" w:rsidP="00415B4C">
      <w:pPr>
        <w:spacing w:after="0" w:line="240" w:lineRule="auto"/>
        <w:jc w:val="both"/>
        <w:rPr>
          <w:rFonts w:ascii="Arial" w:hAnsi="Arial" w:cs="Arial"/>
          <w:b/>
          <w:bCs/>
          <w:sz w:val="24"/>
          <w:szCs w:val="24"/>
        </w:rPr>
      </w:pPr>
    </w:p>
    <w:p w14:paraId="0F822BC2" w14:textId="4D6D648E" w:rsidR="00415B4C" w:rsidRPr="00415B4C" w:rsidRDefault="00415B4C" w:rsidP="00415B4C">
      <w:pPr>
        <w:spacing w:after="0" w:line="240" w:lineRule="auto"/>
        <w:jc w:val="both"/>
        <w:rPr>
          <w:rFonts w:ascii="Arial" w:hAnsi="Arial" w:cs="Arial"/>
          <w:b/>
          <w:bCs/>
          <w:sz w:val="24"/>
          <w:szCs w:val="24"/>
        </w:rPr>
      </w:pPr>
      <w:r w:rsidRPr="00415B4C">
        <w:rPr>
          <w:rFonts w:ascii="Arial" w:hAnsi="Arial" w:cs="Arial"/>
          <w:b/>
          <w:bCs/>
          <w:sz w:val="24"/>
          <w:szCs w:val="24"/>
        </w:rPr>
        <w:t>A</w:t>
      </w:r>
      <w:r>
        <w:rPr>
          <w:rFonts w:ascii="Arial" w:hAnsi="Arial" w:cs="Arial"/>
          <w:b/>
          <w:bCs/>
          <w:sz w:val="24"/>
          <w:szCs w:val="24"/>
        </w:rPr>
        <w:t>BSTRACT</w:t>
      </w:r>
    </w:p>
    <w:p w14:paraId="1F8CF110" w14:textId="3BF694EB" w:rsidR="003314F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Aims:</w:t>
      </w:r>
      <w:r w:rsidRPr="00415B4C">
        <w:rPr>
          <w:rFonts w:ascii="Arial" w:hAnsi="Arial" w:cs="Arial"/>
          <w:sz w:val="20"/>
          <w:szCs w:val="20"/>
        </w:rPr>
        <w:t xml:space="preserve"> </w:t>
      </w:r>
      <w:r w:rsidR="003010EB" w:rsidRPr="00415B4C">
        <w:rPr>
          <w:rFonts w:ascii="Arial" w:hAnsi="Arial" w:cs="Arial"/>
          <w:sz w:val="20"/>
          <w:szCs w:val="20"/>
        </w:rPr>
        <w:t>This study tries to determine the</w:t>
      </w:r>
      <w:r w:rsidR="00BE1682" w:rsidRPr="00415B4C">
        <w:rPr>
          <w:rFonts w:ascii="Arial" w:hAnsi="Arial" w:cs="Arial"/>
          <w:sz w:val="20"/>
          <w:szCs w:val="20"/>
        </w:rPr>
        <w:t xml:space="preserve"> impact</w:t>
      </w:r>
      <w:r w:rsidR="00695429" w:rsidRPr="00415B4C">
        <w:rPr>
          <w:rFonts w:ascii="Arial" w:hAnsi="Arial" w:cs="Arial"/>
          <w:sz w:val="20"/>
          <w:szCs w:val="20"/>
        </w:rPr>
        <w:t xml:space="preserve"> </w:t>
      </w:r>
      <w:r w:rsidR="0033642B" w:rsidRPr="00415B4C">
        <w:rPr>
          <w:rFonts w:ascii="Arial" w:hAnsi="Arial" w:cs="Arial"/>
          <w:sz w:val="20"/>
          <w:szCs w:val="20"/>
        </w:rPr>
        <w:t xml:space="preserve">of investor sentiment </w:t>
      </w:r>
      <w:r w:rsidR="00BE1682" w:rsidRPr="00415B4C">
        <w:rPr>
          <w:rFonts w:ascii="Arial" w:hAnsi="Arial" w:cs="Arial"/>
          <w:sz w:val="20"/>
          <w:szCs w:val="20"/>
        </w:rPr>
        <w:t xml:space="preserve">on stock </w:t>
      </w:r>
      <w:r w:rsidR="003010EB" w:rsidRPr="00415B4C">
        <w:rPr>
          <w:rFonts w:ascii="Arial" w:hAnsi="Arial" w:cs="Arial"/>
          <w:sz w:val="20"/>
          <w:szCs w:val="20"/>
        </w:rPr>
        <w:t xml:space="preserve">market returns by constructing an Investor sentiment index for the Indian market. </w:t>
      </w:r>
    </w:p>
    <w:p w14:paraId="29F7E432" w14:textId="1CE6BEBC" w:rsidR="003010E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Methodology:</w:t>
      </w:r>
      <w:r w:rsidRPr="00415B4C">
        <w:rPr>
          <w:rFonts w:ascii="Arial" w:hAnsi="Arial" w:cs="Arial"/>
          <w:sz w:val="20"/>
          <w:szCs w:val="20"/>
        </w:rPr>
        <w:t xml:space="preserve"> </w:t>
      </w:r>
      <w:r w:rsidR="003010EB" w:rsidRPr="00415B4C">
        <w:rPr>
          <w:rFonts w:ascii="Arial" w:hAnsi="Arial" w:cs="Arial"/>
          <w:sz w:val="20"/>
          <w:szCs w:val="20"/>
        </w:rPr>
        <w:t>The present study employs BSE Sensex- financial year returns of ten years</w:t>
      </w:r>
      <w:r w:rsidR="003307EB" w:rsidRPr="00415B4C">
        <w:rPr>
          <w:rFonts w:ascii="Arial" w:hAnsi="Arial" w:cs="Arial"/>
          <w:sz w:val="20"/>
          <w:szCs w:val="20"/>
        </w:rPr>
        <w:t>,</w:t>
      </w:r>
      <w:r w:rsidR="003010EB" w:rsidRPr="00415B4C">
        <w:rPr>
          <w:rFonts w:ascii="Arial" w:hAnsi="Arial" w:cs="Arial"/>
          <w:sz w:val="20"/>
          <w:szCs w:val="20"/>
        </w:rPr>
        <w:t xml:space="preserve"> and the sample period ranges from 1 April 2012 to 31 March 2022. The Principal Component Technique is applied to form an investor sentiment index using seven separate market proxies. </w:t>
      </w:r>
    </w:p>
    <w:p w14:paraId="4617A7DA" w14:textId="68E23D5B" w:rsidR="003314F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Results:</w:t>
      </w:r>
      <w:r w:rsidRPr="00415B4C">
        <w:rPr>
          <w:rFonts w:ascii="Arial" w:hAnsi="Arial" w:cs="Arial"/>
          <w:sz w:val="20"/>
          <w:szCs w:val="20"/>
        </w:rPr>
        <w:t xml:space="preserve"> </w:t>
      </w:r>
      <w:r w:rsidR="00B11F29" w:rsidRPr="00415B4C">
        <w:rPr>
          <w:rFonts w:ascii="Arial" w:hAnsi="Arial" w:cs="Arial"/>
          <w:sz w:val="20"/>
          <w:szCs w:val="20"/>
        </w:rPr>
        <w:t xml:space="preserve">The beta value of 1.305 of the </w:t>
      </w:r>
      <w:r w:rsidR="007E0AEB" w:rsidRPr="00415B4C">
        <w:rPr>
          <w:rFonts w:ascii="Arial" w:hAnsi="Arial" w:cs="Arial"/>
          <w:sz w:val="20"/>
          <w:szCs w:val="20"/>
        </w:rPr>
        <w:t xml:space="preserve">regression analysis results predicts that the investor sentiment index positively impacts </w:t>
      </w:r>
      <w:r w:rsidR="00E1670B" w:rsidRPr="00415B4C">
        <w:rPr>
          <w:rFonts w:ascii="Arial" w:hAnsi="Arial" w:cs="Arial"/>
          <w:sz w:val="20"/>
          <w:szCs w:val="20"/>
        </w:rPr>
        <w:t xml:space="preserve">BSE Sensex </w:t>
      </w:r>
      <w:r w:rsidR="008F2C91" w:rsidRPr="00415B4C">
        <w:rPr>
          <w:rFonts w:ascii="Arial" w:hAnsi="Arial" w:cs="Arial"/>
          <w:sz w:val="20"/>
          <w:szCs w:val="20"/>
        </w:rPr>
        <w:t xml:space="preserve">returns. </w:t>
      </w:r>
      <w:r w:rsidR="00B11F29" w:rsidRPr="00415B4C">
        <w:rPr>
          <w:rFonts w:ascii="Arial" w:hAnsi="Arial" w:cs="Arial"/>
          <w:sz w:val="20"/>
          <w:szCs w:val="20"/>
        </w:rPr>
        <w:t xml:space="preserve">The value of </w:t>
      </w:r>
      <w:r w:rsidR="003307EB" w:rsidRPr="00415B4C">
        <w:rPr>
          <w:rFonts w:ascii="Arial" w:hAnsi="Arial" w:cs="Arial"/>
          <w:sz w:val="20"/>
          <w:szCs w:val="20"/>
        </w:rPr>
        <w:t>R-squared</w:t>
      </w:r>
      <w:r w:rsidR="00B11F29" w:rsidRPr="00415B4C">
        <w:rPr>
          <w:rFonts w:ascii="Arial" w:hAnsi="Arial" w:cs="Arial"/>
          <w:sz w:val="20"/>
          <w:szCs w:val="20"/>
        </w:rPr>
        <w:t xml:space="preserve"> </w:t>
      </w:r>
      <w:r w:rsidR="00B54A99" w:rsidRPr="00415B4C">
        <w:rPr>
          <w:rFonts w:ascii="Arial" w:hAnsi="Arial" w:cs="Arial"/>
          <w:sz w:val="20"/>
          <w:szCs w:val="20"/>
        </w:rPr>
        <w:t xml:space="preserve">is </w:t>
      </w:r>
      <w:r w:rsidR="00B54A99" w:rsidRPr="00415B4C">
        <w:rPr>
          <w:rFonts w:ascii="Arial" w:hAnsi="Arial" w:cs="Arial"/>
          <w:color w:val="000000"/>
          <w:kern w:val="0"/>
          <w:sz w:val="20"/>
          <w:szCs w:val="20"/>
          <w:lang w:bidi="hi-IN"/>
        </w:rPr>
        <w:t>0.0137</w:t>
      </w:r>
      <w:r w:rsidR="003307EB" w:rsidRPr="00415B4C">
        <w:rPr>
          <w:rFonts w:ascii="Arial" w:hAnsi="Arial" w:cs="Arial"/>
          <w:color w:val="000000"/>
          <w:kern w:val="0"/>
          <w:sz w:val="20"/>
          <w:szCs w:val="20"/>
          <w:lang w:bidi="hi-IN"/>
        </w:rPr>
        <w:t>,</w:t>
      </w:r>
      <w:r w:rsidR="00B54A99" w:rsidRPr="00415B4C">
        <w:rPr>
          <w:rFonts w:ascii="Arial" w:hAnsi="Arial" w:cs="Arial"/>
          <w:color w:val="000000"/>
          <w:kern w:val="0"/>
          <w:sz w:val="20"/>
          <w:szCs w:val="20"/>
          <w:lang w:bidi="hi-IN"/>
        </w:rPr>
        <w:t xml:space="preserve"> which indicates that investor sentiment has little influence on Sensex BSE returns.</w:t>
      </w:r>
      <w:r w:rsidRPr="00415B4C">
        <w:rPr>
          <w:rFonts w:ascii="Arial" w:hAnsi="Arial" w:cs="Arial"/>
          <w:color w:val="000000"/>
          <w:kern w:val="0"/>
          <w:sz w:val="20"/>
          <w:szCs w:val="20"/>
          <w:lang w:bidi="hi-IN"/>
        </w:rPr>
        <w:t xml:space="preserve"> </w:t>
      </w:r>
      <w:r w:rsidR="004E4C93" w:rsidRPr="00415B4C">
        <w:rPr>
          <w:rFonts w:ascii="Arial" w:hAnsi="Arial" w:cs="Arial"/>
          <w:color w:val="000000"/>
          <w:kern w:val="0"/>
          <w:sz w:val="20"/>
          <w:szCs w:val="20"/>
          <w:lang w:bidi="hi-IN"/>
        </w:rPr>
        <w:t xml:space="preserve">The investor and other stakeholders can understand the role </w:t>
      </w:r>
      <w:r w:rsidR="006C0B23" w:rsidRPr="00415B4C">
        <w:rPr>
          <w:rFonts w:ascii="Arial" w:hAnsi="Arial" w:cs="Arial"/>
          <w:color w:val="000000"/>
          <w:kern w:val="0"/>
          <w:sz w:val="20"/>
          <w:szCs w:val="20"/>
          <w:lang w:bidi="hi-IN"/>
        </w:rPr>
        <w:t>of investor sentiments in the stock market</w:t>
      </w:r>
      <w:r w:rsidR="003268D5" w:rsidRPr="00415B4C">
        <w:rPr>
          <w:rFonts w:ascii="Arial" w:hAnsi="Arial" w:cs="Arial"/>
          <w:color w:val="000000"/>
          <w:kern w:val="0"/>
          <w:sz w:val="20"/>
          <w:szCs w:val="20"/>
          <w:lang w:bidi="hi-IN"/>
        </w:rPr>
        <w:t xml:space="preserve"> and </w:t>
      </w:r>
      <w:r w:rsidR="00EA4138" w:rsidRPr="00415B4C">
        <w:rPr>
          <w:rFonts w:ascii="Arial" w:hAnsi="Arial" w:cs="Arial"/>
          <w:color w:val="000000"/>
          <w:kern w:val="0"/>
          <w:sz w:val="20"/>
          <w:szCs w:val="20"/>
          <w:lang w:bidi="hi-IN"/>
        </w:rPr>
        <w:t>make</w:t>
      </w:r>
      <w:r w:rsidR="003268D5" w:rsidRPr="00415B4C">
        <w:rPr>
          <w:rFonts w:ascii="Arial" w:hAnsi="Arial" w:cs="Arial"/>
          <w:color w:val="000000"/>
          <w:kern w:val="0"/>
          <w:sz w:val="20"/>
          <w:szCs w:val="20"/>
          <w:lang w:bidi="hi-IN"/>
        </w:rPr>
        <w:t xml:space="preserve"> decisions accordingly.</w:t>
      </w:r>
      <w:r w:rsidR="00EA4138" w:rsidRPr="00415B4C">
        <w:rPr>
          <w:rFonts w:ascii="Arial" w:hAnsi="Arial" w:cs="Arial"/>
          <w:color w:val="000000"/>
          <w:kern w:val="0"/>
          <w:sz w:val="20"/>
          <w:szCs w:val="20"/>
          <w:lang w:bidi="hi-IN"/>
        </w:rPr>
        <w:t xml:space="preserve"> </w:t>
      </w:r>
      <w:r w:rsidR="003268D5" w:rsidRPr="00415B4C">
        <w:rPr>
          <w:rFonts w:ascii="Arial" w:hAnsi="Arial" w:cs="Arial"/>
          <w:color w:val="000000"/>
          <w:kern w:val="0"/>
          <w:sz w:val="20"/>
          <w:szCs w:val="20"/>
          <w:lang w:bidi="hi-IN"/>
        </w:rPr>
        <w:t xml:space="preserve">The study will also </w:t>
      </w:r>
      <w:r w:rsidR="00EA4138" w:rsidRPr="00415B4C">
        <w:rPr>
          <w:rFonts w:ascii="Arial" w:hAnsi="Arial" w:cs="Arial"/>
          <w:color w:val="000000"/>
          <w:kern w:val="0"/>
          <w:sz w:val="20"/>
          <w:szCs w:val="20"/>
          <w:lang w:bidi="hi-IN"/>
        </w:rPr>
        <w:t xml:space="preserve">assist future scholars in exploring </w:t>
      </w:r>
      <w:r w:rsidR="00DD2FAE" w:rsidRPr="00415B4C">
        <w:rPr>
          <w:rFonts w:ascii="Arial" w:hAnsi="Arial" w:cs="Arial"/>
          <w:color w:val="000000"/>
          <w:kern w:val="0"/>
          <w:sz w:val="20"/>
          <w:szCs w:val="20"/>
          <w:lang w:bidi="hi-IN"/>
        </w:rPr>
        <w:t>a</w:t>
      </w:r>
      <w:r w:rsidR="00EA4138" w:rsidRPr="00415B4C">
        <w:rPr>
          <w:rFonts w:ascii="Arial" w:hAnsi="Arial" w:cs="Arial"/>
          <w:color w:val="000000"/>
          <w:kern w:val="0"/>
          <w:sz w:val="20"/>
          <w:szCs w:val="20"/>
          <w:lang w:bidi="hi-IN"/>
        </w:rPr>
        <w:t xml:space="preserve"> similar domain of research.</w:t>
      </w:r>
      <w:r w:rsidR="00DD2FAE" w:rsidRPr="00415B4C">
        <w:rPr>
          <w:rFonts w:ascii="Arial" w:hAnsi="Arial" w:cs="Arial"/>
          <w:b/>
          <w:bCs/>
          <w:color w:val="000000"/>
          <w:kern w:val="0"/>
          <w:sz w:val="20"/>
          <w:szCs w:val="20"/>
          <w:lang w:bidi="hi-IN"/>
        </w:rPr>
        <w:t xml:space="preserve"> </w:t>
      </w:r>
      <w:r w:rsidR="0099569B" w:rsidRPr="00415B4C">
        <w:rPr>
          <w:rFonts w:ascii="Arial" w:hAnsi="Arial" w:cs="Arial"/>
          <w:sz w:val="20"/>
          <w:szCs w:val="20"/>
        </w:rPr>
        <w:t>The detailed analysis of the current literature expresses that there are few studies in the Indian context in this domain of research</w:t>
      </w:r>
      <w:r w:rsidR="003307EB" w:rsidRPr="00415B4C">
        <w:rPr>
          <w:rFonts w:ascii="Arial" w:hAnsi="Arial" w:cs="Arial"/>
          <w:sz w:val="20"/>
          <w:szCs w:val="20"/>
        </w:rPr>
        <w:t>,</w:t>
      </w:r>
      <w:r w:rsidR="0099569B" w:rsidRPr="00415B4C">
        <w:rPr>
          <w:rFonts w:ascii="Arial" w:hAnsi="Arial" w:cs="Arial"/>
          <w:sz w:val="20"/>
          <w:szCs w:val="20"/>
        </w:rPr>
        <w:t xml:space="preserve"> and there is no study specifically in the case of </w:t>
      </w:r>
      <w:r w:rsidR="003307EB" w:rsidRPr="00415B4C">
        <w:rPr>
          <w:rFonts w:ascii="Arial" w:hAnsi="Arial" w:cs="Arial"/>
          <w:sz w:val="20"/>
          <w:szCs w:val="20"/>
        </w:rPr>
        <w:t xml:space="preserve">the </w:t>
      </w:r>
      <w:r w:rsidR="0099569B" w:rsidRPr="00415B4C">
        <w:rPr>
          <w:rFonts w:ascii="Arial" w:hAnsi="Arial" w:cs="Arial"/>
          <w:sz w:val="20"/>
          <w:szCs w:val="20"/>
        </w:rPr>
        <w:t>BSE Sensex.</w:t>
      </w:r>
    </w:p>
    <w:p w14:paraId="3EC0C079" w14:textId="0AD990F3" w:rsidR="00DD2FAE" w:rsidRPr="00415B4C" w:rsidRDefault="003314FB" w:rsidP="003314FB">
      <w:pPr>
        <w:spacing w:after="0" w:line="240" w:lineRule="auto"/>
        <w:jc w:val="both"/>
        <w:rPr>
          <w:rFonts w:ascii="Arial" w:hAnsi="Arial" w:cs="Arial"/>
          <w:color w:val="000000"/>
          <w:kern w:val="0"/>
          <w:sz w:val="20"/>
          <w:szCs w:val="20"/>
          <w:lang w:bidi="hi-IN"/>
        </w:rPr>
      </w:pPr>
      <w:r w:rsidRPr="00415B4C">
        <w:rPr>
          <w:rFonts w:ascii="Arial" w:hAnsi="Arial" w:cs="Arial"/>
          <w:b/>
          <w:bCs/>
          <w:sz w:val="20"/>
          <w:szCs w:val="20"/>
        </w:rPr>
        <w:t>Conclusion:</w:t>
      </w:r>
      <w:r w:rsidR="0099569B" w:rsidRPr="00415B4C">
        <w:rPr>
          <w:rFonts w:ascii="Arial" w:hAnsi="Arial" w:cs="Arial"/>
          <w:sz w:val="20"/>
          <w:szCs w:val="20"/>
        </w:rPr>
        <w:t xml:space="preserve"> </w:t>
      </w:r>
      <w:r w:rsidRPr="00415B4C">
        <w:rPr>
          <w:rFonts w:ascii="Arial" w:hAnsi="Arial" w:cs="Arial"/>
          <w:color w:val="000000"/>
          <w:kern w:val="0"/>
          <w:sz w:val="20"/>
          <w:szCs w:val="20"/>
          <w:lang w:bidi="hi-IN"/>
        </w:rPr>
        <w:t xml:space="preserve">Investor sentiments are crucial for the stock market. </w:t>
      </w:r>
      <w:r w:rsidR="0099569B" w:rsidRPr="00415B4C">
        <w:rPr>
          <w:rFonts w:ascii="Arial" w:hAnsi="Arial" w:cs="Arial"/>
          <w:sz w:val="20"/>
          <w:szCs w:val="20"/>
        </w:rPr>
        <w:t>The present study tries to develop new insights into the current literature</w:t>
      </w:r>
      <w:r w:rsidR="003307EB" w:rsidRPr="00415B4C">
        <w:rPr>
          <w:rFonts w:ascii="Arial" w:hAnsi="Arial" w:cs="Arial"/>
          <w:sz w:val="20"/>
          <w:szCs w:val="20"/>
        </w:rPr>
        <w:t>,</w:t>
      </w:r>
      <w:r w:rsidR="0099569B" w:rsidRPr="00415B4C">
        <w:rPr>
          <w:rFonts w:ascii="Arial" w:hAnsi="Arial" w:cs="Arial"/>
          <w:sz w:val="20"/>
          <w:szCs w:val="20"/>
        </w:rPr>
        <w:t xml:space="preserve"> specifically in the Indian context</w:t>
      </w:r>
      <w:r w:rsidR="003307EB" w:rsidRPr="00415B4C">
        <w:rPr>
          <w:rFonts w:ascii="Arial" w:hAnsi="Arial" w:cs="Arial"/>
          <w:sz w:val="20"/>
          <w:szCs w:val="20"/>
        </w:rPr>
        <w:t>,</w:t>
      </w:r>
      <w:r w:rsidR="0099569B" w:rsidRPr="00415B4C">
        <w:rPr>
          <w:rFonts w:ascii="Arial" w:hAnsi="Arial" w:cs="Arial"/>
          <w:sz w:val="20"/>
          <w:szCs w:val="20"/>
        </w:rPr>
        <w:t xml:space="preserve"> by analysing the relationship between investor sentiment and BSE Sensex returns.</w:t>
      </w:r>
    </w:p>
    <w:p w14:paraId="0236E641" w14:textId="064CE7F4" w:rsidR="00913D2D" w:rsidRPr="003314FB" w:rsidRDefault="008F2C91" w:rsidP="003314FB">
      <w:pPr>
        <w:spacing w:after="0" w:line="240" w:lineRule="auto"/>
        <w:jc w:val="both"/>
        <w:rPr>
          <w:rFonts w:ascii="Times New Roman" w:hAnsi="Times New Roman" w:cs="Times New Roman"/>
          <w:sz w:val="24"/>
          <w:szCs w:val="24"/>
        </w:rPr>
      </w:pPr>
      <w:r w:rsidRPr="003314FB">
        <w:rPr>
          <w:rFonts w:ascii="Times New Roman" w:hAnsi="Times New Roman" w:cs="Times New Roman"/>
          <w:b/>
          <w:bCs/>
          <w:sz w:val="24"/>
          <w:szCs w:val="24"/>
        </w:rPr>
        <w:t>Keywords</w:t>
      </w:r>
      <w:r w:rsidRPr="003314FB">
        <w:rPr>
          <w:rFonts w:ascii="Times New Roman" w:hAnsi="Times New Roman" w:cs="Times New Roman"/>
          <w:sz w:val="24"/>
          <w:szCs w:val="24"/>
        </w:rPr>
        <w:t>:</w:t>
      </w:r>
      <w:r w:rsidR="00E1670B" w:rsidRPr="003314FB">
        <w:rPr>
          <w:rFonts w:ascii="Times New Roman" w:hAnsi="Times New Roman" w:cs="Times New Roman"/>
          <w:sz w:val="24"/>
          <w:szCs w:val="24"/>
        </w:rPr>
        <w:t xml:space="preserve"> </w:t>
      </w:r>
      <w:r w:rsidRPr="00415B4C">
        <w:rPr>
          <w:rFonts w:ascii="Arial" w:hAnsi="Arial" w:cs="Arial"/>
          <w:b/>
          <w:bCs/>
          <w:sz w:val="20"/>
          <w:szCs w:val="20"/>
        </w:rPr>
        <w:t xml:space="preserve">Investor sentiment, Stock market returns, Principal Component Analysis, </w:t>
      </w:r>
      <w:r w:rsidR="008F3E07" w:rsidRPr="00415B4C">
        <w:rPr>
          <w:rFonts w:ascii="Arial" w:hAnsi="Arial" w:cs="Arial"/>
          <w:b/>
          <w:bCs/>
          <w:sz w:val="20"/>
          <w:szCs w:val="20"/>
        </w:rPr>
        <w:t>BSE, Sensex.</w:t>
      </w:r>
    </w:p>
    <w:p w14:paraId="65272E18" w14:textId="3F455D7A" w:rsidR="00415B4C" w:rsidRPr="00415B4C" w:rsidRDefault="00350011" w:rsidP="00415B4C">
      <w:pPr>
        <w:pStyle w:val="ListParagraph"/>
        <w:numPr>
          <w:ilvl w:val="0"/>
          <w:numId w:val="5"/>
        </w:numPr>
        <w:spacing w:after="0" w:line="240" w:lineRule="auto"/>
        <w:jc w:val="both"/>
        <w:rPr>
          <w:rFonts w:ascii="Arial" w:hAnsi="Arial" w:cs="Arial"/>
          <w:b/>
          <w:bCs/>
        </w:rPr>
      </w:pPr>
      <w:r w:rsidRPr="00415B4C">
        <w:rPr>
          <w:rFonts w:ascii="Arial" w:hAnsi="Arial" w:cs="Arial"/>
          <w:b/>
          <w:bCs/>
        </w:rPr>
        <w:t xml:space="preserve">INTRODUCTION </w:t>
      </w:r>
    </w:p>
    <w:p w14:paraId="5D8588DF" w14:textId="311C893E" w:rsidR="001B423B" w:rsidRPr="00415B4C" w:rsidRDefault="00410765" w:rsidP="00415B4C">
      <w:pPr>
        <w:spacing w:after="0" w:line="240" w:lineRule="auto"/>
        <w:jc w:val="both"/>
        <w:rPr>
          <w:rFonts w:ascii="Arial" w:hAnsi="Arial" w:cs="Arial"/>
          <w:sz w:val="20"/>
          <w:szCs w:val="20"/>
        </w:rPr>
      </w:pPr>
      <w:r w:rsidRPr="00415B4C">
        <w:rPr>
          <w:rFonts w:ascii="Arial" w:hAnsi="Arial" w:cs="Arial"/>
          <w:sz w:val="20"/>
          <w:szCs w:val="20"/>
        </w:rPr>
        <w:t>The</w:t>
      </w:r>
      <w:r w:rsidR="006F497C" w:rsidRPr="00415B4C">
        <w:rPr>
          <w:rFonts w:ascii="Arial" w:hAnsi="Arial" w:cs="Arial"/>
          <w:sz w:val="20"/>
          <w:szCs w:val="20"/>
        </w:rPr>
        <w:t xml:space="preserve"> </w:t>
      </w:r>
      <w:r w:rsidRPr="00415B4C">
        <w:rPr>
          <w:rFonts w:ascii="Arial" w:hAnsi="Arial" w:cs="Arial"/>
          <w:sz w:val="20"/>
          <w:szCs w:val="20"/>
        </w:rPr>
        <w:t xml:space="preserve">primary belief </w:t>
      </w:r>
      <w:r w:rsidR="006F497C" w:rsidRPr="00415B4C">
        <w:rPr>
          <w:rFonts w:ascii="Arial" w:hAnsi="Arial" w:cs="Arial"/>
          <w:sz w:val="20"/>
          <w:szCs w:val="20"/>
        </w:rPr>
        <w:t>of f</w:t>
      </w:r>
      <w:r w:rsidR="005C09CB" w:rsidRPr="00415B4C">
        <w:rPr>
          <w:rFonts w:ascii="Arial" w:hAnsi="Arial" w:cs="Arial"/>
          <w:sz w:val="20"/>
          <w:szCs w:val="20"/>
        </w:rPr>
        <w:t>inance</w:t>
      </w:r>
      <w:r w:rsidRPr="00415B4C">
        <w:rPr>
          <w:rFonts w:ascii="Arial" w:hAnsi="Arial" w:cs="Arial"/>
          <w:sz w:val="20"/>
          <w:szCs w:val="20"/>
        </w:rPr>
        <w:t xml:space="preserve"> is</w:t>
      </w:r>
      <w:r w:rsidR="005C09CB" w:rsidRPr="00415B4C">
        <w:rPr>
          <w:rFonts w:ascii="Arial" w:hAnsi="Arial" w:cs="Arial"/>
          <w:sz w:val="20"/>
          <w:szCs w:val="20"/>
        </w:rPr>
        <w:t xml:space="preserve"> that </w:t>
      </w:r>
      <w:r w:rsidRPr="00415B4C">
        <w:rPr>
          <w:rFonts w:ascii="Arial" w:hAnsi="Arial" w:cs="Arial"/>
          <w:sz w:val="20"/>
          <w:szCs w:val="20"/>
        </w:rPr>
        <w:t xml:space="preserve">the </w:t>
      </w:r>
      <w:r w:rsidR="005B0F68" w:rsidRPr="00415B4C">
        <w:rPr>
          <w:rFonts w:ascii="Arial" w:hAnsi="Arial" w:cs="Arial"/>
          <w:sz w:val="20"/>
          <w:szCs w:val="20"/>
        </w:rPr>
        <w:t xml:space="preserve">markets are informationally efficient and the </w:t>
      </w:r>
      <w:r w:rsidR="005C09CB" w:rsidRPr="00415B4C">
        <w:rPr>
          <w:rFonts w:ascii="Arial" w:hAnsi="Arial" w:cs="Arial"/>
          <w:sz w:val="20"/>
          <w:szCs w:val="20"/>
        </w:rPr>
        <w:t xml:space="preserve">investors </w:t>
      </w:r>
      <w:r w:rsidR="005561F7" w:rsidRPr="00415B4C">
        <w:rPr>
          <w:rFonts w:ascii="Arial" w:hAnsi="Arial" w:cs="Arial"/>
          <w:sz w:val="20"/>
          <w:szCs w:val="20"/>
        </w:rPr>
        <w:t xml:space="preserve">make </w:t>
      </w:r>
      <w:r w:rsidR="005C09CB" w:rsidRPr="00415B4C">
        <w:rPr>
          <w:rFonts w:ascii="Arial" w:hAnsi="Arial" w:cs="Arial"/>
          <w:sz w:val="20"/>
          <w:szCs w:val="20"/>
        </w:rPr>
        <w:t>rational decision</w:t>
      </w:r>
      <w:r w:rsidR="005561F7" w:rsidRPr="00415B4C">
        <w:rPr>
          <w:rFonts w:ascii="Arial" w:hAnsi="Arial" w:cs="Arial"/>
          <w:sz w:val="20"/>
          <w:szCs w:val="20"/>
        </w:rPr>
        <w:t>s</w:t>
      </w:r>
      <w:r w:rsidR="005C09CB" w:rsidRPr="00415B4C">
        <w:rPr>
          <w:rFonts w:ascii="Arial" w:hAnsi="Arial" w:cs="Arial"/>
          <w:sz w:val="20"/>
          <w:szCs w:val="20"/>
        </w:rPr>
        <w:t xml:space="preserve"> (Fama, 1970) </w:t>
      </w:r>
      <w:r w:rsidR="00F33A00" w:rsidRPr="00415B4C">
        <w:rPr>
          <w:rFonts w:ascii="Arial" w:hAnsi="Arial" w:cs="Arial"/>
          <w:sz w:val="20"/>
          <w:szCs w:val="20"/>
        </w:rPr>
        <w:t xml:space="preserve">because the </w:t>
      </w:r>
      <w:r w:rsidR="005C09CB" w:rsidRPr="00415B4C">
        <w:rPr>
          <w:rFonts w:ascii="Arial" w:hAnsi="Arial" w:cs="Arial"/>
          <w:sz w:val="20"/>
          <w:szCs w:val="20"/>
        </w:rPr>
        <w:t xml:space="preserve">investors can </w:t>
      </w:r>
      <w:r w:rsidR="003307EB" w:rsidRPr="00415B4C">
        <w:rPr>
          <w:rFonts w:ascii="Arial" w:hAnsi="Arial" w:cs="Arial"/>
          <w:sz w:val="20"/>
          <w:szCs w:val="20"/>
        </w:rPr>
        <w:t>avoid</w:t>
      </w:r>
      <w:r w:rsidR="00F33A00" w:rsidRPr="00415B4C">
        <w:rPr>
          <w:rFonts w:ascii="Arial" w:hAnsi="Arial" w:cs="Arial"/>
          <w:sz w:val="20"/>
          <w:szCs w:val="20"/>
        </w:rPr>
        <w:t xml:space="preserve"> the </w:t>
      </w:r>
      <w:r w:rsidR="005C09CB" w:rsidRPr="00415B4C">
        <w:rPr>
          <w:rFonts w:ascii="Arial" w:hAnsi="Arial" w:cs="Arial"/>
          <w:sz w:val="20"/>
          <w:szCs w:val="20"/>
        </w:rPr>
        <w:t xml:space="preserve">effect of irrational trading and react similarly to the new </w:t>
      </w:r>
      <w:r w:rsidR="00163BCC" w:rsidRPr="00415B4C">
        <w:rPr>
          <w:rFonts w:ascii="Arial" w:hAnsi="Arial" w:cs="Arial"/>
          <w:sz w:val="20"/>
          <w:szCs w:val="20"/>
        </w:rPr>
        <w:t>data</w:t>
      </w:r>
      <w:r w:rsidR="005C09CB" w:rsidRPr="00415B4C">
        <w:rPr>
          <w:rFonts w:ascii="Arial" w:hAnsi="Arial" w:cs="Arial"/>
          <w:sz w:val="20"/>
          <w:szCs w:val="20"/>
        </w:rPr>
        <w:t xml:space="preserve">. It also </w:t>
      </w:r>
      <w:r w:rsidRPr="00415B4C">
        <w:rPr>
          <w:rFonts w:ascii="Arial" w:hAnsi="Arial" w:cs="Arial"/>
          <w:sz w:val="20"/>
          <w:szCs w:val="20"/>
        </w:rPr>
        <w:t>believes</w:t>
      </w:r>
      <w:r w:rsidR="005C09CB" w:rsidRPr="00415B4C">
        <w:rPr>
          <w:rFonts w:ascii="Arial" w:hAnsi="Arial" w:cs="Arial"/>
          <w:sz w:val="20"/>
          <w:szCs w:val="20"/>
        </w:rPr>
        <w:t xml:space="preserve"> that </w:t>
      </w:r>
      <w:r w:rsidRPr="00415B4C">
        <w:rPr>
          <w:rFonts w:ascii="Arial" w:hAnsi="Arial" w:cs="Arial"/>
          <w:sz w:val="20"/>
          <w:szCs w:val="20"/>
        </w:rPr>
        <w:t xml:space="preserve">arbitrageurs restore </w:t>
      </w:r>
      <w:r w:rsidR="005C09CB" w:rsidRPr="00415B4C">
        <w:rPr>
          <w:rFonts w:ascii="Arial" w:hAnsi="Arial" w:cs="Arial"/>
          <w:sz w:val="20"/>
          <w:szCs w:val="20"/>
        </w:rPr>
        <w:t xml:space="preserve">the </w:t>
      </w:r>
      <w:r w:rsidRPr="00415B4C">
        <w:rPr>
          <w:rFonts w:ascii="Arial" w:hAnsi="Arial" w:cs="Arial"/>
          <w:sz w:val="20"/>
          <w:szCs w:val="20"/>
        </w:rPr>
        <w:t xml:space="preserve">elementary worth </w:t>
      </w:r>
      <w:r w:rsidR="005C09CB" w:rsidRPr="00415B4C">
        <w:rPr>
          <w:rFonts w:ascii="Arial" w:hAnsi="Arial" w:cs="Arial"/>
          <w:sz w:val="20"/>
          <w:szCs w:val="20"/>
        </w:rPr>
        <w:t xml:space="preserve">of the </w:t>
      </w:r>
      <w:r w:rsidRPr="00415B4C">
        <w:rPr>
          <w:rFonts w:ascii="Arial" w:hAnsi="Arial" w:cs="Arial"/>
          <w:sz w:val="20"/>
          <w:szCs w:val="20"/>
        </w:rPr>
        <w:t xml:space="preserve">market </w:t>
      </w:r>
      <w:r w:rsidR="005C09CB" w:rsidRPr="00415B4C">
        <w:rPr>
          <w:rFonts w:ascii="Arial" w:hAnsi="Arial" w:cs="Arial"/>
          <w:sz w:val="20"/>
          <w:szCs w:val="20"/>
        </w:rPr>
        <w:t>securities</w:t>
      </w:r>
      <w:r w:rsidRPr="00415B4C">
        <w:rPr>
          <w:rFonts w:ascii="Arial" w:hAnsi="Arial" w:cs="Arial"/>
          <w:sz w:val="20"/>
          <w:szCs w:val="20"/>
        </w:rPr>
        <w:t xml:space="preserve"> when unsound</w:t>
      </w:r>
      <w:r w:rsidR="005C09CB" w:rsidRPr="00415B4C">
        <w:rPr>
          <w:rFonts w:ascii="Arial" w:hAnsi="Arial" w:cs="Arial"/>
          <w:sz w:val="20"/>
          <w:szCs w:val="20"/>
        </w:rPr>
        <w:t xml:space="preserve"> traders try to time the market. </w:t>
      </w:r>
      <w:r w:rsidR="00005660" w:rsidRPr="00415B4C">
        <w:rPr>
          <w:rFonts w:ascii="Arial" w:hAnsi="Arial" w:cs="Arial"/>
          <w:sz w:val="20"/>
          <w:szCs w:val="20"/>
        </w:rPr>
        <w:t>Modern behavioral finance questioned the primary</w:t>
      </w:r>
      <w:r w:rsidR="00661C92" w:rsidRPr="00415B4C">
        <w:rPr>
          <w:rFonts w:ascii="Arial" w:hAnsi="Arial" w:cs="Arial"/>
          <w:sz w:val="20"/>
          <w:szCs w:val="20"/>
        </w:rPr>
        <w:t xml:space="preserve"> </w:t>
      </w:r>
      <w:r w:rsidR="00005660" w:rsidRPr="00415B4C">
        <w:rPr>
          <w:rFonts w:ascii="Arial" w:hAnsi="Arial" w:cs="Arial"/>
          <w:sz w:val="20"/>
          <w:szCs w:val="20"/>
        </w:rPr>
        <w:t>belief</w:t>
      </w:r>
      <w:r w:rsidR="005C09CB" w:rsidRPr="00415B4C">
        <w:rPr>
          <w:rFonts w:ascii="Arial" w:hAnsi="Arial" w:cs="Arial"/>
          <w:sz w:val="20"/>
          <w:szCs w:val="20"/>
        </w:rPr>
        <w:t xml:space="preserve"> of standard finance, which </w:t>
      </w:r>
      <w:r w:rsidR="00005660" w:rsidRPr="00415B4C">
        <w:rPr>
          <w:rFonts w:ascii="Arial" w:hAnsi="Arial" w:cs="Arial"/>
          <w:sz w:val="20"/>
          <w:szCs w:val="20"/>
        </w:rPr>
        <w:t>assumes</w:t>
      </w:r>
      <w:r w:rsidR="005C09CB" w:rsidRPr="00415B4C">
        <w:rPr>
          <w:rFonts w:ascii="Arial" w:hAnsi="Arial" w:cs="Arial"/>
          <w:sz w:val="20"/>
          <w:szCs w:val="20"/>
        </w:rPr>
        <w:t xml:space="preserve"> that investors make </w:t>
      </w:r>
      <w:r w:rsidR="00005660" w:rsidRPr="00415B4C">
        <w:rPr>
          <w:rFonts w:ascii="Arial" w:hAnsi="Arial" w:cs="Arial"/>
          <w:sz w:val="20"/>
          <w:szCs w:val="20"/>
        </w:rPr>
        <w:t>unsound</w:t>
      </w:r>
      <w:r w:rsidR="005C09CB" w:rsidRPr="00415B4C">
        <w:rPr>
          <w:rFonts w:ascii="Arial" w:hAnsi="Arial" w:cs="Arial"/>
          <w:sz w:val="20"/>
          <w:szCs w:val="20"/>
        </w:rPr>
        <w:t xml:space="preserve"> decisions based </w:t>
      </w:r>
      <w:r w:rsidR="00661C92" w:rsidRPr="00415B4C">
        <w:rPr>
          <w:rFonts w:ascii="Arial" w:hAnsi="Arial" w:cs="Arial"/>
          <w:sz w:val="20"/>
          <w:szCs w:val="20"/>
        </w:rPr>
        <w:t>on</w:t>
      </w:r>
      <w:r w:rsidR="005C09CB" w:rsidRPr="00415B4C">
        <w:rPr>
          <w:rFonts w:ascii="Arial" w:hAnsi="Arial" w:cs="Arial"/>
          <w:sz w:val="20"/>
          <w:szCs w:val="20"/>
        </w:rPr>
        <w:t xml:space="preserve"> their beliefs and are guided by heuristics (Barberis &amp; Thaler, 2003). </w:t>
      </w:r>
      <w:r w:rsidR="00954E1F" w:rsidRPr="00415B4C">
        <w:rPr>
          <w:rFonts w:ascii="Arial" w:hAnsi="Arial" w:cs="Arial"/>
          <w:sz w:val="20"/>
          <w:szCs w:val="20"/>
        </w:rPr>
        <w:t>Behavioral</w:t>
      </w:r>
      <w:r w:rsidR="005C09CB" w:rsidRPr="00415B4C">
        <w:rPr>
          <w:rFonts w:ascii="Arial" w:hAnsi="Arial" w:cs="Arial"/>
          <w:sz w:val="20"/>
          <w:szCs w:val="20"/>
        </w:rPr>
        <w:t xml:space="preserve"> finance </w:t>
      </w:r>
      <w:r w:rsidR="00005660" w:rsidRPr="00415B4C">
        <w:rPr>
          <w:rFonts w:ascii="Arial" w:hAnsi="Arial" w:cs="Arial"/>
          <w:sz w:val="20"/>
          <w:szCs w:val="20"/>
        </w:rPr>
        <w:t>assumes</w:t>
      </w:r>
      <w:r w:rsidR="005C09CB" w:rsidRPr="00415B4C">
        <w:rPr>
          <w:rFonts w:ascii="Arial" w:hAnsi="Arial" w:cs="Arial"/>
          <w:sz w:val="20"/>
          <w:szCs w:val="20"/>
        </w:rPr>
        <w:t xml:space="preserve"> that investors</w:t>
      </w:r>
      <w:r w:rsidR="00005660" w:rsidRPr="00415B4C">
        <w:rPr>
          <w:rFonts w:ascii="Arial" w:hAnsi="Arial" w:cs="Arial"/>
          <w:sz w:val="20"/>
          <w:szCs w:val="20"/>
        </w:rPr>
        <w:t xml:space="preserve"> choose investments as on their varied opinions and sentiments about the market. The</w:t>
      </w:r>
      <w:r w:rsidR="005C09CB" w:rsidRPr="00415B4C">
        <w:rPr>
          <w:rFonts w:ascii="Arial" w:hAnsi="Arial" w:cs="Arial"/>
          <w:sz w:val="20"/>
          <w:szCs w:val="20"/>
        </w:rPr>
        <w:t xml:space="preserve"> </w:t>
      </w:r>
      <w:r w:rsidR="00005660" w:rsidRPr="00415B4C">
        <w:rPr>
          <w:rFonts w:ascii="Arial" w:hAnsi="Arial" w:cs="Arial"/>
          <w:sz w:val="20"/>
          <w:szCs w:val="20"/>
        </w:rPr>
        <w:t xml:space="preserve">theory </w:t>
      </w:r>
      <w:r w:rsidR="005C09CB" w:rsidRPr="00415B4C">
        <w:rPr>
          <w:rFonts w:ascii="Arial" w:hAnsi="Arial" w:cs="Arial"/>
          <w:sz w:val="20"/>
          <w:szCs w:val="20"/>
        </w:rPr>
        <w:t xml:space="preserve">of investor sentiment </w:t>
      </w:r>
      <w:r w:rsidR="00005660" w:rsidRPr="00415B4C">
        <w:rPr>
          <w:rFonts w:ascii="Arial" w:hAnsi="Arial" w:cs="Arial"/>
          <w:sz w:val="20"/>
          <w:szCs w:val="20"/>
        </w:rPr>
        <w:t>questions</w:t>
      </w:r>
      <w:r w:rsidR="005C09CB" w:rsidRPr="00415B4C">
        <w:rPr>
          <w:rFonts w:ascii="Arial" w:hAnsi="Arial" w:cs="Arial"/>
          <w:sz w:val="20"/>
          <w:szCs w:val="20"/>
        </w:rPr>
        <w:t xml:space="preserve"> the </w:t>
      </w:r>
      <w:r w:rsidR="00005660" w:rsidRPr="00415B4C">
        <w:rPr>
          <w:rFonts w:ascii="Arial" w:hAnsi="Arial" w:cs="Arial"/>
          <w:sz w:val="20"/>
          <w:szCs w:val="20"/>
        </w:rPr>
        <w:t xml:space="preserve">belief </w:t>
      </w:r>
      <w:r w:rsidR="005C09CB" w:rsidRPr="00415B4C">
        <w:rPr>
          <w:rFonts w:ascii="Arial" w:hAnsi="Arial" w:cs="Arial"/>
          <w:sz w:val="20"/>
          <w:szCs w:val="20"/>
        </w:rPr>
        <w:t xml:space="preserve">of the efficient market hypothesis and is defined as the tendency of investors to speculate the stock returns (Baker &amp; Wurgler, 2006). </w:t>
      </w:r>
    </w:p>
    <w:p w14:paraId="4C350822" w14:textId="2FC49928" w:rsidR="00A028C2" w:rsidRPr="00415B4C" w:rsidRDefault="00514AE0" w:rsidP="00415B4C">
      <w:pPr>
        <w:spacing w:after="0" w:line="240" w:lineRule="auto"/>
        <w:jc w:val="both"/>
        <w:rPr>
          <w:rFonts w:ascii="Arial" w:hAnsi="Arial" w:cs="Arial"/>
          <w:sz w:val="20"/>
          <w:szCs w:val="20"/>
        </w:rPr>
      </w:pPr>
      <w:r w:rsidRPr="00415B4C">
        <w:rPr>
          <w:rFonts w:ascii="Arial" w:hAnsi="Arial" w:cs="Arial"/>
          <w:sz w:val="20"/>
          <w:szCs w:val="20"/>
        </w:rPr>
        <w:t xml:space="preserve">The </w:t>
      </w:r>
      <w:r w:rsidR="00151D48" w:rsidRPr="00415B4C">
        <w:rPr>
          <w:rFonts w:ascii="Arial" w:hAnsi="Arial" w:cs="Arial"/>
          <w:sz w:val="20"/>
          <w:szCs w:val="20"/>
        </w:rPr>
        <w:t>investors' sentiment</w:t>
      </w:r>
      <w:r w:rsidRPr="00415B4C">
        <w:rPr>
          <w:rFonts w:ascii="Arial" w:hAnsi="Arial" w:cs="Arial"/>
          <w:sz w:val="20"/>
          <w:szCs w:val="20"/>
        </w:rPr>
        <w:t xml:space="preserve"> </w:t>
      </w:r>
      <w:r w:rsidR="00151D48" w:rsidRPr="00415B4C">
        <w:rPr>
          <w:rFonts w:ascii="Arial" w:hAnsi="Arial" w:cs="Arial"/>
          <w:sz w:val="20"/>
          <w:szCs w:val="20"/>
        </w:rPr>
        <w:t xml:space="preserve">appears </w:t>
      </w:r>
      <w:r w:rsidRPr="00415B4C">
        <w:rPr>
          <w:rFonts w:ascii="Arial" w:hAnsi="Arial" w:cs="Arial"/>
          <w:sz w:val="20"/>
          <w:szCs w:val="20"/>
        </w:rPr>
        <w:t xml:space="preserve">out of </w:t>
      </w:r>
      <w:r w:rsidR="00736682" w:rsidRPr="00415B4C">
        <w:rPr>
          <w:rFonts w:ascii="Arial" w:hAnsi="Arial" w:cs="Arial"/>
          <w:sz w:val="20"/>
          <w:szCs w:val="20"/>
        </w:rPr>
        <w:t>investors'</w:t>
      </w:r>
      <w:r w:rsidR="00151D48" w:rsidRPr="00415B4C">
        <w:rPr>
          <w:rFonts w:ascii="Arial" w:hAnsi="Arial" w:cs="Arial"/>
          <w:sz w:val="20"/>
          <w:szCs w:val="20"/>
        </w:rPr>
        <w:t xml:space="preserve"> behavioral responses</w:t>
      </w:r>
      <w:r w:rsidR="003307EB" w:rsidRPr="00415B4C">
        <w:rPr>
          <w:rFonts w:ascii="Arial" w:hAnsi="Arial" w:cs="Arial"/>
          <w:sz w:val="20"/>
          <w:szCs w:val="20"/>
        </w:rPr>
        <w:t>,</w:t>
      </w:r>
      <w:r w:rsidR="00151D48" w:rsidRPr="00415B4C">
        <w:rPr>
          <w:rFonts w:ascii="Arial" w:hAnsi="Arial" w:cs="Arial"/>
          <w:sz w:val="20"/>
          <w:szCs w:val="20"/>
        </w:rPr>
        <w:t xml:space="preserve"> i.e.</w:t>
      </w:r>
      <w:r w:rsidR="003307EB" w:rsidRPr="00415B4C">
        <w:rPr>
          <w:rFonts w:ascii="Arial" w:hAnsi="Arial" w:cs="Arial"/>
          <w:sz w:val="20"/>
          <w:szCs w:val="20"/>
        </w:rPr>
        <w:t>,</w:t>
      </w:r>
      <w:r w:rsidRPr="00415B4C">
        <w:rPr>
          <w:rFonts w:ascii="Arial" w:hAnsi="Arial" w:cs="Arial"/>
          <w:sz w:val="20"/>
          <w:szCs w:val="20"/>
        </w:rPr>
        <w:t xml:space="preserve"> cognitive, </w:t>
      </w:r>
      <w:r w:rsidR="00151D48" w:rsidRPr="00415B4C">
        <w:rPr>
          <w:rFonts w:ascii="Arial" w:hAnsi="Arial" w:cs="Arial"/>
          <w:sz w:val="20"/>
          <w:szCs w:val="20"/>
        </w:rPr>
        <w:t xml:space="preserve">and </w:t>
      </w:r>
      <w:r w:rsidRPr="00415B4C">
        <w:rPr>
          <w:rFonts w:ascii="Arial" w:hAnsi="Arial" w:cs="Arial"/>
          <w:sz w:val="20"/>
          <w:szCs w:val="20"/>
        </w:rPr>
        <w:t xml:space="preserve">affective, rather than the informed decisions they make as per the changes in the market (Xu &amp; Green, 2013). Thorp (2004) defines </w:t>
      </w:r>
      <w:r w:rsidR="00FD31AF" w:rsidRPr="00415B4C">
        <w:rPr>
          <w:rFonts w:ascii="Arial" w:hAnsi="Arial" w:cs="Arial"/>
          <w:sz w:val="20"/>
          <w:szCs w:val="20"/>
        </w:rPr>
        <w:t xml:space="preserve">the </w:t>
      </w:r>
      <w:r w:rsidRPr="00415B4C">
        <w:rPr>
          <w:rFonts w:ascii="Arial" w:hAnsi="Arial" w:cs="Arial"/>
          <w:sz w:val="20"/>
          <w:szCs w:val="20"/>
        </w:rPr>
        <w:t>sentiment</w:t>
      </w:r>
      <w:r w:rsidR="00151D48" w:rsidRPr="00415B4C">
        <w:rPr>
          <w:rFonts w:ascii="Arial" w:hAnsi="Arial" w:cs="Arial"/>
          <w:sz w:val="20"/>
          <w:szCs w:val="20"/>
        </w:rPr>
        <w:t xml:space="preserve">s of </w:t>
      </w:r>
      <w:r w:rsidR="00FD31AF" w:rsidRPr="00415B4C">
        <w:rPr>
          <w:rFonts w:ascii="Arial" w:hAnsi="Arial" w:cs="Arial"/>
          <w:sz w:val="20"/>
          <w:szCs w:val="20"/>
        </w:rPr>
        <w:t>investors</w:t>
      </w:r>
      <w:r w:rsidR="006F6BDB" w:rsidRPr="00415B4C">
        <w:rPr>
          <w:rFonts w:ascii="Arial" w:hAnsi="Arial" w:cs="Arial"/>
          <w:sz w:val="20"/>
          <w:szCs w:val="20"/>
        </w:rPr>
        <w:t xml:space="preserve"> as</w:t>
      </w:r>
      <w:r w:rsidRPr="00415B4C">
        <w:rPr>
          <w:rFonts w:ascii="Arial" w:hAnsi="Arial" w:cs="Arial"/>
          <w:sz w:val="20"/>
          <w:szCs w:val="20"/>
        </w:rPr>
        <w:t xml:space="preserve"> the </w:t>
      </w:r>
      <w:r w:rsidR="00151D48" w:rsidRPr="00415B4C">
        <w:rPr>
          <w:rFonts w:ascii="Arial" w:hAnsi="Arial" w:cs="Arial"/>
          <w:sz w:val="20"/>
          <w:szCs w:val="20"/>
        </w:rPr>
        <w:t>tally</w:t>
      </w:r>
      <w:r w:rsidRPr="00415B4C">
        <w:rPr>
          <w:rFonts w:ascii="Arial" w:hAnsi="Arial" w:cs="Arial"/>
          <w:sz w:val="20"/>
          <w:szCs w:val="20"/>
        </w:rPr>
        <w:t xml:space="preserve"> of people's</w:t>
      </w:r>
      <w:r w:rsidR="008E3A56" w:rsidRPr="00415B4C">
        <w:rPr>
          <w:rFonts w:ascii="Arial" w:hAnsi="Arial" w:cs="Arial"/>
          <w:sz w:val="20"/>
          <w:szCs w:val="20"/>
        </w:rPr>
        <w:t xml:space="preserve"> </w:t>
      </w:r>
      <w:r w:rsidR="00912176" w:rsidRPr="00415B4C">
        <w:rPr>
          <w:rFonts w:ascii="Arial" w:hAnsi="Arial" w:cs="Arial"/>
          <w:sz w:val="20"/>
          <w:szCs w:val="20"/>
        </w:rPr>
        <w:t>views</w:t>
      </w:r>
      <w:r w:rsidRPr="00415B4C">
        <w:rPr>
          <w:rFonts w:ascii="Arial" w:hAnsi="Arial" w:cs="Arial"/>
          <w:sz w:val="20"/>
          <w:szCs w:val="20"/>
        </w:rPr>
        <w:t>, feelings, emotions &amp; perspectives</w:t>
      </w:r>
      <w:r w:rsidR="00FD31AF" w:rsidRPr="00415B4C">
        <w:rPr>
          <w:rFonts w:ascii="Arial" w:hAnsi="Arial" w:cs="Arial"/>
          <w:sz w:val="20"/>
          <w:szCs w:val="20"/>
        </w:rPr>
        <w:t>,</w:t>
      </w:r>
      <w:r w:rsidRPr="00415B4C">
        <w:rPr>
          <w:rFonts w:ascii="Arial" w:hAnsi="Arial" w:cs="Arial"/>
          <w:sz w:val="20"/>
          <w:szCs w:val="20"/>
        </w:rPr>
        <w:t xml:space="preserve"> and aggregates. </w:t>
      </w:r>
    </w:p>
    <w:p w14:paraId="744B6DDE" w14:textId="75D43214" w:rsidR="00514AE0" w:rsidRPr="00415B4C" w:rsidRDefault="00E06BA4" w:rsidP="00415B4C">
      <w:pPr>
        <w:spacing w:after="0" w:line="240" w:lineRule="auto"/>
        <w:jc w:val="both"/>
        <w:rPr>
          <w:rFonts w:ascii="Arial" w:hAnsi="Arial" w:cs="Arial"/>
          <w:sz w:val="20"/>
          <w:szCs w:val="20"/>
        </w:rPr>
      </w:pPr>
      <w:r w:rsidRPr="00415B4C">
        <w:rPr>
          <w:rFonts w:ascii="Arial" w:hAnsi="Arial" w:cs="Arial"/>
          <w:sz w:val="20"/>
          <w:szCs w:val="20"/>
        </w:rPr>
        <w:t>In the initial studies,</w:t>
      </w:r>
      <w:r w:rsidR="000633BF" w:rsidRPr="00415B4C">
        <w:rPr>
          <w:rFonts w:ascii="Arial" w:hAnsi="Arial" w:cs="Arial"/>
          <w:sz w:val="20"/>
          <w:szCs w:val="20"/>
        </w:rPr>
        <w:t xml:space="preserve"> </w:t>
      </w:r>
      <w:r w:rsidR="00514AE0" w:rsidRPr="00415B4C">
        <w:rPr>
          <w:rFonts w:ascii="Arial" w:hAnsi="Arial" w:cs="Arial"/>
          <w:sz w:val="20"/>
          <w:szCs w:val="20"/>
        </w:rPr>
        <w:t xml:space="preserve">Brown and Cliff (2004) </w:t>
      </w:r>
      <w:r w:rsidR="00EB16A4" w:rsidRPr="00415B4C">
        <w:rPr>
          <w:rFonts w:ascii="Arial" w:hAnsi="Arial" w:cs="Arial"/>
          <w:sz w:val="20"/>
          <w:szCs w:val="20"/>
        </w:rPr>
        <w:t>explore</w:t>
      </w:r>
      <w:r w:rsidR="00514AE0" w:rsidRPr="00415B4C">
        <w:rPr>
          <w:rFonts w:ascii="Arial" w:hAnsi="Arial" w:cs="Arial"/>
          <w:sz w:val="20"/>
          <w:szCs w:val="20"/>
        </w:rPr>
        <w:t xml:space="preserve"> the </w:t>
      </w:r>
      <w:r w:rsidR="00EB16A4" w:rsidRPr="00415B4C">
        <w:rPr>
          <w:rFonts w:ascii="Arial" w:hAnsi="Arial" w:cs="Arial"/>
          <w:sz w:val="20"/>
          <w:szCs w:val="20"/>
        </w:rPr>
        <w:t>relationship between</w:t>
      </w:r>
      <w:r w:rsidR="00514AE0" w:rsidRPr="00415B4C">
        <w:rPr>
          <w:rFonts w:ascii="Arial" w:hAnsi="Arial" w:cs="Arial"/>
          <w:sz w:val="20"/>
          <w:szCs w:val="20"/>
        </w:rPr>
        <w:t xml:space="preserve"> investor sentiment</w:t>
      </w:r>
      <w:r w:rsidR="00EB16A4" w:rsidRPr="00415B4C">
        <w:rPr>
          <w:rFonts w:ascii="Arial" w:hAnsi="Arial" w:cs="Arial"/>
          <w:sz w:val="20"/>
          <w:szCs w:val="20"/>
        </w:rPr>
        <w:t xml:space="preserve"> and</w:t>
      </w:r>
      <w:r w:rsidR="00514AE0" w:rsidRPr="00415B4C">
        <w:rPr>
          <w:rFonts w:ascii="Arial" w:hAnsi="Arial" w:cs="Arial"/>
          <w:sz w:val="20"/>
          <w:szCs w:val="20"/>
        </w:rPr>
        <w:t xml:space="preserve"> near-term stock valuations</w:t>
      </w:r>
      <w:r w:rsidR="00FD31AF" w:rsidRPr="00415B4C">
        <w:rPr>
          <w:rFonts w:ascii="Arial" w:hAnsi="Arial" w:cs="Arial"/>
          <w:sz w:val="20"/>
          <w:szCs w:val="20"/>
        </w:rPr>
        <w:t xml:space="preserve"> by</w:t>
      </w:r>
      <w:r w:rsidR="00514AE0" w:rsidRPr="00415B4C">
        <w:rPr>
          <w:rFonts w:ascii="Arial" w:hAnsi="Arial" w:cs="Arial"/>
          <w:sz w:val="20"/>
          <w:szCs w:val="20"/>
        </w:rPr>
        <w:t xml:space="preserve"> using the combination of direct and indirect measures of investor sentiment, highlighting the role of historical stock returns in directing investors' sentiment. Baker and</w:t>
      </w:r>
      <w:r w:rsidR="00780261" w:rsidRPr="00415B4C">
        <w:rPr>
          <w:rFonts w:ascii="Arial" w:hAnsi="Arial" w:cs="Arial"/>
          <w:sz w:val="20"/>
          <w:szCs w:val="20"/>
        </w:rPr>
        <w:t xml:space="preserve"> Wurgler (2006) emphasized that stocks whose valuations are highly subjective and difficult to arbitrage are more prone to </w:t>
      </w:r>
      <w:r w:rsidR="003307EB" w:rsidRPr="00415B4C">
        <w:rPr>
          <w:rFonts w:ascii="Arial" w:hAnsi="Arial" w:cs="Arial"/>
          <w:sz w:val="20"/>
          <w:szCs w:val="20"/>
        </w:rPr>
        <w:t xml:space="preserve">the </w:t>
      </w:r>
      <w:r w:rsidR="00780261" w:rsidRPr="00415B4C">
        <w:rPr>
          <w:rFonts w:ascii="Arial" w:hAnsi="Arial" w:cs="Arial"/>
          <w:sz w:val="20"/>
          <w:szCs w:val="20"/>
        </w:rPr>
        <w:t xml:space="preserve">sentiment effect. </w:t>
      </w:r>
      <w:r w:rsidR="003307EB" w:rsidRPr="00415B4C">
        <w:rPr>
          <w:rFonts w:ascii="Arial" w:hAnsi="Arial" w:cs="Arial"/>
          <w:sz w:val="20"/>
          <w:szCs w:val="20"/>
        </w:rPr>
        <w:t xml:space="preserve">Investor sentiment is influenced by unanticipated market changes, which affect </w:t>
      </w:r>
      <w:r w:rsidR="00780261" w:rsidRPr="00415B4C">
        <w:rPr>
          <w:rFonts w:ascii="Arial" w:hAnsi="Arial" w:cs="Arial"/>
          <w:sz w:val="20"/>
          <w:szCs w:val="20"/>
        </w:rPr>
        <w:t>stock returns (Schmeling, 2009).</w:t>
      </w:r>
    </w:p>
    <w:p w14:paraId="7CC13601" w14:textId="741429EF" w:rsidR="006665E4" w:rsidRPr="00415B4C" w:rsidRDefault="006F7DA3" w:rsidP="00415B4C">
      <w:pPr>
        <w:spacing w:after="0" w:line="240" w:lineRule="auto"/>
        <w:jc w:val="both"/>
        <w:rPr>
          <w:rFonts w:ascii="Arial" w:hAnsi="Arial" w:cs="Arial"/>
          <w:sz w:val="20"/>
          <w:szCs w:val="20"/>
        </w:rPr>
      </w:pPr>
      <w:r w:rsidRPr="00415B4C">
        <w:rPr>
          <w:rFonts w:ascii="Arial" w:hAnsi="Arial" w:cs="Arial"/>
          <w:sz w:val="20"/>
          <w:szCs w:val="20"/>
        </w:rPr>
        <w:t xml:space="preserve">Investor sentiment </w:t>
      </w:r>
      <w:r w:rsidR="0068462B" w:rsidRPr="00415B4C">
        <w:rPr>
          <w:rFonts w:ascii="Arial" w:hAnsi="Arial" w:cs="Arial"/>
          <w:sz w:val="20"/>
          <w:szCs w:val="20"/>
        </w:rPr>
        <w:t>means</w:t>
      </w:r>
      <w:r w:rsidR="000823D2" w:rsidRPr="00415B4C">
        <w:rPr>
          <w:rFonts w:ascii="Arial" w:hAnsi="Arial" w:cs="Arial"/>
          <w:sz w:val="20"/>
          <w:szCs w:val="20"/>
        </w:rPr>
        <w:t xml:space="preserve"> </w:t>
      </w:r>
      <w:r w:rsidRPr="00415B4C">
        <w:rPr>
          <w:rFonts w:ascii="Arial" w:hAnsi="Arial" w:cs="Arial"/>
          <w:sz w:val="20"/>
          <w:szCs w:val="20"/>
        </w:rPr>
        <w:t xml:space="preserve">the </w:t>
      </w:r>
      <w:r w:rsidR="000823D2" w:rsidRPr="00415B4C">
        <w:rPr>
          <w:rFonts w:ascii="Arial" w:hAnsi="Arial" w:cs="Arial"/>
          <w:sz w:val="20"/>
          <w:szCs w:val="20"/>
        </w:rPr>
        <w:t xml:space="preserve">tendency </w:t>
      </w:r>
      <w:r w:rsidRPr="00415B4C">
        <w:rPr>
          <w:rFonts w:ascii="Arial" w:hAnsi="Arial" w:cs="Arial"/>
          <w:sz w:val="20"/>
          <w:szCs w:val="20"/>
        </w:rPr>
        <w:t xml:space="preserve">of </w:t>
      </w:r>
      <w:r w:rsidR="0068462B" w:rsidRPr="00415B4C">
        <w:rPr>
          <w:rFonts w:ascii="Arial" w:hAnsi="Arial" w:cs="Arial"/>
          <w:sz w:val="20"/>
          <w:szCs w:val="20"/>
        </w:rPr>
        <w:t xml:space="preserve">shareholders </w:t>
      </w:r>
      <w:r w:rsidRPr="00415B4C">
        <w:rPr>
          <w:rFonts w:ascii="Arial" w:hAnsi="Arial" w:cs="Arial"/>
          <w:sz w:val="20"/>
          <w:szCs w:val="20"/>
        </w:rPr>
        <w:t xml:space="preserve">to </w:t>
      </w:r>
      <w:r w:rsidR="0068462B" w:rsidRPr="00415B4C">
        <w:rPr>
          <w:rFonts w:ascii="Arial" w:hAnsi="Arial" w:cs="Arial"/>
          <w:sz w:val="20"/>
          <w:szCs w:val="20"/>
        </w:rPr>
        <w:t xml:space="preserve">wager </w:t>
      </w:r>
      <w:r w:rsidRPr="00415B4C">
        <w:rPr>
          <w:rFonts w:ascii="Arial" w:hAnsi="Arial" w:cs="Arial"/>
          <w:sz w:val="20"/>
          <w:szCs w:val="20"/>
        </w:rPr>
        <w:t xml:space="preserve">on stock </w:t>
      </w:r>
      <w:r w:rsidR="0068462B" w:rsidRPr="00415B4C">
        <w:rPr>
          <w:rFonts w:ascii="Arial" w:hAnsi="Arial" w:cs="Arial"/>
          <w:sz w:val="20"/>
          <w:szCs w:val="20"/>
        </w:rPr>
        <w:t>profits</w:t>
      </w:r>
      <w:r w:rsidRPr="00415B4C">
        <w:rPr>
          <w:rFonts w:ascii="Arial" w:hAnsi="Arial" w:cs="Arial"/>
          <w:sz w:val="20"/>
          <w:szCs w:val="20"/>
        </w:rPr>
        <w:t xml:space="preserve"> (Baker &amp; Wurgler, 2006, 2007).</w:t>
      </w:r>
      <w:r w:rsidR="0068462B" w:rsidRPr="00415B4C">
        <w:rPr>
          <w:rFonts w:ascii="Arial" w:hAnsi="Arial" w:cs="Arial"/>
          <w:sz w:val="20"/>
          <w:szCs w:val="20"/>
        </w:rPr>
        <w:t xml:space="preserve"> Sentiments of</w:t>
      </w:r>
      <w:r w:rsidRPr="00415B4C">
        <w:rPr>
          <w:rFonts w:ascii="Arial" w:hAnsi="Arial" w:cs="Arial"/>
          <w:sz w:val="20"/>
          <w:szCs w:val="20"/>
        </w:rPr>
        <w:t xml:space="preserve"> </w:t>
      </w:r>
      <w:r w:rsidR="0068462B" w:rsidRPr="00415B4C">
        <w:rPr>
          <w:rFonts w:ascii="Arial" w:hAnsi="Arial" w:cs="Arial"/>
          <w:sz w:val="20"/>
          <w:szCs w:val="20"/>
        </w:rPr>
        <w:t>Investors</w:t>
      </w:r>
      <w:r w:rsidRPr="00415B4C">
        <w:rPr>
          <w:rFonts w:ascii="Arial" w:hAnsi="Arial" w:cs="Arial"/>
          <w:sz w:val="20"/>
          <w:szCs w:val="20"/>
        </w:rPr>
        <w:t xml:space="preserve"> </w:t>
      </w:r>
      <w:r w:rsidR="00030574" w:rsidRPr="00415B4C">
        <w:rPr>
          <w:rFonts w:ascii="Arial" w:hAnsi="Arial" w:cs="Arial"/>
          <w:sz w:val="20"/>
          <w:szCs w:val="20"/>
        </w:rPr>
        <w:t>affect</w:t>
      </w:r>
      <w:r w:rsidR="001530F6" w:rsidRPr="00415B4C">
        <w:rPr>
          <w:rFonts w:ascii="Arial" w:hAnsi="Arial" w:cs="Arial"/>
          <w:sz w:val="20"/>
          <w:szCs w:val="20"/>
        </w:rPr>
        <w:t xml:space="preserve"> the present</w:t>
      </w:r>
      <w:r w:rsidRPr="00415B4C">
        <w:rPr>
          <w:rFonts w:ascii="Arial" w:hAnsi="Arial" w:cs="Arial"/>
          <w:sz w:val="20"/>
          <w:szCs w:val="20"/>
        </w:rPr>
        <w:t xml:space="preserve"> and </w:t>
      </w:r>
      <w:r w:rsidR="007B005B" w:rsidRPr="00415B4C">
        <w:rPr>
          <w:rFonts w:ascii="Arial" w:hAnsi="Arial" w:cs="Arial"/>
          <w:sz w:val="20"/>
          <w:szCs w:val="20"/>
        </w:rPr>
        <w:t>prospective</w:t>
      </w:r>
      <w:r w:rsidRPr="00415B4C">
        <w:rPr>
          <w:rFonts w:ascii="Arial" w:hAnsi="Arial" w:cs="Arial"/>
          <w:sz w:val="20"/>
          <w:szCs w:val="20"/>
        </w:rPr>
        <w:t xml:space="preserve"> stock </w:t>
      </w:r>
      <w:r w:rsidR="007B005B" w:rsidRPr="00415B4C">
        <w:rPr>
          <w:rFonts w:ascii="Arial" w:hAnsi="Arial" w:cs="Arial"/>
          <w:sz w:val="20"/>
          <w:szCs w:val="20"/>
        </w:rPr>
        <w:t>income</w:t>
      </w:r>
      <w:r w:rsidRPr="00415B4C">
        <w:rPr>
          <w:rFonts w:ascii="Arial" w:hAnsi="Arial" w:cs="Arial"/>
          <w:sz w:val="20"/>
          <w:szCs w:val="20"/>
        </w:rPr>
        <w:t xml:space="preserve"> </w:t>
      </w:r>
      <w:r w:rsidR="009526C4" w:rsidRPr="00415B4C">
        <w:rPr>
          <w:rFonts w:ascii="Arial" w:hAnsi="Arial" w:cs="Arial"/>
          <w:sz w:val="20"/>
          <w:szCs w:val="20"/>
        </w:rPr>
        <w:t>as</w:t>
      </w:r>
      <w:r w:rsidRPr="00415B4C">
        <w:rPr>
          <w:rFonts w:ascii="Arial" w:hAnsi="Arial" w:cs="Arial"/>
          <w:sz w:val="20"/>
          <w:szCs w:val="20"/>
        </w:rPr>
        <w:t xml:space="preserve"> it </w:t>
      </w:r>
      <w:r w:rsidR="00E20151" w:rsidRPr="00415B4C">
        <w:rPr>
          <w:rFonts w:ascii="Arial" w:hAnsi="Arial" w:cs="Arial"/>
          <w:sz w:val="20"/>
          <w:szCs w:val="20"/>
        </w:rPr>
        <w:t>emerges</w:t>
      </w:r>
      <w:r w:rsidR="00BC3D90" w:rsidRPr="00415B4C">
        <w:rPr>
          <w:rFonts w:ascii="Arial" w:hAnsi="Arial" w:cs="Arial"/>
          <w:sz w:val="20"/>
          <w:szCs w:val="20"/>
        </w:rPr>
        <w:t xml:space="preserve"> </w:t>
      </w:r>
      <w:r w:rsidRPr="00415B4C">
        <w:rPr>
          <w:rFonts w:ascii="Arial" w:hAnsi="Arial" w:cs="Arial"/>
          <w:sz w:val="20"/>
          <w:szCs w:val="20"/>
        </w:rPr>
        <w:t xml:space="preserve">from </w:t>
      </w:r>
      <w:r w:rsidR="009D4E35" w:rsidRPr="00415B4C">
        <w:rPr>
          <w:rFonts w:ascii="Arial" w:hAnsi="Arial" w:cs="Arial"/>
          <w:sz w:val="20"/>
          <w:szCs w:val="20"/>
        </w:rPr>
        <w:t>emotional</w:t>
      </w:r>
      <w:r w:rsidRPr="00415B4C">
        <w:rPr>
          <w:rFonts w:ascii="Arial" w:hAnsi="Arial" w:cs="Arial"/>
          <w:sz w:val="20"/>
          <w:szCs w:val="20"/>
        </w:rPr>
        <w:t xml:space="preserve"> and </w:t>
      </w:r>
      <w:r w:rsidR="009D4E35" w:rsidRPr="00415B4C">
        <w:rPr>
          <w:rFonts w:ascii="Arial" w:hAnsi="Arial" w:cs="Arial"/>
          <w:sz w:val="20"/>
          <w:szCs w:val="20"/>
        </w:rPr>
        <w:t>behavioral</w:t>
      </w:r>
      <w:r w:rsidRPr="00415B4C">
        <w:rPr>
          <w:rFonts w:ascii="Arial" w:hAnsi="Arial" w:cs="Arial"/>
          <w:sz w:val="20"/>
          <w:szCs w:val="20"/>
        </w:rPr>
        <w:t xml:space="preserve"> </w:t>
      </w:r>
      <w:r w:rsidR="00580F8C" w:rsidRPr="00415B4C">
        <w:rPr>
          <w:rFonts w:ascii="Arial" w:hAnsi="Arial" w:cs="Arial"/>
          <w:sz w:val="20"/>
          <w:szCs w:val="20"/>
        </w:rPr>
        <w:t xml:space="preserve">prejudice </w:t>
      </w:r>
      <w:r w:rsidRPr="00415B4C">
        <w:rPr>
          <w:rFonts w:ascii="Arial" w:hAnsi="Arial" w:cs="Arial"/>
          <w:sz w:val="20"/>
          <w:szCs w:val="20"/>
        </w:rPr>
        <w:t xml:space="preserve">(Barberis &amp; Thaler, 2003). </w:t>
      </w:r>
      <w:r w:rsidR="003307EB" w:rsidRPr="00415B4C">
        <w:rPr>
          <w:rFonts w:ascii="Arial" w:hAnsi="Arial" w:cs="Arial"/>
          <w:sz w:val="20"/>
          <w:szCs w:val="20"/>
        </w:rPr>
        <w:t>Investor sentiments likely motivate uncommon market movements,</w:t>
      </w:r>
      <w:r w:rsidRPr="00415B4C">
        <w:rPr>
          <w:rFonts w:ascii="Arial" w:hAnsi="Arial" w:cs="Arial"/>
          <w:sz w:val="20"/>
          <w:szCs w:val="20"/>
        </w:rPr>
        <w:t xml:space="preserve"> with investors' </w:t>
      </w:r>
      <w:r w:rsidR="0094183F" w:rsidRPr="00415B4C">
        <w:rPr>
          <w:rFonts w:ascii="Arial" w:hAnsi="Arial" w:cs="Arial"/>
          <w:color w:val="111111"/>
          <w:sz w:val="20"/>
          <w:szCs w:val="20"/>
          <w:shd w:val="clear" w:color="auto" w:fill="FFFFFF"/>
        </w:rPr>
        <w:t>unjustifiably optimistic</w:t>
      </w:r>
      <w:r w:rsidR="0094183F" w:rsidRPr="00415B4C">
        <w:rPr>
          <w:rFonts w:ascii="Arial" w:hAnsi="Arial" w:cs="Arial"/>
          <w:sz w:val="20"/>
          <w:szCs w:val="20"/>
        </w:rPr>
        <w:t xml:space="preserve"> </w:t>
      </w:r>
      <w:r w:rsidRPr="00415B4C">
        <w:rPr>
          <w:rFonts w:ascii="Arial" w:hAnsi="Arial" w:cs="Arial"/>
          <w:sz w:val="20"/>
          <w:szCs w:val="20"/>
        </w:rPr>
        <w:t xml:space="preserve">or </w:t>
      </w:r>
      <w:r w:rsidR="00D21C7F" w:rsidRPr="00415B4C">
        <w:rPr>
          <w:rFonts w:ascii="Arial" w:hAnsi="Arial" w:cs="Arial"/>
          <w:sz w:val="20"/>
          <w:szCs w:val="20"/>
        </w:rPr>
        <w:t xml:space="preserve">negative </w:t>
      </w:r>
      <w:r w:rsidR="003307EB" w:rsidRPr="00415B4C">
        <w:rPr>
          <w:rFonts w:ascii="Arial" w:hAnsi="Arial" w:cs="Arial"/>
          <w:sz w:val="20"/>
          <w:szCs w:val="20"/>
        </w:rPr>
        <w:t>attitudes</w:t>
      </w:r>
      <w:r w:rsidRPr="00415B4C">
        <w:rPr>
          <w:rFonts w:ascii="Arial" w:hAnsi="Arial" w:cs="Arial"/>
          <w:sz w:val="20"/>
          <w:szCs w:val="20"/>
        </w:rPr>
        <w:t xml:space="preserve"> (Cui et al., 2022; Dash &amp; Mahakud, 2012). The </w:t>
      </w:r>
      <w:r w:rsidR="00261606" w:rsidRPr="00415B4C">
        <w:rPr>
          <w:rFonts w:ascii="Arial" w:hAnsi="Arial" w:cs="Arial"/>
          <w:sz w:val="20"/>
          <w:szCs w:val="20"/>
        </w:rPr>
        <w:t xml:space="preserve">savant </w:t>
      </w:r>
      <w:r w:rsidRPr="00415B4C">
        <w:rPr>
          <w:rFonts w:ascii="Arial" w:hAnsi="Arial" w:cs="Arial"/>
          <w:sz w:val="20"/>
          <w:szCs w:val="20"/>
        </w:rPr>
        <w:t xml:space="preserve">in the </w:t>
      </w:r>
      <w:r w:rsidR="00F52818" w:rsidRPr="00415B4C">
        <w:rPr>
          <w:rFonts w:ascii="Arial" w:hAnsi="Arial" w:cs="Arial"/>
          <w:sz w:val="20"/>
          <w:szCs w:val="20"/>
        </w:rPr>
        <w:t xml:space="preserve">area </w:t>
      </w:r>
      <w:r w:rsidRPr="00415B4C">
        <w:rPr>
          <w:rFonts w:ascii="Arial" w:hAnsi="Arial" w:cs="Arial"/>
          <w:sz w:val="20"/>
          <w:szCs w:val="20"/>
        </w:rPr>
        <w:t xml:space="preserve">of investor sentiment and stock </w:t>
      </w:r>
      <w:r w:rsidR="005B13CE" w:rsidRPr="00415B4C">
        <w:rPr>
          <w:rFonts w:ascii="Arial" w:hAnsi="Arial" w:cs="Arial"/>
          <w:sz w:val="20"/>
          <w:szCs w:val="20"/>
        </w:rPr>
        <w:t>profits</w:t>
      </w:r>
      <w:r w:rsidRPr="00415B4C">
        <w:rPr>
          <w:rFonts w:ascii="Arial" w:hAnsi="Arial" w:cs="Arial"/>
          <w:sz w:val="20"/>
          <w:szCs w:val="20"/>
        </w:rPr>
        <w:t xml:space="preserve"> </w:t>
      </w:r>
      <w:r w:rsidR="003307EB" w:rsidRPr="00415B4C">
        <w:rPr>
          <w:rFonts w:ascii="Arial" w:hAnsi="Arial" w:cs="Arial"/>
          <w:sz w:val="20"/>
          <w:szCs w:val="20"/>
        </w:rPr>
        <w:t>has</w:t>
      </w:r>
      <w:r w:rsidRPr="00415B4C">
        <w:rPr>
          <w:rFonts w:ascii="Arial" w:hAnsi="Arial" w:cs="Arial"/>
          <w:sz w:val="20"/>
          <w:szCs w:val="20"/>
        </w:rPr>
        <w:t xml:space="preserve"> </w:t>
      </w:r>
      <w:r w:rsidR="00A3129B" w:rsidRPr="00415B4C">
        <w:rPr>
          <w:rFonts w:ascii="Arial" w:hAnsi="Arial" w:cs="Arial"/>
          <w:sz w:val="20"/>
          <w:szCs w:val="20"/>
        </w:rPr>
        <w:t xml:space="preserve">originally </w:t>
      </w:r>
      <w:r w:rsidR="003D79FE" w:rsidRPr="00415B4C">
        <w:rPr>
          <w:rFonts w:ascii="Arial" w:hAnsi="Arial" w:cs="Arial"/>
          <w:sz w:val="20"/>
          <w:szCs w:val="20"/>
        </w:rPr>
        <w:t xml:space="preserve">calculated </w:t>
      </w:r>
      <w:r w:rsidRPr="00415B4C">
        <w:rPr>
          <w:rFonts w:ascii="Arial" w:hAnsi="Arial" w:cs="Arial"/>
          <w:sz w:val="20"/>
          <w:szCs w:val="20"/>
        </w:rPr>
        <w:t xml:space="preserve">the </w:t>
      </w:r>
      <w:r w:rsidR="003D79FE" w:rsidRPr="00415B4C">
        <w:rPr>
          <w:rFonts w:ascii="Arial" w:hAnsi="Arial" w:cs="Arial"/>
          <w:sz w:val="20"/>
          <w:szCs w:val="20"/>
        </w:rPr>
        <w:t>impact</w:t>
      </w:r>
      <w:r w:rsidRPr="00415B4C">
        <w:rPr>
          <w:rFonts w:ascii="Arial" w:hAnsi="Arial" w:cs="Arial"/>
          <w:sz w:val="20"/>
          <w:szCs w:val="20"/>
        </w:rPr>
        <w:t xml:space="preserve"> of investor sentiment on stock returns, </w:t>
      </w:r>
      <w:r w:rsidR="00A52206" w:rsidRPr="00415B4C">
        <w:rPr>
          <w:rFonts w:ascii="Arial" w:hAnsi="Arial" w:cs="Arial"/>
          <w:sz w:val="20"/>
          <w:szCs w:val="20"/>
        </w:rPr>
        <w:t>largely focusing</w:t>
      </w:r>
      <w:r w:rsidRPr="00415B4C">
        <w:rPr>
          <w:rFonts w:ascii="Arial" w:hAnsi="Arial" w:cs="Arial"/>
          <w:sz w:val="20"/>
          <w:szCs w:val="20"/>
        </w:rPr>
        <w:t xml:space="preserve"> </w:t>
      </w:r>
      <w:r w:rsidR="00AD2B1E" w:rsidRPr="00415B4C">
        <w:rPr>
          <w:rFonts w:ascii="Arial" w:hAnsi="Arial" w:cs="Arial"/>
          <w:sz w:val="20"/>
          <w:szCs w:val="20"/>
        </w:rPr>
        <w:t>on</w:t>
      </w:r>
      <w:r w:rsidRPr="00415B4C">
        <w:rPr>
          <w:rFonts w:ascii="Arial" w:hAnsi="Arial" w:cs="Arial"/>
          <w:sz w:val="20"/>
          <w:szCs w:val="20"/>
        </w:rPr>
        <w:t xml:space="preserve"> the developed </w:t>
      </w:r>
      <w:r w:rsidR="00AD2B1E" w:rsidRPr="00415B4C">
        <w:rPr>
          <w:rFonts w:ascii="Arial" w:hAnsi="Arial" w:cs="Arial"/>
          <w:sz w:val="20"/>
          <w:szCs w:val="20"/>
        </w:rPr>
        <w:t>economies</w:t>
      </w:r>
      <w:r w:rsidRPr="00415B4C">
        <w:rPr>
          <w:rFonts w:ascii="Arial" w:hAnsi="Arial" w:cs="Arial"/>
          <w:sz w:val="20"/>
          <w:szCs w:val="20"/>
        </w:rPr>
        <w:t xml:space="preserve"> (Daniel et al., 1998; DeLong et al., 1990), but </w:t>
      </w:r>
      <w:r w:rsidR="00AD2B1E" w:rsidRPr="00415B4C">
        <w:rPr>
          <w:rFonts w:ascii="Arial" w:hAnsi="Arial" w:cs="Arial"/>
          <w:sz w:val="20"/>
          <w:szCs w:val="20"/>
        </w:rPr>
        <w:t>later on</w:t>
      </w:r>
      <w:r w:rsidR="003307EB" w:rsidRPr="00415B4C">
        <w:rPr>
          <w:rFonts w:ascii="Arial" w:hAnsi="Arial" w:cs="Arial"/>
          <w:sz w:val="20"/>
          <w:szCs w:val="20"/>
        </w:rPr>
        <w:t>,</w:t>
      </w:r>
      <w:r w:rsidR="00AD2B1E" w:rsidRPr="00415B4C">
        <w:rPr>
          <w:rFonts w:ascii="Arial" w:hAnsi="Arial" w:cs="Arial"/>
          <w:sz w:val="20"/>
          <w:szCs w:val="20"/>
        </w:rPr>
        <w:t xml:space="preserve"> </w:t>
      </w:r>
      <w:r w:rsidRPr="00415B4C">
        <w:rPr>
          <w:rFonts w:ascii="Arial" w:hAnsi="Arial" w:cs="Arial"/>
          <w:sz w:val="20"/>
          <w:szCs w:val="20"/>
        </w:rPr>
        <w:t xml:space="preserve">the researchers' </w:t>
      </w:r>
      <w:r w:rsidR="0003416C" w:rsidRPr="00415B4C">
        <w:rPr>
          <w:rFonts w:ascii="Arial" w:hAnsi="Arial" w:cs="Arial"/>
          <w:sz w:val="20"/>
          <w:szCs w:val="20"/>
        </w:rPr>
        <w:t xml:space="preserve">curiosity </w:t>
      </w:r>
      <w:r w:rsidR="003307EB" w:rsidRPr="00415B4C">
        <w:rPr>
          <w:rFonts w:ascii="Arial" w:hAnsi="Arial" w:cs="Arial"/>
          <w:sz w:val="20"/>
          <w:szCs w:val="20"/>
        </w:rPr>
        <w:t>has</w:t>
      </w:r>
      <w:r w:rsidRPr="00415B4C">
        <w:rPr>
          <w:rFonts w:ascii="Arial" w:hAnsi="Arial" w:cs="Arial"/>
          <w:sz w:val="20"/>
          <w:szCs w:val="20"/>
        </w:rPr>
        <w:t xml:space="preserve"> </w:t>
      </w:r>
      <w:r w:rsidR="0003416C" w:rsidRPr="00415B4C">
        <w:rPr>
          <w:rFonts w:ascii="Arial" w:hAnsi="Arial" w:cs="Arial"/>
          <w:sz w:val="20"/>
          <w:szCs w:val="20"/>
        </w:rPr>
        <w:t>shifted</w:t>
      </w:r>
      <w:r w:rsidRPr="00415B4C">
        <w:rPr>
          <w:rFonts w:ascii="Arial" w:hAnsi="Arial" w:cs="Arial"/>
          <w:sz w:val="20"/>
          <w:szCs w:val="20"/>
        </w:rPr>
        <w:t xml:space="preserve"> </w:t>
      </w:r>
      <w:r w:rsidR="00994562" w:rsidRPr="00415B4C">
        <w:rPr>
          <w:rFonts w:ascii="Arial" w:hAnsi="Arial" w:cs="Arial"/>
          <w:sz w:val="20"/>
          <w:szCs w:val="20"/>
        </w:rPr>
        <w:t>notably towards</w:t>
      </w:r>
      <w:r w:rsidRPr="00415B4C">
        <w:rPr>
          <w:rFonts w:ascii="Arial" w:hAnsi="Arial" w:cs="Arial"/>
          <w:sz w:val="20"/>
          <w:szCs w:val="20"/>
        </w:rPr>
        <w:t xml:space="preserve"> the </w:t>
      </w:r>
      <w:r w:rsidR="00994562" w:rsidRPr="00415B4C">
        <w:rPr>
          <w:rFonts w:ascii="Arial" w:hAnsi="Arial" w:cs="Arial"/>
          <w:sz w:val="20"/>
          <w:szCs w:val="20"/>
        </w:rPr>
        <w:t>emerging</w:t>
      </w:r>
      <w:r w:rsidRPr="00415B4C">
        <w:rPr>
          <w:rFonts w:ascii="Arial" w:hAnsi="Arial" w:cs="Arial"/>
          <w:sz w:val="20"/>
          <w:szCs w:val="20"/>
        </w:rPr>
        <w:t xml:space="preserve"> </w:t>
      </w:r>
      <w:r w:rsidR="00994562" w:rsidRPr="00415B4C">
        <w:rPr>
          <w:rFonts w:ascii="Arial" w:hAnsi="Arial" w:cs="Arial"/>
          <w:sz w:val="20"/>
          <w:szCs w:val="20"/>
        </w:rPr>
        <w:t>economies</w:t>
      </w:r>
      <w:r w:rsidR="0077701E" w:rsidRPr="00415B4C">
        <w:rPr>
          <w:rFonts w:ascii="Arial" w:hAnsi="Arial" w:cs="Arial"/>
          <w:sz w:val="20"/>
          <w:szCs w:val="20"/>
        </w:rPr>
        <w:t xml:space="preserve"> </w:t>
      </w:r>
      <w:r w:rsidRPr="00415B4C">
        <w:rPr>
          <w:rFonts w:ascii="Arial" w:hAnsi="Arial" w:cs="Arial"/>
          <w:sz w:val="20"/>
          <w:szCs w:val="20"/>
        </w:rPr>
        <w:t xml:space="preserve">(Aggarwal, 2017; Daszyńska-Żygadło et al., 2014; Raza et al., 2019; Zia Ur Rehman et al., 2017). </w:t>
      </w:r>
      <w:r w:rsidR="0077701E" w:rsidRPr="00415B4C">
        <w:rPr>
          <w:rFonts w:ascii="Arial" w:hAnsi="Arial" w:cs="Arial"/>
          <w:sz w:val="20"/>
          <w:szCs w:val="20"/>
        </w:rPr>
        <w:t xml:space="preserve">It has been a </w:t>
      </w:r>
      <w:r w:rsidRPr="00415B4C">
        <w:rPr>
          <w:rFonts w:ascii="Arial" w:hAnsi="Arial" w:cs="Arial"/>
          <w:sz w:val="20"/>
          <w:szCs w:val="20"/>
        </w:rPr>
        <w:t>challenge</w:t>
      </w:r>
      <w:r w:rsidR="00D1622B" w:rsidRPr="00415B4C">
        <w:rPr>
          <w:rFonts w:ascii="Arial" w:hAnsi="Arial" w:cs="Arial"/>
          <w:sz w:val="20"/>
          <w:szCs w:val="20"/>
        </w:rPr>
        <w:t xml:space="preserve"> to measure investor sentiments</w:t>
      </w:r>
      <w:r w:rsidRPr="00415B4C">
        <w:rPr>
          <w:rFonts w:ascii="Arial" w:hAnsi="Arial" w:cs="Arial"/>
          <w:sz w:val="20"/>
          <w:szCs w:val="20"/>
        </w:rPr>
        <w:t xml:space="preserve"> among scholars worldwide, </w:t>
      </w:r>
      <w:r w:rsidR="00D1622B" w:rsidRPr="00415B4C">
        <w:rPr>
          <w:rFonts w:ascii="Arial" w:hAnsi="Arial" w:cs="Arial"/>
          <w:sz w:val="20"/>
          <w:szCs w:val="20"/>
        </w:rPr>
        <w:t>due to the</w:t>
      </w:r>
      <w:r w:rsidR="00524EBD" w:rsidRPr="00415B4C">
        <w:rPr>
          <w:rFonts w:ascii="Arial" w:hAnsi="Arial" w:cs="Arial"/>
          <w:sz w:val="20"/>
          <w:szCs w:val="20"/>
        </w:rPr>
        <w:t xml:space="preserve"> problem of </w:t>
      </w:r>
      <w:r w:rsidR="00134DFC" w:rsidRPr="00415B4C">
        <w:rPr>
          <w:rFonts w:ascii="Arial" w:hAnsi="Arial" w:cs="Arial"/>
          <w:sz w:val="20"/>
          <w:szCs w:val="20"/>
        </w:rPr>
        <w:t>the unavailability</w:t>
      </w:r>
      <w:r w:rsidRPr="00415B4C">
        <w:rPr>
          <w:rFonts w:ascii="Arial" w:hAnsi="Arial" w:cs="Arial"/>
          <w:sz w:val="20"/>
          <w:szCs w:val="20"/>
        </w:rPr>
        <w:t xml:space="preserve"> </w:t>
      </w:r>
      <w:r w:rsidR="00524EBD" w:rsidRPr="00415B4C">
        <w:rPr>
          <w:rFonts w:ascii="Arial" w:hAnsi="Arial" w:cs="Arial"/>
          <w:sz w:val="20"/>
          <w:szCs w:val="20"/>
        </w:rPr>
        <w:t xml:space="preserve">of </w:t>
      </w:r>
      <w:r w:rsidRPr="00415B4C">
        <w:rPr>
          <w:rFonts w:ascii="Arial" w:hAnsi="Arial" w:cs="Arial"/>
          <w:sz w:val="20"/>
          <w:szCs w:val="20"/>
        </w:rPr>
        <w:t xml:space="preserve">universal proxies to measure investor sentiment (Baker &amp; Wurgler, 2006; He et al., 2017; Molchanov &amp; Stangl, 2018; Pandey &amp; Sehgal, 2019). </w:t>
      </w:r>
    </w:p>
    <w:p w14:paraId="55F9E8BE" w14:textId="005DE5B1" w:rsidR="008F7EE5" w:rsidRPr="00415B4C" w:rsidRDefault="006665E4" w:rsidP="00415B4C">
      <w:pPr>
        <w:spacing w:after="0" w:line="240" w:lineRule="auto"/>
        <w:jc w:val="both"/>
        <w:rPr>
          <w:rFonts w:ascii="Arial" w:hAnsi="Arial" w:cs="Arial"/>
          <w:sz w:val="20"/>
          <w:szCs w:val="20"/>
        </w:rPr>
      </w:pPr>
      <w:r w:rsidRPr="00415B4C">
        <w:rPr>
          <w:rFonts w:ascii="Arial" w:hAnsi="Arial" w:cs="Arial"/>
          <w:sz w:val="20"/>
          <w:szCs w:val="20"/>
        </w:rPr>
        <w:t>In general</w:t>
      </w:r>
      <w:r w:rsidR="006F7DA3" w:rsidRPr="00415B4C">
        <w:rPr>
          <w:rFonts w:ascii="Arial" w:hAnsi="Arial" w:cs="Arial"/>
          <w:sz w:val="20"/>
          <w:szCs w:val="20"/>
        </w:rPr>
        <w:t>, there are two</w:t>
      </w:r>
      <w:r w:rsidR="007916D1" w:rsidRPr="00415B4C">
        <w:rPr>
          <w:rFonts w:ascii="Arial" w:hAnsi="Arial" w:cs="Arial"/>
          <w:sz w:val="20"/>
          <w:szCs w:val="20"/>
        </w:rPr>
        <w:t xml:space="preserve"> different</w:t>
      </w:r>
      <w:r w:rsidR="006F7DA3" w:rsidRPr="00415B4C">
        <w:rPr>
          <w:rFonts w:ascii="Arial" w:hAnsi="Arial" w:cs="Arial"/>
          <w:sz w:val="20"/>
          <w:szCs w:val="20"/>
        </w:rPr>
        <w:t xml:space="preserve"> approaches for</w:t>
      </w:r>
      <w:r w:rsidR="00B7316A" w:rsidRPr="00415B4C">
        <w:rPr>
          <w:rFonts w:ascii="Arial" w:hAnsi="Arial" w:cs="Arial"/>
          <w:sz w:val="20"/>
          <w:szCs w:val="20"/>
        </w:rPr>
        <w:t xml:space="preserve"> </w:t>
      </w:r>
      <w:r w:rsidR="00CE6D68" w:rsidRPr="00415B4C">
        <w:rPr>
          <w:rFonts w:ascii="Arial" w:hAnsi="Arial" w:cs="Arial"/>
          <w:sz w:val="20"/>
          <w:szCs w:val="20"/>
        </w:rPr>
        <w:t>calculating</w:t>
      </w:r>
      <w:r w:rsidR="006F7DA3" w:rsidRPr="00415B4C">
        <w:rPr>
          <w:rFonts w:ascii="Arial" w:hAnsi="Arial" w:cs="Arial"/>
          <w:sz w:val="20"/>
          <w:szCs w:val="20"/>
        </w:rPr>
        <w:t xml:space="preserve"> investor sentiment</w:t>
      </w:r>
      <w:r w:rsidR="003307EB" w:rsidRPr="00415B4C">
        <w:rPr>
          <w:rFonts w:ascii="Arial" w:hAnsi="Arial" w:cs="Arial"/>
          <w:sz w:val="20"/>
          <w:szCs w:val="20"/>
        </w:rPr>
        <w:t>:</w:t>
      </w:r>
      <w:r w:rsidR="006F7DA3" w:rsidRPr="00415B4C">
        <w:rPr>
          <w:rFonts w:ascii="Arial" w:hAnsi="Arial" w:cs="Arial"/>
          <w:sz w:val="20"/>
          <w:szCs w:val="20"/>
        </w:rPr>
        <w:t xml:space="preserve"> direct and indirect. Direct measures </w:t>
      </w:r>
      <w:r w:rsidR="00F20264" w:rsidRPr="00415B4C">
        <w:rPr>
          <w:rFonts w:ascii="Arial" w:hAnsi="Arial" w:cs="Arial"/>
          <w:sz w:val="20"/>
          <w:szCs w:val="20"/>
        </w:rPr>
        <w:t xml:space="preserve">depend </w:t>
      </w:r>
      <w:r w:rsidR="006F7DA3" w:rsidRPr="00415B4C">
        <w:rPr>
          <w:rFonts w:ascii="Arial" w:hAnsi="Arial" w:cs="Arial"/>
          <w:sz w:val="20"/>
          <w:szCs w:val="20"/>
        </w:rPr>
        <w:t>on investor surveys, and indirect measures are based on economic or market indicators. Direct measures look into the opinions of the investors by the use of surveys such as Investor's Intelligence</w:t>
      </w:r>
      <w:r w:rsidR="00CE6D68" w:rsidRPr="00415B4C">
        <w:rPr>
          <w:rFonts w:ascii="Arial" w:hAnsi="Arial" w:cs="Arial"/>
          <w:sz w:val="20"/>
          <w:szCs w:val="20"/>
        </w:rPr>
        <w:t>.</w:t>
      </w:r>
      <w:r w:rsidR="0094282A" w:rsidRPr="00415B4C">
        <w:rPr>
          <w:rFonts w:ascii="Arial" w:hAnsi="Arial" w:cs="Arial"/>
          <w:sz w:val="20"/>
          <w:szCs w:val="20"/>
        </w:rPr>
        <w:t xml:space="preserve"> A few prominent studies</w:t>
      </w:r>
      <w:r w:rsidR="003307EB" w:rsidRPr="00415B4C">
        <w:rPr>
          <w:rFonts w:ascii="Arial" w:hAnsi="Arial" w:cs="Arial"/>
          <w:sz w:val="20"/>
          <w:szCs w:val="20"/>
        </w:rPr>
        <w:t>,</w:t>
      </w:r>
      <w:r w:rsidR="0094282A" w:rsidRPr="00415B4C">
        <w:rPr>
          <w:rFonts w:ascii="Arial" w:hAnsi="Arial" w:cs="Arial"/>
          <w:sz w:val="20"/>
          <w:szCs w:val="20"/>
        </w:rPr>
        <w:t xml:space="preserve"> like (Baker &amp; Stein, 2004; Brown &amp; Cliff, 2004; Clarke &amp; Statman, 1998; Fisher &amp; Statman, 2000; Ho &amp; Hung, 2009; Lee et al., 2002; Sayim et al., 2013) are based on this approach.</w:t>
      </w:r>
    </w:p>
    <w:p w14:paraId="1575AD92" w14:textId="365BD368" w:rsidR="00BE6E13" w:rsidRPr="00415B4C" w:rsidRDefault="008F7EE5" w:rsidP="00415B4C">
      <w:pPr>
        <w:spacing w:after="0" w:line="240" w:lineRule="auto"/>
        <w:jc w:val="both"/>
        <w:rPr>
          <w:rFonts w:ascii="Arial" w:hAnsi="Arial" w:cs="Arial"/>
          <w:sz w:val="20"/>
          <w:szCs w:val="20"/>
        </w:rPr>
      </w:pPr>
      <w:r w:rsidRPr="00415B4C">
        <w:rPr>
          <w:rFonts w:ascii="Arial" w:hAnsi="Arial" w:cs="Arial"/>
          <w:sz w:val="20"/>
          <w:szCs w:val="20"/>
        </w:rPr>
        <w:t>Some of the</w:t>
      </w:r>
      <w:r w:rsidR="006F7DA3" w:rsidRPr="00415B4C">
        <w:rPr>
          <w:rFonts w:ascii="Arial" w:hAnsi="Arial" w:cs="Arial"/>
          <w:sz w:val="20"/>
          <w:szCs w:val="20"/>
        </w:rPr>
        <w:t xml:space="preserve"> </w:t>
      </w:r>
      <w:r w:rsidRPr="00415B4C">
        <w:rPr>
          <w:rFonts w:ascii="Arial" w:hAnsi="Arial" w:cs="Arial"/>
          <w:sz w:val="20"/>
          <w:szCs w:val="20"/>
        </w:rPr>
        <w:t>researchers</w:t>
      </w:r>
      <w:r w:rsidR="006F7DA3" w:rsidRPr="00415B4C">
        <w:rPr>
          <w:rFonts w:ascii="Arial" w:hAnsi="Arial" w:cs="Arial"/>
          <w:sz w:val="20"/>
          <w:szCs w:val="20"/>
        </w:rPr>
        <w:t xml:space="preserve"> have used indirect or </w:t>
      </w:r>
      <w:r w:rsidR="00A10036" w:rsidRPr="00415B4C">
        <w:rPr>
          <w:rFonts w:ascii="Arial" w:hAnsi="Arial" w:cs="Arial"/>
          <w:sz w:val="20"/>
          <w:szCs w:val="20"/>
        </w:rPr>
        <w:t>market-based</w:t>
      </w:r>
      <w:r w:rsidR="006F7DA3" w:rsidRPr="00415B4C">
        <w:rPr>
          <w:rFonts w:ascii="Arial" w:hAnsi="Arial" w:cs="Arial"/>
          <w:sz w:val="20"/>
          <w:szCs w:val="20"/>
        </w:rPr>
        <w:t xml:space="preserve"> </w:t>
      </w:r>
      <w:r w:rsidR="002225BF" w:rsidRPr="00415B4C">
        <w:rPr>
          <w:rFonts w:ascii="Arial" w:hAnsi="Arial" w:cs="Arial"/>
          <w:sz w:val="20"/>
          <w:szCs w:val="20"/>
        </w:rPr>
        <w:t xml:space="preserve">measures </w:t>
      </w:r>
      <w:r w:rsidR="006F7DA3" w:rsidRPr="00415B4C">
        <w:rPr>
          <w:rFonts w:ascii="Arial" w:hAnsi="Arial" w:cs="Arial"/>
          <w:sz w:val="20"/>
          <w:szCs w:val="20"/>
        </w:rPr>
        <w:t xml:space="preserve">to measure </w:t>
      </w:r>
      <w:r w:rsidR="002225BF" w:rsidRPr="00415B4C">
        <w:rPr>
          <w:rFonts w:ascii="Arial" w:hAnsi="Arial" w:cs="Arial"/>
          <w:sz w:val="20"/>
          <w:szCs w:val="20"/>
        </w:rPr>
        <w:t>construct</w:t>
      </w:r>
      <w:r w:rsidR="006F7DA3" w:rsidRPr="00415B4C">
        <w:rPr>
          <w:rFonts w:ascii="Arial" w:hAnsi="Arial" w:cs="Arial"/>
          <w:sz w:val="20"/>
          <w:szCs w:val="20"/>
        </w:rPr>
        <w:t xml:space="preserve"> sentiment using different proxies.</w:t>
      </w:r>
      <w:r w:rsidR="002D77B4" w:rsidRPr="00415B4C">
        <w:rPr>
          <w:rFonts w:ascii="Arial" w:hAnsi="Arial" w:cs="Arial"/>
          <w:sz w:val="20"/>
          <w:szCs w:val="20"/>
        </w:rPr>
        <w:t xml:space="preserve"> The notable study of</w:t>
      </w:r>
      <w:r w:rsidR="006F7DA3" w:rsidRPr="00415B4C">
        <w:rPr>
          <w:rFonts w:ascii="Arial" w:hAnsi="Arial" w:cs="Arial"/>
          <w:sz w:val="20"/>
          <w:szCs w:val="20"/>
        </w:rPr>
        <w:t xml:space="preserve"> Brown and Cliff (2004</w:t>
      </w:r>
      <w:r w:rsidR="00E02BBF" w:rsidRPr="00415B4C">
        <w:rPr>
          <w:rFonts w:ascii="Arial" w:hAnsi="Arial" w:cs="Arial"/>
          <w:sz w:val="20"/>
          <w:szCs w:val="20"/>
        </w:rPr>
        <w:t xml:space="preserve">) </w:t>
      </w:r>
      <w:r w:rsidR="00EE3C6F" w:rsidRPr="00415B4C">
        <w:rPr>
          <w:rFonts w:ascii="Arial" w:hAnsi="Arial" w:cs="Arial"/>
          <w:sz w:val="20"/>
          <w:szCs w:val="20"/>
        </w:rPr>
        <w:t>combined direct and indi</w:t>
      </w:r>
      <w:r w:rsidR="00910BBC" w:rsidRPr="00415B4C">
        <w:rPr>
          <w:rFonts w:ascii="Arial" w:hAnsi="Arial" w:cs="Arial"/>
          <w:sz w:val="20"/>
          <w:szCs w:val="20"/>
        </w:rPr>
        <w:t>rect approaches as they used</w:t>
      </w:r>
      <w:r w:rsidR="006F7DA3" w:rsidRPr="00415B4C">
        <w:rPr>
          <w:rFonts w:ascii="Arial" w:hAnsi="Arial" w:cs="Arial"/>
          <w:sz w:val="20"/>
          <w:szCs w:val="20"/>
        </w:rPr>
        <w:t xml:space="preserve"> </w:t>
      </w:r>
      <w:r w:rsidR="00910BBC" w:rsidRPr="00415B4C">
        <w:rPr>
          <w:rFonts w:ascii="Arial" w:hAnsi="Arial" w:cs="Arial"/>
          <w:sz w:val="20"/>
          <w:szCs w:val="20"/>
        </w:rPr>
        <w:t xml:space="preserve">an </w:t>
      </w:r>
      <w:r w:rsidR="002515BA" w:rsidRPr="00415B4C">
        <w:rPr>
          <w:rFonts w:ascii="Arial" w:hAnsi="Arial" w:cs="Arial"/>
          <w:sz w:val="20"/>
          <w:szCs w:val="20"/>
        </w:rPr>
        <w:t>investor</w:t>
      </w:r>
      <w:r w:rsidR="006F7DA3" w:rsidRPr="00415B4C">
        <w:rPr>
          <w:rFonts w:ascii="Arial" w:hAnsi="Arial" w:cs="Arial"/>
          <w:sz w:val="20"/>
          <w:szCs w:val="20"/>
        </w:rPr>
        <w:t xml:space="preserve"> intelligence survey and indirect measures </w:t>
      </w:r>
      <w:r w:rsidR="00160AAE" w:rsidRPr="00415B4C">
        <w:rPr>
          <w:rFonts w:ascii="Arial" w:hAnsi="Arial" w:cs="Arial"/>
          <w:sz w:val="20"/>
          <w:szCs w:val="20"/>
        </w:rPr>
        <w:t>to</w:t>
      </w:r>
      <w:r w:rsidR="006F7DA3" w:rsidRPr="00415B4C">
        <w:rPr>
          <w:rFonts w:ascii="Arial" w:hAnsi="Arial" w:cs="Arial"/>
          <w:sz w:val="20"/>
          <w:szCs w:val="20"/>
        </w:rPr>
        <w:t xml:space="preserve"> </w:t>
      </w:r>
      <w:r w:rsidR="00160AAE" w:rsidRPr="00415B4C">
        <w:rPr>
          <w:rFonts w:ascii="Arial" w:hAnsi="Arial" w:cs="Arial"/>
          <w:sz w:val="20"/>
          <w:szCs w:val="20"/>
        </w:rPr>
        <w:t>know</w:t>
      </w:r>
      <w:r w:rsidR="006F7DA3" w:rsidRPr="00415B4C">
        <w:rPr>
          <w:rFonts w:ascii="Arial" w:hAnsi="Arial" w:cs="Arial"/>
          <w:sz w:val="20"/>
          <w:szCs w:val="20"/>
        </w:rPr>
        <w:t xml:space="preserve"> </w:t>
      </w:r>
      <w:r w:rsidR="00160AAE" w:rsidRPr="00415B4C">
        <w:rPr>
          <w:rFonts w:ascii="Arial" w:hAnsi="Arial" w:cs="Arial"/>
          <w:sz w:val="20"/>
          <w:szCs w:val="20"/>
        </w:rPr>
        <w:t>investors' sentiments</w:t>
      </w:r>
      <w:r w:rsidR="00910BBC" w:rsidRPr="00415B4C">
        <w:rPr>
          <w:rFonts w:ascii="Arial" w:hAnsi="Arial" w:cs="Arial"/>
          <w:sz w:val="20"/>
          <w:szCs w:val="20"/>
        </w:rPr>
        <w:t>.</w:t>
      </w:r>
      <w:r w:rsidR="00160AAE" w:rsidRPr="00415B4C">
        <w:rPr>
          <w:rFonts w:ascii="Arial" w:hAnsi="Arial" w:cs="Arial"/>
          <w:sz w:val="20"/>
          <w:szCs w:val="20"/>
        </w:rPr>
        <w:t xml:space="preserve"> </w:t>
      </w:r>
      <w:r w:rsidR="006F7DA3" w:rsidRPr="00415B4C">
        <w:rPr>
          <w:rFonts w:ascii="Arial" w:hAnsi="Arial" w:cs="Arial"/>
          <w:sz w:val="20"/>
          <w:szCs w:val="20"/>
        </w:rPr>
        <w:t>Baker and Wurgler (2006) have used CEFD, Turnover (TURN), the number and average first-day returns on Initial Public Offering (</w:t>
      </w:r>
      <w:r w:rsidR="003307EB" w:rsidRPr="00415B4C">
        <w:rPr>
          <w:rFonts w:ascii="Arial" w:hAnsi="Arial" w:cs="Arial"/>
          <w:sz w:val="20"/>
          <w:szCs w:val="20"/>
        </w:rPr>
        <w:t>IPO</w:t>
      </w:r>
      <w:r w:rsidR="006F7DA3" w:rsidRPr="00415B4C">
        <w:rPr>
          <w:rFonts w:ascii="Arial" w:hAnsi="Arial" w:cs="Arial"/>
          <w:sz w:val="20"/>
          <w:szCs w:val="20"/>
        </w:rPr>
        <w:t xml:space="preserve">), Number of IPOs (NIPO), the equity shares in new issues (S), and the dividend premium (DP) to construct a composite investor sentiment index for measuring the relationship between investor sentiment and stock returns. They also opine that stocks whose valuations are highly subjective and difficult to arbitrage are most likely to be affected by the investors' </w:t>
      </w:r>
      <w:r w:rsidR="006F7DA3" w:rsidRPr="00415B4C">
        <w:rPr>
          <w:rFonts w:ascii="Arial" w:hAnsi="Arial" w:cs="Arial"/>
          <w:sz w:val="20"/>
          <w:szCs w:val="20"/>
        </w:rPr>
        <w:lastRenderedPageBreak/>
        <w:t xml:space="preserve">sentiment. Canbas and Kandir (2009) have used Equity share issues in total issues, odd lot sales to purchase, mutual fund flows, and repo holdings of mutual funds to construct an investor sentiment index. Baker et al. (2012) developed investor sentiment indices using four proxies: volatility premium, the total number of IPO, first-day IPO returns, and market turnover for six significant global stock markets. Dash and Mahakud (2012) </w:t>
      </w:r>
      <w:r w:rsidR="005C62F7" w:rsidRPr="00415B4C">
        <w:rPr>
          <w:rFonts w:ascii="Arial" w:hAnsi="Arial" w:cs="Arial"/>
          <w:sz w:val="20"/>
          <w:szCs w:val="20"/>
        </w:rPr>
        <w:t>measured</w:t>
      </w:r>
      <w:r w:rsidR="006F7DA3" w:rsidRPr="00415B4C">
        <w:rPr>
          <w:rFonts w:ascii="Arial" w:hAnsi="Arial" w:cs="Arial"/>
          <w:sz w:val="20"/>
          <w:szCs w:val="20"/>
        </w:rPr>
        <w:t xml:space="preserve"> investor sentiment </w:t>
      </w:r>
      <w:r w:rsidR="005C62F7" w:rsidRPr="00415B4C">
        <w:rPr>
          <w:rFonts w:ascii="Arial" w:hAnsi="Arial" w:cs="Arial"/>
          <w:sz w:val="20"/>
          <w:szCs w:val="20"/>
        </w:rPr>
        <w:t>by</w:t>
      </w:r>
      <w:r w:rsidR="006F7DA3" w:rsidRPr="00415B4C">
        <w:rPr>
          <w:rFonts w:ascii="Arial" w:hAnsi="Arial" w:cs="Arial"/>
          <w:sz w:val="20"/>
          <w:szCs w:val="20"/>
        </w:rPr>
        <w:t xml:space="preserve"> using 12 market-related implicit sentiment proxies in the context of the Indian stock market. </w:t>
      </w:r>
      <w:r w:rsidR="009A7A12" w:rsidRPr="00415B4C">
        <w:rPr>
          <w:rFonts w:ascii="Arial" w:hAnsi="Arial" w:cs="Arial"/>
          <w:sz w:val="20"/>
          <w:szCs w:val="20"/>
        </w:rPr>
        <w:t xml:space="preserve">According to the results, the sentiments of investors </w:t>
      </w:r>
      <w:r w:rsidR="00DA5868" w:rsidRPr="00415B4C">
        <w:rPr>
          <w:rFonts w:ascii="Arial" w:hAnsi="Arial" w:cs="Arial"/>
          <w:sz w:val="20"/>
          <w:szCs w:val="20"/>
        </w:rPr>
        <w:t>impact</w:t>
      </w:r>
      <w:r w:rsidR="006F7DA3" w:rsidRPr="00415B4C">
        <w:rPr>
          <w:rFonts w:ascii="Arial" w:hAnsi="Arial" w:cs="Arial"/>
          <w:sz w:val="20"/>
          <w:szCs w:val="20"/>
        </w:rPr>
        <w:t xml:space="preserve"> stock returns in </w:t>
      </w:r>
      <w:r w:rsidR="00DA5868" w:rsidRPr="00415B4C">
        <w:rPr>
          <w:rFonts w:ascii="Arial" w:hAnsi="Arial" w:cs="Arial"/>
          <w:sz w:val="20"/>
          <w:szCs w:val="20"/>
        </w:rPr>
        <w:t xml:space="preserve">both </w:t>
      </w:r>
      <w:r w:rsidR="006F7DA3" w:rsidRPr="00415B4C">
        <w:rPr>
          <w:rFonts w:ascii="Arial" w:hAnsi="Arial" w:cs="Arial"/>
          <w:sz w:val="20"/>
          <w:szCs w:val="20"/>
        </w:rPr>
        <w:t>long</w:t>
      </w:r>
      <w:r w:rsidR="00DA5868" w:rsidRPr="00415B4C">
        <w:rPr>
          <w:rFonts w:ascii="Arial" w:hAnsi="Arial" w:cs="Arial"/>
          <w:sz w:val="20"/>
          <w:szCs w:val="20"/>
        </w:rPr>
        <w:t>er</w:t>
      </w:r>
      <w:r w:rsidR="006F7DA3" w:rsidRPr="00415B4C">
        <w:rPr>
          <w:rFonts w:ascii="Arial" w:hAnsi="Arial" w:cs="Arial"/>
          <w:sz w:val="20"/>
          <w:szCs w:val="20"/>
        </w:rPr>
        <w:t xml:space="preserve"> and short</w:t>
      </w:r>
      <w:r w:rsidR="00DA5868" w:rsidRPr="00415B4C">
        <w:rPr>
          <w:rFonts w:ascii="Arial" w:hAnsi="Arial" w:cs="Arial"/>
          <w:sz w:val="20"/>
          <w:szCs w:val="20"/>
        </w:rPr>
        <w:t>er periods</w:t>
      </w:r>
      <w:r w:rsidR="00487FBA" w:rsidRPr="00415B4C">
        <w:rPr>
          <w:rFonts w:ascii="Arial" w:hAnsi="Arial" w:cs="Arial"/>
          <w:sz w:val="20"/>
          <w:szCs w:val="20"/>
        </w:rPr>
        <w:t>.</w:t>
      </w:r>
      <w:r w:rsidR="006F7DA3" w:rsidRPr="00415B4C">
        <w:rPr>
          <w:rFonts w:ascii="Arial" w:hAnsi="Arial" w:cs="Arial"/>
          <w:sz w:val="20"/>
          <w:szCs w:val="20"/>
        </w:rPr>
        <w:t xml:space="preserve"> </w:t>
      </w:r>
      <w:r w:rsidR="00BE6E13" w:rsidRPr="00415B4C">
        <w:rPr>
          <w:rFonts w:ascii="Arial" w:hAnsi="Arial" w:cs="Arial"/>
          <w:sz w:val="20"/>
          <w:szCs w:val="20"/>
        </w:rPr>
        <w:t>Investor</w:t>
      </w:r>
      <w:r w:rsidR="00487FBA" w:rsidRPr="00415B4C">
        <w:rPr>
          <w:rFonts w:ascii="Arial" w:hAnsi="Arial" w:cs="Arial"/>
          <w:sz w:val="20"/>
          <w:szCs w:val="20"/>
        </w:rPr>
        <w:t xml:space="preserve"> sentiment and stock returns</w:t>
      </w:r>
      <w:r w:rsidR="00BE6E13" w:rsidRPr="00415B4C">
        <w:rPr>
          <w:rFonts w:ascii="Arial" w:hAnsi="Arial" w:cs="Arial"/>
          <w:sz w:val="20"/>
          <w:szCs w:val="20"/>
        </w:rPr>
        <w:t xml:space="preserve"> have a</w:t>
      </w:r>
      <w:r w:rsidR="006F7DA3" w:rsidRPr="00415B4C">
        <w:rPr>
          <w:rFonts w:ascii="Arial" w:hAnsi="Arial" w:cs="Arial"/>
          <w:sz w:val="20"/>
          <w:szCs w:val="20"/>
        </w:rPr>
        <w:t xml:space="preserve"> unidirectional relationship</w:t>
      </w:r>
      <w:r w:rsidR="00BE6E13" w:rsidRPr="00415B4C">
        <w:rPr>
          <w:rFonts w:ascii="Arial" w:hAnsi="Arial" w:cs="Arial"/>
          <w:sz w:val="20"/>
          <w:szCs w:val="20"/>
        </w:rPr>
        <w:t>.</w:t>
      </w:r>
    </w:p>
    <w:p w14:paraId="59E14D16" w14:textId="1F3059AE" w:rsidR="00897151" w:rsidRPr="00415B4C" w:rsidRDefault="00901E14" w:rsidP="00415B4C">
      <w:pPr>
        <w:spacing w:after="0" w:line="240" w:lineRule="auto"/>
        <w:jc w:val="both"/>
        <w:rPr>
          <w:rFonts w:ascii="Arial" w:hAnsi="Arial" w:cs="Arial"/>
          <w:sz w:val="20"/>
          <w:szCs w:val="20"/>
        </w:rPr>
      </w:pPr>
      <w:r w:rsidRPr="00415B4C">
        <w:rPr>
          <w:rFonts w:ascii="Arial" w:hAnsi="Arial" w:cs="Arial"/>
          <w:sz w:val="20"/>
          <w:szCs w:val="20"/>
        </w:rPr>
        <w:t>The extensive review of the literature described in th</w:t>
      </w:r>
      <w:r w:rsidR="00140E5F" w:rsidRPr="00415B4C">
        <w:rPr>
          <w:rFonts w:ascii="Arial" w:hAnsi="Arial" w:cs="Arial"/>
          <w:sz w:val="20"/>
          <w:szCs w:val="20"/>
        </w:rPr>
        <w:t>is</w:t>
      </w:r>
      <w:r w:rsidRPr="00415B4C">
        <w:rPr>
          <w:rFonts w:ascii="Arial" w:hAnsi="Arial" w:cs="Arial"/>
          <w:sz w:val="20"/>
          <w:szCs w:val="20"/>
        </w:rPr>
        <w:t xml:space="preserve"> section explains the evolution of the </w:t>
      </w:r>
      <w:r w:rsidR="003307EB" w:rsidRPr="00415B4C">
        <w:rPr>
          <w:rFonts w:ascii="Arial" w:hAnsi="Arial" w:cs="Arial"/>
          <w:sz w:val="20"/>
          <w:szCs w:val="20"/>
        </w:rPr>
        <w:t>phenomenon</w:t>
      </w:r>
      <w:r w:rsidRPr="00415B4C">
        <w:rPr>
          <w:rFonts w:ascii="Arial" w:hAnsi="Arial" w:cs="Arial"/>
          <w:sz w:val="20"/>
          <w:szCs w:val="20"/>
        </w:rPr>
        <w:t xml:space="preserve"> of investor sentiment and its relation </w:t>
      </w:r>
      <w:r w:rsidR="003307EB" w:rsidRPr="00415B4C">
        <w:rPr>
          <w:rFonts w:ascii="Arial" w:hAnsi="Arial" w:cs="Arial"/>
          <w:sz w:val="20"/>
          <w:szCs w:val="20"/>
        </w:rPr>
        <w:t>to</w:t>
      </w:r>
      <w:r w:rsidRPr="00415B4C">
        <w:rPr>
          <w:rFonts w:ascii="Arial" w:hAnsi="Arial" w:cs="Arial"/>
          <w:sz w:val="20"/>
          <w:szCs w:val="20"/>
        </w:rPr>
        <w:t xml:space="preserve"> stock market returns. The review of literature also explains the current studies going on in this </w:t>
      </w:r>
      <w:r w:rsidR="00140E5F" w:rsidRPr="00415B4C">
        <w:rPr>
          <w:rFonts w:ascii="Arial" w:hAnsi="Arial" w:cs="Arial"/>
          <w:sz w:val="20"/>
          <w:szCs w:val="20"/>
        </w:rPr>
        <w:t>domain of research</w:t>
      </w:r>
      <w:r w:rsidRPr="00415B4C">
        <w:rPr>
          <w:rFonts w:ascii="Arial" w:hAnsi="Arial" w:cs="Arial"/>
          <w:sz w:val="20"/>
          <w:szCs w:val="20"/>
        </w:rPr>
        <w:t>.</w:t>
      </w:r>
      <w:r w:rsidR="00140E5F" w:rsidRPr="00415B4C">
        <w:rPr>
          <w:rFonts w:ascii="Arial" w:hAnsi="Arial" w:cs="Arial"/>
          <w:sz w:val="20"/>
          <w:szCs w:val="20"/>
        </w:rPr>
        <w:t xml:space="preserve"> The detailed analysis of the current literature expresses that there are few studies in the Indian context in this domain of research</w:t>
      </w:r>
      <w:r w:rsidR="003307EB" w:rsidRPr="00415B4C">
        <w:rPr>
          <w:rFonts w:ascii="Arial" w:hAnsi="Arial" w:cs="Arial"/>
          <w:sz w:val="20"/>
          <w:szCs w:val="20"/>
        </w:rPr>
        <w:t>,</w:t>
      </w:r>
      <w:r w:rsidR="00140E5F" w:rsidRPr="00415B4C">
        <w:rPr>
          <w:rFonts w:ascii="Arial" w:hAnsi="Arial" w:cs="Arial"/>
          <w:sz w:val="20"/>
          <w:szCs w:val="20"/>
        </w:rPr>
        <w:t xml:space="preserve"> and there is no study specifically in the case of </w:t>
      </w:r>
      <w:r w:rsidR="003307EB" w:rsidRPr="00415B4C">
        <w:rPr>
          <w:rFonts w:ascii="Arial" w:hAnsi="Arial" w:cs="Arial"/>
          <w:sz w:val="20"/>
          <w:szCs w:val="20"/>
        </w:rPr>
        <w:t xml:space="preserve">the </w:t>
      </w:r>
      <w:r w:rsidR="00140E5F" w:rsidRPr="00415B4C">
        <w:rPr>
          <w:rFonts w:ascii="Arial" w:hAnsi="Arial" w:cs="Arial"/>
          <w:sz w:val="20"/>
          <w:szCs w:val="20"/>
        </w:rPr>
        <w:t>BSE Sensex. The</w:t>
      </w:r>
      <w:r w:rsidRPr="00415B4C">
        <w:rPr>
          <w:rFonts w:ascii="Arial" w:hAnsi="Arial" w:cs="Arial"/>
          <w:sz w:val="20"/>
          <w:szCs w:val="20"/>
        </w:rPr>
        <w:t xml:space="preserve"> present study tries to develop new insights into the current literature</w:t>
      </w:r>
      <w:r w:rsidR="003307EB" w:rsidRPr="00415B4C">
        <w:rPr>
          <w:rFonts w:ascii="Arial" w:hAnsi="Arial" w:cs="Arial"/>
          <w:sz w:val="20"/>
          <w:szCs w:val="20"/>
        </w:rPr>
        <w:t>,</w:t>
      </w:r>
      <w:r w:rsidR="00140E5F" w:rsidRPr="00415B4C">
        <w:rPr>
          <w:rFonts w:ascii="Arial" w:hAnsi="Arial" w:cs="Arial"/>
          <w:sz w:val="20"/>
          <w:szCs w:val="20"/>
        </w:rPr>
        <w:t xml:space="preserve"> specifically in the Indian context</w:t>
      </w:r>
      <w:r w:rsidR="003307EB" w:rsidRPr="00415B4C">
        <w:rPr>
          <w:rFonts w:ascii="Arial" w:hAnsi="Arial" w:cs="Arial"/>
          <w:sz w:val="20"/>
          <w:szCs w:val="20"/>
        </w:rPr>
        <w:t>,</w:t>
      </w:r>
      <w:r w:rsidRPr="00415B4C">
        <w:rPr>
          <w:rFonts w:ascii="Arial" w:hAnsi="Arial" w:cs="Arial"/>
          <w:sz w:val="20"/>
          <w:szCs w:val="20"/>
        </w:rPr>
        <w:t xml:space="preserve"> by </w:t>
      </w:r>
      <w:proofErr w:type="spellStart"/>
      <w:r w:rsidR="00A322B2" w:rsidRPr="00415B4C">
        <w:rPr>
          <w:rFonts w:ascii="Arial" w:hAnsi="Arial" w:cs="Arial"/>
          <w:sz w:val="20"/>
          <w:szCs w:val="20"/>
        </w:rPr>
        <w:t>analyzing</w:t>
      </w:r>
      <w:proofErr w:type="spellEnd"/>
      <w:r w:rsidR="00140E5F" w:rsidRPr="00415B4C">
        <w:rPr>
          <w:rFonts w:ascii="Arial" w:hAnsi="Arial" w:cs="Arial"/>
          <w:sz w:val="20"/>
          <w:szCs w:val="20"/>
        </w:rPr>
        <w:t xml:space="preserve"> the </w:t>
      </w:r>
      <w:r w:rsidR="009609F4" w:rsidRPr="00415B4C">
        <w:rPr>
          <w:rFonts w:ascii="Arial" w:hAnsi="Arial" w:cs="Arial"/>
          <w:sz w:val="20"/>
          <w:szCs w:val="20"/>
        </w:rPr>
        <w:t xml:space="preserve">impact of </w:t>
      </w:r>
      <w:r w:rsidR="00140E5F" w:rsidRPr="00415B4C">
        <w:rPr>
          <w:rFonts w:ascii="Arial" w:hAnsi="Arial" w:cs="Arial"/>
          <w:sz w:val="20"/>
          <w:szCs w:val="20"/>
        </w:rPr>
        <w:t xml:space="preserve">investor sentiment </w:t>
      </w:r>
      <w:r w:rsidR="00A322B2" w:rsidRPr="00415B4C">
        <w:rPr>
          <w:rFonts w:ascii="Arial" w:hAnsi="Arial" w:cs="Arial"/>
          <w:sz w:val="20"/>
          <w:szCs w:val="20"/>
        </w:rPr>
        <w:t xml:space="preserve">on </w:t>
      </w:r>
      <w:r w:rsidR="00140E5F" w:rsidRPr="00415B4C">
        <w:rPr>
          <w:rFonts w:ascii="Arial" w:hAnsi="Arial" w:cs="Arial"/>
          <w:sz w:val="20"/>
          <w:szCs w:val="20"/>
        </w:rPr>
        <w:t xml:space="preserve">BSE Sensex returns. </w:t>
      </w:r>
    </w:p>
    <w:p w14:paraId="20C6E8DE" w14:textId="71AF2436" w:rsidR="00B54A99" w:rsidRPr="00415B4C" w:rsidRDefault="00901E14" w:rsidP="00415B4C">
      <w:pPr>
        <w:spacing w:after="0" w:line="240" w:lineRule="auto"/>
        <w:jc w:val="both"/>
        <w:rPr>
          <w:rFonts w:ascii="Arial" w:hAnsi="Arial" w:cs="Arial"/>
          <w:sz w:val="20"/>
          <w:szCs w:val="20"/>
        </w:rPr>
      </w:pPr>
      <w:r w:rsidRPr="00415B4C">
        <w:rPr>
          <w:rFonts w:ascii="Arial" w:hAnsi="Arial" w:cs="Arial"/>
          <w:sz w:val="20"/>
          <w:szCs w:val="20"/>
        </w:rPr>
        <w:t xml:space="preserve">In the current period, academicians are keen to understand investor sentiment and its </w:t>
      </w:r>
      <w:r w:rsidR="000D33A1" w:rsidRPr="00415B4C">
        <w:rPr>
          <w:rFonts w:ascii="Arial" w:hAnsi="Arial" w:cs="Arial"/>
          <w:sz w:val="20"/>
          <w:szCs w:val="20"/>
        </w:rPr>
        <w:t xml:space="preserve">impact on </w:t>
      </w:r>
      <w:r w:rsidRPr="00415B4C">
        <w:rPr>
          <w:rFonts w:ascii="Arial" w:hAnsi="Arial" w:cs="Arial"/>
          <w:sz w:val="20"/>
          <w:szCs w:val="20"/>
        </w:rPr>
        <w:t xml:space="preserve">market returns. </w:t>
      </w:r>
      <w:r w:rsidR="00B54A99" w:rsidRPr="00415B4C">
        <w:rPr>
          <w:rFonts w:ascii="Arial" w:hAnsi="Arial" w:cs="Arial"/>
          <w:sz w:val="20"/>
          <w:szCs w:val="20"/>
        </w:rPr>
        <w:t xml:space="preserve">The prime and sole objective of the present study is to know the </w:t>
      </w:r>
      <w:r w:rsidR="009B27B0" w:rsidRPr="00415B4C">
        <w:rPr>
          <w:rFonts w:ascii="Arial" w:hAnsi="Arial" w:cs="Arial"/>
          <w:sz w:val="20"/>
          <w:szCs w:val="20"/>
        </w:rPr>
        <w:t xml:space="preserve">impact of </w:t>
      </w:r>
      <w:r w:rsidR="00B54A99" w:rsidRPr="00415B4C">
        <w:rPr>
          <w:rFonts w:ascii="Arial" w:hAnsi="Arial" w:cs="Arial"/>
          <w:sz w:val="20"/>
          <w:szCs w:val="20"/>
        </w:rPr>
        <w:t>investor sentiment</w:t>
      </w:r>
      <w:r w:rsidR="003B1FD1" w:rsidRPr="00415B4C">
        <w:rPr>
          <w:rFonts w:ascii="Arial" w:hAnsi="Arial" w:cs="Arial"/>
          <w:sz w:val="20"/>
          <w:szCs w:val="20"/>
        </w:rPr>
        <w:t xml:space="preserve"> </w:t>
      </w:r>
      <w:r w:rsidR="009B27B0" w:rsidRPr="00415B4C">
        <w:rPr>
          <w:rFonts w:ascii="Arial" w:hAnsi="Arial" w:cs="Arial"/>
          <w:sz w:val="20"/>
          <w:szCs w:val="20"/>
        </w:rPr>
        <w:t>on</w:t>
      </w:r>
      <w:r w:rsidR="003B1FD1" w:rsidRPr="00415B4C">
        <w:rPr>
          <w:rFonts w:ascii="Arial" w:hAnsi="Arial" w:cs="Arial"/>
          <w:sz w:val="20"/>
          <w:szCs w:val="20"/>
        </w:rPr>
        <w:t xml:space="preserve"> st</w:t>
      </w:r>
      <w:r w:rsidR="00221877" w:rsidRPr="00415B4C">
        <w:rPr>
          <w:rFonts w:ascii="Arial" w:hAnsi="Arial" w:cs="Arial"/>
          <w:sz w:val="20"/>
          <w:szCs w:val="20"/>
        </w:rPr>
        <w:t>ock market returns.</w:t>
      </w:r>
    </w:p>
    <w:p w14:paraId="287269AD" w14:textId="444D208A" w:rsidR="00913D2D" w:rsidRPr="00415B4C" w:rsidRDefault="00350011" w:rsidP="003314FB">
      <w:pPr>
        <w:pStyle w:val="ListParagraph"/>
        <w:numPr>
          <w:ilvl w:val="0"/>
          <w:numId w:val="5"/>
        </w:numPr>
        <w:spacing w:after="0" w:line="240" w:lineRule="auto"/>
        <w:jc w:val="both"/>
        <w:rPr>
          <w:rFonts w:ascii="Arial" w:hAnsi="Arial" w:cs="Arial"/>
          <w:b/>
          <w:bCs/>
          <w:sz w:val="24"/>
          <w:szCs w:val="24"/>
        </w:rPr>
      </w:pPr>
      <w:r w:rsidRPr="00415B4C">
        <w:rPr>
          <w:rFonts w:ascii="Arial" w:hAnsi="Arial" w:cs="Arial"/>
          <w:b/>
          <w:bCs/>
          <w:sz w:val="24"/>
          <w:szCs w:val="24"/>
        </w:rPr>
        <w:t>M</w:t>
      </w:r>
      <w:r w:rsidR="00415B4C" w:rsidRPr="00415B4C">
        <w:rPr>
          <w:rFonts w:ascii="Arial" w:hAnsi="Arial" w:cs="Arial"/>
          <w:b/>
          <w:bCs/>
          <w:sz w:val="24"/>
          <w:szCs w:val="24"/>
        </w:rPr>
        <w:t>ETHODOLOGY</w:t>
      </w:r>
    </w:p>
    <w:p w14:paraId="45B960D5" w14:textId="744D2525" w:rsidR="00065FF2" w:rsidRPr="00415B4C" w:rsidRDefault="00065FF2" w:rsidP="003314FB">
      <w:pPr>
        <w:spacing w:after="0" w:line="240" w:lineRule="auto"/>
        <w:jc w:val="both"/>
        <w:rPr>
          <w:rFonts w:ascii="Arial" w:hAnsi="Arial" w:cs="Arial"/>
          <w:sz w:val="20"/>
          <w:szCs w:val="20"/>
        </w:rPr>
      </w:pPr>
      <w:r w:rsidRPr="00415B4C">
        <w:rPr>
          <w:rFonts w:ascii="Arial" w:hAnsi="Arial" w:cs="Arial"/>
          <w:sz w:val="20"/>
          <w:szCs w:val="20"/>
        </w:rPr>
        <w:t xml:space="preserve">The present study used indirect measures to construct the investor sentiment index by using </w:t>
      </w:r>
      <w:r w:rsidR="00B54A99" w:rsidRPr="00415B4C">
        <w:rPr>
          <w:rFonts w:ascii="Arial" w:hAnsi="Arial" w:cs="Arial"/>
          <w:sz w:val="20"/>
          <w:szCs w:val="20"/>
        </w:rPr>
        <w:t>proxies. In the present study,</w:t>
      </w:r>
      <w:r w:rsidRPr="00415B4C">
        <w:rPr>
          <w:rFonts w:ascii="Arial" w:hAnsi="Arial" w:cs="Arial"/>
          <w:sz w:val="20"/>
          <w:szCs w:val="20"/>
        </w:rPr>
        <w:t xml:space="preserve"> market-related proxies</w:t>
      </w:r>
      <w:r w:rsidR="00B54A99" w:rsidRPr="00415B4C">
        <w:rPr>
          <w:rFonts w:ascii="Arial" w:hAnsi="Arial" w:cs="Arial"/>
          <w:sz w:val="20"/>
          <w:szCs w:val="20"/>
        </w:rPr>
        <w:t xml:space="preserve"> have been used</w:t>
      </w:r>
      <w:r w:rsidRPr="00415B4C">
        <w:rPr>
          <w:rFonts w:ascii="Arial" w:hAnsi="Arial" w:cs="Arial"/>
          <w:sz w:val="20"/>
          <w:szCs w:val="20"/>
        </w:rPr>
        <w:t xml:space="preserve"> to construct the sentiment index. The method of using proxies </w:t>
      </w:r>
      <w:r w:rsidR="006F7DA3" w:rsidRPr="00415B4C">
        <w:rPr>
          <w:rFonts w:ascii="Arial" w:hAnsi="Arial" w:cs="Arial"/>
          <w:sz w:val="20"/>
          <w:szCs w:val="20"/>
        </w:rPr>
        <w:t>has been</w:t>
      </w:r>
      <w:r w:rsidRPr="00415B4C">
        <w:rPr>
          <w:rFonts w:ascii="Arial" w:hAnsi="Arial" w:cs="Arial"/>
          <w:sz w:val="20"/>
          <w:szCs w:val="20"/>
        </w:rPr>
        <w:t xml:space="preserve"> more reliable and widely used by </w:t>
      </w:r>
      <w:r w:rsidR="00B54A99" w:rsidRPr="00415B4C">
        <w:rPr>
          <w:rFonts w:ascii="Arial" w:hAnsi="Arial" w:cs="Arial"/>
          <w:sz w:val="20"/>
          <w:szCs w:val="20"/>
        </w:rPr>
        <w:t>researchers</w:t>
      </w:r>
      <w:r w:rsidRPr="00415B4C">
        <w:rPr>
          <w:rFonts w:ascii="Arial" w:hAnsi="Arial" w:cs="Arial"/>
          <w:sz w:val="20"/>
          <w:szCs w:val="20"/>
        </w:rPr>
        <w:t xml:space="preserve"> in </w:t>
      </w:r>
      <w:r w:rsidR="007E7441" w:rsidRPr="00415B4C">
        <w:rPr>
          <w:rFonts w:ascii="Arial" w:hAnsi="Arial" w:cs="Arial"/>
          <w:sz w:val="20"/>
          <w:szCs w:val="20"/>
        </w:rPr>
        <w:t xml:space="preserve">the </w:t>
      </w:r>
      <w:r w:rsidRPr="00415B4C">
        <w:rPr>
          <w:rFonts w:ascii="Arial" w:hAnsi="Arial" w:cs="Arial"/>
          <w:sz w:val="20"/>
          <w:szCs w:val="20"/>
        </w:rPr>
        <w:t>past</w:t>
      </w:r>
      <w:r w:rsidR="00B54A99" w:rsidRPr="00415B4C">
        <w:rPr>
          <w:rFonts w:ascii="Arial" w:hAnsi="Arial" w:cs="Arial"/>
          <w:sz w:val="20"/>
          <w:szCs w:val="20"/>
        </w:rPr>
        <w:t>.</w:t>
      </w:r>
      <w:r w:rsidR="007E7441" w:rsidRPr="00415B4C">
        <w:rPr>
          <w:rFonts w:ascii="Arial" w:hAnsi="Arial" w:cs="Arial"/>
          <w:sz w:val="20"/>
          <w:szCs w:val="20"/>
        </w:rPr>
        <w:t xml:space="preserve"> Principal Component Analysis on seven proxies to construct a sentiment index</w:t>
      </w:r>
      <w:r w:rsidR="003307EB" w:rsidRPr="00415B4C">
        <w:rPr>
          <w:rFonts w:ascii="Arial" w:hAnsi="Arial" w:cs="Arial"/>
          <w:sz w:val="20"/>
          <w:szCs w:val="20"/>
        </w:rPr>
        <w:t>,</w:t>
      </w:r>
      <w:r w:rsidR="007E7441" w:rsidRPr="00415B4C">
        <w:rPr>
          <w:rFonts w:ascii="Arial" w:hAnsi="Arial" w:cs="Arial"/>
          <w:sz w:val="20"/>
          <w:szCs w:val="20"/>
        </w:rPr>
        <w:t xml:space="preserve"> after that</w:t>
      </w:r>
      <w:r w:rsidR="003307EB" w:rsidRPr="00415B4C">
        <w:rPr>
          <w:rFonts w:ascii="Arial" w:hAnsi="Arial" w:cs="Arial"/>
          <w:sz w:val="20"/>
          <w:szCs w:val="20"/>
        </w:rPr>
        <w:t>,</w:t>
      </w:r>
      <w:r w:rsidR="007E7441" w:rsidRPr="00415B4C">
        <w:rPr>
          <w:rFonts w:ascii="Arial" w:hAnsi="Arial" w:cs="Arial"/>
          <w:sz w:val="20"/>
          <w:szCs w:val="20"/>
        </w:rPr>
        <w:t xml:space="preserve"> the </w:t>
      </w:r>
      <w:r w:rsidR="00AE7CB3" w:rsidRPr="00415B4C">
        <w:rPr>
          <w:rFonts w:ascii="Arial" w:hAnsi="Arial" w:cs="Arial"/>
          <w:sz w:val="20"/>
          <w:szCs w:val="20"/>
        </w:rPr>
        <w:t xml:space="preserve">impact of the </w:t>
      </w:r>
      <w:r w:rsidR="007E7441" w:rsidRPr="00415B4C">
        <w:rPr>
          <w:rFonts w:ascii="Arial" w:hAnsi="Arial" w:cs="Arial"/>
          <w:sz w:val="20"/>
          <w:szCs w:val="20"/>
        </w:rPr>
        <w:t xml:space="preserve">sentiment index </w:t>
      </w:r>
      <w:r w:rsidR="00AE7CB3" w:rsidRPr="00415B4C">
        <w:rPr>
          <w:rFonts w:ascii="Arial" w:hAnsi="Arial" w:cs="Arial"/>
          <w:sz w:val="20"/>
          <w:szCs w:val="20"/>
        </w:rPr>
        <w:t xml:space="preserve">on the </w:t>
      </w:r>
      <w:r w:rsidR="00F84382" w:rsidRPr="00415B4C">
        <w:rPr>
          <w:rFonts w:ascii="Arial" w:hAnsi="Arial" w:cs="Arial"/>
          <w:sz w:val="20"/>
          <w:szCs w:val="20"/>
        </w:rPr>
        <w:t>return of the BSE Sensex index was</w:t>
      </w:r>
      <w:r w:rsidR="007E7441" w:rsidRPr="00415B4C">
        <w:rPr>
          <w:rFonts w:ascii="Arial" w:hAnsi="Arial" w:cs="Arial"/>
          <w:sz w:val="20"/>
          <w:szCs w:val="20"/>
        </w:rPr>
        <w:t xml:space="preserve"> checked</w:t>
      </w:r>
      <w:r w:rsidR="00F84382" w:rsidRPr="00415B4C">
        <w:rPr>
          <w:rFonts w:ascii="Arial" w:hAnsi="Arial" w:cs="Arial"/>
          <w:sz w:val="20"/>
          <w:szCs w:val="20"/>
        </w:rPr>
        <w:t xml:space="preserve"> </w:t>
      </w:r>
      <w:r w:rsidR="007E7441" w:rsidRPr="00415B4C">
        <w:rPr>
          <w:rFonts w:ascii="Arial" w:hAnsi="Arial" w:cs="Arial"/>
          <w:sz w:val="20"/>
          <w:szCs w:val="20"/>
        </w:rPr>
        <w:t xml:space="preserve">by using regression analysis. The indirect proxies used for the construction of the sentiment index are </w:t>
      </w:r>
      <w:r w:rsidR="00140E5F" w:rsidRPr="00415B4C">
        <w:rPr>
          <w:rFonts w:ascii="Arial" w:hAnsi="Arial" w:cs="Arial"/>
          <w:sz w:val="20"/>
          <w:szCs w:val="20"/>
        </w:rPr>
        <w:t>as</w:t>
      </w:r>
      <w:r w:rsidR="007E7441" w:rsidRPr="00415B4C">
        <w:rPr>
          <w:rFonts w:ascii="Arial" w:hAnsi="Arial" w:cs="Arial"/>
          <w:sz w:val="20"/>
          <w:szCs w:val="20"/>
        </w:rPr>
        <w:t xml:space="preserve"> </w:t>
      </w:r>
      <w:r w:rsidR="00140E5F" w:rsidRPr="00415B4C">
        <w:rPr>
          <w:rFonts w:ascii="Arial" w:hAnsi="Arial" w:cs="Arial"/>
          <w:sz w:val="20"/>
          <w:szCs w:val="20"/>
        </w:rPr>
        <w:t>under</w:t>
      </w:r>
      <w:r w:rsidR="007E7441" w:rsidRPr="00415B4C">
        <w:rPr>
          <w:rFonts w:ascii="Arial" w:hAnsi="Arial" w:cs="Arial"/>
          <w:sz w:val="20"/>
          <w:szCs w:val="20"/>
        </w:rPr>
        <w:t>:</w:t>
      </w:r>
    </w:p>
    <w:p w14:paraId="5F017DE8" w14:textId="27ADFD63" w:rsidR="003C1A40" w:rsidRPr="00415B4C" w:rsidRDefault="003C1A40"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sz w:val="20"/>
          <w:szCs w:val="20"/>
        </w:rPr>
        <w:t>Advance to Decline Ratio (ADR)</w:t>
      </w:r>
      <w:r w:rsidR="00C75745" w:rsidRPr="00415B4C">
        <w:rPr>
          <w:rFonts w:ascii="Arial" w:hAnsi="Arial" w:cs="Arial"/>
          <w:sz w:val="20"/>
          <w:szCs w:val="20"/>
        </w:rPr>
        <w:t>:</w:t>
      </w:r>
      <w:r w:rsidR="00AE7FB0" w:rsidRPr="00415B4C">
        <w:rPr>
          <w:rFonts w:ascii="Arial" w:hAnsi="Arial" w:cs="Arial"/>
          <w:sz w:val="20"/>
          <w:szCs w:val="20"/>
        </w:rPr>
        <w:t xml:space="preserve"> </w:t>
      </w:r>
    </w:p>
    <w:p w14:paraId="4EBDF0D2" w14:textId="72E0DF69" w:rsidR="005A6646" w:rsidRPr="00415B4C" w:rsidRDefault="005A6646"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color w:val="03050A"/>
          <w:sz w:val="20"/>
          <w:szCs w:val="20"/>
          <w:shd w:val="clear" w:color="auto" w:fill="FFFFFF"/>
        </w:rPr>
        <w:t xml:space="preserve">Dividend Yield (DY) </w:t>
      </w:r>
    </w:p>
    <w:p w14:paraId="764DA8AD" w14:textId="1D600874" w:rsidR="00F50B50" w:rsidRPr="00415B4C" w:rsidRDefault="00F50B50" w:rsidP="003314FB">
      <w:pPr>
        <w:numPr>
          <w:ilvl w:val="0"/>
          <w:numId w:val="2"/>
        </w:numPr>
        <w:shd w:val="clear" w:color="auto" w:fill="FFFFFF"/>
        <w:spacing w:before="100" w:beforeAutospacing="1" w:after="100" w:afterAutospacing="1" w:line="240" w:lineRule="auto"/>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sz w:val="20"/>
          <w:szCs w:val="20"/>
        </w:rPr>
        <w:t>IPO First-Day Returns</w:t>
      </w:r>
    </w:p>
    <w:p w14:paraId="39F6A695" w14:textId="1ED0249D" w:rsidR="0040267B" w:rsidRPr="00415B4C" w:rsidRDefault="0040267B" w:rsidP="003314FB">
      <w:pPr>
        <w:numPr>
          <w:ilvl w:val="0"/>
          <w:numId w:val="2"/>
        </w:numPr>
        <w:shd w:val="clear" w:color="auto" w:fill="FFFFFF"/>
        <w:spacing w:after="0" w:line="240" w:lineRule="auto"/>
        <w:ind w:left="714" w:hanging="357"/>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color w:val="2F363F"/>
          <w:sz w:val="20"/>
          <w:szCs w:val="20"/>
          <w:shd w:val="clear" w:color="auto" w:fill="FFFFFF"/>
        </w:rPr>
        <w:t xml:space="preserve">Net FII </w:t>
      </w:r>
    </w:p>
    <w:p w14:paraId="6A938F8B" w14:textId="1DCA984F" w:rsidR="0040267B" w:rsidRPr="00415B4C" w:rsidRDefault="0040267B" w:rsidP="003314FB">
      <w:pPr>
        <w:numPr>
          <w:ilvl w:val="0"/>
          <w:numId w:val="2"/>
        </w:numPr>
        <w:shd w:val="clear" w:color="auto" w:fill="FFFFFF"/>
        <w:spacing w:after="0" w:line="240" w:lineRule="auto"/>
        <w:ind w:left="714" w:hanging="357"/>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sz w:val="20"/>
          <w:szCs w:val="20"/>
        </w:rPr>
        <w:t xml:space="preserve">Number of IPOs </w:t>
      </w:r>
    </w:p>
    <w:p w14:paraId="3767309F" w14:textId="1B84C876" w:rsidR="005A6646" w:rsidRPr="00415B4C" w:rsidRDefault="005A6646" w:rsidP="003314FB">
      <w:pPr>
        <w:numPr>
          <w:ilvl w:val="0"/>
          <w:numId w:val="2"/>
        </w:numPr>
        <w:shd w:val="clear" w:color="auto" w:fill="FFFFFF"/>
        <w:spacing w:before="100" w:beforeAutospacing="1" w:after="100" w:afterAutospacing="1" w:line="240" w:lineRule="auto"/>
        <w:jc w:val="both"/>
        <w:rPr>
          <w:rFonts w:ascii="Arial" w:eastAsia="Times New Roman" w:hAnsi="Arial" w:cs="Arial"/>
          <w:color w:val="111111"/>
          <w:spacing w:val="1"/>
          <w:kern w:val="0"/>
          <w:sz w:val="20"/>
          <w:szCs w:val="20"/>
          <w:lang w:eastAsia="en-IN" w:bidi="hi-IN"/>
          <w14:ligatures w14:val="none"/>
        </w:rPr>
      </w:pPr>
      <w:r w:rsidRPr="00415B4C">
        <w:rPr>
          <w:rFonts w:ascii="Arial" w:eastAsia="Times New Roman" w:hAnsi="Arial" w:cs="Arial"/>
          <w:color w:val="111111"/>
          <w:spacing w:val="1"/>
          <w:kern w:val="0"/>
          <w:sz w:val="20"/>
          <w:szCs w:val="20"/>
          <w:lang w:eastAsia="en-IN" w:bidi="hi-IN"/>
          <w14:ligatures w14:val="none"/>
        </w:rPr>
        <w:t xml:space="preserve">The price-to-book (P/B) ratio </w:t>
      </w:r>
    </w:p>
    <w:p w14:paraId="77EB1B5A" w14:textId="25EDAFB9" w:rsidR="007E7441" w:rsidRPr="00415B4C" w:rsidRDefault="007E7441"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sz w:val="20"/>
          <w:szCs w:val="20"/>
        </w:rPr>
        <w:t xml:space="preserve">Price to Earnings Ratio (P/E Ratio) </w:t>
      </w:r>
    </w:p>
    <w:p w14:paraId="19D5E04B" w14:textId="77777777" w:rsidR="007B235A" w:rsidRPr="003314FB" w:rsidRDefault="007B235A" w:rsidP="003314FB">
      <w:pPr>
        <w:shd w:val="clear" w:color="auto" w:fill="FFFFFF"/>
        <w:spacing w:after="0" w:line="240" w:lineRule="auto"/>
        <w:jc w:val="both"/>
        <w:rPr>
          <w:rFonts w:ascii="Times New Roman" w:hAnsi="Times New Roman" w:cs="Times New Roman"/>
          <w:b/>
          <w:bCs/>
          <w:color w:val="2F363F"/>
          <w:sz w:val="24"/>
          <w:szCs w:val="24"/>
          <w:shd w:val="clear" w:color="auto" w:fill="FFFFFF"/>
        </w:rPr>
      </w:pPr>
    </w:p>
    <w:p w14:paraId="0FB93145" w14:textId="7543B99A" w:rsidR="00B13782" w:rsidRPr="00415B4C" w:rsidRDefault="00415B4C" w:rsidP="003314FB">
      <w:pPr>
        <w:shd w:val="clear" w:color="auto" w:fill="FFFFFF"/>
        <w:spacing w:after="0" w:line="240" w:lineRule="auto"/>
        <w:jc w:val="both"/>
        <w:rPr>
          <w:rFonts w:ascii="Arial" w:hAnsi="Arial" w:cs="Arial"/>
          <w:b/>
          <w:bCs/>
          <w:color w:val="2F363F"/>
          <w:sz w:val="24"/>
          <w:szCs w:val="24"/>
          <w:shd w:val="clear" w:color="auto" w:fill="FFFFFF"/>
        </w:rPr>
      </w:pPr>
      <w:r>
        <w:rPr>
          <w:rFonts w:ascii="Arial" w:hAnsi="Arial" w:cs="Arial"/>
          <w:b/>
          <w:bCs/>
          <w:color w:val="2F363F"/>
          <w:shd w:val="clear" w:color="auto" w:fill="FFFFFF"/>
        </w:rPr>
        <w:t xml:space="preserve">2.1 </w:t>
      </w:r>
      <w:r w:rsidR="00B13782" w:rsidRPr="00415B4C">
        <w:rPr>
          <w:rFonts w:ascii="Arial" w:hAnsi="Arial" w:cs="Arial"/>
          <w:b/>
          <w:bCs/>
          <w:color w:val="2F363F"/>
          <w:shd w:val="clear" w:color="auto" w:fill="FFFFFF"/>
        </w:rPr>
        <w:t xml:space="preserve">Methodology for </w:t>
      </w:r>
      <w:r w:rsidR="0041314C" w:rsidRPr="00415B4C">
        <w:rPr>
          <w:rFonts w:ascii="Arial" w:hAnsi="Arial" w:cs="Arial"/>
          <w:b/>
          <w:bCs/>
          <w:color w:val="2F363F"/>
          <w:shd w:val="clear" w:color="auto" w:fill="FFFFFF"/>
        </w:rPr>
        <w:t>Constructing</w:t>
      </w:r>
      <w:r w:rsidR="00B13782" w:rsidRPr="00415B4C">
        <w:rPr>
          <w:rFonts w:ascii="Arial" w:hAnsi="Arial" w:cs="Arial"/>
          <w:b/>
          <w:bCs/>
          <w:color w:val="2F363F"/>
          <w:shd w:val="clear" w:color="auto" w:fill="FFFFFF"/>
        </w:rPr>
        <w:t xml:space="preserve"> Sentiment Index </w:t>
      </w:r>
    </w:p>
    <w:p w14:paraId="6918E990" w14:textId="66D04DFA" w:rsidR="003C4A90" w:rsidRPr="00415B4C" w:rsidRDefault="003C4A90" w:rsidP="003314FB">
      <w:pPr>
        <w:shd w:val="clear" w:color="auto" w:fill="FFFFFF"/>
        <w:spacing w:after="0" w:line="240" w:lineRule="auto"/>
        <w:jc w:val="both"/>
        <w:rPr>
          <w:rFonts w:ascii="Arial" w:hAnsi="Arial" w:cs="Arial"/>
          <w:sz w:val="20"/>
          <w:szCs w:val="20"/>
        </w:rPr>
      </w:pPr>
      <w:r w:rsidRPr="00415B4C">
        <w:rPr>
          <w:rFonts w:ascii="Arial" w:hAnsi="Arial" w:cs="Arial"/>
          <w:sz w:val="20"/>
          <w:szCs w:val="20"/>
        </w:rPr>
        <w:t>For the construction of an investor sentiment index, the study uses seven indirect sentiment proxies based on the availability of data in the Bombay Stock Exchange. Principal Component Analysis is applied to construct the sentiment index. The principal component with the highest number of significant correlation values with the market proxies has been chosen to construct the sentiment index (Agrawal &amp; Mohanty, 2018). The study uses the financial yearly returns and other indicators of the Sensex index of the Bombay Stock Exchange between April 1, 20</w:t>
      </w:r>
      <w:r w:rsidR="007E0AEB" w:rsidRPr="00415B4C">
        <w:rPr>
          <w:rFonts w:ascii="Arial" w:hAnsi="Arial" w:cs="Arial"/>
          <w:sz w:val="20"/>
          <w:szCs w:val="20"/>
        </w:rPr>
        <w:t>14</w:t>
      </w:r>
      <w:r w:rsidRPr="00415B4C">
        <w:rPr>
          <w:rFonts w:ascii="Arial" w:hAnsi="Arial" w:cs="Arial"/>
          <w:sz w:val="20"/>
          <w:szCs w:val="20"/>
        </w:rPr>
        <w:t>, and March 31, 202</w:t>
      </w:r>
      <w:r w:rsidR="007E0AEB" w:rsidRPr="00415B4C">
        <w:rPr>
          <w:rFonts w:ascii="Arial" w:hAnsi="Arial" w:cs="Arial"/>
          <w:sz w:val="20"/>
          <w:szCs w:val="20"/>
        </w:rPr>
        <w:t>4</w:t>
      </w:r>
      <w:r w:rsidRPr="00415B4C">
        <w:rPr>
          <w:rFonts w:ascii="Arial" w:hAnsi="Arial" w:cs="Arial"/>
          <w:sz w:val="20"/>
          <w:szCs w:val="20"/>
        </w:rPr>
        <w:t xml:space="preserve">. In all, there are 10 yearly observations included in the </w:t>
      </w:r>
      <w:r w:rsidR="003307EB" w:rsidRPr="00415B4C">
        <w:rPr>
          <w:rFonts w:ascii="Arial" w:hAnsi="Arial" w:cs="Arial"/>
          <w:sz w:val="20"/>
          <w:szCs w:val="20"/>
        </w:rPr>
        <w:t>dataset</w:t>
      </w:r>
      <w:r w:rsidRPr="00415B4C">
        <w:rPr>
          <w:rFonts w:ascii="Arial" w:hAnsi="Arial" w:cs="Arial"/>
          <w:sz w:val="20"/>
          <w:szCs w:val="20"/>
        </w:rPr>
        <w:t>. The technique of Regression Analysis is applied to check the impact of investor sentiment on stock returns.</w:t>
      </w:r>
    </w:p>
    <w:p w14:paraId="171D82B1" w14:textId="5C44FB03" w:rsidR="00D724D1" w:rsidRPr="00415B4C" w:rsidRDefault="00415B4C" w:rsidP="003314FB">
      <w:pPr>
        <w:pStyle w:val="ListParagraph"/>
        <w:numPr>
          <w:ilvl w:val="0"/>
          <w:numId w:val="5"/>
        </w:numPr>
        <w:spacing w:after="0" w:line="240" w:lineRule="auto"/>
        <w:jc w:val="both"/>
        <w:rPr>
          <w:rFonts w:ascii="Arial" w:hAnsi="Arial" w:cs="Arial"/>
        </w:rPr>
      </w:pPr>
      <w:r w:rsidRPr="00415B4C">
        <w:rPr>
          <w:rFonts w:ascii="Arial" w:hAnsi="Arial" w:cs="Arial"/>
          <w:b/>
          <w:bCs/>
        </w:rPr>
        <w:t>Results And Discussion</w:t>
      </w:r>
    </w:p>
    <w:p w14:paraId="352A60AC" w14:textId="342A62DB" w:rsidR="000D15D8" w:rsidRPr="00415B4C" w:rsidRDefault="000D15D8" w:rsidP="003314FB">
      <w:pPr>
        <w:spacing w:after="0" w:line="240" w:lineRule="auto"/>
        <w:jc w:val="both"/>
        <w:rPr>
          <w:rFonts w:ascii="Arial" w:hAnsi="Arial" w:cs="Arial"/>
          <w:sz w:val="20"/>
          <w:szCs w:val="20"/>
        </w:rPr>
      </w:pPr>
      <w:r w:rsidRPr="00415B4C">
        <w:rPr>
          <w:rFonts w:ascii="Arial" w:hAnsi="Arial" w:cs="Arial"/>
          <w:sz w:val="20"/>
          <w:szCs w:val="20"/>
        </w:rPr>
        <w:t xml:space="preserve">The result of </w:t>
      </w:r>
      <w:r w:rsidR="005912A5" w:rsidRPr="00415B4C">
        <w:rPr>
          <w:rFonts w:ascii="Arial" w:hAnsi="Arial" w:cs="Arial"/>
          <w:sz w:val="20"/>
          <w:szCs w:val="20"/>
        </w:rPr>
        <w:t xml:space="preserve">the </w:t>
      </w:r>
      <w:r w:rsidRPr="00415B4C">
        <w:rPr>
          <w:rFonts w:ascii="Arial" w:hAnsi="Arial" w:cs="Arial"/>
          <w:sz w:val="20"/>
          <w:szCs w:val="20"/>
        </w:rPr>
        <w:t>data analysis is desc</w:t>
      </w:r>
      <w:r w:rsidR="005912A5" w:rsidRPr="00415B4C">
        <w:rPr>
          <w:rFonts w:ascii="Arial" w:hAnsi="Arial" w:cs="Arial"/>
          <w:sz w:val="20"/>
          <w:szCs w:val="20"/>
        </w:rPr>
        <w:t xml:space="preserve">ribed below: </w:t>
      </w:r>
    </w:p>
    <w:p w14:paraId="1C6ED17E" w14:textId="0D88A258" w:rsidR="005912A5" w:rsidRPr="003314FB" w:rsidRDefault="00415B4C" w:rsidP="003314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D4389F" w:rsidRPr="003314FB">
        <w:rPr>
          <w:rFonts w:ascii="Times New Roman" w:hAnsi="Times New Roman" w:cs="Times New Roman"/>
          <w:b/>
          <w:bCs/>
          <w:sz w:val="24"/>
          <w:szCs w:val="24"/>
        </w:rPr>
        <w:t>.1</w:t>
      </w:r>
      <w:r w:rsidR="00966A94" w:rsidRPr="003314FB">
        <w:rPr>
          <w:rFonts w:ascii="Times New Roman" w:hAnsi="Times New Roman" w:cs="Times New Roman"/>
          <w:b/>
          <w:bCs/>
          <w:sz w:val="24"/>
          <w:szCs w:val="24"/>
        </w:rPr>
        <w:t xml:space="preserve"> </w:t>
      </w:r>
      <w:r w:rsidR="00090DC3" w:rsidRPr="00415B4C">
        <w:rPr>
          <w:rFonts w:ascii="Arial" w:hAnsi="Arial" w:cs="Arial"/>
          <w:b/>
          <w:bCs/>
        </w:rPr>
        <w:t>Descriptive Statistics</w:t>
      </w:r>
      <w:r w:rsidR="00090DC3" w:rsidRPr="00415B4C">
        <w:rPr>
          <w:rFonts w:ascii="Times New Roman" w:hAnsi="Times New Roman" w:cs="Times New Roman"/>
          <w:b/>
          <w:bCs/>
        </w:rPr>
        <w:t xml:space="preserve">  </w:t>
      </w:r>
    </w:p>
    <w:p w14:paraId="40B6EEC9" w14:textId="06BBF0E2" w:rsidR="0055425E" w:rsidRPr="00415B4C" w:rsidRDefault="0055425E" w:rsidP="003314FB">
      <w:pPr>
        <w:spacing w:after="0" w:line="240" w:lineRule="auto"/>
        <w:rPr>
          <w:rFonts w:ascii="Arial" w:hAnsi="Arial" w:cs="Arial"/>
          <w:sz w:val="20"/>
          <w:szCs w:val="20"/>
        </w:rPr>
      </w:pPr>
      <w:r w:rsidRPr="00415B4C">
        <w:rPr>
          <w:rFonts w:ascii="Arial" w:hAnsi="Arial" w:cs="Arial"/>
          <w:sz w:val="20"/>
          <w:szCs w:val="20"/>
        </w:rPr>
        <w:t xml:space="preserve">The descriptive statistics of these sentiment proxies are presented in Table </w:t>
      </w:r>
      <w:r w:rsidR="00B2337C" w:rsidRPr="00415B4C">
        <w:rPr>
          <w:rFonts w:ascii="Arial" w:hAnsi="Arial" w:cs="Arial"/>
          <w:sz w:val="20"/>
          <w:szCs w:val="20"/>
        </w:rPr>
        <w:t>1</w:t>
      </w:r>
      <w:r w:rsidRPr="00415B4C">
        <w:rPr>
          <w:rFonts w:ascii="Arial" w:hAnsi="Arial" w:cs="Arial"/>
          <w:sz w:val="20"/>
          <w:szCs w:val="20"/>
        </w:rPr>
        <w:t>.</w:t>
      </w:r>
    </w:p>
    <w:p w14:paraId="15A75D5B" w14:textId="6B730EDC" w:rsidR="00430A16" w:rsidRPr="00415B4C" w:rsidRDefault="00430A16" w:rsidP="003314FB">
      <w:pPr>
        <w:spacing w:after="0" w:line="240" w:lineRule="auto"/>
        <w:jc w:val="center"/>
        <w:rPr>
          <w:rFonts w:ascii="Arial" w:hAnsi="Arial" w:cs="Arial"/>
          <w:b/>
          <w:bCs/>
          <w:sz w:val="20"/>
          <w:szCs w:val="20"/>
        </w:rPr>
      </w:pPr>
      <w:r w:rsidRPr="00415B4C">
        <w:rPr>
          <w:rFonts w:ascii="Arial" w:hAnsi="Arial" w:cs="Arial"/>
          <w:b/>
          <w:bCs/>
          <w:sz w:val="20"/>
          <w:szCs w:val="20"/>
        </w:rPr>
        <w:t xml:space="preserve">Table </w:t>
      </w:r>
      <w:r w:rsidR="008875AE" w:rsidRPr="00415B4C">
        <w:rPr>
          <w:rFonts w:ascii="Arial" w:hAnsi="Arial" w:cs="Arial"/>
          <w:b/>
          <w:bCs/>
          <w:sz w:val="20"/>
          <w:szCs w:val="20"/>
        </w:rPr>
        <w:t>1</w:t>
      </w:r>
      <w:r w:rsidR="003307EB" w:rsidRPr="00415B4C">
        <w:rPr>
          <w:rFonts w:ascii="Arial" w:hAnsi="Arial" w:cs="Arial"/>
          <w:b/>
          <w:bCs/>
          <w:sz w:val="20"/>
          <w:szCs w:val="20"/>
        </w:rPr>
        <w:t>:</w:t>
      </w:r>
      <w:r w:rsidR="008875AE" w:rsidRPr="00415B4C">
        <w:rPr>
          <w:rFonts w:ascii="Arial" w:hAnsi="Arial" w:cs="Arial"/>
          <w:b/>
          <w:bCs/>
          <w:sz w:val="20"/>
          <w:szCs w:val="20"/>
        </w:rPr>
        <w:t xml:space="preserve"> </w:t>
      </w:r>
      <w:r w:rsidRPr="00415B4C">
        <w:rPr>
          <w:rFonts w:ascii="Arial" w:hAnsi="Arial" w:cs="Arial"/>
          <w:b/>
          <w:bCs/>
          <w:sz w:val="20"/>
          <w:szCs w:val="20"/>
        </w:rPr>
        <w:t>Descriptive Statistics</w:t>
      </w:r>
    </w:p>
    <w:tbl>
      <w:tblPr>
        <w:tblStyle w:val="TableGridLight"/>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41"/>
        <w:gridCol w:w="1548"/>
        <w:gridCol w:w="1376"/>
        <w:gridCol w:w="1376"/>
        <w:gridCol w:w="1548"/>
      </w:tblGrid>
      <w:tr w:rsidR="00B54A99" w:rsidRPr="00415B4C" w14:paraId="30BA68B3" w14:textId="77777777" w:rsidTr="00654A84">
        <w:trPr>
          <w:trHeight w:val="312"/>
        </w:trPr>
        <w:tc>
          <w:tcPr>
            <w:tcW w:w="3441" w:type="dxa"/>
            <w:tcBorders>
              <w:top w:val="single" w:sz="4" w:space="0" w:color="auto"/>
            </w:tcBorders>
          </w:tcPr>
          <w:p w14:paraId="259ABE37" w14:textId="1C30082E" w:rsidR="00B54A99" w:rsidRPr="00415B4C" w:rsidRDefault="00B54A99" w:rsidP="00415B4C">
            <w:pPr>
              <w:autoSpaceDE w:val="0"/>
              <w:autoSpaceDN w:val="0"/>
              <w:adjustRightInd w:val="0"/>
              <w:jc w:val="center"/>
              <w:rPr>
                <w:rFonts w:ascii="Arial" w:hAnsi="Arial" w:cs="Arial"/>
                <w:b/>
                <w:bCs/>
                <w:kern w:val="0"/>
                <w:sz w:val="20"/>
                <w:szCs w:val="20"/>
                <w:lang w:bidi="hi-IN"/>
              </w:rPr>
            </w:pPr>
            <w:r w:rsidRPr="00415B4C">
              <w:rPr>
                <w:rFonts w:ascii="Arial" w:hAnsi="Arial" w:cs="Arial"/>
                <w:b/>
                <w:bCs/>
                <w:sz w:val="20"/>
                <w:szCs w:val="20"/>
              </w:rPr>
              <w:t>Descriptive Statistics</w:t>
            </w:r>
          </w:p>
        </w:tc>
        <w:tc>
          <w:tcPr>
            <w:tcW w:w="1548" w:type="dxa"/>
            <w:tcBorders>
              <w:top w:val="single" w:sz="4" w:space="0" w:color="auto"/>
            </w:tcBorders>
          </w:tcPr>
          <w:p w14:paraId="3C7FFBA7" w14:textId="2322A2C4"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Min</w:t>
            </w:r>
          </w:p>
        </w:tc>
        <w:tc>
          <w:tcPr>
            <w:tcW w:w="1376" w:type="dxa"/>
            <w:tcBorders>
              <w:top w:val="single" w:sz="4" w:space="0" w:color="auto"/>
            </w:tcBorders>
          </w:tcPr>
          <w:p w14:paraId="14E60DF0" w14:textId="48A59375"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Max</w:t>
            </w:r>
          </w:p>
        </w:tc>
        <w:tc>
          <w:tcPr>
            <w:tcW w:w="1376" w:type="dxa"/>
            <w:tcBorders>
              <w:top w:val="single" w:sz="4" w:space="0" w:color="auto"/>
            </w:tcBorders>
          </w:tcPr>
          <w:p w14:paraId="58B1629D" w14:textId="77777777"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Mean</w:t>
            </w:r>
          </w:p>
        </w:tc>
        <w:tc>
          <w:tcPr>
            <w:tcW w:w="1548" w:type="dxa"/>
            <w:tcBorders>
              <w:top w:val="single" w:sz="4" w:space="0" w:color="auto"/>
            </w:tcBorders>
          </w:tcPr>
          <w:p w14:paraId="2821043E" w14:textId="3F058E97"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Std. Dev</w:t>
            </w:r>
          </w:p>
        </w:tc>
      </w:tr>
      <w:tr w:rsidR="00186FED" w:rsidRPr="00415B4C" w14:paraId="7D7CB3A2" w14:textId="77777777" w:rsidTr="00654A84">
        <w:trPr>
          <w:trHeight w:val="312"/>
        </w:trPr>
        <w:tc>
          <w:tcPr>
            <w:tcW w:w="3441" w:type="dxa"/>
          </w:tcPr>
          <w:p w14:paraId="48DAC535" w14:textId="35B800B3" w:rsidR="00186FED" w:rsidRPr="00415B4C" w:rsidRDefault="00186FED" w:rsidP="00415B4C">
            <w:pPr>
              <w:autoSpaceDE w:val="0"/>
              <w:autoSpaceDN w:val="0"/>
              <w:adjustRightInd w:val="0"/>
              <w:jc w:val="center"/>
              <w:rPr>
                <w:rFonts w:ascii="Arial" w:hAnsi="Arial" w:cs="Arial"/>
                <w:sz w:val="20"/>
                <w:szCs w:val="20"/>
              </w:rPr>
            </w:pPr>
            <w:r w:rsidRPr="00415B4C">
              <w:rPr>
                <w:rFonts w:ascii="Arial" w:hAnsi="Arial" w:cs="Arial"/>
                <w:sz w:val="20"/>
                <w:szCs w:val="20"/>
              </w:rPr>
              <w:t>BSE Returns (BR)</w:t>
            </w:r>
          </w:p>
        </w:tc>
        <w:tc>
          <w:tcPr>
            <w:tcW w:w="1548" w:type="dxa"/>
          </w:tcPr>
          <w:p w14:paraId="0BCC4B50" w14:textId="1C7BB23C"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-5.100</w:t>
            </w:r>
          </w:p>
        </w:tc>
        <w:tc>
          <w:tcPr>
            <w:tcW w:w="1376" w:type="dxa"/>
          </w:tcPr>
          <w:p w14:paraId="3771F35C" w14:textId="479BBC50"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29.600</w:t>
            </w:r>
          </w:p>
        </w:tc>
        <w:tc>
          <w:tcPr>
            <w:tcW w:w="1376" w:type="dxa"/>
          </w:tcPr>
          <w:p w14:paraId="2991EC36" w14:textId="480C931A"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14.909</w:t>
            </w:r>
          </w:p>
        </w:tc>
        <w:tc>
          <w:tcPr>
            <w:tcW w:w="1548" w:type="dxa"/>
          </w:tcPr>
          <w:p w14:paraId="5E1F9AA6" w14:textId="2473FCCD"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11.132</w:t>
            </w:r>
          </w:p>
        </w:tc>
      </w:tr>
      <w:tr w:rsidR="00B54A99" w:rsidRPr="00415B4C" w14:paraId="3E2BCB5E" w14:textId="77777777" w:rsidTr="00654A84">
        <w:trPr>
          <w:trHeight w:val="267"/>
        </w:trPr>
        <w:tc>
          <w:tcPr>
            <w:tcW w:w="3441" w:type="dxa"/>
          </w:tcPr>
          <w:p w14:paraId="3BD7A4A2" w14:textId="6D5D8EDA"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PE Ratio (PER)</w:t>
            </w:r>
          </w:p>
        </w:tc>
        <w:tc>
          <w:tcPr>
            <w:tcW w:w="1548" w:type="dxa"/>
          </w:tcPr>
          <w:p w14:paraId="5AD3A08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17.09</w:t>
            </w:r>
          </w:p>
        </w:tc>
        <w:tc>
          <w:tcPr>
            <w:tcW w:w="1376" w:type="dxa"/>
          </w:tcPr>
          <w:p w14:paraId="03C27EC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29.53</w:t>
            </w:r>
          </w:p>
        </w:tc>
        <w:tc>
          <w:tcPr>
            <w:tcW w:w="1376" w:type="dxa"/>
          </w:tcPr>
          <w:p w14:paraId="5785D442"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22.1873</w:t>
            </w:r>
          </w:p>
        </w:tc>
        <w:tc>
          <w:tcPr>
            <w:tcW w:w="1548" w:type="dxa"/>
          </w:tcPr>
          <w:p w14:paraId="442CC483"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4.39253</w:t>
            </w:r>
          </w:p>
        </w:tc>
      </w:tr>
      <w:tr w:rsidR="00B54A99" w:rsidRPr="00415B4C" w14:paraId="1DBA05AB" w14:textId="77777777" w:rsidTr="00654A84">
        <w:trPr>
          <w:trHeight w:val="267"/>
        </w:trPr>
        <w:tc>
          <w:tcPr>
            <w:tcW w:w="3441" w:type="dxa"/>
          </w:tcPr>
          <w:p w14:paraId="3125A386" w14:textId="2C0AFD1B"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PB Ratio (PBR)</w:t>
            </w:r>
          </w:p>
        </w:tc>
        <w:tc>
          <w:tcPr>
            <w:tcW w:w="1548" w:type="dxa"/>
          </w:tcPr>
          <w:p w14:paraId="0BFF255F"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2.78</w:t>
            </w:r>
          </w:p>
        </w:tc>
        <w:tc>
          <w:tcPr>
            <w:tcW w:w="1376" w:type="dxa"/>
          </w:tcPr>
          <w:p w14:paraId="5649713F"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3.42</w:t>
            </w:r>
          </w:p>
        </w:tc>
        <w:tc>
          <w:tcPr>
            <w:tcW w:w="1376" w:type="dxa"/>
          </w:tcPr>
          <w:p w14:paraId="5A8A5F8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3.0064</w:t>
            </w:r>
          </w:p>
        </w:tc>
        <w:tc>
          <w:tcPr>
            <w:tcW w:w="1548" w:type="dxa"/>
          </w:tcPr>
          <w:p w14:paraId="097F3ECC"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.19790</w:t>
            </w:r>
          </w:p>
        </w:tc>
      </w:tr>
      <w:tr w:rsidR="00B54A99" w:rsidRPr="00415B4C" w14:paraId="66C58AA9" w14:textId="77777777" w:rsidTr="00654A84">
        <w:trPr>
          <w:trHeight w:val="267"/>
        </w:trPr>
        <w:tc>
          <w:tcPr>
            <w:tcW w:w="3441" w:type="dxa"/>
          </w:tcPr>
          <w:p w14:paraId="04783B61" w14:textId="669C499A"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Dividend Yield (DY)</w:t>
            </w:r>
          </w:p>
        </w:tc>
        <w:tc>
          <w:tcPr>
            <w:tcW w:w="1548" w:type="dxa"/>
          </w:tcPr>
          <w:p w14:paraId="138AABF1"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.94</w:t>
            </w:r>
          </w:p>
        </w:tc>
        <w:tc>
          <w:tcPr>
            <w:tcW w:w="1376" w:type="dxa"/>
          </w:tcPr>
          <w:p w14:paraId="49F2FCC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1.64</w:t>
            </w:r>
          </w:p>
        </w:tc>
        <w:tc>
          <w:tcPr>
            <w:tcW w:w="1376" w:type="dxa"/>
          </w:tcPr>
          <w:p w14:paraId="09D7B83C"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1.2900</w:t>
            </w:r>
          </w:p>
        </w:tc>
        <w:tc>
          <w:tcPr>
            <w:tcW w:w="1548" w:type="dxa"/>
          </w:tcPr>
          <w:p w14:paraId="33C37EC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.21265</w:t>
            </w:r>
          </w:p>
        </w:tc>
      </w:tr>
      <w:tr w:rsidR="00B54A99" w:rsidRPr="00415B4C" w14:paraId="3FD87C7A" w14:textId="77777777" w:rsidTr="00654A84">
        <w:trPr>
          <w:trHeight w:val="267"/>
        </w:trPr>
        <w:tc>
          <w:tcPr>
            <w:tcW w:w="3441" w:type="dxa"/>
          </w:tcPr>
          <w:p w14:paraId="43655048" w14:textId="3BF19EF2"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No</w:t>
            </w:r>
            <w:r w:rsidR="00186FED" w:rsidRPr="00415B4C">
              <w:rPr>
                <w:rFonts w:ascii="Arial" w:hAnsi="Arial" w:cs="Arial"/>
                <w:kern w:val="0"/>
                <w:sz w:val="20"/>
                <w:szCs w:val="20"/>
                <w:lang w:bidi="hi-IN"/>
              </w:rPr>
              <w:t>. Of IPOs (</w:t>
            </w:r>
            <w:r w:rsidRPr="00415B4C">
              <w:rPr>
                <w:rFonts w:ascii="Arial" w:hAnsi="Arial" w:cs="Arial"/>
                <w:kern w:val="0"/>
                <w:sz w:val="20"/>
                <w:szCs w:val="20"/>
                <w:lang w:bidi="hi-IN"/>
              </w:rPr>
              <w:t>NP</w:t>
            </w:r>
            <w:r w:rsidR="00186FED" w:rsidRPr="00415B4C">
              <w:rPr>
                <w:rFonts w:ascii="Arial" w:hAnsi="Arial" w:cs="Arial"/>
                <w:kern w:val="0"/>
                <w:sz w:val="20"/>
                <w:szCs w:val="20"/>
                <w:lang w:bidi="hi-IN"/>
              </w:rPr>
              <w:t>)</w:t>
            </w:r>
          </w:p>
        </w:tc>
        <w:tc>
          <w:tcPr>
            <w:tcW w:w="1548" w:type="dxa"/>
          </w:tcPr>
          <w:p w14:paraId="20C5C0A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w:t>
            </w:r>
          </w:p>
        </w:tc>
        <w:tc>
          <w:tcPr>
            <w:tcW w:w="1376" w:type="dxa"/>
          </w:tcPr>
          <w:p w14:paraId="5D7CD973"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63</w:t>
            </w:r>
          </w:p>
        </w:tc>
        <w:tc>
          <w:tcPr>
            <w:tcW w:w="1376" w:type="dxa"/>
          </w:tcPr>
          <w:p w14:paraId="19AF0A9D"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24.64</w:t>
            </w:r>
          </w:p>
        </w:tc>
        <w:tc>
          <w:tcPr>
            <w:tcW w:w="1548" w:type="dxa"/>
          </w:tcPr>
          <w:p w14:paraId="6B36E9D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16.990</w:t>
            </w:r>
          </w:p>
        </w:tc>
      </w:tr>
      <w:tr w:rsidR="00B54A99" w:rsidRPr="00415B4C" w14:paraId="3C8D3333" w14:textId="77777777" w:rsidTr="00654A84">
        <w:trPr>
          <w:trHeight w:val="267"/>
        </w:trPr>
        <w:tc>
          <w:tcPr>
            <w:tcW w:w="3441" w:type="dxa"/>
          </w:tcPr>
          <w:p w14:paraId="6F2C3739" w14:textId="269CAD27"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Advance Decline Ratio (ADR)</w:t>
            </w:r>
          </w:p>
        </w:tc>
        <w:tc>
          <w:tcPr>
            <w:tcW w:w="1548" w:type="dxa"/>
          </w:tcPr>
          <w:p w14:paraId="0E4F7CEC" w14:textId="07DF2E20"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.96833</w:t>
            </w:r>
          </w:p>
        </w:tc>
        <w:tc>
          <w:tcPr>
            <w:tcW w:w="1376" w:type="dxa"/>
          </w:tcPr>
          <w:p w14:paraId="1A781CEA" w14:textId="47AE31E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1.205833</w:t>
            </w:r>
          </w:p>
        </w:tc>
        <w:tc>
          <w:tcPr>
            <w:tcW w:w="1376" w:type="dxa"/>
          </w:tcPr>
          <w:p w14:paraId="0CF9F2CF" w14:textId="2AE9E3E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1.05825</w:t>
            </w:r>
          </w:p>
        </w:tc>
        <w:tc>
          <w:tcPr>
            <w:tcW w:w="1548" w:type="dxa"/>
          </w:tcPr>
          <w:p w14:paraId="6BE4B2B5" w14:textId="0489E721"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.0784666</w:t>
            </w:r>
          </w:p>
        </w:tc>
      </w:tr>
      <w:tr w:rsidR="00B54A99" w:rsidRPr="00415B4C" w14:paraId="04FC284C" w14:textId="77777777" w:rsidTr="00654A84">
        <w:trPr>
          <w:trHeight w:val="267"/>
        </w:trPr>
        <w:tc>
          <w:tcPr>
            <w:tcW w:w="3441" w:type="dxa"/>
          </w:tcPr>
          <w:p w14:paraId="0FF1EE71" w14:textId="7E4CB7E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Net F</w:t>
            </w:r>
            <w:r w:rsidR="00186FED" w:rsidRPr="00415B4C">
              <w:rPr>
                <w:rFonts w:ascii="Arial" w:hAnsi="Arial" w:cs="Arial"/>
                <w:kern w:val="0"/>
                <w:sz w:val="20"/>
                <w:szCs w:val="20"/>
                <w:lang w:bidi="hi-IN"/>
              </w:rPr>
              <w:t>II</w:t>
            </w:r>
            <w:r w:rsidRPr="00415B4C">
              <w:rPr>
                <w:rFonts w:ascii="Arial" w:hAnsi="Arial" w:cs="Arial"/>
                <w:kern w:val="0"/>
                <w:sz w:val="20"/>
                <w:szCs w:val="20"/>
                <w:lang w:bidi="hi-IN"/>
              </w:rPr>
              <w:t xml:space="preserve"> </w:t>
            </w:r>
            <w:r w:rsidR="00186FED" w:rsidRPr="00415B4C">
              <w:rPr>
                <w:rFonts w:ascii="Arial" w:hAnsi="Arial" w:cs="Arial"/>
                <w:kern w:val="0"/>
                <w:sz w:val="20"/>
                <w:szCs w:val="20"/>
                <w:lang w:bidi="hi-IN"/>
              </w:rPr>
              <w:t>(</w:t>
            </w:r>
            <w:r w:rsidRPr="00415B4C">
              <w:rPr>
                <w:rFonts w:ascii="Arial" w:hAnsi="Arial" w:cs="Arial"/>
                <w:kern w:val="0"/>
                <w:sz w:val="20"/>
                <w:szCs w:val="20"/>
                <w:lang w:bidi="hi-IN"/>
              </w:rPr>
              <w:t>NFI</w:t>
            </w:r>
            <w:r w:rsidR="00186FED" w:rsidRPr="00415B4C">
              <w:rPr>
                <w:rFonts w:ascii="Arial" w:hAnsi="Arial" w:cs="Arial"/>
                <w:kern w:val="0"/>
                <w:sz w:val="20"/>
                <w:szCs w:val="20"/>
                <w:lang w:bidi="hi-IN"/>
              </w:rPr>
              <w:t>)</w:t>
            </w:r>
          </w:p>
        </w:tc>
        <w:tc>
          <w:tcPr>
            <w:tcW w:w="1548" w:type="dxa"/>
          </w:tcPr>
          <w:p w14:paraId="4F552065"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-30524.33</w:t>
            </w:r>
          </w:p>
        </w:tc>
        <w:tc>
          <w:tcPr>
            <w:tcW w:w="1376" w:type="dxa"/>
          </w:tcPr>
          <w:p w14:paraId="0FC8972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53043.42</w:t>
            </w:r>
          </w:p>
        </w:tc>
        <w:tc>
          <w:tcPr>
            <w:tcW w:w="1376" w:type="dxa"/>
          </w:tcPr>
          <w:p w14:paraId="1D5AE864" w14:textId="69D86AF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1747.58</w:t>
            </w:r>
          </w:p>
        </w:tc>
        <w:tc>
          <w:tcPr>
            <w:tcW w:w="1548" w:type="dxa"/>
          </w:tcPr>
          <w:p w14:paraId="43921387" w14:textId="5059A78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20511.254</w:t>
            </w:r>
          </w:p>
        </w:tc>
      </w:tr>
      <w:tr w:rsidR="00B54A99" w:rsidRPr="00415B4C" w14:paraId="267C880B" w14:textId="77777777" w:rsidTr="00654A84">
        <w:trPr>
          <w:trHeight w:val="546"/>
        </w:trPr>
        <w:tc>
          <w:tcPr>
            <w:tcW w:w="3441" w:type="dxa"/>
            <w:tcBorders>
              <w:bottom w:val="single" w:sz="4" w:space="0" w:color="auto"/>
            </w:tcBorders>
          </w:tcPr>
          <w:p w14:paraId="58A2A155" w14:textId="679D3DB1"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First-Day IPO Returns (FDPR)</w:t>
            </w:r>
          </w:p>
        </w:tc>
        <w:tc>
          <w:tcPr>
            <w:tcW w:w="1548" w:type="dxa"/>
            <w:tcBorders>
              <w:bottom w:val="single" w:sz="4" w:space="0" w:color="auto"/>
            </w:tcBorders>
          </w:tcPr>
          <w:p w14:paraId="72141CC8" w14:textId="2B1695A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5.0500</w:t>
            </w:r>
          </w:p>
        </w:tc>
        <w:tc>
          <w:tcPr>
            <w:tcW w:w="1376" w:type="dxa"/>
            <w:tcBorders>
              <w:bottom w:val="single" w:sz="4" w:space="0" w:color="auto"/>
            </w:tcBorders>
          </w:tcPr>
          <w:p w14:paraId="08A11BDF" w14:textId="5B443D7B"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40.06000</w:t>
            </w:r>
          </w:p>
        </w:tc>
        <w:tc>
          <w:tcPr>
            <w:tcW w:w="1376" w:type="dxa"/>
            <w:tcBorders>
              <w:bottom w:val="single" w:sz="4" w:space="0" w:color="auto"/>
            </w:tcBorders>
          </w:tcPr>
          <w:p w14:paraId="27B6ED31" w14:textId="63F78D0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16.9000</w:t>
            </w:r>
          </w:p>
        </w:tc>
        <w:tc>
          <w:tcPr>
            <w:tcW w:w="1548" w:type="dxa"/>
            <w:tcBorders>
              <w:bottom w:val="single" w:sz="4" w:space="0" w:color="auto"/>
            </w:tcBorders>
          </w:tcPr>
          <w:p w14:paraId="2FB6269A" w14:textId="318DE1A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11.22737</w:t>
            </w:r>
          </w:p>
        </w:tc>
      </w:tr>
    </w:tbl>
    <w:p w14:paraId="2F4494F0" w14:textId="77777777" w:rsidR="008875AE" w:rsidRPr="00415B4C" w:rsidRDefault="00AA7759" w:rsidP="003314FB">
      <w:pPr>
        <w:spacing w:after="0" w:line="240" w:lineRule="auto"/>
        <w:jc w:val="both"/>
        <w:rPr>
          <w:rFonts w:ascii="Arial" w:hAnsi="Arial" w:cs="Arial"/>
          <w:sz w:val="20"/>
          <w:szCs w:val="20"/>
        </w:rPr>
      </w:pPr>
      <w:r w:rsidRPr="00415B4C">
        <w:rPr>
          <w:rFonts w:ascii="Arial" w:hAnsi="Arial" w:cs="Arial"/>
          <w:sz w:val="20"/>
          <w:szCs w:val="20"/>
        </w:rPr>
        <w:t xml:space="preserve">       </w:t>
      </w:r>
      <w:r w:rsidR="00E163A5" w:rsidRPr="00415B4C">
        <w:rPr>
          <w:rFonts w:ascii="Arial" w:hAnsi="Arial" w:cs="Arial"/>
          <w:sz w:val="20"/>
          <w:szCs w:val="20"/>
        </w:rPr>
        <w:t xml:space="preserve">Source: </w:t>
      </w:r>
      <w:r w:rsidR="00140E5F" w:rsidRPr="00415B4C">
        <w:rPr>
          <w:rFonts w:ascii="Arial" w:hAnsi="Arial" w:cs="Arial"/>
          <w:sz w:val="20"/>
          <w:szCs w:val="20"/>
        </w:rPr>
        <w:t>Own Calculations</w:t>
      </w:r>
    </w:p>
    <w:p w14:paraId="7F8AE092" w14:textId="7B956124" w:rsidR="008875AE" w:rsidRPr="00415B4C" w:rsidRDefault="00DC47B5" w:rsidP="003314FB">
      <w:pPr>
        <w:spacing w:after="0" w:line="240" w:lineRule="auto"/>
        <w:jc w:val="both"/>
        <w:rPr>
          <w:rFonts w:ascii="Arial" w:hAnsi="Arial" w:cs="Arial"/>
        </w:rPr>
      </w:pPr>
      <w:r w:rsidRPr="00415B4C">
        <w:rPr>
          <w:rFonts w:ascii="Arial" w:hAnsi="Arial" w:cs="Arial"/>
          <w:sz w:val="20"/>
          <w:szCs w:val="20"/>
        </w:rPr>
        <w:t>Table 1 presents the descriptive statistics of selected market proxies and BSE returns. The mean value of the BSE return is 14.909</w:t>
      </w:r>
      <w:r w:rsidR="003307EB" w:rsidRPr="00415B4C">
        <w:rPr>
          <w:rFonts w:ascii="Arial" w:hAnsi="Arial" w:cs="Arial"/>
          <w:sz w:val="20"/>
          <w:szCs w:val="20"/>
        </w:rPr>
        <w:t>,</w:t>
      </w:r>
      <w:r w:rsidRPr="00415B4C">
        <w:rPr>
          <w:rFonts w:ascii="Arial" w:hAnsi="Arial" w:cs="Arial"/>
          <w:sz w:val="20"/>
          <w:szCs w:val="20"/>
        </w:rPr>
        <w:t xml:space="preserve"> and the standard deviation reflects that the returns are consistent over</w:t>
      </w:r>
      <w:r w:rsidRPr="003314FB">
        <w:rPr>
          <w:rFonts w:ascii="Times New Roman" w:hAnsi="Times New Roman" w:cs="Times New Roman"/>
          <w:sz w:val="24"/>
          <w:szCs w:val="24"/>
        </w:rPr>
        <w:t xml:space="preserve"> the years</w:t>
      </w:r>
      <w:r w:rsidRPr="00654A84">
        <w:rPr>
          <w:rFonts w:ascii="Arial" w:hAnsi="Arial" w:cs="Arial"/>
          <w:sz w:val="20"/>
          <w:szCs w:val="20"/>
        </w:rPr>
        <w:t>. Table 1 further</w:t>
      </w:r>
      <w:r w:rsidRPr="00415B4C">
        <w:rPr>
          <w:rFonts w:ascii="Arial" w:hAnsi="Arial" w:cs="Arial"/>
        </w:rPr>
        <w:t xml:space="preserve"> reveals that the selected market proxies are consistent</w:t>
      </w:r>
      <w:r w:rsidR="003307EB" w:rsidRPr="00415B4C">
        <w:rPr>
          <w:rFonts w:ascii="Arial" w:hAnsi="Arial" w:cs="Arial"/>
        </w:rPr>
        <w:t>,</w:t>
      </w:r>
      <w:r w:rsidRPr="00415B4C">
        <w:rPr>
          <w:rFonts w:ascii="Arial" w:hAnsi="Arial" w:cs="Arial"/>
        </w:rPr>
        <w:t xml:space="preserve"> as the standard deviation value is not so high for all the proxies.</w:t>
      </w:r>
    </w:p>
    <w:p w14:paraId="31A350AE" w14:textId="12804746" w:rsidR="00D4389F" w:rsidRPr="00415B4C" w:rsidRDefault="00415B4C" w:rsidP="003314FB">
      <w:pPr>
        <w:spacing w:after="0" w:line="240" w:lineRule="auto"/>
        <w:jc w:val="both"/>
        <w:rPr>
          <w:rFonts w:ascii="Arial" w:hAnsi="Arial" w:cs="Arial"/>
          <w:b/>
          <w:bCs/>
        </w:rPr>
      </w:pPr>
      <w:r>
        <w:rPr>
          <w:rFonts w:ascii="Arial" w:hAnsi="Arial" w:cs="Arial"/>
          <w:b/>
          <w:bCs/>
        </w:rPr>
        <w:t>3</w:t>
      </w:r>
      <w:r w:rsidR="00D4389F" w:rsidRPr="00415B4C">
        <w:rPr>
          <w:rFonts w:ascii="Arial" w:hAnsi="Arial" w:cs="Arial"/>
          <w:b/>
          <w:bCs/>
        </w:rPr>
        <w:t>.2</w:t>
      </w:r>
      <w:r w:rsidR="00927B10" w:rsidRPr="00415B4C">
        <w:rPr>
          <w:rFonts w:ascii="Arial" w:hAnsi="Arial" w:cs="Arial"/>
          <w:b/>
          <w:bCs/>
        </w:rPr>
        <w:t xml:space="preserve"> </w:t>
      </w:r>
      <w:r w:rsidR="00BB1387" w:rsidRPr="00415B4C">
        <w:rPr>
          <w:rFonts w:ascii="Arial" w:hAnsi="Arial" w:cs="Arial"/>
          <w:b/>
          <w:bCs/>
        </w:rPr>
        <w:t xml:space="preserve">Construction of </w:t>
      </w:r>
      <w:r w:rsidR="00927B10" w:rsidRPr="00415B4C">
        <w:rPr>
          <w:rFonts w:ascii="Arial" w:hAnsi="Arial" w:cs="Arial"/>
          <w:b/>
          <w:bCs/>
        </w:rPr>
        <w:t xml:space="preserve">Sentiment Index </w:t>
      </w:r>
    </w:p>
    <w:p w14:paraId="731C3441" w14:textId="26D828BA" w:rsidR="009370F5" w:rsidRPr="00415B4C" w:rsidRDefault="00140E5F" w:rsidP="003314FB">
      <w:pPr>
        <w:spacing w:after="0" w:line="240" w:lineRule="auto"/>
        <w:jc w:val="both"/>
        <w:rPr>
          <w:rFonts w:ascii="Arial" w:hAnsi="Arial" w:cs="Arial"/>
        </w:rPr>
      </w:pPr>
      <w:r w:rsidRPr="00415B4C">
        <w:rPr>
          <w:rFonts w:ascii="Arial" w:hAnsi="Arial" w:cs="Arial"/>
        </w:rPr>
        <w:lastRenderedPageBreak/>
        <w:t xml:space="preserve">In the present study, the </w:t>
      </w:r>
      <w:r w:rsidR="00C74D5E" w:rsidRPr="00415B4C">
        <w:rPr>
          <w:rFonts w:ascii="Arial" w:hAnsi="Arial" w:cs="Arial"/>
        </w:rPr>
        <w:t>investor sentiment index</w:t>
      </w:r>
      <w:r w:rsidRPr="00415B4C">
        <w:rPr>
          <w:rFonts w:ascii="Arial" w:hAnsi="Arial" w:cs="Arial"/>
        </w:rPr>
        <w:t xml:space="preserve"> is constructed by </w:t>
      </w:r>
      <w:r w:rsidR="00C74D5E" w:rsidRPr="00415B4C">
        <w:rPr>
          <w:rFonts w:ascii="Arial" w:hAnsi="Arial" w:cs="Arial"/>
        </w:rPr>
        <w:t xml:space="preserve">the technique of Principal Component Analysis (PCA). </w:t>
      </w:r>
      <w:r w:rsidR="009370F5" w:rsidRPr="00415B4C">
        <w:rPr>
          <w:rFonts w:ascii="Arial" w:hAnsi="Arial" w:cs="Arial"/>
        </w:rPr>
        <w:t>PCA technique is applied to the proxies</w:t>
      </w:r>
      <w:r w:rsidRPr="00415B4C">
        <w:rPr>
          <w:rFonts w:ascii="Arial" w:hAnsi="Arial" w:cs="Arial"/>
        </w:rPr>
        <w:t xml:space="preserve"> by</w:t>
      </w:r>
      <w:r w:rsidR="009370F5" w:rsidRPr="00415B4C">
        <w:rPr>
          <w:rFonts w:ascii="Arial" w:hAnsi="Arial" w:cs="Arial"/>
        </w:rPr>
        <w:t xml:space="preserve"> (Baker and Wurgler, 2006; Dash and Mahakud, 2012; Pandey and Sehgal, 2019; </w:t>
      </w:r>
      <w:r w:rsidRPr="00415B4C">
        <w:rPr>
          <w:rFonts w:ascii="Arial" w:hAnsi="Arial" w:cs="Arial"/>
        </w:rPr>
        <w:t xml:space="preserve">and </w:t>
      </w:r>
      <w:r w:rsidR="009370F5" w:rsidRPr="00415B4C">
        <w:rPr>
          <w:rFonts w:ascii="Arial" w:hAnsi="Arial" w:cs="Arial"/>
        </w:rPr>
        <w:t>Schmeling, 2009; Stambaugh et al., 2012)</w:t>
      </w:r>
      <w:r w:rsidRPr="00415B4C">
        <w:rPr>
          <w:rFonts w:ascii="Arial" w:hAnsi="Arial" w:cs="Arial"/>
        </w:rPr>
        <w:t xml:space="preserve"> in a similar dataset.</w:t>
      </w:r>
    </w:p>
    <w:p w14:paraId="0323036D" w14:textId="73641FDB" w:rsidR="00E00498" w:rsidRPr="00415B4C" w:rsidRDefault="00492793" w:rsidP="003314FB">
      <w:pPr>
        <w:spacing w:after="0" w:line="240" w:lineRule="auto"/>
        <w:jc w:val="both"/>
        <w:rPr>
          <w:rFonts w:ascii="Arial" w:hAnsi="Arial" w:cs="Arial"/>
        </w:rPr>
      </w:pPr>
      <w:r w:rsidRPr="00415B4C">
        <w:rPr>
          <w:rFonts w:ascii="Arial" w:hAnsi="Arial" w:cs="Arial"/>
        </w:rPr>
        <w:t>Before apply</w:t>
      </w:r>
      <w:r w:rsidR="00E00498" w:rsidRPr="00415B4C">
        <w:rPr>
          <w:rFonts w:ascii="Arial" w:hAnsi="Arial" w:cs="Arial"/>
        </w:rPr>
        <w:t>ing</w:t>
      </w:r>
      <w:r w:rsidRPr="00415B4C">
        <w:rPr>
          <w:rFonts w:ascii="Arial" w:hAnsi="Arial" w:cs="Arial"/>
        </w:rPr>
        <w:t xml:space="preserve"> Principal Component Analysis, </w:t>
      </w:r>
      <w:r w:rsidR="00E00498" w:rsidRPr="00415B4C">
        <w:rPr>
          <w:rFonts w:ascii="Arial" w:hAnsi="Arial" w:cs="Arial"/>
        </w:rPr>
        <w:t>it is necessary to</w:t>
      </w:r>
      <w:r w:rsidRPr="00415B4C">
        <w:rPr>
          <w:rFonts w:ascii="Arial" w:hAnsi="Arial" w:cs="Arial"/>
        </w:rPr>
        <w:t xml:space="preserve"> compute the KMO measure of sampling adequacy and Barlett's test of sphericity to ascertain that the sample is appropriate for the use of principal component analysis. As can be seen in Table </w:t>
      </w:r>
      <w:r w:rsidR="00430A16" w:rsidRPr="00415B4C">
        <w:rPr>
          <w:rFonts w:ascii="Arial" w:hAnsi="Arial" w:cs="Arial"/>
        </w:rPr>
        <w:t>2</w:t>
      </w:r>
      <w:r w:rsidRPr="00415B4C">
        <w:rPr>
          <w:rFonts w:ascii="Arial" w:hAnsi="Arial" w:cs="Arial"/>
        </w:rPr>
        <w:t>, the value of KMO is 0.6</w:t>
      </w:r>
      <w:r w:rsidR="005D4BD3" w:rsidRPr="00415B4C">
        <w:rPr>
          <w:rFonts w:ascii="Arial" w:hAnsi="Arial" w:cs="Arial"/>
        </w:rPr>
        <w:t>0</w:t>
      </w:r>
      <w:r w:rsidRPr="00415B4C">
        <w:rPr>
          <w:rFonts w:ascii="Arial" w:hAnsi="Arial" w:cs="Arial"/>
        </w:rPr>
        <w:t>1, which is higher than 0.6. Furthermore, Barlett's test of sphericity has a significant level of 0.00</w:t>
      </w:r>
      <w:r w:rsidR="00FE0613" w:rsidRPr="00415B4C">
        <w:rPr>
          <w:rFonts w:ascii="Arial" w:hAnsi="Arial" w:cs="Arial"/>
        </w:rPr>
        <w:t>4</w:t>
      </w:r>
      <w:r w:rsidRPr="00415B4C">
        <w:rPr>
          <w:rFonts w:ascii="Arial" w:hAnsi="Arial" w:cs="Arial"/>
        </w:rPr>
        <w:t>, which suggests that the sample size is adequate.</w:t>
      </w:r>
    </w:p>
    <w:p w14:paraId="7BFDF0D2" w14:textId="3929A797" w:rsidR="00430A16" w:rsidRPr="00415B4C" w:rsidRDefault="00430A16" w:rsidP="003314FB">
      <w:pPr>
        <w:spacing w:after="0" w:line="240" w:lineRule="auto"/>
        <w:jc w:val="center"/>
        <w:rPr>
          <w:rFonts w:ascii="Arial" w:hAnsi="Arial" w:cs="Arial"/>
          <w:b/>
          <w:bCs/>
          <w:color w:val="010205"/>
          <w:kern w:val="0"/>
          <w:lang w:bidi="hi-IN"/>
        </w:rPr>
      </w:pPr>
      <w:r w:rsidRPr="00415B4C">
        <w:rPr>
          <w:rFonts w:ascii="Arial" w:hAnsi="Arial" w:cs="Arial"/>
          <w:b/>
          <w:bCs/>
        </w:rPr>
        <w:t xml:space="preserve">Table – </w:t>
      </w:r>
      <w:r w:rsidR="00005E60" w:rsidRPr="00415B4C">
        <w:rPr>
          <w:rFonts w:ascii="Arial" w:hAnsi="Arial" w:cs="Arial"/>
          <w:b/>
          <w:bCs/>
        </w:rPr>
        <w:t>2</w:t>
      </w:r>
      <w:r w:rsidRPr="00415B4C">
        <w:rPr>
          <w:rFonts w:ascii="Arial" w:hAnsi="Arial" w:cs="Arial"/>
          <w:b/>
          <w:bCs/>
        </w:rPr>
        <w:t xml:space="preserve"> </w:t>
      </w:r>
      <w:r w:rsidRPr="00415B4C">
        <w:rPr>
          <w:rFonts w:ascii="Arial" w:hAnsi="Arial" w:cs="Arial"/>
          <w:b/>
          <w:bCs/>
          <w:color w:val="010205"/>
          <w:kern w:val="0"/>
          <w:lang w:bidi="hi-IN"/>
        </w:rPr>
        <w:t>KMO and Bartlett's Test</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079"/>
        <w:gridCol w:w="3718"/>
        <w:gridCol w:w="1839"/>
      </w:tblGrid>
      <w:tr w:rsidR="00BE1A74" w:rsidRPr="00415B4C" w14:paraId="72660763" w14:textId="1B8CEA31" w:rsidTr="00BE1A74">
        <w:trPr>
          <w:trHeight w:val="405"/>
        </w:trPr>
        <w:tc>
          <w:tcPr>
            <w:tcW w:w="7797" w:type="dxa"/>
            <w:gridSpan w:val="2"/>
            <w:tcBorders>
              <w:top w:val="single" w:sz="4" w:space="0" w:color="auto"/>
              <w:bottom w:val="single" w:sz="4" w:space="0" w:color="auto"/>
              <w:right w:val="single" w:sz="4" w:space="0" w:color="auto"/>
            </w:tcBorders>
          </w:tcPr>
          <w:p w14:paraId="6C757DBF" w14:textId="1A997F8B" w:rsidR="00BE1A74" w:rsidRPr="00415B4C" w:rsidRDefault="00BE1A74" w:rsidP="003314FB">
            <w:pPr>
              <w:autoSpaceDE w:val="0"/>
              <w:autoSpaceDN w:val="0"/>
              <w:adjustRightInd w:val="0"/>
              <w:ind w:left="60" w:right="60"/>
              <w:jc w:val="center"/>
              <w:rPr>
                <w:rFonts w:ascii="Arial" w:hAnsi="Arial" w:cs="Arial"/>
                <w:b/>
                <w:bCs/>
                <w:kern w:val="0"/>
                <w:lang w:bidi="hi-IN"/>
              </w:rPr>
            </w:pPr>
            <w:r>
              <w:rPr>
                <w:rFonts w:ascii="Arial" w:hAnsi="Arial" w:cs="Arial"/>
                <w:b/>
                <w:bCs/>
                <w:kern w:val="0"/>
                <w:lang w:bidi="hi-IN"/>
              </w:rPr>
              <w:t>Particulars</w:t>
            </w:r>
          </w:p>
        </w:tc>
        <w:tc>
          <w:tcPr>
            <w:tcW w:w="1839" w:type="dxa"/>
            <w:tcBorders>
              <w:top w:val="single" w:sz="4" w:space="0" w:color="auto"/>
              <w:left w:val="single" w:sz="4" w:space="0" w:color="auto"/>
              <w:bottom w:val="single" w:sz="4" w:space="0" w:color="auto"/>
            </w:tcBorders>
          </w:tcPr>
          <w:p w14:paraId="08010F3A" w14:textId="55AB6080" w:rsidR="00BE1A74" w:rsidRPr="00415B4C" w:rsidRDefault="00BE1A74" w:rsidP="003314FB">
            <w:pPr>
              <w:autoSpaceDE w:val="0"/>
              <w:autoSpaceDN w:val="0"/>
              <w:adjustRightInd w:val="0"/>
              <w:ind w:left="60" w:right="60"/>
              <w:jc w:val="center"/>
              <w:rPr>
                <w:rFonts w:ascii="Arial" w:hAnsi="Arial" w:cs="Arial"/>
                <w:b/>
                <w:bCs/>
                <w:kern w:val="0"/>
                <w:lang w:bidi="hi-IN"/>
              </w:rPr>
            </w:pPr>
            <w:r>
              <w:rPr>
                <w:rFonts w:ascii="Arial" w:hAnsi="Arial" w:cs="Arial"/>
                <w:b/>
                <w:bCs/>
                <w:kern w:val="0"/>
                <w:lang w:bidi="hi-IN"/>
              </w:rPr>
              <w:t>Value</w:t>
            </w:r>
          </w:p>
        </w:tc>
      </w:tr>
      <w:tr w:rsidR="00F12EEF" w:rsidRPr="00415B4C" w14:paraId="2ADAA511" w14:textId="77777777" w:rsidTr="00BE1A74">
        <w:trPr>
          <w:trHeight w:val="405"/>
        </w:trPr>
        <w:tc>
          <w:tcPr>
            <w:tcW w:w="7797" w:type="dxa"/>
            <w:gridSpan w:val="2"/>
            <w:tcBorders>
              <w:top w:val="single" w:sz="4" w:space="0" w:color="auto"/>
              <w:right w:val="single" w:sz="4" w:space="0" w:color="auto"/>
            </w:tcBorders>
          </w:tcPr>
          <w:p w14:paraId="4F365CAC" w14:textId="2AE11B25" w:rsidR="008A7C7F" w:rsidRPr="00415B4C" w:rsidRDefault="008A7C7F" w:rsidP="003314FB">
            <w:pPr>
              <w:autoSpaceDE w:val="0"/>
              <w:autoSpaceDN w:val="0"/>
              <w:adjustRightInd w:val="0"/>
              <w:ind w:left="60" w:right="60"/>
              <w:rPr>
                <w:rFonts w:ascii="Arial" w:hAnsi="Arial" w:cs="Arial"/>
                <w:kern w:val="0"/>
                <w:lang w:bidi="hi-IN"/>
              </w:rPr>
            </w:pPr>
            <w:r w:rsidRPr="00415B4C">
              <w:rPr>
                <w:rFonts w:ascii="Arial" w:hAnsi="Arial" w:cs="Arial"/>
                <w:kern w:val="0"/>
                <w:lang w:bidi="hi-IN"/>
              </w:rPr>
              <w:t>Kaiser-Meyer-Olkin Measure of Sampling Adequacy</w:t>
            </w:r>
          </w:p>
        </w:tc>
        <w:tc>
          <w:tcPr>
            <w:tcW w:w="1839" w:type="dxa"/>
            <w:tcBorders>
              <w:top w:val="single" w:sz="4" w:space="0" w:color="auto"/>
              <w:left w:val="single" w:sz="4" w:space="0" w:color="auto"/>
            </w:tcBorders>
          </w:tcPr>
          <w:p w14:paraId="738E0820"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.601</w:t>
            </w:r>
          </w:p>
        </w:tc>
      </w:tr>
      <w:tr w:rsidR="00F12EEF" w:rsidRPr="00415B4C" w14:paraId="4C8E4F7D" w14:textId="77777777" w:rsidTr="00BE1A74">
        <w:trPr>
          <w:trHeight w:val="392"/>
        </w:trPr>
        <w:tc>
          <w:tcPr>
            <w:tcW w:w="4079" w:type="dxa"/>
          </w:tcPr>
          <w:p w14:paraId="20FB5751" w14:textId="77777777" w:rsidR="008A7C7F" w:rsidRPr="00415B4C" w:rsidRDefault="008A7C7F" w:rsidP="003314FB">
            <w:pPr>
              <w:autoSpaceDE w:val="0"/>
              <w:autoSpaceDN w:val="0"/>
              <w:adjustRightInd w:val="0"/>
              <w:ind w:left="60" w:right="60"/>
              <w:rPr>
                <w:rFonts w:ascii="Arial" w:hAnsi="Arial" w:cs="Arial"/>
                <w:kern w:val="0"/>
                <w:lang w:bidi="hi-IN"/>
              </w:rPr>
            </w:pPr>
            <w:r w:rsidRPr="00415B4C">
              <w:rPr>
                <w:rFonts w:ascii="Arial" w:hAnsi="Arial" w:cs="Arial"/>
                <w:kern w:val="0"/>
                <w:lang w:bidi="hi-IN"/>
              </w:rPr>
              <w:t>Bartlett's Test of Sphericity</w:t>
            </w:r>
          </w:p>
        </w:tc>
        <w:tc>
          <w:tcPr>
            <w:tcW w:w="3718" w:type="dxa"/>
            <w:tcBorders>
              <w:right w:val="single" w:sz="4" w:space="0" w:color="auto"/>
            </w:tcBorders>
          </w:tcPr>
          <w:p w14:paraId="6551859B"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Approx. Chi-Square</w:t>
            </w:r>
          </w:p>
        </w:tc>
        <w:tc>
          <w:tcPr>
            <w:tcW w:w="1839" w:type="dxa"/>
            <w:tcBorders>
              <w:left w:val="single" w:sz="4" w:space="0" w:color="auto"/>
            </w:tcBorders>
          </w:tcPr>
          <w:p w14:paraId="037F7A95"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41.954</w:t>
            </w:r>
          </w:p>
        </w:tc>
      </w:tr>
      <w:tr w:rsidR="00F12EEF" w:rsidRPr="00415B4C" w14:paraId="70A7406C" w14:textId="77777777" w:rsidTr="00BE1A74">
        <w:trPr>
          <w:trHeight w:val="181"/>
        </w:trPr>
        <w:tc>
          <w:tcPr>
            <w:tcW w:w="4079" w:type="dxa"/>
          </w:tcPr>
          <w:p w14:paraId="0A8C5271" w14:textId="77777777" w:rsidR="008A7C7F" w:rsidRPr="00415B4C" w:rsidRDefault="008A7C7F" w:rsidP="003314FB">
            <w:pPr>
              <w:autoSpaceDE w:val="0"/>
              <w:autoSpaceDN w:val="0"/>
              <w:adjustRightInd w:val="0"/>
              <w:jc w:val="center"/>
              <w:rPr>
                <w:rFonts w:ascii="Arial" w:hAnsi="Arial" w:cs="Arial"/>
                <w:kern w:val="0"/>
                <w:lang w:bidi="hi-IN"/>
              </w:rPr>
            </w:pPr>
          </w:p>
        </w:tc>
        <w:tc>
          <w:tcPr>
            <w:tcW w:w="3718" w:type="dxa"/>
            <w:tcBorders>
              <w:right w:val="single" w:sz="4" w:space="0" w:color="auto"/>
            </w:tcBorders>
          </w:tcPr>
          <w:p w14:paraId="44437F55"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df</w:t>
            </w:r>
          </w:p>
        </w:tc>
        <w:tc>
          <w:tcPr>
            <w:tcW w:w="1839" w:type="dxa"/>
            <w:tcBorders>
              <w:left w:val="single" w:sz="4" w:space="0" w:color="auto"/>
            </w:tcBorders>
          </w:tcPr>
          <w:p w14:paraId="6C78C840"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21</w:t>
            </w:r>
          </w:p>
        </w:tc>
      </w:tr>
      <w:tr w:rsidR="00F12EEF" w:rsidRPr="00415B4C" w14:paraId="3058223D" w14:textId="77777777" w:rsidTr="00BE1A74">
        <w:trPr>
          <w:trHeight w:val="181"/>
        </w:trPr>
        <w:tc>
          <w:tcPr>
            <w:tcW w:w="4079" w:type="dxa"/>
            <w:tcBorders>
              <w:bottom w:val="single" w:sz="4" w:space="0" w:color="auto"/>
            </w:tcBorders>
          </w:tcPr>
          <w:p w14:paraId="5B5F7521" w14:textId="77777777" w:rsidR="008A7C7F" w:rsidRPr="00415B4C" w:rsidRDefault="008A7C7F" w:rsidP="003314FB">
            <w:pPr>
              <w:autoSpaceDE w:val="0"/>
              <w:autoSpaceDN w:val="0"/>
              <w:adjustRightInd w:val="0"/>
              <w:jc w:val="center"/>
              <w:rPr>
                <w:rFonts w:ascii="Arial" w:hAnsi="Arial" w:cs="Arial"/>
                <w:kern w:val="0"/>
                <w:lang w:bidi="hi-IN"/>
              </w:rPr>
            </w:pPr>
          </w:p>
        </w:tc>
        <w:tc>
          <w:tcPr>
            <w:tcW w:w="3718" w:type="dxa"/>
            <w:tcBorders>
              <w:bottom w:val="single" w:sz="4" w:space="0" w:color="auto"/>
              <w:right w:val="single" w:sz="4" w:space="0" w:color="auto"/>
            </w:tcBorders>
          </w:tcPr>
          <w:p w14:paraId="781D639A"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Sig.</w:t>
            </w:r>
          </w:p>
        </w:tc>
        <w:tc>
          <w:tcPr>
            <w:tcW w:w="1839" w:type="dxa"/>
            <w:tcBorders>
              <w:left w:val="single" w:sz="4" w:space="0" w:color="auto"/>
              <w:bottom w:val="single" w:sz="4" w:space="0" w:color="auto"/>
            </w:tcBorders>
          </w:tcPr>
          <w:p w14:paraId="1A830B60" w14:textId="1EDE98A8" w:rsidR="008A7C7F" w:rsidRPr="00415B4C" w:rsidRDefault="005D4BD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w:t>
            </w:r>
            <w:r w:rsidR="008A7C7F" w:rsidRPr="00415B4C">
              <w:rPr>
                <w:rFonts w:ascii="Arial" w:hAnsi="Arial" w:cs="Arial"/>
                <w:kern w:val="0"/>
                <w:lang w:bidi="hi-IN"/>
              </w:rPr>
              <w:t>.004</w:t>
            </w:r>
          </w:p>
        </w:tc>
      </w:tr>
    </w:tbl>
    <w:p w14:paraId="788975CC" w14:textId="77777777" w:rsidR="00897151" w:rsidRPr="00415B4C" w:rsidRDefault="00897151" w:rsidP="003314FB">
      <w:pPr>
        <w:spacing w:after="0" w:line="240" w:lineRule="auto"/>
        <w:rPr>
          <w:rFonts w:ascii="Arial" w:hAnsi="Arial" w:cs="Arial"/>
          <w:b/>
          <w:bCs/>
        </w:rPr>
      </w:pPr>
    </w:p>
    <w:p w14:paraId="2A66E313" w14:textId="0E0F12F7" w:rsidR="009370F5" w:rsidRPr="00415B4C" w:rsidRDefault="00FE0613" w:rsidP="003314FB">
      <w:pPr>
        <w:spacing w:after="0" w:line="240" w:lineRule="auto"/>
        <w:jc w:val="center"/>
        <w:rPr>
          <w:rFonts w:ascii="Arial" w:hAnsi="Arial" w:cs="Arial"/>
          <w:b/>
          <w:bCs/>
          <w:color w:val="010205"/>
          <w:kern w:val="0"/>
          <w:lang w:bidi="hi-IN"/>
        </w:rPr>
      </w:pPr>
      <w:r w:rsidRPr="00415B4C">
        <w:rPr>
          <w:rFonts w:ascii="Arial" w:hAnsi="Arial" w:cs="Arial"/>
          <w:b/>
          <w:bCs/>
        </w:rPr>
        <w:t>Table 3</w:t>
      </w:r>
      <w:r w:rsidR="00306D5F" w:rsidRPr="00415B4C">
        <w:rPr>
          <w:rFonts w:ascii="Arial" w:hAnsi="Arial" w:cs="Arial"/>
          <w:b/>
          <w:bCs/>
          <w:color w:val="010205"/>
          <w:kern w:val="0"/>
          <w:lang w:bidi="hi-IN"/>
        </w:rPr>
        <w:t xml:space="preserve"> Variance Explained by Principal Component Analysis</w:t>
      </w:r>
    </w:p>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29"/>
        <w:gridCol w:w="993"/>
        <w:gridCol w:w="1842"/>
        <w:gridCol w:w="1843"/>
        <w:gridCol w:w="1134"/>
        <w:gridCol w:w="1843"/>
        <w:gridCol w:w="1984"/>
      </w:tblGrid>
      <w:tr w:rsidR="00F12EEF" w:rsidRPr="00415B4C" w14:paraId="1B4E76A0" w14:textId="77777777" w:rsidTr="00BE1A74">
        <w:trPr>
          <w:trHeight w:val="328"/>
        </w:trPr>
        <w:tc>
          <w:tcPr>
            <w:tcW w:w="1129" w:type="dxa"/>
            <w:vMerge w:val="restart"/>
            <w:tcBorders>
              <w:top w:val="single" w:sz="4" w:space="0" w:color="auto"/>
            </w:tcBorders>
          </w:tcPr>
          <w:p w14:paraId="25C1E18C" w14:textId="3EEF67F0"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Component</w:t>
            </w:r>
            <w:r w:rsidR="008418B4" w:rsidRPr="00415B4C">
              <w:rPr>
                <w:rFonts w:ascii="Arial" w:hAnsi="Arial" w:cs="Arial"/>
                <w:b/>
                <w:bCs/>
                <w:kern w:val="0"/>
                <w:lang w:bidi="hi-IN"/>
              </w:rPr>
              <w:t>s</w:t>
            </w:r>
          </w:p>
        </w:tc>
        <w:tc>
          <w:tcPr>
            <w:tcW w:w="4678" w:type="dxa"/>
            <w:gridSpan w:val="3"/>
            <w:tcBorders>
              <w:top w:val="single" w:sz="4" w:space="0" w:color="auto"/>
              <w:bottom w:val="single" w:sz="4" w:space="0" w:color="auto"/>
            </w:tcBorders>
          </w:tcPr>
          <w:p w14:paraId="19F68FA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Initial Eigenvalues</w:t>
            </w:r>
          </w:p>
        </w:tc>
        <w:tc>
          <w:tcPr>
            <w:tcW w:w="4961" w:type="dxa"/>
            <w:gridSpan w:val="3"/>
            <w:tcBorders>
              <w:top w:val="single" w:sz="4" w:space="0" w:color="auto"/>
              <w:bottom w:val="single" w:sz="4" w:space="0" w:color="auto"/>
            </w:tcBorders>
          </w:tcPr>
          <w:p w14:paraId="22F2B531" w14:textId="28382CD1"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Sums of Squared Loadings</w:t>
            </w:r>
          </w:p>
        </w:tc>
      </w:tr>
      <w:tr w:rsidR="00F12EEF" w:rsidRPr="00415B4C" w14:paraId="1D0F8C5A" w14:textId="77777777" w:rsidTr="00BE1A74">
        <w:trPr>
          <w:trHeight w:val="146"/>
        </w:trPr>
        <w:tc>
          <w:tcPr>
            <w:tcW w:w="1129" w:type="dxa"/>
            <w:vMerge/>
            <w:tcBorders>
              <w:bottom w:val="single" w:sz="4" w:space="0" w:color="auto"/>
            </w:tcBorders>
          </w:tcPr>
          <w:p w14:paraId="2C298FE0" w14:textId="77777777" w:rsidR="00F36C03" w:rsidRPr="00415B4C" w:rsidRDefault="00F36C03" w:rsidP="003314FB">
            <w:pPr>
              <w:autoSpaceDE w:val="0"/>
              <w:autoSpaceDN w:val="0"/>
              <w:adjustRightInd w:val="0"/>
              <w:jc w:val="center"/>
              <w:rPr>
                <w:rFonts w:ascii="Arial" w:hAnsi="Arial" w:cs="Arial"/>
                <w:b/>
                <w:bCs/>
                <w:kern w:val="0"/>
                <w:lang w:bidi="hi-IN"/>
              </w:rPr>
            </w:pPr>
          </w:p>
        </w:tc>
        <w:tc>
          <w:tcPr>
            <w:tcW w:w="993" w:type="dxa"/>
            <w:tcBorders>
              <w:top w:val="single" w:sz="4" w:space="0" w:color="auto"/>
              <w:bottom w:val="single" w:sz="4" w:space="0" w:color="auto"/>
            </w:tcBorders>
          </w:tcPr>
          <w:p w14:paraId="51813D3F"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Total</w:t>
            </w:r>
          </w:p>
        </w:tc>
        <w:tc>
          <w:tcPr>
            <w:tcW w:w="1842" w:type="dxa"/>
            <w:tcBorders>
              <w:top w:val="single" w:sz="4" w:space="0" w:color="auto"/>
              <w:bottom w:val="single" w:sz="4" w:space="0" w:color="auto"/>
            </w:tcBorders>
          </w:tcPr>
          <w:p w14:paraId="66176E8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 of Variance</w:t>
            </w:r>
          </w:p>
        </w:tc>
        <w:tc>
          <w:tcPr>
            <w:tcW w:w="1843" w:type="dxa"/>
            <w:tcBorders>
              <w:top w:val="single" w:sz="4" w:space="0" w:color="auto"/>
              <w:bottom w:val="single" w:sz="4" w:space="0" w:color="auto"/>
            </w:tcBorders>
          </w:tcPr>
          <w:p w14:paraId="2BF9212B"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Cumulative %</w:t>
            </w:r>
          </w:p>
        </w:tc>
        <w:tc>
          <w:tcPr>
            <w:tcW w:w="1134" w:type="dxa"/>
            <w:tcBorders>
              <w:top w:val="single" w:sz="4" w:space="0" w:color="auto"/>
              <w:bottom w:val="single" w:sz="4" w:space="0" w:color="auto"/>
            </w:tcBorders>
          </w:tcPr>
          <w:p w14:paraId="0F7A3176"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Total</w:t>
            </w:r>
          </w:p>
        </w:tc>
        <w:tc>
          <w:tcPr>
            <w:tcW w:w="1843" w:type="dxa"/>
            <w:tcBorders>
              <w:top w:val="single" w:sz="4" w:space="0" w:color="auto"/>
              <w:bottom w:val="single" w:sz="4" w:space="0" w:color="auto"/>
            </w:tcBorders>
          </w:tcPr>
          <w:p w14:paraId="5DC8303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 of Variance</w:t>
            </w:r>
          </w:p>
        </w:tc>
        <w:tc>
          <w:tcPr>
            <w:tcW w:w="1984" w:type="dxa"/>
            <w:tcBorders>
              <w:top w:val="single" w:sz="4" w:space="0" w:color="auto"/>
              <w:bottom w:val="single" w:sz="4" w:space="0" w:color="auto"/>
            </w:tcBorders>
          </w:tcPr>
          <w:p w14:paraId="63EF9316" w14:textId="71D257BC"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Cumulative</w:t>
            </w:r>
            <w:r w:rsidR="00113A3B" w:rsidRPr="00415B4C">
              <w:rPr>
                <w:rFonts w:ascii="Arial" w:hAnsi="Arial" w:cs="Arial"/>
                <w:b/>
                <w:bCs/>
                <w:kern w:val="0"/>
                <w:lang w:bidi="hi-IN"/>
              </w:rPr>
              <w:t xml:space="preserve"> </w:t>
            </w:r>
            <w:r w:rsidRPr="00415B4C">
              <w:rPr>
                <w:rFonts w:ascii="Arial" w:hAnsi="Arial" w:cs="Arial"/>
                <w:b/>
                <w:bCs/>
                <w:kern w:val="0"/>
                <w:lang w:bidi="hi-IN"/>
              </w:rPr>
              <w:t>%</w:t>
            </w:r>
          </w:p>
        </w:tc>
      </w:tr>
      <w:tr w:rsidR="00F12EEF" w:rsidRPr="00415B4C" w14:paraId="7325094D" w14:textId="77777777" w:rsidTr="00BE1A74">
        <w:trPr>
          <w:trHeight w:val="328"/>
        </w:trPr>
        <w:tc>
          <w:tcPr>
            <w:tcW w:w="1129" w:type="dxa"/>
            <w:tcBorders>
              <w:top w:val="single" w:sz="4" w:space="0" w:color="auto"/>
            </w:tcBorders>
          </w:tcPr>
          <w:p w14:paraId="788829B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w:t>
            </w:r>
          </w:p>
        </w:tc>
        <w:tc>
          <w:tcPr>
            <w:tcW w:w="993" w:type="dxa"/>
            <w:tcBorders>
              <w:top w:val="single" w:sz="4" w:space="0" w:color="auto"/>
            </w:tcBorders>
          </w:tcPr>
          <w:p w14:paraId="1AB452B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3.477</w:t>
            </w:r>
          </w:p>
        </w:tc>
        <w:tc>
          <w:tcPr>
            <w:tcW w:w="1842" w:type="dxa"/>
            <w:tcBorders>
              <w:top w:val="single" w:sz="4" w:space="0" w:color="auto"/>
            </w:tcBorders>
          </w:tcPr>
          <w:p w14:paraId="12D59058"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843" w:type="dxa"/>
            <w:tcBorders>
              <w:top w:val="single" w:sz="4" w:space="0" w:color="auto"/>
            </w:tcBorders>
          </w:tcPr>
          <w:p w14:paraId="260F485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134" w:type="dxa"/>
            <w:tcBorders>
              <w:top w:val="single" w:sz="4" w:space="0" w:color="auto"/>
            </w:tcBorders>
          </w:tcPr>
          <w:p w14:paraId="33576A0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3.477</w:t>
            </w:r>
          </w:p>
        </w:tc>
        <w:tc>
          <w:tcPr>
            <w:tcW w:w="1843" w:type="dxa"/>
            <w:tcBorders>
              <w:top w:val="single" w:sz="4" w:space="0" w:color="auto"/>
            </w:tcBorders>
          </w:tcPr>
          <w:p w14:paraId="3B8A82E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984" w:type="dxa"/>
            <w:tcBorders>
              <w:top w:val="single" w:sz="4" w:space="0" w:color="auto"/>
            </w:tcBorders>
          </w:tcPr>
          <w:p w14:paraId="4BCBB56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r>
      <w:tr w:rsidR="00F12EEF" w:rsidRPr="00415B4C" w14:paraId="25BFEC64" w14:textId="77777777" w:rsidTr="00BE1A74">
        <w:trPr>
          <w:trHeight w:val="328"/>
        </w:trPr>
        <w:tc>
          <w:tcPr>
            <w:tcW w:w="1129" w:type="dxa"/>
          </w:tcPr>
          <w:p w14:paraId="6EE2C0C9"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w:t>
            </w:r>
          </w:p>
        </w:tc>
        <w:tc>
          <w:tcPr>
            <w:tcW w:w="993" w:type="dxa"/>
          </w:tcPr>
          <w:p w14:paraId="0C0ADBE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1.632</w:t>
            </w:r>
          </w:p>
        </w:tc>
        <w:tc>
          <w:tcPr>
            <w:tcW w:w="1842" w:type="dxa"/>
          </w:tcPr>
          <w:p w14:paraId="17A3E52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23.311</w:t>
            </w:r>
          </w:p>
        </w:tc>
        <w:tc>
          <w:tcPr>
            <w:tcW w:w="1843" w:type="dxa"/>
          </w:tcPr>
          <w:p w14:paraId="059A9250"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72.988</w:t>
            </w:r>
          </w:p>
        </w:tc>
        <w:tc>
          <w:tcPr>
            <w:tcW w:w="1134" w:type="dxa"/>
          </w:tcPr>
          <w:p w14:paraId="15EBC0AF"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1.632</w:t>
            </w:r>
          </w:p>
        </w:tc>
        <w:tc>
          <w:tcPr>
            <w:tcW w:w="1843" w:type="dxa"/>
          </w:tcPr>
          <w:p w14:paraId="104BC73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23.311</w:t>
            </w:r>
          </w:p>
        </w:tc>
        <w:tc>
          <w:tcPr>
            <w:tcW w:w="1984" w:type="dxa"/>
          </w:tcPr>
          <w:p w14:paraId="4625D04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72.988</w:t>
            </w:r>
          </w:p>
        </w:tc>
      </w:tr>
      <w:tr w:rsidR="00F12EEF" w:rsidRPr="00415B4C" w14:paraId="4AD8A80F" w14:textId="77777777" w:rsidTr="00BE1A74">
        <w:trPr>
          <w:trHeight w:val="328"/>
        </w:trPr>
        <w:tc>
          <w:tcPr>
            <w:tcW w:w="1129" w:type="dxa"/>
          </w:tcPr>
          <w:p w14:paraId="4EDC746C"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w:t>
            </w:r>
          </w:p>
        </w:tc>
        <w:tc>
          <w:tcPr>
            <w:tcW w:w="993" w:type="dxa"/>
          </w:tcPr>
          <w:p w14:paraId="7A6B20A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1.161</w:t>
            </w:r>
          </w:p>
        </w:tc>
        <w:tc>
          <w:tcPr>
            <w:tcW w:w="1842" w:type="dxa"/>
          </w:tcPr>
          <w:p w14:paraId="7ACFD90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16.590</w:t>
            </w:r>
          </w:p>
        </w:tc>
        <w:tc>
          <w:tcPr>
            <w:tcW w:w="1843" w:type="dxa"/>
          </w:tcPr>
          <w:p w14:paraId="12C64DF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89.578</w:t>
            </w:r>
          </w:p>
        </w:tc>
        <w:tc>
          <w:tcPr>
            <w:tcW w:w="1134" w:type="dxa"/>
          </w:tcPr>
          <w:p w14:paraId="5CA8F36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1.161</w:t>
            </w:r>
          </w:p>
        </w:tc>
        <w:tc>
          <w:tcPr>
            <w:tcW w:w="1843" w:type="dxa"/>
          </w:tcPr>
          <w:p w14:paraId="588DF8D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16.590</w:t>
            </w:r>
          </w:p>
        </w:tc>
        <w:tc>
          <w:tcPr>
            <w:tcW w:w="1984" w:type="dxa"/>
          </w:tcPr>
          <w:p w14:paraId="598FAB0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89.578</w:t>
            </w:r>
          </w:p>
        </w:tc>
      </w:tr>
      <w:tr w:rsidR="00F12EEF" w:rsidRPr="00415B4C" w14:paraId="4E926B6E" w14:textId="77777777" w:rsidTr="00BE1A74">
        <w:trPr>
          <w:trHeight w:val="318"/>
        </w:trPr>
        <w:tc>
          <w:tcPr>
            <w:tcW w:w="1129" w:type="dxa"/>
          </w:tcPr>
          <w:p w14:paraId="74B4306C"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w:t>
            </w:r>
          </w:p>
        </w:tc>
        <w:tc>
          <w:tcPr>
            <w:tcW w:w="993" w:type="dxa"/>
          </w:tcPr>
          <w:p w14:paraId="3FB28B6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.438</w:t>
            </w:r>
          </w:p>
        </w:tc>
        <w:tc>
          <w:tcPr>
            <w:tcW w:w="1842" w:type="dxa"/>
          </w:tcPr>
          <w:p w14:paraId="3F9BDFE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6.256</w:t>
            </w:r>
          </w:p>
        </w:tc>
        <w:tc>
          <w:tcPr>
            <w:tcW w:w="1843" w:type="dxa"/>
          </w:tcPr>
          <w:p w14:paraId="59E8FB0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95.835</w:t>
            </w:r>
          </w:p>
        </w:tc>
        <w:tc>
          <w:tcPr>
            <w:tcW w:w="1134" w:type="dxa"/>
          </w:tcPr>
          <w:p w14:paraId="59F232A6"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3B8DE99D"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4E4807AC"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085FB021" w14:textId="77777777" w:rsidTr="00BE1A74">
        <w:trPr>
          <w:trHeight w:val="328"/>
        </w:trPr>
        <w:tc>
          <w:tcPr>
            <w:tcW w:w="1129" w:type="dxa"/>
          </w:tcPr>
          <w:p w14:paraId="62302B2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5</w:t>
            </w:r>
          </w:p>
        </w:tc>
        <w:tc>
          <w:tcPr>
            <w:tcW w:w="993" w:type="dxa"/>
          </w:tcPr>
          <w:p w14:paraId="6CF39ED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.150</w:t>
            </w:r>
          </w:p>
        </w:tc>
        <w:tc>
          <w:tcPr>
            <w:tcW w:w="1842" w:type="dxa"/>
          </w:tcPr>
          <w:p w14:paraId="5920FEEF"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2.149</w:t>
            </w:r>
          </w:p>
        </w:tc>
        <w:tc>
          <w:tcPr>
            <w:tcW w:w="1843" w:type="dxa"/>
          </w:tcPr>
          <w:p w14:paraId="61E1017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97.983</w:t>
            </w:r>
          </w:p>
        </w:tc>
        <w:tc>
          <w:tcPr>
            <w:tcW w:w="1134" w:type="dxa"/>
          </w:tcPr>
          <w:p w14:paraId="10015E77"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1F91ABDC"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327AEC57"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752EF6AD" w14:textId="77777777" w:rsidTr="00BE1A74">
        <w:trPr>
          <w:trHeight w:val="328"/>
        </w:trPr>
        <w:tc>
          <w:tcPr>
            <w:tcW w:w="1129" w:type="dxa"/>
          </w:tcPr>
          <w:p w14:paraId="59F4A20D"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w:t>
            </w:r>
          </w:p>
        </w:tc>
        <w:tc>
          <w:tcPr>
            <w:tcW w:w="993" w:type="dxa"/>
          </w:tcPr>
          <w:p w14:paraId="18F9B22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.075</w:t>
            </w:r>
          </w:p>
        </w:tc>
        <w:tc>
          <w:tcPr>
            <w:tcW w:w="1842" w:type="dxa"/>
          </w:tcPr>
          <w:p w14:paraId="3E353FF0"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1.065</w:t>
            </w:r>
          </w:p>
        </w:tc>
        <w:tc>
          <w:tcPr>
            <w:tcW w:w="1843" w:type="dxa"/>
          </w:tcPr>
          <w:p w14:paraId="1BE2C0F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99.048</w:t>
            </w:r>
          </w:p>
        </w:tc>
        <w:tc>
          <w:tcPr>
            <w:tcW w:w="1134" w:type="dxa"/>
          </w:tcPr>
          <w:p w14:paraId="65128BD7"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138BA075"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6E976AD0"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06518ECA" w14:textId="77777777" w:rsidTr="00BE1A74">
        <w:trPr>
          <w:trHeight w:val="328"/>
        </w:trPr>
        <w:tc>
          <w:tcPr>
            <w:tcW w:w="1129" w:type="dxa"/>
            <w:tcBorders>
              <w:bottom w:val="single" w:sz="4" w:space="0" w:color="auto"/>
            </w:tcBorders>
          </w:tcPr>
          <w:p w14:paraId="25BA2FD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w:t>
            </w:r>
          </w:p>
        </w:tc>
        <w:tc>
          <w:tcPr>
            <w:tcW w:w="993" w:type="dxa"/>
            <w:tcBorders>
              <w:bottom w:val="single" w:sz="4" w:space="0" w:color="auto"/>
            </w:tcBorders>
          </w:tcPr>
          <w:p w14:paraId="72CA925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.067</w:t>
            </w:r>
          </w:p>
        </w:tc>
        <w:tc>
          <w:tcPr>
            <w:tcW w:w="1842" w:type="dxa"/>
            <w:tcBorders>
              <w:bottom w:val="single" w:sz="4" w:space="0" w:color="auto"/>
            </w:tcBorders>
          </w:tcPr>
          <w:p w14:paraId="605CECC5"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.952</w:t>
            </w:r>
          </w:p>
        </w:tc>
        <w:tc>
          <w:tcPr>
            <w:tcW w:w="1843" w:type="dxa"/>
            <w:tcBorders>
              <w:bottom w:val="single" w:sz="4" w:space="0" w:color="auto"/>
            </w:tcBorders>
          </w:tcPr>
          <w:p w14:paraId="67F4216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100.000</w:t>
            </w:r>
          </w:p>
        </w:tc>
        <w:tc>
          <w:tcPr>
            <w:tcW w:w="1134" w:type="dxa"/>
            <w:tcBorders>
              <w:bottom w:val="single" w:sz="4" w:space="0" w:color="auto"/>
            </w:tcBorders>
          </w:tcPr>
          <w:p w14:paraId="1BB22C1C"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Borders>
              <w:bottom w:val="single" w:sz="4" w:space="0" w:color="auto"/>
            </w:tcBorders>
          </w:tcPr>
          <w:p w14:paraId="1D52F0C9"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Borders>
              <w:bottom w:val="single" w:sz="4" w:space="0" w:color="auto"/>
            </w:tcBorders>
          </w:tcPr>
          <w:p w14:paraId="11EC14DB" w14:textId="77777777" w:rsidR="00F36C03" w:rsidRPr="00415B4C" w:rsidRDefault="00F36C03" w:rsidP="003314FB">
            <w:pPr>
              <w:autoSpaceDE w:val="0"/>
              <w:autoSpaceDN w:val="0"/>
              <w:adjustRightInd w:val="0"/>
              <w:jc w:val="center"/>
              <w:rPr>
                <w:rFonts w:ascii="Arial" w:hAnsi="Arial" w:cs="Arial"/>
                <w:kern w:val="0"/>
                <w:lang w:bidi="hi-IN"/>
              </w:rPr>
            </w:pPr>
          </w:p>
        </w:tc>
      </w:tr>
    </w:tbl>
    <w:p w14:paraId="4633C559" w14:textId="77777777" w:rsidR="002B6614" w:rsidRPr="00415B4C" w:rsidRDefault="00385199" w:rsidP="003314FB">
      <w:pPr>
        <w:spacing w:after="0" w:line="240" w:lineRule="auto"/>
        <w:rPr>
          <w:rFonts w:ascii="Arial" w:hAnsi="Arial" w:cs="Arial"/>
          <w:kern w:val="0"/>
          <w:lang w:bidi="hi-IN"/>
        </w:rPr>
      </w:pPr>
      <w:r w:rsidRPr="00415B4C">
        <w:rPr>
          <w:rFonts w:ascii="Arial" w:hAnsi="Arial" w:cs="Arial"/>
          <w:kern w:val="0"/>
          <w:lang w:bidi="hi-IN"/>
        </w:rPr>
        <w:t>Extraction Method: Principal Component Analysis.</w:t>
      </w:r>
    </w:p>
    <w:p w14:paraId="37D9CB05" w14:textId="6ECDA08D" w:rsidR="002B6614" w:rsidRPr="00415B4C" w:rsidRDefault="002B6614" w:rsidP="003314FB">
      <w:pPr>
        <w:spacing w:after="0" w:line="240" w:lineRule="auto"/>
        <w:rPr>
          <w:rFonts w:ascii="Arial" w:hAnsi="Arial" w:cs="Arial"/>
          <w:kern w:val="0"/>
          <w:lang w:bidi="hi-IN"/>
        </w:rPr>
      </w:pPr>
      <w:r w:rsidRPr="00415B4C">
        <w:rPr>
          <w:rFonts w:ascii="Arial" w:hAnsi="Arial" w:cs="Arial"/>
        </w:rPr>
        <w:t>Source: Own Calculations</w:t>
      </w:r>
    </w:p>
    <w:p w14:paraId="033F8DBB" w14:textId="126040FC" w:rsidR="003C4A90" w:rsidRPr="00415B4C" w:rsidRDefault="003C4A90" w:rsidP="003314FB">
      <w:pPr>
        <w:spacing w:after="0" w:line="240" w:lineRule="auto"/>
        <w:jc w:val="both"/>
        <w:rPr>
          <w:rFonts w:ascii="Arial" w:hAnsi="Arial" w:cs="Arial"/>
        </w:rPr>
      </w:pPr>
      <w:r w:rsidRPr="00415B4C">
        <w:rPr>
          <w:rFonts w:ascii="Arial" w:hAnsi="Arial" w:cs="Arial"/>
        </w:rPr>
        <w:t>The total variance explained by the PCA accounts for 89.578%</w:t>
      </w:r>
      <w:r w:rsidR="007B235A" w:rsidRPr="00415B4C">
        <w:rPr>
          <w:rFonts w:ascii="Arial" w:hAnsi="Arial" w:cs="Arial"/>
        </w:rPr>
        <w:t>,</w:t>
      </w:r>
      <w:r w:rsidRPr="00415B4C">
        <w:rPr>
          <w:rFonts w:ascii="Arial" w:hAnsi="Arial" w:cs="Arial"/>
        </w:rPr>
        <w:t xml:space="preserve"> as shown in Table 3. It clearly shows the factors with their eigenvalues and the percentage of variance explained.</w:t>
      </w:r>
      <w:r w:rsidR="00005E60" w:rsidRPr="00415B4C">
        <w:rPr>
          <w:rFonts w:ascii="Arial" w:hAnsi="Arial" w:cs="Arial"/>
        </w:rPr>
        <w:t xml:space="preserve"> The factors having </w:t>
      </w:r>
      <w:r w:rsidRPr="00415B4C">
        <w:rPr>
          <w:rFonts w:ascii="Arial" w:hAnsi="Arial" w:cs="Arial"/>
        </w:rPr>
        <w:t>eigenvalues</w:t>
      </w:r>
      <w:r w:rsidR="00005E60" w:rsidRPr="00415B4C">
        <w:rPr>
          <w:rFonts w:ascii="Arial" w:hAnsi="Arial" w:cs="Arial"/>
        </w:rPr>
        <w:t xml:space="preserve"> </w:t>
      </w:r>
      <w:r w:rsidR="007B235A" w:rsidRPr="00415B4C">
        <w:rPr>
          <w:rFonts w:ascii="Arial" w:hAnsi="Arial" w:cs="Arial"/>
        </w:rPr>
        <w:t>greater</w:t>
      </w:r>
      <w:r w:rsidR="00005E60" w:rsidRPr="00415B4C">
        <w:rPr>
          <w:rFonts w:ascii="Arial" w:hAnsi="Arial" w:cs="Arial"/>
        </w:rPr>
        <w:t xml:space="preserve"> than one have been selected for further analysis</w:t>
      </w:r>
      <w:r w:rsidRPr="00415B4C">
        <w:rPr>
          <w:rFonts w:ascii="Arial" w:hAnsi="Arial" w:cs="Arial"/>
        </w:rPr>
        <w:t>. The study uses correlation analysis to select the principal component to use to construct the sentiment index. The correlation analysis between market proxies and components has been performed (Table 4)</w:t>
      </w:r>
      <w:r w:rsidR="00BE1A74">
        <w:rPr>
          <w:rFonts w:ascii="Arial" w:hAnsi="Arial" w:cs="Arial"/>
        </w:rPr>
        <w:t>,</w:t>
      </w:r>
      <w:r w:rsidRPr="00415B4C">
        <w:rPr>
          <w:rFonts w:ascii="Arial" w:hAnsi="Arial" w:cs="Arial"/>
        </w:rPr>
        <w:t xml:space="preserve"> and the component with the highest number of significant correlation values</w:t>
      </w:r>
      <w:r w:rsidR="00BE1A74">
        <w:rPr>
          <w:rFonts w:ascii="Arial" w:hAnsi="Arial" w:cs="Arial"/>
        </w:rPr>
        <w:t>,</w:t>
      </w:r>
      <w:r w:rsidRPr="00415B4C">
        <w:rPr>
          <w:rFonts w:ascii="Arial" w:hAnsi="Arial" w:cs="Arial"/>
        </w:rPr>
        <w:t xml:space="preserve"> namely the principal component (PC1)</w:t>
      </w:r>
      <w:r w:rsidR="00BE1A74">
        <w:rPr>
          <w:rFonts w:ascii="Arial" w:hAnsi="Arial" w:cs="Arial"/>
        </w:rPr>
        <w:t>,</w:t>
      </w:r>
      <w:r w:rsidRPr="00415B4C">
        <w:rPr>
          <w:rFonts w:ascii="Arial" w:hAnsi="Arial" w:cs="Arial"/>
        </w:rPr>
        <w:t xml:space="preserve"> has been used to construct the sentiment index.</w:t>
      </w:r>
    </w:p>
    <w:p w14:paraId="382D0345" w14:textId="685376FC" w:rsidR="003C4A90" w:rsidRPr="00415B4C" w:rsidRDefault="003C4A90" w:rsidP="003314FB">
      <w:pPr>
        <w:spacing w:after="0" w:line="240" w:lineRule="auto"/>
        <w:jc w:val="center"/>
        <w:rPr>
          <w:rFonts w:ascii="Arial" w:hAnsi="Arial" w:cs="Arial"/>
        </w:rPr>
      </w:pPr>
      <w:r w:rsidRPr="00415B4C">
        <w:rPr>
          <w:rFonts w:ascii="Arial" w:hAnsi="Arial" w:cs="Arial"/>
          <w:b/>
          <w:bCs/>
        </w:rPr>
        <w:t>Table 4</w:t>
      </w:r>
      <w:r w:rsidR="00BE1A74">
        <w:rPr>
          <w:rFonts w:ascii="Arial" w:hAnsi="Arial" w:cs="Arial"/>
          <w:b/>
          <w:bCs/>
        </w:rPr>
        <w:t>:</w:t>
      </w:r>
      <w:r w:rsidRPr="00415B4C">
        <w:rPr>
          <w:rFonts w:ascii="Arial" w:hAnsi="Arial" w:cs="Arial"/>
          <w:b/>
          <w:bCs/>
        </w:rPr>
        <w:t xml:space="preserve"> Correlation between principal components (PC) and sentiment proxies</w:t>
      </w:r>
    </w:p>
    <w:tbl>
      <w:tblPr>
        <w:tblStyle w:val="TableGridLight"/>
        <w:tblW w:w="0" w:type="auto"/>
        <w:tblInd w:w="592" w:type="dxa"/>
        <w:tblLook w:val="04A0" w:firstRow="1" w:lastRow="0" w:firstColumn="1" w:lastColumn="0" w:noHBand="0" w:noVBand="1"/>
      </w:tblPr>
      <w:tblGrid>
        <w:gridCol w:w="3648"/>
        <w:gridCol w:w="1900"/>
        <w:gridCol w:w="1599"/>
        <w:gridCol w:w="2149"/>
      </w:tblGrid>
      <w:tr w:rsidR="003C4A90" w:rsidRPr="00415B4C" w14:paraId="63C07869" w14:textId="77777777" w:rsidTr="00BE1A74">
        <w:trPr>
          <w:trHeight w:val="255"/>
        </w:trPr>
        <w:tc>
          <w:tcPr>
            <w:tcW w:w="3648" w:type="dxa"/>
            <w:tcBorders>
              <w:top w:val="single" w:sz="4" w:space="0" w:color="auto"/>
              <w:left w:val="nil"/>
              <w:bottom w:val="single" w:sz="4" w:space="0" w:color="auto"/>
              <w:right w:val="nil"/>
            </w:tcBorders>
          </w:tcPr>
          <w:p w14:paraId="31E33AB9" w14:textId="4FFB4F76" w:rsidR="003C4A90" w:rsidRPr="00415B4C" w:rsidRDefault="00BE1A74" w:rsidP="003314FB">
            <w:pPr>
              <w:jc w:val="center"/>
              <w:rPr>
                <w:rFonts w:ascii="Arial" w:hAnsi="Arial" w:cs="Arial"/>
                <w:b/>
                <w:bCs/>
              </w:rPr>
            </w:pPr>
            <w:r>
              <w:rPr>
                <w:rFonts w:ascii="Arial" w:hAnsi="Arial" w:cs="Arial"/>
                <w:b/>
                <w:bCs/>
              </w:rPr>
              <w:t>Particulars</w:t>
            </w:r>
          </w:p>
        </w:tc>
        <w:tc>
          <w:tcPr>
            <w:tcW w:w="1900" w:type="dxa"/>
            <w:tcBorders>
              <w:top w:val="single" w:sz="4" w:space="0" w:color="auto"/>
              <w:left w:val="nil"/>
              <w:bottom w:val="single" w:sz="4" w:space="0" w:color="auto"/>
              <w:right w:val="nil"/>
            </w:tcBorders>
          </w:tcPr>
          <w:p w14:paraId="75508EB7" w14:textId="77777777" w:rsidR="003C4A90" w:rsidRPr="00415B4C" w:rsidRDefault="003C4A90" w:rsidP="003314FB">
            <w:pPr>
              <w:jc w:val="center"/>
              <w:rPr>
                <w:rFonts w:ascii="Arial" w:hAnsi="Arial" w:cs="Arial"/>
                <w:b/>
                <w:bCs/>
              </w:rPr>
            </w:pPr>
            <w:r w:rsidRPr="00415B4C">
              <w:rPr>
                <w:rFonts w:ascii="Arial" w:hAnsi="Arial" w:cs="Arial"/>
                <w:b/>
                <w:bCs/>
              </w:rPr>
              <w:t>PC 1</w:t>
            </w:r>
          </w:p>
        </w:tc>
        <w:tc>
          <w:tcPr>
            <w:tcW w:w="1599" w:type="dxa"/>
            <w:tcBorders>
              <w:top w:val="single" w:sz="4" w:space="0" w:color="auto"/>
              <w:left w:val="nil"/>
              <w:bottom w:val="single" w:sz="4" w:space="0" w:color="auto"/>
              <w:right w:val="nil"/>
            </w:tcBorders>
          </w:tcPr>
          <w:p w14:paraId="2E7FF592" w14:textId="77777777" w:rsidR="003C4A90" w:rsidRPr="00415B4C" w:rsidRDefault="003C4A90" w:rsidP="003314FB">
            <w:pPr>
              <w:jc w:val="center"/>
              <w:rPr>
                <w:rFonts w:ascii="Arial" w:hAnsi="Arial" w:cs="Arial"/>
                <w:b/>
                <w:bCs/>
              </w:rPr>
            </w:pPr>
            <w:r w:rsidRPr="00415B4C">
              <w:rPr>
                <w:rFonts w:ascii="Arial" w:hAnsi="Arial" w:cs="Arial"/>
                <w:b/>
                <w:bCs/>
              </w:rPr>
              <w:t>PC 2</w:t>
            </w:r>
          </w:p>
        </w:tc>
        <w:tc>
          <w:tcPr>
            <w:tcW w:w="2147" w:type="dxa"/>
            <w:tcBorders>
              <w:top w:val="single" w:sz="4" w:space="0" w:color="auto"/>
              <w:left w:val="nil"/>
              <w:bottom w:val="single" w:sz="4" w:space="0" w:color="auto"/>
              <w:right w:val="nil"/>
            </w:tcBorders>
          </w:tcPr>
          <w:p w14:paraId="7DFCBBE0" w14:textId="77777777" w:rsidR="003C4A90" w:rsidRPr="00415B4C" w:rsidRDefault="003C4A90" w:rsidP="003314FB">
            <w:pPr>
              <w:jc w:val="center"/>
              <w:rPr>
                <w:rFonts w:ascii="Arial" w:hAnsi="Arial" w:cs="Arial"/>
                <w:b/>
                <w:bCs/>
              </w:rPr>
            </w:pPr>
            <w:r w:rsidRPr="00415B4C">
              <w:rPr>
                <w:rFonts w:ascii="Arial" w:hAnsi="Arial" w:cs="Arial"/>
                <w:b/>
                <w:bCs/>
              </w:rPr>
              <w:t>PC 3</w:t>
            </w:r>
          </w:p>
        </w:tc>
      </w:tr>
      <w:tr w:rsidR="003C4A90" w:rsidRPr="00415B4C" w14:paraId="474EDFF5" w14:textId="77777777" w:rsidTr="00BE1A74">
        <w:trPr>
          <w:trHeight w:val="266"/>
        </w:trPr>
        <w:tc>
          <w:tcPr>
            <w:tcW w:w="3648" w:type="dxa"/>
            <w:tcBorders>
              <w:top w:val="single" w:sz="4" w:space="0" w:color="auto"/>
              <w:left w:val="nil"/>
              <w:bottom w:val="nil"/>
              <w:right w:val="nil"/>
            </w:tcBorders>
          </w:tcPr>
          <w:p w14:paraId="69D82DAE"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No. of IPOs (NP)</w:t>
            </w:r>
          </w:p>
        </w:tc>
        <w:tc>
          <w:tcPr>
            <w:tcW w:w="1900" w:type="dxa"/>
            <w:tcBorders>
              <w:top w:val="single" w:sz="4" w:space="0" w:color="auto"/>
              <w:left w:val="nil"/>
              <w:bottom w:val="nil"/>
              <w:right w:val="nil"/>
            </w:tcBorders>
          </w:tcPr>
          <w:p w14:paraId="255D6EB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-.942</w:t>
            </w:r>
            <w:r w:rsidRPr="00415B4C">
              <w:rPr>
                <w:rFonts w:ascii="Arial" w:hAnsi="Arial" w:cs="Arial"/>
                <w:color w:val="010205"/>
                <w:kern w:val="0"/>
                <w:vertAlign w:val="superscript"/>
                <w:lang w:bidi="hi-IN"/>
              </w:rPr>
              <w:t>**</w:t>
            </w:r>
          </w:p>
        </w:tc>
        <w:tc>
          <w:tcPr>
            <w:tcW w:w="1599" w:type="dxa"/>
            <w:tcBorders>
              <w:top w:val="single" w:sz="4" w:space="0" w:color="auto"/>
              <w:left w:val="nil"/>
              <w:bottom w:val="nil"/>
              <w:right w:val="nil"/>
            </w:tcBorders>
          </w:tcPr>
          <w:p w14:paraId="0C6E0C2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-.178</w:t>
            </w:r>
          </w:p>
        </w:tc>
        <w:tc>
          <w:tcPr>
            <w:tcW w:w="2147" w:type="dxa"/>
            <w:tcBorders>
              <w:top w:val="single" w:sz="4" w:space="0" w:color="auto"/>
              <w:left w:val="nil"/>
              <w:bottom w:val="nil"/>
              <w:right w:val="nil"/>
            </w:tcBorders>
          </w:tcPr>
          <w:p w14:paraId="74D5C0B5"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-.144</w:t>
            </w:r>
          </w:p>
        </w:tc>
      </w:tr>
      <w:tr w:rsidR="003C4A90" w:rsidRPr="00415B4C" w14:paraId="4202EE10" w14:textId="77777777" w:rsidTr="00BE1A74">
        <w:trPr>
          <w:trHeight w:val="255"/>
        </w:trPr>
        <w:tc>
          <w:tcPr>
            <w:tcW w:w="3648" w:type="dxa"/>
            <w:tcBorders>
              <w:top w:val="nil"/>
              <w:left w:val="nil"/>
              <w:bottom w:val="nil"/>
              <w:right w:val="nil"/>
            </w:tcBorders>
          </w:tcPr>
          <w:p w14:paraId="37F28BC0"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DIV.YIELD (DY)</w:t>
            </w:r>
          </w:p>
        </w:tc>
        <w:tc>
          <w:tcPr>
            <w:tcW w:w="1900" w:type="dxa"/>
            <w:tcBorders>
              <w:top w:val="nil"/>
              <w:left w:val="nil"/>
              <w:bottom w:val="nil"/>
              <w:right w:val="nil"/>
            </w:tcBorders>
          </w:tcPr>
          <w:p w14:paraId="6EE8251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-.907</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5AE46D46"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-.173</w:t>
            </w:r>
          </w:p>
        </w:tc>
        <w:tc>
          <w:tcPr>
            <w:tcW w:w="2147" w:type="dxa"/>
            <w:tcBorders>
              <w:top w:val="nil"/>
              <w:left w:val="nil"/>
              <w:bottom w:val="nil"/>
              <w:right w:val="nil"/>
            </w:tcBorders>
          </w:tcPr>
          <w:p w14:paraId="08410900"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-.128</w:t>
            </w:r>
          </w:p>
        </w:tc>
      </w:tr>
      <w:tr w:rsidR="003C4A90" w:rsidRPr="00415B4C" w14:paraId="35FB41F5" w14:textId="77777777" w:rsidTr="00BE1A74">
        <w:trPr>
          <w:trHeight w:val="255"/>
        </w:trPr>
        <w:tc>
          <w:tcPr>
            <w:tcW w:w="3648" w:type="dxa"/>
            <w:tcBorders>
              <w:top w:val="nil"/>
              <w:left w:val="nil"/>
              <w:bottom w:val="nil"/>
              <w:right w:val="nil"/>
            </w:tcBorders>
          </w:tcPr>
          <w:p w14:paraId="0573A3F9"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PE RATIO (PER)</w:t>
            </w:r>
          </w:p>
        </w:tc>
        <w:tc>
          <w:tcPr>
            <w:tcW w:w="1900" w:type="dxa"/>
            <w:tcBorders>
              <w:top w:val="nil"/>
              <w:left w:val="nil"/>
              <w:bottom w:val="nil"/>
              <w:right w:val="nil"/>
            </w:tcBorders>
          </w:tcPr>
          <w:p w14:paraId="406637DC"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.908</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2C79D9C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.306</w:t>
            </w:r>
          </w:p>
        </w:tc>
        <w:tc>
          <w:tcPr>
            <w:tcW w:w="2147" w:type="dxa"/>
            <w:tcBorders>
              <w:top w:val="nil"/>
              <w:left w:val="nil"/>
              <w:bottom w:val="nil"/>
              <w:right w:val="nil"/>
            </w:tcBorders>
          </w:tcPr>
          <w:p w14:paraId="59A55002"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-.151</w:t>
            </w:r>
          </w:p>
        </w:tc>
      </w:tr>
      <w:tr w:rsidR="003C4A90" w:rsidRPr="00415B4C" w14:paraId="3AB82752" w14:textId="77777777" w:rsidTr="00BE1A74">
        <w:trPr>
          <w:trHeight w:val="255"/>
        </w:trPr>
        <w:tc>
          <w:tcPr>
            <w:tcW w:w="3648" w:type="dxa"/>
            <w:tcBorders>
              <w:top w:val="nil"/>
              <w:left w:val="nil"/>
              <w:bottom w:val="nil"/>
              <w:right w:val="nil"/>
            </w:tcBorders>
          </w:tcPr>
          <w:p w14:paraId="031E16B2"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First Day IPO Returns (FDIR)</w:t>
            </w:r>
          </w:p>
        </w:tc>
        <w:tc>
          <w:tcPr>
            <w:tcW w:w="1900" w:type="dxa"/>
            <w:tcBorders>
              <w:top w:val="nil"/>
              <w:left w:val="nil"/>
              <w:bottom w:val="nil"/>
              <w:right w:val="nil"/>
            </w:tcBorders>
          </w:tcPr>
          <w:p w14:paraId="3459511A"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.647</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61893341"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-.006</w:t>
            </w:r>
          </w:p>
        </w:tc>
        <w:tc>
          <w:tcPr>
            <w:tcW w:w="2147" w:type="dxa"/>
            <w:tcBorders>
              <w:top w:val="nil"/>
              <w:left w:val="nil"/>
              <w:bottom w:val="nil"/>
              <w:right w:val="nil"/>
            </w:tcBorders>
          </w:tcPr>
          <w:p w14:paraId="6780292A"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.718</w:t>
            </w:r>
            <w:r w:rsidRPr="00415B4C">
              <w:rPr>
                <w:rFonts w:ascii="Arial" w:hAnsi="Arial" w:cs="Arial"/>
                <w:color w:val="010205"/>
                <w:kern w:val="0"/>
                <w:vertAlign w:val="superscript"/>
                <w:lang w:bidi="hi-IN"/>
              </w:rPr>
              <w:t>*</w:t>
            </w:r>
          </w:p>
        </w:tc>
      </w:tr>
      <w:tr w:rsidR="003C4A90" w:rsidRPr="00415B4C" w14:paraId="62EF97A9" w14:textId="77777777" w:rsidTr="00BE1A74">
        <w:trPr>
          <w:trHeight w:val="266"/>
        </w:trPr>
        <w:tc>
          <w:tcPr>
            <w:tcW w:w="3648" w:type="dxa"/>
            <w:tcBorders>
              <w:top w:val="nil"/>
              <w:left w:val="nil"/>
              <w:bottom w:val="nil"/>
              <w:right w:val="nil"/>
            </w:tcBorders>
          </w:tcPr>
          <w:p w14:paraId="45C94051"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ADR (ADR)</w:t>
            </w:r>
          </w:p>
        </w:tc>
        <w:tc>
          <w:tcPr>
            <w:tcW w:w="1900" w:type="dxa"/>
            <w:tcBorders>
              <w:top w:val="nil"/>
              <w:left w:val="nil"/>
              <w:bottom w:val="nil"/>
              <w:right w:val="nil"/>
            </w:tcBorders>
          </w:tcPr>
          <w:p w14:paraId="54B540DC"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.522</w:t>
            </w:r>
          </w:p>
        </w:tc>
        <w:tc>
          <w:tcPr>
            <w:tcW w:w="1599" w:type="dxa"/>
            <w:tcBorders>
              <w:top w:val="nil"/>
              <w:left w:val="nil"/>
              <w:bottom w:val="nil"/>
              <w:right w:val="nil"/>
            </w:tcBorders>
          </w:tcPr>
          <w:p w14:paraId="4886252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.710</w:t>
            </w:r>
            <w:r w:rsidRPr="00415B4C">
              <w:rPr>
                <w:rFonts w:ascii="Arial" w:hAnsi="Arial" w:cs="Arial"/>
                <w:color w:val="010205"/>
                <w:kern w:val="0"/>
                <w:vertAlign w:val="superscript"/>
                <w:lang w:bidi="hi-IN"/>
              </w:rPr>
              <w:t>*</w:t>
            </w:r>
          </w:p>
        </w:tc>
        <w:tc>
          <w:tcPr>
            <w:tcW w:w="2147" w:type="dxa"/>
            <w:tcBorders>
              <w:top w:val="nil"/>
              <w:left w:val="nil"/>
              <w:bottom w:val="nil"/>
              <w:right w:val="nil"/>
            </w:tcBorders>
          </w:tcPr>
          <w:p w14:paraId="5D4CB604"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-.097</w:t>
            </w:r>
          </w:p>
        </w:tc>
      </w:tr>
      <w:tr w:rsidR="003C4A90" w:rsidRPr="00415B4C" w14:paraId="39C6C27D" w14:textId="77777777" w:rsidTr="00BE1A74">
        <w:trPr>
          <w:trHeight w:val="255"/>
        </w:trPr>
        <w:tc>
          <w:tcPr>
            <w:tcW w:w="3648" w:type="dxa"/>
            <w:tcBorders>
              <w:top w:val="nil"/>
              <w:left w:val="nil"/>
              <w:bottom w:val="nil"/>
              <w:right w:val="nil"/>
            </w:tcBorders>
          </w:tcPr>
          <w:p w14:paraId="1C9A10ED"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Net FII (NFI)</w:t>
            </w:r>
          </w:p>
        </w:tc>
        <w:tc>
          <w:tcPr>
            <w:tcW w:w="1900" w:type="dxa"/>
            <w:tcBorders>
              <w:top w:val="nil"/>
              <w:left w:val="nil"/>
              <w:bottom w:val="nil"/>
              <w:right w:val="nil"/>
            </w:tcBorders>
          </w:tcPr>
          <w:p w14:paraId="5D882877"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.177</w:t>
            </w:r>
          </w:p>
        </w:tc>
        <w:tc>
          <w:tcPr>
            <w:tcW w:w="1599" w:type="dxa"/>
            <w:tcBorders>
              <w:top w:val="nil"/>
              <w:left w:val="nil"/>
              <w:bottom w:val="nil"/>
              <w:right w:val="nil"/>
            </w:tcBorders>
          </w:tcPr>
          <w:p w14:paraId="4B854B4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.498</w:t>
            </w:r>
          </w:p>
        </w:tc>
        <w:tc>
          <w:tcPr>
            <w:tcW w:w="2147" w:type="dxa"/>
            <w:tcBorders>
              <w:top w:val="nil"/>
              <w:left w:val="nil"/>
              <w:bottom w:val="nil"/>
              <w:right w:val="nil"/>
            </w:tcBorders>
          </w:tcPr>
          <w:p w14:paraId="53A69C4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.680</w:t>
            </w:r>
            <w:r w:rsidRPr="00415B4C">
              <w:rPr>
                <w:rFonts w:ascii="Arial" w:hAnsi="Arial" w:cs="Arial"/>
                <w:color w:val="010205"/>
                <w:kern w:val="0"/>
                <w:vertAlign w:val="superscript"/>
                <w:lang w:bidi="hi-IN"/>
              </w:rPr>
              <w:t>*</w:t>
            </w:r>
          </w:p>
        </w:tc>
      </w:tr>
      <w:tr w:rsidR="003C4A90" w:rsidRPr="00415B4C" w14:paraId="3D64A132" w14:textId="77777777" w:rsidTr="00BE1A74">
        <w:trPr>
          <w:trHeight w:val="255"/>
        </w:trPr>
        <w:tc>
          <w:tcPr>
            <w:tcW w:w="3648" w:type="dxa"/>
            <w:tcBorders>
              <w:top w:val="nil"/>
              <w:left w:val="nil"/>
              <w:bottom w:val="nil"/>
              <w:right w:val="nil"/>
            </w:tcBorders>
          </w:tcPr>
          <w:p w14:paraId="191FF5B4" w14:textId="77777777" w:rsidR="003C4A90" w:rsidRPr="00415B4C" w:rsidRDefault="003C4A90" w:rsidP="003314FB">
            <w:pPr>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PB RATIO (PBR)</w:t>
            </w:r>
          </w:p>
        </w:tc>
        <w:tc>
          <w:tcPr>
            <w:tcW w:w="1900" w:type="dxa"/>
            <w:tcBorders>
              <w:top w:val="nil"/>
              <w:left w:val="nil"/>
              <w:bottom w:val="nil"/>
              <w:right w:val="nil"/>
            </w:tcBorders>
          </w:tcPr>
          <w:p w14:paraId="7A21A805"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.219</w:t>
            </w:r>
          </w:p>
        </w:tc>
        <w:tc>
          <w:tcPr>
            <w:tcW w:w="1599" w:type="dxa"/>
            <w:tcBorders>
              <w:top w:val="nil"/>
              <w:left w:val="nil"/>
              <w:bottom w:val="nil"/>
              <w:right w:val="nil"/>
            </w:tcBorders>
          </w:tcPr>
          <w:p w14:paraId="7837B968"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-.043</w:t>
            </w:r>
          </w:p>
        </w:tc>
        <w:tc>
          <w:tcPr>
            <w:tcW w:w="2147" w:type="dxa"/>
            <w:tcBorders>
              <w:top w:val="nil"/>
              <w:left w:val="nil"/>
              <w:bottom w:val="nil"/>
              <w:right w:val="nil"/>
            </w:tcBorders>
          </w:tcPr>
          <w:p w14:paraId="0CD0B2B6"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-.889</w:t>
            </w:r>
            <w:r w:rsidRPr="00415B4C">
              <w:rPr>
                <w:rFonts w:ascii="Arial" w:hAnsi="Arial" w:cs="Arial"/>
                <w:color w:val="010205"/>
                <w:kern w:val="0"/>
                <w:vertAlign w:val="superscript"/>
                <w:lang w:bidi="hi-IN"/>
              </w:rPr>
              <w:t>**</w:t>
            </w:r>
          </w:p>
        </w:tc>
      </w:tr>
      <w:tr w:rsidR="003C4A90" w:rsidRPr="00415B4C" w14:paraId="35B12715" w14:textId="77777777" w:rsidTr="00BE1A74">
        <w:trPr>
          <w:trHeight w:val="521"/>
        </w:trPr>
        <w:tc>
          <w:tcPr>
            <w:tcW w:w="9296" w:type="dxa"/>
            <w:gridSpan w:val="4"/>
            <w:tcBorders>
              <w:top w:val="nil"/>
              <w:left w:val="nil"/>
              <w:bottom w:val="single" w:sz="4" w:space="0" w:color="auto"/>
              <w:right w:val="nil"/>
            </w:tcBorders>
          </w:tcPr>
          <w:p w14:paraId="5888D407" w14:textId="77777777" w:rsidR="003C4A90" w:rsidRPr="00415B4C" w:rsidRDefault="003C4A90" w:rsidP="003314FB">
            <w:pPr>
              <w:rPr>
                <w:rFonts w:ascii="Arial" w:hAnsi="Arial" w:cs="Arial"/>
                <w:color w:val="010205"/>
                <w:kern w:val="0"/>
                <w:lang w:bidi="hi-IN"/>
              </w:rPr>
            </w:pPr>
            <w:r w:rsidRPr="00415B4C">
              <w:rPr>
                <w:rFonts w:ascii="Arial" w:hAnsi="Arial" w:cs="Arial"/>
                <w:color w:val="010205"/>
                <w:kern w:val="0"/>
                <w:lang w:bidi="hi-IN"/>
              </w:rPr>
              <w:t>**. Correlation is significant at the 0.01 level (2-tailed).</w:t>
            </w:r>
          </w:p>
          <w:p w14:paraId="143AFAB8" w14:textId="77777777" w:rsidR="003C4A90" w:rsidRPr="00415B4C" w:rsidRDefault="003C4A90" w:rsidP="003314FB">
            <w:pPr>
              <w:rPr>
                <w:rFonts w:ascii="Arial" w:hAnsi="Arial" w:cs="Arial"/>
                <w:b/>
                <w:bCs/>
              </w:rPr>
            </w:pPr>
            <w:r w:rsidRPr="00415B4C">
              <w:rPr>
                <w:rFonts w:ascii="Arial" w:hAnsi="Arial" w:cs="Arial"/>
                <w:color w:val="010205"/>
                <w:kern w:val="0"/>
                <w:lang w:bidi="hi-IN"/>
              </w:rPr>
              <w:t>*. Correlation is significant at the 0.05 level (2-tailed).</w:t>
            </w:r>
          </w:p>
        </w:tc>
      </w:tr>
    </w:tbl>
    <w:p w14:paraId="683519FB" w14:textId="77243C3A" w:rsidR="003C4A90" w:rsidRPr="00415B4C" w:rsidRDefault="002B6614" w:rsidP="003314FB">
      <w:pPr>
        <w:spacing w:after="0" w:line="240" w:lineRule="auto"/>
        <w:jc w:val="both"/>
        <w:rPr>
          <w:rFonts w:ascii="Arial" w:hAnsi="Arial" w:cs="Arial"/>
        </w:rPr>
      </w:pPr>
      <w:r w:rsidRPr="00415B4C">
        <w:rPr>
          <w:rFonts w:ascii="Arial" w:hAnsi="Arial" w:cs="Arial"/>
        </w:rPr>
        <w:t xml:space="preserve">             Source: Own Calculations</w:t>
      </w:r>
    </w:p>
    <w:p w14:paraId="5832ABB7" w14:textId="61C408B6" w:rsidR="003C4A90" w:rsidRPr="00415B4C" w:rsidRDefault="003C4A90" w:rsidP="003314FB">
      <w:pPr>
        <w:spacing w:after="0" w:line="240" w:lineRule="auto"/>
        <w:jc w:val="both"/>
        <w:rPr>
          <w:rFonts w:ascii="Arial" w:hAnsi="Arial" w:cs="Arial"/>
        </w:rPr>
      </w:pPr>
      <w:r w:rsidRPr="00415B4C">
        <w:rPr>
          <w:rFonts w:ascii="Arial" w:hAnsi="Arial" w:cs="Arial"/>
        </w:rPr>
        <w:t>Principal Component analysis is executed on the seven proxies, and the following sentiment index has been constructed:</w:t>
      </w:r>
    </w:p>
    <w:p w14:paraId="2AF27D26" w14:textId="3DD30FC5" w:rsidR="003C4A90" w:rsidRPr="00415B4C" w:rsidRDefault="003C4A90" w:rsidP="003314FB">
      <w:pPr>
        <w:spacing w:after="0" w:line="240" w:lineRule="auto"/>
        <w:jc w:val="both"/>
        <w:rPr>
          <w:rFonts w:ascii="Arial" w:hAnsi="Arial" w:cs="Arial"/>
          <w:kern w:val="0"/>
          <w:lang w:bidi="hi-IN"/>
        </w:rPr>
      </w:pPr>
      <w:r w:rsidRPr="00415B4C">
        <w:rPr>
          <w:rFonts w:ascii="Arial" w:hAnsi="Arial" w:cs="Arial"/>
        </w:rPr>
        <w:t xml:space="preserve">SENT = </w:t>
      </w:r>
      <w:r w:rsidR="007C1289" w:rsidRPr="00415B4C">
        <w:rPr>
          <w:rFonts w:ascii="Arial" w:hAnsi="Arial" w:cs="Arial"/>
        </w:rPr>
        <w:t>-0.942</w:t>
      </w:r>
      <w:r w:rsidRPr="00415B4C">
        <w:rPr>
          <w:rFonts w:ascii="Arial" w:hAnsi="Arial" w:cs="Arial"/>
          <w:kern w:val="0"/>
          <w:lang w:bidi="hi-IN"/>
        </w:rPr>
        <w:t xml:space="preserve">NP – </w:t>
      </w:r>
      <w:r w:rsidR="007C1289" w:rsidRPr="00415B4C">
        <w:rPr>
          <w:rFonts w:ascii="Arial" w:hAnsi="Arial" w:cs="Arial"/>
          <w:kern w:val="0"/>
          <w:lang w:bidi="hi-IN"/>
        </w:rPr>
        <w:t>0</w:t>
      </w:r>
      <w:r w:rsidRPr="00415B4C">
        <w:rPr>
          <w:rFonts w:ascii="Arial" w:hAnsi="Arial" w:cs="Arial"/>
          <w:kern w:val="0"/>
          <w:lang w:bidi="hi-IN"/>
        </w:rPr>
        <w:t>.</w:t>
      </w:r>
      <w:r w:rsidR="007C1289" w:rsidRPr="00415B4C">
        <w:rPr>
          <w:rFonts w:ascii="Arial" w:hAnsi="Arial" w:cs="Arial"/>
          <w:kern w:val="0"/>
          <w:lang w:bidi="hi-IN"/>
        </w:rPr>
        <w:t>907</w:t>
      </w:r>
      <w:r w:rsidRPr="00415B4C">
        <w:rPr>
          <w:rFonts w:ascii="Arial" w:hAnsi="Arial" w:cs="Arial"/>
          <w:kern w:val="0"/>
          <w:lang w:bidi="hi-IN"/>
        </w:rPr>
        <w:t>DY + 0.</w:t>
      </w:r>
      <w:r w:rsidR="007C1289" w:rsidRPr="00415B4C">
        <w:rPr>
          <w:rFonts w:ascii="Arial" w:hAnsi="Arial" w:cs="Arial"/>
          <w:kern w:val="0"/>
          <w:lang w:bidi="hi-IN"/>
        </w:rPr>
        <w:t>908</w:t>
      </w:r>
      <w:r w:rsidRPr="00415B4C">
        <w:rPr>
          <w:rFonts w:ascii="Arial" w:hAnsi="Arial" w:cs="Arial"/>
          <w:kern w:val="0"/>
          <w:lang w:bidi="hi-IN"/>
        </w:rPr>
        <w:t>PE + 0.</w:t>
      </w:r>
      <w:r w:rsidR="007C1289" w:rsidRPr="00415B4C">
        <w:rPr>
          <w:rFonts w:ascii="Arial" w:hAnsi="Arial" w:cs="Arial"/>
          <w:kern w:val="0"/>
          <w:lang w:bidi="hi-IN"/>
        </w:rPr>
        <w:t>647</w:t>
      </w:r>
      <w:r w:rsidRPr="00415B4C">
        <w:rPr>
          <w:rFonts w:ascii="Arial" w:hAnsi="Arial" w:cs="Arial"/>
          <w:kern w:val="0"/>
          <w:lang w:bidi="hi-IN"/>
        </w:rPr>
        <w:t>FDIR + 0.</w:t>
      </w:r>
      <w:r w:rsidR="007C1289" w:rsidRPr="00415B4C">
        <w:rPr>
          <w:rFonts w:ascii="Arial" w:hAnsi="Arial" w:cs="Arial"/>
          <w:kern w:val="0"/>
          <w:lang w:bidi="hi-IN"/>
        </w:rPr>
        <w:t>522</w:t>
      </w:r>
      <w:r w:rsidRPr="00415B4C">
        <w:rPr>
          <w:rFonts w:ascii="Arial" w:hAnsi="Arial" w:cs="Arial"/>
          <w:kern w:val="0"/>
          <w:lang w:bidi="hi-IN"/>
        </w:rPr>
        <w:t>ADR + 0.</w:t>
      </w:r>
      <w:r w:rsidR="007C1289" w:rsidRPr="00415B4C">
        <w:rPr>
          <w:rFonts w:ascii="Arial" w:hAnsi="Arial" w:cs="Arial"/>
          <w:kern w:val="0"/>
          <w:lang w:bidi="hi-IN"/>
        </w:rPr>
        <w:t>177</w:t>
      </w:r>
      <w:r w:rsidRPr="00415B4C">
        <w:rPr>
          <w:rFonts w:ascii="Arial" w:hAnsi="Arial" w:cs="Arial"/>
          <w:kern w:val="0"/>
          <w:lang w:bidi="hi-IN"/>
        </w:rPr>
        <w:t xml:space="preserve">NFI </w:t>
      </w:r>
      <w:r w:rsidR="007C1289" w:rsidRPr="00415B4C">
        <w:rPr>
          <w:rFonts w:ascii="Arial" w:hAnsi="Arial" w:cs="Arial"/>
          <w:kern w:val="0"/>
          <w:lang w:bidi="hi-IN"/>
        </w:rPr>
        <w:t>+</w:t>
      </w:r>
      <w:r w:rsidRPr="00415B4C">
        <w:rPr>
          <w:rFonts w:ascii="Arial" w:hAnsi="Arial" w:cs="Arial"/>
          <w:kern w:val="0"/>
          <w:lang w:bidi="hi-IN"/>
        </w:rPr>
        <w:t>0.</w:t>
      </w:r>
      <w:r w:rsidR="007C1289" w:rsidRPr="00415B4C">
        <w:rPr>
          <w:rFonts w:ascii="Arial" w:hAnsi="Arial" w:cs="Arial"/>
          <w:kern w:val="0"/>
          <w:lang w:bidi="hi-IN"/>
        </w:rPr>
        <w:t>219</w:t>
      </w:r>
      <w:r w:rsidRPr="00415B4C">
        <w:rPr>
          <w:rFonts w:ascii="Arial" w:hAnsi="Arial" w:cs="Arial"/>
          <w:kern w:val="0"/>
          <w:lang w:bidi="hi-IN"/>
        </w:rPr>
        <w:t>PBR…… (1)</w:t>
      </w:r>
    </w:p>
    <w:p w14:paraId="33B7E356" w14:textId="77777777" w:rsidR="003C4A90" w:rsidRPr="00415B4C" w:rsidRDefault="003C4A90" w:rsidP="003314FB">
      <w:pPr>
        <w:spacing w:after="0" w:line="240" w:lineRule="auto"/>
        <w:jc w:val="both"/>
        <w:rPr>
          <w:rFonts w:ascii="Arial" w:hAnsi="Arial" w:cs="Arial"/>
        </w:rPr>
      </w:pPr>
      <w:r w:rsidRPr="00415B4C">
        <w:rPr>
          <w:rFonts w:ascii="Arial" w:hAnsi="Arial" w:cs="Arial"/>
        </w:rPr>
        <w:t>The component matrix is shown in Table 5.</w:t>
      </w:r>
    </w:p>
    <w:p w14:paraId="4C00F4D1" w14:textId="7D550854" w:rsidR="00B34C91" w:rsidRPr="00415B4C" w:rsidRDefault="001779F5" w:rsidP="003314FB">
      <w:pPr>
        <w:spacing w:after="0" w:line="240" w:lineRule="auto"/>
        <w:jc w:val="center"/>
        <w:rPr>
          <w:rFonts w:ascii="Arial" w:hAnsi="Arial" w:cs="Arial"/>
          <w:b/>
          <w:bCs/>
        </w:rPr>
      </w:pPr>
      <w:r w:rsidRPr="00415B4C">
        <w:rPr>
          <w:rFonts w:ascii="Arial" w:hAnsi="Arial" w:cs="Arial"/>
          <w:b/>
          <w:bCs/>
        </w:rPr>
        <w:t xml:space="preserve">Table – </w:t>
      </w:r>
      <w:r w:rsidR="003C4A90" w:rsidRPr="00415B4C">
        <w:rPr>
          <w:rFonts w:ascii="Arial" w:hAnsi="Arial" w:cs="Arial"/>
          <w:b/>
          <w:bCs/>
        </w:rPr>
        <w:t>5</w:t>
      </w:r>
      <w:r w:rsidRPr="00415B4C">
        <w:rPr>
          <w:rFonts w:ascii="Arial" w:hAnsi="Arial" w:cs="Arial"/>
          <w:b/>
          <w:bCs/>
        </w:rPr>
        <w:t xml:space="preserve"> </w:t>
      </w:r>
      <w:r w:rsidR="00CB5E8D" w:rsidRPr="00415B4C">
        <w:rPr>
          <w:rFonts w:ascii="Arial" w:hAnsi="Arial" w:cs="Arial"/>
          <w:b/>
          <w:bCs/>
        </w:rPr>
        <w:t>Component Matrix</w:t>
      </w:r>
    </w:p>
    <w:tbl>
      <w:tblPr>
        <w:tblStyle w:val="TableGridLight"/>
        <w:tblW w:w="9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20"/>
        <w:gridCol w:w="1910"/>
        <w:gridCol w:w="1910"/>
        <w:gridCol w:w="1912"/>
      </w:tblGrid>
      <w:tr w:rsidR="00A77B0D" w:rsidRPr="00415B4C" w14:paraId="04A2A59A" w14:textId="77777777" w:rsidTr="00654A84">
        <w:trPr>
          <w:trHeight w:val="300"/>
        </w:trPr>
        <w:tc>
          <w:tcPr>
            <w:tcW w:w="3420" w:type="dxa"/>
            <w:vMerge w:val="restart"/>
            <w:tcBorders>
              <w:top w:val="single" w:sz="4" w:space="0" w:color="auto"/>
            </w:tcBorders>
          </w:tcPr>
          <w:p w14:paraId="57C548AD" w14:textId="39DFD70D" w:rsidR="001779F5" w:rsidRPr="00415B4C" w:rsidRDefault="00CB5E8D" w:rsidP="003314FB">
            <w:pPr>
              <w:autoSpaceDE w:val="0"/>
              <w:autoSpaceDN w:val="0"/>
              <w:adjustRightInd w:val="0"/>
              <w:rPr>
                <w:rFonts w:ascii="Arial" w:hAnsi="Arial" w:cs="Arial"/>
                <w:b/>
                <w:bCs/>
                <w:color w:val="0D0D0D" w:themeColor="text1" w:themeTint="F2"/>
                <w:kern w:val="0"/>
                <w:lang w:bidi="hi-IN"/>
              </w:rPr>
            </w:pPr>
            <w:r w:rsidRPr="00415B4C">
              <w:rPr>
                <w:rFonts w:ascii="Arial" w:hAnsi="Arial" w:cs="Arial"/>
                <w:b/>
                <w:bCs/>
                <w:color w:val="0D0D0D" w:themeColor="text1" w:themeTint="F2"/>
              </w:rPr>
              <w:t>Component Matrix</w:t>
            </w:r>
          </w:p>
        </w:tc>
        <w:tc>
          <w:tcPr>
            <w:tcW w:w="5731" w:type="dxa"/>
            <w:gridSpan w:val="3"/>
            <w:tcBorders>
              <w:top w:val="single" w:sz="4" w:space="0" w:color="auto"/>
              <w:bottom w:val="single" w:sz="4" w:space="0" w:color="auto"/>
            </w:tcBorders>
          </w:tcPr>
          <w:p w14:paraId="46820265" w14:textId="525EFD49"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Component</w:t>
            </w:r>
            <w:r w:rsidR="00A77B0D" w:rsidRPr="00415B4C">
              <w:rPr>
                <w:rFonts w:ascii="Arial" w:hAnsi="Arial" w:cs="Arial"/>
                <w:b/>
                <w:bCs/>
                <w:color w:val="0D0D0D" w:themeColor="text1" w:themeTint="F2"/>
                <w:kern w:val="0"/>
                <w:lang w:bidi="hi-IN"/>
              </w:rPr>
              <w:t>s</w:t>
            </w:r>
          </w:p>
        </w:tc>
      </w:tr>
      <w:tr w:rsidR="00A77B0D" w:rsidRPr="00415B4C" w14:paraId="427A2A19" w14:textId="77777777" w:rsidTr="00654A84">
        <w:trPr>
          <w:trHeight w:val="134"/>
        </w:trPr>
        <w:tc>
          <w:tcPr>
            <w:tcW w:w="3420" w:type="dxa"/>
            <w:vMerge/>
            <w:tcBorders>
              <w:bottom w:val="single" w:sz="4" w:space="0" w:color="auto"/>
            </w:tcBorders>
          </w:tcPr>
          <w:p w14:paraId="6EB7AE4E" w14:textId="77777777" w:rsidR="001779F5" w:rsidRPr="00415B4C" w:rsidRDefault="001779F5" w:rsidP="003314FB">
            <w:pPr>
              <w:autoSpaceDE w:val="0"/>
              <w:autoSpaceDN w:val="0"/>
              <w:adjustRightInd w:val="0"/>
              <w:rPr>
                <w:rFonts w:ascii="Arial" w:hAnsi="Arial" w:cs="Arial"/>
                <w:color w:val="0D0D0D" w:themeColor="text1" w:themeTint="F2"/>
                <w:kern w:val="0"/>
                <w:lang w:bidi="hi-IN"/>
              </w:rPr>
            </w:pPr>
          </w:p>
        </w:tc>
        <w:tc>
          <w:tcPr>
            <w:tcW w:w="1910" w:type="dxa"/>
            <w:tcBorders>
              <w:top w:val="single" w:sz="4" w:space="0" w:color="auto"/>
              <w:bottom w:val="single" w:sz="4" w:space="0" w:color="auto"/>
            </w:tcBorders>
          </w:tcPr>
          <w:p w14:paraId="17A6CA5E"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1</w:t>
            </w:r>
          </w:p>
        </w:tc>
        <w:tc>
          <w:tcPr>
            <w:tcW w:w="1910" w:type="dxa"/>
            <w:tcBorders>
              <w:top w:val="single" w:sz="4" w:space="0" w:color="auto"/>
              <w:bottom w:val="single" w:sz="4" w:space="0" w:color="auto"/>
            </w:tcBorders>
          </w:tcPr>
          <w:p w14:paraId="74AE3E81"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2</w:t>
            </w:r>
          </w:p>
        </w:tc>
        <w:tc>
          <w:tcPr>
            <w:tcW w:w="1910" w:type="dxa"/>
            <w:tcBorders>
              <w:top w:val="single" w:sz="4" w:space="0" w:color="auto"/>
              <w:bottom w:val="single" w:sz="4" w:space="0" w:color="auto"/>
            </w:tcBorders>
          </w:tcPr>
          <w:p w14:paraId="5BA0CA35"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3</w:t>
            </w:r>
          </w:p>
        </w:tc>
      </w:tr>
      <w:tr w:rsidR="00A77B0D" w:rsidRPr="00415B4C" w14:paraId="0FEADFF8" w14:textId="77777777" w:rsidTr="00654A84">
        <w:trPr>
          <w:trHeight w:val="291"/>
        </w:trPr>
        <w:tc>
          <w:tcPr>
            <w:tcW w:w="3420" w:type="dxa"/>
            <w:tcBorders>
              <w:top w:val="single" w:sz="4" w:space="0" w:color="auto"/>
            </w:tcBorders>
          </w:tcPr>
          <w:p w14:paraId="63ADC890" w14:textId="470131C3"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No. of IPO</w:t>
            </w:r>
            <w:r w:rsidR="00584F82" w:rsidRPr="00415B4C">
              <w:rPr>
                <w:rFonts w:ascii="Arial" w:hAnsi="Arial" w:cs="Arial"/>
                <w:color w:val="0D0D0D" w:themeColor="text1" w:themeTint="F2"/>
                <w:kern w:val="0"/>
                <w:lang w:bidi="hi-IN"/>
              </w:rPr>
              <w:t>s</w:t>
            </w:r>
            <w:r w:rsidR="006A71AC" w:rsidRPr="00415B4C">
              <w:rPr>
                <w:rFonts w:ascii="Arial" w:hAnsi="Arial" w:cs="Arial"/>
                <w:color w:val="0D0D0D" w:themeColor="text1" w:themeTint="F2"/>
                <w:kern w:val="0"/>
                <w:lang w:bidi="hi-IN"/>
              </w:rPr>
              <w:t xml:space="preserve"> (NP)</w:t>
            </w:r>
          </w:p>
        </w:tc>
        <w:tc>
          <w:tcPr>
            <w:tcW w:w="1910" w:type="dxa"/>
            <w:tcBorders>
              <w:top w:val="single" w:sz="4" w:space="0" w:color="auto"/>
            </w:tcBorders>
          </w:tcPr>
          <w:p w14:paraId="1CF42118"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.865</w:t>
            </w:r>
          </w:p>
        </w:tc>
        <w:tc>
          <w:tcPr>
            <w:tcW w:w="1910" w:type="dxa"/>
            <w:tcBorders>
              <w:top w:val="single" w:sz="4" w:space="0" w:color="auto"/>
            </w:tcBorders>
          </w:tcPr>
          <w:p w14:paraId="5CA654F5"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.156</w:t>
            </w:r>
          </w:p>
        </w:tc>
        <w:tc>
          <w:tcPr>
            <w:tcW w:w="1910" w:type="dxa"/>
            <w:tcBorders>
              <w:top w:val="single" w:sz="4" w:space="0" w:color="auto"/>
            </w:tcBorders>
          </w:tcPr>
          <w:p w14:paraId="7416208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.416</w:t>
            </w:r>
          </w:p>
        </w:tc>
      </w:tr>
      <w:tr w:rsidR="00A77B0D" w:rsidRPr="00415B4C" w14:paraId="7509582B" w14:textId="77777777" w:rsidTr="00654A84">
        <w:trPr>
          <w:trHeight w:val="300"/>
        </w:trPr>
        <w:tc>
          <w:tcPr>
            <w:tcW w:w="3420" w:type="dxa"/>
          </w:tcPr>
          <w:p w14:paraId="409EE990" w14:textId="10A6370A"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DIV.YIELD</w:t>
            </w:r>
            <w:r w:rsidR="006A71AC" w:rsidRPr="00415B4C">
              <w:rPr>
                <w:rFonts w:ascii="Arial" w:hAnsi="Arial" w:cs="Arial"/>
                <w:color w:val="0D0D0D" w:themeColor="text1" w:themeTint="F2"/>
                <w:kern w:val="0"/>
                <w:lang w:bidi="hi-IN"/>
              </w:rPr>
              <w:t xml:space="preserve"> (DY)</w:t>
            </w:r>
          </w:p>
        </w:tc>
        <w:tc>
          <w:tcPr>
            <w:tcW w:w="1910" w:type="dxa"/>
          </w:tcPr>
          <w:p w14:paraId="2B73033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-.803</w:t>
            </w:r>
          </w:p>
        </w:tc>
        <w:tc>
          <w:tcPr>
            <w:tcW w:w="1910" w:type="dxa"/>
          </w:tcPr>
          <w:p w14:paraId="764E4C6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-.354</w:t>
            </w:r>
          </w:p>
        </w:tc>
        <w:tc>
          <w:tcPr>
            <w:tcW w:w="1910" w:type="dxa"/>
          </w:tcPr>
          <w:p w14:paraId="34D546C9"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.401</w:t>
            </w:r>
          </w:p>
        </w:tc>
      </w:tr>
      <w:tr w:rsidR="00A77B0D" w:rsidRPr="00415B4C" w14:paraId="7FE19DB7" w14:textId="77777777" w:rsidTr="00654A84">
        <w:trPr>
          <w:trHeight w:val="300"/>
        </w:trPr>
        <w:tc>
          <w:tcPr>
            <w:tcW w:w="3420" w:type="dxa"/>
          </w:tcPr>
          <w:p w14:paraId="028870F2" w14:textId="4A0D9CFC"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PE RATIO</w:t>
            </w:r>
            <w:r w:rsidR="006A71AC" w:rsidRPr="00415B4C">
              <w:rPr>
                <w:rFonts w:ascii="Arial" w:hAnsi="Arial" w:cs="Arial"/>
                <w:color w:val="0D0D0D" w:themeColor="text1" w:themeTint="F2"/>
                <w:kern w:val="0"/>
                <w:lang w:bidi="hi-IN"/>
              </w:rPr>
              <w:t xml:space="preserve"> (PER)</w:t>
            </w:r>
          </w:p>
        </w:tc>
        <w:tc>
          <w:tcPr>
            <w:tcW w:w="1910" w:type="dxa"/>
          </w:tcPr>
          <w:p w14:paraId="4761A930"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.775</w:t>
            </w:r>
          </w:p>
        </w:tc>
        <w:tc>
          <w:tcPr>
            <w:tcW w:w="1910" w:type="dxa"/>
          </w:tcPr>
          <w:p w14:paraId="08A475E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.550</w:t>
            </w:r>
          </w:p>
        </w:tc>
        <w:tc>
          <w:tcPr>
            <w:tcW w:w="1910" w:type="dxa"/>
          </w:tcPr>
          <w:p w14:paraId="284BD2C5"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-.178</w:t>
            </w:r>
          </w:p>
        </w:tc>
      </w:tr>
      <w:tr w:rsidR="00A77B0D" w:rsidRPr="00415B4C" w14:paraId="6EA60549" w14:textId="77777777" w:rsidTr="00654A84">
        <w:trPr>
          <w:trHeight w:val="300"/>
        </w:trPr>
        <w:tc>
          <w:tcPr>
            <w:tcW w:w="3420" w:type="dxa"/>
          </w:tcPr>
          <w:p w14:paraId="0D6C60A2" w14:textId="44C2A52D" w:rsidR="001779F5" w:rsidRPr="00415B4C" w:rsidRDefault="006A71AC"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F</w:t>
            </w:r>
            <w:r w:rsidR="00A77B0D" w:rsidRPr="00415B4C">
              <w:rPr>
                <w:rFonts w:ascii="Arial" w:hAnsi="Arial" w:cs="Arial"/>
                <w:color w:val="0D0D0D" w:themeColor="text1" w:themeTint="F2"/>
                <w:kern w:val="0"/>
                <w:lang w:bidi="hi-IN"/>
              </w:rPr>
              <w:t xml:space="preserve">irst </w:t>
            </w:r>
            <w:r w:rsidRPr="00415B4C">
              <w:rPr>
                <w:rFonts w:ascii="Arial" w:hAnsi="Arial" w:cs="Arial"/>
                <w:color w:val="0D0D0D" w:themeColor="text1" w:themeTint="F2"/>
                <w:kern w:val="0"/>
                <w:lang w:bidi="hi-IN"/>
              </w:rPr>
              <w:t>D</w:t>
            </w:r>
            <w:r w:rsidR="00A77B0D" w:rsidRPr="00415B4C">
              <w:rPr>
                <w:rFonts w:ascii="Arial" w:hAnsi="Arial" w:cs="Arial"/>
                <w:color w:val="0D0D0D" w:themeColor="text1" w:themeTint="F2"/>
                <w:kern w:val="0"/>
                <w:lang w:bidi="hi-IN"/>
              </w:rPr>
              <w:t>ay</w:t>
            </w:r>
            <w:r w:rsidR="001779F5" w:rsidRPr="00415B4C">
              <w:rPr>
                <w:rFonts w:ascii="Arial" w:hAnsi="Arial" w:cs="Arial"/>
                <w:color w:val="0D0D0D" w:themeColor="text1" w:themeTint="F2"/>
                <w:kern w:val="0"/>
                <w:lang w:bidi="hi-IN"/>
              </w:rPr>
              <w:t xml:space="preserve"> </w:t>
            </w:r>
            <w:r w:rsidR="00A77B0D" w:rsidRPr="00415B4C">
              <w:rPr>
                <w:rFonts w:ascii="Arial" w:hAnsi="Arial" w:cs="Arial"/>
                <w:color w:val="0D0D0D" w:themeColor="text1" w:themeTint="F2"/>
                <w:kern w:val="0"/>
                <w:lang w:bidi="hi-IN"/>
              </w:rPr>
              <w:t>IPO</w:t>
            </w:r>
            <w:r w:rsidR="001779F5" w:rsidRPr="00415B4C">
              <w:rPr>
                <w:rFonts w:ascii="Arial" w:hAnsi="Arial" w:cs="Arial"/>
                <w:color w:val="0D0D0D" w:themeColor="text1" w:themeTint="F2"/>
                <w:kern w:val="0"/>
                <w:lang w:bidi="hi-IN"/>
              </w:rPr>
              <w:t xml:space="preserve"> </w:t>
            </w:r>
            <w:r w:rsidRPr="00415B4C">
              <w:rPr>
                <w:rFonts w:ascii="Arial" w:hAnsi="Arial" w:cs="Arial"/>
                <w:color w:val="0D0D0D" w:themeColor="text1" w:themeTint="F2"/>
                <w:kern w:val="0"/>
                <w:lang w:bidi="hi-IN"/>
              </w:rPr>
              <w:t>R</w:t>
            </w:r>
            <w:r w:rsidR="001779F5" w:rsidRPr="00415B4C">
              <w:rPr>
                <w:rFonts w:ascii="Arial" w:hAnsi="Arial" w:cs="Arial"/>
                <w:color w:val="0D0D0D" w:themeColor="text1" w:themeTint="F2"/>
                <w:kern w:val="0"/>
                <w:lang w:bidi="hi-IN"/>
              </w:rPr>
              <w:t>eturns</w:t>
            </w:r>
            <w:r w:rsidRPr="00415B4C">
              <w:rPr>
                <w:rFonts w:ascii="Arial" w:hAnsi="Arial" w:cs="Arial"/>
                <w:color w:val="0D0D0D" w:themeColor="text1" w:themeTint="F2"/>
                <w:kern w:val="0"/>
                <w:lang w:bidi="hi-IN"/>
              </w:rPr>
              <w:t xml:space="preserve"> (FD</w:t>
            </w:r>
            <w:r w:rsidR="00615194" w:rsidRPr="00415B4C">
              <w:rPr>
                <w:rFonts w:ascii="Arial" w:hAnsi="Arial" w:cs="Arial"/>
                <w:color w:val="0D0D0D" w:themeColor="text1" w:themeTint="F2"/>
                <w:kern w:val="0"/>
                <w:lang w:bidi="hi-IN"/>
              </w:rPr>
              <w:t>IR)</w:t>
            </w:r>
          </w:p>
        </w:tc>
        <w:tc>
          <w:tcPr>
            <w:tcW w:w="1910" w:type="dxa"/>
          </w:tcPr>
          <w:p w14:paraId="11C3D0BD"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.705</w:t>
            </w:r>
          </w:p>
        </w:tc>
        <w:tc>
          <w:tcPr>
            <w:tcW w:w="1910" w:type="dxa"/>
          </w:tcPr>
          <w:p w14:paraId="202BAABE"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-.331</w:t>
            </w:r>
          </w:p>
        </w:tc>
        <w:tc>
          <w:tcPr>
            <w:tcW w:w="1910" w:type="dxa"/>
          </w:tcPr>
          <w:p w14:paraId="46420AD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-.572</w:t>
            </w:r>
          </w:p>
        </w:tc>
      </w:tr>
      <w:tr w:rsidR="00A77B0D" w:rsidRPr="00415B4C" w14:paraId="30C1C73A" w14:textId="77777777" w:rsidTr="00654A84">
        <w:trPr>
          <w:trHeight w:val="291"/>
        </w:trPr>
        <w:tc>
          <w:tcPr>
            <w:tcW w:w="3420" w:type="dxa"/>
          </w:tcPr>
          <w:p w14:paraId="7225AA0B" w14:textId="04F10DA4"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ADR</w:t>
            </w:r>
            <w:r w:rsidR="00615194" w:rsidRPr="00415B4C">
              <w:rPr>
                <w:rFonts w:ascii="Arial" w:hAnsi="Arial" w:cs="Arial"/>
                <w:color w:val="0D0D0D" w:themeColor="text1" w:themeTint="F2"/>
                <w:kern w:val="0"/>
                <w:lang w:bidi="hi-IN"/>
              </w:rPr>
              <w:t xml:space="preserve"> (ADR)</w:t>
            </w:r>
          </w:p>
        </w:tc>
        <w:tc>
          <w:tcPr>
            <w:tcW w:w="1910" w:type="dxa"/>
          </w:tcPr>
          <w:p w14:paraId="29F950D3"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.702</w:t>
            </w:r>
          </w:p>
        </w:tc>
        <w:tc>
          <w:tcPr>
            <w:tcW w:w="1910" w:type="dxa"/>
          </w:tcPr>
          <w:p w14:paraId="5C9E669F"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-.121</w:t>
            </w:r>
          </w:p>
        </w:tc>
        <w:tc>
          <w:tcPr>
            <w:tcW w:w="1910" w:type="dxa"/>
          </w:tcPr>
          <w:p w14:paraId="43D3D5E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.667</w:t>
            </w:r>
          </w:p>
        </w:tc>
      </w:tr>
      <w:tr w:rsidR="00A77B0D" w:rsidRPr="00415B4C" w14:paraId="4468B051" w14:textId="77777777" w:rsidTr="00654A84">
        <w:trPr>
          <w:trHeight w:val="300"/>
        </w:trPr>
        <w:tc>
          <w:tcPr>
            <w:tcW w:w="3420" w:type="dxa"/>
          </w:tcPr>
          <w:p w14:paraId="1504BA6A" w14:textId="5F45E5F0"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Net FII</w:t>
            </w:r>
            <w:r w:rsidR="00615194" w:rsidRPr="00415B4C">
              <w:rPr>
                <w:rFonts w:ascii="Arial" w:hAnsi="Arial" w:cs="Arial"/>
                <w:color w:val="0D0D0D" w:themeColor="text1" w:themeTint="F2"/>
                <w:kern w:val="0"/>
                <w:lang w:bidi="hi-IN"/>
              </w:rPr>
              <w:t xml:space="preserve"> (NFI)</w:t>
            </w:r>
          </w:p>
        </w:tc>
        <w:tc>
          <w:tcPr>
            <w:tcW w:w="1910" w:type="dxa"/>
          </w:tcPr>
          <w:p w14:paraId="71702CC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.674</w:t>
            </w:r>
          </w:p>
        </w:tc>
        <w:tc>
          <w:tcPr>
            <w:tcW w:w="1910" w:type="dxa"/>
          </w:tcPr>
          <w:p w14:paraId="7772B7F0"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-.529</w:t>
            </w:r>
          </w:p>
        </w:tc>
        <w:tc>
          <w:tcPr>
            <w:tcW w:w="1910" w:type="dxa"/>
          </w:tcPr>
          <w:p w14:paraId="070776E4"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.088</w:t>
            </w:r>
          </w:p>
        </w:tc>
      </w:tr>
      <w:tr w:rsidR="00A77B0D" w:rsidRPr="00415B4C" w14:paraId="15FF09F3" w14:textId="77777777" w:rsidTr="00654A84">
        <w:trPr>
          <w:trHeight w:val="300"/>
        </w:trPr>
        <w:tc>
          <w:tcPr>
            <w:tcW w:w="3420" w:type="dxa"/>
          </w:tcPr>
          <w:p w14:paraId="7F40E2B2" w14:textId="3DCB864A"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PB RATIO</w:t>
            </w:r>
            <w:r w:rsidR="00BB113A" w:rsidRPr="00415B4C">
              <w:rPr>
                <w:rFonts w:ascii="Arial" w:hAnsi="Arial" w:cs="Arial"/>
                <w:color w:val="0D0D0D" w:themeColor="text1" w:themeTint="F2"/>
                <w:kern w:val="0"/>
                <w:lang w:bidi="hi-IN"/>
              </w:rPr>
              <w:t xml:space="preserve"> (PBR)</w:t>
            </w:r>
          </w:p>
        </w:tc>
        <w:tc>
          <w:tcPr>
            <w:tcW w:w="1910" w:type="dxa"/>
          </w:tcPr>
          <w:p w14:paraId="7745CD9B"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-.194</w:t>
            </w:r>
          </w:p>
        </w:tc>
        <w:tc>
          <w:tcPr>
            <w:tcW w:w="1910" w:type="dxa"/>
          </w:tcPr>
          <w:p w14:paraId="4BEDB8C1"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.881</w:t>
            </w:r>
          </w:p>
        </w:tc>
        <w:tc>
          <w:tcPr>
            <w:tcW w:w="1910" w:type="dxa"/>
          </w:tcPr>
          <w:p w14:paraId="79D5B148"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.128</w:t>
            </w:r>
          </w:p>
        </w:tc>
      </w:tr>
      <w:tr w:rsidR="00A77B0D" w:rsidRPr="00415B4C" w14:paraId="0DC4C5AF" w14:textId="77777777" w:rsidTr="00654A84">
        <w:trPr>
          <w:trHeight w:val="300"/>
        </w:trPr>
        <w:tc>
          <w:tcPr>
            <w:tcW w:w="9152" w:type="dxa"/>
            <w:gridSpan w:val="4"/>
          </w:tcPr>
          <w:p w14:paraId="742D6D3D" w14:textId="77777777"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Extraction Method: Principal Component Analysis.</w:t>
            </w:r>
          </w:p>
        </w:tc>
      </w:tr>
      <w:tr w:rsidR="00A77B0D" w:rsidRPr="00415B4C" w14:paraId="4F0B8D7F" w14:textId="77777777" w:rsidTr="00654A84">
        <w:trPr>
          <w:trHeight w:val="291"/>
        </w:trPr>
        <w:tc>
          <w:tcPr>
            <w:tcW w:w="9152" w:type="dxa"/>
            <w:gridSpan w:val="4"/>
            <w:tcBorders>
              <w:bottom w:val="single" w:sz="4" w:space="0" w:color="auto"/>
            </w:tcBorders>
          </w:tcPr>
          <w:p w14:paraId="50E07C40" w14:textId="77777777"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a. 3 components extracted.</w:t>
            </w:r>
          </w:p>
        </w:tc>
      </w:tr>
    </w:tbl>
    <w:p w14:paraId="4067B8D6" w14:textId="4D8B3A72" w:rsidR="00966A94" w:rsidRPr="00BE1A74" w:rsidRDefault="003010EB" w:rsidP="003314FB">
      <w:pPr>
        <w:spacing w:after="0" w:line="240" w:lineRule="auto"/>
        <w:rPr>
          <w:rFonts w:ascii="Arial" w:hAnsi="Arial" w:cs="Arial"/>
        </w:rPr>
      </w:pPr>
      <w:r w:rsidRPr="00415B4C">
        <w:rPr>
          <w:rFonts w:ascii="Arial" w:hAnsi="Arial" w:cs="Arial"/>
        </w:rPr>
        <w:t xml:space="preserve">  </w:t>
      </w:r>
      <w:r w:rsidR="00202437" w:rsidRPr="00BE1A74">
        <w:rPr>
          <w:rFonts w:ascii="Arial" w:hAnsi="Arial" w:cs="Arial"/>
        </w:rPr>
        <w:t>Source: Own Calculations</w:t>
      </w:r>
    </w:p>
    <w:p w14:paraId="1BF52A99" w14:textId="18EA18EE" w:rsidR="00E34AE2" w:rsidRPr="00415B4C" w:rsidRDefault="00415B4C" w:rsidP="003314FB">
      <w:pPr>
        <w:spacing w:after="0" w:line="240" w:lineRule="auto"/>
        <w:rPr>
          <w:rFonts w:ascii="Arial" w:hAnsi="Arial" w:cs="Arial"/>
          <w:b/>
          <w:bCs/>
        </w:rPr>
      </w:pPr>
      <w:r>
        <w:rPr>
          <w:rFonts w:ascii="Arial" w:hAnsi="Arial" w:cs="Arial"/>
          <w:b/>
          <w:bCs/>
        </w:rPr>
        <w:t>3</w:t>
      </w:r>
      <w:r w:rsidR="00E34AE2" w:rsidRPr="00415B4C">
        <w:rPr>
          <w:rFonts w:ascii="Arial" w:hAnsi="Arial" w:cs="Arial"/>
          <w:b/>
          <w:bCs/>
        </w:rPr>
        <w:t xml:space="preserve">.3 </w:t>
      </w:r>
      <w:r w:rsidR="006055BF" w:rsidRPr="00415B4C">
        <w:rPr>
          <w:rFonts w:ascii="Arial" w:hAnsi="Arial" w:cs="Arial"/>
          <w:b/>
          <w:bCs/>
        </w:rPr>
        <w:t xml:space="preserve">Impact of </w:t>
      </w:r>
      <w:r w:rsidR="007B235A" w:rsidRPr="00415B4C">
        <w:rPr>
          <w:rFonts w:ascii="Arial" w:hAnsi="Arial" w:cs="Arial"/>
          <w:b/>
          <w:bCs/>
        </w:rPr>
        <w:t>Investors'</w:t>
      </w:r>
      <w:r w:rsidR="006055BF" w:rsidRPr="00415B4C">
        <w:rPr>
          <w:rFonts w:ascii="Arial" w:hAnsi="Arial" w:cs="Arial"/>
          <w:b/>
          <w:bCs/>
        </w:rPr>
        <w:t xml:space="preserve"> Sentiments on Stock Returns </w:t>
      </w:r>
    </w:p>
    <w:p w14:paraId="60F3449F" w14:textId="16D1820D" w:rsidR="00E34AE2" w:rsidRPr="00415B4C" w:rsidRDefault="003A6CA7" w:rsidP="003314FB">
      <w:pPr>
        <w:spacing w:after="0" w:line="240" w:lineRule="auto"/>
        <w:jc w:val="both"/>
        <w:rPr>
          <w:rFonts w:ascii="Arial" w:hAnsi="Arial" w:cs="Arial"/>
        </w:rPr>
      </w:pPr>
      <w:r w:rsidRPr="00415B4C">
        <w:rPr>
          <w:rFonts w:ascii="Arial" w:hAnsi="Arial" w:cs="Arial"/>
        </w:rPr>
        <w:t xml:space="preserve">The </w:t>
      </w:r>
      <w:r w:rsidR="00202437" w:rsidRPr="00415B4C">
        <w:rPr>
          <w:rFonts w:ascii="Arial" w:hAnsi="Arial" w:cs="Arial"/>
        </w:rPr>
        <w:t xml:space="preserve">technique of </w:t>
      </w:r>
      <w:r w:rsidRPr="00415B4C">
        <w:rPr>
          <w:rFonts w:ascii="Arial" w:hAnsi="Arial" w:cs="Arial"/>
        </w:rPr>
        <w:t xml:space="preserve">regression analysis </w:t>
      </w:r>
      <w:r w:rsidR="00202437" w:rsidRPr="00415B4C">
        <w:rPr>
          <w:rFonts w:ascii="Arial" w:hAnsi="Arial" w:cs="Arial"/>
        </w:rPr>
        <w:t xml:space="preserve">has been applied to understand </w:t>
      </w:r>
      <w:r w:rsidRPr="00415B4C">
        <w:rPr>
          <w:rFonts w:ascii="Arial" w:hAnsi="Arial" w:cs="Arial"/>
        </w:rPr>
        <w:t xml:space="preserve">the </w:t>
      </w:r>
      <w:r w:rsidR="000D3E1C" w:rsidRPr="00415B4C">
        <w:rPr>
          <w:rFonts w:ascii="Arial" w:hAnsi="Arial" w:cs="Arial"/>
        </w:rPr>
        <w:t xml:space="preserve">impact of investor sentiment on </w:t>
      </w:r>
      <w:r w:rsidR="00E00498" w:rsidRPr="00415B4C">
        <w:rPr>
          <w:rFonts w:ascii="Arial" w:hAnsi="Arial" w:cs="Arial"/>
        </w:rPr>
        <w:t xml:space="preserve">BSE </w:t>
      </w:r>
      <w:r w:rsidRPr="00415B4C">
        <w:rPr>
          <w:rFonts w:ascii="Arial" w:hAnsi="Arial" w:cs="Arial"/>
        </w:rPr>
        <w:t xml:space="preserve">Sensex return and </w:t>
      </w:r>
      <w:r w:rsidR="002C73D8" w:rsidRPr="00415B4C">
        <w:rPr>
          <w:rFonts w:ascii="Arial" w:hAnsi="Arial" w:cs="Arial"/>
        </w:rPr>
        <w:t xml:space="preserve">the </w:t>
      </w:r>
      <w:r w:rsidR="00094A5B" w:rsidRPr="00415B4C">
        <w:rPr>
          <w:rFonts w:ascii="Arial" w:hAnsi="Arial" w:cs="Arial"/>
        </w:rPr>
        <w:t>created sentiment index</w:t>
      </w:r>
      <w:r w:rsidR="002C73D8" w:rsidRPr="00415B4C">
        <w:rPr>
          <w:rFonts w:ascii="Arial" w:hAnsi="Arial" w:cs="Arial"/>
        </w:rPr>
        <w:t xml:space="preserve"> (</w:t>
      </w:r>
      <w:r w:rsidRPr="00415B4C">
        <w:rPr>
          <w:rFonts w:ascii="Arial" w:hAnsi="Arial" w:cs="Arial"/>
        </w:rPr>
        <w:t>SEN</w:t>
      </w:r>
      <w:r w:rsidR="002C73D8" w:rsidRPr="00415B4C">
        <w:rPr>
          <w:rFonts w:ascii="Arial" w:hAnsi="Arial" w:cs="Arial"/>
        </w:rPr>
        <w:t>T)</w:t>
      </w:r>
      <w:r w:rsidRPr="00415B4C">
        <w:rPr>
          <w:rFonts w:ascii="Arial" w:hAnsi="Arial" w:cs="Arial"/>
        </w:rPr>
        <w:t xml:space="preserve">. The following </w:t>
      </w:r>
      <w:r w:rsidR="002C73D8" w:rsidRPr="00415B4C">
        <w:rPr>
          <w:rFonts w:ascii="Arial" w:hAnsi="Arial" w:cs="Arial"/>
        </w:rPr>
        <w:t>regression equation</w:t>
      </w:r>
      <w:r w:rsidRPr="00415B4C">
        <w:rPr>
          <w:rFonts w:ascii="Arial" w:hAnsi="Arial" w:cs="Arial"/>
        </w:rPr>
        <w:t xml:space="preserve"> </w:t>
      </w:r>
      <w:r w:rsidR="002C73D8" w:rsidRPr="00415B4C">
        <w:rPr>
          <w:rFonts w:ascii="Arial" w:hAnsi="Arial" w:cs="Arial"/>
        </w:rPr>
        <w:t xml:space="preserve">has been </w:t>
      </w:r>
      <w:r w:rsidR="00295858" w:rsidRPr="00415B4C">
        <w:rPr>
          <w:rFonts w:ascii="Arial" w:hAnsi="Arial" w:cs="Arial"/>
        </w:rPr>
        <w:t>developed</w:t>
      </w:r>
      <w:r w:rsidR="00D3714B" w:rsidRPr="00415B4C">
        <w:rPr>
          <w:rFonts w:ascii="Arial" w:hAnsi="Arial" w:cs="Arial"/>
        </w:rPr>
        <w:t xml:space="preserve"> to </w:t>
      </w:r>
      <w:r w:rsidR="00202437" w:rsidRPr="00415B4C">
        <w:rPr>
          <w:rFonts w:ascii="Arial" w:hAnsi="Arial" w:cs="Arial"/>
        </w:rPr>
        <w:t>analyze</w:t>
      </w:r>
      <w:r w:rsidR="003D7A31" w:rsidRPr="00415B4C">
        <w:rPr>
          <w:rFonts w:ascii="Arial" w:hAnsi="Arial" w:cs="Arial"/>
        </w:rPr>
        <w:t xml:space="preserve"> </w:t>
      </w:r>
      <w:r w:rsidR="00D3714B" w:rsidRPr="00415B4C">
        <w:rPr>
          <w:rFonts w:ascii="Arial" w:hAnsi="Arial" w:cs="Arial"/>
        </w:rPr>
        <w:t xml:space="preserve">the impact of investor sentiment on </w:t>
      </w:r>
      <w:r w:rsidR="00607E1F" w:rsidRPr="00415B4C">
        <w:rPr>
          <w:rFonts w:ascii="Arial" w:hAnsi="Arial" w:cs="Arial"/>
        </w:rPr>
        <w:t xml:space="preserve">the </w:t>
      </w:r>
      <w:r w:rsidR="00D3714B" w:rsidRPr="00415B4C">
        <w:rPr>
          <w:rFonts w:ascii="Arial" w:hAnsi="Arial" w:cs="Arial"/>
        </w:rPr>
        <w:t xml:space="preserve">returns of </w:t>
      </w:r>
      <w:r w:rsidR="00202437" w:rsidRPr="00415B4C">
        <w:rPr>
          <w:rFonts w:ascii="Arial" w:hAnsi="Arial" w:cs="Arial"/>
        </w:rPr>
        <w:t xml:space="preserve">BSE </w:t>
      </w:r>
      <w:r w:rsidR="00D3714B" w:rsidRPr="00415B4C">
        <w:rPr>
          <w:rFonts w:ascii="Arial" w:hAnsi="Arial" w:cs="Arial"/>
        </w:rPr>
        <w:t>Sensex:</w:t>
      </w:r>
    </w:p>
    <w:p w14:paraId="5CCA6C5F" w14:textId="20DB0D19" w:rsidR="00243923" w:rsidRPr="00415B4C" w:rsidRDefault="00243923" w:rsidP="003314FB">
      <w:pPr>
        <w:spacing w:after="0" w:line="240" w:lineRule="auto"/>
        <w:jc w:val="both"/>
        <w:rPr>
          <w:rFonts w:ascii="Arial" w:hAnsi="Arial" w:cs="Arial"/>
        </w:rPr>
      </w:pPr>
      <w:r w:rsidRPr="00415B4C">
        <w:rPr>
          <w:rFonts w:ascii="Arial" w:hAnsi="Arial" w:cs="Arial"/>
        </w:rPr>
        <w:t>SR</w:t>
      </w:r>
      <w:r w:rsidR="00DD39E5" w:rsidRPr="00415B4C">
        <w:rPr>
          <w:rFonts w:ascii="Arial" w:hAnsi="Arial" w:cs="Arial"/>
          <w:vertAlign w:val="subscript"/>
        </w:rPr>
        <w:t>t</w:t>
      </w:r>
      <w:r w:rsidRPr="00415B4C">
        <w:rPr>
          <w:rFonts w:ascii="Arial" w:hAnsi="Arial" w:cs="Arial"/>
        </w:rPr>
        <w:t xml:space="preserve"> = </w:t>
      </w:r>
      <w:bookmarkStart w:id="0" w:name="_Hlk158217716"/>
      <w:r w:rsidR="00DD39E5" w:rsidRPr="00415B4C">
        <w:rPr>
          <w:rFonts w:ascii="Arial" w:hAnsi="Arial" w:cs="Arial"/>
        </w:rPr>
        <w:t>α + βSENT</w:t>
      </w:r>
      <w:r w:rsidR="00DD39E5" w:rsidRPr="00415B4C">
        <w:rPr>
          <w:rFonts w:ascii="Arial" w:hAnsi="Arial" w:cs="Arial"/>
          <w:vertAlign w:val="subscript"/>
        </w:rPr>
        <w:t>t</w:t>
      </w:r>
      <w:r w:rsidR="00DD39E5" w:rsidRPr="00415B4C">
        <w:rPr>
          <w:rFonts w:ascii="Arial" w:hAnsi="Arial" w:cs="Arial"/>
        </w:rPr>
        <w:t xml:space="preserve"> + €</w:t>
      </w:r>
      <w:r w:rsidR="00DD39E5" w:rsidRPr="00415B4C">
        <w:rPr>
          <w:rFonts w:ascii="Arial" w:hAnsi="Arial" w:cs="Arial"/>
          <w:vertAlign w:val="subscript"/>
        </w:rPr>
        <w:t>t</w:t>
      </w:r>
      <w:r w:rsidR="00DD39E5" w:rsidRPr="00415B4C">
        <w:rPr>
          <w:rFonts w:ascii="Arial" w:hAnsi="Arial" w:cs="Arial"/>
        </w:rPr>
        <w:t xml:space="preserve"> ……………………………………. (2) </w:t>
      </w:r>
    </w:p>
    <w:p w14:paraId="6549ED5B" w14:textId="77777777" w:rsidR="00E60468" w:rsidRPr="00415B4C" w:rsidRDefault="008F4F04" w:rsidP="003314FB">
      <w:pPr>
        <w:spacing w:after="0" w:line="240" w:lineRule="auto"/>
        <w:jc w:val="both"/>
        <w:rPr>
          <w:rFonts w:ascii="Arial" w:hAnsi="Arial" w:cs="Arial"/>
        </w:rPr>
      </w:pPr>
      <w:bookmarkStart w:id="1" w:name="_Hlk158217817"/>
      <w:bookmarkEnd w:id="0"/>
      <w:r w:rsidRPr="00415B4C">
        <w:rPr>
          <w:rFonts w:ascii="Arial" w:hAnsi="Arial" w:cs="Arial"/>
        </w:rPr>
        <w:t>SR</w:t>
      </w:r>
      <w:r w:rsidRPr="00415B4C">
        <w:rPr>
          <w:rFonts w:ascii="Arial" w:hAnsi="Arial" w:cs="Arial"/>
          <w:vertAlign w:val="subscript"/>
        </w:rPr>
        <w:t>t</w:t>
      </w:r>
      <w:r w:rsidRPr="00415B4C">
        <w:rPr>
          <w:rFonts w:ascii="Arial" w:hAnsi="Arial" w:cs="Arial"/>
        </w:rPr>
        <w:t xml:space="preserve"> = </w:t>
      </w:r>
      <w:bookmarkStart w:id="2" w:name="_Hlk158217865"/>
      <w:r w:rsidRPr="00415B4C">
        <w:rPr>
          <w:rFonts w:ascii="Arial" w:hAnsi="Arial" w:cs="Arial"/>
        </w:rPr>
        <w:t>Sensex returns at the time t</w:t>
      </w:r>
      <w:bookmarkEnd w:id="2"/>
      <w:r w:rsidRPr="00415B4C">
        <w:rPr>
          <w:rFonts w:ascii="Arial" w:hAnsi="Arial" w:cs="Arial"/>
        </w:rPr>
        <w:t>,</w:t>
      </w:r>
      <w:r w:rsidR="000B288C" w:rsidRPr="00415B4C">
        <w:rPr>
          <w:rFonts w:ascii="Arial" w:hAnsi="Arial" w:cs="Arial"/>
        </w:rPr>
        <w:t xml:space="preserve"> </w:t>
      </w:r>
    </w:p>
    <w:p w14:paraId="55DD694E" w14:textId="5BBAF5D4" w:rsidR="00E60468" w:rsidRPr="00415B4C" w:rsidRDefault="008F4F04" w:rsidP="003314FB">
      <w:pPr>
        <w:spacing w:after="0" w:line="240" w:lineRule="auto"/>
        <w:jc w:val="both"/>
        <w:rPr>
          <w:rFonts w:ascii="Arial" w:hAnsi="Arial" w:cs="Arial"/>
        </w:rPr>
      </w:pPr>
      <w:r w:rsidRPr="00415B4C">
        <w:rPr>
          <w:rFonts w:ascii="Arial" w:hAnsi="Arial" w:cs="Arial"/>
        </w:rPr>
        <w:t>SENT</w:t>
      </w:r>
      <w:r w:rsidR="007B569A" w:rsidRPr="00415B4C">
        <w:rPr>
          <w:rFonts w:ascii="Arial" w:hAnsi="Arial" w:cs="Arial"/>
          <w:vertAlign w:val="subscript"/>
        </w:rPr>
        <w:t>t</w:t>
      </w:r>
      <w:r w:rsidRPr="00415B4C">
        <w:rPr>
          <w:rFonts w:ascii="Arial" w:hAnsi="Arial" w:cs="Arial"/>
        </w:rPr>
        <w:t>= Investor sentiment index</w:t>
      </w:r>
      <w:r w:rsidR="007B569A" w:rsidRPr="00415B4C">
        <w:rPr>
          <w:rFonts w:ascii="Arial" w:hAnsi="Arial" w:cs="Arial"/>
        </w:rPr>
        <w:t xml:space="preserve"> </w:t>
      </w:r>
      <w:bookmarkStart w:id="3" w:name="_Hlk158217915"/>
      <w:r w:rsidR="007B569A" w:rsidRPr="00415B4C">
        <w:rPr>
          <w:rFonts w:ascii="Arial" w:hAnsi="Arial" w:cs="Arial"/>
        </w:rPr>
        <w:t>at</w:t>
      </w:r>
      <w:r w:rsidRPr="00415B4C">
        <w:rPr>
          <w:rFonts w:ascii="Arial" w:hAnsi="Arial" w:cs="Arial"/>
        </w:rPr>
        <w:t xml:space="preserve"> t time-period </w:t>
      </w:r>
      <w:bookmarkEnd w:id="3"/>
    </w:p>
    <w:p w14:paraId="50321EE1" w14:textId="677F175E" w:rsidR="00E60468" w:rsidRPr="00415B4C" w:rsidRDefault="008F4F04" w:rsidP="003314FB">
      <w:pPr>
        <w:spacing w:after="0" w:line="240" w:lineRule="auto"/>
        <w:jc w:val="both"/>
        <w:rPr>
          <w:rFonts w:ascii="Arial" w:hAnsi="Arial" w:cs="Arial"/>
        </w:rPr>
      </w:pPr>
      <w:r w:rsidRPr="00415B4C">
        <w:rPr>
          <w:rFonts w:ascii="Arial" w:hAnsi="Arial" w:cs="Arial"/>
        </w:rPr>
        <w:t xml:space="preserve">β = </w:t>
      </w:r>
      <w:r w:rsidR="00B5704F" w:rsidRPr="00415B4C">
        <w:rPr>
          <w:rFonts w:ascii="Arial" w:hAnsi="Arial" w:cs="Arial"/>
        </w:rPr>
        <w:t>C</w:t>
      </w:r>
      <w:r w:rsidRPr="00415B4C">
        <w:rPr>
          <w:rFonts w:ascii="Arial" w:hAnsi="Arial" w:cs="Arial"/>
        </w:rPr>
        <w:t>oefficient</w:t>
      </w:r>
    </w:p>
    <w:p w14:paraId="413DD5F8" w14:textId="77777777" w:rsidR="00E60468" w:rsidRPr="00415B4C" w:rsidRDefault="008F4F04" w:rsidP="003314FB">
      <w:pPr>
        <w:spacing w:after="0" w:line="240" w:lineRule="auto"/>
        <w:jc w:val="both"/>
        <w:rPr>
          <w:rFonts w:ascii="Arial" w:hAnsi="Arial" w:cs="Arial"/>
        </w:rPr>
      </w:pPr>
      <w:r w:rsidRPr="00415B4C">
        <w:rPr>
          <w:rFonts w:ascii="Arial" w:hAnsi="Arial" w:cs="Arial"/>
        </w:rPr>
        <w:t xml:space="preserve"> €</w:t>
      </w:r>
      <w:r w:rsidRPr="00415B4C">
        <w:rPr>
          <w:rFonts w:ascii="Arial" w:hAnsi="Arial" w:cs="Arial"/>
          <w:vertAlign w:val="subscript"/>
        </w:rPr>
        <w:t xml:space="preserve">t </w:t>
      </w:r>
      <w:r w:rsidRPr="00415B4C">
        <w:rPr>
          <w:rFonts w:ascii="Arial" w:hAnsi="Arial" w:cs="Arial"/>
        </w:rPr>
        <w:t xml:space="preserve">= Error term </w:t>
      </w:r>
    </w:p>
    <w:p w14:paraId="1B66BE8D" w14:textId="2DD78CB5" w:rsidR="00DD39E5" w:rsidRPr="00415B4C" w:rsidRDefault="008F4F04" w:rsidP="003314FB">
      <w:pPr>
        <w:spacing w:after="0" w:line="240" w:lineRule="auto"/>
        <w:jc w:val="both"/>
        <w:rPr>
          <w:rFonts w:ascii="Arial" w:hAnsi="Arial" w:cs="Arial"/>
        </w:rPr>
      </w:pPr>
      <w:r w:rsidRPr="00415B4C">
        <w:rPr>
          <w:rFonts w:ascii="Arial" w:hAnsi="Arial" w:cs="Arial"/>
        </w:rPr>
        <w:t>α = Intercept term</w:t>
      </w:r>
    </w:p>
    <w:bookmarkEnd w:id="1"/>
    <w:p w14:paraId="76424F86" w14:textId="0E5EF5EE" w:rsidR="007B569A" w:rsidRPr="00415B4C" w:rsidRDefault="007B569A" w:rsidP="003314FB">
      <w:pPr>
        <w:spacing w:after="0" w:line="240" w:lineRule="auto"/>
        <w:jc w:val="both"/>
        <w:rPr>
          <w:rFonts w:ascii="Arial" w:hAnsi="Arial" w:cs="Arial"/>
        </w:rPr>
      </w:pPr>
      <w:r w:rsidRPr="00415B4C">
        <w:rPr>
          <w:rFonts w:ascii="Arial" w:hAnsi="Arial" w:cs="Arial"/>
        </w:rPr>
        <w:t>H</w:t>
      </w:r>
      <w:r w:rsidRPr="00415B4C">
        <w:rPr>
          <w:rFonts w:ascii="Arial" w:hAnsi="Arial" w:cs="Arial"/>
          <w:vertAlign w:val="subscript"/>
        </w:rPr>
        <w:t>0</w:t>
      </w:r>
      <w:r w:rsidRPr="00415B4C">
        <w:rPr>
          <w:rFonts w:ascii="Arial" w:hAnsi="Arial" w:cs="Arial"/>
        </w:rPr>
        <w:t xml:space="preserve">: Investor sentiment does not affect </w:t>
      </w:r>
      <w:r w:rsidR="00DD6AFE" w:rsidRPr="00415B4C">
        <w:rPr>
          <w:rFonts w:ascii="Arial" w:hAnsi="Arial" w:cs="Arial"/>
        </w:rPr>
        <w:t xml:space="preserve">BSE </w:t>
      </w:r>
      <w:r w:rsidRPr="00415B4C">
        <w:rPr>
          <w:rFonts w:ascii="Arial" w:hAnsi="Arial" w:cs="Arial"/>
        </w:rPr>
        <w:t>Sensex returns</w:t>
      </w:r>
    </w:p>
    <w:p w14:paraId="2252BA84" w14:textId="1E6DD68C" w:rsidR="00EF5AE6" w:rsidRPr="00415B4C" w:rsidRDefault="00E00498" w:rsidP="003314FB">
      <w:pPr>
        <w:spacing w:after="0" w:line="240" w:lineRule="auto"/>
        <w:jc w:val="both"/>
        <w:rPr>
          <w:rFonts w:ascii="Arial" w:hAnsi="Arial" w:cs="Arial"/>
        </w:rPr>
      </w:pPr>
      <w:r w:rsidRPr="00415B4C">
        <w:rPr>
          <w:rFonts w:ascii="Arial" w:hAnsi="Arial" w:cs="Arial"/>
        </w:rPr>
        <w:t xml:space="preserve">The </w:t>
      </w:r>
      <w:r w:rsidR="00202437" w:rsidRPr="00415B4C">
        <w:rPr>
          <w:rFonts w:ascii="Arial" w:hAnsi="Arial" w:cs="Arial"/>
        </w:rPr>
        <w:t>study tries to know</w:t>
      </w:r>
      <w:r w:rsidR="00206590" w:rsidRPr="00415B4C">
        <w:rPr>
          <w:rFonts w:ascii="Arial" w:hAnsi="Arial" w:cs="Arial"/>
        </w:rPr>
        <w:t xml:space="preserve"> the </w:t>
      </w:r>
      <w:r w:rsidR="00DD6AFE" w:rsidRPr="00415B4C">
        <w:rPr>
          <w:rFonts w:ascii="Arial" w:hAnsi="Arial" w:cs="Arial"/>
        </w:rPr>
        <w:t xml:space="preserve">relationship between </w:t>
      </w:r>
      <w:r w:rsidR="00206590" w:rsidRPr="00415B4C">
        <w:rPr>
          <w:rFonts w:ascii="Arial" w:hAnsi="Arial" w:cs="Arial"/>
        </w:rPr>
        <w:t xml:space="preserve">investor sentiment </w:t>
      </w:r>
      <w:r w:rsidR="00DD6AFE" w:rsidRPr="00415B4C">
        <w:rPr>
          <w:rFonts w:ascii="Arial" w:hAnsi="Arial" w:cs="Arial"/>
        </w:rPr>
        <w:t xml:space="preserve">and </w:t>
      </w:r>
      <w:r w:rsidRPr="00415B4C">
        <w:rPr>
          <w:rFonts w:ascii="Arial" w:hAnsi="Arial" w:cs="Arial"/>
        </w:rPr>
        <w:t>BSE Sensex</w:t>
      </w:r>
      <w:r w:rsidR="00206590" w:rsidRPr="00415B4C">
        <w:rPr>
          <w:rFonts w:ascii="Arial" w:hAnsi="Arial" w:cs="Arial"/>
        </w:rPr>
        <w:t xml:space="preserve"> returns. To </w:t>
      </w:r>
      <w:r w:rsidR="00FA47C5" w:rsidRPr="00415B4C">
        <w:rPr>
          <w:rFonts w:ascii="Arial" w:hAnsi="Arial" w:cs="Arial"/>
        </w:rPr>
        <w:t>check</w:t>
      </w:r>
      <w:r w:rsidR="00206590" w:rsidRPr="00415B4C">
        <w:rPr>
          <w:rFonts w:ascii="Arial" w:hAnsi="Arial" w:cs="Arial"/>
        </w:rPr>
        <w:t xml:space="preserve"> the validity of hypothesis H</w:t>
      </w:r>
      <w:r w:rsidR="001345D6" w:rsidRPr="00415B4C">
        <w:rPr>
          <w:rFonts w:ascii="Arial" w:hAnsi="Arial" w:cs="Arial"/>
          <w:vertAlign w:val="subscript"/>
        </w:rPr>
        <w:t>0</w:t>
      </w:r>
      <w:r w:rsidR="001345D6" w:rsidRPr="00415B4C">
        <w:rPr>
          <w:rFonts w:ascii="Arial" w:hAnsi="Arial" w:cs="Arial"/>
        </w:rPr>
        <w:t xml:space="preserve">, </w:t>
      </w:r>
      <w:r w:rsidR="00202437" w:rsidRPr="00415B4C">
        <w:rPr>
          <w:rFonts w:ascii="Arial" w:hAnsi="Arial" w:cs="Arial"/>
        </w:rPr>
        <w:t xml:space="preserve">the technique of </w:t>
      </w:r>
      <w:r w:rsidR="001345D6" w:rsidRPr="00415B4C">
        <w:rPr>
          <w:rFonts w:ascii="Arial" w:hAnsi="Arial" w:cs="Arial"/>
        </w:rPr>
        <w:t>regression</w:t>
      </w:r>
      <w:r w:rsidRPr="00415B4C">
        <w:rPr>
          <w:rFonts w:ascii="Arial" w:hAnsi="Arial" w:cs="Arial"/>
        </w:rPr>
        <w:t xml:space="preserve"> analysis</w:t>
      </w:r>
      <w:r w:rsidR="00206590" w:rsidRPr="00415B4C">
        <w:rPr>
          <w:rFonts w:ascii="Arial" w:hAnsi="Arial" w:cs="Arial"/>
        </w:rPr>
        <w:t xml:space="preserve"> was </w:t>
      </w:r>
      <w:r w:rsidR="009F08AE" w:rsidRPr="00415B4C">
        <w:rPr>
          <w:rFonts w:ascii="Arial" w:hAnsi="Arial" w:cs="Arial"/>
        </w:rPr>
        <w:t xml:space="preserve">performed. The regression equation </w:t>
      </w:r>
      <w:r w:rsidR="00202437" w:rsidRPr="00415B4C">
        <w:rPr>
          <w:rFonts w:ascii="Arial" w:hAnsi="Arial" w:cs="Arial"/>
        </w:rPr>
        <w:t>explained</w:t>
      </w:r>
      <w:r w:rsidR="003129E6" w:rsidRPr="00415B4C">
        <w:rPr>
          <w:rFonts w:ascii="Arial" w:hAnsi="Arial" w:cs="Arial"/>
        </w:rPr>
        <w:t xml:space="preserve"> that the</w:t>
      </w:r>
      <w:r w:rsidR="009F08AE" w:rsidRPr="00415B4C">
        <w:rPr>
          <w:rFonts w:ascii="Arial" w:hAnsi="Arial" w:cs="Arial"/>
        </w:rPr>
        <w:t xml:space="preserve"> </w:t>
      </w:r>
      <w:r w:rsidR="00694CC7" w:rsidRPr="00415B4C">
        <w:rPr>
          <w:rFonts w:ascii="Arial" w:hAnsi="Arial" w:cs="Arial"/>
        </w:rPr>
        <w:t xml:space="preserve">Sensex </w:t>
      </w:r>
      <w:r w:rsidR="00206590" w:rsidRPr="00415B4C">
        <w:rPr>
          <w:rFonts w:ascii="Arial" w:hAnsi="Arial" w:cs="Arial"/>
        </w:rPr>
        <w:t xml:space="preserve">return </w:t>
      </w:r>
      <w:r w:rsidR="005D0E5D" w:rsidRPr="00415B4C">
        <w:rPr>
          <w:rFonts w:ascii="Arial" w:hAnsi="Arial" w:cs="Arial"/>
        </w:rPr>
        <w:t>is</w:t>
      </w:r>
      <w:r w:rsidR="00AB6770" w:rsidRPr="00415B4C">
        <w:rPr>
          <w:rFonts w:ascii="Arial" w:hAnsi="Arial" w:cs="Arial"/>
        </w:rPr>
        <w:t xml:space="preserve"> </w:t>
      </w:r>
      <w:r w:rsidR="00202437" w:rsidRPr="00415B4C">
        <w:rPr>
          <w:rFonts w:ascii="Arial" w:hAnsi="Arial" w:cs="Arial"/>
        </w:rPr>
        <w:t xml:space="preserve">the </w:t>
      </w:r>
      <w:r w:rsidR="00DF7FBB" w:rsidRPr="00415B4C">
        <w:rPr>
          <w:rFonts w:ascii="Arial" w:hAnsi="Arial" w:cs="Arial"/>
        </w:rPr>
        <w:t>dependent</w:t>
      </w:r>
      <w:r w:rsidR="00206590" w:rsidRPr="00415B4C">
        <w:rPr>
          <w:rFonts w:ascii="Arial" w:hAnsi="Arial" w:cs="Arial"/>
        </w:rPr>
        <w:t xml:space="preserve"> variable and investor sentiment </w:t>
      </w:r>
      <w:r w:rsidR="00AB6770" w:rsidRPr="00415B4C">
        <w:rPr>
          <w:rFonts w:ascii="Arial" w:hAnsi="Arial" w:cs="Arial"/>
        </w:rPr>
        <w:t xml:space="preserve">is </w:t>
      </w:r>
      <w:r w:rsidR="00206590" w:rsidRPr="00415B4C">
        <w:rPr>
          <w:rFonts w:ascii="Arial" w:hAnsi="Arial" w:cs="Arial"/>
        </w:rPr>
        <w:t xml:space="preserve">the </w:t>
      </w:r>
      <w:r w:rsidR="00656AC3" w:rsidRPr="00415B4C">
        <w:rPr>
          <w:rFonts w:ascii="Arial" w:hAnsi="Arial" w:cs="Arial"/>
        </w:rPr>
        <w:t>independent</w:t>
      </w:r>
      <w:r w:rsidR="00206590" w:rsidRPr="00415B4C">
        <w:rPr>
          <w:rFonts w:ascii="Arial" w:hAnsi="Arial" w:cs="Arial"/>
        </w:rPr>
        <w:t xml:space="preserve"> variable. </w:t>
      </w:r>
      <w:r w:rsidR="005D0E5D" w:rsidRPr="00415B4C">
        <w:rPr>
          <w:rFonts w:ascii="Arial" w:hAnsi="Arial" w:cs="Arial"/>
        </w:rPr>
        <w:t xml:space="preserve">The </w:t>
      </w:r>
      <w:r w:rsidR="008E75C6" w:rsidRPr="00415B4C">
        <w:rPr>
          <w:rFonts w:ascii="Arial" w:hAnsi="Arial" w:cs="Arial"/>
        </w:rPr>
        <w:t>results</w:t>
      </w:r>
      <w:r w:rsidR="005D0E5D" w:rsidRPr="00415B4C">
        <w:rPr>
          <w:rFonts w:ascii="Arial" w:hAnsi="Arial" w:cs="Arial"/>
        </w:rPr>
        <w:t xml:space="preserve"> of regression analysis </w:t>
      </w:r>
      <w:r w:rsidR="008E75C6" w:rsidRPr="00415B4C">
        <w:rPr>
          <w:rFonts w:ascii="Arial" w:hAnsi="Arial" w:cs="Arial"/>
        </w:rPr>
        <w:t xml:space="preserve">indicate that the </w:t>
      </w:r>
      <w:r w:rsidR="00E51612" w:rsidRPr="00415B4C">
        <w:rPr>
          <w:rFonts w:ascii="Arial" w:hAnsi="Arial" w:cs="Arial"/>
        </w:rPr>
        <w:t>Sensex</w:t>
      </w:r>
      <w:r w:rsidR="008E75C6" w:rsidRPr="00415B4C">
        <w:rPr>
          <w:rFonts w:ascii="Arial" w:hAnsi="Arial" w:cs="Arial"/>
        </w:rPr>
        <w:t xml:space="preserve"> returns and </w:t>
      </w:r>
      <w:r w:rsidR="00B0633C" w:rsidRPr="00415B4C">
        <w:rPr>
          <w:rFonts w:ascii="Arial" w:hAnsi="Arial" w:cs="Arial"/>
        </w:rPr>
        <w:t xml:space="preserve">investor sentiment index </w:t>
      </w:r>
      <w:r w:rsidR="00202437" w:rsidRPr="00415B4C">
        <w:rPr>
          <w:rFonts w:ascii="Arial" w:hAnsi="Arial" w:cs="Arial"/>
        </w:rPr>
        <w:t>have a positive relation</w:t>
      </w:r>
      <w:r w:rsidR="00E51612" w:rsidRPr="00415B4C">
        <w:rPr>
          <w:rFonts w:ascii="Arial" w:hAnsi="Arial" w:cs="Arial"/>
        </w:rPr>
        <w:t>. The</w:t>
      </w:r>
      <w:r w:rsidR="00B0633C" w:rsidRPr="00415B4C">
        <w:rPr>
          <w:rFonts w:ascii="Arial" w:hAnsi="Arial" w:cs="Arial"/>
        </w:rPr>
        <w:t xml:space="preserve"> </w:t>
      </w:r>
      <w:r w:rsidR="00E51612" w:rsidRPr="00415B4C">
        <w:rPr>
          <w:rFonts w:ascii="Arial" w:hAnsi="Arial" w:cs="Arial"/>
        </w:rPr>
        <w:t xml:space="preserve">value of the </w:t>
      </w:r>
      <w:r w:rsidR="00206590" w:rsidRPr="00415B4C">
        <w:rPr>
          <w:rFonts w:ascii="Arial" w:hAnsi="Arial" w:cs="Arial"/>
        </w:rPr>
        <w:t xml:space="preserve">coefficient </w:t>
      </w:r>
      <w:r w:rsidR="00E51612" w:rsidRPr="00415B4C">
        <w:rPr>
          <w:rFonts w:ascii="Arial" w:hAnsi="Arial" w:cs="Arial"/>
        </w:rPr>
        <w:t>is</w:t>
      </w:r>
      <w:r w:rsidR="00206590" w:rsidRPr="00415B4C">
        <w:rPr>
          <w:rFonts w:ascii="Arial" w:hAnsi="Arial" w:cs="Arial"/>
        </w:rPr>
        <w:t xml:space="preserve"> </w:t>
      </w:r>
      <w:r w:rsidR="00654FFD" w:rsidRPr="00415B4C">
        <w:rPr>
          <w:rFonts w:ascii="Arial" w:hAnsi="Arial" w:cs="Arial"/>
        </w:rPr>
        <w:t>1</w:t>
      </w:r>
      <w:r w:rsidR="00206590" w:rsidRPr="00415B4C">
        <w:rPr>
          <w:rFonts w:ascii="Arial" w:hAnsi="Arial" w:cs="Arial"/>
        </w:rPr>
        <w:t>.</w:t>
      </w:r>
      <w:r w:rsidR="00654FFD" w:rsidRPr="00415B4C">
        <w:rPr>
          <w:rFonts w:ascii="Arial" w:hAnsi="Arial" w:cs="Arial"/>
        </w:rPr>
        <w:t>30</w:t>
      </w:r>
      <w:r w:rsidR="005F51E3" w:rsidRPr="00415B4C">
        <w:rPr>
          <w:rFonts w:ascii="Arial" w:hAnsi="Arial" w:cs="Arial"/>
        </w:rPr>
        <w:t>5</w:t>
      </w:r>
      <w:r w:rsidR="00206590" w:rsidRPr="00415B4C">
        <w:rPr>
          <w:rFonts w:ascii="Arial" w:hAnsi="Arial" w:cs="Arial"/>
        </w:rPr>
        <w:t xml:space="preserve"> and </w:t>
      </w:r>
      <w:r w:rsidR="00E51612" w:rsidRPr="00415B4C">
        <w:rPr>
          <w:rFonts w:ascii="Arial" w:hAnsi="Arial" w:cs="Arial"/>
        </w:rPr>
        <w:t>the</w:t>
      </w:r>
      <w:r w:rsidR="00206590" w:rsidRPr="00415B4C">
        <w:rPr>
          <w:rFonts w:ascii="Arial" w:hAnsi="Arial" w:cs="Arial"/>
        </w:rPr>
        <w:t xml:space="preserve"> probability value </w:t>
      </w:r>
      <w:r w:rsidR="00E51612" w:rsidRPr="00415B4C">
        <w:rPr>
          <w:rFonts w:ascii="Arial" w:hAnsi="Arial" w:cs="Arial"/>
        </w:rPr>
        <w:t>is</w:t>
      </w:r>
      <w:r w:rsidR="00206590" w:rsidRPr="00415B4C">
        <w:rPr>
          <w:rFonts w:ascii="Arial" w:hAnsi="Arial" w:cs="Arial"/>
        </w:rPr>
        <w:t xml:space="preserve"> 0.00</w:t>
      </w:r>
      <w:r w:rsidR="001345D6" w:rsidRPr="00415B4C">
        <w:rPr>
          <w:rFonts w:ascii="Arial" w:hAnsi="Arial" w:cs="Arial"/>
        </w:rPr>
        <w:t>2</w:t>
      </w:r>
      <w:r w:rsidR="00C64CE1" w:rsidRPr="00415B4C">
        <w:rPr>
          <w:rFonts w:ascii="Arial" w:hAnsi="Arial" w:cs="Arial"/>
        </w:rPr>
        <w:t>2</w:t>
      </w:r>
      <w:r w:rsidR="00206590" w:rsidRPr="00415B4C">
        <w:rPr>
          <w:rFonts w:ascii="Arial" w:hAnsi="Arial" w:cs="Arial"/>
        </w:rPr>
        <w:t>. The regression results reveal that the alternative hypothesis H</w:t>
      </w:r>
      <w:r w:rsidR="00206590" w:rsidRPr="00415B4C">
        <w:rPr>
          <w:rFonts w:ascii="Arial" w:hAnsi="Arial" w:cs="Arial"/>
          <w:vertAlign w:val="subscript"/>
        </w:rPr>
        <w:t>1</w:t>
      </w:r>
      <w:r w:rsidR="00206590" w:rsidRPr="00415B4C">
        <w:rPr>
          <w:rFonts w:ascii="Arial" w:hAnsi="Arial" w:cs="Arial"/>
        </w:rPr>
        <w:t xml:space="preserve">, </w:t>
      </w:r>
      <w:r w:rsidR="00F94259" w:rsidRPr="00415B4C">
        <w:rPr>
          <w:rFonts w:ascii="Arial" w:hAnsi="Arial" w:cs="Arial"/>
        </w:rPr>
        <w:t xml:space="preserve">i.e. </w:t>
      </w:r>
      <w:r w:rsidR="00206590" w:rsidRPr="00415B4C">
        <w:rPr>
          <w:rFonts w:ascii="Arial" w:hAnsi="Arial" w:cs="Arial"/>
        </w:rPr>
        <w:t>investor sentiment affects stock market returns, is accepted</w:t>
      </w:r>
      <w:r w:rsidR="00F555F9" w:rsidRPr="00415B4C">
        <w:rPr>
          <w:rFonts w:ascii="Arial" w:hAnsi="Arial" w:cs="Arial"/>
        </w:rPr>
        <w:t xml:space="preserve"> as </w:t>
      </w:r>
      <w:r w:rsidR="00206590" w:rsidRPr="00415B4C">
        <w:rPr>
          <w:rFonts w:ascii="Arial" w:hAnsi="Arial" w:cs="Arial"/>
        </w:rPr>
        <w:t xml:space="preserve">the p-value is </w:t>
      </w:r>
      <w:r w:rsidR="00F555F9" w:rsidRPr="00415B4C">
        <w:rPr>
          <w:rFonts w:ascii="Arial" w:hAnsi="Arial" w:cs="Arial"/>
        </w:rPr>
        <w:t>less</w:t>
      </w:r>
      <w:r w:rsidR="00206590" w:rsidRPr="00415B4C">
        <w:rPr>
          <w:rFonts w:ascii="Arial" w:hAnsi="Arial" w:cs="Arial"/>
        </w:rPr>
        <w:t xml:space="preserve"> than 0.05. </w:t>
      </w:r>
      <w:r w:rsidR="00F555F9" w:rsidRPr="00415B4C">
        <w:rPr>
          <w:rFonts w:ascii="Arial" w:hAnsi="Arial" w:cs="Arial"/>
        </w:rPr>
        <w:t>T</w:t>
      </w:r>
      <w:r w:rsidR="00206590" w:rsidRPr="00415B4C">
        <w:rPr>
          <w:rFonts w:ascii="Arial" w:hAnsi="Arial" w:cs="Arial"/>
        </w:rPr>
        <w:t>he value of adjusted R</w:t>
      </w:r>
      <w:r w:rsidR="00206590" w:rsidRPr="00415B4C">
        <w:rPr>
          <w:rFonts w:ascii="Arial" w:hAnsi="Arial" w:cs="Arial"/>
          <w:vertAlign w:val="superscript"/>
        </w:rPr>
        <w:t xml:space="preserve">2 </w:t>
      </w:r>
      <w:r w:rsidR="00206590" w:rsidRPr="00415B4C">
        <w:rPr>
          <w:rFonts w:ascii="Arial" w:hAnsi="Arial" w:cs="Arial"/>
        </w:rPr>
        <w:t>was 0.</w:t>
      </w:r>
      <w:r w:rsidR="003218FD" w:rsidRPr="00415B4C">
        <w:rPr>
          <w:rFonts w:ascii="Arial" w:hAnsi="Arial" w:cs="Arial"/>
        </w:rPr>
        <w:t>0137</w:t>
      </w:r>
      <w:r w:rsidR="00206590" w:rsidRPr="00415B4C">
        <w:rPr>
          <w:rFonts w:ascii="Arial" w:hAnsi="Arial" w:cs="Arial"/>
        </w:rPr>
        <w:t xml:space="preserve">, which </w:t>
      </w:r>
      <w:r w:rsidR="00A220BA" w:rsidRPr="00415B4C">
        <w:rPr>
          <w:rFonts w:ascii="Arial" w:hAnsi="Arial" w:cs="Arial"/>
        </w:rPr>
        <w:t>means</w:t>
      </w:r>
      <w:r w:rsidR="00206590" w:rsidRPr="00415B4C">
        <w:rPr>
          <w:rFonts w:ascii="Arial" w:hAnsi="Arial" w:cs="Arial"/>
        </w:rPr>
        <w:t xml:space="preserve"> that the regression model explains </w:t>
      </w:r>
      <w:r w:rsidR="003218FD" w:rsidRPr="00415B4C">
        <w:rPr>
          <w:rFonts w:ascii="Arial" w:hAnsi="Arial" w:cs="Arial"/>
        </w:rPr>
        <w:t>13</w:t>
      </w:r>
      <w:r w:rsidR="00206590" w:rsidRPr="00415B4C">
        <w:rPr>
          <w:rFonts w:ascii="Arial" w:hAnsi="Arial" w:cs="Arial"/>
        </w:rPr>
        <w:t>.</w:t>
      </w:r>
      <w:r w:rsidR="003218FD" w:rsidRPr="00415B4C">
        <w:rPr>
          <w:rFonts w:ascii="Arial" w:hAnsi="Arial" w:cs="Arial"/>
        </w:rPr>
        <w:t>0</w:t>
      </w:r>
      <w:r w:rsidR="00206590" w:rsidRPr="00415B4C">
        <w:rPr>
          <w:rFonts w:ascii="Arial" w:hAnsi="Arial" w:cs="Arial"/>
        </w:rPr>
        <w:t xml:space="preserve">7% of the variation in the returns </w:t>
      </w:r>
      <w:r w:rsidR="00A220BA" w:rsidRPr="00415B4C">
        <w:rPr>
          <w:rFonts w:ascii="Arial" w:hAnsi="Arial" w:cs="Arial"/>
        </w:rPr>
        <w:t xml:space="preserve">in </w:t>
      </w:r>
      <w:r w:rsidR="00206590" w:rsidRPr="00415B4C">
        <w:rPr>
          <w:rFonts w:ascii="Arial" w:hAnsi="Arial" w:cs="Arial"/>
        </w:rPr>
        <w:t>the stock market</w:t>
      </w:r>
      <w:r w:rsidR="00F63C9F" w:rsidRPr="00415B4C">
        <w:rPr>
          <w:rFonts w:ascii="Arial" w:hAnsi="Arial" w:cs="Arial"/>
        </w:rPr>
        <w:t xml:space="preserve"> (</w:t>
      </w:r>
      <w:r w:rsidR="00206590" w:rsidRPr="00415B4C">
        <w:rPr>
          <w:rFonts w:ascii="Arial" w:hAnsi="Arial" w:cs="Arial"/>
        </w:rPr>
        <w:t xml:space="preserve">Table </w:t>
      </w:r>
      <w:r w:rsidR="003C4A90" w:rsidRPr="00415B4C">
        <w:rPr>
          <w:rFonts w:ascii="Arial" w:hAnsi="Arial" w:cs="Arial"/>
        </w:rPr>
        <w:t>6</w:t>
      </w:r>
      <w:r w:rsidR="00F63C9F" w:rsidRPr="00415B4C">
        <w:rPr>
          <w:rFonts w:ascii="Arial" w:hAnsi="Arial" w:cs="Arial"/>
        </w:rPr>
        <w:t>).</w:t>
      </w:r>
    </w:p>
    <w:p w14:paraId="082B2580" w14:textId="36B44643" w:rsidR="00640A7E" w:rsidRPr="00415B4C" w:rsidRDefault="000E46A2" w:rsidP="003314FB">
      <w:pPr>
        <w:spacing w:after="0" w:line="240" w:lineRule="auto"/>
        <w:jc w:val="center"/>
        <w:rPr>
          <w:rFonts w:ascii="Arial" w:hAnsi="Arial" w:cs="Arial"/>
          <w:b/>
          <w:bCs/>
        </w:rPr>
      </w:pPr>
      <w:r w:rsidRPr="00415B4C">
        <w:rPr>
          <w:rFonts w:ascii="Arial" w:hAnsi="Arial" w:cs="Arial"/>
          <w:b/>
          <w:bCs/>
        </w:rPr>
        <w:t xml:space="preserve">Table - </w:t>
      </w:r>
      <w:r w:rsidR="003C4A90" w:rsidRPr="00415B4C">
        <w:rPr>
          <w:rFonts w:ascii="Arial" w:hAnsi="Arial" w:cs="Arial"/>
          <w:b/>
          <w:bCs/>
        </w:rPr>
        <w:t>6</w:t>
      </w:r>
      <w:r w:rsidRPr="00415B4C">
        <w:rPr>
          <w:rFonts w:ascii="Arial" w:hAnsi="Arial" w:cs="Arial"/>
          <w:b/>
          <w:bCs/>
        </w:rPr>
        <w:t xml:space="preserve"> Regression results of investor sentiment and</w:t>
      </w:r>
      <w:r w:rsidR="00E00498" w:rsidRPr="00415B4C">
        <w:rPr>
          <w:rFonts w:ascii="Arial" w:hAnsi="Arial" w:cs="Arial"/>
          <w:b/>
          <w:bCs/>
        </w:rPr>
        <w:t xml:space="preserve"> BSE</w:t>
      </w:r>
      <w:r w:rsidRPr="00415B4C">
        <w:rPr>
          <w:rFonts w:ascii="Arial" w:hAnsi="Arial" w:cs="Arial"/>
          <w:b/>
          <w:bCs/>
        </w:rPr>
        <w:t xml:space="preserve"> Sensex Returns</w:t>
      </w: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4111"/>
        <w:gridCol w:w="4493"/>
      </w:tblGrid>
      <w:tr w:rsidR="000A5AAE" w:rsidRPr="00415B4C" w14:paraId="2AAE93D1" w14:textId="77777777" w:rsidTr="00BE1A74">
        <w:trPr>
          <w:trHeight w:val="260"/>
          <w:jc w:val="center"/>
        </w:trPr>
        <w:tc>
          <w:tcPr>
            <w:tcW w:w="4111" w:type="dxa"/>
            <w:tcBorders>
              <w:bottom w:val="single" w:sz="4" w:space="0" w:color="auto"/>
            </w:tcBorders>
          </w:tcPr>
          <w:p w14:paraId="742658FC" w14:textId="783EFD99" w:rsidR="000A5AAE" w:rsidRPr="00654A84" w:rsidRDefault="00654A84" w:rsidP="00BE1A74">
            <w:pPr>
              <w:rPr>
                <w:rFonts w:ascii="Arial" w:hAnsi="Arial" w:cs="Arial"/>
                <w:b/>
                <w:bCs/>
              </w:rPr>
            </w:pPr>
            <w:r w:rsidRPr="00654A84">
              <w:rPr>
                <w:rFonts w:ascii="Arial" w:hAnsi="Arial" w:cs="Arial"/>
                <w:b/>
                <w:bCs/>
              </w:rPr>
              <w:t>Particulars</w:t>
            </w:r>
          </w:p>
        </w:tc>
        <w:tc>
          <w:tcPr>
            <w:tcW w:w="4493" w:type="dxa"/>
            <w:tcBorders>
              <w:bottom w:val="single" w:sz="4" w:space="0" w:color="auto"/>
            </w:tcBorders>
          </w:tcPr>
          <w:p w14:paraId="7E30A172" w14:textId="6327DC07" w:rsidR="000A5AAE" w:rsidRPr="00654A84" w:rsidRDefault="00654A84" w:rsidP="00BE1A74">
            <w:pPr>
              <w:rPr>
                <w:rFonts w:ascii="Arial" w:hAnsi="Arial" w:cs="Arial"/>
                <w:b/>
                <w:bCs/>
              </w:rPr>
            </w:pPr>
            <w:r w:rsidRPr="00654A84">
              <w:rPr>
                <w:rFonts w:ascii="Arial" w:hAnsi="Arial" w:cs="Arial"/>
                <w:b/>
                <w:bCs/>
              </w:rPr>
              <w:t>Values</w:t>
            </w:r>
          </w:p>
        </w:tc>
      </w:tr>
      <w:tr w:rsidR="000A5AAE" w:rsidRPr="00415B4C" w14:paraId="3BC7FF0E" w14:textId="77777777" w:rsidTr="00BE1A74">
        <w:trPr>
          <w:trHeight w:val="260"/>
          <w:jc w:val="center"/>
        </w:trPr>
        <w:tc>
          <w:tcPr>
            <w:tcW w:w="4111" w:type="dxa"/>
            <w:tcBorders>
              <w:top w:val="single" w:sz="4" w:space="0" w:color="auto"/>
            </w:tcBorders>
          </w:tcPr>
          <w:p w14:paraId="15F159CD" w14:textId="1A396C63" w:rsidR="000A5AAE" w:rsidRPr="00415B4C" w:rsidRDefault="00654FFD" w:rsidP="00BE1A74">
            <w:pPr>
              <w:rPr>
                <w:rFonts w:ascii="Arial" w:hAnsi="Arial" w:cs="Arial"/>
              </w:rPr>
            </w:pPr>
            <w:r w:rsidRPr="00415B4C">
              <w:rPr>
                <w:rFonts w:ascii="Arial" w:hAnsi="Arial" w:cs="Arial"/>
              </w:rPr>
              <w:t>Beta Coefficient</w:t>
            </w:r>
          </w:p>
        </w:tc>
        <w:tc>
          <w:tcPr>
            <w:tcW w:w="4493" w:type="dxa"/>
            <w:tcBorders>
              <w:top w:val="single" w:sz="4" w:space="0" w:color="auto"/>
            </w:tcBorders>
          </w:tcPr>
          <w:p w14:paraId="670EBF26" w14:textId="1287C8CE" w:rsidR="000A5AAE" w:rsidRPr="00415B4C" w:rsidRDefault="005F51E3" w:rsidP="00BE1A74">
            <w:pPr>
              <w:rPr>
                <w:rFonts w:ascii="Arial" w:hAnsi="Arial" w:cs="Arial"/>
              </w:rPr>
            </w:pPr>
            <w:r w:rsidRPr="00415B4C">
              <w:rPr>
                <w:rFonts w:ascii="Arial" w:hAnsi="Arial" w:cs="Arial"/>
              </w:rPr>
              <w:t>1.305</w:t>
            </w:r>
          </w:p>
        </w:tc>
      </w:tr>
      <w:tr w:rsidR="000A5AAE" w:rsidRPr="00415B4C" w14:paraId="73CD693A" w14:textId="77777777" w:rsidTr="00BE1A74">
        <w:trPr>
          <w:trHeight w:val="260"/>
          <w:jc w:val="center"/>
        </w:trPr>
        <w:tc>
          <w:tcPr>
            <w:tcW w:w="4111" w:type="dxa"/>
          </w:tcPr>
          <w:p w14:paraId="0290854C" w14:textId="2B3635B6" w:rsidR="000A5AAE" w:rsidRPr="00415B4C" w:rsidRDefault="00654FFD" w:rsidP="00BE1A74">
            <w:pPr>
              <w:rPr>
                <w:rFonts w:ascii="Arial" w:hAnsi="Arial" w:cs="Arial"/>
              </w:rPr>
            </w:pPr>
            <w:r w:rsidRPr="00415B4C">
              <w:rPr>
                <w:rFonts w:ascii="Arial" w:hAnsi="Arial" w:cs="Arial"/>
              </w:rPr>
              <w:t>R</w:t>
            </w:r>
            <w:r w:rsidRPr="00415B4C">
              <w:rPr>
                <w:rFonts w:ascii="Arial" w:hAnsi="Arial" w:cs="Arial"/>
                <w:vertAlign w:val="superscript"/>
              </w:rPr>
              <w:t>2</w:t>
            </w:r>
          </w:p>
        </w:tc>
        <w:tc>
          <w:tcPr>
            <w:tcW w:w="4493" w:type="dxa"/>
          </w:tcPr>
          <w:p w14:paraId="7D56537A" w14:textId="17464E77" w:rsidR="000A5AAE" w:rsidRPr="00415B4C" w:rsidRDefault="005F51E3" w:rsidP="00BE1A74">
            <w:pPr>
              <w:rPr>
                <w:rFonts w:ascii="Arial" w:hAnsi="Arial" w:cs="Arial"/>
              </w:rPr>
            </w:pPr>
            <w:r w:rsidRPr="00415B4C">
              <w:rPr>
                <w:rFonts w:ascii="Arial" w:hAnsi="Arial" w:cs="Arial"/>
                <w:color w:val="000000"/>
                <w:kern w:val="0"/>
                <w:lang w:bidi="hi-IN"/>
              </w:rPr>
              <w:t>0.0137</w:t>
            </w:r>
          </w:p>
        </w:tc>
      </w:tr>
      <w:tr w:rsidR="000A5AAE" w:rsidRPr="00415B4C" w14:paraId="752CA47C" w14:textId="77777777" w:rsidTr="00BE1A74">
        <w:trPr>
          <w:trHeight w:val="260"/>
          <w:jc w:val="center"/>
        </w:trPr>
        <w:tc>
          <w:tcPr>
            <w:tcW w:w="4111" w:type="dxa"/>
          </w:tcPr>
          <w:p w14:paraId="2A4ADB38" w14:textId="222C8440" w:rsidR="000A5AAE" w:rsidRPr="00415B4C" w:rsidRDefault="00C21389" w:rsidP="00BE1A74">
            <w:pPr>
              <w:rPr>
                <w:rFonts w:ascii="Arial" w:hAnsi="Arial" w:cs="Arial"/>
              </w:rPr>
            </w:pPr>
            <w:r w:rsidRPr="00415B4C">
              <w:rPr>
                <w:rFonts w:ascii="Arial" w:hAnsi="Arial" w:cs="Arial"/>
              </w:rPr>
              <w:t>Adjusted R</w:t>
            </w:r>
            <w:r w:rsidRPr="00415B4C">
              <w:rPr>
                <w:rFonts w:ascii="Arial" w:hAnsi="Arial" w:cs="Arial"/>
                <w:vertAlign w:val="superscript"/>
              </w:rPr>
              <w:t>2</w:t>
            </w:r>
          </w:p>
        </w:tc>
        <w:tc>
          <w:tcPr>
            <w:tcW w:w="4493" w:type="dxa"/>
          </w:tcPr>
          <w:p w14:paraId="14C8C4A5" w14:textId="465A25C7" w:rsidR="000A5AAE" w:rsidRPr="00415B4C" w:rsidRDefault="002E2BB3" w:rsidP="00BE1A74">
            <w:pPr>
              <w:rPr>
                <w:rFonts w:ascii="Arial" w:hAnsi="Arial" w:cs="Arial"/>
              </w:rPr>
            </w:pPr>
            <w:r w:rsidRPr="00415B4C">
              <w:rPr>
                <w:rFonts w:ascii="Arial" w:hAnsi="Arial" w:cs="Arial"/>
                <w:color w:val="000000"/>
                <w:kern w:val="0"/>
                <w:lang w:bidi="hi-IN"/>
              </w:rPr>
              <w:t>-0.095833</w:t>
            </w:r>
          </w:p>
        </w:tc>
      </w:tr>
      <w:tr w:rsidR="00C21389" w:rsidRPr="00415B4C" w14:paraId="1494B2E1" w14:textId="77777777" w:rsidTr="00BE1A74">
        <w:trPr>
          <w:trHeight w:val="260"/>
          <w:jc w:val="center"/>
        </w:trPr>
        <w:tc>
          <w:tcPr>
            <w:tcW w:w="4111" w:type="dxa"/>
          </w:tcPr>
          <w:p w14:paraId="4CAF323D" w14:textId="4429ACF9" w:rsidR="00C21389" w:rsidRPr="00415B4C" w:rsidRDefault="00C21389" w:rsidP="00BE1A74">
            <w:pPr>
              <w:rPr>
                <w:rFonts w:ascii="Arial" w:hAnsi="Arial" w:cs="Arial"/>
              </w:rPr>
            </w:pPr>
            <w:r w:rsidRPr="00415B4C">
              <w:rPr>
                <w:rFonts w:ascii="Arial" w:hAnsi="Arial" w:cs="Arial"/>
              </w:rPr>
              <w:t>Std. Error of the Estimate</w:t>
            </w:r>
          </w:p>
        </w:tc>
        <w:tc>
          <w:tcPr>
            <w:tcW w:w="4493" w:type="dxa"/>
          </w:tcPr>
          <w:p w14:paraId="78273E79" w14:textId="49F0869F" w:rsidR="00C21389" w:rsidRPr="00415B4C" w:rsidRDefault="002E2BB3" w:rsidP="00BE1A74">
            <w:pPr>
              <w:rPr>
                <w:rFonts w:ascii="Arial" w:hAnsi="Arial" w:cs="Arial"/>
              </w:rPr>
            </w:pPr>
            <w:r w:rsidRPr="00415B4C">
              <w:rPr>
                <w:rFonts w:ascii="Arial" w:hAnsi="Arial" w:cs="Arial"/>
                <w:color w:val="000000"/>
                <w:kern w:val="0"/>
                <w:lang w:bidi="hi-IN"/>
              </w:rPr>
              <w:t>11.65355</w:t>
            </w:r>
          </w:p>
        </w:tc>
      </w:tr>
      <w:tr w:rsidR="000A5AAE" w:rsidRPr="00415B4C" w14:paraId="1A6D2D2E" w14:textId="77777777" w:rsidTr="00BE1A74">
        <w:trPr>
          <w:trHeight w:val="260"/>
          <w:jc w:val="center"/>
        </w:trPr>
        <w:tc>
          <w:tcPr>
            <w:tcW w:w="4111" w:type="dxa"/>
          </w:tcPr>
          <w:p w14:paraId="279F0C39" w14:textId="46B06363" w:rsidR="000A5AAE" w:rsidRPr="00415B4C" w:rsidRDefault="005F5E88" w:rsidP="00BE1A74">
            <w:pPr>
              <w:rPr>
                <w:rFonts w:ascii="Arial" w:hAnsi="Arial" w:cs="Arial"/>
              </w:rPr>
            </w:pPr>
            <w:r w:rsidRPr="00415B4C">
              <w:rPr>
                <w:rFonts w:ascii="Arial" w:hAnsi="Arial" w:cs="Arial"/>
              </w:rPr>
              <w:t>F statistic</w:t>
            </w:r>
          </w:p>
        </w:tc>
        <w:tc>
          <w:tcPr>
            <w:tcW w:w="4493" w:type="dxa"/>
          </w:tcPr>
          <w:p w14:paraId="1BA4C02D" w14:textId="4B5FF782" w:rsidR="000A5AAE" w:rsidRPr="00415B4C" w:rsidRDefault="002E2BB3" w:rsidP="00BE1A74">
            <w:pPr>
              <w:rPr>
                <w:rFonts w:ascii="Arial" w:hAnsi="Arial" w:cs="Arial"/>
              </w:rPr>
            </w:pPr>
            <w:r w:rsidRPr="00415B4C">
              <w:rPr>
                <w:rFonts w:ascii="Arial" w:hAnsi="Arial" w:cs="Arial"/>
                <w:color w:val="000000"/>
                <w:kern w:val="0"/>
                <w:lang w:bidi="hi-IN"/>
              </w:rPr>
              <w:t>0.125477</w:t>
            </w:r>
          </w:p>
        </w:tc>
      </w:tr>
      <w:tr w:rsidR="000A5AAE" w:rsidRPr="00415B4C" w14:paraId="51A9A026" w14:textId="77777777" w:rsidTr="00BE1A74">
        <w:trPr>
          <w:trHeight w:val="260"/>
          <w:jc w:val="center"/>
        </w:trPr>
        <w:tc>
          <w:tcPr>
            <w:tcW w:w="4111" w:type="dxa"/>
          </w:tcPr>
          <w:p w14:paraId="696B0557" w14:textId="1CAF3D5B" w:rsidR="000A5AAE" w:rsidRPr="00415B4C" w:rsidRDefault="005F5E88" w:rsidP="00BE1A74">
            <w:pPr>
              <w:rPr>
                <w:rFonts w:ascii="Arial" w:hAnsi="Arial" w:cs="Arial"/>
              </w:rPr>
            </w:pPr>
            <w:r w:rsidRPr="00415B4C">
              <w:rPr>
                <w:rFonts w:ascii="Arial" w:hAnsi="Arial" w:cs="Arial"/>
              </w:rPr>
              <w:t>t-value</w:t>
            </w:r>
          </w:p>
        </w:tc>
        <w:tc>
          <w:tcPr>
            <w:tcW w:w="4493" w:type="dxa"/>
          </w:tcPr>
          <w:p w14:paraId="49B8CD52" w14:textId="28BB9B5F" w:rsidR="000A5AAE" w:rsidRPr="00415B4C" w:rsidRDefault="002E2BB3" w:rsidP="00BE1A74">
            <w:pPr>
              <w:rPr>
                <w:rFonts w:ascii="Arial" w:hAnsi="Arial" w:cs="Arial"/>
              </w:rPr>
            </w:pPr>
            <w:r w:rsidRPr="00415B4C">
              <w:rPr>
                <w:rFonts w:ascii="Arial" w:hAnsi="Arial" w:cs="Arial"/>
                <w:color w:val="000000"/>
                <w:kern w:val="0"/>
                <w:lang w:bidi="hi-IN"/>
              </w:rPr>
              <w:t>0.354228</w:t>
            </w:r>
          </w:p>
        </w:tc>
      </w:tr>
      <w:tr w:rsidR="00C64CE1" w:rsidRPr="00415B4C" w14:paraId="7A374C47" w14:textId="77777777" w:rsidTr="00BE1A74">
        <w:trPr>
          <w:trHeight w:val="260"/>
          <w:jc w:val="center"/>
        </w:trPr>
        <w:tc>
          <w:tcPr>
            <w:tcW w:w="4111" w:type="dxa"/>
          </w:tcPr>
          <w:p w14:paraId="3377D2E3" w14:textId="5D1D3ED4" w:rsidR="00C64CE1" w:rsidRPr="00415B4C" w:rsidRDefault="00C64CE1" w:rsidP="00BE1A74">
            <w:pPr>
              <w:rPr>
                <w:rFonts w:ascii="Arial" w:hAnsi="Arial" w:cs="Arial"/>
              </w:rPr>
            </w:pPr>
            <w:r w:rsidRPr="00415B4C">
              <w:rPr>
                <w:rFonts w:ascii="Arial" w:hAnsi="Arial" w:cs="Arial"/>
              </w:rPr>
              <w:t>p-value</w:t>
            </w:r>
          </w:p>
        </w:tc>
        <w:tc>
          <w:tcPr>
            <w:tcW w:w="4493" w:type="dxa"/>
            <w:vAlign w:val="bottom"/>
          </w:tcPr>
          <w:p w14:paraId="16E21473" w14:textId="06293BB3" w:rsidR="00C64CE1" w:rsidRPr="00415B4C" w:rsidRDefault="00C64CE1" w:rsidP="00BE1A74">
            <w:pPr>
              <w:rPr>
                <w:rFonts w:ascii="Arial" w:hAnsi="Arial" w:cs="Arial"/>
              </w:rPr>
            </w:pPr>
            <w:r w:rsidRPr="00415B4C">
              <w:rPr>
                <w:rFonts w:ascii="Arial" w:hAnsi="Arial" w:cs="Arial"/>
                <w:color w:val="000000"/>
                <w:kern w:val="0"/>
                <w:lang w:bidi="hi-IN"/>
              </w:rPr>
              <w:t>0.0022</w:t>
            </w:r>
          </w:p>
        </w:tc>
      </w:tr>
      <w:tr w:rsidR="00C64CE1" w:rsidRPr="00415B4C" w14:paraId="58B92EBF" w14:textId="77777777" w:rsidTr="00BE1A74">
        <w:trPr>
          <w:trHeight w:val="260"/>
          <w:jc w:val="center"/>
        </w:trPr>
        <w:tc>
          <w:tcPr>
            <w:tcW w:w="4111" w:type="dxa"/>
          </w:tcPr>
          <w:p w14:paraId="716FA797" w14:textId="663F58FE" w:rsidR="00C64CE1" w:rsidRPr="00415B4C" w:rsidRDefault="00C64CE1" w:rsidP="00BE1A74">
            <w:pPr>
              <w:rPr>
                <w:rFonts w:ascii="Arial" w:hAnsi="Arial" w:cs="Arial"/>
              </w:rPr>
            </w:pPr>
            <w:r w:rsidRPr="00415B4C">
              <w:rPr>
                <w:rFonts w:ascii="Arial" w:hAnsi="Arial" w:cs="Arial"/>
              </w:rPr>
              <w:t>Durbin-Watson</w:t>
            </w:r>
          </w:p>
        </w:tc>
        <w:tc>
          <w:tcPr>
            <w:tcW w:w="4493" w:type="dxa"/>
          </w:tcPr>
          <w:p w14:paraId="637D4B28" w14:textId="70B9A4D3" w:rsidR="00C64CE1" w:rsidRPr="00415B4C" w:rsidRDefault="00C64CE1" w:rsidP="00BE1A74">
            <w:pPr>
              <w:rPr>
                <w:rFonts w:ascii="Arial" w:hAnsi="Arial" w:cs="Arial"/>
              </w:rPr>
            </w:pPr>
            <w:r w:rsidRPr="00415B4C">
              <w:rPr>
                <w:rFonts w:ascii="Arial" w:hAnsi="Arial" w:cs="Arial"/>
                <w:color w:val="000000"/>
                <w:kern w:val="0"/>
                <w:lang w:bidi="hi-IN"/>
              </w:rPr>
              <w:t>2.677588</w:t>
            </w:r>
          </w:p>
        </w:tc>
      </w:tr>
      <w:tr w:rsidR="00C64CE1" w:rsidRPr="00415B4C" w14:paraId="685BA7B7" w14:textId="77777777" w:rsidTr="00BE1A74">
        <w:trPr>
          <w:trHeight w:val="260"/>
          <w:jc w:val="center"/>
        </w:trPr>
        <w:tc>
          <w:tcPr>
            <w:tcW w:w="4111" w:type="dxa"/>
          </w:tcPr>
          <w:p w14:paraId="534340D5" w14:textId="4AEA4DA3" w:rsidR="00C64CE1" w:rsidRPr="00415B4C" w:rsidRDefault="00C64CE1" w:rsidP="00BE1A74">
            <w:pPr>
              <w:rPr>
                <w:rFonts w:ascii="Arial" w:hAnsi="Arial" w:cs="Arial"/>
              </w:rPr>
            </w:pPr>
            <w:r w:rsidRPr="00415B4C">
              <w:rPr>
                <w:rFonts w:ascii="Arial" w:hAnsi="Arial" w:cs="Arial"/>
              </w:rPr>
              <w:t>Hypothesis status</w:t>
            </w:r>
          </w:p>
        </w:tc>
        <w:tc>
          <w:tcPr>
            <w:tcW w:w="4493" w:type="dxa"/>
          </w:tcPr>
          <w:p w14:paraId="561B1759" w14:textId="7C2D8C44" w:rsidR="00C64CE1" w:rsidRPr="00415B4C" w:rsidRDefault="00C64CE1" w:rsidP="00BE1A74">
            <w:pPr>
              <w:rPr>
                <w:rFonts w:ascii="Arial" w:hAnsi="Arial" w:cs="Arial"/>
              </w:rPr>
            </w:pPr>
            <w:r w:rsidRPr="00415B4C">
              <w:rPr>
                <w:rFonts w:ascii="Arial" w:hAnsi="Arial" w:cs="Arial"/>
              </w:rPr>
              <w:t>Rejected</w:t>
            </w:r>
          </w:p>
        </w:tc>
      </w:tr>
    </w:tbl>
    <w:p w14:paraId="65496202" w14:textId="61957AA3" w:rsidR="00D33EB9" w:rsidRPr="00415B4C" w:rsidRDefault="003010EB" w:rsidP="003314FB">
      <w:pPr>
        <w:spacing w:after="0" w:line="240" w:lineRule="auto"/>
        <w:jc w:val="both"/>
        <w:rPr>
          <w:rFonts w:ascii="Arial" w:hAnsi="Arial" w:cs="Arial"/>
        </w:rPr>
      </w:pPr>
      <w:r w:rsidRPr="00415B4C">
        <w:rPr>
          <w:rFonts w:ascii="Arial" w:hAnsi="Arial" w:cs="Arial"/>
        </w:rPr>
        <w:t xml:space="preserve">              </w:t>
      </w:r>
      <w:r w:rsidR="003C4A90" w:rsidRPr="00415B4C">
        <w:rPr>
          <w:rFonts w:ascii="Arial" w:hAnsi="Arial" w:cs="Arial"/>
        </w:rPr>
        <w:t>Source: Own Calculations</w:t>
      </w:r>
    </w:p>
    <w:p w14:paraId="49534C0F" w14:textId="4CDAF114" w:rsidR="000E0B29" w:rsidRPr="00415B4C" w:rsidRDefault="00EC5505" w:rsidP="003314FB">
      <w:pPr>
        <w:spacing w:after="0" w:line="240" w:lineRule="auto"/>
        <w:jc w:val="both"/>
        <w:rPr>
          <w:rFonts w:ascii="Arial" w:hAnsi="Arial" w:cs="Arial"/>
        </w:rPr>
      </w:pPr>
      <w:r w:rsidRPr="00415B4C">
        <w:rPr>
          <w:rFonts w:ascii="Arial" w:hAnsi="Arial" w:cs="Arial"/>
        </w:rPr>
        <w:t>Th</w:t>
      </w:r>
      <w:r w:rsidR="00802E0E" w:rsidRPr="00415B4C">
        <w:rPr>
          <w:rFonts w:ascii="Arial" w:hAnsi="Arial" w:cs="Arial"/>
        </w:rPr>
        <w:t>e</w:t>
      </w:r>
      <w:r w:rsidRPr="00415B4C">
        <w:rPr>
          <w:rFonts w:ascii="Arial" w:hAnsi="Arial" w:cs="Arial"/>
        </w:rPr>
        <w:t xml:space="preserve"> </w:t>
      </w:r>
      <w:r w:rsidR="00802E0E" w:rsidRPr="00415B4C">
        <w:rPr>
          <w:rFonts w:ascii="Arial" w:hAnsi="Arial" w:cs="Arial"/>
        </w:rPr>
        <w:t>present study</w:t>
      </w:r>
      <w:r w:rsidRPr="00415B4C">
        <w:rPr>
          <w:rFonts w:ascii="Arial" w:hAnsi="Arial" w:cs="Arial"/>
        </w:rPr>
        <w:t xml:space="preserve"> </w:t>
      </w:r>
      <w:r w:rsidR="00841DCA" w:rsidRPr="00415B4C">
        <w:rPr>
          <w:rFonts w:ascii="Arial" w:hAnsi="Arial" w:cs="Arial"/>
        </w:rPr>
        <w:t>indicates</w:t>
      </w:r>
      <w:r w:rsidRPr="00415B4C">
        <w:rPr>
          <w:rFonts w:ascii="Arial" w:hAnsi="Arial" w:cs="Arial"/>
        </w:rPr>
        <w:t xml:space="preserve"> that investor sentiment</w:t>
      </w:r>
      <w:r w:rsidR="006837DE" w:rsidRPr="00415B4C">
        <w:rPr>
          <w:rFonts w:ascii="Arial" w:hAnsi="Arial" w:cs="Arial"/>
        </w:rPr>
        <w:t xml:space="preserve"> </w:t>
      </w:r>
      <w:r w:rsidRPr="00415B4C">
        <w:rPr>
          <w:rFonts w:ascii="Arial" w:hAnsi="Arial" w:cs="Arial"/>
        </w:rPr>
        <w:t xml:space="preserve">affects stock market returns, which is </w:t>
      </w:r>
      <w:r w:rsidR="00A169C8" w:rsidRPr="00415B4C">
        <w:rPr>
          <w:rFonts w:ascii="Arial" w:hAnsi="Arial" w:cs="Arial"/>
        </w:rPr>
        <w:t>similar to the results</w:t>
      </w:r>
      <w:r w:rsidRPr="00415B4C">
        <w:rPr>
          <w:rFonts w:ascii="Arial" w:hAnsi="Arial" w:cs="Arial"/>
        </w:rPr>
        <w:t xml:space="preserve"> of p</w:t>
      </w:r>
      <w:r w:rsidR="00A169C8" w:rsidRPr="00415B4C">
        <w:rPr>
          <w:rFonts w:ascii="Arial" w:hAnsi="Arial" w:cs="Arial"/>
        </w:rPr>
        <w:t>ast</w:t>
      </w:r>
      <w:r w:rsidRPr="00415B4C">
        <w:rPr>
          <w:rFonts w:ascii="Arial" w:hAnsi="Arial" w:cs="Arial"/>
        </w:rPr>
        <w:t xml:space="preserve"> </w:t>
      </w:r>
      <w:r w:rsidR="00A169C8" w:rsidRPr="00415B4C">
        <w:rPr>
          <w:rFonts w:ascii="Arial" w:hAnsi="Arial" w:cs="Arial"/>
        </w:rPr>
        <w:t>studies</w:t>
      </w:r>
      <w:r w:rsidRPr="00415B4C">
        <w:rPr>
          <w:rFonts w:ascii="Arial" w:hAnsi="Arial" w:cs="Arial"/>
        </w:rPr>
        <w:t xml:space="preserve"> in the Indian context (Aggarwal and Mohanty, 2018; Dash and Mahakud, 2012, Pandey and Sehgal, 2019). The</w:t>
      </w:r>
      <w:r w:rsidR="00A169C8" w:rsidRPr="00415B4C">
        <w:rPr>
          <w:rFonts w:ascii="Arial" w:hAnsi="Arial" w:cs="Arial"/>
        </w:rPr>
        <w:t xml:space="preserve"> results</w:t>
      </w:r>
      <w:r w:rsidR="008C30E2" w:rsidRPr="00415B4C">
        <w:rPr>
          <w:rFonts w:ascii="Arial" w:hAnsi="Arial" w:cs="Arial"/>
        </w:rPr>
        <w:t xml:space="preserve"> of</w:t>
      </w:r>
      <w:r w:rsidRPr="00415B4C">
        <w:rPr>
          <w:rFonts w:ascii="Arial" w:hAnsi="Arial" w:cs="Arial"/>
        </w:rPr>
        <w:t xml:space="preserve"> regression analysis </w:t>
      </w:r>
      <w:r w:rsidR="008C30E2" w:rsidRPr="00415B4C">
        <w:rPr>
          <w:rFonts w:ascii="Arial" w:hAnsi="Arial" w:cs="Arial"/>
        </w:rPr>
        <w:t>depict</w:t>
      </w:r>
      <w:r w:rsidRPr="00415B4C">
        <w:rPr>
          <w:rFonts w:ascii="Arial" w:hAnsi="Arial" w:cs="Arial"/>
        </w:rPr>
        <w:t xml:space="preserve"> that the value of R-square is </w:t>
      </w:r>
      <w:r w:rsidR="006837DE" w:rsidRPr="00415B4C">
        <w:rPr>
          <w:rFonts w:ascii="Arial" w:hAnsi="Arial" w:cs="Arial"/>
        </w:rPr>
        <w:t>low</w:t>
      </w:r>
      <w:r w:rsidRPr="00415B4C">
        <w:rPr>
          <w:rFonts w:ascii="Arial" w:hAnsi="Arial" w:cs="Arial"/>
        </w:rPr>
        <w:t xml:space="preserve">, which </w:t>
      </w:r>
      <w:r w:rsidR="00395386" w:rsidRPr="00415B4C">
        <w:rPr>
          <w:rFonts w:ascii="Arial" w:hAnsi="Arial" w:cs="Arial"/>
        </w:rPr>
        <w:t xml:space="preserve">indicates </w:t>
      </w:r>
      <w:r w:rsidRPr="00415B4C">
        <w:rPr>
          <w:rFonts w:ascii="Arial" w:hAnsi="Arial" w:cs="Arial"/>
        </w:rPr>
        <w:t xml:space="preserve">that investor sentiment has </w:t>
      </w:r>
      <w:r w:rsidR="00DD23E8" w:rsidRPr="00415B4C">
        <w:rPr>
          <w:rFonts w:ascii="Arial" w:hAnsi="Arial" w:cs="Arial"/>
        </w:rPr>
        <w:t>a low</w:t>
      </w:r>
      <w:r w:rsidR="009E094B" w:rsidRPr="00415B4C">
        <w:rPr>
          <w:rFonts w:ascii="Arial" w:hAnsi="Arial" w:cs="Arial"/>
        </w:rPr>
        <w:t xml:space="preserve"> </w:t>
      </w:r>
      <w:r w:rsidR="001A4BFB" w:rsidRPr="00415B4C">
        <w:rPr>
          <w:rFonts w:ascii="Arial" w:hAnsi="Arial" w:cs="Arial"/>
        </w:rPr>
        <w:t>impact</w:t>
      </w:r>
      <w:r w:rsidRPr="00415B4C">
        <w:rPr>
          <w:rFonts w:ascii="Arial" w:hAnsi="Arial" w:cs="Arial"/>
        </w:rPr>
        <w:t xml:space="preserve"> on the stock market</w:t>
      </w:r>
      <w:r w:rsidR="001A4BFB" w:rsidRPr="00415B4C">
        <w:rPr>
          <w:rFonts w:ascii="Arial" w:hAnsi="Arial" w:cs="Arial"/>
        </w:rPr>
        <w:t xml:space="preserve"> returns</w:t>
      </w:r>
      <w:r w:rsidRPr="00415B4C">
        <w:rPr>
          <w:rFonts w:ascii="Arial" w:hAnsi="Arial" w:cs="Arial"/>
        </w:rPr>
        <w:t xml:space="preserve"> and</w:t>
      </w:r>
      <w:r w:rsidR="003B29FC" w:rsidRPr="00415B4C">
        <w:rPr>
          <w:rFonts w:ascii="Arial" w:hAnsi="Arial" w:cs="Arial"/>
        </w:rPr>
        <w:t xml:space="preserve"> </w:t>
      </w:r>
      <w:r w:rsidR="00DD23E8" w:rsidRPr="00415B4C">
        <w:rPr>
          <w:rFonts w:ascii="Arial" w:hAnsi="Arial" w:cs="Arial"/>
        </w:rPr>
        <w:t xml:space="preserve">also </w:t>
      </w:r>
      <w:r w:rsidR="003B6648" w:rsidRPr="00415B4C">
        <w:rPr>
          <w:rFonts w:ascii="Arial" w:hAnsi="Arial" w:cs="Arial"/>
        </w:rPr>
        <w:t>clarifies</w:t>
      </w:r>
      <w:r w:rsidRPr="00415B4C">
        <w:rPr>
          <w:rFonts w:ascii="Arial" w:hAnsi="Arial" w:cs="Arial"/>
        </w:rPr>
        <w:t xml:space="preserve"> the </w:t>
      </w:r>
      <w:r w:rsidR="00727809" w:rsidRPr="00415B4C">
        <w:rPr>
          <w:rFonts w:ascii="Arial" w:hAnsi="Arial" w:cs="Arial"/>
        </w:rPr>
        <w:t xml:space="preserve">variance </w:t>
      </w:r>
      <w:r w:rsidRPr="00415B4C">
        <w:rPr>
          <w:rFonts w:ascii="Arial" w:hAnsi="Arial" w:cs="Arial"/>
        </w:rPr>
        <w:t xml:space="preserve">in the </w:t>
      </w:r>
      <w:r w:rsidR="00727809" w:rsidRPr="00415B4C">
        <w:rPr>
          <w:rFonts w:ascii="Arial" w:hAnsi="Arial" w:cs="Arial"/>
        </w:rPr>
        <w:t xml:space="preserve">returns of the </w:t>
      </w:r>
      <w:r w:rsidRPr="00415B4C">
        <w:rPr>
          <w:rFonts w:ascii="Arial" w:hAnsi="Arial" w:cs="Arial"/>
        </w:rPr>
        <w:t xml:space="preserve">Indian stock </w:t>
      </w:r>
      <w:r w:rsidR="003B29FC" w:rsidRPr="00415B4C">
        <w:rPr>
          <w:rFonts w:ascii="Arial" w:hAnsi="Arial" w:cs="Arial"/>
        </w:rPr>
        <w:t>market</w:t>
      </w:r>
      <w:r w:rsidRPr="00415B4C">
        <w:rPr>
          <w:rFonts w:ascii="Arial" w:hAnsi="Arial" w:cs="Arial"/>
        </w:rPr>
        <w:t>. Th</w:t>
      </w:r>
      <w:r w:rsidR="00A5642B" w:rsidRPr="00415B4C">
        <w:rPr>
          <w:rFonts w:ascii="Arial" w:hAnsi="Arial" w:cs="Arial"/>
        </w:rPr>
        <w:t>e present</w:t>
      </w:r>
      <w:r w:rsidRPr="00415B4C">
        <w:rPr>
          <w:rFonts w:ascii="Arial" w:hAnsi="Arial" w:cs="Arial"/>
        </w:rPr>
        <w:t xml:space="preserve"> study </w:t>
      </w:r>
      <w:r w:rsidR="00A5642B" w:rsidRPr="00415B4C">
        <w:rPr>
          <w:rFonts w:ascii="Arial" w:hAnsi="Arial" w:cs="Arial"/>
        </w:rPr>
        <w:t xml:space="preserve">also </w:t>
      </w:r>
      <w:r w:rsidR="000E0B29" w:rsidRPr="00415B4C">
        <w:rPr>
          <w:rFonts w:ascii="Arial" w:hAnsi="Arial" w:cs="Arial"/>
        </w:rPr>
        <w:t>clarifies</w:t>
      </w:r>
      <w:r w:rsidRPr="00415B4C">
        <w:rPr>
          <w:rFonts w:ascii="Arial" w:hAnsi="Arial" w:cs="Arial"/>
        </w:rPr>
        <w:t xml:space="preserve"> the </w:t>
      </w:r>
      <w:r w:rsidR="000E0B29" w:rsidRPr="00415B4C">
        <w:rPr>
          <w:rFonts w:ascii="Arial" w:hAnsi="Arial" w:cs="Arial"/>
        </w:rPr>
        <w:t xml:space="preserve">presence </w:t>
      </w:r>
      <w:r w:rsidRPr="00415B4C">
        <w:rPr>
          <w:rFonts w:ascii="Arial" w:hAnsi="Arial" w:cs="Arial"/>
        </w:rPr>
        <w:t>of a positive relationship between investor sentiment and stock market returns which is consistent with the findings</w:t>
      </w:r>
      <w:r w:rsidR="00912245" w:rsidRPr="00415B4C">
        <w:rPr>
          <w:rFonts w:ascii="Arial" w:hAnsi="Arial" w:cs="Arial"/>
        </w:rPr>
        <w:t xml:space="preserve"> of Aggarwal and Mohanty (2018), Xu and Zhou (2018)</w:t>
      </w:r>
      <w:r w:rsidR="002864A2" w:rsidRPr="00415B4C">
        <w:rPr>
          <w:rFonts w:ascii="Arial" w:hAnsi="Arial" w:cs="Arial"/>
        </w:rPr>
        <w:t>.</w:t>
      </w:r>
    </w:p>
    <w:p w14:paraId="16F76EB9" w14:textId="7029DB5A" w:rsidR="00AE2674" w:rsidRPr="00BE1A74" w:rsidRDefault="00BE1A74" w:rsidP="00BE1A74">
      <w:pPr>
        <w:pStyle w:val="ListParagraph"/>
        <w:numPr>
          <w:ilvl w:val="0"/>
          <w:numId w:val="5"/>
        </w:numPr>
        <w:spacing w:after="0" w:line="240" w:lineRule="auto"/>
        <w:jc w:val="both"/>
        <w:rPr>
          <w:rFonts w:ascii="Arial" w:hAnsi="Arial" w:cs="Arial"/>
          <w:b/>
          <w:bCs/>
        </w:rPr>
      </w:pPr>
      <w:r>
        <w:rPr>
          <w:rFonts w:ascii="Arial" w:hAnsi="Arial" w:cs="Arial"/>
          <w:b/>
          <w:bCs/>
        </w:rPr>
        <w:t>CONCLUSION</w:t>
      </w:r>
      <w:r w:rsidRPr="00415B4C">
        <w:rPr>
          <w:rFonts w:ascii="Arial" w:hAnsi="Arial" w:cs="Arial"/>
          <w:b/>
          <w:bCs/>
        </w:rPr>
        <w:t xml:space="preserve"> </w:t>
      </w:r>
    </w:p>
    <w:p w14:paraId="7D78FA76" w14:textId="652E445E" w:rsidR="004858ED" w:rsidRDefault="00063318" w:rsidP="003314FB">
      <w:pPr>
        <w:spacing w:after="0" w:line="240" w:lineRule="auto"/>
        <w:jc w:val="both"/>
        <w:rPr>
          <w:rFonts w:ascii="Arial" w:hAnsi="Arial" w:cs="Arial"/>
        </w:rPr>
      </w:pPr>
      <w:r w:rsidRPr="00415B4C">
        <w:rPr>
          <w:rFonts w:ascii="Arial" w:hAnsi="Arial" w:cs="Arial"/>
        </w:rPr>
        <w:t>The present study tries to explore the relationship between investor sentiment and stock returns for the Indian stock market (BSE Sensex) returns</w:t>
      </w:r>
      <w:r w:rsidR="0032189A" w:rsidRPr="00415B4C">
        <w:rPr>
          <w:rFonts w:ascii="Arial" w:hAnsi="Arial" w:cs="Arial"/>
        </w:rPr>
        <w:t>.</w:t>
      </w:r>
      <w:r w:rsidRPr="00415B4C">
        <w:rPr>
          <w:rFonts w:ascii="Arial" w:hAnsi="Arial" w:cs="Arial"/>
        </w:rPr>
        <w:t xml:space="preserve"> </w:t>
      </w:r>
      <w:r w:rsidR="008F15AD" w:rsidRPr="00415B4C">
        <w:rPr>
          <w:rFonts w:ascii="Arial" w:hAnsi="Arial" w:cs="Arial"/>
        </w:rPr>
        <w:t>The study establishes</w:t>
      </w:r>
      <w:r w:rsidRPr="00415B4C">
        <w:rPr>
          <w:rFonts w:ascii="Arial" w:hAnsi="Arial" w:cs="Arial"/>
        </w:rPr>
        <w:t xml:space="preserve"> </w:t>
      </w:r>
      <w:r w:rsidR="00690B28" w:rsidRPr="00415B4C">
        <w:rPr>
          <w:rFonts w:ascii="Arial" w:hAnsi="Arial" w:cs="Arial"/>
        </w:rPr>
        <w:t xml:space="preserve">a </w:t>
      </w:r>
      <w:r w:rsidRPr="00415B4C">
        <w:rPr>
          <w:rFonts w:ascii="Arial" w:hAnsi="Arial" w:cs="Arial"/>
        </w:rPr>
        <w:t xml:space="preserve">relationship between investor sentiment and stock returns in the Indian stock market, </w:t>
      </w:r>
      <w:r w:rsidR="004D675D" w:rsidRPr="00415B4C">
        <w:rPr>
          <w:rFonts w:ascii="Arial" w:hAnsi="Arial" w:cs="Arial"/>
        </w:rPr>
        <w:t>by constructing</w:t>
      </w:r>
      <w:r w:rsidRPr="00415B4C">
        <w:rPr>
          <w:rFonts w:ascii="Arial" w:hAnsi="Arial" w:cs="Arial"/>
        </w:rPr>
        <w:t xml:space="preserve"> the investor sentiment index using seven market </w:t>
      </w:r>
      <w:r w:rsidR="004C0CF2" w:rsidRPr="00415B4C">
        <w:rPr>
          <w:rFonts w:ascii="Arial" w:hAnsi="Arial" w:cs="Arial"/>
        </w:rPr>
        <w:t xml:space="preserve">proxies. The </w:t>
      </w:r>
      <w:r w:rsidRPr="00415B4C">
        <w:rPr>
          <w:rFonts w:ascii="Arial" w:hAnsi="Arial" w:cs="Arial"/>
        </w:rPr>
        <w:t xml:space="preserve">Principal Component Technique has been </w:t>
      </w:r>
      <w:r w:rsidR="008F4D09" w:rsidRPr="00415B4C">
        <w:rPr>
          <w:rFonts w:ascii="Arial" w:hAnsi="Arial" w:cs="Arial"/>
        </w:rPr>
        <w:t>applied</w:t>
      </w:r>
      <w:r w:rsidRPr="00415B4C">
        <w:rPr>
          <w:rFonts w:ascii="Arial" w:hAnsi="Arial" w:cs="Arial"/>
        </w:rPr>
        <w:t xml:space="preserve"> to </w:t>
      </w:r>
      <w:r w:rsidR="008F4D09" w:rsidRPr="00415B4C">
        <w:rPr>
          <w:rFonts w:ascii="Arial" w:hAnsi="Arial" w:cs="Arial"/>
        </w:rPr>
        <w:t>measure</w:t>
      </w:r>
      <w:r w:rsidRPr="00415B4C">
        <w:rPr>
          <w:rFonts w:ascii="Arial" w:hAnsi="Arial" w:cs="Arial"/>
        </w:rPr>
        <w:t xml:space="preserve"> the sentiment</w:t>
      </w:r>
      <w:r w:rsidR="008F4D09" w:rsidRPr="00415B4C">
        <w:rPr>
          <w:rFonts w:ascii="Arial" w:hAnsi="Arial" w:cs="Arial"/>
        </w:rPr>
        <w:t>s of investors</w:t>
      </w:r>
      <w:r w:rsidRPr="00415B4C">
        <w:rPr>
          <w:rFonts w:ascii="Arial" w:hAnsi="Arial" w:cs="Arial"/>
        </w:rPr>
        <w:t xml:space="preserve">. The </w:t>
      </w:r>
      <w:r w:rsidR="00D673A1" w:rsidRPr="00415B4C">
        <w:rPr>
          <w:rFonts w:ascii="Arial" w:hAnsi="Arial" w:cs="Arial"/>
        </w:rPr>
        <w:t xml:space="preserve">results of the study express </w:t>
      </w:r>
      <w:r w:rsidR="00802FF8" w:rsidRPr="00415B4C">
        <w:rPr>
          <w:rFonts w:ascii="Arial" w:hAnsi="Arial" w:cs="Arial"/>
        </w:rPr>
        <w:t>a</w:t>
      </w:r>
      <w:r w:rsidRPr="00415B4C">
        <w:rPr>
          <w:rFonts w:ascii="Arial" w:hAnsi="Arial" w:cs="Arial"/>
        </w:rPr>
        <w:t xml:space="preserve"> positive </w:t>
      </w:r>
      <w:r w:rsidR="006304B5" w:rsidRPr="00415B4C">
        <w:rPr>
          <w:rFonts w:ascii="Arial" w:hAnsi="Arial" w:cs="Arial"/>
        </w:rPr>
        <w:t>relationship</w:t>
      </w:r>
      <w:r w:rsidRPr="00415B4C">
        <w:rPr>
          <w:rFonts w:ascii="Arial" w:hAnsi="Arial" w:cs="Arial"/>
        </w:rPr>
        <w:t xml:space="preserve"> between investor sentiment and stock </w:t>
      </w:r>
      <w:r w:rsidRPr="00415B4C">
        <w:rPr>
          <w:rFonts w:ascii="Arial" w:hAnsi="Arial" w:cs="Arial"/>
        </w:rPr>
        <w:lastRenderedPageBreak/>
        <w:t xml:space="preserve">market </w:t>
      </w:r>
      <w:r w:rsidR="00C22CB8" w:rsidRPr="00415B4C">
        <w:rPr>
          <w:rFonts w:ascii="Arial" w:hAnsi="Arial" w:cs="Arial"/>
        </w:rPr>
        <w:t>returns. The</w:t>
      </w:r>
      <w:r w:rsidR="004708C3" w:rsidRPr="00415B4C">
        <w:rPr>
          <w:rFonts w:ascii="Arial" w:hAnsi="Arial" w:cs="Arial"/>
        </w:rPr>
        <w:t xml:space="preserve"> findings of the</w:t>
      </w:r>
      <w:r w:rsidR="00C22CB8" w:rsidRPr="00415B4C">
        <w:rPr>
          <w:rFonts w:ascii="Arial" w:hAnsi="Arial" w:cs="Arial"/>
        </w:rPr>
        <w:t xml:space="preserve"> study also reveal that </w:t>
      </w:r>
      <w:r w:rsidRPr="00415B4C">
        <w:rPr>
          <w:rFonts w:ascii="Arial" w:hAnsi="Arial" w:cs="Arial"/>
        </w:rPr>
        <w:t xml:space="preserve">investor sentiment has the power to </w:t>
      </w:r>
      <w:r w:rsidR="006304B5" w:rsidRPr="00415B4C">
        <w:rPr>
          <w:rFonts w:ascii="Arial" w:hAnsi="Arial" w:cs="Arial"/>
        </w:rPr>
        <w:t>predict</w:t>
      </w:r>
      <w:r w:rsidRPr="00415B4C">
        <w:rPr>
          <w:rFonts w:ascii="Arial" w:hAnsi="Arial" w:cs="Arial"/>
        </w:rPr>
        <w:t xml:space="preserve"> </w:t>
      </w:r>
      <w:r w:rsidR="00116105" w:rsidRPr="00415B4C">
        <w:rPr>
          <w:rFonts w:ascii="Arial" w:hAnsi="Arial" w:cs="Arial"/>
        </w:rPr>
        <w:t>BSE Sensex</w:t>
      </w:r>
      <w:r w:rsidRPr="00415B4C">
        <w:rPr>
          <w:rFonts w:ascii="Arial" w:hAnsi="Arial" w:cs="Arial"/>
        </w:rPr>
        <w:t xml:space="preserve"> returns in the Indian stock market.</w:t>
      </w:r>
    </w:p>
    <w:p w14:paraId="2F830FD3" w14:textId="77777777" w:rsidR="00921C34" w:rsidRDefault="00921C34" w:rsidP="003314FB">
      <w:pPr>
        <w:spacing w:after="0" w:line="240" w:lineRule="auto"/>
        <w:jc w:val="both"/>
        <w:rPr>
          <w:rFonts w:ascii="Arial" w:hAnsi="Arial" w:cs="Arial"/>
          <w:b/>
          <w:lang w:val="en-US"/>
        </w:rPr>
      </w:pPr>
    </w:p>
    <w:p w14:paraId="56B2E41B" w14:textId="302C5343" w:rsidR="004D5B8E" w:rsidRPr="00415B4C" w:rsidRDefault="00350011" w:rsidP="003314FB">
      <w:pPr>
        <w:spacing w:after="0" w:line="240" w:lineRule="auto"/>
        <w:jc w:val="both"/>
        <w:rPr>
          <w:rFonts w:ascii="Arial" w:hAnsi="Arial" w:cs="Arial"/>
          <w:b/>
          <w:bCs/>
        </w:rPr>
      </w:pPr>
      <w:r w:rsidRPr="00415B4C">
        <w:rPr>
          <w:rFonts w:ascii="Arial" w:hAnsi="Arial" w:cs="Arial"/>
          <w:b/>
          <w:bCs/>
        </w:rPr>
        <w:t xml:space="preserve">REFERENCES </w:t>
      </w:r>
    </w:p>
    <w:p w14:paraId="27E5C33D" w14:textId="4AD98921" w:rsidR="004D5B8E" w:rsidRPr="00415B4C" w:rsidRDefault="004D5B8E" w:rsidP="003314FB">
      <w:pPr>
        <w:pStyle w:val="ListParagraph"/>
        <w:numPr>
          <w:ilvl w:val="0"/>
          <w:numId w:val="13"/>
        </w:numPr>
        <w:spacing w:line="240" w:lineRule="auto"/>
        <w:jc w:val="both"/>
        <w:rPr>
          <w:rFonts w:ascii="Arial" w:hAnsi="Arial" w:cs="Arial"/>
          <w:color w:val="00B0F0"/>
        </w:rPr>
      </w:pPr>
      <w:r w:rsidRPr="00415B4C">
        <w:rPr>
          <w:rFonts w:ascii="Arial" w:hAnsi="Arial" w:cs="Arial"/>
        </w:rPr>
        <w:t>Aggarwal, D. (2017). Exploring relation between Indian market sentiments and stock market returns. Asian Journal of Empirical Research, 7(7), 147-159.</w:t>
      </w:r>
      <w:r w:rsidR="00D83BBC" w:rsidRPr="00415B4C">
        <w:rPr>
          <w:rFonts w:ascii="Arial" w:hAnsi="Arial" w:cs="Arial"/>
        </w:rPr>
        <w:t xml:space="preserve"> </w:t>
      </w:r>
    </w:p>
    <w:p w14:paraId="026E9D42" w14:textId="344A1741" w:rsidR="005A3961"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Aggarwal, D., &amp; Mohanty, P. (2018). Do Indian stock market sentiments impact contemporaneous returns</w:t>
      </w:r>
      <w:proofErr w:type="gramStart"/>
      <w:r w:rsidRPr="00415B4C">
        <w:rPr>
          <w:rFonts w:ascii="Arial" w:hAnsi="Arial" w:cs="Arial"/>
        </w:rPr>
        <w:t>?.South</w:t>
      </w:r>
      <w:proofErr w:type="gramEnd"/>
      <w:r w:rsidRPr="00415B4C">
        <w:rPr>
          <w:rFonts w:ascii="Arial" w:hAnsi="Arial" w:cs="Arial"/>
        </w:rPr>
        <w:t xml:space="preserve"> Asian Journal</w:t>
      </w:r>
      <w:r w:rsidR="00105B1D" w:rsidRPr="00415B4C">
        <w:rPr>
          <w:rFonts w:ascii="Arial" w:hAnsi="Arial" w:cs="Arial"/>
        </w:rPr>
        <w:t xml:space="preserve"> of Business </w:t>
      </w:r>
      <w:r w:rsidR="00CB6753" w:rsidRPr="00415B4C">
        <w:rPr>
          <w:rFonts w:ascii="Arial" w:hAnsi="Arial" w:cs="Arial"/>
        </w:rPr>
        <w:t>Studies,7(3),332-346.</w:t>
      </w:r>
      <w:hyperlink r:id="rId7" w:history="1">
        <w:r w:rsidR="005A3961" w:rsidRPr="00415B4C">
          <w:rPr>
            <w:rStyle w:val="Hyperlink"/>
            <w:rFonts w:ascii="Arial" w:hAnsi="Arial" w:cs="Arial"/>
            <w:shd w:val="clear" w:color="auto" w:fill="FFFFFF"/>
          </w:rPr>
          <w:t>https://doi.org/10.1108/SAJBS-06-2018-0064</w:t>
        </w:r>
      </w:hyperlink>
    </w:p>
    <w:p w14:paraId="2751D037" w14:textId="6A921CFA"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Baker, M., &amp; Stein, J. C. (2004). Market liquidity as a sentiment indicator. Journal of financial Markets, 7(3), 271-299. </w:t>
      </w:r>
      <w:hyperlink r:id="rId8" w:history="1">
        <w:r w:rsidRPr="00415B4C">
          <w:rPr>
            <w:rStyle w:val="Hyperlink"/>
            <w:rFonts w:ascii="Arial" w:hAnsi="Arial" w:cs="Arial"/>
          </w:rPr>
          <w:t>https://doi.org/10.1016/j.finmar.2003.11.005</w:t>
        </w:r>
      </w:hyperlink>
    </w:p>
    <w:p w14:paraId="08ADA5CD"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Baker, M., &amp; Wurgler, J. (2006). Investor sentiment and the cross</w:t>
      </w:r>
      <w:r w:rsidRPr="00415B4C">
        <w:rPr>
          <w:rFonts w:ascii="Cambria Math" w:hAnsi="Cambria Math" w:cs="Cambria Math"/>
        </w:rPr>
        <w:t>‐</w:t>
      </w:r>
      <w:r w:rsidRPr="00415B4C">
        <w:rPr>
          <w:rFonts w:ascii="Arial" w:hAnsi="Arial" w:cs="Arial"/>
        </w:rPr>
        <w:t xml:space="preserve">section of stock returns. The journal of Finance, 61(4), 1645- 1680. </w:t>
      </w:r>
      <w:r w:rsidRPr="00415B4C">
        <w:rPr>
          <w:rFonts w:ascii="Arial" w:hAnsi="Arial" w:cs="Arial"/>
          <w:color w:val="0070C0"/>
          <w:u w:val="single"/>
        </w:rPr>
        <w:t>https://doi.org/10.1111/j.1540-6261.2006.00885.x</w:t>
      </w:r>
      <w:r w:rsidRPr="00415B4C">
        <w:rPr>
          <w:rFonts w:ascii="Arial" w:hAnsi="Arial" w:cs="Arial"/>
          <w:color w:val="0070C0"/>
        </w:rPr>
        <w:t xml:space="preserve"> </w:t>
      </w:r>
    </w:p>
    <w:p w14:paraId="08BE5875"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Baker, M., &amp; Wurgler, J. (2007). Investor sentiment in the stock market. Journal of economic perspectives, 21(2), 129-152. </w:t>
      </w:r>
      <w:r w:rsidRPr="00415B4C">
        <w:rPr>
          <w:rFonts w:ascii="Arial" w:hAnsi="Arial" w:cs="Arial"/>
          <w:color w:val="0070C0"/>
          <w:u w:val="single"/>
        </w:rPr>
        <w:t>http://dx.doi.org/10.2139/ssrn.962706</w:t>
      </w:r>
    </w:p>
    <w:p w14:paraId="09542FB6"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Baker, M., Wurgler, J., &amp; Yuan, Y. (2012). Global, local, and contagious investor sentiment. Journal of financial economics, 104(2), 272-287.</w:t>
      </w:r>
    </w:p>
    <w:p w14:paraId="7DB71D39"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Barberis, N., &amp; Thaler, R. (2003). A survey of behavioral finance. Handbook of the Economics of Finance, 1, 1053-1128. </w:t>
      </w:r>
      <w:hyperlink r:id="rId9" w:history="1">
        <w:r w:rsidRPr="00415B4C">
          <w:rPr>
            <w:rStyle w:val="Hyperlink"/>
            <w:rFonts w:ascii="Arial" w:hAnsi="Arial" w:cs="Arial"/>
          </w:rPr>
          <w:t>https://doi.org/10.1016/S1574-0102(03)01027-6</w:t>
        </w:r>
      </w:hyperlink>
    </w:p>
    <w:p w14:paraId="74E9182D" w14:textId="27BD0228"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Brown, G. W., &amp; Cliff, M. T. (2004). Investor sentiment and the </w:t>
      </w:r>
      <w:r w:rsidR="00105B1D" w:rsidRPr="00415B4C">
        <w:rPr>
          <w:rFonts w:ascii="Arial" w:hAnsi="Arial" w:cs="Arial"/>
        </w:rPr>
        <w:t>near-term</w:t>
      </w:r>
      <w:r w:rsidRPr="00415B4C">
        <w:rPr>
          <w:rFonts w:ascii="Arial" w:hAnsi="Arial" w:cs="Arial"/>
        </w:rPr>
        <w:t xml:space="preserve"> stock market. Journal of empirical finance, 11(1), 1-27.</w:t>
      </w:r>
    </w:p>
    <w:p w14:paraId="2D517BF2"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Canbaş, S., &amp; Kandır, S. Y. (2009). Investor sentiment and stock returns: Evidence from Turkey. Emerging Markets Finance and Trade, 45(4), 36-52.</w:t>
      </w:r>
    </w:p>
    <w:p w14:paraId="2A0CC7A9" w14:textId="2794D56D"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Clarke, R. G., &amp; Statman, M. (1998). Bullish or bearish?</w:t>
      </w:r>
      <w:r w:rsidR="00F5306F" w:rsidRPr="00415B4C">
        <w:rPr>
          <w:rFonts w:ascii="Arial" w:hAnsi="Arial" w:cs="Arial"/>
        </w:rPr>
        <w:t xml:space="preserve"> </w:t>
      </w:r>
      <w:r w:rsidRPr="00415B4C">
        <w:rPr>
          <w:rFonts w:ascii="Arial" w:hAnsi="Arial" w:cs="Arial"/>
        </w:rPr>
        <w:t>Financial</w:t>
      </w:r>
      <w:r w:rsidR="00542843" w:rsidRPr="00415B4C">
        <w:rPr>
          <w:rFonts w:ascii="Arial" w:hAnsi="Arial" w:cs="Arial"/>
        </w:rPr>
        <w:t xml:space="preserve"> </w:t>
      </w:r>
      <w:r w:rsidR="00105B1D" w:rsidRPr="00415B4C">
        <w:rPr>
          <w:rFonts w:ascii="Arial" w:hAnsi="Arial" w:cs="Arial"/>
        </w:rPr>
        <w:t>Analysts</w:t>
      </w:r>
      <w:r w:rsidR="00542843" w:rsidRPr="00415B4C">
        <w:rPr>
          <w:rFonts w:ascii="Arial" w:hAnsi="Arial" w:cs="Arial"/>
        </w:rPr>
        <w:t xml:space="preserve"> Journal</w:t>
      </w:r>
      <w:r w:rsidR="00105B1D" w:rsidRPr="00415B4C">
        <w:rPr>
          <w:rFonts w:ascii="Arial" w:hAnsi="Arial" w:cs="Arial"/>
        </w:rPr>
        <w:t xml:space="preserve">,54(3) 63-72. </w:t>
      </w:r>
      <w:r w:rsidRPr="00415B4C">
        <w:rPr>
          <w:rFonts w:ascii="Arial" w:hAnsi="Arial" w:cs="Arial"/>
        </w:rPr>
        <w:t xml:space="preserve"> </w:t>
      </w:r>
      <w:hyperlink r:id="rId10" w:history="1">
        <w:r w:rsidRPr="00415B4C">
          <w:rPr>
            <w:rStyle w:val="Hyperlink"/>
            <w:rFonts w:ascii="Arial" w:hAnsi="Arial" w:cs="Arial"/>
          </w:rPr>
          <w:t>https://doi.org/10.2469/faj.v54.n3.2182</w:t>
        </w:r>
      </w:hyperlink>
    </w:p>
    <w:p w14:paraId="47546294"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Cui, X., Sensoy, A., Nguyen, D. K., Yao, S., &amp; Wu, Y. (2022). Positive information shocks, investor behavior and stock price crash risk. Journal of Economic Behavior &amp; Organization, 197, 493-518. </w:t>
      </w:r>
      <w:hyperlink r:id="rId11" w:history="1">
        <w:r w:rsidRPr="00415B4C">
          <w:rPr>
            <w:rStyle w:val="Hyperlink"/>
            <w:rFonts w:ascii="Arial" w:hAnsi="Arial" w:cs="Arial"/>
          </w:rPr>
          <w:t>https://doi.org/10.1016/j.jebo.2022.03.01</w:t>
        </w:r>
      </w:hyperlink>
    </w:p>
    <w:p w14:paraId="0B56ACD9" w14:textId="71EB8BDC"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Daniel, K., Hirshleifer, D., &amp; Subrahmanyam, A. (1998). Investor psychology and security market under</w:t>
      </w:r>
      <w:r w:rsidRPr="00415B4C">
        <w:rPr>
          <w:rFonts w:ascii="Cambria Math" w:hAnsi="Cambria Math" w:cs="Cambria Math"/>
        </w:rPr>
        <w:t>‐</w:t>
      </w:r>
      <w:r w:rsidRPr="00415B4C">
        <w:rPr>
          <w:rFonts w:ascii="Arial" w:hAnsi="Arial" w:cs="Arial"/>
        </w:rPr>
        <w:t xml:space="preserve">and overreactions. </w:t>
      </w:r>
      <w:r w:rsidR="00AF0FFF" w:rsidRPr="00415B4C">
        <w:rPr>
          <w:rFonts w:ascii="Arial" w:hAnsi="Arial" w:cs="Arial"/>
        </w:rPr>
        <w:t>T</w:t>
      </w:r>
      <w:r w:rsidRPr="00415B4C">
        <w:rPr>
          <w:rFonts w:ascii="Arial" w:hAnsi="Arial" w:cs="Arial"/>
        </w:rPr>
        <w:t>he</w:t>
      </w:r>
      <w:r w:rsidR="00AF0FFF" w:rsidRPr="00415B4C">
        <w:rPr>
          <w:rFonts w:ascii="Arial" w:hAnsi="Arial" w:cs="Arial"/>
        </w:rPr>
        <w:t xml:space="preserve"> Journal of Finance,53(6</w:t>
      </w:r>
      <w:r w:rsidR="00542843" w:rsidRPr="00415B4C">
        <w:rPr>
          <w:rFonts w:ascii="Arial" w:hAnsi="Arial" w:cs="Arial"/>
        </w:rPr>
        <w:t>)1839-1885.</w:t>
      </w:r>
      <w:hyperlink r:id="rId12" w:history="1">
        <w:r w:rsidRPr="00415B4C">
          <w:rPr>
            <w:rStyle w:val="Hyperlink"/>
            <w:rFonts w:ascii="Arial" w:hAnsi="Arial" w:cs="Arial"/>
          </w:rPr>
          <w:t>https://doi.org/10.1111/0022-1082.00077</w:t>
        </w:r>
      </w:hyperlink>
    </w:p>
    <w:p w14:paraId="1731B596"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Dash, S. R., &amp; Mahakud, J. (2012). Investor sentiment, risk factors and stock return: Evidence from Indian non</w:t>
      </w:r>
      <w:r w:rsidRPr="00415B4C">
        <w:rPr>
          <w:rFonts w:ascii="Cambria Math" w:hAnsi="Cambria Math" w:cs="Cambria Math"/>
        </w:rPr>
        <w:t>‐</w:t>
      </w:r>
      <w:r w:rsidRPr="00415B4C">
        <w:rPr>
          <w:rFonts w:ascii="Arial" w:hAnsi="Arial" w:cs="Arial"/>
        </w:rPr>
        <w:t xml:space="preserve">financial companies. Journal of Indian Business Research, 4(3), 194-218. </w:t>
      </w:r>
      <w:hyperlink r:id="rId13" w:history="1">
        <w:r w:rsidRPr="00415B4C">
          <w:rPr>
            <w:rStyle w:val="Hyperlink"/>
            <w:rFonts w:ascii="Arial" w:hAnsi="Arial" w:cs="Arial"/>
          </w:rPr>
          <w:t>http://dx.doi.org/10.1108/17554191211252699</w:t>
        </w:r>
      </w:hyperlink>
    </w:p>
    <w:p w14:paraId="690FEA2C"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Daszyńska-Żygadło, K., Szpulak, A., &amp; Szyszka, A. (2014). Investor sentiment, optimism and excess stock market returns. Evidence from emerging markets. Business and Economic Horizons (BEH), 10(4), 362-373. </w:t>
      </w:r>
      <w:hyperlink r:id="rId14" w:history="1">
        <w:r w:rsidRPr="00415B4C">
          <w:rPr>
            <w:rStyle w:val="Hyperlink"/>
            <w:rFonts w:ascii="Arial" w:hAnsi="Arial" w:cs="Arial"/>
          </w:rPr>
          <w:t>http://dx.doi.org/10.15208/beh.2014.27</w:t>
        </w:r>
      </w:hyperlink>
    </w:p>
    <w:p w14:paraId="22977A0B"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De Long, J. B., Shleifer, A., Summers, L. H., &amp; Waldmann, R. J. (1990). Noise trader risk in financial markets. Journal of political Economy, 98(4), 703-738.</w:t>
      </w:r>
    </w:p>
    <w:p w14:paraId="2831CC98"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Fama, E. F. (1970). Efficient capital markets: A review of theory and empirical work. The journal of Finance, 25(2), 383-417. </w:t>
      </w:r>
      <w:hyperlink r:id="rId15" w:history="1">
        <w:r w:rsidRPr="00415B4C">
          <w:rPr>
            <w:rStyle w:val="Hyperlink"/>
            <w:rFonts w:ascii="Arial" w:hAnsi="Arial" w:cs="Arial"/>
          </w:rPr>
          <w:t>https://doi.org/10.1111/j.1540-6261.1970.tb00518.x</w:t>
        </w:r>
      </w:hyperlink>
    </w:p>
    <w:p w14:paraId="19829978" w14:textId="2738AABD"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Fisher, K. L., &amp; Statman, M. (2000). Investor sentiment and stock</w:t>
      </w:r>
      <w:r w:rsidR="000A06D4" w:rsidRPr="00415B4C">
        <w:rPr>
          <w:rFonts w:ascii="Arial" w:hAnsi="Arial" w:cs="Arial"/>
        </w:rPr>
        <w:t xml:space="preserve"> </w:t>
      </w:r>
      <w:proofErr w:type="gramStart"/>
      <w:r w:rsidR="000A06D4" w:rsidRPr="00415B4C">
        <w:rPr>
          <w:rFonts w:ascii="Arial" w:hAnsi="Arial" w:cs="Arial"/>
        </w:rPr>
        <w:t>returns.Financial</w:t>
      </w:r>
      <w:proofErr w:type="gramEnd"/>
      <w:r w:rsidR="000A06D4" w:rsidRPr="00415B4C">
        <w:rPr>
          <w:rFonts w:ascii="Arial" w:hAnsi="Arial" w:cs="Arial"/>
        </w:rPr>
        <w:t xml:space="preserve"> Analysis Journal</w:t>
      </w:r>
      <w:r w:rsidR="00AF0FFF" w:rsidRPr="00415B4C">
        <w:rPr>
          <w:rFonts w:ascii="Arial" w:hAnsi="Arial" w:cs="Arial"/>
        </w:rPr>
        <w:t xml:space="preserve"> 56(2) 16-23.</w:t>
      </w:r>
      <w:hyperlink r:id="rId16" w:history="1">
        <w:r w:rsidRPr="00415B4C">
          <w:rPr>
            <w:rStyle w:val="Hyperlink"/>
            <w:rFonts w:ascii="Arial" w:hAnsi="Arial" w:cs="Arial"/>
          </w:rPr>
          <w:t>https://doi.org/10.2469/faj.v56.n2.2340</w:t>
        </w:r>
      </w:hyperlink>
    </w:p>
    <w:p w14:paraId="4246578D"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He, G., Zhu, S., &amp; Gu, H. (2017). On the construction of Chinese stock market investor sentiment index. Cogent Economics &amp; Finance, 5(1), 1412230.</w:t>
      </w:r>
    </w:p>
    <w:p w14:paraId="1F999697"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Ho, C., &amp; Hung, C. H. (2009). Investor sentiment as conditioning information in asset pricing. Journal of Banking &amp; Finance, 33(5), 892-903.</w:t>
      </w:r>
    </w:p>
    <w:p w14:paraId="6232D494" w14:textId="3F9C2EC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Lee, W. Y., Jiang, C. X., &amp; Indro, D. C. (2002). Stock market volatility, excess returns, and the role of investor sentiment. Journal</w:t>
      </w:r>
      <w:r w:rsidR="00F5306F" w:rsidRPr="00415B4C">
        <w:rPr>
          <w:rFonts w:ascii="Arial" w:hAnsi="Arial" w:cs="Arial"/>
        </w:rPr>
        <w:t xml:space="preserve"> of banking &amp; finance</w:t>
      </w:r>
      <w:r w:rsidR="000A06D4" w:rsidRPr="00415B4C">
        <w:rPr>
          <w:rFonts w:ascii="Arial" w:hAnsi="Arial" w:cs="Arial"/>
        </w:rPr>
        <w:t xml:space="preserve">,26(12) 2277-2299. </w:t>
      </w:r>
      <w:hyperlink r:id="rId17" w:history="1">
        <w:r w:rsidR="000A06D4" w:rsidRPr="00415B4C">
          <w:rPr>
            <w:rStyle w:val="Hyperlink"/>
            <w:rFonts w:ascii="Arial" w:hAnsi="Arial" w:cs="Arial"/>
          </w:rPr>
          <w:t>https://doi.org/10.1016/S0378-4266(01)00202-3</w:t>
        </w:r>
      </w:hyperlink>
    </w:p>
    <w:p w14:paraId="531214AC"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Molchanov, A., &amp; Stangl, J. (2018). Investor sentiment and industry returns. International Journal of Finance &amp; Economics, 23(4), 546- 570. </w:t>
      </w:r>
      <w:hyperlink r:id="rId18" w:history="1">
        <w:r w:rsidRPr="00415B4C">
          <w:rPr>
            <w:rStyle w:val="Hyperlink"/>
            <w:rFonts w:ascii="Arial" w:hAnsi="Arial" w:cs="Arial"/>
          </w:rPr>
          <w:t>https://doi.org/10.1002/ijfe.1637</w:t>
        </w:r>
      </w:hyperlink>
    </w:p>
    <w:p w14:paraId="77AFDB54"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Pandey, P., &amp; Sehgal, S. (2019). Investor sentiment and its role in asset pricing: An empirical study for India. IIMB Management Review, 31(2), 127-144.</w:t>
      </w:r>
    </w:p>
    <w:p w14:paraId="307E2558"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Raza, S. A., Mansoor, M., &amp; Iraqi, K. M. (2019). Influence of Investor Sentiments on Stock Market Capitalization of Different Economic Sectors in a Developing Economy: Evidence from Pakistan. Journal of Finance and Economics Research, 4(1), 31-43. </w:t>
      </w:r>
      <w:hyperlink r:id="rId19" w:history="1">
        <w:r w:rsidRPr="00415B4C">
          <w:rPr>
            <w:rStyle w:val="Hyperlink"/>
            <w:rFonts w:ascii="Arial" w:hAnsi="Arial" w:cs="Arial"/>
          </w:rPr>
          <w:t>http://dx.doi.org/10.20547/jfer1904103</w:t>
        </w:r>
      </w:hyperlink>
    </w:p>
    <w:p w14:paraId="726B764F"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lastRenderedPageBreak/>
        <w:t xml:space="preserve">Sayim, M., &amp; Rahman, H. (2015). The relationship between individual investor sentiment, stock return and volatility: Evidence from the Turkish market. International Journal of Emerging Markets, 10(3), 504-520. </w:t>
      </w:r>
      <w:hyperlink r:id="rId20" w:history="1">
        <w:r w:rsidRPr="00415B4C">
          <w:rPr>
            <w:rStyle w:val="Hyperlink"/>
            <w:rFonts w:ascii="Arial" w:hAnsi="Arial" w:cs="Arial"/>
          </w:rPr>
          <w:t>https://doi.org/10.1108/IJoEM-07-2012- 0060</w:t>
        </w:r>
      </w:hyperlink>
    </w:p>
    <w:p w14:paraId="1FA6B0A2"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Schmeling, M. (2009). Investor sentiment and stock returns: Some international evidence. Journal of empirical finance, 16(3), 394-408.</w:t>
      </w:r>
    </w:p>
    <w:p w14:paraId="58D2FB1C"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Thorp, W. A. (2004). Investor sentiment as a contrarian indicator. The American Association of Individual Investors.</w:t>
      </w:r>
    </w:p>
    <w:p w14:paraId="30F84D38"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Xu, H. C., &amp; Zhou, W. X. (2018). A weekly sentiment index and the cross-section of stock returns. Finance Research Letters, 27, 135- 139. https://doi.org/10.1016/j.frl.2018.02.009</w:t>
      </w:r>
    </w:p>
    <w:p w14:paraId="40B73456"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Xu, Y., &amp; Green, C. J. (2013). Asset pricing with investor sentiment: Evidence from Chinese stock markets. The Manchester School, 81(1), 1-32. </w:t>
      </w:r>
      <w:hyperlink r:id="rId21" w:history="1">
        <w:r w:rsidRPr="00415B4C">
          <w:rPr>
            <w:rStyle w:val="Hyperlink"/>
            <w:rFonts w:ascii="Arial" w:hAnsi="Arial" w:cs="Arial"/>
          </w:rPr>
          <w:t>http://dx.doi.org/10.1111/j.1467-9957.2011.02260</w:t>
        </w:r>
      </w:hyperlink>
      <w:r w:rsidRPr="00415B4C">
        <w:rPr>
          <w:rFonts w:ascii="Arial" w:hAnsi="Arial" w:cs="Arial"/>
        </w:rPr>
        <w:t>.</w:t>
      </w:r>
    </w:p>
    <w:p w14:paraId="4F5F9CA9"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Zia Ur Rehman, M., ul Abidin, Z., Rizwan, F., Abbas, Z., &amp; Baig, S. A. (2017). How investor sentiments spillover from developed countries to developing </w:t>
      </w:r>
      <w:proofErr w:type="gramStart"/>
      <w:r w:rsidRPr="00415B4C">
        <w:rPr>
          <w:rFonts w:ascii="Arial" w:hAnsi="Arial" w:cs="Arial"/>
        </w:rPr>
        <w:t>countries?.</w:t>
      </w:r>
      <w:proofErr w:type="gramEnd"/>
      <w:r w:rsidRPr="00415B4C">
        <w:rPr>
          <w:rFonts w:ascii="Arial" w:hAnsi="Arial" w:cs="Arial"/>
        </w:rPr>
        <w:t xml:space="preserve"> Cogent Economics &amp; Finance, 5(1), 1309096. </w:t>
      </w:r>
      <w:hyperlink r:id="rId22" w:history="1">
        <w:r w:rsidRPr="00415B4C">
          <w:rPr>
            <w:rStyle w:val="Hyperlink"/>
            <w:rFonts w:ascii="Arial" w:hAnsi="Arial" w:cs="Arial"/>
          </w:rPr>
          <w:t>http://dx.doi.org/10.1080/23322039.2017.1309096</w:t>
        </w:r>
      </w:hyperlink>
    </w:p>
    <w:sectPr w:rsidR="004D5B8E" w:rsidRPr="00415B4C" w:rsidSect="00943455">
      <w:headerReference w:type="even" r:id="rId23"/>
      <w:headerReference w:type="default" r:id="rId24"/>
      <w:footerReference w:type="even" r:id="rId25"/>
      <w:footerReference w:type="default" r:id="rId26"/>
      <w:headerReference w:type="first" r:id="rId27"/>
      <w:footerReference w:type="first" r:id="rId2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8C0F" w14:textId="77777777" w:rsidR="00CA394D" w:rsidRDefault="00CA394D" w:rsidP="007F751D">
      <w:pPr>
        <w:spacing w:after="0" w:line="240" w:lineRule="auto"/>
      </w:pPr>
      <w:r>
        <w:separator/>
      </w:r>
    </w:p>
  </w:endnote>
  <w:endnote w:type="continuationSeparator" w:id="0">
    <w:p w14:paraId="7F990BA3" w14:textId="77777777" w:rsidR="00CA394D" w:rsidRDefault="00CA394D" w:rsidP="007F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5921" w14:textId="363E2E59" w:rsidR="007F751D" w:rsidRDefault="00255993">
    <w:pPr>
      <w:pStyle w:val="Foo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14894"/>
      <w:docPartObj>
        <w:docPartGallery w:val="Page Numbers (Bottom of Page)"/>
        <w:docPartUnique/>
      </w:docPartObj>
    </w:sdtPr>
    <w:sdtEndPr>
      <w:rPr>
        <w:noProof/>
      </w:rPr>
    </w:sdtEndPr>
    <w:sdtContent>
      <w:p w14:paraId="2D035973" w14:textId="1E520046" w:rsidR="00943455" w:rsidRDefault="009434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71162" w14:textId="77777777" w:rsidR="007F751D" w:rsidRDefault="007F7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D000" w14:textId="77777777" w:rsidR="00943455" w:rsidRDefault="009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DC0B" w14:textId="77777777" w:rsidR="00CA394D" w:rsidRDefault="00CA394D" w:rsidP="007F751D">
      <w:pPr>
        <w:spacing w:after="0" w:line="240" w:lineRule="auto"/>
      </w:pPr>
      <w:r>
        <w:separator/>
      </w:r>
    </w:p>
  </w:footnote>
  <w:footnote w:type="continuationSeparator" w:id="0">
    <w:p w14:paraId="320238CB" w14:textId="77777777" w:rsidR="00CA394D" w:rsidRDefault="00CA394D" w:rsidP="007F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5D15" w14:textId="4D581799" w:rsidR="00943455" w:rsidRDefault="00B01A04">
    <w:pPr>
      <w:pStyle w:val="Header"/>
    </w:pPr>
    <w:r>
      <w:rPr>
        <w:noProof/>
      </w:rPr>
      <w:pict w14:anchorId="001F5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1" o:spid="_x0000_s1026" type="#_x0000_t136" style="position:absolute;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6CFC" w14:textId="721E70F7" w:rsidR="00943455" w:rsidRDefault="00B01A04">
    <w:pPr>
      <w:pStyle w:val="Header"/>
    </w:pPr>
    <w:r>
      <w:rPr>
        <w:noProof/>
      </w:rPr>
      <w:pict w14:anchorId="60171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2" o:spid="_x0000_s1027" type="#_x0000_t136" style="position:absolute;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2FF" w14:textId="194B7DB1" w:rsidR="00943455" w:rsidRDefault="00B01A04">
    <w:pPr>
      <w:pStyle w:val="Header"/>
    </w:pPr>
    <w:r>
      <w:rPr>
        <w:noProof/>
      </w:rPr>
      <w:pict w14:anchorId="5431E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0" o:spid="_x0000_s1025" type="#_x0000_t136" style="position:absolute;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F0C"/>
    <w:multiLevelType w:val="hybridMultilevel"/>
    <w:tmpl w:val="1BA26F72"/>
    <w:lvl w:ilvl="0" w:tplc="D6D43F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F184C"/>
    <w:multiLevelType w:val="hybridMultilevel"/>
    <w:tmpl w:val="A02AD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8F6FB4"/>
    <w:multiLevelType w:val="hybridMultilevel"/>
    <w:tmpl w:val="26224F7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 w15:restartNumberingAfterBreak="0">
    <w:nsid w:val="18F5203E"/>
    <w:multiLevelType w:val="hybridMultilevel"/>
    <w:tmpl w:val="F918D4DC"/>
    <w:lvl w:ilvl="0" w:tplc="76D06C2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92A219B"/>
    <w:multiLevelType w:val="hybridMultilevel"/>
    <w:tmpl w:val="9FE6E7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D76F22"/>
    <w:multiLevelType w:val="multilevel"/>
    <w:tmpl w:val="74D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C3FB5"/>
    <w:multiLevelType w:val="hybridMultilevel"/>
    <w:tmpl w:val="30E669BA"/>
    <w:lvl w:ilvl="0" w:tplc="8E5C05D2">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E3538A1"/>
    <w:multiLevelType w:val="hybridMultilevel"/>
    <w:tmpl w:val="5B1E1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702196"/>
    <w:multiLevelType w:val="hybridMultilevel"/>
    <w:tmpl w:val="9FE6E7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A752970"/>
    <w:multiLevelType w:val="hybridMultilevel"/>
    <w:tmpl w:val="CC4C1A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570CE6"/>
    <w:multiLevelType w:val="hybridMultilevel"/>
    <w:tmpl w:val="E6FE6116"/>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1" w15:restartNumberingAfterBreak="0">
    <w:nsid w:val="4E973BD5"/>
    <w:multiLevelType w:val="hybridMultilevel"/>
    <w:tmpl w:val="CC4C1A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56A6C9C"/>
    <w:multiLevelType w:val="multilevel"/>
    <w:tmpl w:val="D1B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E91163"/>
    <w:multiLevelType w:val="hybridMultilevel"/>
    <w:tmpl w:val="72FA7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79892137">
    <w:abstractNumId w:val="0"/>
  </w:num>
  <w:num w:numId="2" w16cid:durableId="1588346233">
    <w:abstractNumId w:val="13"/>
  </w:num>
  <w:num w:numId="3" w16cid:durableId="1485969259">
    <w:abstractNumId w:val="12"/>
  </w:num>
  <w:num w:numId="4" w16cid:durableId="803497912">
    <w:abstractNumId w:val="5"/>
  </w:num>
  <w:num w:numId="5" w16cid:durableId="1057121714">
    <w:abstractNumId w:val="3"/>
  </w:num>
  <w:num w:numId="6" w16cid:durableId="874348153">
    <w:abstractNumId w:val="10"/>
  </w:num>
  <w:num w:numId="7" w16cid:durableId="1557275546">
    <w:abstractNumId w:val="1"/>
  </w:num>
  <w:num w:numId="8" w16cid:durableId="353189203">
    <w:abstractNumId w:val="11"/>
  </w:num>
  <w:num w:numId="9" w16cid:durableId="1530335198">
    <w:abstractNumId w:val="9"/>
  </w:num>
  <w:num w:numId="10" w16cid:durableId="1092702588">
    <w:abstractNumId w:val="8"/>
  </w:num>
  <w:num w:numId="11" w16cid:durableId="1586837475">
    <w:abstractNumId w:val="4"/>
  </w:num>
  <w:num w:numId="12" w16cid:durableId="1588611805">
    <w:abstractNumId w:val="7"/>
  </w:num>
  <w:num w:numId="13" w16cid:durableId="1556508256">
    <w:abstractNumId w:val="6"/>
  </w:num>
  <w:num w:numId="14" w16cid:durableId="7471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47"/>
    <w:rsid w:val="00005660"/>
    <w:rsid w:val="00005E60"/>
    <w:rsid w:val="0001140F"/>
    <w:rsid w:val="00025C88"/>
    <w:rsid w:val="00030574"/>
    <w:rsid w:val="00032AA3"/>
    <w:rsid w:val="0003416C"/>
    <w:rsid w:val="00036866"/>
    <w:rsid w:val="00036C17"/>
    <w:rsid w:val="00052699"/>
    <w:rsid w:val="00054A2D"/>
    <w:rsid w:val="000574BD"/>
    <w:rsid w:val="00063318"/>
    <w:rsid w:val="000633BF"/>
    <w:rsid w:val="00065FF2"/>
    <w:rsid w:val="00077956"/>
    <w:rsid w:val="000823D2"/>
    <w:rsid w:val="00082D00"/>
    <w:rsid w:val="00090DC3"/>
    <w:rsid w:val="00094A5B"/>
    <w:rsid w:val="000962C4"/>
    <w:rsid w:val="000A06D4"/>
    <w:rsid w:val="000A5AAE"/>
    <w:rsid w:val="000B288C"/>
    <w:rsid w:val="000B7ED1"/>
    <w:rsid w:val="000C3950"/>
    <w:rsid w:val="000C4BE6"/>
    <w:rsid w:val="000D15D8"/>
    <w:rsid w:val="000D33A1"/>
    <w:rsid w:val="000D3E1C"/>
    <w:rsid w:val="000E0B29"/>
    <w:rsid w:val="000E46A2"/>
    <w:rsid w:val="000E4FC2"/>
    <w:rsid w:val="000F6771"/>
    <w:rsid w:val="00105B1D"/>
    <w:rsid w:val="00107C5F"/>
    <w:rsid w:val="00113A3B"/>
    <w:rsid w:val="00115A78"/>
    <w:rsid w:val="00116105"/>
    <w:rsid w:val="00121C52"/>
    <w:rsid w:val="001310C8"/>
    <w:rsid w:val="00131E4F"/>
    <w:rsid w:val="001345D6"/>
    <w:rsid w:val="00134DFC"/>
    <w:rsid w:val="00140E5F"/>
    <w:rsid w:val="001410A0"/>
    <w:rsid w:val="00143D77"/>
    <w:rsid w:val="00146DD7"/>
    <w:rsid w:val="00151D48"/>
    <w:rsid w:val="00152266"/>
    <w:rsid w:val="001530F6"/>
    <w:rsid w:val="00157666"/>
    <w:rsid w:val="00160AAE"/>
    <w:rsid w:val="00162DDB"/>
    <w:rsid w:val="00163BCC"/>
    <w:rsid w:val="00164F7B"/>
    <w:rsid w:val="00171B90"/>
    <w:rsid w:val="00174753"/>
    <w:rsid w:val="00176F96"/>
    <w:rsid w:val="001779F5"/>
    <w:rsid w:val="00186FED"/>
    <w:rsid w:val="00187442"/>
    <w:rsid w:val="00187F45"/>
    <w:rsid w:val="00192EF0"/>
    <w:rsid w:val="0019638E"/>
    <w:rsid w:val="00196934"/>
    <w:rsid w:val="0019771F"/>
    <w:rsid w:val="001A1869"/>
    <w:rsid w:val="001A4BFB"/>
    <w:rsid w:val="001B423B"/>
    <w:rsid w:val="001D0487"/>
    <w:rsid w:val="001E7672"/>
    <w:rsid w:val="00202437"/>
    <w:rsid w:val="00206590"/>
    <w:rsid w:val="00214D57"/>
    <w:rsid w:val="00215520"/>
    <w:rsid w:val="0021627F"/>
    <w:rsid w:val="002170DC"/>
    <w:rsid w:val="00221877"/>
    <w:rsid w:val="002225BF"/>
    <w:rsid w:val="00222E30"/>
    <w:rsid w:val="00243318"/>
    <w:rsid w:val="00243923"/>
    <w:rsid w:val="002515BA"/>
    <w:rsid w:val="00255993"/>
    <w:rsid w:val="00261606"/>
    <w:rsid w:val="00263AD9"/>
    <w:rsid w:val="0027526B"/>
    <w:rsid w:val="002863CA"/>
    <w:rsid w:val="002864A2"/>
    <w:rsid w:val="00290515"/>
    <w:rsid w:val="00295858"/>
    <w:rsid w:val="002973C8"/>
    <w:rsid w:val="002A330D"/>
    <w:rsid w:val="002A75DE"/>
    <w:rsid w:val="002B6614"/>
    <w:rsid w:val="002B76D5"/>
    <w:rsid w:val="002B7838"/>
    <w:rsid w:val="002C41A0"/>
    <w:rsid w:val="002C73D8"/>
    <w:rsid w:val="002D6C53"/>
    <w:rsid w:val="002D77B4"/>
    <w:rsid w:val="002E2BB3"/>
    <w:rsid w:val="002E65CA"/>
    <w:rsid w:val="003010EB"/>
    <w:rsid w:val="00304CD1"/>
    <w:rsid w:val="0030654A"/>
    <w:rsid w:val="00306D5F"/>
    <w:rsid w:val="003129E6"/>
    <w:rsid w:val="00312A26"/>
    <w:rsid w:val="0032189A"/>
    <w:rsid w:val="003218FD"/>
    <w:rsid w:val="0032468D"/>
    <w:rsid w:val="0032671D"/>
    <w:rsid w:val="003268D5"/>
    <w:rsid w:val="003307EB"/>
    <w:rsid w:val="003314FB"/>
    <w:rsid w:val="00334678"/>
    <w:rsid w:val="0033642B"/>
    <w:rsid w:val="00340C6A"/>
    <w:rsid w:val="00350011"/>
    <w:rsid w:val="00351FAA"/>
    <w:rsid w:val="00357147"/>
    <w:rsid w:val="003601E0"/>
    <w:rsid w:val="00385199"/>
    <w:rsid w:val="00385757"/>
    <w:rsid w:val="00395386"/>
    <w:rsid w:val="003A6CA7"/>
    <w:rsid w:val="003B1FD1"/>
    <w:rsid w:val="003B29FC"/>
    <w:rsid w:val="003B6648"/>
    <w:rsid w:val="003B6CFC"/>
    <w:rsid w:val="003C1A40"/>
    <w:rsid w:val="003C4A90"/>
    <w:rsid w:val="003C6DE7"/>
    <w:rsid w:val="003D79FE"/>
    <w:rsid w:val="003D7A31"/>
    <w:rsid w:val="003E24D9"/>
    <w:rsid w:val="003F7310"/>
    <w:rsid w:val="0040128E"/>
    <w:rsid w:val="00401415"/>
    <w:rsid w:val="0040267B"/>
    <w:rsid w:val="00410765"/>
    <w:rsid w:val="004113D0"/>
    <w:rsid w:val="004122F2"/>
    <w:rsid w:val="0041314C"/>
    <w:rsid w:val="00415B4C"/>
    <w:rsid w:val="00430A16"/>
    <w:rsid w:val="0047070B"/>
    <w:rsid w:val="004708C3"/>
    <w:rsid w:val="00471CD8"/>
    <w:rsid w:val="00475F2C"/>
    <w:rsid w:val="0047734E"/>
    <w:rsid w:val="00483781"/>
    <w:rsid w:val="004858ED"/>
    <w:rsid w:val="00487FBA"/>
    <w:rsid w:val="00492793"/>
    <w:rsid w:val="00495CD6"/>
    <w:rsid w:val="004A3794"/>
    <w:rsid w:val="004B2CC1"/>
    <w:rsid w:val="004B58FE"/>
    <w:rsid w:val="004C0CF2"/>
    <w:rsid w:val="004D5B8E"/>
    <w:rsid w:val="004D675D"/>
    <w:rsid w:val="004D70CA"/>
    <w:rsid w:val="004E4C93"/>
    <w:rsid w:val="004E6D99"/>
    <w:rsid w:val="004F0231"/>
    <w:rsid w:val="004F1F4F"/>
    <w:rsid w:val="004F63EE"/>
    <w:rsid w:val="004F674B"/>
    <w:rsid w:val="0051222C"/>
    <w:rsid w:val="00514AE0"/>
    <w:rsid w:val="00516448"/>
    <w:rsid w:val="00516C1E"/>
    <w:rsid w:val="00523C63"/>
    <w:rsid w:val="00524EBD"/>
    <w:rsid w:val="005266C3"/>
    <w:rsid w:val="0053527D"/>
    <w:rsid w:val="00542843"/>
    <w:rsid w:val="00543B98"/>
    <w:rsid w:val="00543BA3"/>
    <w:rsid w:val="0055425E"/>
    <w:rsid w:val="005561F7"/>
    <w:rsid w:val="00563633"/>
    <w:rsid w:val="00580D08"/>
    <w:rsid w:val="00580F8C"/>
    <w:rsid w:val="00583494"/>
    <w:rsid w:val="00584F82"/>
    <w:rsid w:val="005912A5"/>
    <w:rsid w:val="005A0EC5"/>
    <w:rsid w:val="005A378D"/>
    <w:rsid w:val="005A3961"/>
    <w:rsid w:val="005A6646"/>
    <w:rsid w:val="005B0F68"/>
    <w:rsid w:val="005B13CE"/>
    <w:rsid w:val="005B4A8F"/>
    <w:rsid w:val="005B55BF"/>
    <w:rsid w:val="005C09CB"/>
    <w:rsid w:val="005C40FE"/>
    <w:rsid w:val="005C62F7"/>
    <w:rsid w:val="005D0E5D"/>
    <w:rsid w:val="005D1F67"/>
    <w:rsid w:val="005D4BD3"/>
    <w:rsid w:val="005D5D1B"/>
    <w:rsid w:val="005E1806"/>
    <w:rsid w:val="005F51E3"/>
    <w:rsid w:val="005F5C58"/>
    <w:rsid w:val="005F5E88"/>
    <w:rsid w:val="005F7064"/>
    <w:rsid w:val="006055BF"/>
    <w:rsid w:val="00607E1F"/>
    <w:rsid w:val="00615194"/>
    <w:rsid w:val="00630291"/>
    <w:rsid w:val="006304B5"/>
    <w:rsid w:val="00640A7E"/>
    <w:rsid w:val="00642D3A"/>
    <w:rsid w:val="006440FB"/>
    <w:rsid w:val="00647903"/>
    <w:rsid w:val="00654A84"/>
    <w:rsid w:val="00654FFD"/>
    <w:rsid w:val="00656AC3"/>
    <w:rsid w:val="00657F5E"/>
    <w:rsid w:val="00661C92"/>
    <w:rsid w:val="00663CCA"/>
    <w:rsid w:val="006665E4"/>
    <w:rsid w:val="00666B84"/>
    <w:rsid w:val="0067432D"/>
    <w:rsid w:val="00674509"/>
    <w:rsid w:val="006757F7"/>
    <w:rsid w:val="00675976"/>
    <w:rsid w:val="006837DE"/>
    <w:rsid w:val="0068462B"/>
    <w:rsid w:val="00684EFB"/>
    <w:rsid w:val="00690B28"/>
    <w:rsid w:val="00694CC7"/>
    <w:rsid w:val="00695294"/>
    <w:rsid w:val="00695429"/>
    <w:rsid w:val="006961CB"/>
    <w:rsid w:val="006A71AC"/>
    <w:rsid w:val="006B7532"/>
    <w:rsid w:val="006C0B23"/>
    <w:rsid w:val="006D5365"/>
    <w:rsid w:val="006D61CC"/>
    <w:rsid w:val="006E2000"/>
    <w:rsid w:val="006E3820"/>
    <w:rsid w:val="006F497C"/>
    <w:rsid w:val="006F6ADE"/>
    <w:rsid w:val="006F6BDB"/>
    <w:rsid w:val="006F7DA3"/>
    <w:rsid w:val="00706F96"/>
    <w:rsid w:val="00710DC9"/>
    <w:rsid w:val="00712743"/>
    <w:rsid w:val="00725B06"/>
    <w:rsid w:val="007270ED"/>
    <w:rsid w:val="00727809"/>
    <w:rsid w:val="00736682"/>
    <w:rsid w:val="00750D74"/>
    <w:rsid w:val="00753117"/>
    <w:rsid w:val="00762083"/>
    <w:rsid w:val="0076504F"/>
    <w:rsid w:val="00767CD4"/>
    <w:rsid w:val="00770508"/>
    <w:rsid w:val="007744C4"/>
    <w:rsid w:val="0077701E"/>
    <w:rsid w:val="00780261"/>
    <w:rsid w:val="007916D1"/>
    <w:rsid w:val="007A1A61"/>
    <w:rsid w:val="007A2052"/>
    <w:rsid w:val="007A664B"/>
    <w:rsid w:val="007B005B"/>
    <w:rsid w:val="007B235A"/>
    <w:rsid w:val="007B569A"/>
    <w:rsid w:val="007C1289"/>
    <w:rsid w:val="007C13E8"/>
    <w:rsid w:val="007C175F"/>
    <w:rsid w:val="007E0AEB"/>
    <w:rsid w:val="007E7441"/>
    <w:rsid w:val="007F751D"/>
    <w:rsid w:val="00802E0E"/>
    <w:rsid w:val="00802FF8"/>
    <w:rsid w:val="00812861"/>
    <w:rsid w:val="00816BB2"/>
    <w:rsid w:val="00824A0E"/>
    <w:rsid w:val="0083051B"/>
    <w:rsid w:val="008312B3"/>
    <w:rsid w:val="00832B5D"/>
    <w:rsid w:val="008418B4"/>
    <w:rsid w:val="00841DCA"/>
    <w:rsid w:val="0084380E"/>
    <w:rsid w:val="00856F08"/>
    <w:rsid w:val="00864845"/>
    <w:rsid w:val="00877D87"/>
    <w:rsid w:val="00886CE0"/>
    <w:rsid w:val="008875AE"/>
    <w:rsid w:val="00897151"/>
    <w:rsid w:val="008A7C7F"/>
    <w:rsid w:val="008B5D3D"/>
    <w:rsid w:val="008C30E2"/>
    <w:rsid w:val="008C4B98"/>
    <w:rsid w:val="008D7160"/>
    <w:rsid w:val="008E0C2C"/>
    <w:rsid w:val="008E3A56"/>
    <w:rsid w:val="008E75C6"/>
    <w:rsid w:val="008F15AD"/>
    <w:rsid w:val="008F27AC"/>
    <w:rsid w:val="008F2C91"/>
    <w:rsid w:val="008F362C"/>
    <w:rsid w:val="008F3E07"/>
    <w:rsid w:val="008F4D09"/>
    <w:rsid w:val="008F4F04"/>
    <w:rsid w:val="008F7EE5"/>
    <w:rsid w:val="00900B8B"/>
    <w:rsid w:val="00901E14"/>
    <w:rsid w:val="009038BF"/>
    <w:rsid w:val="00906578"/>
    <w:rsid w:val="00910BBC"/>
    <w:rsid w:val="00912176"/>
    <w:rsid w:val="00912245"/>
    <w:rsid w:val="009133E8"/>
    <w:rsid w:val="00913D2D"/>
    <w:rsid w:val="00921C34"/>
    <w:rsid w:val="00927267"/>
    <w:rsid w:val="00927B10"/>
    <w:rsid w:val="00932421"/>
    <w:rsid w:val="00935548"/>
    <w:rsid w:val="009370F5"/>
    <w:rsid w:val="0094183F"/>
    <w:rsid w:val="0094282A"/>
    <w:rsid w:val="00943455"/>
    <w:rsid w:val="009443E4"/>
    <w:rsid w:val="0094724F"/>
    <w:rsid w:val="00951771"/>
    <w:rsid w:val="009526C4"/>
    <w:rsid w:val="00954E1F"/>
    <w:rsid w:val="009565AB"/>
    <w:rsid w:val="009609F4"/>
    <w:rsid w:val="00966A94"/>
    <w:rsid w:val="009926AC"/>
    <w:rsid w:val="00993D90"/>
    <w:rsid w:val="00994562"/>
    <w:rsid w:val="009955CC"/>
    <w:rsid w:val="0099569B"/>
    <w:rsid w:val="00997364"/>
    <w:rsid w:val="009A4754"/>
    <w:rsid w:val="009A7A12"/>
    <w:rsid w:val="009B27B0"/>
    <w:rsid w:val="009B69CB"/>
    <w:rsid w:val="009D0EE4"/>
    <w:rsid w:val="009D39CD"/>
    <w:rsid w:val="009D4E35"/>
    <w:rsid w:val="009E094B"/>
    <w:rsid w:val="009F08AE"/>
    <w:rsid w:val="00A028C2"/>
    <w:rsid w:val="00A10036"/>
    <w:rsid w:val="00A12519"/>
    <w:rsid w:val="00A12B95"/>
    <w:rsid w:val="00A169C8"/>
    <w:rsid w:val="00A220BA"/>
    <w:rsid w:val="00A3129B"/>
    <w:rsid w:val="00A322B2"/>
    <w:rsid w:val="00A34C8F"/>
    <w:rsid w:val="00A41A15"/>
    <w:rsid w:val="00A449D4"/>
    <w:rsid w:val="00A44FAD"/>
    <w:rsid w:val="00A52206"/>
    <w:rsid w:val="00A5642B"/>
    <w:rsid w:val="00A56BA2"/>
    <w:rsid w:val="00A77B0D"/>
    <w:rsid w:val="00A85681"/>
    <w:rsid w:val="00AA7759"/>
    <w:rsid w:val="00AB3BF9"/>
    <w:rsid w:val="00AB55BC"/>
    <w:rsid w:val="00AB6770"/>
    <w:rsid w:val="00AC0C35"/>
    <w:rsid w:val="00AC2A1D"/>
    <w:rsid w:val="00AC2D8D"/>
    <w:rsid w:val="00AC51B0"/>
    <w:rsid w:val="00AD2B1E"/>
    <w:rsid w:val="00AD79EA"/>
    <w:rsid w:val="00AE03A5"/>
    <w:rsid w:val="00AE2674"/>
    <w:rsid w:val="00AE7CB3"/>
    <w:rsid w:val="00AE7FB0"/>
    <w:rsid w:val="00AF0FFF"/>
    <w:rsid w:val="00B01A04"/>
    <w:rsid w:val="00B0633C"/>
    <w:rsid w:val="00B11F29"/>
    <w:rsid w:val="00B13782"/>
    <w:rsid w:val="00B2337C"/>
    <w:rsid w:val="00B24678"/>
    <w:rsid w:val="00B25BEB"/>
    <w:rsid w:val="00B34C91"/>
    <w:rsid w:val="00B37E02"/>
    <w:rsid w:val="00B42545"/>
    <w:rsid w:val="00B50066"/>
    <w:rsid w:val="00B54A99"/>
    <w:rsid w:val="00B5704F"/>
    <w:rsid w:val="00B7316A"/>
    <w:rsid w:val="00B758E9"/>
    <w:rsid w:val="00BB113A"/>
    <w:rsid w:val="00BB1387"/>
    <w:rsid w:val="00BB6993"/>
    <w:rsid w:val="00BC3D90"/>
    <w:rsid w:val="00BD4CBE"/>
    <w:rsid w:val="00BD4E0A"/>
    <w:rsid w:val="00BE1682"/>
    <w:rsid w:val="00BE1A74"/>
    <w:rsid w:val="00BE6E13"/>
    <w:rsid w:val="00BE7242"/>
    <w:rsid w:val="00BE7DA1"/>
    <w:rsid w:val="00BF0685"/>
    <w:rsid w:val="00BF25E1"/>
    <w:rsid w:val="00C035D1"/>
    <w:rsid w:val="00C065AB"/>
    <w:rsid w:val="00C1434C"/>
    <w:rsid w:val="00C21389"/>
    <w:rsid w:val="00C22CB8"/>
    <w:rsid w:val="00C24C01"/>
    <w:rsid w:val="00C33E16"/>
    <w:rsid w:val="00C547A4"/>
    <w:rsid w:val="00C550FF"/>
    <w:rsid w:val="00C64CE1"/>
    <w:rsid w:val="00C703C6"/>
    <w:rsid w:val="00C74D5E"/>
    <w:rsid w:val="00C75745"/>
    <w:rsid w:val="00C90457"/>
    <w:rsid w:val="00CA1577"/>
    <w:rsid w:val="00CA1F24"/>
    <w:rsid w:val="00CA394D"/>
    <w:rsid w:val="00CA43B8"/>
    <w:rsid w:val="00CA4A45"/>
    <w:rsid w:val="00CB5E8D"/>
    <w:rsid w:val="00CB6753"/>
    <w:rsid w:val="00CD446D"/>
    <w:rsid w:val="00CE0555"/>
    <w:rsid w:val="00CE5663"/>
    <w:rsid w:val="00CE6D68"/>
    <w:rsid w:val="00D0131F"/>
    <w:rsid w:val="00D050F3"/>
    <w:rsid w:val="00D05F6A"/>
    <w:rsid w:val="00D07E6D"/>
    <w:rsid w:val="00D1622B"/>
    <w:rsid w:val="00D21C7F"/>
    <w:rsid w:val="00D33EB9"/>
    <w:rsid w:val="00D35EF9"/>
    <w:rsid w:val="00D3714B"/>
    <w:rsid w:val="00D4389F"/>
    <w:rsid w:val="00D56DD0"/>
    <w:rsid w:val="00D57271"/>
    <w:rsid w:val="00D61F0B"/>
    <w:rsid w:val="00D673A1"/>
    <w:rsid w:val="00D70550"/>
    <w:rsid w:val="00D7132D"/>
    <w:rsid w:val="00D724D1"/>
    <w:rsid w:val="00D83BBC"/>
    <w:rsid w:val="00DA250F"/>
    <w:rsid w:val="00DA415B"/>
    <w:rsid w:val="00DA5868"/>
    <w:rsid w:val="00DB5130"/>
    <w:rsid w:val="00DC47B5"/>
    <w:rsid w:val="00DC6557"/>
    <w:rsid w:val="00DD127F"/>
    <w:rsid w:val="00DD1FC7"/>
    <w:rsid w:val="00DD23E8"/>
    <w:rsid w:val="00DD2FAE"/>
    <w:rsid w:val="00DD39E5"/>
    <w:rsid w:val="00DD6A7F"/>
    <w:rsid w:val="00DD6AFE"/>
    <w:rsid w:val="00DF7FBB"/>
    <w:rsid w:val="00E00498"/>
    <w:rsid w:val="00E02BBF"/>
    <w:rsid w:val="00E06BA4"/>
    <w:rsid w:val="00E163A5"/>
    <w:rsid w:val="00E1670B"/>
    <w:rsid w:val="00E20151"/>
    <w:rsid w:val="00E217DF"/>
    <w:rsid w:val="00E30B7D"/>
    <w:rsid w:val="00E34AE2"/>
    <w:rsid w:val="00E4212A"/>
    <w:rsid w:val="00E46AD5"/>
    <w:rsid w:val="00E50040"/>
    <w:rsid w:val="00E51612"/>
    <w:rsid w:val="00E560A3"/>
    <w:rsid w:val="00E56C09"/>
    <w:rsid w:val="00E5798F"/>
    <w:rsid w:val="00E60231"/>
    <w:rsid w:val="00E60468"/>
    <w:rsid w:val="00E65D1D"/>
    <w:rsid w:val="00E73BA8"/>
    <w:rsid w:val="00E812FB"/>
    <w:rsid w:val="00E8512C"/>
    <w:rsid w:val="00E855A5"/>
    <w:rsid w:val="00E97306"/>
    <w:rsid w:val="00EA24F3"/>
    <w:rsid w:val="00EA4138"/>
    <w:rsid w:val="00EB16A4"/>
    <w:rsid w:val="00EB5275"/>
    <w:rsid w:val="00EC5505"/>
    <w:rsid w:val="00EC70C2"/>
    <w:rsid w:val="00ED5D22"/>
    <w:rsid w:val="00ED7675"/>
    <w:rsid w:val="00EE3C6F"/>
    <w:rsid w:val="00EF2DBE"/>
    <w:rsid w:val="00EF5AE6"/>
    <w:rsid w:val="00F12EEF"/>
    <w:rsid w:val="00F20264"/>
    <w:rsid w:val="00F33A00"/>
    <w:rsid w:val="00F36C03"/>
    <w:rsid w:val="00F42D5D"/>
    <w:rsid w:val="00F44BF6"/>
    <w:rsid w:val="00F4636D"/>
    <w:rsid w:val="00F46F1F"/>
    <w:rsid w:val="00F50B50"/>
    <w:rsid w:val="00F52818"/>
    <w:rsid w:val="00F5306F"/>
    <w:rsid w:val="00F555F9"/>
    <w:rsid w:val="00F5629F"/>
    <w:rsid w:val="00F61699"/>
    <w:rsid w:val="00F63C9F"/>
    <w:rsid w:val="00F84382"/>
    <w:rsid w:val="00F94259"/>
    <w:rsid w:val="00F9574E"/>
    <w:rsid w:val="00F96FAA"/>
    <w:rsid w:val="00FA042E"/>
    <w:rsid w:val="00FA47C5"/>
    <w:rsid w:val="00FB0971"/>
    <w:rsid w:val="00FB448E"/>
    <w:rsid w:val="00FB7ACB"/>
    <w:rsid w:val="00FD0AAD"/>
    <w:rsid w:val="00FD31AF"/>
    <w:rsid w:val="00FD3E39"/>
    <w:rsid w:val="00FD6C03"/>
    <w:rsid w:val="00FE0613"/>
    <w:rsid w:val="00FE2A41"/>
    <w:rsid w:val="00FE3DEB"/>
    <w:rsid w:val="00FE623A"/>
    <w:rsid w:val="00FF01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A69B7"/>
  <w15:chartTrackingRefBased/>
  <w15:docId w15:val="{1CA096CC-D9D8-4147-8992-5FF9EC7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D1"/>
    <w:pPr>
      <w:ind w:left="720"/>
      <w:contextualSpacing/>
    </w:pPr>
  </w:style>
  <w:style w:type="table" w:styleId="TableGrid">
    <w:name w:val="Table Grid"/>
    <w:basedOn w:val="TableNormal"/>
    <w:uiPriority w:val="39"/>
    <w:rsid w:val="00E56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3B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B55BF"/>
    <w:rPr>
      <w:color w:val="0563C1" w:themeColor="hyperlink"/>
      <w:u w:val="single"/>
    </w:rPr>
  </w:style>
  <w:style w:type="character" w:styleId="UnresolvedMention">
    <w:name w:val="Unresolved Mention"/>
    <w:basedOn w:val="DefaultParagraphFont"/>
    <w:uiPriority w:val="99"/>
    <w:semiHidden/>
    <w:unhideWhenUsed/>
    <w:rsid w:val="005B55BF"/>
    <w:rPr>
      <w:color w:val="605E5C"/>
      <w:shd w:val="clear" w:color="auto" w:fill="E1DFDD"/>
    </w:rPr>
  </w:style>
  <w:style w:type="paragraph" w:styleId="Header">
    <w:name w:val="header"/>
    <w:basedOn w:val="Normal"/>
    <w:link w:val="HeaderChar"/>
    <w:uiPriority w:val="99"/>
    <w:unhideWhenUsed/>
    <w:rsid w:val="007F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51D"/>
  </w:style>
  <w:style w:type="paragraph" w:styleId="Footer">
    <w:name w:val="footer"/>
    <w:basedOn w:val="Normal"/>
    <w:link w:val="FooterChar"/>
    <w:uiPriority w:val="99"/>
    <w:unhideWhenUsed/>
    <w:rsid w:val="007F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51D"/>
  </w:style>
  <w:style w:type="table" w:styleId="PlainTable2">
    <w:name w:val="Plain Table 2"/>
    <w:basedOn w:val="TableNormal"/>
    <w:uiPriority w:val="42"/>
    <w:rsid w:val="00415B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3153">
      <w:bodyDiv w:val="1"/>
      <w:marLeft w:val="0"/>
      <w:marRight w:val="0"/>
      <w:marTop w:val="0"/>
      <w:marBottom w:val="0"/>
      <w:divBdr>
        <w:top w:val="none" w:sz="0" w:space="0" w:color="auto"/>
        <w:left w:val="none" w:sz="0" w:space="0" w:color="auto"/>
        <w:bottom w:val="none" w:sz="0" w:space="0" w:color="auto"/>
        <w:right w:val="none" w:sz="0" w:space="0" w:color="auto"/>
      </w:divBdr>
    </w:div>
    <w:div w:id="655761805">
      <w:bodyDiv w:val="1"/>
      <w:marLeft w:val="0"/>
      <w:marRight w:val="0"/>
      <w:marTop w:val="0"/>
      <w:marBottom w:val="0"/>
      <w:divBdr>
        <w:top w:val="none" w:sz="0" w:space="0" w:color="auto"/>
        <w:left w:val="none" w:sz="0" w:space="0" w:color="auto"/>
        <w:bottom w:val="none" w:sz="0" w:space="0" w:color="auto"/>
        <w:right w:val="none" w:sz="0" w:space="0" w:color="auto"/>
      </w:divBdr>
    </w:div>
    <w:div w:id="753749055">
      <w:bodyDiv w:val="1"/>
      <w:marLeft w:val="0"/>
      <w:marRight w:val="0"/>
      <w:marTop w:val="0"/>
      <w:marBottom w:val="0"/>
      <w:divBdr>
        <w:top w:val="none" w:sz="0" w:space="0" w:color="auto"/>
        <w:left w:val="none" w:sz="0" w:space="0" w:color="auto"/>
        <w:bottom w:val="none" w:sz="0" w:space="0" w:color="auto"/>
        <w:right w:val="none" w:sz="0" w:space="0" w:color="auto"/>
      </w:divBdr>
    </w:div>
    <w:div w:id="768503334">
      <w:bodyDiv w:val="1"/>
      <w:marLeft w:val="0"/>
      <w:marRight w:val="0"/>
      <w:marTop w:val="0"/>
      <w:marBottom w:val="0"/>
      <w:divBdr>
        <w:top w:val="none" w:sz="0" w:space="0" w:color="auto"/>
        <w:left w:val="none" w:sz="0" w:space="0" w:color="auto"/>
        <w:bottom w:val="none" w:sz="0" w:space="0" w:color="auto"/>
        <w:right w:val="none" w:sz="0" w:space="0" w:color="auto"/>
      </w:divBdr>
    </w:div>
    <w:div w:id="1077942580">
      <w:bodyDiv w:val="1"/>
      <w:marLeft w:val="0"/>
      <w:marRight w:val="0"/>
      <w:marTop w:val="0"/>
      <w:marBottom w:val="0"/>
      <w:divBdr>
        <w:top w:val="none" w:sz="0" w:space="0" w:color="auto"/>
        <w:left w:val="none" w:sz="0" w:space="0" w:color="auto"/>
        <w:bottom w:val="none" w:sz="0" w:space="0" w:color="auto"/>
        <w:right w:val="none" w:sz="0" w:space="0" w:color="auto"/>
      </w:divBdr>
    </w:div>
    <w:div w:id="1105030537">
      <w:bodyDiv w:val="1"/>
      <w:marLeft w:val="0"/>
      <w:marRight w:val="0"/>
      <w:marTop w:val="0"/>
      <w:marBottom w:val="0"/>
      <w:divBdr>
        <w:top w:val="none" w:sz="0" w:space="0" w:color="auto"/>
        <w:left w:val="none" w:sz="0" w:space="0" w:color="auto"/>
        <w:bottom w:val="none" w:sz="0" w:space="0" w:color="auto"/>
        <w:right w:val="none" w:sz="0" w:space="0" w:color="auto"/>
      </w:divBdr>
    </w:div>
    <w:div w:id="1135829389">
      <w:bodyDiv w:val="1"/>
      <w:marLeft w:val="0"/>
      <w:marRight w:val="0"/>
      <w:marTop w:val="0"/>
      <w:marBottom w:val="0"/>
      <w:divBdr>
        <w:top w:val="none" w:sz="0" w:space="0" w:color="auto"/>
        <w:left w:val="none" w:sz="0" w:space="0" w:color="auto"/>
        <w:bottom w:val="none" w:sz="0" w:space="0" w:color="auto"/>
        <w:right w:val="none" w:sz="0" w:space="0" w:color="auto"/>
      </w:divBdr>
    </w:div>
    <w:div w:id="1281112492">
      <w:bodyDiv w:val="1"/>
      <w:marLeft w:val="0"/>
      <w:marRight w:val="0"/>
      <w:marTop w:val="0"/>
      <w:marBottom w:val="0"/>
      <w:divBdr>
        <w:top w:val="none" w:sz="0" w:space="0" w:color="auto"/>
        <w:left w:val="none" w:sz="0" w:space="0" w:color="auto"/>
        <w:bottom w:val="none" w:sz="0" w:space="0" w:color="auto"/>
        <w:right w:val="none" w:sz="0" w:space="0" w:color="auto"/>
      </w:divBdr>
    </w:div>
    <w:div w:id="1536498728">
      <w:bodyDiv w:val="1"/>
      <w:marLeft w:val="0"/>
      <w:marRight w:val="0"/>
      <w:marTop w:val="0"/>
      <w:marBottom w:val="0"/>
      <w:divBdr>
        <w:top w:val="none" w:sz="0" w:space="0" w:color="auto"/>
        <w:left w:val="none" w:sz="0" w:space="0" w:color="auto"/>
        <w:bottom w:val="none" w:sz="0" w:space="0" w:color="auto"/>
        <w:right w:val="none" w:sz="0" w:space="0" w:color="auto"/>
      </w:divBdr>
    </w:div>
    <w:div w:id="15897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inmar.2003.11.005" TargetMode="External"/><Relationship Id="rId13" Type="http://schemas.openxmlformats.org/officeDocument/2006/relationships/hyperlink" Target="http://dx.doi.org/10.1108/17554191211252699" TargetMode="External"/><Relationship Id="rId18" Type="http://schemas.openxmlformats.org/officeDocument/2006/relationships/hyperlink" Target="https://doi.org/10.1002/ijfe.163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dx.doi.org/10.1111/j.1467-9957.2011.02260" TargetMode="External"/><Relationship Id="rId7" Type="http://schemas.openxmlformats.org/officeDocument/2006/relationships/hyperlink" Target="https://doi.org/10.1108/SAJBS-06-2018-0064" TargetMode="External"/><Relationship Id="rId12" Type="http://schemas.openxmlformats.org/officeDocument/2006/relationships/hyperlink" Target="https://doi.org/10.1111/0022-1082.00077" TargetMode="External"/><Relationship Id="rId17" Type="http://schemas.openxmlformats.org/officeDocument/2006/relationships/hyperlink" Target="https://doi.org/10.1016/S0378-4266(01)00202-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469/faj.v56.n2.2340" TargetMode="External"/><Relationship Id="rId20" Type="http://schemas.openxmlformats.org/officeDocument/2006/relationships/hyperlink" Target="https://doi.org/10.1108/IJoEM-07-2012-%20006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ebo.2022.03.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11/j.1540-6261.1970.tb00518.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469/faj.v54.n3.2182" TargetMode="External"/><Relationship Id="rId19" Type="http://schemas.openxmlformats.org/officeDocument/2006/relationships/hyperlink" Target="http://dx.doi.org/10.20547/jfer1904103" TargetMode="External"/><Relationship Id="rId4" Type="http://schemas.openxmlformats.org/officeDocument/2006/relationships/webSettings" Target="webSettings.xml"/><Relationship Id="rId9" Type="http://schemas.openxmlformats.org/officeDocument/2006/relationships/hyperlink" Target="https://doi.org/10.1016/S1574-0102(03)01027-6" TargetMode="External"/><Relationship Id="rId14" Type="http://schemas.openxmlformats.org/officeDocument/2006/relationships/hyperlink" Target="http://dx.doi.org/10.15208/beh.2014.27" TargetMode="External"/><Relationship Id="rId22" Type="http://schemas.openxmlformats.org/officeDocument/2006/relationships/hyperlink" Target="http://dx.doi.org/10.1080/23322039.2017.130909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2469</TotalTime>
  <Pages>6</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 Ruchi</dc:creator>
  <cp:keywords/>
  <dc:description/>
  <cp:lastModifiedBy>Editor-22</cp:lastModifiedBy>
  <cp:revision>530</cp:revision>
  <dcterms:created xsi:type="dcterms:W3CDTF">2023-12-29T14:42:00Z</dcterms:created>
  <dcterms:modified xsi:type="dcterms:W3CDTF">2025-04-21T09:22:00Z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8ee3688a291bf12a9cbff54453993094d1d5e377ffd071bc80ea314328830d71</vt:lpwstr>
  </property>
</Properties>
</file>