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04799" w14:textId="77777777" w:rsidR="00B8432A" w:rsidRPr="0099511F" w:rsidRDefault="00B8432A" w:rsidP="00B8432A">
      <w:pPr>
        <w:pStyle w:val="NoSpacing"/>
        <w:rPr>
          <w:rFonts w:ascii="Times New Roman" w:hAnsi="Times New Roman" w:cs="Times New Roman"/>
          <w:sz w:val="40"/>
          <w:szCs w:val="40"/>
        </w:rPr>
      </w:pPr>
      <w:r w:rsidRPr="0099511F">
        <w:rPr>
          <w:rFonts w:ascii="Times New Roman" w:hAnsi="Times New Roman" w:cs="Times New Roman"/>
          <w:sz w:val="40"/>
          <w:szCs w:val="40"/>
        </w:rPr>
        <w:t>Beyond Transactions: Exploring the Role of Social Capital in Traditional Market Survival Amid Urban Retail Transformation</w:t>
      </w:r>
    </w:p>
    <w:p w14:paraId="7B37A394" w14:textId="77777777" w:rsidR="00B8432A" w:rsidRPr="0099511F" w:rsidRDefault="00B8432A" w:rsidP="00B8432A">
      <w:pPr>
        <w:rPr>
          <w:rFonts w:ascii="Times New Roman" w:hAnsi="Times New Roman" w:cs="Times New Roman"/>
        </w:rPr>
      </w:pPr>
    </w:p>
    <w:p w14:paraId="5AF21603" w14:textId="77777777" w:rsidR="00D16FB0" w:rsidRPr="0099511F" w:rsidRDefault="00D16FB0" w:rsidP="00B8432A">
      <w:pPr>
        <w:rPr>
          <w:rFonts w:ascii="Times New Roman" w:hAnsi="Times New Roman" w:cs="Times New Roman"/>
        </w:rPr>
      </w:pPr>
      <w:bookmarkStart w:id="0" w:name="_GoBack"/>
      <w:bookmarkEnd w:id="0"/>
    </w:p>
    <w:p w14:paraId="14435E43" w14:textId="77777777" w:rsidR="00D16FB0" w:rsidRPr="00D16FB0" w:rsidRDefault="00B8432A" w:rsidP="00D16FB0">
      <w:pPr>
        <w:rPr>
          <w:rFonts w:ascii="Times New Roman" w:hAnsi="Times New Roman" w:cs="Times New Roman"/>
          <w:b/>
          <w:bCs/>
          <w:sz w:val="28"/>
          <w:szCs w:val="28"/>
        </w:rPr>
      </w:pPr>
      <w:r w:rsidRPr="0099511F">
        <w:rPr>
          <w:rFonts w:ascii="Times New Roman" w:hAnsi="Times New Roman" w:cs="Times New Roman"/>
          <w:b/>
          <w:bCs/>
          <w:sz w:val="28"/>
          <w:szCs w:val="28"/>
        </w:rPr>
        <w:t xml:space="preserve"> Abstract</w:t>
      </w:r>
    </w:p>
    <w:p w14:paraId="7783FCC3" w14:textId="77777777" w:rsidR="00D16FB0" w:rsidRPr="00D16FB0" w:rsidRDefault="00D16FB0" w:rsidP="00D16FB0">
      <w:pPr>
        <w:rPr>
          <w:rFonts w:ascii="Times New Roman" w:hAnsi="Times New Roman" w:cs="Times New Roman"/>
        </w:rPr>
      </w:pPr>
      <w:r w:rsidRPr="00D16FB0">
        <w:rPr>
          <w:rFonts w:ascii="Times New Roman" w:hAnsi="Times New Roman" w:cs="Times New Roman"/>
        </w:rPr>
        <w:t>This study examines the resilience of traditional markets within rapidly evolving urban retail landscapes. Employing a qualitative ethnographic approach in one of Banjarmasin’s oldest marketplaces, the research investigates how vendors and customers sustain these markets through personalized service, flexible pricing, and robust community ties. The findings reveal that beyond conventional transactions, the deep social capital—manifested in long-standing relationships, informal credit practices, and adaptive trading strategies—is central to the survival of traditional markets. In contrast to modern retail’s emphasis on efficiency and standardization, these markets leverage trust, cultural continuity, and community engagement to offer unique value propositions. The study highlights the indispensable role of traditional markets in preserving urban cultural heritage, fostering local economic resilience, and enhancing social cohesion. Implications for urban planning and policy underscore the need for initiatives that integrate traditional market practices with modern technological innovations to ensure their continued vitality in a globalized economy.</w:t>
      </w:r>
    </w:p>
    <w:p w14:paraId="1D84CF89" w14:textId="77777777" w:rsidR="00B8432A" w:rsidRPr="0099511F" w:rsidRDefault="00B8432A" w:rsidP="00B8432A">
      <w:pPr>
        <w:rPr>
          <w:rFonts w:ascii="Times New Roman" w:hAnsi="Times New Roman" w:cs="Times New Roman"/>
          <w:b/>
          <w:bCs/>
          <w:sz w:val="28"/>
          <w:szCs w:val="28"/>
        </w:rPr>
      </w:pPr>
      <w:r w:rsidRPr="0099511F">
        <w:rPr>
          <w:rFonts w:ascii="Times New Roman" w:hAnsi="Times New Roman" w:cs="Times New Roman"/>
          <w:b/>
          <w:bCs/>
          <w:sz w:val="28"/>
          <w:szCs w:val="28"/>
        </w:rPr>
        <w:t>1. Introduction</w:t>
      </w:r>
    </w:p>
    <w:p w14:paraId="0B1A76A4"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The evolution of urban retail landscapes has fundamentally reshaped both consumer </w:t>
      </w:r>
      <w:proofErr w:type="spellStart"/>
      <w:r w:rsidRPr="0099511F">
        <w:rPr>
          <w:rFonts w:ascii="Times New Roman" w:hAnsi="Times New Roman" w:cs="Times New Roman"/>
        </w:rPr>
        <w:t>behavior</w:t>
      </w:r>
      <w:proofErr w:type="spellEnd"/>
      <w:r w:rsidRPr="0099511F">
        <w:rPr>
          <w:rFonts w:ascii="Times New Roman" w:hAnsi="Times New Roman" w:cs="Times New Roman"/>
        </w:rPr>
        <w:t xml:space="preserve"> and market dynamics. Over recent decades, modern retail stores—characterized by sleek architecture, air-conditioned environments, and extensive product assortments—have emerged to address urban consumers’ growing demands for convenience and variety (Reardon &amp; Hopkins, 2006). These contemporary establishments deploy sophisticated marketing techniques, including loyalty programs and data-driven promotional strategies, enabling them to capture larger segments of the urban market. Consequently, traditional markets, which have long been the cultural and economic nuclei of local communities, are being increasingly challenged. Modern retail’s promise of efficiency and variety has transformed shopping </w:t>
      </w:r>
      <w:proofErr w:type="spellStart"/>
      <w:r w:rsidRPr="0099511F">
        <w:rPr>
          <w:rFonts w:ascii="Times New Roman" w:hAnsi="Times New Roman" w:cs="Times New Roman"/>
        </w:rPr>
        <w:t>behaviors</w:t>
      </w:r>
      <w:proofErr w:type="spellEnd"/>
      <w:r w:rsidRPr="0099511F">
        <w:rPr>
          <w:rFonts w:ascii="Times New Roman" w:hAnsi="Times New Roman" w:cs="Times New Roman"/>
        </w:rPr>
        <w:t xml:space="preserve"> and restructured the socio-economic fabric of urban areas (Humphrey, 2007).</w:t>
      </w:r>
    </w:p>
    <w:p w14:paraId="11462A14" w14:textId="77777777" w:rsidR="00B8432A" w:rsidRPr="0099511F" w:rsidRDefault="00B8432A" w:rsidP="00B8432A">
      <w:pPr>
        <w:rPr>
          <w:rFonts w:ascii="Times New Roman" w:hAnsi="Times New Roman" w:cs="Times New Roman"/>
        </w:rPr>
      </w:pPr>
    </w:p>
    <w:p w14:paraId="4BC8F318"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Amid this urban transformation, traditional markets retain an enduring appeal that warrants closer examination. Unlike the impersonal nature of modern retail outlets, traditional markets often operate from modest, historic premises and offer a limited but carefully curated selection of goods. Their hallmark is the strong, personal relationships cultivated over time between vendors </w:t>
      </w:r>
      <w:r w:rsidRPr="0099511F">
        <w:rPr>
          <w:rFonts w:ascii="Times New Roman" w:hAnsi="Times New Roman" w:cs="Times New Roman"/>
        </w:rPr>
        <w:lastRenderedPageBreak/>
        <w:t>and customers, a feature rarely replicated in modern retail environments (Bromley &amp; Mackie, 2009; Geertz, 1978). Such relationships yield a unique shopping experience steeped in trust, familiarity, and mutual respect—qualities that enhance community identity and social cohesion.</w:t>
      </w:r>
    </w:p>
    <w:p w14:paraId="7722B18A"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This study aims to unravel the survival strategies that enable traditional markets to thrive amid the competitive pressures of modern retail giants. By examining the dynamics of vendor-customer interactions, pricing mechanisms, and the broader socio-economic context, the research identifies the factors that contribute to the resilience of traditional markets. The insights derived from this study are expected to inform urban policy and planning initiatives aimed at sustaining and revitalizing these cultural landmarks in the face of globalization and rapid urban change.</w:t>
      </w:r>
    </w:p>
    <w:p w14:paraId="0901E276" w14:textId="77777777" w:rsidR="00B8432A" w:rsidRPr="0099511F" w:rsidRDefault="00B8432A" w:rsidP="00B8432A">
      <w:pPr>
        <w:rPr>
          <w:rFonts w:ascii="Times New Roman" w:hAnsi="Times New Roman" w:cs="Times New Roman"/>
          <w:b/>
          <w:bCs/>
          <w:sz w:val="28"/>
          <w:szCs w:val="28"/>
        </w:rPr>
      </w:pPr>
      <w:r w:rsidRPr="0099511F">
        <w:rPr>
          <w:rFonts w:ascii="Times New Roman" w:hAnsi="Times New Roman" w:cs="Times New Roman"/>
          <w:b/>
          <w:bCs/>
          <w:sz w:val="28"/>
          <w:szCs w:val="28"/>
        </w:rPr>
        <w:t xml:space="preserve"> 2. Theoretical Framework</w:t>
      </w:r>
    </w:p>
    <w:p w14:paraId="28598EED"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Understanding the persistence of traditional markets requires situating their practices within the broader framework of economic sociology. Two key theoretical perspectives—social embeddedness and relational exchange theory—provide critical lenses for </w:t>
      </w:r>
      <w:proofErr w:type="spellStart"/>
      <w:r w:rsidRPr="0099511F">
        <w:rPr>
          <w:rFonts w:ascii="Times New Roman" w:hAnsi="Times New Roman" w:cs="Times New Roman"/>
        </w:rPr>
        <w:t>analyzing</w:t>
      </w:r>
      <w:proofErr w:type="spellEnd"/>
      <w:r w:rsidRPr="0099511F">
        <w:rPr>
          <w:rFonts w:ascii="Times New Roman" w:hAnsi="Times New Roman" w:cs="Times New Roman"/>
        </w:rPr>
        <w:t xml:space="preserve"> the dynamics at play.</w:t>
      </w:r>
    </w:p>
    <w:p w14:paraId="0ECCED92"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2.1 Social Embeddedness</w:t>
      </w:r>
    </w:p>
    <w:p w14:paraId="66C2BADA" w14:textId="77777777" w:rsidR="00B8432A" w:rsidRPr="0099511F" w:rsidRDefault="00B8432A" w:rsidP="00B8432A">
      <w:pPr>
        <w:rPr>
          <w:rFonts w:ascii="Times New Roman" w:hAnsi="Times New Roman" w:cs="Times New Roman"/>
        </w:rPr>
      </w:pPr>
      <w:proofErr w:type="spellStart"/>
      <w:r w:rsidRPr="0099511F">
        <w:rPr>
          <w:rFonts w:ascii="Times New Roman" w:hAnsi="Times New Roman" w:cs="Times New Roman"/>
        </w:rPr>
        <w:t>Granovetter’s</w:t>
      </w:r>
      <w:proofErr w:type="spellEnd"/>
      <w:r w:rsidRPr="0099511F">
        <w:rPr>
          <w:rFonts w:ascii="Times New Roman" w:hAnsi="Times New Roman" w:cs="Times New Roman"/>
        </w:rPr>
        <w:t xml:space="preserve"> (1985) concept of social embeddedness posits that economic activity is not an isolated process but is deeply intertwined with social networks, cultural norms, and interpersonal relationships. In traditional markets, economic transactions are embedded within a rich tapestry of social interactions. Vendors and customers build long-term relationships based on trust, reciprocity, and a shared sense of belonging. For instance, a vendor’s decision to offer informal credit reflects an embedded relationship that rewards loyalty and reinforces community bonds. Such practices reduce uncertainty, lower transaction costs, and contribute to the market’s long-term stability. This perspective underscores that the success of traditional markets is inseparable from the social context in which they operate.</w:t>
      </w:r>
    </w:p>
    <w:p w14:paraId="57871B9B"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2.2 Relational Exchange Theory</w:t>
      </w:r>
    </w:p>
    <w:p w14:paraId="753ADE0D"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Relational exchange theory further elaborates on the quality of interactions in market settings. As argued by Portes (1998), economic exchanges are profoundly influenced by factors such as loyalty, reciprocity, and shared cultural norms. In traditional markets, personalized service, flexible pricing, and trust-based credit arrangements are direct manifestations of enduring interpersonal ties. Unlike the standardized transactions typical of modern retail, these relational exchanges foster an environment where both buyers and sellers engage in mutual support and long-term cooperation. The social capital created through these interactions is a critical factor in enhancing market resilience against competitive pressures (Coleman, 1988; Putnam, 2000).</w:t>
      </w:r>
    </w:p>
    <w:p w14:paraId="6E658345"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By integrating these theoretical perspectives, the study advances a nuanced understanding of traditional market dynamics. While modern retail emphasizes uniformity and efficiency, traditional markets derive their competitive edge from deep-seated social relationships that not </w:t>
      </w:r>
      <w:r w:rsidRPr="0099511F">
        <w:rPr>
          <w:rFonts w:ascii="Times New Roman" w:hAnsi="Times New Roman" w:cs="Times New Roman"/>
        </w:rPr>
        <w:lastRenderedPageBreak/>
        <w:t>only facilitate economic exchanges but also reinforce cultural continuity and community well-being.</w:t>
      </w:r>
    </w:p>
    <w:p w14:paraId="4769D34B" w14:textId="77777777" w:rsidR="00B8432A" w:rsidRPr="0099511F" w:rsidRDefault="00B8432A" w:rsidP="00B8432A">
      <w:pPr>
        <w:rPr>
          <w:rFonts w:ascii="Times New Roman" w:hAnsi="Times New Roman" w:cs="Times New Roman"/>
          <w:b/>
          <w:bCs/>
          <w:sz w:val="28"/>
          <w:szCs w:val="28"/>
        </w:rPr>
      </w:pPr>
      <w:r w:rsidRPr="0099511F">
        <w:rPr>
          <w:rFonts w:ascii="Times New Roman" w:hAnsi="Times New Roman" w:cs="Times New Roman"/>
          <w:b/>
          <w:bCs/>
          <w:sz w:val="28"/>
          <w:szCs w:val="28"/>
        </w:rPr>
        <w:t xml:space="preserve"> 3. Methods</w:t>
      </w:r>
    </w:p>
    <w:p w14:paraId="41DBCD5F"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3.1 Overall Research Design: Qualitative Ethnographic Approach</w:t>
      </w:r>
    </w:p>
    <w:p w14:paraId="28628949"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This research employs a qualitative ethnographic approach, ideally suited for examining complex cultural and social interactions in situ. Ethnography allows the researcher to immerse themselves in the traditional market environment, thereby capturing the lived experiences, practices, and social norms that underpin vendor-customer interactions. This methodological choice acknowledges that economic </w:t>
      </w:r>
      <w:proofErr w:type="spellStart"/>
      <w:r w:rsidRPr="0099511F">
        <w:rPr>
          <w:rFonts w:ascii="Times New Roman" w:hAnsi="Times New Roman" w:cs="Times New Roman"/>
        </w:rPr>
        <w:t>behavior</w:t>
      </w:r>
      <w:proofErr w:type="spellEnd"/>
      <w:r w:rsidRPr="0099511F">
        <w:rPr>
          <w:rFonts w:ascii="Times New Roman" w:hAnsi="Times New Roman" w:cs="Times New Roman"/>
        </w:rPr>
        <w:t xml:space="preserve"> in traditional markets is embedded in a broader cultural and historical context, which cannot be fully understood through quantitative methods alone (Marcus, 1995).</w:t>
      </w:r>
    </w:p>
    <w:p w14:paraId="67396BD7"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3.2 Data Collection Methods</w:t>
      </w:r>
    </w:p>
    <w:p w14:paraId="20EB0B65"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To capture a comprehensive view of market dynamics, three primary data collection methods were utilized:</w:t>
      </w:r>
    </w:p>
    <w:p w14:paraId="7420F7EE"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3.2.1 Semi-Structured Interviews</w:t>
      </w:r>
    </w:p>
    <w:p w14:paraId="2FD46849"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Purpose:  </w:t>
      </w:r>
    </w:p>
    <w:p w14:paraId="02B1980F"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Semi-structured interviews facilitate in-depth exploration of participant experiences, allowing for predetermined questions alongside opportunities for spontaneous follow-up queries.</w:t>
      </w:r>
    </w:p>
    <w:p w14:paraId="72231B43"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Process:  </w:t>
      </w:r>
    </w:p>
    <w:p w14:paraId="47D9D2CD"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Participant Selection: Twelve market vendors and customers were selected from “Pasar Lama,” one of the oldest traditional markets in Banjarmasin, renowned for its representative characteristics.</w:t>
      </w:r>
    </w:p>
    <w:p w14:paraId="0A78DDD0"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Interview Focus: Topics included challenges faced by vendors, customer loyalty drivers, diverse pricing strategies (including negotiation and credit systems), and the significance of personal relationships.</w:t>
      </w:r>
    </w:p>
    <w:p w14:paraId="59E23826"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Benefits:  </w:t>
      </w:r>
    </w:p>
    <w:p w14:paraId="5690DD80"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The conversational nature of these interviews provided rich, qualitative data that captured subtle nuances such as emotional responses, social identities, and intergenerational experiences.</w:t>
      </w:r>
    </w:p>
    <w:p w14:paraId="0E8E4D39"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3.2.2 Participant Observation</w:t>
      </w:r>
    </w:p>
    <w:p w14:paraId="04352F65"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Purpose:  </w:t>
      </w:r>
    </w:p>
    <w:p w14:paraId="0767E533"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Participant observation involved the researcher actively integrating into the market environment to observe real-time interactions and </w:t>
      </w:r>
      <w:proofErr w:type="spellStart"/>
      <w:r w:rsidRPr="0099511F">
        <w:rPr>
          <w:rFonts w:ascii="Times New Roman" w:hAnsi="Times New Roman" w:cs="Times New Roman"/>
        </w:rPr>
        <w:t>behaviors</w:t>
      </w:r>
      <w:proofErr w:type="spellEnd"/>
      <w:r w:rsidRPr="0099511F">
        <w:rPr>
          <w:rFonts w:ascii="Times New Roman" w:hAnsi="Times New Roman" w:cs="Times New Roman"/>
        </w:rPr>
        <w:t>.</w:t>
      </w:r>
    </w:p>
    <w:p w14:paraId="37D08F26"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lastRenderedPageBreak/>
        <w:t xml:space="preserve">Process:  </w:t>
      </w:r>
    </w:p>
    <w:p w14:paraId="5710726E"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Immersion: The researcher spent extended periods within the market, interacting with vendors and customers while keeping detailed field notes.</w:t>
      </w:r>
    </w:p>
    <w:p w14:paraId="2D02C6B2"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Observation Focus: Attention was directed toward routine activities including greetings, negotiation tactics, and overall social interactions. This allowed the collection of non-verbal data—such as body language and emotional expressions—which is crucial for understanding unspoken trust and rapport.</w:t>
      </w:r>
    </w:p>
    <w:p w14:paraId="5E8D613F"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Benefits:  </w:t>
      </w:r>
    </w:p>
    <w:p w14:paraId="70D88BC5"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This method provided contextual insights that enhanced the reliability of the interview data, ensuring that observations supported the deeper narrative of market functioning.</w:t>
      </w:r>
    </w:p>
    <w:p w14:paraId="3E76F542"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3.2.3 Documentary Analysis</w:t>
      </w:r>
    </w:p>
    <w:p w14:paraId="74ABC601"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Purpose:  </w:t>
      </w:r>
    </w:p>
    <w:p w14:paraId="7CD81D2E"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Documentary analysis enriched primary data by integrating secondary sources, providing historical and socio-economic context.</w:t>
      </w:r>
    </w:p>
    <w:p w14:paraId="09E461A1"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Process:  </w:t>
      </w:r>
    </w:p>
    <w:p w14:paraId="198210F7"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Types of Documents:  </w:t>
      </w:r>
    </w:p>
    <w:p w14:paraId="2DD1A567"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 Market Records: Sales logs, inventory reports, and transaction histories to track performance trends and seasonal shifts.</w:t>
      </w:r>
    </w:p>
    <w:p w14:paraId="5EC339CE"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 Historical Documents: Past market reports, photographs, and archival records detailing the evolution of market infrastructure and trading practices.</w:t>
      </w:r>
    </w:p>
    <w:p w14:paraId="028D886E"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 Government Reports: Local government publications, economic development plans, and regulatory documents that shed light on external factors affecting market operations.</w:t>
      </w:r>
    </w:p>
    <w:p w14:paraId="0AB7895B"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Benefits:  </w:t>
      </w:r>
    </w:p>
    <w:p w14:paraId="3E1D0DAD"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This multi-layered approach corroborated trends observed in interviews and observations, thereby bolstering the study’s overall validity.</w:t>
      </w:r>
    </w:p>
    <w:p w14:paraId="7BA2775B"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3.3 Data Analysis Techniques</w:t>
      </w:r>
    </w:p>
    <w:p w14:paraId="22C9E6F4"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Data collected through interviews, observations, and documents were systematically </w:t>
      </w:r>
      <w:proofErr w:type="spellStart"/>
      <w:r w:rsidRPr="0099511F">
        <w:rPr>
          <w:rFonts w:ascii="Times New Roman" w:hAnsi="Times New Roman" w:cs="Times New Roman"/>
        </w:rPr>
        <w:t>analyzed</w:t>
      </w:r>
      <w:proofErr w:type="spellEnd"/>
      <w:r w:rsidRPr="0099511F">
        <w:rPr>
          <w:rFonts w:ascii="Times New Roman" w:hAnsi="Times New Roman" w:cs="Times New Roman"/>
        </w:rPr>
        <w:t xml:space="preserve"> using thematic analysis:</w:t>
      </w:r>
    </w:p>
    <w:p w14:paraId="36ADF316"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1. Transcription:  </w:t>
      </w:r>
    </w:p>
    <w:p w14:paraId="4A5361AB"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Audio recordings and field notes were transcribed to produce a comprehensive textual dataset.</w:t>
      </w:r>
    </w:p>
    <w:p w14:paraId="7BD6AC51"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2. Coding:  </w:t>
      </w:r>
    </w:p>
    <w:p w14:paraId="759D9F66"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lastRenderedPageBreak/>
        <w:t xml:space="preserve">   Initial coding involved extracting keywords, phrases, and recurring ideas. These codes—such as “personalized greetings,” “credit-based purchasing,” and “flexible pricing”—were then grouped into broader categories through an iterative process.</w:t>
      </w:r>
    </w:p>
    <w:p w14:paraId="3AF9158C"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3. Theme Identification:  </w:t>
      </w:r>
    </w:p>
    <w:p w14:paraId="00BC81B1"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Codes were aggregated into major themes including personalized service, pricing flexibility, adaptive strategies, community engagement, and trust.</w:t>
      </w:r>
    </w:p>
    <w:p w14:paraId="5AC81101"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4. Triangulation:  </w:t>
      </w:r>
    </w:p>
    <w:p w14:paraId="48414BED"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Data triangulation was executed by cross-referencing findings from interviews, observations, and documentary analyses to ensure the robustness of emerging themes.</w:t>
      </w:r>
    </w:p>
    <w:p w14:paraId="0C0A8C02"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5. Theoretical Interpretation:  </w:t>
      </w:r>
    </w:p>
    <w:p w14:paraId="0BA9D217"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The final step involved interpreting these themes through the lenses of social embeddedness and relational exchange theory, providing insight into the sustaining mechanisms of traditional market practices.</w:t>
      </w:r>
    </w:p>
    <w:p w14:paraId="0CED7A06" w14:textId="77777777" w:rsidR="00B8432A" w:rsidRPr="0099511F" w:rsidRDefault="00B8432A" w:rsidP="00B8432A">
      <w:pPr>
        <w:rPr>
          <w:rFonts w:ascii="Times New Roman" w:hAnsi="Times New Roman" w:cs="Times New Roman"/>
          <w:b/>
          <w:bCs/>
          <w:sz w:val="28"/>
          <w:szCs w:val="28"/>
        </w:rPr>
      </w:pPr>
      <w:r w:rsidRPr="0099511F">
        <w:rPr>
          <w:rFonts w:ascii="Times New Roman" w:hAnsi="Times New Roman" w:cs="Times New Roman"/>
          <w:b/>
          <w:bCs/>
          <w:sz w:val="28"/>
          <w:szCs w:val="28"/>
        </w:rPr>
        <w:t xml:space="preserve"> 4. Results and Discussion</w:t>
      </w:r>
    </w:p>
    <w:p w14:paraId="0D6EFE77"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4.1 Vendor Strategies</w:t>
      </w:r>
    </w:p>
    <w:p w14:paraId="7624DD3D"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4.1.1 Personalized Service and Customer Relationships</w:t>
      </w:r>
    </w:p>
    <w:p w14:paraId="7F486E55"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The research reveals that personalized service is central to the success of traditional markets. Vendors frequently cultivate deep relationships with customers by remembering individual preferences, greeting them by name, and offering tailored recommendations. For instance, vendors may reserve premium produce or provide personalized advice based on customers’ dietary needs. These interactions extend beyond business transactions to become social support networks, with vendors often assisting customers with personal or family issues. Such practices build lasting trust and community bonds—an asset that modern retail environments, driven by efficiency and scale, rarely replicate (Bromley &amp; Mackie, 2009).</w:t>
      </w:r>
    </w:p>
    <w:p w14:paraId="18BDB8C7"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4.1.2 Flexible Pricing and Credit Arrangements</w:t>
      </w:r>
    </w:p>
    <w:p w14:paraId="4166748C"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Traditional market vendors employ flexible pricing strategies, fostering an environment of bargaining and negotiation. This dynamic pricing mechanism allows vendors to respond effectively to supply fluctuations and to nurture customer loyalty through spontaneous discounts and bundled offers. Additionally, informal credit arrangements enable customers, particularly low-income households, to manage cash flow challenges. The reliance on such adaptive practices is indicative of an economic system built on trust and mutual support, reinforcing social cohesion within the community.</w:t>
      </w:r>
    </w:p>
    <w:p w14:paraId="1291F8ED"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4.1.3 Adaptation and Diversification</w:t>
      </w:r>
    </w:p>
    <w:p w14:paraId="05075C51"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lastRenderedPageBreak/>
        <w:t>Vendors in traditional markets exhibit remarkable adaptability, continuously expanding and diversifying their product offerings in response to evolving consumer preferences. Whether introducing organic produce, ready-to-eat items, or seasonal goods, vendors are alert to market trends and customer feedback. This agility not only meets the current demands of consumers but also anticipates future shifts, ensuring long-term market viability. The capacity for swift adaptation underscores the resilience of traditional markets in an increasingly competitive retail landscape.</w:t>
      </w:r>
    </w:p>
    <w:p w14:paraId="066D3618"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4.2 Customer Preferences</w:t>
      </w:r>
    </w:p>
    <w:p w14:paraId="26C0DFB5"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4.2.1 Price Sensitivity</w:t>
      </w:r>
    </w:p>
    <w:p w14:paraId="5052E3F1"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Consumers visiting traditional markets are notably price-sensitive. With a fixed budget in mind, many shoppers appreciate the ability to haggle and secure better deals, which is rarely possible in modern retail settings. The absence of intermediaries often means lower prices and fresher products—a dual advantage that meets both budgetary and quality expectations. Moreover, the potential for price negotiation enhances the overall shopping experience, making it both economically beneficial and personally engaging.</w:t>
      </w:r>
    </w:p>
    <w:p w14:paraId="16FF6F71"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4.2.2 Social Interaction and Community Feel</w:t>
      </w:r>
    </w:p>
    <w:p w14:paraId="60630230"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Traditional markets serve as vibrant social spaces where economic transactions are interwoven with community interactions. Shoppers often visit these markets not only to purchase goods but also to socialize, exchange local news, and engage in communal rituals. Such interactions enrich the shopping experience, fostering a sense of belonging and emotional connection. For many, the market is a critical venue for community interaction—a role that modern retail outlets seldom </w:t>
      </w:r>
      <w:proofErr w:type="spellStart"/>
      <w:r w:rsidRPr="0099511F">
        <w:rPr>
          <w:rFonts w:ascii="Times New Roman" w:hAnsi="Times New Roman" w:cs="Times New Roman"/>
        </w:rPr>
        <w:t>fulfill</w:t>
      </w:r>
      <w:proofErr w:type="spellEnd"/>
      <w:r w:rsidRPr="0099511F">
        <w:rPr>
          <w:rFonts w:ascii="Times New Roman" w:hAnsi="Times New Roman" w:cs="Times New Roman"/>
        </w:rPr>
        <w:t>.</w:t>
      </w:r>
    </w:p>
    <w:p w14:paraId="5157D7DC"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4.2.3 Trust and Quality Perception</w:t>
      </w:r>
    </w:p>
    <w:p w14:paraId="3200E665"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Trust is a cornerstone of customer loyalty in traditional markets. The open environment, where customers can assess products through direct sensory engagement, reinforces the perception of freshness and authenticity. Additionally, the close relationship between vendors and local producers imbues these markets with a reputation for quality and integrity. Any issues that arise are typically resolved promptly and personally, further solidifying customer confidence in the market.</w:t>
      </w:r>
    </w:p>
    <w:p w14:paraId="67937181" w14:textId="77777777" w:rsidR="00B8432A" w:rsidRPr="0099511F" w:rsidRDefault="00B8432A" w:rsidP="00B8432A">
      <w:pPr>
        <w:rPr>
          <w:rFonts w:ascii="Times New Roman" w:hAnsi="Times New Roman" w:cs="Times New Roman"/>
          <w:b/>
          <w:bCs/>
          <w:sz w:val="28"/>
          <w:szCs w:val="28"/>
        </w:rPr>
      </w:pPr>
      <w:r w:rsidRPr="0099511F">
        <w:rPr>
          <w:rFonts w:ascii="Times New Roman" w:hAnsi="Times New Roman" w:cs="Times New Roman"/>
          <w:b/>
          <w:bCs/>
          <w:sz w:val="28"/>
          <w:szCs w:val="28"/>
        </w:rPr>
        <w:t xml:space="preserve"> 5. Conclusion</w:t>
      </w:r>
    </w:p>
    <w:p w14:paraId="1E764046" w14:textId="77777777" w:rsidR="00B8432A" w:rsidRDefault="00B8432A" w:rsidP="00B8432A">
      <w:pPr>
        <w:rPr>
          <w:rFonts w:ascii="Times New Roman" w:hAnsi="Times New Roman" w:cs="Times New Roman"/>
        </w:rPr>
      </w:pPr>
      <w:r w:rsidRPr="0099511F">
        <w:rPr>
          <w:rFonts w:ascii="Times New Roman" w:hAnsi="Times New Roman" w:cs="Times New Roman"/>
        </w:rPr>
        <w:t xml:space="preserve">The survival of traditional markets amid the proliferation of modern retail establishments highlights their inherent adaptability and resilience. Rather than being archaic remnants, traditional markets continue to thrive by offering personalized service, flexible pricing, and robust community ties. Their success is deeply embedded in the social fabric of urban life, where trust and interpersonal relationships play essential roles. As urbanization and technological change accelerate, policymakers and urban planners should consider measures such as </w:t>
      </w:r>
      <w:r w:rsidRPr="0099511F">
        <w:rPr>
          <w:rFonts w:ascii="Times New Roman" w:hAnsi="Times New Roman" w:cs="Times New Roman"/>
        </w:rPr>
        <w:lastRenderedPageBreak/>
        <w:t>infrastructure improvement, digital training programs for vendors, and sustainability initiatives to ensure the continued vibrancy of these cultural and economic assets. Future research might explore the role of digital tools—such as mobile payments and social media—in enhancing the competitiveness of traditional markets, further bridging the gap between heritage and innovation.</w:t>
      </w:r>
    </w:p>
    <w:p w14:paraId="4A83361E" w14:textId="77777777" w:rsidR="00040566" w:rsidRDefault="00040566" w:rsidP="00B8432A">
      <w:pPr>
        <w:rPr>
          <w:rFonts w:ascii="Times New Roman" w:hAnsi="Times New Roman" w:cs="Times New Roman"/>
        </w:rPr>
      </w:pPr>
    </w:p>
    <w:p w14:paraId="31C4DC2C" w14:textId="77777777" w:rsidR="00040566" w:rsidRPr="00040566" w:rsidRDefault="00040566" w:rsidP="00040566">
      <w:pPr>
        <w:rPr>
          <w:rFonts w:ascii="Times New Roman" w:hAnsi="Times New Roman" w:cs="Times New Roman"/>
        </w:rPr>
      </w:pPr>
      <w:r w:rsidRPr="00040566">
        <w:rPr>
          <w:rFonts w:ascii="Times New Roman" w:hAnsi="Times New Roman" w:cs="Times New Roman"/>
        </w:rPr>
        <w:t>COMPETING INTERESTS DISCLAIMER:</w:t>
      </w:r>
    </w:p>
    <w:p w14:paraId="683F4026" w14:textId="77777777" w:rsidR="00040566" w:rsidRPr="00040566" w:rsidRDefault="00040566" w:rsidP="00040566">
      <w:pPr>
        <w:rPr>
          <w:rFonts w:ascii="Times New Roman" w:hAnsi="Times New Roman" w:cs="Times New Roman"/>
        </w:rPr>
      </w:pPr>
      <w:r w:rsidRPr="0004056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D8CEC89" w14:textId="77777777" w:rsidR="00040566" w:rsidRPr="00040566" w:rsidRDefault="00040566" w:rsidP="00040566">
      <w:pPr>
        <w:rPr>
          <w:rFonts w:ascii="Times New Roman" w:hAnsi="Times New Roman" w:cs="Times New Roman"/>
        </w:rPr>
      </w:pPr>
    </w:p>
    <w:p w14:paraId="2E6676F4" w14:textId="77777777" w:rsidR="00040566" w:rsidRPr="0099511F" w:rsidRDefault="00040566" w:rsidP="00B8432A">
      <w:pPr>
        <w:rPr>
          <w:rFonts w:ascii="Times New Roman" w:hAnsi="Times New Roman" w:cs="Times New Roman"/>
        </w:rPr>
      </w:pPr>
    </w:p>
    <w:p w14:paraId="398C922D" w14:textId="77777777" w:rsidR="00B8432A" w:rsidRPr="00D16FB0" w:rsidRDefault="00B8432A" w:rsidP="00B8432A">
      <w:pPr>
        <w:rPr>
          <w:rFonts w:ascii="Times New Roman" w:hAnsi="Times New Roman" w:cs="Times New Roman"/>
          <w:b/>
          <w:bCs/>
          <w:sz w:val="28"/>
          <w:szCs w:val="28"/>
        </w:rPr>
      </w:pPr>
      <w:r w:rsidRPr="0099511F">
        <w:rPr>
          <w:rFonts w:ascii="Times New Roman" w:hAnsi="Times New Roman" w:cs="Times New Roman"/>
          <w:b/>
          <w:bCs/>
          <w:sz w:val="28"/>
          <w:szCs w:val="28"/>
        </w:rPr>
        <w:t xml:space="preserve"> References</w:t>
      </w:r>
    </w:p>
    <w:p w14:paraId="60D08C88"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Bromley, R. D. F., &amp; Mackie, P. K. (2009). Displacement and the new spaces for informal trade in the Latin American city centre. Urban Studies, 46(7), 1485–1506.</w:t>
      </w:r>
    </w:p>
    <w:p w14:paraId="3BAC227C"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Coleman, J. S. (1988). Social capital in the creation of human capital. American Journal of Sociology, 94(Supplement), S95–S120.</w:t>
      </w:r>
    </w:p>
    <w:p w14:paraId="55B3CA29"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Geertz, C. (1978). The bazaar economy: Information and search in peasant marketing. American Economic Review, 68(2), 28–32.</w:t>
      </w:r>
    </w:p>
    <w:p w14:paraId="6D5F5BF0"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xml:space="preserve">- </w:t>
      </w:r>
      <w:proofErr w:type="spellStart"/>
      <w:r w:rsidRPr="0099511F">
        <w:rPr>
          <w:rFonts w:ascii="Times New Roman" w:hAnsi="Times New Roman" w:cs="Times New Roman"/>
        </w:rPr>
        <w:t>Granovetter</w:t>
      </w:r>
      <w:proofErr w:type="spellEnd"/>
      <w:r w:rsidRPr="0099511F">
        <w:rPr>
          <w:rFonts w:ascii="Times New Roman" w:hAnsi="Times New Roman" w:cs="Times New Roman"/>
        </w:rPr>
        <w:t>, M. (1985). Economic action and social structure: The problem of embeddedness. American Journal of Sociology, 91(3), 481–510.</w:t>
      </w:r>
    </w:p>
    <w:p w14:paraId="7E56E63E"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Humphrey, J. (2007). The supermarket revolution in developing countries: Tidal wave or tough competitive struggle? Journal of Economic Geography, 7(4), 433–450.</w:t>
      </w:r>
    </w:p>
    <w:p w14:paraId="66CBD3A1"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Marcus, G. E. (1995). Ethnography in/of the world system: The emergence of multi-sited ethnography. Annual Review of Anthropology, 24, 95–117.</w:t>
      </w:r>
    </w:p>
    <w:p w14:paraId="3482B21D"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Portes, A. (1998). Social capital: Its origins and applications in modern sociology. Annual Review of Sociology, 24, 1–24.</w:t>
      </w:r>
    </w:p>
    <w:p w14:paraId="14F7C839"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Putnam, R. D. (2000). Bowling Alone: The Collapse and Revival of American Community. New York: Simon &amp; Schuster.</w:t>
      </w:r>
    </w:p>
    <w:p w14:paraId="00C8E357"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t>- Reardon, T., &amp; Hopkins, R. (2006). The supermarket revolution in developing countries: Policies to address emerging tensions among supermarkets, suppliers, and traditional retailers. European Journal of Development Research, 18(4), 522–545.</w:t>
      </w:r>
    </w:p>
    <w:p w14:paraId="35C62FA9" w14:textId="77777777" w:rsidR="00B8432A" w:rsidRPr="0099511F" w:rsidRDefault="00B8432A" w:rsidP="00B8432A">
      <w:pPr>
        <w:rPr>
          <w:rFonts w:ascii="Times New Roman" w:hAnsi="Times New Roman" w:cs="Times New Roman"/>
        </w:rPr>
      </w:pPr>
      <w:r w:rsidRPr="0099511F">
        <w:rPr>
          <w:rFonts w:ascii="Times New Roman" w:hAnsi="Times New Roman" w:cs="Times New Roman"/>
        </w:rPr>
        <w:lastRenderedPageBreak/>
        <w:t>- Wacquant, L. (2008). Urban Outcasts: A Comparative Sociology of Advanced Marginality. Polity Press.</w:t>
      </w:r>
    </w:p>
    <w:p w14:paraId="0F1F42EF" w14:textId="77777777" w:rsidR="00B8432A" w:rsidRPr="0099511F" w:rsidRDefault="00B8432A" w:rsidP="00B8432A">
      <w:pPr>
        <w:rPr>
          <w:rFonts w:ascii="Times New Roman" w:hAnsi="Times New Roman" w:cs="Times New Roman"/>
        </w:rPr>
      </w:pPr>
    </w:p>
    <w:p w14:paraId="3D579647" w14:textId="77777777" w:rsidR="00B8432A" w:rsidRPr="0099511F" w:rsidRDefault="00B8432A" w:rsidP="00B8432A">
      <w:pPr>
        <w:rPr>
          <w:rFonts w:ascii="Times New Roman" w:hAnsi="Times New Roman" w:cs="Times New Roman"/>
        </w:rPr>
      </w:pPr>
    </w:p>
    <w:p w14:paraId="642CF842" w14:textId="77777777" w:rsidR="00B8432A" w:rsidRPr="0099511F" w:rsidRDefault="00B8432A" w:rsidP="00B8432A">
      <w:pPr>
        <w:rPr>
          <w:rFonts w:ascii="Times New Roman" w:hAnsi="Times New Roman" w:cs="Times New Roman"/>
        </w:rPr>
      </w:pPr>
    </w:p>
    <w:p w14:paraId="2C3CED58" w14:textId="77777777" w:rsidR="00B8432A" w:rsidRPr="0099511F" w:rsidRDefault="00B8432A" w:rsidP="00B8432A">
      <w:pPr>
        <w:rPr>
          <w:rFonts w:ascii="Times New Roman" w:hAnsi="Times New Roman" w:cs="Times New Roman"/>
        </w:rPr>
      </w:pPr>
    </w:p>
    <w:sectPr w:rsidR="00B8432A" w:rsidRPr="009951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6EAB5" w14:textId="77777777" w:rsidR="00834E26" w:rsidRDefault="00834E26" w:rsidP="00390EC9">
      <w:pPr>
        <w:spacing w:after="0" w:line="240" w:lineRule="auto"/>
      </w:pPr>
      <w:r>
        <w:separator/>
      </w:r>
    </w:p>
  </w:endnote>
  <w:endnote w:type="continuationSeparator" w:id="0">
    <w:p w14:paraId="142D7E44" w14:textId="77777777" w:rsidR="00834E26" w:rsidRDefault="00834E26" w:rsidP="0039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3A09" w14:textId="77777777" w:rsidR="00390EC9" w:rsidRDefault="00390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30E4" w14:textId="77777777" w:rsidR="00390EC9" w:rsidRDefault="00390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27EA" w14:textId="77777777" w:rsidR="00390EC9" w:rsidRDefault="00390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A7167" w14:textId="77777777" w:rsidR="00834E26" w:rsidRDefault="00834E26" w:rsidP="00390EC9">
      <w:pPr>
        <w:spacing w:after="0" w:line="240" w:lineRule="auto"/>
      </w:pPr>
      <w:r>
        <w:separator/>
      </w:r>
    </w:p>
  </w:footnote>
  <w:footnote w:type="continuationSeparator" w:id="0">
    <w:p w14:paraId="7816D26D" w14:textId="77777777" w:rsidR="00834E26" w:rsidRDefault="00834E26" w:rsidP="00390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C162" w14:textId="0889BED4" w:rsidR="00390EC9" w:rsidRDefault="00390EC9">
    <w:pPr>
      <w:pStyle w:val="Header"/>
    </w:pPr>
    <w:r>
      <w:rPr>
        <w:noProof/>
      </w:rPr>
      <w:pict w14:anchorId="15340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127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E95D" w14:textId="0BF42370" w:rsidR="00390EC9" w:rsidRDefault="00390EC9">
    <w:pPr>
      <w:pStyle w:val="Header"/>
    </w:pPr>
    <w:r>
      <w:rPr>
        <w:noProof/>
      </w:rPr>
      <w:pict w14:anchorId="17C8C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127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8D84" w14:textId="1648C51D" w:rsidR="00390EC9" w:rsidRDefault="00390EC9">
    <w:pPr>
      <w:pStyle w:val="Header"/>
    </w:pPr>
    <w:r>
      <w:rPr>
        <w:noProof/>
      </w:rPr>
      <w:pict w14:anchorId="5D4AB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127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2A"/>
    <w:rsid w:val="00040566"/>
    <w:rsid w:val="001D2F7A"/>
    <w:rsid w:val="002C4793"/>
    <w:rsid w:val="00390EC9"/>
    <w:rsid w:val="003E2C14"/>
    <w:rsid w:val="005E2E42"/>
    <w:rsid w:val="00834E26"/>
    <w:rsid w:val="00973A89"/>
    <w:rsid w:val="0099511F"/>
    <w:rsid w:val="00B8432A"/>
    <w:rsid w:val="00D16F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46105A"/>
  <w15:chartTrackingRefBased/>
  <w15:docId w15:val="{38398647-D7C7-AD4F-9177-FBB9B971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3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3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3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3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3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3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3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3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32A"/>
    <w:rPr>
      <w:rFonts w:eastAsiaTheme="majorEastAsia" w:cstheme="majorBidi"/>
      <w:color w:val="272727" w:themeColor="text1" w:themeTint="D8"/>
    </w:rPr>
  </w:style>
  <w:style w:type="paragraph" w:styleId="Title">
    <w:name w:val="Title"/>
    <w:basedOn w:val="Normal"/>
    <w:next w:val="Normal"/>
    <w:link w:val="TitleChar"/>
    <w:uiPriority w:val="10"/>
    <w:qFormat/>
    <w:rsid w:val="00B84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32A"/>
    <w:pPr>
      <w:spacing w:before="160"/>
      <w:jc w:val="center"/>
    </w:pPr>
    <w:rPr>
      <w:i/>
      <w:iCs/>
      <w:color w:val="404040" w:themeColor="text1" w:themeTint="BF"/>
    </w:rPr>
  </w:style>
  <w:style w:type="character" w:customStyle="1" w:styleId="QuoteChar">
    <w:name w:val="Quote Char"/>
    <w:basedOn w:val="DefaultParagraphFont"/>
    <w:link w:val="Quote"/>
    <w:uiPriority w:val="29"/>
    <w:rsid w:val="00B8432A"/>
    <w:rPr>
      <w:i/>
      <w:iCs/>
      <w:color w:val="404040" w:themeColor="text1" w:themeTint="BF"/>
    </w:rPr>
  </w:style>
  <w:style w:type="paragraph" w:styleId="ListParagraph">
    <w:name w:val="List Paragraph"/>
    <w:basedOn w:val="Normal"/>
    <w:uiPriority w:val="34"/>
    <w:qFormat/>
    <w:rsid w:val="00B8432A"/>
    <w:pPr>
      <w:ind w:left="720"/>
      <w:contextualSpacing/>
    </w:pPr>
  </w:style>
  <w:style w:type="character" w:styleId="IntenseEmphasis">
    <w:name w:val="Intense Emphasis"/>
    <w:basedOn w:val="DefaultParagraphFont"/>
    <w:uiPriority w:val="21"/>
    <w:qFormat/>
    <w:rsid w:val="00B8432A"/>
    <w:rPr>
      <w:i/>
      <w:iCs/>
      <w:color w:val="2F5496" w:themeColor="accent1" w:themeShade="BF"/>
    </w:rPr>
  </w:style>
  <w:style w:type="paragraph" w:styleId="IntenseQuote">
    <w:name w:val="Intense Quote"/>
    <w:basedOn w:val="Normal"/>
    <w:next w:val="Normal"/>
    <w:link w:val="IntenseQuoteChar"/>
    <w:uiPriority w:val="30"/>
    <w:qFormat/>
    <w:rsid w:val="00B84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32A"/>
    <w:rPr>
      <w:i/>
      <w:iCs/>
      <w:color w:val="2F5496" w:themeColor="accent1" w:themeShade="BF"/>
    </w:rPr>
  </w:style>
  <w:style w:type="character" w:styleId="IntenseReference">
    <w:name w:val="Intense Reference"/>
    <w:basedOn w:val="DefaultParagraphFont"/>
    <w:uiPriority w:val="32"/>
    <w:qFormat/>
    <w:rsid w:val="00B8432A"/>
    <w:rPr>
      <w:b/>
      <w:bCs/>
      <w:smallCaps/>
      <w:color w:val="2F5496" w:themeColor="accent1" w:themeShade="BF"/>
      <w:spacing w:val="5"/>
    </w:rPr>
  </w:style>
  <w:style w:type="paragraph" w:styleId="NoSpacing">
    <w:name w:val="No Spacing"/>
    <w:uiPriority w:val="1"/>
    <w:qFormat/>
    <w:rsid w:val="00B8432A"/>
    <w:pPr>
      <w:spacing w:after="0" w:line="240" w:lineRule="auto"/>
    </w:pPr>
  </w:style>
  <w:style w:type="character" w:styleId="Hyperlink">
    <w:name w:val="Hyperlink"/>
    <w:basedOn w:val="DefaultParagraphFont"/>
    <w:uiPriority w:val="99"/>
    <w:unhideWhenUsed/>
    <w:rsid w:val="005E2E42"/>
    <w:rPr>
      <w:color w:val="0563C1" w:themeColor="hyperlink"/>
      <w:u w:val="single"/>
    </w:rPr>
  </w:style>
  <w:style w:type="character" w:styleId="UnresolvedMention">
    <w:name w:val="Unresolved Mention"/>
    <w:basedOn w:val="DefaultParagraphFont"/>
    <w:uiPriority w:val="99"/>
    <w:semiHidden/>
    <w:unhideWhenUsed/>
    <w:rsid w:val="005E2E42"/>
    <w:rPr>
      <w:color w:val="605E5C"/>
      <w:shd w:val="clear" w:color="auto" w:fill="E1DFDD"/>
    </w:rPr>
  </w:style>
  <w:style w:type="paragraph" w:styleId="Header">
    <w:name w:val="header"/>
    <w:basedOn w:val="Normal"/>
    <w:link w:val="HeaderChar"/>
    <w:uiPriority w:val="99"/>
    <w:unhideWhenUsed/>
    <w:rsid w:val="00390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EC9"/>
  </w:style>
  <w:style w:type="paragraph" w:styleId="Footer">
    <w:name w:val="footer"/>
    <w:basedOn w:val="Normal"/>
    <w:link w:val="FooterChar"/>
    <w:uiPriority w:val="99"/>
    <w:unhideWhenUsed/>
    <w:rsid w:val="00390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8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maladi</dc:creator>
  <cp:keywords/>
  <dc:description/>
  <cp:lastModifiedBy>SDI 1084</cp:lastModifiedBy>
  <cp:revision>6</cp:revision>
  <dcterms:created xsi:type="dcterms:W3CDTF">2025-04-13T00:14:00Z</dcterms:created>
  <dcterms:modified xsi:type="dcterms:W3CDTF">2025-04-14T08:08:00Z</dcterms:modified>
</cp:coreProperties>
</file>