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757CB" w14:textId="77777777" w:rsidR="00F7471C" w:rsidRPr="00122C5B" w:rsidRDefault="00F7471C" w:rsidP="00F7471C">
      <w:pPr>
        <w:pStyle w:val="NoSpacing"/>
        <w:rPr>
          <w:rFonts w:ascii="Times New Roman" w:hAnsi="Times New Roman" w:cs="Times New Roman"/>
          <w:b/>
          <w:sz w:val="28"/>
          <w:szCs w:val="28"/>
        </w:rPr>
      </w:pPr>
      <w:r w:rsidRPr="00122C5B">
        <w:rPr>
          <w:rFonts w:ascii="Times New Roman" w:hAnsi="Times New Roman" w:cs="Times New Roman"/>
          <w:b/>
          <w:sz w:val="28"/>
          <w:szCs w:val="28"/>
        </w:rPr>
        <w:t>An Empirical Study on the Economic Conditions, Legal Safeguards, and Welfare Provisions for Female Domestic Workers in Bengaluru Urban</w:t>
      </w:r>
    </w:p>
    <w:p w14:paraId="19EFE755" w14:textId="77777777" w:rsidR="00A258C3" w:rsidRPr="00790ADA" w:rsidRDefault="00A258C3" w:rsidP="00441B6F">
      <w:pPr>
        <w:pStyle w:val="Author"/>
        <w:spacing w:line="240" w:lineRule="auto"/>
        <w:jc w:val="both"/>
        <w:rPr>
          <w:rFonts w:ascii="Arial" w:hAnsi="Arial" w:cs="Arial"/>
          <w:sz w:val="36"/>
        </w:rPr>
      </w:pPr>
    </w:p>
    <w:p w14:paraId="5DCFF0B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5214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92620" w14:paraId="2348539C" w14:textId="77777777" w:rsidTr="00FA3FC8">
        <w:tc>
          <w:tcPr>
            <w:tcW w:w="8424" w:type="dxa"/>
            <w:shd w:val="clear" w:color="auto" w:fill="F2F2F2"/>
          </w:tcPr>
          <w:p w14:paraId="20F92196" w14:textId="77777777" w:rsidR="0051775E" w:rsidRPr="00E92620" w:rsidRDefault="0051775E" w:rsidP="005C1134">
            <w:pPr>
              <w:pStyle w:val="Body"/>
              <w:spacing w:after="0"/>
              <w:jc w:val="left"/>
              <w:rPr>
                <w:rFonts w:ascii="Arial Black" w:eastAsia="Calibri" w:hAnsi="Arial Black" w:cs="Arial"/>
                <w:sz w:val="22"/>
                <w:szCs w:val="22"/>
              </w:rPr>
            </w:pPr>
          </w:p>
          <w:p w14:paraId="108A4366" w14:textId="77777777" w:rsidR="00505F06" w:rsidRPr="00E92620" w:rsidRDefault="00E93319" w:rsidP="005C1134">
            <w:pPr>
              <w:spacing w:before="240" w:after="240" w:line="360" w:lineRule="auto"/>
              <w:rPr>
                <w:rFonts w:ascii="Arial Black" w:hAnsi="Arial Black"/>
                <w:color w:val="000000" w:themeColor="text1"/>
                <w:sz w:val="22"/>
                <w:szCs w:val="22"/>
                <w:highlight w:val="white"/>
              </w:rPr>
            </w:pPr>
            <w:r w:rsidRPr="00E92620">
              <w:rPr>
                <w:rFonts w:ascii="Arial Black" w:hAnsi="Arial Black"/>
                <w:color w:val="000000" w:themeColor="text1"/>
                <w:sz w:val="22"/>
                <w:szCs w:val="22"/>
                <w:highlight w:val="white"/>
              </w:rPr>
              <w:t xml:space="preserve">Domestic women workers are those who engage in cleaning the house, cooking, washing, and taking care of children, elderly, or sick members of a family, </w:t>
            </w:r>
            <w:proofErr w:type="gramStart"/>
            <w:r w:rsidRPr="00E92620">
              <w:rPr>
                <w:rFonts w:ascii="Arial Black" w:hAnsi="Arial Black"/>
                <w:color w:val="000000" w:themeColor="text1"/>
                <w:sz w:val="22"/>
                <w:szCs w:val="22"/>
                <w:highlight w:val="white"/>
              </w:rPr>
              <w:t>They</w:t>
            </w:r>
            <w:proofErr w:type="gramEnd"/>
            <w:r w:rsidRPr="00E92620">
              <w:rPr>
                <w:rFonts w:ascii="Arial Black" w:hAnsi="Arial Black"/>
                <w:color w:val="000000" w:themeColor="text1"/>
                <w:sz w:val="22"/>
                <w:szCs w:val="22"/>
                <w:highlight w:val="white"/>
              </w:rPr>
              <w:t xml:space="preserve"> work on a full-time, part-time, or hourly basis, and sometimes on a contract basis in private households (ILO-2020). In the informal workforce, most women are employed as domestic workers. Low wages, long working hours, and low social status characterize domestic women workers. It is estimated that the third-largest category of informal workers consists of domestic workers, followed by agriculture and construction workers; most of them work in urban areas.  Domestic work is the primary source of income</w:t>
            </w:r>
            <w:r w:rsidR="005C1134" w:rsidRPr="00E92620">
              <w:rPr>
                <w:rFonts w:ascii="Arial Black" w:hAnsi="Arial Black"/>
                <w:color w:val="000000" w:themeColor="text1"/>
                <w:sz w:val="22"/>
                <w:szCs w:val="22"/>
                <w:highlight w:val="white"/>
              </w:rPr>
              <w:t xml:space="preserve"> </w:t>
            </w:r>
            <w:r w:rsidRPr="00E92620">
              <w:rPr>
                <w:rFonts w:ascii="Arial Black" w:hAnsi="Arial Black"/>
                <w:color w:val="000000" w:themeColor="text1"/>
                <w:sz w:val="22"/>
                <w:szCs w:val="22"/>
                <w:highlight w:val="white"/>
              </w:rPr>
              <w:t xml:space="preserve">for people who are semi-literate or illiterate in India. According to various reports, there is an increased demand for domestic help as the country’s per capita income increases. Despite the need for domestic help, they continue to be deprived of protection and are left vulnerable to various kinds of abuse, like human trafficking, bonded labour, etc. </w:t>
            </w:r>
            <w:r w:rsidRPr="00E92620">
              <w:rPr>
                <w:rFonts w:ascii="Arial Black" w:hAnsi="Arial Black"/>
                <w:sz w:val="22"/>
                <w:szCs w:val="22"/>
                <w:highlight w:val="white"/>
              </w:rPr>
              <w:t xml:space="preserve">The paper aims to examine the present legal framework protections and a few landmark case laws regarding their rights, and to analyze the impact of social security schemes introduced by the government on the informal sector on domestic workers in Bengaluru urban. </w:t>
            </w:r>
            <w:r w:rsidRPr="00E92620">
              <w:rPr>
                <w:rFonts w:ascii="Arial Black" w:hAnsi="Arial Black"/>
                <w:color w:val="000000" w:themeColor="text1"/>
                <w:sz w:val="22"/>
                <w:szCs w:val="22"/>
                <w:highlight w:val="white"/>
              </w:rPr>
              <w:t xml:space="preserve">The study is designed with empirical analysis, and </w:t>
            </w:r>
            <w:r w:rsidRPr="00E92620">
              <w:rPr>
                <w:rFonts w:ascii="Arial Black" w:hAnsi="Arial Black"/>
                <w:color w:val="000000" w:themeColor="text1"/>
                <w:sz w:val="22"/>
                <w:szCs w:val="22"/>
                <w:highlight w:val="white"/>
              </w:rPr>
              <w:lastRenderedPageBreak/>
              <w:t xml:space="preserve">collected 100 respondents from different parts of Bengaluru urban, </w:t>
            </w:r>
            <w:proofErr w:type="gramStart"/>
            <w:r w:rsidRPr="00E92620">
              <w:rPr>
                <w:rFonts w:ascii="Arial Black" w:hAnsi="Arial Black"/>
                <w:color w:val="000000" w:themeColor="text1"/>
                <w:sz w:val="22"/>
                <w:szCs w:val="22"/>
                <w:highlight w:val="white"/>
              </w:rPr>
              <w:t>The</w:t>
            </w:r>
            <w:proofErr w:type="gramEnd"/>
            <w:r w:rsidRPr="00E92620">
              <w:rPr>
                <w:rFonts w:ascii="Arial Black" w:hAnsi="Arial Black"/>
                <w:color w:val="000000" w:themeColor="text1"/>
                <w:sz w:val="22"/>
                <w:szCs w:val="22"/>
                <w:highlight w:val="white"/>
              </w:rPr>
              <w:t xml:space="preserve"> secondary data is collected from journals, ILO reports, NSS reports, and articles. </w:t>
            </w:r>
            <w:r w:rsidRPr="00E92620">
              <w:rPr>
                <w:rFonts w:ascii="Arial Black" w:hAnsi="Arial Black"/>
                <w:sz w:val="22"/>
                <w:szCs w:val="22"/>
                <w:highlight w:val="white"/>
              </w:rPr>
              <w:t xml:space="preserve">The regression method is used to analyze the hypothesis, </w:t>
            </w:r>
            <w:r w:rsidRPr="00E92620">
              <w:rPr>
                <w:rFonts w:ascii="Arial Black" w:hAnsi="Arial Black"/>
                <w:color w:val="000000" w:themeColor="text1"/>
                <w:sz w:val="22"/>
                <w:szCs w:val="22"/>
                <w:highlight w:val="white"/>
              </w:rPr>
              <w:t xml:space="preserve">and the percentage method is used to analyze the data. The study reveals that there is a huge demand and ample opportunities for domestic workers because Bengaluru is the </w:t>
            </w:r>
            <w:proofErr w:type="gramStart"/>
            <w:r w:rsidRPr="00E92620">
              <w:rPr>
                <w:rFonts w:ascii="Arial Black" w:hAnsi="Arial Black"/>
                <w:color w:val="000000" w:themeColor="text1"/>
                <w:sz w:val="22"/>
                <w:szCs w:val="22"/>
                <w:highlight w:val="white"/>
              </w:rPr>
              <w:t>it</w:t>
            </w:r>
            <w:proofErr w:type="gramEnd"/>
            <w:r w:rsidRPr="00E92620">
              <w:rPr>
                <w:rFonts w:ascii="Arial Black" w:hAnsi="Arial Black"/>
                <w:color w:val="000000" w:themeColor="text1"/>
                <w:sz w:val="22"/>
                <w:szCs w:val="22"/>
                <w:highlight w:val="white"/>
              </w:rPr>
              <w:t xml:space="preserve"> hub, people are busy with their office work schedule, and hardly get time to do the household chores.  The study also portrays that most domestic</w:t>
            </w:r>
            <w:r w:rsidR="005C1134" w:rsidRPr="00E92620">
              <w:rPr>
                <w:rFonts w:ascii="Arial Black" w:hAnsi="Arial Black"/>
                <w:color w:val="000000" w:themeColor="text1"/>
                <w:sz w:val="22"/>
                <w:szCs w:val="22"/>
                <w:highlight w:val="white"/>
              </w:rPr>
              <w:t xml:space="preserve"> </w:t>
            </w:r>
            <w:r w:rsidRPr="00E92620">
              <w:rPr>
                <w:rFonts w:ascii="Arial Black" w:hAnsi="Arial Black"/>
                <w:color w:val="000000" w:themeColor="text1"/>
                <w:sz w:val="22"/>
                <w:szCs w:val="22"/>
                <w:highlight w:val="white"/>
              </w:rPr>
              <w:t>women workers belong to the middle age group, have long working hours, and are happy with the social security measures introduced by the government. Few female domestic workers have yet to access the social security measures introduced by the government. Many of the domestic women workers are migrant workers.</w:t>
            </w:r>
          </w:p>
        </w:tc>
      </w:tr>
    </w:tbl>
    <w:p w14:paraId="28BC39F3" w14:textId="77777777" w:rsidR="00FA3FC8" w:rsidRPr="00E92620" w:rsidRDefault="00190608" w:rsidP="005C1134">
      <w:pPr>
        <w:spacing w:before="240" w:after="240" w:line="480" w:lineRule="auto"/>
        <w:rPr>
          <w:rFonts w:ascii="Arial Black" w:hAnsi="Arial Black"/>
          <w:sz w:val="22"/>
          <w:szCs w:val="22"/>
          <w:highlight w:val="white"/>
        </w:rPr>
      </w:pPr>
      <w:r w:rsidRPr="00E92620">
        <w:rPr>
          <w:rFonts w:ascii="Arial Black" w:hAnsi="Arial Black"/>
          <w:sz w:val="22"/>
          <w:szCs w:val="22"/>
          <w:highlight w:val="white"/>
        </w:rPr>
        <w:lastRenderedPageBreak/>
        <w:t>Keywords: domestic women workers, migrant workers, informal sector, legal protection acts, and social security measures</w:t>
      </w:r>
    </w:p>
    <w:p w14:paraId="5807F48B" w14:textId="77777777" w:rsidR="0024282C" w:rsidRPr="0010152F" w:rsidRDefault="005C1134" w:rsidP="005C1134">
      <w:pPr>
        <w:spacing w:before="240" w:after="240" w:line="480" w:lineRule="auto"/>
        <w:rPr>
          <w:rFonts w:ascii="Arial Black" w:hAnsi="Arial Black"/>
          <w:sz w:val="22"/>
          <w:szCs w:val="22"/>
          <w:highlight w:val="white"/>
        </w:rPr>
      </w:pPr>
      <w:r w:rsidRPr="0010152F">
        <w:rPr>
          <w:rFonts w:ascii="Arial Black" w:hAnsi="Arial Black"/>
          <w:b/>
          <w:sz w:val="22"/>
          <w:szCs w:val="22"/>
          <w:highlight w:val="white"/>
        </w:rPr>
        <w:t xml:space="preserve">JEL CODES: </w:t>
      </w:r>
      <w:r w:rsidRPr="0010152F">
        <w:rPr>
          <w:rFonts w:ascii="Arial Black" w:hAnsi="Arial Black"/>
          <w:sz w:val="22"/>
          <w:szCs w:val="22"/>
          <w:highlight w:val="white"/>
        </w:rPr>
        <w:t xml:space="preserve">E24 AND </w:t>
      </w:r>
      <w:r w:rsidR="00E93319" w:rsidRPr="0010152F">
        <w:rPr>
          <w:rFonts w:ascii="Arial Black" w:hAnsi="Arial Black"/>
          <w:sz w:val="22"/>
          <w:szCs w:val="22"/>
          <w:highlight w:val="white"/>
        </w:rPr>
        <w:t>E26</w:t>
      </w:r>
    </w:p>
    <w:p w14:paraId="443D6D76" w14:textId="77777777" w:rsidR="00505F06" w:rsidRPr="0010152F" w:rsidRDefault="00505F06" w:rsidP="005C1134">
      <w:pPr>
        <w:pStyle w:val="Body"/>
        <w:spacing w:after="0"/>
        <w:jc w:val="left"/>
        <w:rPr>
          <w:rFonts w:ascii="Arial Black" w:hAnsi="Arial Black" w:cs="Arial"/>
          <w:i/>
          <w:sz w:val="22"/>
          <w:szCs w:val="22"/>
        </w:rPr>
      </w:pPr>
    </w:p>
    <w:p w14:paraId="039D101A" w14:textId="77777777" w:rsidR="007F7B32" w:rsidRPr="0010152F" w:rsidRDefault="005C1134" w:rsidP="005C1134">
      <w:pPr>
        <w:pStyle w:val="AbstHead"/>
        <w:spacing w:after="0"/>
        <w:rPr>
          <w:rFonts w:ascii="Arial Black" w:hAnsi="Arial Black" w:cs="Arial"/>
          <w:szCs w:val="22"/>
        </w:rPr>
      </w:pPr>
      <w:r w:rsidRPr="0010152F">
        <w:rPr>
          <w:rFonts w:ascii="Arial Black" w:hAnsi="Arial Black" w:cs="Arial"/>
          <w:caps w:val="0"/>
          <w:szCs w:val="22"/>
        </w:rPr>
        <w:t xml:space="preserve">1. INTRODUCTION </w:t>
      </w:r>
    </w:p>
    <w:p w14:paraId="3B7F6CD1" w14:textId="77777777" w:rsidR="00790ADA" w:rsidRPr="0010152F" w:rsidRDefault="00190608" w:rsidP="005C1134">
      <w:pPr>
        <w:spacing w:before="240" w:after="240" w:line="360" w:lineRule="auto"/>
        <w:rPr>
          <w:rFonts w:ascii="Arial Black" w:hAnsi="Arial Black"/>
          <w:b/>
          <w:sz w:val="22"/>
          <w:szCs w:val="22"/>
        </w:rPr>
      </w:pPr>
      <w:r w:rsidRPr="00E92620">
        <w:rPr>
          <w:rFonts w:ascii="Arial Black" w:hAnsi="Arial Black"/>
          <w:bCs/>
          <w:sz w:val="22"/>
          <w:szCs w:val="22"/>
        </w:rPr>
        <w:t>India has approximately 4.8 million domestic workers, with around 2.9 million being female, accounting for approximately 60% of the total domestic workforce (</w:t>
      </w:r>
      <w:r w:rsidR="00E93319" w:rsidRPr="00E92620">
        <w:rPr>
          <w:rFonts w:ascii="Arial Black" w:hAnsi="Arial Black"/>
          <w:bCs/>
          <w:sz w:val="22"/>
          <w:szCs w:val="22"/>
        </w:rPr>
        <w:t>International Labour Organization</w:t>
      </w:r>
      <w:r w:rsidRPr="00E92620">
        <w:rPr>
          <w:rFonts w:ascii="Arial Black" w:hAnsi="Arial Black"/>
          <w:bCs/>
          <w:sz w:val="22"/>
          <w:szCs w:val="22"/>
        </w:rPr>
        <w:t>, 2018)</w:t>
      </w:r>
      <w:r w:rsidR="005C1134" w:rsidRPr="00E92620">
        <w:rPr>
          <w:rFonts w:ascii="Arial Black" w:hAnsi="Arial Black"/>
          <w:bCs/>
          <w:sz w:val="22"/>
          <w:szCs w:val="22"/>
        </w:rPr>
        <w:t>.</w:t>
      </w:r>
      <w:r w:rsidRPr="00E92620">
        <w:rPr>
          <w:rFonts w:ascii="Arial Black" w:hAnsi="Arial Black"/>
          <w:bCs/>
          <w:sz w:val="22"/>
          <w:szCs w:val="22"/>
        </w:rPr>
        <w:t xml:space="preserve"> Domestic works are placed in 3</w:t>
      </w:r>
      <w:r w:rsidRPr="00E92620">
        <w:rPr>
          <w:rFonts w:ascii="Arial Black" w:hAnsi="Arial Black"/>
          <w:bCs/>
          <w:sz w:val="22"/>
          <w:szCs w:val="22"/>
          <w:vertAlign w:val="superscript"/>
        </w:rPr>
        <w:t>rd</w:t>
      </w:r>
      <w:r w:rsidRPr="00E92620">
        <w:rPr>
          <w:rFonts w:ascii="Arial Black" w:hAnsi="Arial Black"/>
          <w:bCs/>
          <w:sz w:val="22"/>
          <w:szCs w:val="22"/>
        </w:rPr>
        <w:t xml:space="preserve"> position in the work category, </w:t>
      </w:r>
      <w:r w:rsidRPr="00E92620">
        <w:rPr>
          <w:rFonts w:ascii="Arial Black" w:hAnsi="Arial Black"/>
          <w:bCs/>
          <w:sz w:val="22"/>
          <w:szCs w:val="22"/>
        </w:rPr>
        <w:lastRenderedPageBreak/>
        <w:t>followed by agriculture and construction</w:t>
      </w:r>
      <w:r w:rsidRPr="0010152F">
        <w:rPr>
          <w:rFonts w:ascii="Arial Black" w:hAnsi="Arial Black"/>
          <w:sz w:val="22"/>
          <w:szCs w:val="22"/>
        </w:rPr>
        <w:t>. Urban areas provide 66 percent of job opportunities, and the rest are rural. The urban, unorganized, illiterate women workers generally choose to work as domestic workers in different families, where they are paid according to the work and the size of the family. They perform domestic cleaning work like washing clothes, vessels, toilets, mopping, etc. There are many social security schemes introduced by the central government and state government</w:t>
      </w:r>
      <w:r w:rsidR="00F26730" w:rsidRPr="0010152F">
        <w:rPr>
          <w:rFonts w:ascii="Arial Black" w:hAnsi="Arial Black"/>
          <w:sz w:val="22"/>
          <w:szCs w:val="22"/>
        </w:rPr>
        <w:t>,</w:t>
      </w:r>
      <w:r w:rsidRPr="0010152F">
        <w:rPr>
          <w:rFonts w:ascii="Arial Black" w:hAnsi="Arial Black"/>
          <w:sz w:val="22"/>
          <w:szCs w:val="22"/>
        </w:rPr>
        <w:t xml:space="preserve"> like the </w:t>
      </w:r>
      <w:r w:rsidR="00F26730" w:rsidRPr="0010152F">
        <w:rPr>
          <w:rFonts w:ascii="Arial Black" w:hAnsi="Arial Black"/>
          <w:bCs/>
          <w:sz w:val="22"/>
          <w:szCs w:val="22"/>
          <w:lang w:val="en-IN" w:eastAsia="en-IN"/>
        </w:rPr>
        <w:t>Karnataka Domestic Workers Welfare Board,</w:t>
      </w:r>
      <w:r w:rsidRPr="0010152F">
        <w:rPr>
          <w:rFonts w:ascii="Arial Black" w:hAnsi="Arial Black"/>
          <w:sz w:val="22"/>
          <w:szCs w:val="22"/>
          <w:lang w:val="en-IN" w:eastAsia="en-IN"/>
        </w:rPr>
        <w:t xml:space="preserve"> which provides financial aid, skill training, and accidental insurance, </w:t>
      </w:r>
      <w:r w:rsidR="00F26730" w:rsidRPr="0010152F">
        <w:rPr>
          <w:rFonts w:ascii="Arial Black" w:hAnsi="Arial Black"/>
          <w:sz w:val="22"/>
          <w:szCs w:val="22"/>
          <w:lang w:val="en-IN" w:eastAsia="en-IN"/>
        </w:rPr>
        <w:t xml:space="preserve">and </w:t>
      </w:r>
      <w:r w:rsidR="00F26730" w:rsidRPr="0010152F">
        <w:rPr>
          <w:rFonts w:ascii="Arial Black" w:hAnsi="Arial Black"/>
          <w:bCs/>
          <w:sz w:val="22"/>
          <w:szCs w:val="22"/>
          <w:lang w:val="en-IN" w:eastAsia="en-IN"/>
        </w:rPr>
        <w:t xml:space="preserve">Rastriya </w:t>
      </w:r>
      <w:proofErr w:type="spellStart"/>
      <w:r w:rsidR="00F26730" w:rsidRPr="0010152F">
        <w:rPr>
          <w:rFonts w:ascii="Arial Black" w:hAnsi="Arial Black"/>
          <w:bCs/>
          <w:sz w:val="22"/>
          <w:szCs w:val="22"/>
          <w:lang w:val="en-IN" w:eastAsia="en-IN"/>
        </w:rPr>
        <w:t>Swasthya</w:t>
      </w:r>
      <w:proofErr w:type="spellEnd"/>
      <w:r w:rsidR="00F26730" w:rsidRPr="0010152F">
        <w:rPr>
          <w:rFonts w:ascii="Arial Black" w:hAnsi="Arial Black"/>
          <w:bCs/>
          <w:sz w:val="22"/>
          <w:szCs w:val="22"/>
          <w:lang w:val="en-IN" w:eastAsia="en-IN"/>
        </w:rPr>
        <w:t xml:space="preserve"> </w:t>
      </w:r>
      <w:proofErr w:type="spellStart"/>
      <w:r w:rsidR="00F26730" w:rsidRPr="0010152F">
        <w:rPr>
          <w:rFonts w:ascii="Arial Black" w:hAnsi="Arial Black"/>
          <w:bCs/>
          <w:sz w:val="22"/>
          <w:szCs w:val="22"/>
          <w:lang w:val="en-IN" w:eastAsia="en-IN"/>
        </w:rPr>
        <w:t>Bima</w:t>
      </w:r>
      <w:proofErr w:type="spellEnd"/>
      <w:r w:rsidR="00F26730" w:rsidRPr="0010152F">
        <w:rPr>
          <w:rFonts w:ascii="Arial Black" w:hAnsi="Arial Black"/>
          <w:bCs/>
          <w:sz w:val="22"/>
          <w:szCs w:val="22"/>
          <w:lang w:val="en-IN" w:eastAsia="en-IN"/>
        </w:rPr>
        <w:t xml:space="preserve"> Yojana</w:t>
      </w:r>
      <w:r w:rsidRPr="0010152F">
        <w:rPr>
          <w:rFonts w:ascii="Arial Black" w:hAnsi="Arial Black"/>
          <w:bCs/>
          <w:sz w:val="22"/>
          <w:szCs w:val="22"/>
          <w:lang w:val="en-IN" w:eastAsia="en-IN"/>
        </w:rPr>
        <w:t xml:space="preserve"> (</w:t>
      </w:r>
      <w:r w:rsidR="00F26730" w:rsidRPr="0010152F">
        <w:rPr>
          <w:rFonts w:ascii="Arial Black" w:hAnsi="Arial Black"/>
          <w:bCs/>
          <w:sz w:val="22"/>
          <w:szCs w:val="22"/>
          <w:lang w:val="en-IN" w:eastAsia="en-IN"/>
        </w:rPr>
        <w:t>RSBY</w:t>
      </w:r>
      <w:r w:rsidRPr="0010152F">
        <w:rPr>
          <w:rFonts w:ascii="Arial Black" w:hAnsi="Arial Black"/>
          <w:bCs/>
          <w:sz w:val="22"/>
          <w:szCs w:val="22"/>
          <w:lang w:val="en-IN" w:eastAsia="en-IN"/>
        </w:rPr>
        <w:t>)</w:t>
      </w:r>
      <w:r w:rsidR="00F26730" w:rsidRPr="0010152F">
        <w:rPr>
          <w:rFonts w:ascii="Arial Black" w:hAnsi="Arial Black"/>
          <w:bCs/>
          <w:sz w:val="22"/>
          <w:szCs w:val="22"/>
          <w:lang w:val="en-IN" w:eastAsia="en-IN"/>
        </w:rPr>
        <w:t>,</w:t>
      </w:r>
      <w:r w:rsidRPr="0010152F">
        <w:rPr>
          <w:rFonts w:ascii="Arial Black" w:hAnsi="Arial Black"/>
          <w:bCs/>
          <w:sz w:val="22"/>
          <w:szCs w:val="22"/>
          <w:lang w:val="en-IN" w:eastAsia="en-IN"/>
        </w:rPr>
        <w:t xml:space="preserve"> which provides </w:t>
      </w:r>
      <w:r w:rsidRPr="0010152F">
        <w:rPr>
          <w:rFonts w:ascii="Arial Black" w:hAnsi="Arial Black"/>
          <w:sz w:val="22"/>
          <w:szCs w:val="22"/>
          <w:lang w:val="en-IN" w:eastAsia="en-IN"/>
        </w:rPr>
        <w:t>health insurance for workers in the unorganized sector</w:t>
      </w:r>
      <w:r w:rsidR="00F26730" w:rsidRPr="0010152F">
        <w:rPr>
          <w:rFonts w:ascii="Arial Black" w:hAnsi="Arial Black"/>
          <w:sz w:val="22"/>
          <w:szCs w:val="22"/>
          <w:lang w:val="en-IN" w:eastAsia="en-IN"/>
        </w:rPr>
        <w:t>.</w:t>
      </w:r>
      <w:r w:rsidRPr="0010152F">
        <w:rPr>
          <w:rFonts w:ascii="Arial Black" w:hAnsi="Arial Black"/>
          <w:sz w:val="22"/>
          <w:szCs w:val="22"/>
          <w:lang w:val="en-IN" w:eastAsia="en-IN"/>
        </w:rPr>
        <w:t xml:space="preserve"> </w:t>
      </w:r>
      <w:r w:rsidR="00F26730" w:rsidRPr="0010152F">
        <w:rPr>
          <w:rFonts w:ascii="Arial Black" w:hAnsi="Arial Black"/>
          <w:bCs/>
          <w:sz w:val="22"/>
          <w:szCs w:val="22"/>
          <w:lang w:val="en-IN" w:eastAsia="en-IN"/>
        </w:rPr>
        <w:t>P</w:t>
      </w:r>
      <w:r w:rsidRPr="0010152F">
        <w:rPr>
          <w:rFonts w:ascii="Arial Black" w:hAnsi="Arial Black"/>
          <w:bCs/>
          <w:sz w:val="22"/>
          <w:szCs w:val="22"/>
          <w:lang w:val="en-IN" w:eastAsia="en-IN"/>
        </w:rPr>
        <w:t xml:space="preserve">radhan </w:t>
      </w:r>
      <w:r w:rsidR="00F26730" w:rsidRPr="0010152F">
        <w:rPr>
          <w:rFonts w:ascii="Arial Black" w:hAnsi="Arial Black"/>
          <w:bCs/>
          <w:sz w:val="22"/>
          <w:szCs w:val="22"/>
          <w:lang w:val="en-IN" w:eastAsia="en-IN"/>
        </w:rPr>
        <w:t>M</w:t>
      </w:r>
      <w:r w:rsidRPr="0010152F">
        <w:rPr>
          <w:rFonts w:ascii="Arial Black" w:hAnsi="Arial Black"/>
          <w:bCs/>
          <w:sz w:val="22"/>
          <w:szCs w:val="22"/>
          <w:lang w:val="en-IN" w:eastAsia="en-IN"/>
        </w:rPr>
        <w:t xml:space="preserve">antri </w:t>
      </w:r>
      <w:r w:rsidR="00F26730" w:rsidRPr="0010152F">
        <w:rPr>
          <w:rFonts w:ascii="Arial Black" w:hAnsi="Arial Black"/>
          <w:bCs/>
          <w:sz w:val="22"/>
          <w:szCs w:val="22"/>
          <w:lang w:val="en-IN" w:eastAsia="en-IN"/>
        </w:rPr>
        <w:t>J</w:t>
      </w:r>
      <w:r w:rsidRPr="0010152F">
        <w:rPr>
          <w:rFonts w:ascii="Arial Black" w:hAnsi="Arial Black"/>
          <w:bCs/>
          <w:sz w:val="22"/>
          <w:szCs w:val="22"/>
          <w:lang w:val="en-IN" w:eastAsia="en-IN"/>
        </w:rPr>
        <w:t xml:space="preserve">an </w:t>
      </w:r>
      <w:r w:rsidR="00F26730" w:rsidRPr="0010152F">
        <w:rPr>
          <w:rFonts w:ascii="Arial Black" w:hAnsi="Arial Black"/>
          <w:bCs/>
          <w:sz w:val="22"/>
          <w:szCs w:val="22"/>
          <w:lang w:val="en-IN" w:eastAsia="en-IN"/>
        </w:rPr>
        <w:t>Dhan Yojana</w:t>
      </w:r>
      <w:r w:rsidRPr="0010152F">
        <w:rPr>
          <w:rFonts w:ascii="Arial Black" w:hAnsi="Arial Black"/>
          <w:bCs/>
          <w:sz w:val="22"/>
          <w:szCs w:val="22"/>
          <w:lang w:val="en-IN" w:eastAsia="en-IN"/>
        </w:rPr>
        <w:t xml:space="preserve"> gives </w:t>
      </w:r>
      <w:r w:rsidR="00F26730" w:rsidRPr="0010152F">
        <w:rPr>
          <w:rFonts w:ascii="Arial Black" w:hAnsi="Arial Black"/>
          <w:bCs/>
          <w:sz w:val="22"/>
          <w:szCs w:val="22"/>
          <w:lang w:val="en-IN" w:eastAsia="en-IN"/>
        </w:rPr>
        <w:t xml:space="preserve">a </w:t>
      </w:r>
      <w:r w:rsidRPr="0010152F">
        <w:rPr>
          <w:rFonts w:ascii="Arial Black" w:hAnsi="Arial Black"/>
          <w:sz w:val="22"/>
          <w:szCs w:val="22"/>
          <w:lang w:val="en-IN" w:eastAsia="en-IN"/>
        </w:rPr>
        <w:t xml:space="preserve">financial inclusion scheme to promote banking access, and </w:t>
      </w:r>
      <w:r w:rsidR="00F26730" w:rsidRPr="0010152F">
        <w:rPr>
          <w:rFonts w:ascii="Arial Black" w:hAnsi="Arial Black"/>
          <w:sz w:val="22"/>
          <w:szCs w:val="22"/>
          <w:lang w:val="en-IN" w:eastAsia="en-IN"/>
        </w:rPr>
        <w:t xml:space="preserve">the </w:t>
      </w:r>
      <w:r w:rsidRPr="0010152F">
        <w:rPr>
          <w:rFonts w:ascii="Arial Black" w:hAnsi="Arial Black"/>
          <w:bCs/>
          <w:sz w:val="22"/>
          <w:szCs w:val="22"/>
          <w:lang w:val="en-IN" w:eastAsia="en-IN"/>
        </w:rPr>
        <w:t>e-</w:t>
      </w:r>
      <w:r w:rsidR="00F26730" w:rsidRPr="0010152F">
        <w:rPr>
          <w:rFonts w:ascii="Arial Black" w:hAnsi="Arial Black"/>
          <w:bCs/>
          <w:sz w:val="22"/>
          <w:szCs w:val="22"/>
          <w:lang w:val="en-IN" w:eastAsia="en-IN"/>
        </w:rPr>
        <w:t>Shram</w:t>
      </w:r>
      <w:r w:rsidRPr="0010152F">
        <w:rPr>
          <w:rFonts w:ascii="Arial Black" w:hAnsi="Arial Black"/>
          <w:bCs/>
          <w:sz w:val="22"/>
          <w:szCs w:val="22"/>
          <w:lang w:val="en-IN" w:eastAsia="en-IN"/>
        </w:rPr>
        <w:t xml:space="preserve"> portal is</w:t>
      </w:r>
      <w:r w:rsidRPr="0010152F">
        <w:rPr>
          <w:rFonts w:ascii="Arial Black" w:hAnsi="Arial Black"/>
          <w:b/>
          <w:bCs/>
          <w:sz w:val="22"/>
          <w:szCs w:val="22"/>
          <w:lang w:val="en-IN" w:eastAsia="en-IN"/>
        </w:rPr>
        <w:t xml:space="preserve"> designed by the </w:t>
      </w:r>
      <w:r w:rsidRPr="0010152F">
        <w:rPr>
          <w:rFonts w:ascii="Arial Black" w:hAnsi="Arial Black"/>
          <w:sz w:val="22"/>
          <w:szCs w:val="22"/>
          <w:lang w:val="en-IN" w:eastAsia="en-IN"/>
        </w:rPr>
        <w:t xml:space="preserve">government database for unorganized sector workers to avail benefits of having </w:t>
      </w:r>
      <w:r w:rsidR="00F26730" w:rsidRPr="0010152F">
        <w:rPr>
          <w:rFonts w:ascii="Arial Black" w:hAnsi="Arial Black"/>
          <w:sz w:val="22"/>
          <w:szCs w:val="22"/>
          <w:lang w:val="en-IN" w:eastAsia="en-IN"/>
        </w:rPr>
        <w:t>a UNO</w:t>
      </w:r>
      <w:r w:rsidRPr="0010152F">
        <w:rPr>
          <w:rFonts w:ascii="Arial Black" w:hAnsi="Arial Black"/>
          <w:sz w:val="22"/>
          <w:szCs w:val="22"/>
          <w:lang w:val="en-IN" w:eastAsia="en-IN"/>
        </w:rPr>
        <w:t xml:space="preserve"> number, insurance</w:t>
      </w:r>
      <w:r w:rsidR="00F26730" w:rsidRPr="0010152F">
        <w:rPr>
          <w:rFonts w:ascii="Arial Black" w:hAnsi="Arial Black"/>
          <w:sz w:val="22"/>
          <w:szCs w:val="22"/>
          <w:lang w:val="en-IN" w:eastAsia="en-IN"/>
        </w:rPr>
        <w:t>,</w:t>
      </w:r>
      <w:r w:rsidRPr="0010152F">
        <w:rPr>
          <w:rFonts w:ascii="Arial Black" w:hAnsi="Arial Black"/>
          <w:sz w:val="22"/>
          <w:szCs w:val="22"/>
          <w:lang w:val="en-IN" w:eastAsia="en-IN"/>
        </w:rPr>
        <w:t xml:space="preserve"> etc., unlike organized workers. The legal system in </w:t>
      </w:r>
      <w:r w:rsidR="00F26730" w:rsidRPr="0010152F">
        <w:rPr>
          <w:rFonts w:ascii="Arial Black" w:hAnsi="Arial Black"/>
          <w:sz w:val="22"/>
          <w:szCs w:val="22"/>
          <w:lang w:val="en-IN" w:eastAsia="en-IN"/>
        </w:rPr>
        <w:t>India</w:t>
      </w:r>
      <w:r w:rsidRPr="0010152F">
        <w:rPr>
          <w:rFonts w:ascii="Arial Black" w:hAnsi="Arial Black"/>
          <w:sz w:val="22"/>
          <w:szCs w:val="22"/>
          <w:lang w:val="en-IN" w:eastAsia="en-IN"/>
        </w:rPr>
        <w:t xml:space="preserve"> also provides legal securities to domestic women workers like the </w:t>
      </w:r>
      <w:r w:rsidRPr="0010152F">
        <w:rPr>
          <w:rFonts w:ascii="Arial Black" w:hAnsi="Arial Black"/>
          <w:b/>
          <w:bCs/>
          <w:sz w:val="22"/>
          <w:szCs w:val="22"/>
          <w:lang w:val="en-IN" w:eastAsia="en-IN"/>
        </w:rPr>
        <w:t xml:space="preserve">unorganized workers' social security act (2008) </w:t>
      </w:r>
      <w:r w:rsidRPr="0010152F">
        <w:rPr>
          <w:rFonts w:ascii="Arial Black" w:hAnsi="Arial Black"/>
          <w:sz w:val="22"/>
          <w:szCs w:val="22"/>
          <w:lang w:val="en-IN" w:eastAsia="en-IN"/>
        </w:rPr>
        <w:t xml:space="preserve">which provides some social security benefits, but implementation is weak, </w:t>
      </w:r>
      <w:r w:rsidRPr="0010152F">
        <w:rPr>
          <w:rFonts w:ascii="Arial Black" w:hAnsi="Arial Black"/>
          <w:b/>
          <w:bCs/>
          <w:sz w:val="22"/>
          <w:szCs w:val="22"/>
          <w:lang w:val="en-IN" w:eastAsia="en-IN"/>
        </w:rPr>
        <w:t>minimum wages act (19</w:t>
      </w:r>
      <w:r w:rsidR="005C1134" w:rsidRPr="0010152F">
        <w:rPr>
          <w:rFonts w:ascii="Arial Black" w:hAnsi="Arial Black"/>
          <w:b/>
          <w:bCs/>
          <w:sz w:val="22"/>
          <w:szCs w:val="22"/>
          <w:lang w:val="en-IN" w:eastAsia="en-IN"/>
        </w:rPr>
        <w:t>48)-</w:t>
      </w:r>
      <w:r w:rsidRPr="0010152F">
        <w:rPr>
          <w:rFonts w:ascii="Arial Black" w:hAnsi="Arial Black"/>
          <w:sz w:val="22"/>
          <w:szCs w:val="22"/>
          <w:lang w:val="en-IN" w:eastAsia="en-IN"/>
        </w:rPr>
        <w:t xml:space="preserve"> some states have included domestic workers under this act, but enforcement remains a challenge, </w:t>
      </w:r>
      <w:r w:rsidRPr="0010152F">
        <w:rPr>
          <w:rFonts w:ascii="Arial Black" w:hAnsi="Arial Black"/>
          <w:b/>
          <w:bCs/>
          <w:sz w:val="22"/>
          <w:szCs w:val="22"/>
          <w:lang w:val="en-IN" w:eastAsia="en-IN"/>
        </w:rPr>
        <w:t>the sexual harassment of women at workplace act (2013):</w:t>
      </w:r>
      <w:r w:rsidRPr="0010152F">
        <w:rPr>
          <w:rFonts w:ascii="Arial Black" w:hAnsi="Arial Black"/>
          <w:sz w:val="22"/>
          <w:szCs w:val="22"/>
          <w:lang w:val="en-IN" w:eastAsia="en-IN"/>
        </w:rPr>
        <w:t xml:space="preserve"> covers domestic workers, but awareness is low, </w:t>
      </w:r>
      <w:r w:rsidRPr="0010152F">
        <w:rPr>
          <w:rFonts w:ascii="Arial Black" w:hAnsi="Arial Black"/>
          <w:b/>
          <w:bCs/>
          <w:sz w:val="22"/>
          <w:szCs w:val="22"/>
          <w:lang w:val="en-IN" w:eastAsia="en-IN"/>
        </w:rPr>
        <w:t>the domestic workers welfare and social security act (proposed):</w:t>
      </w:r>
      <w:r w:rsidRPr="0010152F">
        <w:rPr>
          <w:rFonts w:ascii="Arial Black" w:hAnsi="Arial Black"/>
          <w:sz w:val="22"/>
          <w:szCs w:val="22"/>
          <w:lang w:val="en-IN" w:eastAsia="en-IN"/>
        </w:rPr>
        <w:t xml:space="preserve"> yet to be fully implemented. The study aims to understand the economic </w:t>
      </w:r>
      <w:r w:rsidRPr="0010152F">
        <w:rPr>
          <w:rFonts w:ascii="Arial Black" w:hAnsi="Arial Black"/>
          <w:sz w:val="22"/>
          <w:szCs w:val="22"/>
          <w:lang w:val="en-IN" w:eastAsia="en-IN"/>
        </w:rPr>
        <w:lastRenderedPageBreak/>
        <w:t xml:space="preserve">status and the awareness about the legal protection and welfare schemes provided for domestic women workers. </w:t>
      </w:r>
    </w:p>
    <w:p w14:paraId="227E70AF" w14:textId="77777777" w:rsidR="005C1134" w:rsidRPr="0010152F" w:rsidRDefault="00190608" w:rsidP="005C1134">
      <w:pPr>
        <w:spacing w:before="240" w:after="240" w:line="360" w:lineRule="auto"/>
        <w:jc w:val="both"/>
        <w:rPr>
          <w:rFonts w:ascii="Arial Black" w:hAnsi="Arial Black"/>
          <w:b/>
          <w:sz w:val="22"/>
          <w:szCs w:val="22"/>
        </w:rPr>
      </w:pPr>
      <w:r w:rsidRPr="0010152F">
        <w:rPr>
          <w:rFonts w:ascii="Arial Black" w:hAnsi="Arial Black"/>
          <w:b/>
          <w:sz w:val="22"/>
          <w:szCs w:val="22"/>
        </w:rPr>
        <w:t>2. Review of literature</w:t>
      </w:r>
    </w:p>
    <w:p w14:paraId="67B5AC7C"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The following studies focus on female domestic workers at the national and international levels.</w:t>
      </w:r>
    </w:p>
    <w:p w14:paraId="3FA6F2C1" w14:textId="77777777" w:rsidR="005C1134" w:rsidRPr="0010152F" w:rsidRDefault="00190608" w:rsidP="005C1134">
      <w:pPr>
        <w:spacing w:line="360" w:lineRule="auto"/>
        <w:rPr>
          <w:rFonts w:ascii="Arial Black" w:hAnsi="Arial Black"/>
          <w:sz w:val="22"/>
          <w:szCs w:val="22"/>
        </w:rPr>
      </w:pPr>
      <w:r w:rsidRPr="0010152F">
        <w:rPr>
          <w:rFonts w:ascii="Arial Black" w:hAnsi="Arial Black"/>
          <w:sz w:val="22"/>
          <w:szCs w:val="22"/>
        </w:rPr>
        <w:t xml:space="preserve">98 percent of all private household workers are women. They include cleaning employees, servants, childcare providers, housekeepers, cooks, launderers, and other low-skilled, low-status workers.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NzBiNzZhZjAtNmNmYy00ODkyLWIxNjUtMjFmMDE4OWNjMDllIiwicHJvcGVydGllcyI6eyJub3RlSW5kZXgiOjB9LCJpc0VkaXRlZCI6ZmFsc2UsIm1hbnVhbE92ZXJyaWRlIjp7ImlzTWFudWFsbHlPdmVycmlkZGVuIjp0cnVlLCJjaXRlcHJvY1RleHQiOiIoR3Jvc3NtYW4sIDE5ODApIiwibWFudWFsT3ZlcnJpZGVUZXh0IjoiR3Jvc3NtYW4sIDE5ODApIn0sImNpdGF0aW9uSXRlbXMiOlt7ImlkIjoiZmQ1OTEzMDUtNTBiOS0zOGQ0LTk4M2UtNmI1ZWFkYzAyNGU0IiwiaXRlbURhdGEiOnsidHlwZSI6InJlcG9ydCIsImlkIjoiZmQ1OTEzMDUtNTBiOS0zOGQ0LTk4M2UtNmI1ZWFkYzAyNGU0IiwidGl0bGUiOiJXb21lbiBpbiBkb21lc3RpYyB3b3JrOiB5ZXN0ZXJkYXkgYW5kIHRvZGF5IiwiYXV0aG9yIjpbeyJmYW1pbHkiOiJHcm9zc21hbiIsImdpdmVuIjoiQWxseXNvbiBTaGVybWFuIiwicGFyc2UtbmFtZXMiOmZhbHNlLCJkcm9wcGluZy1wYXJ0aWNsZSI6IiIsIm5vbi1kcm9wcGluZy1wYXJ0aWNsZSI6IiJ9XSwiY29udGFpbmVyLXRpdGxlIjoiUmV2aWV3IiwiVVJMIjoiaHR0cHM6Ly9hYm91dC5qc3Rvci5vcmcvdGVybXMiLCJpc3N1ZWQiOnsiZGF0ZS1wYXJ0cyI6W1sxOTgwXV19LCJudW1iZXItb2YtcGFnZXMiOiIxNy0yMSIsImlzc3VlIjoiOCIsInZvbHVtZSI6IjEwMyIsImNvbnRhaW5lci10aXRsZS1zaG9ydCI6IiJ9LCJpc1RlbXBvcmFyeSI6ZmFsc2V9XX0="/>
          <w:id w:val="-1812479482"/>
          <w:placeholder>
            <w:docPart w:val="E8D8ACC4C270439B9C8DDEA095BF4188"/>
          </w:placeholder>
        </w:sdtPr>
        <w:sdtEndPr/>
        <w:sdtContent>
          <w:r w:rsidR="00F26730" w:rsidRPr="0010152F">
            <w:rPr>
              <w:rFonts w:ascii="Arial Black" w:hAnsi="Arial Black"/>
              <w:b/>
              <w:color w:val="000000"/>
              <w:sz w:val="22"/>
              <w:szCs w:val="22"/>
            </w:rPr>
            <w:t>Grossman</w:t>
          </w:r>
          <w:r w:rsidRPr="0010152F">
            <w:rPr>
              <w:rFonts w:ascii="Arial Black" w:hAnsi="Arial Black"/>
              <w:b/>
              <w:color w:val="000000"/>
              <w:sz w:val="22"/>
              <w:szCs w:val="22"/>
            </w:rPr>
            <w:t>, 1980)</w:t>
          </w:r>
        </w:sdtContent>
      </w:sdt>
      <w:r w:rsidRPr="0010152F">
        <w:rPr>
          <w:rFonts w:ascii="Arial Black" w:hAnsi="Arial Black"/>
          <w:sz w:val="22"/>
          <w:szCs w:val="22"/>
        </w:rPr>
        <w:t xml:space="preserve">.due to the exclusion from labor laws, denial of access to the legal system for redress, lack of adequate legal infrastructure for labor disputes, and transfer of power from the state to private individuals that permits summary termination and repatriation, migrant women domestic workers are more vulnerable to long-term abuses, as demonstrated by </w:t>
      </w:r>
      <w:r w:rsidR="00F26730" w:rsidRPr="0010152F">
        <w:rPr>
          <w:rFonts w:ascii="Arial Black" w:hAnsi="Arial Black"/>
          <w:sz w:val="22"/>
          <w:szCs w:val="22"/>
        </w:rPr>
        <w:t>S</w:t>
      </w:r>
      <w:r w:rsidRPr="0010152F">
        <w:rPr>
          <w:rFonts w:ascii="Arial Black" w:hAnsi="Arial Black"/>
          <w:sz w:val="22"/>
          <w:szCs w:val="22"/>
        </w:rPr>
        <w:t xml:space="preserve">ingapore and </w:t>
      </w:r>
      <w:r w:rsidR="00F26730" w:rsidRPr="0010152F">
        <w:rPr>
          <w:rFonts w:ascii="Arial Black" w:hAnsi="Arial Black"/>
          <w:sz w:val="22"/>
          <w:szCs w:val="22"/>
        </w:rPr>
        <w:t>T</w:t>
      </w:r>
      <w:r w:rsidRPr="0010152F">
        <w:rPr>
          <w:rFonts w:ascii="Arial Black" w:hAnsi="Arial Black"/>
          <w:sz w:val="22"/>
          <w:szCs w:val="22"/>
        </w:rPr>
        <w:t xml:space="preserve">aiwan.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ZDZkNTk4OTAtNDE5ZS00MjE2LWJhNDktM2Q3ZTFkNmE4MGZjIiwicHJvcGVydGllcyI6eyJub3RlSW5kZXgiOjB9LCJpc0VkaXRlZCI6ZmFsc2UsIm1hbnVhbE92ZXJyaWRlIjp7ImlzTWFudWFsbHlPdmVycmlkZGVuIjp0cnVlLCJjaXRlcHJvY1RleHQiOiIoQ2hlbmcsIDE5OTYpIiwibWFudWFsT3ZlcnJpZGVUZXh0IjoiQ2hlbmcsIDE5OTYpIn0sImNpdGF0aW9uSXRlbXMiOlt7ImlkIjoiMTZiNDEzMTEtMDhhYS0zNTk3LWI0MGYtZTMzOTVmM2YxYTA5IiwiaXRlbURhdGEiOnsidHlwZSI6InJlcG9ydCIsImlkIjoiMTZiNDEzMTEtMDhhYS0zNTk3LWI0MGYtZTMzOTVmM2YxYTA5IiwidGl0bGUiOiJNaWdyYW50IFdvbWVuIERvbWVzdGljIFdvcmtlcnMgaW4gSG9uZyBLb25nLCBTaW5nYXBvcmUgYW5kIFRhaXdhbjogQSBDb21wYXJhdGl2ZSBBbmFseXNpcyIsImF1dGhvciI6W3siZmFtaWx5IjoiQ2hlbmciLCJnaXZlbiI6IlNodS1KdSBBZGEiLCJwYXJzZS1uYW1lcyI6ZmFsc2UsImRyb3BwaW5nLXBhcnRpY2xlIjoiIiwibm9uLWRyb3BwaW5nLXBhcnRpY2xlIjoiIn1dLCJjb250YWluZXItdGl0bGUiOiJBc2lhbiBhbmQgUGFjaWZpYyBNaWdyYXRpb24gSm91cm5hbCIsImlzc3VlZCI6eyJkYXRlLXBhcnRzIjpbWzE5OTZdXX0sImlzc3VlIjoiMSIsInZvbHVtZSI6IjUiLCJjb250YWluZXItdGl0bGUtc2hvcnQiOiIifSwiaXNUZW1wb3JhcnkiOmZhbHNlfV19"/>
          <w:id w:val="1177853020"/>
          <w:placeholder>
            <w:docPart w:val="E8D8ACC4C270439B9C8DDEA095BF4188"/>
          </w:placeholder>
        </w:sdtPr>
        <w:sdtEndPr/>
        <w:sdtContent>
          <w:r w:rsidR="00F26730" w:rsidRPr="0010152F">
            <w:rPr>
              <w:rFonts w:ascii="Arial Black" w:hAnsi="Arial Black"/>
              <w:b/>
              <w:color w:val="000000"/>
              <w:sz w:val="22"/>
              <w:szCs w:val="22"/>
            </w:rPr>
            <w:t>Cheng</w:t>
          </w:r>
          <w:r w:rsidRPr="0010152F">
            <w:rPr>
              <w:rFonts w:ascii="Arial Black" w:hAnsi="Arial Black"/>
              <w:b/>
              <w:color w:val="000000"/>
              <w:sz w:val="22"/>
              <w:szCs w:val="22"/>
            </w:rPr>
            <w:t>, 1996</w:t>
          </w:r>
          <w:proofErr w:type="gramStart"/>
          <w:r w:rsidRPr="0010152F">
            <w:rPr>
              <w:rFonts w:ascii="Arial Black" w:hAnsi="Arial Black"/>
              <w:b/>
              <w:color w:val="000000"/>
              <w:sz w:val="22"/>
              <w:szCs w:val="22"/>
            </w:rPr>
            <w:t>).</w:t>
          </w:r>
          <w:r w:rsidR="00F26730" w:rsidRPr="0010152F">
            <w:rPr>
              <w:rFonts w:ascii="Arial Black" w:hAnsi="Arial Black"/>
              <w:b/>
              <w:color w:val="000000"/>
              <w:sz w:val="22"/>
              <w:szCs w:val="22"/>
            </w:rPr>
            <w:t>Low</w:t>
          </w:r>
          <w:proofErr w:type="gramEnd"/>
        </w:sdtContent>
      </w:sdt>
      <w:r w:rsidRPr="0010152F">
        <w:rPr>
          <w:rFonts w:ascii="Arial Black" w:hAnsi="Arial Black"/>
          <w:sz w:val="22"/>
          <w:szCs w:val="22"/>
        </w:rPr>
        <w:t xml:space="preserve"> salaries, extra work, and no holidays in a week are the problems faced by domestic women workers at the workplace with no economic support from their children and husbands.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MWEwYWU4ZDctNzc1NS00ZWQzLWFhYjYtMDlhZWM0NzhjNDg0IiwicHJvcGVydGllcyI6eyJub3RlSW5kZXgiOjB9LCJpc0VkaXRlZCI6ZmFsc2UsIm1hbnVhbE92ZXJyaWRlIjp7ImlzTWFudWFsbHlPdmVycmlkZGVuIjp0cnVlLCJjaXRlcHJvY1RleHQiOiIoSGF6YXJpa2EgZXQgYWwuLCBuLmQuKSIsIm1hbnVhbE92ZXJyaWRlVGV4dCI6IkhhemFyaWthIGV0IGFsLiwgMjAwMi4pIn0sImNpdGF0aW9uSXRlbXMiOlt7ImlkIjoiYzYyMTA5ZDYtNmM5OS0zZDQ3LWJiNWEtZjI2MzNlOGMwMmUxIiwiaXRlbURhdGEiOnsidHlwZSI6InJlcG9ydCIsImlkIjoiYzYyMTA5ZDYtNmM5OS0zZDQ3LWJiNWEtZjI2MzNlOGMwMmUxIiwidGl0bGUiOiJXT01FTiBET01FU1RJQyBXT1JLRVJTOiBUSEVJUiBMSUZFLCBQUk9CTEVNIEFORCBEUkVBTSBHcm91cCBXb3JrIGZvciBTdXJ2ZXkgUmVzZWFyY2giLCJhdXRob3IiOlt7ImZhbWlseSI6IkhhemFyaWthIiwiZ2l2ZW4iOiJCaXB1bCIsInBhcnNlLW5hbWVzIjpmYWxzZSwiZHJvcHBpbmctcGFydGljbGUiOiIiLCJub24tZHJvcHBpbmctcGFydGljbGUiOiIifSx7ImZhbWlseSI6Ikdob3NoIiwiZ2l2ZW4iOiJTYXN3YXRhIiwicGFyc2UtbmFtZXMiOmZhbHNlLCJkcm9wcGluZy1wYXJ0aWNsZSI6IiIsIm5vbi1kcm9wcGluZy1wYXJ0aWNsZSI6IiJ9LHsiZmFtaWx5IjoiQ2hhdHRvcGFkaHlheSIsImdpdmVuIjoiQXBhcmFqaXRhIiwicGFyc2UtbmFtZXMiOmZhbHNlLCJkcm9wcGluZy1wYXJ0aWNsZSI6IiIsIm5vbi1kcm9wcGluZy1wYXJ0aWNsZSI6IiJ9LHsiZmFtaWx5IjoiTWFqdW1kZXIiLCJnaXZlbiI6IkFtbGFuIiwicGFyc2UtbmFtZXMiOmZhbHNlLCJkcm9wcGluZy1wYXJ0aWNsZSI6IiIsIm5vbi1kcm9wcGluZy1wYXJ0aWNsZSI6IiJ9LHsiZmFtaWx5IjoiS3VtYXIiLCJnaXZlbiI6IlN1bml0IiwicGFyc2UtbmFtZXMiOmZhbHNlLCJkcm9wcGluZy1wYXJ0aWNsZSI6IiIsIm5vbi1kcm9wcGluZy1wYXJ0aWNsZSI6IiJ9XSwiY29udGFpbmVyLXRpdGxlLXNob3J0IjoiIn0sImlzVGVtcG9yYXJ5IjpmYWxzZX1dfQ=="/>
          <w:id w:val="-637106906"/>
          <w:placeholder>
            <w:docPart w:val="E8D8ACC4C270439B9C8DDEA095BF4188"/>
          </w:placeholder>
        </w:sdtPr>
        <w:sdtEndPr/>
        <w:sdtContent>
          <w:r w:rsidR="00F26730" w:rsidRPr="0010152F">
            <w:rPr>
              <w:rFonts w:ascii="Arial Black" w:hAnsi="Arial Black"/>
              <w:b/>
              <w:color w:val="000000"/>
              <w:sz w:val="22"/>
              <w:szCs w:val="22"/>
            </w:rPr>
            <w:t>H</w:t>
          </w:r>
          <w:r w:rsidRPr="0010152F">
            <w:rPr>
              <w:rFonts w:ascii="Arial Black" w:hAnsi="Arial Black"/>
              <w:b/>
              <w:color w:val="000000"/>
              <w:sz w:val="22"/>
              <w:szCs w:val="22"/>
            </w:rPr>
            <w:t>azarika et al., 2002.)</w:t>
          </w:r>
          <w:r w:rsidR="00994544" w:rsidRPr="0010152F">
            <w:rPr>
              <w:rFonts w:ascii="Arial Black" w:hAnsi="Arial Black"/>
              <w:b/>
              <w:color w:val="000000"/>
              <w:sz w:val="22"/>
              <w:szCs w:val="22"/>
            </w:rPr>
            <w:t xml:space="preserve">. </w:t>
          </w:r>
          <w:r w:rsidR="00F26730" w:rsidRPr="0010152F">
            <w:rPr>
              <w:rFonts w:ascii="Arial Black" w:hAnsi="Arial Black"/>
              <w:b/>
              <w:color w:val="000000"/>
              <w:sz w:val="22"/>
              <w:szCs w:val="22"/>
            </w:rPr>
            <w:t>As</w:t>
          </w:r>
        </w:sdtContent>
      </w:sdt>
      <w:r w:rsidRPr="0010152F">
        <w:rPr>
          <w:rFonts w:ascii="Arial Black" w:hAnsi="Arial Black"/>
          <w:sz w:val="22"/>
          <w:szCs w:val="22"/>
        </w:rPr>
        <w:t xml:space="preserve"> per the </w:t>
      </w:r>
      <w:r w:rsidR="00F26730" w:rsidRPr="0010152F">
        <w:rPr>
          <w:rFonts w:ascii="Arial Black" w:hAnsi="Arial Black"/>
          <w:sz w:val="22"/>
          <w:szCs w:val="22"/>
        </w:rPr>
        <w:t>Domestic Workers Welfare</w:t>
      </w:r>
      <w:r w:rsidRPr="0010152F">
        <w:rPr>
          <w:rFonts w:ascii="Arial Black" w:hAnsi="Arial Black"/>
          <w:sz w:val="22"/>
          <w:szCs w:val="22"/>
        </w:rPr>
        <w:t xml:space="preserve"> and </w:t>
      </w:r>
      <w:r w:rsidR="00F26730" w:rsidRPr="0010152F">
        <w:rPr>
          <w:rFonts w:ascii="Arial Black" w:hAnsi="Arial Black"/>
          <w:sz w:val="22"/>
          <w:szCs w:val="22"/>
        </w:rPr>
        <w:t>Social Security Bill</w:t>
      </w:r>
      <w:r w:rsidRPr="0010152F">
        <w:rPr>
          <w:rFonts w:ascii="Arial Black" w:hAnsi="Arial Black"/>
          <w:sz w:val="22"/>
          <w:szCs w:val="22"/>
        </w:rPr>
        <w:t xml:space="preserve">, a domestic worker is outlined as an individual who is hired for wages, whether in the form of cash or non-monetary benefits, to perform household or related tasks in residences or similar establishments. This employment can be arranged through an agency or directly, and can be of a temporary, contractual, or permanent nature, as well as part-time or full-time.” </w:t>
      </w:r>
      <w:r w:rsidRPr="0010152F">
        <w:rPr>
          <w:rFonts w:ascii="Arial Black" w:hAnsi="Arial Black"/>
          <w:b/>
          <w:sz w:val="22"/>
          <w:szCs w:val="22"/>
        </w:rPr>
        <w:t>(domestic workers welfare and social security act, § 2(f),</w:t>
      </w:r>
      <w:r w:rsidR="005C1134" w:rsidRPr="0010152F">
        <w:rPr>
          <w:rFonts w:ascii="Arial Black" w:hAnsi="Arial Black"/>
          <w:sz w:val="22"/>
          <w:szCs w:val="22"/>
        </w:rPr>
        <w:t xml:space="preserve"> </w:t>
      </w:r>
      <w:r w:rsidRPr="0010152F">
        <w:rPr>
          <w:rFonts w:ascii="Arial Black" w:hAnsi="Arial Black"/>
          <w:b/>
          <w:sz w:val="22"/>
          <w:szCs w:val="22"/>
        </w:rPr>
        <w:t xml:space="preserve">2010’ </w:t>
      </w:r>
      <w:proofErr w:type="gramStart"/>
      <w:r w:rsidRPr="0010152F">
        <w:rPr>
          <w:rFonts w:ascii="Arial Black" w:hAnsi="Arial Black"/>
          <w:b/>
          <w:sz w:val="22"/>
          <w:szCs w:val="22"/>
        </w:rPr>
        <w:lastRenderedPageBreak/>
        <w:t>bill)</w:t>
      </w:r>
      <w:r w:rsidRPr="0010152F">
        <w:rPr>
          <w:rFonts w:ascii="Arial Black" w:hAnsi="Arial Black"/>
          <w:sz w:val="22"/>
          <w:szCs w:val="22"/>
        </w:rPr>
        <w:t>the</w:t>
      </w:r>
      <w:proofErr w:type="gramEnd"/>
      <w:r w:rsidRPr="0010152F">
        <w:rPr>
          <w:rFonts w:ascii="Arial Black" w:hAnsi="Arial Black"/>
          <w:sz w:val="22"/>
          <w:szCs w:val="22"/>
        </w:rPr>
        <w:t xml:space="preserve"> tasks may encompass a range of activities such as cooking preparation, gardening, sanitation, childcare, tending to domestic animals, or caring for aging members (</w:t>
      </w:r>
      <w:r w:rsidR="00994544" w:rsidRPr="0010152F">
        <w:rPr>
          <w:rFonts w:ascii="Arial Black" w:hAnsi="Arial Black"/>
          <w:b/>
          <w:sz w:val="22"/>
          <w:szCs w:val="22"/>
        </w:rPr>
        <w:t>I</w:t>
      </w:r>
      <w:r w:rsidRPr="0010152F">
        <w:rPr>
          <w:rFonts w:ascii="Arial Black" w:hAnsi="Arial Black"/>
          <w:b/>
          <w:sz w:val="22"/>
          <w:szCs w:val="22"/>
        </w:rPr>
        <w:t xml:space="preserve">nternational </w:t>
      </w:r>
      <w:r w:rsidR="00994544" w:rsidRPr="0010152F">
        <w:rPr>
          <w:rFonts w:ascii="Arial Black" w:hAnsi="Arial Black"/>
          <w:b/>
          <w:sz w:val="22"/>
          <w:szCs w:val="22"/>
        </w:rPr>
        <w:t>L</w:t>
      </w:r>
      <w:r w:rsidRPr="0010152F">
        <w:rPr>
          <w:rFonts w:ascii="Arial Black" w:hAnsi="Arial Black"/>
          <w:b/>
          <w:sz w:val="22"/>
          <w:szCs w:val="22"/>
        </w:rPr>
        <w:t xml:space="preserve">abour </w:t>
      </w:r>
      <w:r w:rsidR="00994544" w:rsidRPr="0010152F">
        <w:rPr>
          <w:rFonts w:ascii="Arial Black" w:hAnsi="Arial Black"/>
          <w:b/>
          <w:sz w:val="22"/>
          <w:szCs w:val="22"/>
        </w:rPr>
        <w:t>O</w:t>
      </w:r>
      <w:r w:rsidRPr="0010152F">
        <w:rPr>
          <w:rFonts w:ascii="Arial Black" w:hAnsi="Arial Black"/>
          <w:b/>
          <w:sz w:val="22"/>
          <w:szCs w:val="22"/>
        </w:rPr>
        <w:t xml:space="preserve">rganization, </w:t>
      </w:r>
      <w:r w:rsidR="00994544" w:rsidRPr="0010152F">
        <w:rPr>
          <w:rFonts w:ascii="Arial Black" w:hAnsi="Arial Black"/>
          <w:b/>
          <w:sz w:val="22"/>
          <w:szCs w:val="22"/>
        </w:rPr>
        <w:t>FAQ</w:t>
      </w:r>
      <w:r w:rsidRPr="0010152F">
        <w:rPr>
          <w:rFonts w:ascii="Arial Black" w:hAnsi="Arial Black"/>
          <w:b/>
          <w:sz w:val="22"/>
          <w:szCs w:val="22"/>
        </w:rPr>
        <w:t xml:space="preserve">: decent work for domestic workers, report via, 99th </w:t>
      </w:r>
      <w:r w:rsidR="00994544" w:rsidRPr="0010152F">
        <w:rPr>
          <w:rFonts w:ascii="Arial Black" w:hAnsi="Arial Black"/>
          <w:b/>
          <w:sz w:val="22"/>
          <w:szCs w:val="22"/>
        </w:rPr>
        <w:t>ILC</w:t>
      </w:r>
      <w:r w:rsidRPr="0010152F">
        <w:rPr>
          <w:rFonts w:ascii="Arial Black" w:hAnsi="Arial Black"/>
          <w:b/>
          <w:sz w:val="22"/>
          <w:szCs w:val="22"/>
        </w:rPr>
        <w:t xml:space="preserve"> session, </w:t>
      </w:r>
      <w:r w:rsidR="00994544" w:rsidRPr="0010152F">
        <w:rPr>
          <w:rFonts w:ascii="Arial Black" w:hAnsi="Arial Black"/>
          <w:b/>
          <w:sz w:val="22"/>
          <w:szCs w:val="22"/>
        </w:rPr>
        <w:t>G</w:t>
      </w:r>
      <w:r w:rsidRPr="0010152F">
        <w:rPr>
          <w:rFonts w:ascii="Arial Black" w:hAnsi="Arial Black"/>
          <w:b/>
          <w:sz w:val="22"/>
          <w:szCs w:val="22"/>
        </w:rPr>
        <w:t>eneva, 10 (2010</w:t>
      </w:r>
      <w:r w:rsidRPr="0010152F">
        <w:rPr>
          <w:rFonts w:ascii="Arial Black" w:hAnsi="Arial Black"/>
          <w:sz w:val="22"/>
          <w:szCs w:val="22"/>
        </w:rPr>
        <w:t>).</w:t>
      </w:r>
      <w:r w:rsidR="00994544" w:rsidRPr="0010152F">
        <w:rPr>
          <w:rFonts w:ascii="Arial Black" w:hAnsi="Arial Black"/>
          <w:sz w:val="22"/>
          <w:szCs w:val="22"/>
        </w:rPr>
        <w:t xml:space="preserve"> A</w:t>
      </w:r>
      <w:r w:rsidRPr="0010152F">
        <w:rPr>
          <w:rFonts w:ascii="Arial Black" w:hAnsi="Arial Black"/>
          <w:sz w:val="22"/>
          <w:szCs w:val="22"/>
        </w:rPr>
        <w:t xml:space="preserve">ccording to </w:t>
      </w:r>
      <w:r w:rsidR="00994544" w:rsidRPr="0010152F">
        <w:rPr>
          <w:rFonts w:ascii="Arial Black" w:hAnsi="Arial Black"/>
          <w:sz w:val="22"/>
          <w:szCs w:val="22"/>
        </w:rPr>
        <w:t>Article</w:t>
      </w:r>
      <w:r w:rsidRPr="0010152F">
        <w:rPr>
          <w:rFonts w:ascii="Arial Black" w:hAnsi="Arial Black"/>
          <w:sz w:val="22"/>
          <w:szCs w:val="22"/>
        </w:rPr>
        <w:t xml:space="preserve"> 1 of the </w:t>
      </w:r>
      <w:r w:rsidR="00994544" w:rsidRPr="0010152F">
        <w:rPr>
          <w:rFonts w:ascii="Arial Black" w:hAnsi="Arial Black"/>
          <w:sz w:val="22"/>
          <w:szCs w:val="22"/>
        </w:rPr>
        <w:t>International Labour Organization’s</w:t>
      </w:r>
      <w:r w:rsidRPr="0010152F">
        <w:rPr>
          <w:rFonts w:ascii="Arial Black" w:hAnsi="Arial Black"/>
          <w:sz w:val="22"/>
          <w:szCs w:val="22"/>
        </w:rPr>
        <w:t xml:space="preserve"> convention on domestic workers, a "domestic worker" is defined as an individual employed by a household to work within and for that home. (</w:t>
      </w:r>
      <w:r w:rsidR="00994544" w:rsidRPr="0010152F">
        <w:rPr>
          <w:rFonts w:ascii="Arial Black" w:hAnsi="Arial Black"/>
          <w:b/>
          <w:sz w:val="22"/>
          <w:szCs w:val="22"/>
        </w:rPr>
        <w:t>I</w:t>
      </w:r>
      <w:r w:rsidRPr="0010152F">
        <w:rPr>
          <w:rFonts w:ascii="Arial Black" w:hAnsi="Arial Black"/>
          <w:b/>
          <w:sz w:val="22"/>
          <w:szCs w:val="22"/>
        </w:rPr>
        <w:t xml:space="preserve">nternational </w:t>
      </w:r>
      <w:r w:rsidR="00994544" w:rsidRPr="0010152F">
        <w:rPr>
          <w:rFonts w:ascii="Arial Black" w:hAnsi="Arial Black"/>
          <w:b/>
          <w:sz w:val="22"/>
          <w:szCs w:val="22"/>
        </w:rPr>
        <w:t>L</w:t>
      </w:r>
      <w:r w:rsidRPr="0010152F">
        <w:rPr>
          <w:rFonts w:ascii="Arial Black" w:hAnsi="Arial Black"/>
          <w:b/>
          <w:sz w:val="22"/>
          <w:szCs w:val="22"/>
        </w:rPr>
        <w:t xml:space="preserve">abour </w:t>
      </w:r>
      <w:r w:rsidR="00994544" w:rsidRPr="0010152F">
        <w:rPr>
          <w:rFonts w:ascii="Arial Black" w:hAnsi="Arial Black"/>
          <w:b/>
          <w:sz w:val="22"/>
          <w:szCs w:val="22"/>
        </w:rPr>
        <w:t>O</w:t>
      </w:r>
      <w:r w:rsidRPr="0010152F">
        <w:rPr>
          <w:rFonts w:ascii="Arial Black" w:hAnsi="Arial Black"/>
          <w:b/>
          <w:sz w:val="22"/>
          <w:szCs w:val="22"/>
        </w:rPr>
        <w:t xml:space="preserve">rganization, </w:t>
      </w:r>
      <w:r w:rsidR="00994544" w:rsidRPr="0010152F">
        <w:rPr>
          <w:rFonts w:ascii="Arial Black" w:hAnsi="Arial Black"/>
          <w:b/>
          <w:sz w:val="22"/>
          <w:szCs w:val="22"/>
        </w:rPr>
        <w:t>D</w:t>
      </w:r>
      <w:r w:rsidRPr="0010152F">
        <w:rPr>
          <w:rFonts w:ascii="Arial Black" w:hAnsi="Arial Black"/>
          <w:b/>
          <w:sz w:val="22"/>
          <w:szCs w:val="22"/>
        </w:rPr>
        <w:t xml:space="preserve">omestic </w:t>
      </w:r>
      <w:r w:rsidR="00994544" w:rsidRPr="0010152F">
        <w:rPr>
          <w:rFonts w:ascii="Arial Black" w:hAnsi="Arial Black"/>
          <w:b/>
          <w:sz w:val="22"/>
          <w:szCs w:val="22"/>
        </w:rPr>
        <w:t>W</w:t>
      </w:r>
      <w:r w:rsidRPr="0010152F">
        <w:rPr>
          <w:rFonts w:ascii="Arial Black" w:hAnsi="Arial Black"/>
          <w:b/>
          <w:sz w:val="22"/>
          <w:szCs w:val="22"/>
        </w:rPr>
        <w:t xml:space="preserve">orkers </w:t>
      </w:r>
      <w:r w:rsidR="00994544" w:rsidRPr="0010152F">
        <w:rPr>
          <w:rFonts w:ascii="Arial Black" w:hAnsi="Arial Black"/>
          <w:b/>
          <w:sz w:val="22"/>
          <w:szCs w:val="22"/>
        </w:rPr>
        <w:t>C</w:t>
      </w:r>
      <w:r w:rsidRPr="0010152F">
        <w:rPr>
          <w:rFonts w:ascii="Arial Black" w:hAnsi="Arial Black"/>
          <w:b/>
          <w:sz w:val="22"/>
          <w:szCs w:val="22"/>
        </w:rPr>
        <w:t xml:space="preserve">onvention, 2011, c-189, </w:t>
      </w:r>
      <w:r w:rsidR="00994544" w:rsidRPr="0010152F">
        <w:rPr>
          <w:rFonts w:ascii="Arial Black" w:hAnsi="Arial Black"/>
          <w:b/>
          <w:sz w:val="22"/>
          <w:szCs w:val="22"/>
        </w:rPr>
        <w:t>Geneva</w:t>
      </w:r>
      <w:r w:rsidRPr="0010152F">
        <w:rPr>
          <w:rFonts w:ascii="Arial Black" w:hAnsi="Arial Black"/>
          <w:b/>
          <w:sz w:val="22"/>
          <w:szCs w:val="22"/>
        </w:rPr>
        <w:t xml:space="preserve">, 100th </w:t>
      </w:r>
      <w:r w:rsidR="00994544" w:rsidRPr="0010152F">
        <w:rPr>
          <w:rFonts w:ascii="Arial Black" w:hAnsi="Arial Black"/>
          <w:b/>
          <w:sz w:val="22"/>
          <w:szCs w:val="22"/>
        </w:rPr>
        <w:t>ILC</w:t>
      </w:r>
      <w:r w:rsidRPr="0010152F">
        <w:rPr>
          <w:rFonts w:ascii="Arial Black" w:hAnsi="Arial Black"/>
          <w:b/>
          <w:sz w:val="22"/>
          <w:szCs w:val="22"/>
        </w:rPr>
        <w:t xml:space="preserve"> session (</w:t>
      </w:r>
      <w:r w:rsidR="00994544" w:rsidRPr="0010152F">
        <w:rPr>
          <w:rFonts w:ascii="Arial Black" w:hAnsi="Arial Black"/>
          <w:b/>
          <w:sz w:val="22"/>
          <w:szCs w:val="22"/>
        </w:rPr>
        <w:t>June</w:t>
      </w:r>
      <w:r w:rsidRPr="0010152F">
        <w:rPr>
          <w:rFonts w:ascii="Arial Black" w:hAnsi="Arial Black"/>
          <w:b/>
          <w:sz w:val="22"/>
          <w:szCs w:val="22"/>
        </w:rPr>
        <w:t xml:space="preserve"> 16, 2011).</w:t>
      </w:r>
      <w:r w:rsidR="00994544" w:rsidRPr="0010152F">
        <w:rPr>
          <w:rFonts w:ascii="Arial Black" w:hAnsi="Arial Black"/>
          <w:sz w:val="22"/>
          <w:szCs w:val="22"/>
        </w:rPr>
        <w:t>Respiratory</w:t>
      </w:r>
      <w:r w:rsidRPr="0010152F">
        <w:rPr>
          <w:rFonts w:ascii="Arial Black" w:hAnsi="Arial Black"/>
          <w:sz w:val="22"/>
          <w:szCs w:val="22"/>
        </w:rPr>
        <w:t xml:space="preserve"> illness, back pain, musculoskeletal pain, stress-related mental disorders, and intestinal parasitic infections are the health issues</w:t>
      </w:r>
      <w:r w:rsidR="00994544" w:rsidRPr="0010152F">
        <w:rPr>
          <w:rFonts w:ascii="Arial Black" w:hAnsi="Arial Black"/>
          <w:sz w:val="22"/>
          <w:szCs w:val="22"/>
        </w:rPr>
        <w:t>,</w:t>
      </w:r>
      <w:r w:rsidRPr="0010152F">
        <w:rPr>
          <w:rFonts w:ascii="Arial Black" w:hAnsi="Arial Black"/>
          <w:sz w:val="22"/>
          <w:szCs w:val="22"/>
        </w:rPr>
        <w:t xml:space="preserve"> and poor work and living conditions and non-payment of wages are the difficulties faced by migrant women workers among foreign female domestic workers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NDllOGQ5NzAtMWRhNy00ZGZiLWIwNGMtZDI2NTRhMGFiYzdhIiwicHJvcGVydGllcyI6eyJub3RlSW5kZXgiOjB9LCJpc0VkaXRlZCI6ZmFsc2UsIm1hbnVhbE92ZXJyaWRlIjp7ImlzTWFudWFsbHlPdmVycmlkZGVuIjp0cnVlLCJjaXRlcHJvY1RleHQiOiIoTWFsaG90cmEgZXQgYWwuLCAyMDEzKSIsIm1hbnVhbE92ZXJyaWRlVGV4dCI6Ik1hbGhvdHJhIGV0IGFsLiwgMjAxMykifSwiY2l0YXRpb25JdGVtcyI6W3siaWQiOiI0ODRhYWRhMi1jYTZjLTM4NGYtOTQzOC1kNGFhY2Y1OWZiNGQiLCJpdGVtRGF0YSI6eyJ0eXBlIjoiYXJ0aWNsZSIsImlkIjoiNDg0YWFkYTItY2E2Yy0zODRmLTk0MzgtZDRhYWNmNTlmYjRkIiwidGl0bGUiOiJIZWFsdGggaXNzdWVzIG9mIGZlbWFsZSBmb3JlaWduIGRvbWVzdGljIHdvcmtlcnM6IEEgc3lzdGVtYXRpYyByZXZpZXcgb2YgdGhlIHNjaWVudGlmaWMgYW5kIGdyYXkgbGl0ZXJhdHVyZSIsImF1dGhvciI6W3siZmFtaWx5IjoiTWFsaG90cmEiLCJnaXZlbiI6IlJhaHVsIiwicGFyc2UtbmFtZXMiOmZhbHNlLCJkcm9wcGluZy1wYXJ0aWNsZSI6IiIsIm5vbi1kcm9wcGluZy1wYXJ0aWNsZSI6IiJ9LHsiZmFtaWx5IjoiQXJhbWJlcG9sYSIsImdpdmVuIjoiQ2hhbmRpbWEiLCJwYXJzZS1uYW1lcyI6ZmFsc2UsImRyb3BwaW5nLXBhcnRpY2xlIjoiIiwibm9uLWRyb3BwaW5nLXBhcnRpY2xlIjoiIn0seyJmYW1pbHkiOiJUYXJ1biIsImdpdmVuIjoiU2FtaWtzaGEiLCJwYXJzZS1uYW1lcyI6ZmFsc2UsImRyb3BwaW5nLXBhcnRpY2xlIjoiIiwibm9uLWRyb3BwaW5nLXBhcnRpY2xlIjoiIn0seyJmYW1pbHkiOiJTaWx2YSIsImdpdmVuIjoiVmlqaXRoYSIsInBhcnNlLW5hbWVzIjpmYWxzZSwiZHJvcHBpbmctcGFydGljbGUiOiIiLCJub24tZHJvcHBpbmctcGFydGljbGUiOiJkZSJ9LHsiZmFtaWx5IjoiS2lzaG9yZSIsImdpdmVuIjoiSnVnYWwiLCJwYXJzZS1uYW1lcyI6ZmFsc2UsImRyb3BwaW5nLXBhcnRpY2xlIjoiIiwibm9uLWRyb3BwaW5nLXBhcnRpY2xlIjoiIn0seyJmYW1pbHkiOiLDmHN0YnllIiwiZ2l2ZW4iOiJUcnVscyIsInBhcnNlLW5hbWVzIjpmYWxzZSwiZHJvcHBpbmctcGFydGljbGUiOiIiLCJub24tZHJvcHBpbmctcGFydGljbGUiOiIifV0sImNvbnRhaW5lci10aXRsZSI6IkludGVybmF0aW9uYWwgSm91cm5hbCBvZiBPY2N1cGF0aW9uYWwgYW5kIEVudmlyb25tZW50YWwgSGVhbHRoIiwiY29udGFpbmVyLXRpdGxlLXNob3J0IjoiSW50IEogT2NjdXAgRW52aXJvbiBIZWFsdGgiLCJET0kiOiIxMC4xMTc5LzIwNDkzOTY3MTNZLjAwMDAwMDAwNDEiLCJJU1NOIjoiMTA3NzM1MjUiLCJQTUlEIjoiMjQ1ODgwMzMiLCJpc3N1ZWQiOnsiZGF0ZS1wYXJ0cyI6W1syMDEzLDEwXV19LCJwYWdlIjoiMjYxLTI3NyIsImFic3RyYWN0IjoiQmFja2dyb3VuZDogQWx0aG91Z2ggdGhlIG51bWJlciBvZiBmZW1hbGUgZm9yZWlnbiBkb21lc3RpYyB3b3JrZXJzIChGRFdzKSBpcyBpbmNyZWFzaW5nIHdvcmxkd2lkZSwgbGl0dGxlIGlzIGtub3duIGFib3V0IHRoZWlyIGhlYWx0aCBpc3N1ZXMuIE9iamVjdGl2ZTogVG8gc3lzdGVtYXRpY2FsbHkgcmV2aWV3IHRoZSBsaXRlcmF0dXJlIG9uIGhlYWx0aCBpc3N1ZXMgb2YgZmVtYWxlIEZEV3MgdG8gYXNjZXJ0YWluIHRoZSBwcm9ibGVtcyBzdHVkaWVkLCBpZGVudGlmeSBsaW1pdGF0aW9ucywgYW5kIHN1Z2dlc3QgZnV0dXJlIHJlc2VhcmNoIGFuZCBwb2xpY3kgaW1wbGljYXRpb25zLiBNZXRob2RzOiBBIHN5c3RlbWF0aWMgZGF0YWJhc2UgKFB1Yk1lZCwgRUJTQ08gSG9zdCwgYW5kIEdvb2dsZSBTY2hvbGFyKSBhbmQgYmlibGlvZ3JhcGhpYyBzZWFyY2ggaWRlbnRpZmllZCB0aGUgRW5nbGlzaC1sYW5ndWFnZSBzY2llbnRpZmljIGFuZCBncmF5IGxpdGVyYXR1cmUgcHVibGlzaGVkIGR1cmluZyAxOTkwLTIwMTIgYWRkcmVzc2luZyBoZWFsdGggaXNzdWVzIG9mIGZlbWFsZSBGRFdzIGxpdmluZyB3aXRoIHRoZSBmYW1pbHkgb2YgdGhlIGVtcGxveWVyLCB1c2luZyBxdWFsaXRhdGl2ZSBhbmQvb3IgcXVhbnRpdGF0aXZlIHJlc2VhcmNoIG1ldGhvZHMuIFN0dWRpZXMgaW4gd2hpY2ggZmVtYWxlIEZEV3MgY29uc3RpdHV0ZWQgbGVzcyB0aGFuIGhhbGYgb2YgdGhlIHBhcnRpY2lwYW50cyB3ZXJlIGV4Y2x1ZGVkLiBSZXN1bHRzOiBUaGUgaGVhbHRoIGlzc3VlcyBzdHVkaWVkIGFuZCBpZGVudGlmaWVkIHdlcmUgYWR2ZXJzZSB3b3JrIGNvbmRpdGlvbnMgYW5kIGFzc29jaWF0ZWQgaGVhbHRoIHByb2JsZW1zIChzdWNoIGFzIHBoeXNpY2FsLCB2ZXJiYWwsIGFuZCBzZXh1YWwgYWJ1c2UgYXQgdGhlIHdvcmtwbGFjZSwgY2FyZWdpdmluZyB0YXNrcyBhc3NvY2lhdGVkIHdpdGggbXVzY3Vsb3NrZWxldGFsIHN0cmFpbiwgYW5kIGNoZW1pY2FsIGV4cG9zdXJlIGFzc29jaWF0ZWQgd2l0aCByZXNwaXJhdG9yeSBkaWZmaWN1bHR5KSwgbWVudGFsIGhlYWx0aCAocHN5Y2hvdGljLCBuZXVyb3RpYywgYW5kIG1vb2QgZGlzb3JkZXJzKSwgaW5mZWN0aW91cyBkaXNlYXNlcyAobW9zdCBvZiB0aGUgc3R1ZGllcyB3ZXJlIG9uIGludGVzdGluYWwgcGFyYXNpdGljIGluZmVjdGlvbnMpLCBhbmQgaGVhbHRoIGtub3dsZWRnZS9hdHRpdHVkZXMvcHJhY3RpY2VzIChtb3N0IG9mIHRoZSBzdHVkaWVzIHdlcmUgaW4gY29udGV4dCBvZiBzZXh1YWwgYW5kIHJlcHJvZHVjdGl2ZSBoZWFsdGgpLiBNb3N0IG9mIHRoZSBzdHVkaWVzIHdlcmUgbWVkaWNhbCByZWNvcmQgcmV2aWV3cyBvciBxdWVzdGlvbm5haXJlLWJhc2VkIHN1cnZleXMgdXRpbGl6aW5nIGNvbnZlbmllbmNlIHNhbXBsaW5nIG9yIHF1YWxpdGF0aXZlIGludGVydmlld3MvZm9jdXMgZ3JvdXAgZGlzY3Vzc2lvbnMuIENvbmNsdXNpb246IEZlbWFsZSBGRFdzIGZhY2UgbnVtZXJvdXMgaGVhbHRoIHByb2JsZW1zLiBTdHVkaWVzIG9uIHJlcHJlc2VudGF0aXZlLCBwb3NzaWJseSBsb25naXR1ZGluYWwsIHNhbXBsZXMgb2YgZmVtYWxlIEZEV3MgZm9jdXNpbmcgb24gc3BlY2lmaWMgaGVhbHRoIGNvbmRpdGlvbnMgYXJlIG5lZWRlZCB0byBiZXR0ZXIgdW5kZXJzdGFuZCB0aGUgZXBpZGVtaW9sb2d5IG9mIHN1Y2ggY29uZGl0aW9ucy4gQ29uY2VydGVkIGVmZm9ydHMgdGhyb3VnaCB0aGUgZ292ZXJubWVudHMgb2YgYm90aCBsYWJvcnNlbmRpbmcgYW5kIGhvc3QgY291bnRyaWVzIGFyZSByZXF1aXJlZCB0byBpbXByb3ZlIHRoZSBoZWFsdGgsIHdvcmsgY29uZGl0aW9ucywgYW5kIHNhZmV0eSBvZiB0aGlzIHZ1bG5lcmFibGUgZ3JvdXAgb2Ygd29tZW4uIMKpIFcuIFMuIE1hbmV5ICYgU29uIEx0ZCAyMDEzLiIsImlzc3VlIjoiNCIsInZvbHVtZSI6IjE5In0sImlzVGVtcG9yYXJ5IjpmYWxzZX1dfQ=="/>
          <w:id w:val="-1186901320"/>
          <w:placeholder>
            <w:docPart w:val="E8D8ACC4C270439B9C8DDEA095BF4188"/>
          </w:placeholder>
        </w:sdtPr>
        <w:sdtEndPr/>
        <w:sdtContent>
          <w:r w:rsidR="00994544" w:rsidRPr="0010152F">
            <w:rPr>
              <w:rFonts w:ascii="Arial Black" w:hAnsi="Arial Black"/>
              <w:b/>
              <w:color w:val="000000"/>
              <w:sz w:val="22"/>
              <w:szCs w:val="22"/>
            </w:rPr>
            <w:t>Malhotra</w:t>
          </w:r>
          <w:r w:rsidRPr="0010152F">
            <w:rPr>
              <w:rFonts w:ascii="Arial Black" w:hAnsi="Arial Black"/>
              <w:b/>
              <w:color w:val="000000"/>
              <w:sz w:val="22"/>
              <w:szCs w:val="22"/>
            </w:rPr>
            <w:t xml:space="preserve"> et al., 2013)</w:t>
          </w:r>
        </w:sdtContent>
      </w:sdt>
      <w:r w:rsidRPr="0010152F">
        <w:rPr>
          <w:rFonts w:ascii="Arial Black" w:hAnsi="Arial Black"/>
          <w:sz w:val="22"/>
          <w:szCs w:val="22"/>
        </w:rPr>
        <w:t>.</w:t>
      </w:r>
      <w:r w:rsidR="00994544" w:rsidRPr="0010152F">
        <w:rPr>
          <w:rFonts w:ascii="Arial Black" w:hAnsi="Arial Black"/>
          <w:sz w:val="22"/>
          <w:szCs w:val="22"/>
        </w:rPr>
        <w:t>The</w:t>
      </w:r>
      <w:r w:rsidRPr="0010152F">
        <w:rPr>
          <w:rFonts w:ascii="Arial Black" w:hAnsi="Arial Black"/>
          <w:sz w:val="22"/>
          <w:szCs w:val="22"/>
        </w:rPr>
        <w:t xml:space="preserve"> majority of women employed as domestic workers in </w:t>
      </w:r>
      <w:r w:rsidR="00994544" w:rsidRPr="0010152F">
        <w:rPr>
          <w:rFonts w:ascii="Arial Black" w:hAnsi="Arial Black"/>
          <w:sz w:val="22"/>
          <w:szCs w:val="22"/>
        </w:rPr>
        <w:t>Bangalore</w:t>
      </w:r>
      <w:r w:rsidRPr="0010152F">
        <w:rPr>
          <w:rFonts w:ascii="Arial Black" w:hAnsi="Arial Black"/>
          <w:sz w:val="22"/>
          <w:szCs w:val="22"/>
        </w:rPr>
        <w:t xml:space="preserve"> are migrants for domestic work. Working long hours for little money and having little job security makes domestic service employment conditions miserable </w:t>
      </w:r>
      <w:r w:rsidRPr="0010152F">
        <w:rPr>
          <w:rFonts w:ascii="Arial Black" w:hAnsi="Arial Black"/>
          <w:b/>
          <w:sz w:val="22"/>
          <w:szCs w:val="22"/>
        </w:rPr>
        <w:t>(</w:t>
      </w:r>
      <w:r w:rsidR="00994544" w:rsidRPr="0010152F">
        <w:rPr>
          <w:rFonts w:ascii="Arial Black" w:hAnsi="Arial Black"/>
          <w:b/>
          <w:sz w:val="22"/>
          <w:szCs w:val="22"/>
        </w:rPr>
        <w:t>Madhumati M</w:t>
      </w:r>
      <w:r w:rsidRPr="0010152F">
        <w:rPr>
          <w:rFonts w:ascii="Arial Black" w:hAnsi="Arial Black"/>
          <w:b/>
          <w:sz w:val="22"/>
          <w:szCs w:val="22"/>
        </w:rPr>
        <w:t>,2013).</w:t>
      </w:r>
      <w:r w:rsidRPr="0010152F">
        <w:rPr>
          <w:rFonts w:ascii="Arial Black" w:hAnsi="Arial Black"/>
          <w:sz w:val="22"/>
          <w:szCs w:val="22"/>
        </w:rPr>
        <w:t xml:space="preserve"> Caste differences, unequal gender relations, unpredictable work, low bargaining power, lack of credit facilities, male partners' drug addictions, or the death of a husband and a lack of assets are the causes of the vulnerable economic situation of female domestic workers in </w:t>
      </w:r>
      <w:r w:rsidR="006D031C" w:rsidRPr="0010152F">
        <w:rPr>
          <w:rFonts w:ascii="Arial Black" w:hAnsi="Arial Black"/>
          <w:sz w:val="22"/>
          <w:szCs w:val="22"/>
        </w:rPr>
        <w:t>Punjab</w:t>
      </w:r>
      <w:r w:rsidRPr="0010152F">
        <w:rPr>
          <w:rFonts w:ascii="Arial Black" w:hAnsi="Arial Black"/>
          <w:sz w:val="22"/>
          <w:szCs w:val="22"/>
        </w:rPr>
        <w:t xml:space="preserve">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YjQzZGZiODItNWE3OC00ZjlhLTg2ZjEtM2MxZjM5ODI4NmM2IiwicHJvcGVydGllcyI6eyJub3RlSW5kZXgiOjB9LCJpc0VkaXRlZCI6ZmFsc2UsIm1hbnVhbE92ZXJyaWRlIjp7ImlzTWFudWFsbHlPdmVycmlkZGVuIjp0cnVlLCJjaXRlcHJvY1RleHQiOiIoRGFyIGV0IGFsLiwgMjAxNCkiLCJtYW51YWxPdmVycmlkZVRleHQiOiJEYXIgZXQgYWwuLCAyMDE0KSJ9LCJjaXRhdGlvbkl0ZW1zIjpbeyJpZCI6Ijg0YzEyYTI3LTNkZTgtMzQ5ZS1hMTA0LTQzMWM5MWYwYTAzNyIsIml0ZW1EYXRhIjp7InR5cGUiOiJhcnRpY2xlLWpvdXJuYWwiLCJpZCI6Ijg0YzEyYTI3LTNkZTgtMzQ5ZS1hMTA0LTQzMWM5MWYwYTAzNyIsInRpdGxlIjoiU29jaW8tRWNvbm9taWMgQ29uZGl0aW9ucyBvZiBGZW1hbGUgRG9tZXN0aWMgV29ya2VycyBpbiBQdW5qYWI6IEEgQ2FzZSBTdHVkeSBvZiBTYW5ncnVyIERpc3RyaWN0IiwiYXV0aG9yIjpbeyJmYW1pbHkiOiJEYXIiLCJnaXZlbiI6IkphdmFpZCBBaG1hZCIsInBhcnNlLW5hbWVzIjpmYWxzZSwiZHJvcHBpbmctcGFydGljbGUiOiIiLCJub24tZHJvcHBpbmctcGFydGljbGUiOiIifSx7ImZhbWlseSI6IkFobWFkIiwiZ2l2ZW4iOiJKYXZhaWQiLCJwYXJzZS1uYW1lcyI6ZmFsc2UsImRyb3BwaW5nLXBhcnRpY2xlIjoiIiwibm9uLWRyb3BwaW5nLXBhcnRpY2xlIjoiIn0seyJmYW1pbHkiOiJTdHVkZW50IiwiZ2l2ZW4iOiJEYXIiLCJwYXJzZS1uYW1lcyI6ZmFsc2UsImRyb3BwaW5nLXBhcnRpY2xlIjoiIiwibm9uLWRyb3BwaW5nLXBhcnRpY2xlIjoiIn1dLCJjb250YWluZXItdGl0bGUiOiJSZXNlYXJjaCBKLiBIdW1hbml0aWVzIGFuZCBTb2NpYWwgU2NpZW5jZXMiLCJJU1NOIjoiMjMyMS01ODI4IiwiaXNzdWVkIjp7ImRhdGUtcGFydHMiOltbMjAxNF1dfSwicGFnZSI6IjEyMC0xMjgiLCJhYnN0cmFjdCI6IlRoZSBzdHVkeSBvZiBzb2Npb2Vjb25vbWljIGNvbmRpdGlvbiBvZiBkb21lc3RpYyB3b21lbiB3b3JrZXJzIGlzIGltcG9ydGFudCB0byBmb3JtdWxhdGUgcG9saWNpZXMgcmVnYXJkaW5nIGh1bWFuIHJlc291cmNlIGRldmVsb3BtZW50IGFuZCB3b21lbiBlbXBvd2VybWVudC4gUHVuamFiIGlzIG9uZSBvZiB0aGUgcmljaGVzdCBzdGF0ZXMgb2YgSW5kaWEgYXMgcGVyIHRoZSBncm9zcyBzdGF0ZSBkb21lc3RpYyBwcm9kdWN0IHBlciBjYXBpdGEsIGFuZCBpcyByaWNoIGluIGN1bHR1cmUgYW5kIHRyYWRpdGlvbi4gSW5mb3JtYWwgc2VjdG9yIGNvbnN0aXR1dGVzIGEgcGl2b3RhbCBwYXJ0IGluIFB1bmphYiBlY29ub215LiBDdXJyZW50IHN0dWR5IGFpbXMgYXQgdW5kZXJzdGFuZGluZyB0aGUgc29jaW9lY29ub21pYyBjb25kaXRpb24gb2YgZG9tZXN0aWMgd29tZW4gd29ya2VycyBpbiBQdW5qYWIuIFRvIGZ1bGZpbCB0aGUgb2JqZWN0aXZlIGEgc2FtcGxlIG9mIDE2MCBkb21lc3RpYyB3b21lbiB3b3JrZXJzIGNvbGxlY3RlZCBmcm9tIGRpZmZlcmVudCBhcmVhcyBvZiBTYW5ncnVyIGRpc3RyaWN0IGhhcyBiZWVuIHN0dWRpZWQuIFRoZSByZXN1bHRzIGhhdmUgc2hvd24gdGhhdCB0aGUgY29uZGl0aW9uIG9mIGRvbWVzdGljIHdvbWVuIHdvcmtlcnMgaXMgdnVsbmVyYWJsZSBpbiBQdW5qYWIuIFRoZSB3YWdlIHJhdGUgdGhleSBnZXQgaXMgdmVyeSBsb3cgY29tcGFyZWQgdG8gdGhlaXIgbWFyZ2luYWwgcHJvZHVjdGl2aXR5LiBUaGUgcmVhc29ucyBmb3IgdGhlaXIgdnVsbmVyYWJsZSBjb25kaXRpb24gYXJlIGNhc3RlIGRpZmZlcmVuY2UsIHVuZXF1YWwgZ2VuZGVyIHJlbGF0aW9ucywgcG9vciBlY29ub21pYyBiYWNrZ3JvdW5kLCBpcnJlZ3VsYXIgd29yaywgdmVyeSBsaXR0bGUgb3Igbm8gYmFyZ2FpbmluZyBwb3dlciwgbGFjayBvZiBjcmVkaXQgZmFjaWxpdGllcywgZHJ1ZyBhZGRpY3Rpb24gb2YgdGhlaXIgbWFsZSBwYXJ0bmVycywgZGVhdGggb2YgaHVzYmFuZCBhbmQgbGFjayBvZiBhc3NldHMuIEdpdmVuIHRoZSB2dWxuZXJhYmxlIHN0YXR1cyBvZiBkb21lc3RpYyB3b21lbiB3b3JrZXJzIG9mIFB1bmphYiBhdCBob21lIG9yIGF0IHdvcmssIGFuIGluY3JlYXNlIGluIHRoZWlyIHdhZ2UgcmF0ZSBpcyBpbmV2aXRhYmxlLiBCdXQgaW5jcmVhc2VkIHdhZ2UgcmF0ZSBhbG9uZSB3aWxsIG5vdCBiZSBlbm91Z2guIFRoZWlyIGVjb25vbWljIGVtcG93ZXJtZW50IG5lZWRzIHRvIGdvIGFsb25nIHdpdGggcG9saXRpY2FsIGVtcG93ZXJtZW50LCB3aGljaCBjb3VsZCBpbXByb3ZlIHRoZWlyIGJhcmdhaW5pbmcgcG93ZXIgYm90aCBhdCB3b3JrIGFuZCBpbiBob21lLiIsImlzc3VlIjoiMSIsInZvbHVtZSI6IjUiLCJjb250YWluZXItdGl0bGUtc2hvcnQiOiIifSwiaXNUZW1wb3JhcnkiOmZhbHNlfV19"/>
          <w:id w:val="1843275312"/>
          <w:placeholder>
            <w:docPart w:val="E8D8ACC4C270439B9C8DDEA095BF4188"/>
          </w:placeholder>
        </w:sdtPr>
        <w:sdtEndPr/>
        <w:sdtContent>
          <w:r w:rsidR="006D031C" w:rsidRPr="0010152F">
            <w:rPr>
              <w:rFonts w:ascii="Arial Black" w:hAnsi="Arial Black"/>
              <w:b/>
              <w:color w:val="000000"/>
              <w:sz w:val="22"/>
              <w:szCs w:val="22"/>
            </w:rPr>
            <w:t>Dar</w:t>
          </w:r>
          <w:r w:rsidRPr="0010152F">
            <w:rPr>
              <w:rFonts w:ascii="Arial Black" w:hAnsi="Arial Black"/>
              <w:b/>
              <w:color w:val="000000"/>
              <w:sz w:val="22"/>
              <w:szCs w:val="22"/>
            </w:rPr>
            <w:t xml:space="preserve"> et al., 2014)</w:t>
          </w:r>
        </w:sdtContent>
      </w:sdt>
      <w:r w:rsidRPr="0010152F">
        <w:rPr>
          <w:rFonts w:ascii="Arial Black" w:hAnsi="Arial Black"/>
          <w:sz w:val="22"/>
          <w:szCs w:val="22"/>
        </w:rPr>
        <w:t xml:space="preserve">. The number of women working as domestic helpers is rising daily due to a lack of education, unemployment, or other vocational skills shortages.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YTBkYzBmOTUtODdiMi00Mjc5LThkYjMtZDgxYzc0NWM4MzQ4IiwicHJvcGVydGllcyI6eyJub3RlSW5kZXgiOjB9LCJpc0VkaXRlZCI6ZmFsc2UsIm1hbnVhbE92ZXJyaWRlIjp7ImlzTWFudWFsbHlPdmVycmlkZGVuIjp0cnVlLCJjaXRlcHJvY1RleHQiOiIoQXVndXN0aW5lICYjMzg7IFNpbmdoLCAyMDE2KSIsIm1hbnVhbE92ZXJyaWRlVGV4dCI6IkF1Z3VzdGluZSAmIFNpbmdoLCAyMDE2KSJ9LCJjaXRhdGlvbkl0ZW1zIjpbeyJpZCI6IjFlZjA5Y2FkLWY1OWQtMzY5Yi1iZjg1LTA3ZDdlOGExM2MwZCIsIml0ZW1EYXRhIjp7InR5cGUiOiJhcnRpY2xlLWpvdXJuYWwiLCJpZCI6IjFlZjA5Y2FkLWY1OWQtMzY5Yi1iZjg1LTA3ZDdlOGExM2MwZCIsInRpdGxlIjoiQ29uZGl0aW9uICYgUHJvYmxlbXMgb2YgRmVtYWxlIERvbWVzdGljIFdvcmtlcnMgKFdpdGggU3BlY2lhbCBSZWZlcmVuY2UgdG8gTC5ELkEuIENvbG9ueSBpbiBMdWNrbm93IENpdHksIEluZGlhKSIsImF1dGhvciI6W3siZmFtaWx5IjoiQXVndXN0aW5lIiwiZ2l2ZW4iOiJSdWZpbmEiLCJwYXJzZS1uYW1lcyI6ZmFsc2UsImRyb3BwaW5nLXBhcnRpY2xlIjoiIiwibm9uLWRyb3BwaW5nLXBhcnRpY2xlIjoiIn0seyJmYW1pbHkiOiJTaW5naCIsImdpdmVuIjoiRHIuIFJ1cGVzaCBLdW1hciIsInBhcnNlLW5hbWVzIjpmYWxzZSwiZHJvcHBpbmctcGFydGljbGUiOiIiLCJub24tZHJvcHBpbmctcGFydGljbGUiOiIifV0sImNvbnRhaW5lci10aXRsZSI6IkpvdXJuYWwgb2YgU29jaW9sb2d5IGFuZCBTb2NpYWwgV29yayIsIkRPSSI6IjEwLjE1NjQwL2pzc3cudjRuMmExMSIsIklTU04iOiIyMzMzNTgwNyIsImlzc3VlZCI6eyJkYXRlLXBhcnRzIjpbWzIwMTZdXX0sImFic3RyYWN0IjoiRmVtYWxlIGRvbWVzdGljIHdvcmtlcnMgYXJlIHRoZSBwYXJ0IG9mIHVub3JnYW5pemVkIHdvcmtmb3JjZSBvZiBJbmRpYS4gVGhpcyB0cmVuZCBvZiBrZWVwaW5nIGZlbWFsZXMgYXMgYSBkb21lc3RpYyB3b3JrZXIgaGFzIGluY3JlYXNlZCBkYXkgYnkgZGF5IHRoaXMgY291bGQgYmUgYmVjYXVzZSBvZiBsYWNrIG9mIGVkdWNhdGlvbiwgVW5lbXBsb3ltZW50IGFuZCBsYWNrIG9mIG90aGVyIFZvY2F0aW9uYWwgc2tpbGxzLiIsInB1Ymxpc2hlciI6IkFtZXJpY2FuIFJlc2VhcmNoIEluc3RpdHV0ZSBmb3IgUG9saWN5IERldmVsb3BtZW50IiwiaXNzdWUiOiIyIiwidm9sdW1lIjoiNCIsImNvbnRhaW5lci10aXRsZS1zaG9ydCI6IiJ9LCJpc1RlbXBvcmFyeSI6ZmFsc2V9XX0="/>
          <w:id w:val="-197238742"/>
          <w:placeholder>
            <w:docPart w:val="E8D8ACC4C270439B9C8DDEA095BF4188"/>
          </w:placeholder>
        </w:sdtPr>
        <w:sdtEndPr/>
        <w:sdtContent>
          <w:r w:rsidR="006D031C" w:rsidRPr="0010152F">
            <w:rPr>
              <w:rFonts w:ascii="Arial Black" w:hAnsi="Arial Black"/>
              <w:b/>
              <w:color w:val="000000"/>
              <w:sz w:val="22"/>
              <w:szCs w:val="22"/>
            </w:rPr>
            <w:t>Augustine</w:t>
          </w:r>
          <w:r w:rsidRPr="0010152F">
            <w:rPr>
              <w:rFonts w:ascii="Arial Black" w:hAnsi="Arial Black"/>
              <w:b/>
              <w:color w:val="000000"/>
              <w:sz w:val="22"/>
              <w:szCs w:val="22"/>
            </w:rPr>
            <w:t xml:space="preserve"> &amp; </w:t>
          </w:r>
          <w:r w:rsidR="006D031C" w:rsidRPr="0010152F">
            <w:rPr>
              <w:rFonts w:ascii="Arial Black" w:hAnsi="Arial Black"/>
              <w:b/>
              <w:color w:val="000000"/>
              <w:sz w:val="22"/>
              <w:szCs w:val="22"/>
            </w:rPr>
            <w:t>Singh</w:t>
          </w:r>
          <w:r w:rsidRPr="0010152F">
            <w:rPr>
              <w:rFonts w:ascii="Arial Black" w:hAnsi="Arial Black"/>
              <w:b/>
              <w:color w:val="000000"/>
              <w:sz w:val="22"/>
              <w:szCs w:val="22"/>
            </w:rPr>
            <w:t>, 2016)</w:t>
          </w:r>
        </w:sdtContent>
      </w:sdt>
      <w:r w:rsidRPr="0010152F">
        <w:rPr>
          <w:rFonts w:ascii="Arial Black" w:hAnsi="Arial Black"/>
          <w:sz w:val="22"/>
          <w:szCs w:val="22"/>
        </w:rPr>
        <w:t xml:space="preserve">. Due to the lack of formal training, the </w:t>
      </w:r>
      <w:r w:rsidRPr="0010152F">
        <w:rPr>
          <w:rFonts w:ascii="Arial Black" w:hAnsi="Arial Black"/>
          <w:sz w:val="22"/>
          <w:szCs w:val="22"/>
        </w:rPr>
        <w:lastRenderedPageBreak/>
        <w:t>domestic women workers acquire skills informally through exposure to their work environments. Many are compelled to migrate in search of employment, often facing severe challenges such as a lack of shelter, insecurity, and social isolation due to their dispersed presence and the absence of supportive community networks. For the vast majority, issues like decent working conditions, occupational health and safety, and a secure work environment remain distant and largely unaddressed aspirations</w:t>
      </w:r>
      <w:r w:rsidRPr="0010152F">
        <w:rPr>
          <w:rFonts w:ascii="Arial Black" w:hAnsi="Arial Black"/>
          <w:b/>
          <w:sz w:val="22"/>
          <w:szCs w:val="22"/>
        </w:rPr>
        <w:t xml:space="preserve"> (</w:t>
      </w:r>
      <w:r w:rsidR="006D031C" w:rsidRPr="0010152F">
        <w:rPr>
          <w:rFonts w:ascii="Arial Black" w:hAnsi="Arial Black"/>
          <w:b/>
          <w:sz w:val="22"/>
          <w:szCs w:val="22"/>
        </w:rPr>
        <w:t>Parameswara</w:t>
      </w:r>
      <w:r w:rsidRPr="0010152F">
        <w:rPr>
          <w:rFonts w:ascii="Arial Black" w:hAnsi="Arial Black"/>
          <w:b/>
          <w:sz w:val="22"/>
          <w:szCs w:val="22"/>
        </w:rPr>
        <w:t xml:space="preserve"> n,2016). </w:t>
      </w:r>
      <w:r w:rsidRPr="0010152F">
        <w:rPr>
          <w:rFonts w:ascii="Arial Black" w:hAnsi="Arial Black"/>
          <w:sz w:val="22"/>
          <w:szCs w:val="22"/>
        </w:rPr>
        <w:t xml:space="preserve">Poverty and unemployment have driven women, particularly those from lower socio-economic backgrounds, into the informal sector. With limited alternatives and low levels of education or complete illiteracy, many are compelled to work as domestic </w:t>
      </w:r>
      <w:proofErr w:type="spellStart"/>
      <w:r w:rsidR="006D031C" w:rsidRPr="0010152F">
        <w:rPr>
          <w:rFonts w:ascii="Arial Black" w:hAnsi="Arial Black"/>
          <w:sz w:val="22"/>
          <w:szCs w:val="22"/>
        </w:rPr>
        <w:t>L</w:t>
      </w:r>
      <w:r w:rsidRPr="0010152F">
        <w:rPr>
          <w:rFonts w:ascii="Arial Black" w:hAnsi="Arial Black"/>
          <w:sz w:val="22"/>
          <w:szCs w:val="22"/>
        </w:rPr>
        <w:t>abourers</w:t>
      </w:r>
      <w:proofErr w:type="spellEnd"/>
      <w:r w:rsidRPr="0010152F">
        <w:rPr>
          <w:rFonts w:ascii="Arial Black" w:hAnsi="Arial Black"/>
          <w:sz w:val="22"/>
          <w:szCs w:val="22"/>
        </w:rPr>
        <w:t xml:space="preserve">. </w:t>
      </w:r>
      <w:r w:rsidR="005C1134" w:rsidRPr="0010152F">
        <w:rPr>
          <w:rFonts w:ascii="Arial Black" w:hAnsi="Arial Black"/>
          <w:b/>
          <w:sz w:val="22"/>
          <w:szCs w:val="22"/>
        </w:rPr>
        <w:t>(</w:t>
      </w:r>
      <w:proofErr w:type="spellStart"/>
      <w:r w:rsidR="006D031C" w:rsidRPr="0010152F">
        <w:rPr>
          <w:rFonts w:ascii="Arial Black" w:hAnsi="Arial Black"/>
          <w:b/>
          <w:color w:val="222222"/>
          <w:sz w:val="22"/>
          <w:szCs w:val="22"/>
          <w:shd w:val="clear" w:color="auto" w:fill="FFFFFF"/>
        </w:rPr>
        <w:t>Vadageri</w:t>
      </w:r>
      <w:proofErr w:type="spellEnd"/>
      <w:r w:rsidRPr="0010152F">
        <w:rPr>
          <w:rFonts w:ascii="Arial Black" w:hAnsi="Arial Black"/>
          <w:b/>
          <w:color w:val="222222"/>
          <w:sz w:val="22"/>
          <w:szCs w:val="22"/>
          <w:shd w:val="clear" w:color="auto" w:fill="FFFFFF"/>
        </w:rPr>
        <w:t xml:space="preserve">, </w:t>
      </w:r>
      <w:r w:rsidR="006D031C" w:rsidRPr="0010152F">
        <w:rPr>
          <w:rFonts w:ascii="Arial Black" w:hAnsi="Arial Black"/>
          <w:b/>
          <w:color w:val="222222"/>
          <w:sz w:val="22"/>
          <w:szCs w:val="22"/>
          <w:shd w:val="clear" w:color="auto" w:fill="FFFFFF"/>
        </w:rPr>
        <w:t>B.S.</w:t>
      </w:r>
      <w:r w:rsidRPr="0010152F">
        <w:rPr>
          <w:rFonts w:ascii="Arial Black" w:hAnsi="Arial Black"/>
          <w:b/>
          <w:color w:val="222222"/>
          <w:sz w:val="22"/>
          <w:szCs w:val="22"/>
          <w:shd w:val="clear" w:color="auto" w:fill="FFFFFF"/>
        </w:rPr>
        <w:t xml:space="preserve">, &amp; </w:t>
      </w:r>
      <w:proofErr w:type="spellStart"/>
      <w:r w:rsidR="006D031C" w:rsidRPr="0010152F">
        <w:rPr>
          <w:rFonts w:ascii="Arial Black" w:hAnsi="Arial Black"/>
          <w:b/>
          <w:color w:val="222222"/>
          <w:sz w:val="22"/>
          <w:szCs w:val="22"/>
          <w:shd w:val="clear" w:color="auto" w:fill="FFFFFF"/>
        </w:rPr>
        <w:t>Soundari</w:t>
      </w:r>
      <w:proofErr w:type="spellEnd"/>
      <w:r w:rsidRPr="0010152F">
        <w:rPr>
          <w:rFonts w:ascii="Arial Black" w:hAnsi="Arial Black"/>
          <w:b/>
          <w:color w:val="222222"/>
          <w:sz w:val="22"/>
          <w:szCs w:val="22"/>
          <w:shd w:val="clear" w:color="auto" w:fill="FFFFFF"/>
        </w:rPr>
        <w:t xml:space="preserve">, </w:t>
      </w:r>
      <w:r w:rsidR="006D031C" w:rsidRPr="0010152F">
        <w:rPr>
          <w:rFonts w:ascii="Arial Black" w:hAnsi="Arial Black"/>
          <w:b/>
          <w:color w:val="222222"/>
          <w:sz w:val="22"/>
          <w:szCs w:val="22"/>
          <w:shd w:val="clear" w:color="auto" w:fill="FFFFFF"/>
        </w:rPr>
        <w:t>M.H.</w:t>
      </w:r>
      <w:r w:rsidRPr="0010152F">
        <w:rPr>
          <w:rFonts w:ascii="Arial Black" w:hAnsi="Arial Black"/>
          <w:b/>
          <w:color w:val="222222"/>
          <w:sz w:val="22"/>
          <w:szCs w:val="22"/>
          <w:shd w:val="clear" w:color="auto" w:fill="FFFFFF"/>
        </w:rPr>
        <w:t>, 2016).</w:t>
      </w:r>
      <w:r w:rsidR="005C1134" w:rsidRPr="0010152F">
        <w:rPr>
          <w:rFonts w:ascii="Arial Black" w:hAnsi="Arial Black"/>
          <w:color w:val="222222"/>
          <w:sz w:val="22"/>
          <w:szCs w:val="22"/>
          <w:shd w:val="clear" w:color="auto" w:fill="FFFFFF"/>
        </w:rPr>
        <w:t xml:space="preserve"> </w:t>
      </w:r>
      <w:r w:rsidRPr="0010152F">
        <w:rPr>
          <w:rFonts w:ascii="Arial Black" w:hAnsi="Arial Black"/>
          <w:sz w:val="22"/>
          <w:szCs w:val="22"/>
        </w:rPr>
        <w:t xml:space="preserve">The main issues domestic workers confront include poor working conditions, labor exploitation, and violations of their human rights. </w:t>
      </w:r>
      <w:r w:rsidR="005C1134" w:rsidRPr="0010152F">
        <w:rPr>
          <w:rFonts w:ascii="Arial Black" w:hAnsi="Arial Black"/>
          <w:b/>
          <w:sz w:val="22"/>
          <w:szCs w:val="22"/>
        </w:rPr>
        <w:t>(</w:t>
      </w:r>
      <w:proofErr w:type="spellStart"/>
      <w:sdt>
        <w:sdtPr>
          <w:rPr>
            <w:rFonts w:ascii="Arial Black" w:hAnsi="Arial Black"/>
            <w:b/>
            <w:color w:val="000000"/>
            <w:sz w:val="22"/>
            <w:szCs w:val="22"/>
          </w:rPr>
          <w:tag w:val="MENDELEY_CITATION_v3_eyJjaXRhdGlvbklEIjoiTUVOREVMRVlfQ0lUQVRJT05fODgzYzIyZTktYzExNS00NDY2LWI2MDMtZTNlOTBlZGFmNzBiIiwicHJvcGVydGllcyI6eyJub3RlSW5kZXgiOjB9LCJpc0VkaXRlZCI6ZmFsc2UsIm1hbnVhbE92ZXJyaWRlIjp7ImlzTWFudWFsbHlPdmVycmlkZGVuIjp0cnVlLCJjaXRlcHJvY1RleHQiOiIoU2FsdWphICYjMzg7IFJhbmkgR1NTREdTLCAyMDE4KSIsIm1hbnVhbE92ZXJyaWRlVGV4dCI6IlNhbHVqYSAmIFJhbmkgR1NTREdTLCAyMDE4KSJ9LCJjaXRhdGlvbkl0ZW1zIjpbeyJpZCI6IjZiMmRiYTUzLTIzNGItMzA0Yy04ZDExLTIwZDhkYmJiZjA1NyIsIml0ZW1EYXRhIjp7InR5cGUiOiJhcnRpY2xlLWpvdXJuYWwiLCJpZCI6IjZiMmRiYTUzLTIzNGItMzA0Yy04ZDExLTIwZDhkYmJiZjA1NyIsInRpdGxlIjoiQU4gRU1QSVJJQ0FMIFNUVURZIE9GIFdPUktJTkcgQ09ORElUSU9OUyBBTkQgV09SSyBMSUZFIEJBTEFOQ0UgT0YgRE9NRVNUSUMgSEVMUCBXT1JLRVJTIElOIFBVTkpBQiwgSU5ESUEiLCJhdXRob3IiOlt7ImZhbWlseSI6IlNhbHVqYSIsImdpdmVuIjoiUmFqbmkiLCJwYXJzZS1uYW1lcyI6ZmFsc2UsImRyb3BwaW5nLXBhcnRpY2xlIjoiIiwibm9uLWRyb3BwaW5nLXBhcnRpY2xlIjoiIn0seyJmYW1pbHkiOiJSYW5pIEdTU0RHUyIsImdpdmVuIjoiRWt0YSIsInBhcnNlLW5hbWVzIjpmYWxzZSwiZHJvcHBpbmctcGFydGljbGUiOiIiLCJub24tZHJvcHBpbmctcGFydGljbGUiOiIifV0sIklTU04iOiIyMzQ5LTU2NzciLCJVUkwiOiJodHRwczovL3d3dy5yZXNlYXJjaGdhdGUubmV0L3B1YmxpY2F0aW9uLzMyNjI2MTE1MiIsImlzc3VlZCI6eyJkYXRlLXBhcnRzIjpbWzIwMThdXX0sImFic3RyYWN0IjoiRG9tZXN0aWMgaGVscCB3b3JrZXJzIGVuY29tcGFzcyBhIG5vdGV3b3J0aHkgcGFydCBvZiB0aGUgaW50ZXJuYXRpb25hbCB3b3JrZm9yY2UgaW4gaW5mb3JtYWwgZW1wbG95bWVudCBhbmQgYXJlIGFtb25nIHRoZSBtb3N0IGV4cGxvaXRlZCBncm91cHMgb2Ygd29ya2Vycy4gT2Z0ZW4gZXhjbHVkZWQgZnJvbSB0aGUgc2NvcGUgb2YgbGFib3VyIGxlZ2lzbGF0aW9uLCBkb21lc3RpYyB3b3JrZXJzIHdvcmsgZm9yIHByaXZhdGUgaG9tZXMsIHVzdWFsbHkgd2l0aG91dCBldmlkZW50IHRlcm1zIG9mIGVtcGxveW1lbnQsIGFuZCByZW1haW4gdW5hY2NvdW50ZWQuIFRoZSBtYWpvciBwcm9ibGVtcyBiZWluZyBmYWNlZCBieSB0aGUgZG9tZXN0aWMgd29ya2VycyBhcmUgZGVwbG9yYWJsZSB3b3JraW5nIGNvbmRpdGlvbnMsIGxhYm9yIGV4cGxvaXRhdGlvbiwgYW5kIGFidXNlcyBvZiBodW1hbiByaWdodHMuIERvbWVzdGljIHdvcmtlcnMgaW50ZXJtaXR0ZW50bHkgY29uZnJvbnRzIHZlcnkgbG93IHdhZ2VzLCB1bnJlYXNvbmFibHkgbG9uZyBob3VycywgaGF2ZSBubyBndWFyYW50ZWVkIHdlZWtseSBkYXkgb2YgcmVzdCBhbmQgYXQgdGltZXMgYXJlIGFjY2Vzc2libGUgdG8gcGh5c2ljYWwsIG1lbnRhbCBhbmQgc2V4dWFsIGFidXNlIG9yIHJlc3RyaWN0aW9ucyBvbiBmcmVlZG9tIG9mIG1vdmVtZW50LiBUaGUgcHJvcG9zZWQgc3R1ZHkgYWltcyB0byBmaW5kIG91dCB0aGUgdmFyaW91cyBhYnVzZXMgcmVsYXRlZCB0byB3b3JraW5nIGNvbmRpdGlvbnMgYW5kIHdvcmsgbGlmZSBiYWxhbmNlIG9mIHRoZSBkb21lc3RpYyB3b3JrZXJzIGluIFB1bmphYi4iLCJjb250YWluZXItdGl0bGUtc2hvcnQiOiIifSwiaXNUZW1wb3JhcnkiOmZhbHNlfV19"/>
          <w:id w:val="-1545676047"/>
          <w:placeholder>
            <w:docPart w:val="E8D8ACC4C270439B9C8DDEA095BF4188"/>
          </w:placeholder>
        </w:sdtPr>
        <w:sdtEndPr/>
        <w:sdtContent>
          <w:r w:rsidRPr="0010152F">
            <w:rPr>
              <w:rFonts w:ascii="Arial Black" w:hAnsi="Arial Black"/>
              <w:b/>
              <w:color w:val="000000"/>
              <w:sz w:val="22"/>
              <w:szCs w:val="22"/>
            </w:rPr>
            <w:t>saluja</w:t>
          </w:r>
          <w:proofErr w:type="spellEnd"/>
          <w:r w:rsidRPr="0010152F">
            <w:rPr>
              <w:rFonts w:ascii="Arial Black" w:hAnsi="Arial Black"/>
              <w:b/>
              <w:color w:val="000000"/>
              <w:sz w:val="22"/>
              <w:szCs w:val="22"/>
            </w:rPr>
            <w:t xml:space="preserve"> &amp; rani, 2018)</w:t>
          </w:r>
        </w:sdtContent>
      </w:sdt>
      <w:r w:rsidRPr="0010152F">
        <w:rPr>
          <w:rFonts w:ascii="Arial Black" w:hAnsi="Arial Black"/>
          <w:sz w:val="22"/>
          <w:szCs w:val="22"/>
        </w:rPr>
        <w:t xml:space="preserve">. There is no regulation in the domestic work industry, and there is severe mistreatment of domestic workers. They deal with a wide range of issues, such as domestic abuse, family members who are alcoholics, financial burdens, and inter-relationship conflicts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NzE4NDgwNTctMmI0ZS00M2IyLTg3MzgtNGJlOTFkZmE3MzMzIiwicHJvcGVydGllcyI6eyJub3RlSW5kZXgiOjB9LCJpc0VkaXRlZCI6ZmFsc2UsIm1hbnVhbE92ZXJyaWRlIjp7ImlzTWFudWFsbHlPdmVycmlkZGVuIjp0cnVlLCJjaXRlcHJvY1RleHQiOiIoU2FobmkgJiMzODsgSnVubmFya2FyLCAyMDE5KSIsIm1hbnVhbE92ZXJyaWRlVGV4dCI6IlNhaG5pICYgSnVubmFya2FyLCAyMDE5KSJ9LCJjaXRhdGlvbkl0ZW1zIjpbeyJpZCI6IjkxOTViNTJlLTM0ZWMtM2Q3OS1hNGQwLTQzNGIzZjYyODMwMCIsIml0ZW1EYXRhIjp7InR5cGUiOiJjaGFwdGVyIiwiaWQiOiI5MTk1YjUyZS0zNGVjLTNkNzktYTRkMC00MzRiM2Y2MjgzMDAiLCJ0aXRsZSI6IuKAmFdlbGwtQmVpbmfigJkgb2YgRG9tZXN0aWMgV29ya2VycyBpbiBJbmRpYSIsImF1dGhvciI6W3siZmFtaWx5IjoiU2FobmkiLCJnaXZlbiI6IlNhbmplZXYgUC4iLCJwYXJzZS1uYW1lcyI6ZmFsc2UsImRyb3BwaW5nLXBhcnRpY2xlIjoiIiwibm9uLWRyb3BwaW5nLXBhcnRpY2xlIjoiIn0seyJmYW1pbHkiOiJKdW5uYXJrYXIiLCJnaXZlbiI6Ik1vaGl0YSIsInBhcnNlLW5hbWVzIjpmYWxzZSwiZHJvcHBpbmctcGFydGljbGUiOiIiLCJub24tZHJvcHBpbmctcGFydGljbGUiOiIifV0sImNvbnRhaW5lci10aXRsZSI6IlJlY29nbml0aW9uIG9mIHRoZSBSaWdodHMgb2YgRG9tZXN0aWMgV29ya2VycyBpbiBJbmRpYTogQ2hhbGxlbmdlcyBhbmQgdGhlIFdheSBGb3J3YXJkIiwiRE9JIjoiMTAuMTAwNy85NzgtOTgxLTEzLTU3NjQtMF85IiwiSVNCTiI6Ijk3ODk4MTEzNTc2NDAiLCJpc3N1ZWQiOnsiZGF0ZS1wYXJ0cyI6W1syMDE5LDEsMV1dfSwicGFnZSI6IjE2My0xNzUiLCJhYnN0cmFjdCI6IldvcmsgdGhhdCBkb21lc3RpYyB3b3JrZXJzIGVuZ2FnZSBpcyBoaWdobHkgZGVtYW5kaW5nIGFuZCB1bmRlcnZhbHVlZC4gVGhvdWdoIGEgbGFyZ2UgbnVtYmVyIG9mIHdvbWVuIGFyZSBlbXBsb3llZCBpbiB0aGlzIHNlY3Rvciwgc3RhdGlzdGljYWwgY2xhcml0eSBsYXJnZWx5IHJlbWFpbnMgdW5hZGRyZXNzZWQuIFRoZSBzZWN0b3IgaXMgcGxhZ3VlZCB3aXRoIHVucmVndWxhdGVkIGxvdyB3YWdlcyBhbmQgbGFjayBvZiBwb2xpY2llcy4gVGh1cyBpdCBiZWNvbWVzIGVzc2VudGlhbCB0byB1bmRlcnN0YW5kIHRoZSB3ZWxsLWJlaW5nIGFuZCBtZW50YWwgaGVhbHRoIG9mIGRvbWVzdGljIHdvcmtlcnMuIFRocm91Z2ggZGlmZmVyZW50IGVtcGlyaWNhbCBzdHVkaWVzLCBpdCBoYXMgYmVlbiBvYnNlcnZlZCB0aGF0IHRoZXNlIHdvbWVuIHN1ZmZlciBmcm9tIGRlcHJlc3Npb24sIGFueGlldHksIHN1aWNpZGUgaWRlYXRpb24gYW5kIHN1aWNpZGFsIGF0dGVtcHRzLiBUaGV5IGZhY2UgYSBwbGV0aG9yYSBvZiBpbnRlcndvdmVuIGNvbXBsZXggd2ViIG9mIHByb2JsZW1zIHRoYXQgcmFuZ2UgZnJvbSBpbnRpbWF0ZSBwYXJ0bmVyIHZpb2xlbmNlLCBhbGNvaG9saWMgbWFsZSBmYW1pbHkgbWVtYmVycywgbGFjayBvZiBjaGlsZCBjYXJlIGZhY2lsaXRpZXMsIGZpbmFuY2lhbCBidXJkZW4sIGFuZCBpbnRlcnJlbGF0aW9uc2hpcCBjb25mbGljdHMgZXRjLiBUaGUgd29yayBkZW1hbmRzIHRoZW0gdG8gdGFrZSBvcmRlcnMgZnJvbSBpbmRpdmlkdWFscyB3aG8gYXJlIHlvdW5nZXIgdGhhbiB0aGVtIGFuZCBvZnRlbiBiZWFyIHRoZSBjb25zaWRlcmFibGUgYW1vdW50IG9mIGh1bWlsaWF0aW9uIHRvby4gVGhpcyBtYWtlcyBpdCBpbXBlcmF0aXZlIHRvIHN0dWR5IHRoZSB3ZWxsLWJlaW5nIG9mIGRvbWVzdGljIHdvcmtlcnMuIFRoaXMgY2hhcHRlciBvdXRsaW5lcyB0aGUgY29uY2VwdCBvZiB3ZWxsLWJlaW5nIGZvbGxvd2VkIGJ5IHRoZSBkaWZmZXJlbnQgbW9kZWxzIG9mIHdlbGwtYmVpbmcgc3VjaCBhcyBNZW50YWwgSGVhbHRoIENvbnRpbnV1bSwgUEVSTUEsIFBzeWNob2xvZ2ljYWwgQ2FwaXRhbCAoUHN5Q2FwKSBhbmQgUXVhbGl0eSBvZiBsaWZlLiBUaGUgY2hhcHRlciB0aGVuIGxlYWRzIHRvIHRoZSBpc3N1ZXMgYW5kIGNoYWxsZW5nZXMgZmFjZWQgYnkgZG9tZXN0aWMgd29ya2VycyBzdWNoIGFzIHVucmVndWxhdGVkIGFuZCB1bmRlcnBheW1lbnQgb2Ygd2FnZXMsIGNhc3RlIGFuZCByZWxpZ2lvbiwgbm9uLXJlY29nbml0aW9uIG9mIHNraWxscywgd29ya2luZyBjb25kaXRpb25zIGV0Yy4gRmluYWxseSwgdGhlIGNoYXB0ZXIgY3VsbWluYXRlcyBzdWdnZXN0aW5nIGZldyB3ZWxsLWJlaW5nIGluaXRpYXRpdmVzLiBJbiBmdXR1cmUsIG1lbnRhbCBoZWFsdGggcHJvZ3JhbXMgYWRkcmVzc2luZyB0aGUgbWVudGFsIGhlYWx0aCBhbmQgd2VsbC1iZWluZyBpc3N1ZXMgbmVlZCB0byBiZSBkZXNpZ25lZC4gVGhlIHNlY3RvciBuZWVkcyB0byBiZSBwdXJzdWVkIGRpbGlnZW50bHkgaW4gdGhlIG1vZGVybiB3ZWxmYXJlIHNvY2lldHkuIiwicHVibGlzaGVyIjoiU3ByaW5nZXIgU2luZ2Fwb3JlIiwiY29udGFpbmVyLXRpdGxlLXNob3J0IjoiIn0sImlzVGVtcG9yYXJ5IjpmYWxzZX1dfQ=="/>
          <w:id w:val="360560922"/>
          <w:placeholder>
            <w:docPart w:val="E8D8ACC4C270439B9C8DDEA095BF4188"/>
          </w:placeholder>
        </w:sdtPr>
        <w:sdtEndPr/>
        <w:sdtContent>
          <w:r w:rsidR="006D031C" w:rsidRPr="0010152F">
            <w:rPr>
              <w:rFonts w:ascii="Arial Black" w:hAnsi="Arial Black"/>
              <w:b/>
              <w:color w:val="000000"/>
              <w:sz w:val="22"/>
              <w:szCs w:val="22"/>
            </w:rPr>
            <w:t>Sahni</w:t>
          </w:r>
          <w:r w:rsidRPr="0010152F">
            <w:rPr>
              <w:rFonts w:ascii="Arial Black" w:hAnsi="Arial Black"/>
              <w:b/>
              <w:color w:val="000000"/>
              <w:sz w:val="22"/>
              <w:szCs w:val="22"/>
            </w:rPr>
            <w:t xml:space="preserve"> &amp; </w:t>
          </w:r>
          <w:r w:rsidR="006D031C" w:rsidRPr="0010152F">
            <w:rPr>
              <w:rFonts w:ascii="Arial Black" w:hAnsi="Arial Black"/>
              <w:b/>
              <w:color w:val="000000"/>
              <w:sz w:val="22"/>
              <w:szCs w:val="22"/>
            </w:rPr>
            <w:t>Junnarkar</w:t>
          </w:r>
          <w:r w:rsidRPr="0010152F">
            <w:rPr>
              <w:rFonts w:ascii="Arial Black" w:hAnsi="Arial Black"/>
              <w:b/>
              <w:color w:val="000000"/>
              <w:sz w:val="22"/>
              <w:szCs w:val="22"/>
            </w:rPr>
            <w:t>, 2019)</w:t>
          </w:r>
        </w:sdtContent>
      </w:sdt>
      <w:r w:rsidR="005C1134" w:rsidRPr="0010152F">
        <w:rPr>
          <w:rFonts w:ascii="Arial Black" w:hAnsi="Arial Black"/>
          <w:b/>
          <w:sz w:val="22"/>
          <w:szCs w:val="22"/>
        </w:rPr>
        <w:t>.</w:t>
      </w:r>
      <w:r w:rsidRPr="0010152F">
        <w:rPr>
          <w:rFonts w:ascii="Arial Black" w:hAnsi="Arial Black"/>
          <w:sz w:val="22"/>
          <w:szCs w:val="22"/>
        </w:rPr>
        <w:t xml:space="preserve"> 69% of female domestic workers say they have experienced physical abuse at home. According to the empowerment index, the majority of domestic workers fall into the low to moderate empowerment category </w:t>
      </w:r>
      <w:sdt>
        <w:sdtPr>
          <w:rPr>
            <w:rFonts w:ascii="Arial Black" w:hAnsi="Arial Black"/>
            <w:b/>
            <w:sz w:val="22"/>
            <w:szCs w:val="22"/>
          </w:rPr>
          <w:tag w:val="MENDELEY_CITATION_v3_eyJjaXRhdGlvbklEIjoiTUVOREVMRVlfQ0lUQVRJT05fYzkxYmNmODktOWY5ZS00MDAwLWExY2EtMzQyOWJiOTUxMjFiIiwicHJvcGVydGllcyI6eyJub3RlSW5kZXgiOjB9LCJpc0VkaXRlZCI6ZmFsc2UsIm1hbnVhbE92ZXJyaWRlIjp7ImlzTWFudWFsbHlPdmVycmlkZGVuIjpmYWxzZSwiY2l0ZXByb2NUZXh0IjoiKEJoYXR0YWNoYXJqZWUgJiMzODsgR29zd2FtaSwgMjAyMCkiLCJtYW51YWxPdmVycmlkZVRleHQiOiIifSwiY2l0YXRpb25JdGVtcyI6W3siaWQiOiJmNGNiMTVhZS0wMWNmLTMwYzItYmQzYS0xOGQ5OWM1MThmYzciLCJpdGVtRGF0YSI6eyJ0eXBlIjoiYXJ0aWNsZS1qb3VybmFsIiwiaWQiOiJmNGNiMTVhZS0wMWNmLTMwYzItYmQzYS0xOGQ5OWM1MThmYzciLCJ0aXRsZSI6IkZlbWFsZSBEb21lc3RpYyBXb3JrZXJzOiBJbmNvbWUgRGV0ZXJtaW5hbnRzIGFuZCBFbXBvd2VybWVudCBDb3JyZWxhdGVz4oCUQSBDYXNlIFN0dWR5IiwiYXV0aG9yIjpbeyJmYW1pbHkiOiJCaGF0dGFjaGFyamVlIiwiZ2l2ZW4iOiJTYW5naGl0YSIsInBhcnNlLW5hbWVzIjpmYWxzZSwiZHJvcHBpbmctcGFydGljbGUiOiIiLCJub24tZHJvcHBpbmctcGFydGljbGUiOiIifSx7ImZhbWlseSI6Ikdvc3dhbWkiLCJnaXZlbiI6IkJoYXNrYXIiLCJwYXJzZS1uYW1lcyI6ZmFsc2UsImRyb3BwaW5nLXBhcnRpY2xlIjoiIiwibm9uLWRyb3BwaW5nLXBhcnRpY2xlIjoiIn1dLCJjb250YWluZXItdGl0bGUiOiJJbmRpYW4gSm91cm5hbCBvZiBMYWJvdXIgRWNvbm9taWNzIiwiRE9JIjoiMTAuMTAwNy9zNDEwMjctMDIwLTAwMjIzLTgiLCJJU1NOIjoiMDAxOTUzMDgiLCJpc3N1ZWQiOnsiZGF0ZS1wYXJ0cyI6W1syMDIwLDYsMV1dfSwicGFnZSI6IjQ4My00OTgiLCJhYnN0cmFjdCI6IlRoaXMgcGFwZXIgZGVwbG95c8KgdGhlIGluZm9ybWF0aW9uIG9mIDMwMCBmZW1hbGUgZG9tZXN0aWMgd29ya2VycyB3aG8gd29yayB0byBtYWtlIHVwIHRoZSBkaWZmZXJlbmNlIGJldHdlZW4gc3Vic2lzdGVuY2UgcmVxdWlyZW1lbnRzIGFuZCB0aGUgdG90YWwgZWFybmluZ3Mgb2YgdGhlIGZhbWlseS4gVGhlIGRldGVybWluYW50cyBvZiBtb250aGx5IGluY29tZSBvZiB0aGUgd29ya2VycyBhcmUgYWdlLCB0eXBlIG9mIHdvcmssIHRvdGFsIGZhbWlseSBtZW1iZXJzLCBwZXItY2FwaXRhIG1vbnRobHkgaG91c2Vob2xkIGluY29tZSwgeWVhciBvZiBzY2hvb2xpbmcgYW5kIG51bWJlciBvZiBob3VzZXMgc2VydmljZWQuIExvdyB3YWdlcywgbG93IGxldmVsIG9mIGVkdWNhdGlvbiwgbGVzcyBjb250cm9sIG92ZXIgYXNzZXRzIGFuZCBpbmNvbWUsIHZlcmJhbCBhbmQgcGh5c2ljYWwgYWJ1c2UgYW5kIHRoZSBhYnNlbmNlIG9mIHNvY2lhbCBzZWN1cml0eSBhcmUgcmVmbGVjdGVkIGluIHRoZWlyIHdlYWsgYmFyZ2FpbmluZyBwb3dlciB3aGljaCByZXN1bHRzIGluIGEgbG93IGxldmVsIG9mIGVtcG93ZXJtZW50LiBXb21lbuKAmXMgZWFybmluZ3MgZG8gbm90IGFsd2F5cyBlbnN1cmUgZW1wb3dlcm1lbnQsIGVzcGVjaWFsbHkgd2hlbiB0aGUgd2FnZXMgYXJlIGxvdy4gTWVhbmluZ2Z1bCBsZWdhbCBzYWZlZ3VhcmRzLCB3ZWxmYXJlIG1lYXN1cmVzIGFuZCBvdGhlciBwcm92aXNpb25zIGZvciBlbXBvd2VybWVudCBtdXN0IGJlIGluZHVjdGVkIGluIG1vZGVybiBzb2NpZXR5IHRvIHJlZHVjZSBpbmp1c3RpY2VzLCBkZXByaXZhdGlvbnMgYW5kIGluZGlnbml0aWVzIHRvd2FyZHMgZmVtYWxlIGRvbWVzdGljIHdvcmtlcnMuIiwicHVibGlzaGVyIjoiU3ByaW5nZXIiLCJpc3N1ZSI6IjIiLCJ2b2x1bWUiOiI2MyIsImNvbnRhaW5lci10aXRsZS1zaG9ydCI6IiJ9LCJpc1RlbXBvcmFyeSI6ZmFsc2V9XX0="/>
          <w:id w:val="-825741919"/>
          <w:placeholder>
            <w:docPart w:val="0A4FE7CE09154CC38302519F45DA3A8D"/>
          </w:placeholder>
        </w:sdtPr>
        <w:sdtEndPr/>
        <w:sdtContent>
          <w:r w:rsidRPr="0010152F">
            <w:rPr>
              <w:rFonts w:ascii="Arial Black" w:hAnsi="Arial Black"/>
              <w:b/>
              <w:sz w:val="22"/>
              <w:szCs w:val="22"/>
            </w:rPr>
            <w:t>(</w:t>
          </w:r>
          <w:r w:rsidR="006D031C" w:rsidRPr="0010152F">
            <w:rPr>
              <w:rFonts w:ascii="Arial Black" w:hAnsi="Arial Black"/>
              <w:b/>
              <w:sz w:val="22"/>
              <w:szCs w:val="22"/>
            </w:rPr>
            <w:t>Bhattacharjee</w:t>
          </w:r>
          <w:r w:rsidRPr="0010152F">
            <w:rPr>
              <w:rFonts w:ascii="Arial Black" w:hAnsi="Arial Black"/>
              <w:b/>
              <w:sz w:val="22"/>
              <w:szCs w:val="22"/>
            </w:rPr>
            <w:t xml:space="preserve"> &amp; </w:t>
          </w:r>
          <w:r w:rsidR="006D031C" w:rsidRPr="0010152F">
            <w:rPr>
              <w:rFonts w:ascii="Arial Black" w:hAnsi="Arial Black"/>
              <w:b/>
              <w:sz w:val="22"/>
              <w:szCs w:val="22"/>
            </w:rPr>
            <w:t>Goswami</w:t>
          </w:r>
          <w:r w:rsidRPr="0010152F">
            <w:rPr>
              <w:rFonts w:ascii="Arial Black" w:hAnsi="Arial Black"/>
              <w:b/>
              <w:sz w:val="22"/>
              <w:szCs w:val="22"/>
            </w:rPr>
            <w:t>, 2020).</w:t>
          </w:r>
        </w:sdtContent>
      </w:sdt>
      <w:r w:rsidRPr="0010152F">
        <w:rPr>
          <w:rFonts w:ascii="Arial Black" w:hAnsi="Arial Black"/>
          <w:sz w:val="22"/>
          <w:szCs w:val="22"/>
        </w:rPr>
        <w:t xml:space="preserve"> </w:t>
      </w:r>
      <w:r w:rsidR="006D031C" w:rsidRPr="0010152F">
        <w:rPr>
          <w:rFonts w:ascii="Arial Black" w:hAnsi="Arial Black"/>
          <w:sz w:val="22"/>
          <w:szCs w:val="22"/>
        </w:rPr>
        <w:t>With</w:t>
      </w:r>
      <w:r w:rsidRPr="0010152F">
        <w:rPr>
          <w:rFonts w:ascii="Arial Black" w:hAnsi="Arial Black"/>
          <w:sz w:val="22"/>
          <w:szCs w:val="22"/>
        </w:rPr>
        <w:t xml:space="preserve"> low pay, income insecurity, high vulnerability to violence, sexual harassment, and negligible social protection, domestic work in </w:t>
      </w:r>
      <w:r w:rsidR="006D031C" w:rsidRPr="0010152F">
        <w:rPr>
          <w:rFonts w:ascii="Arial Black" w:hAnsi="Arial Black"/>
          <w:sz w:val="22"/>
          <w:szCs w:val="22"/>
        </w:rPr>
        <w:t>Bangladesh</w:t>
      </w:r>
      <w:r w:rsidRPr="0010152F">
        <w:rPr>
          <w:rFonts w:ascii="Arial Black" w:hAnsi="Arial Black"/>
          <w:sz w:val="22"/>
          <w:szCs w:val="22"/>
        </w:rPr>
        <w:t xml:space="preserve"> is viewed </w:t>
      </w:r>
      <w:r w:rsidRPr="0010152F">
        <w:rPr>
          <w:rFonts w:ascii="Arial Black" w:hAnsi="Arial Black"/>
          <w:sz w:val="22"/>
          <w:szCs w:val="22"/>
        </w:rPr>
        <w:lastRenderedPageBreak/>
        <w:t xml:space="preserve">as ‘women’s work’, particularly undertaken by poor women with no skills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NjgyYzMyNWMtNTMxOS00ZjA1LTg0M2UtNTkzYTU0ZDhmNGUxIiwicHJvcGVydGllcyI6eyJub3RlSW5kZXgiOjB9LCJpc0VkaXRlZCI6ZmFsc2UsIm1hbnVhbE92ZXJyaWRlIjp7ImlzTWFudWFsbHlPdmVycmlkZGVuIjpmYWxzZSwiY2l0ZXByb2NUZXh0IjoiKEdob3NoLCAyMDIxKSIsIm1hbnVhbE92ZXJyaWRlVGV4dCI6IiJ9LCJjaXRhdGlvbkl0ZW1zIjpbeyJpZCI6IjYyMzYxZjM1LWFiMWQtMzY1Yy04NTA0LTQ3NmQwMTA2MGFhYSIsIml0ZW1EYXRhIjp7InR5cGUiOiJhcnRpY2xlLWpvdXJuYWwiLCJpZCI6IjYyMzYxZjM1LWFiMWQtMzY1Yy04NTA0LTQ3NmQwMTA2MGFhYSIsInRpdGxlIjoiUmVjb2duaXppbmcgaW52aXNpYmxlIHdvcms6IFRoZSB3b21lbiBkb21lc3RpYyB3b3JrZXJzJyBtb3ZlbWVudCBpbiBCYW5nbGFkZXNoIiwiYXV0aG9yIjpbeyJmYW1pbHkiOiJHaG9zaCIsImdpdmVuIjoiQW53ZXNoYWEiLCJwYXJzZS1uYW1lcyI6ZmFsc2UsImRyb3BwaW5nLXBhcnRpY2xlIjoiIiwibm9uLWRyb3BwaW5nLXBhcnRpY2xlIjoiIn1dLCJjb250YWluZXItdGl0bGUiOiJBc2lhbiBKb3VybmFsIG9mIFdvbWVuJ3MgU3R1ZGllcyIsImNvbnRhaW5lci10aXRsZS1zaG9ydCI6IkFzaWFuIEogV29tZW4gU3R1ZCIsIkRPSSI6IjEwLjEwODAvMTIyNTkyNzYuMjAyMS4xOTY1MzY1IiwiSVNTTiI6IjEyMjU5Mjc2IiwiaXNzdWVkIjp7ImRhdGUtcGFydHMiOltbMjAyMV1dfSwicGFnZSI6IjM4NC00MDUiLCJhYnN0cmFjdCI6IkRvbWVzdGljIHdvcmsgaXMgYSBoaWdobHkgZmVtaW5pemVkIHNlY3RvciBvZiB3b3JrIGluIEJhbmdsYWRlc2gsIHdoZXJlIHdvbWVuIGZyb20gcG9vciBuZWlnaGJvcmhvb2RzIG9mIERoYWthIGNpdHkgYXJlIGZvdW5kIGxhYm9yaW5nIGZvciB2ZXJ5IGxvdyB3YWdlcywgd2l0aG91dCBsZWdhbCBvciBzb2NpYWwgcHJvdGVjdGlvbi4gU3VjaCB3b3JrIHJlbWFpbnMgdW5yZWNvZ25pemVkIGFuZCBpbnZpc2libGUsIGFsdGhvdWdoIGl0IGhhcyBiZWVuIGRvbmUgZm9yIGdlbmVyYXRpb25zLiBPdmVyIHRoZSB5ZWFycywgbW9iaWxpemF0aW9uIG9mIGRvbWVzdGljIHdvcmtlcnMgKERXcykgYnkgdGhlIE5hdGlvbmFsIERvbWVzdGljIFdvbWVuIFdvcmtlcnMgVW5pb24gKE5EV1dVKSBoYXMgaGVscGVkIHRvIGRldmVsb3AgdGhlIGxlYWRlcnNoaXAgYW5kIG5lZ290aWF0aW9uIGNhcGFjaXRpZXMgb2YgaXRzIG1lbWJlcnMsIHJlc3VsdGluZyBpbiBzb21lIGltcHJvdmVtZW50IGluIHRoZWlyIHdvcmtpbmcgY29uZGl0aW9ucy4gVGhpcyBhcnRpY2xlIGlzIGJhc2VkIG9uIHRoZSBxdWFsaXRhdGl2ZSBmaW5kaW5ncyBvZiBhIHN0dWR5IG9uIHNvY2lhbCBwcm90ZWN0aW9uIGZvciBEV3MgaW4gdGhyZWUgU291dGggQXNpYW4gY291bnRyaWVzLCBuYW1lbHksIEJhbmdsYWRlc2gsIE5lcGFsIGFuZCBJbmRpYSwgY29uZHVjdGVkIGJ5IHRoZSBXb21lbiBpbiBJbmZvcm1hbCBFbXBsb3ltZW50OiBHbG9iYWxpemluZyBhbmQgT3JnYW5pemluZyAoV0lFR08pIGluIGNvbGxhYm9yYXRpb24gd2l0aCBJbnRlcm5hdGlvbmFsIERvbWVzdGljIFdvcmtlcnMgRmVkZXJhdGlvbiAoSURXRikuIFRoaXMgYXJ0aWNsZSBwcmVzZW50cyB0aGUgY2hhbGxlbmdlcyBhbmQgbWFqb3Igcmlza3Mgc3VjaCB3b3JrZXJzIGZhY2UgaW4gQmFuZ2xhZGVzaC4gSW4gYWRkaXRpb24sIGl0IGFsc28gZXhhbWluZXMgdGhlIHN0cnVnZ2xlIHRoYXQgdGhlIGJpZ2dlc3QgZG9tZXN0aWMgd29ya2VycyB1bmlvbiwgTkRXV1UgYW5kIGl0cyBhbGxpZXMgaGF2ZSB1bmRlcnRha2VuIGluIG9yZGVyIHRvIGVuc3VyZSBkZWNlbnQgd29yayBjb25kaXRpb25zIGFzIHdlbGwgYXMgbGVnYWwgYW5kIHNvY2lhbCBwcm90ZWN0aXZlIG1lYXN1cmVzIGZvciBEV3MgaW4gdGhlIGNvdW50cnkuIEluIGRvaW5nIHNvLCBJIGFpbSB0byBjb250cmlidXRlIHRvIHRoZSBsaW1pdGVkIGxpdGVyYXR1cmUgb24gbW9iaWxpemF0aW9uIG9mIHRoZSB3b3JrZXJzIGFuZCByZWxhdGVkIHBvbGljeSBjb25jZXJucyBpbiBCYW5nbGFkZXNoIGFuZCB0aGUgd2lkZXIgcmVnaW9uLiIsInB1Ymxpc2hlciI6IlRheWxvciBhbmQgRnJhbmNpcyBMdGQuIiwiaXNzdWUiOiIzIiwidm9sdW1lIjoiMjcifSwiaXNUZW1wb3JhcnkiOmZhbHNlfV19"/>
          <w:id w:val="-1369455303"/>
          <w:placeholder>
            <w:docPart w:val="E8D8ACC4C270439B9C8DDEA095BF4188"/>
          </w:placeholder>
        </w:sdtPr>
        <w:sdtEndPr/>
        <w:sdtContent>
          <w:r w:rsidR="006D031C" w:rsidRPr="0010152F">
            <w:rPr>
              <w:rFonts w:ascii="Arial Black" w:hAnsi="Arial Black"/>
              <w:b/>
              <w:color w:val="000000"/>
              <w:sz w:val="22"/>
              <w:szCs w:val="22"/>
            </w:rPr>
            <w:t>Ghosh</w:t>
          </w:r>
          <w:r w:rsidRPr="0010152F">
            <w:rPr>
              <w:rFonts w:ascii="Arial Black" w:hAnsi="Arial Black"/>
              <w:b/>
              <w:color w:val="000000"/>
              <w:sz w:val="22"/>
              <w:szCs w:val="22"/>
            </w:rPr>
            <w:t>, 2021)</w:t>
          </w:r>
        </w:sdtContent>
      </w:sdt>
      <w:r w:rsidR="005C1134" w:rsidRPr="0010152F">
        <w:rPr>
          <w:rFonts w:ascii="Arial Black" w:hAnsi="Arial Black"/>
          <w:b/>
          <w:sz w:val="22"/>
          <w:szCs w:val="22"/>
        </w:rPr>
        <w:t>.</w:t>
      </w:r>
      <w:r w:rsidRPr="0010152F">
        <w:rPr>
          <w:rFonts w:ascii="Arial Black" w:hAnsi="Arial Black"/>
          <w:sz w:val="22"/>
          <w:szCs w:val="22"/>
        </w:rPr>
        <w:t xml:space="preserve"> A significant decrease in pay and an increase in workload were recorded by domestic workers in cities like </w:t>
      </w:r>
      <w:r w:rsidR="006D031C" w:rsidRPr="0010152F">
        <w:rPr>
          <w:rFonts w:ascii="Arial Black" w:hAnsi="Arial Black"/>
          <w:sz w:val="22"/>
          <w:szCs w:val="22"/>
        </w:rPr>
        <w:t>D</w:t>
      </w:r>
      <w:r w:rsidRPr="0010152F">
        <w:rPr>
          <w:rFonts w:ascii="Arial Black" w:hAnsi="Arial Black"/>
          <w:sz w:val="22"/>
          <w:szCs w:val="22"/>
        </w:rPr>
        <w:t xml:space="preserve">elhi, </w:t>
      </w:r>
      <w:r w:rsidR="006D031C" w:rsidRPr="0010152F">
        <w:rPr>
          <w:rFonts w:ascii="Arial Black" w:hAnsi="Arial Black"/>
          <w:sz w:val="22"/>
          <w:szCs w:val="22"/>
        </w:rPr>
        <w:t>Mumbai</w:t>
      </w:r>
      <w:r w:rsidRPr="0010152F">
        <w:rPr>
          <w:rFonts w:ascii="Arial Black" w:hAnsi="Arial Black"/>
          <w:sz w:val="22"/>
          <w:szCs w:val="22"/>
        </w:rPr>
        <w:t xml:space="preserve">, and </w:t>
      </w:r>
      <w:r w:rsidR="006D031C" w:rsidRPr="0010152F">
        <w:rPr>
          <w:rFonts w:ascii="Arial Black" w:hAnsi="Arial Black"/>
          <w:sz w:val="22"/>
          <w:szCs w:val="22"/>
        </w:rPr>
        <w:t>K</w:t>
      </w:r>
      <w:r w:rsidRPr="0010152F">
        <w:rPr>
          <w:rFonts w:ascii="Arial Black" w:hAnsi="Arial Black"/>
          <w:sz w:val="22"/>
          <w:szCs w:val="22"/>
        </w:rPr>
        <w:t xml:space="preserve">ochi between march and </w:t>
      </w:r>
      <w:r w:rsidR="006D031C" w:rsidRPr="0010152F">
        <w:rPr>
          <w:rFonts w:ascii="Arial Black" w:hAnsi="Arial Black"/>
          <w:sz w:val="22"/>
          <w:szCs w:val="22"/>
        </w:rPr>
        <w:t>J</w:t>
      </w:r>
      <w:r w:rsidRPr="0010152F">
        <w:rPr>
          <w:rFonts w:ascii="Arial Black" w:hAnsi="Arial Black"/>
          <w:sz w:val="22"/>
          <w:szCs w:val="22"/>
        </w:rPr>
        <w:t>une 2020, along with a widespread loss of employment, challenges with access to health care, the prevalence of domestic violence at home, and an increase in the workload at home were also reported (</w:t>
      </w:r>
      <w:sdt>
        <w:sdtPr>
          <w:rPr>
            <w:rFonts w:ascii="Arial Black" w:hAnsi="Arial Black"/>
            <w:color w:val="000000"/>
            <w:sz w:val="22"/>
            <w:szCs w:val="22"/>
          </w:rPr>
          <w:tag w:val="MENDELEY_CITATION_v3_eyJjaXRhdGlvbklEIjoiTUVOREVMRVlfQ0lUQVRJT05fOGUzNjg1NjctOTc5MC00YzljLWI3YjAtZjUyZDExNjkyNDVkIiwicHJvcGVydGllcyI6eyJub3RlSW5kZXgiOjB9LCJpc0VkaXRlZCI6ZmFsc2UsIm1hbnVhbE92ZXJyaWRlIjp7ImlzTWFudWFsbHlPdmVycmlkZGVuIjpmYWxzZSwiY2l0ZXByb2NUZXh0IjoiKFN1bWFsYXRoYSBldCBhbC4sIDIwMjEpIiwibWFudWFsT3ZlcnJpZGVUZXh0IjoiIn0sImNpdGF0aW9uSXRlbXMiOlt7ImlkIjoiZDM1N2Y4OWQtZjM3ZS0zOWIzLWExZGItNTU1NmJhNDQyOTUxIiwiaXRlbURhdGEiOnsidHlwZSI6ImFydGljbGUtam91cm5hbCIsImlkIjoiZDM1N2Y4OWQtZjM3ZS0zOWIzLWExZGItNTU1NmJhNDQyOTUxIiwidGl0bGUiOiJJbXBhY3Qgb2YgQ292aWQtMTkgb24gSW5mb3JtYWwgU2VjdG9yOiBBIFN0dWR5IG9mIFdvbWVuIERvbWVzdGljIFdvcmtlcnMgaW4gSW5kaWEiLCJhdXRob3IiOlt7ImZhbWlseSI6IlN1bWFsYXRoYSIsImdpdmVuIjoiQi4gUy4iLCJwYXJzZS1uYW1lcyI6ZmFsc2UsImRyb3BwaW5nLXBhcnRpY2xlIjoiIiwibm9uLWRyb3BwaW5nLXBhcnRpY2xlIjoiIn0seyJmYW1pbHkiOiJCaGF0IiwiZ2l2ZW4iOiJMZWtoYSBELiIsInBhcnNlLW5hbWVzIjpmYWxzZSwiZHJvcHBpbmctcGFydGljbGUiOiIiLCJub24tZHJvcHBpbmctcGFydGljbGUiOiIifSx7ImZhbWlseSI6IkNoaXRyYSIsImdpdmVuIjoiSy4gUC4iLCJwYXJzZS1uYW1lcyI6ZmFsc2UsImRyb3BwaW5nLXBhcnRpY2xlIjoiIiwibm9uLWRyb3BwaW5nLXBhcnRpY2xlIjoiIn1dLCJjb250YWluZXItdGl0bGUiOiJUaGUgSW5kaWFuIEVjb25vbWljIEpvdXJuYWwiLCJET0kiOiIxMC4xMTc3LzAwMTk0NjYyMjExMDIzODQ1IiwiSVNTTiI6IjAwMTktNDY2MiIsImlzc3VlZCI6eyJkYXRlLXBhcnRzIjpbWzIwMjEsOV1dfSwicGFnZSI6IjQ0MS00NjEiLCJhYnN0cmFjdCI6IlRoZSBDT1ZJRC0xOSBwYW5kZW1pYyBoYXMgbGVmdCBzZXZlcmUgaW1wYWN0IG9uIGxpdmVsaWhvb2QsIHNlY3VyaXR5IGFuZCBoZWFsdGggb2YgaW5mb3JtYWwgc2VjdG9yIHdvcmtlcnMsIGVzcGVjaWFsbHkgZG9tZXN0aWMgd29ya2VycywgbWFqb3JpdHkgb2Ygd2hvbSBhcmUgd29tZW4uIEJlaW5nIGxlYXN0IG9yZ2FuaXNlZCBhbmQgbGFja2luZyBpbnN0aXR1dGlvbmFsIHN1cHBvcnQsIGRvbWVzdGljIHdvcmtlcnMgYXJlIGV4dHJlbWVseSB2dWxuZXJhYmxlIHRvIGV4cGxvaXRhdGlvbiBhbmQgaHVtYW4gcmlnaHRzIHZpb2xhdGlvbnMsIGFuZCB0aGUgcGFuZGVtaWMgaGFzIGFnZ3JhdmF0ZWQgdGhlIHNpdHVhdGlvbi4gVGVsZXBob25pYyBpbnRlcnZpZXdzIHdlcmUgY29uZHVjdGVkIHdpdGggMjYwIGRvbWVzdGljIHdvcmtlcnMgZnJvbSB0aHJlZSBjaXRpZXMsIG5hbWVseSBEZWxoaSwgTXVtYmFpIGFuZCBLb2NoaSB3aXRoIGZvY3VzIG9uIHdvcmtpbmcgY29uZGl0aW9ucywgbGl2ZWxpaG9vZCBhbmQgaG91c2Vob2xkIGR5bmFtaWNzLCBoZWFsdGggc2NlbmFyaW8gYW5kIHN0YXRlIHN1cHBvcnQgZHVyaW5nIHRoZSBwYW5kZW1pYy4gVGhlIGRhdGEgd2FzIHN1YnN0YW50aWF0ZWQgd2l0aCBxdWFsaXRhdGl2ZSBpbnB1dHMgZnJvbSBpbi1kZXB0aCBpbnRlcnZpZXdzIGNvbmR1Y3RlZCB3aXRoIDEyIGRvbWVzdGljIHdvcmtlcnMgYWNyb3NzIHRoZSBjaXRpZXMuIEluIHRoZSByZXN1bHRzLCB3aWRlc3ByZWFkIGpvYiBsb3NzIGlzIHJlcG9ydGVkIGFtb25nIGRvbWVzdGljIHdvcmtlcnMgZHVyaW5nIE1hcmNo4oCTSnVuZSAyMDIwIGFsb25nIHdpdGggZHJhc3RpY2FsbHkgcmVkdWNlZCBpbmNvbWUgYW5kIGluY3JlYXNlZCB3b3JrbG9hZC4gQWJvdXQgNTclIGRvbWVzdGljIHdvcmtlcnMgcmVwb3J0ZWQgc3RpZ21hIGFuZCBkaXNjcmltaW5hdGlvbiBhdCB3b3JrcGxhY2UsIGFuZCA0MCUgd29ya2VkIHdpdGhvdXQgYW55IHNhZmV0eSBtZWFzdXJlcy4gSW5jaWRlbmNlIG9mIGRvbWVzdGljIHZpb2xlbmNlIGF0IGhvbWUsIGluY3JlYXNlZCB3b3JrIGJ1cmRlbiBhdCBob21lLCBpc3N1ZXMgaW4gYWNjZXNzIHRvIGhlYWx0aCBjYXJlLCBldGMuLCB3ZXJlIHJlcG9ydGVkLiBUaGUgc3R1ZHkgZmluZGluZ3MgcG9pbnQgb3V0IHRoZSB1cmdlbnQgbmVlZCB0byBoYXZlIGEgbmF0aW9uYWwtbGV2ZWwgcG9saWN5IGFuZCBzdGF0ZSBzdXBwb3J0IHNwZWNpZmljYWxseSB0YXJnZXRpbmcgd29tZW4gZG9tZXN0aWMgd29ya2Vycywgd2l0aG91dCB3aGljaCB0aGUgc2l0dWF0aW9uIG9mIHBvdmVydHksIGhlYWx0aCBoYXphcmRzIGFuZCBzb2NpYWwgZXhjbHVzaW9uIHdpbGwgY29udGludWUgdG8gZXhpc3QuSkVMIENvZGU6IEo0LCBKNDYiLCJwdWJsaXNoZXIiOiJTQUdFIFB1YmxpY2F0aW9ucyIsImlzc3VlIjoiMyIsInZvbHVtZSI6IjY5IiwiY29udGFpbmVyLXRpdGxlLXNob3J0IjoiIn0sImlzVGVtcG9yYXJ5IjpmYWxzZX1dfQ=="/>
          <w:id w:val="-1940065886"/>
          <w:placeholder>
            <w:docPart w:val="9FC691E1DAC04DAEA059844DE2B20B54"/>
          </w:placeholder>
        </w:sdtPr>
        <w:sdtEndPr/>
        <w:sdtContent>
          <w:r w:rsidR="006D031C" w:rsidRPr="0010152F">
            <w:rPr>
              <w:rFonts w:ascii="Arial Black" w:hAnsi="Arial Black"/>
              <w:b/>
              <w:color w:val="000000"/>
              <w:sz w:val="22"/>
              <w:szCs w:val="22"/>
            </w:rPr>
            <w:t>S</w:t>
          </w:r>
          <w:r w:rsidRPr="0010152F">
            <w:rPr>
              <w:rFonts w:ascii="Arial Black" w:hAnsi="Arial Black"/>
              <w:b/>
              <w:color w:val="000000"/>
              <w:sz w:val="22"/>
              <w:szCs w:val="22"/>
            </w:rPr>
            <w:t>umalatha et al., 2021)</w:t>
          </w:r>
        </w:sdtContent>
      </w:sdt>
      <w:r w:rsidRPr="0010152F">
        <w:rPr>
          <w:rFonts w:ascii="Arial Black" w:hAnsi="Arial Black"/>
          <w:sz w:val="22"/>
          <w:szCs w:val="22"/>
        </w:rPr>
        <w:t>. The majority of women employed in the informal sector struggle to find employment in respectable households; the coronavirus has pushed many women to return to their home regions from urban areas; individuals residing in cities are attempting to budget their daily household expenses (</w:t>
      </w:r>
      <w:sdt>
        <w:sdtPr>
          <w:rPr>
            <w:rFonts w:ascii="Arial Black" w:hAnsi="Arial Black"/>
            <w:b/>
            <w:color w:val="000000"/>
            <w:sz w:val="22"/>
            <w:szCs w:val="22"/>
          </w:rPr>
          <w:tag w:val="MENDELEY_CITATION_v3_eyJjaXRhdGlvbklEIjoiTUVOREVMRVlfQ0lUQVRJT05fYmU3ODE4ZGItYmNmOC00NjNlLWI5ZGMtZTZjYzM3ZGYxZWJhIiwicHJvcGVydGllcyI6eyJub3RlSW5kZXgiOjB9LCJpc0VkaXRlZCI6ZmFsc2UsIm1hbnVhbE92ZXJyaWRlIjp7ImlzTWFudWFsbHlPdmVycmlkZGVuIjpmYWxzZSwiY2l0ZXByb2NUZXh0IjoiKEd1cHRhLCAyMDIyKSIsIm1hbnVhbE92ZXJyaWRlVGV4dCI6IiJ9LCJjaXRhdGlvbkl0ZW1zIjpbeyJpZCI6Ijc1M2Y2Zjg4LWM2NDctM2VkZC05ZWU4LWVlZjljMTlhYmRkNSIsIml0ZW1EYXRhIjp7InR5cGUiOiJhcnRpY2xlLWpvdXJuYWwiLCJpZCI6Ijc1M2Y2Zjg4LWM2NDctM2VkZC05ZWU4LWVlZjljMTlhYmRkNSIsInRpdGxlIjoiU29jaW9lY29ub21pYyB3ZWxsYmVpbmcgb2Ygd29tZW4gZG9tZXN0aWMgd29ya2VycyBpbiBQdW5lOiBhbiBleHBsb3JhdG9yeSBzdHVkeSIsImF1dGhvciI6W3siZmFtaWx5IjoiR3VwdGEiLCJnaXZlbiI6IkhpbWEiLCJwYXJzZS1uYW1lcyI6ZmFsc2UsImRyb3BwaW5nLXBhcnRpY2xlIjoiIiwibm9uLWRyb3BwaW5nLXBhcnRpY2xlIjoiIn1dLCJjb250YWluZXItdGl0bGUiOiJJbnRlcm5hdGlvbmFsIEpvdXJuYWwgb2YgU29jaWFsIEVjb25vbWljcyIsImNvbnRhaW5lci10aXRsZS1zaG9ydCI6IkludCBKIFNvYyBFY29uIiwiRE9JIjoiMTAuMTEwOC9JSlNFLTAxLTIwMjEtMDAzMSIsIklTU04iOiIwMzA2ODI5MyIsImlzc3VlZCI6eyJkYXRlLXBhcnRzIjpbWzIwMjIsNywxNV1dfSwicGFnZSI6IjExMDUtMTExOCIsImFic3RyYWN0IjoiUHVycG9zZTogSG91c2Vob2xkIGNob3JlcyBhcmUgb25lIG9mIHRoZSBtb3N0IGVzc2VudGlhbCBhc3BlY3RzIG9mIGVhY2ggaW5kaXZpZHVhbCdzIGRhaWx5IHJvdXRpbmUuIFRoZSBhdXRob3IgaGFzIG9ic2VydmVkIHBlb3BsZSBmcm9tIG1pZGRsZSBhbmQgdXBwZXIgc29jaW9lY29ub21pYyBiYWNrZ3JvdW5kcywgb3V0c291cmNpbmcgd29tZW4gZG9tZXN0aWMgd29ya2VycyB0byBwZXJmb3JtIHRoZXNlIGhvdXNlaG9sZCB0YXNrcy4gRXZlbiB0aG91Z2ggdGhlc2Ugd29tZW4gZG9tZXN0aWMgd29ya2VycyBtYWtlIHVwIGEgc2lnbmlmaWNhbnQgcG9ydGlvbiBvZiB0aGUgdG90YWwgd29ya2luZyBjbGFzcywgdGhleSByZW1haW4gYSBzb2NpYWxseSBhbmQgZmluYW5jaWFsbHkgdnVsbmVyYWJsZSBzZWN0aW9uIG9mIHNvY2lldHkuIFRoZSBqb2Igb2Ygd29ya2luZyBpbiBvdGhlciBwZW9wbGUncyBwcml2YXRlIHNwYWNlcyBjb21lcyB3aXRoIGxpdHRsZSBvciBubyByZWd1bGF0aW9uLCBzb2NpYWwgcHJvdGVjdGlvbiBhbmQgbm8gZ3VhcmFudGVlIG9mIGRlY2VudCB3b3JrIHN0YW5kYXJkcy4gVGhlIG1ham9yIGFpbSBvZiB0aGlzIHN0dWR5IGlzIHRvIGZpbmQgb3V0IHRoZSBzb2NpYWwgd2VsbGJlaW5nIG9mIHBhcnQtdGltZSBkb21lc3RpYyB3b3JrZXJzIG9mIFB1bmUuIERlc2lnbi9tZXRob2RvbG9neS9hcHByb2FjaDogRm9yIHRoaXMgcHVycG9zZSwgdGhlIHJlc2VhcmNoZXJzIGhhdmUgaW50ZXJ2aWV3ZWQgMTY3IHdvbWVuIHdvcmtpbmcgaW4gdGhlIFB1bmUgcmVnaW9uIG9mIE1haGFyYXNodHJhLCBJbmRpYSBmcm9tIHRoZSBwZXJpb2Qgb2YgT2N0b2JlciAyMDIwIHRvIEphbnVhcnkgMjAyMS4gRGVzY3JpcHRpdmUgbWV0aG9kcyBhbmQgZmFjdG9yIGFuYWx5c2lzIGhhdmUgYmVlbiB1c2VkIHRvIGFuYWx5emUgdGhlIGNvbGxlY3RlZCBkYXRhLCBzbyB0aGF0IHNvY2lvZWNvbm9taWMgd2VsbGJlaW5nIGNvcnJlbGF0ZWQgd2l0aCB0aGUgc2lnbmlmaWNhbnQgZmFjdG9ycyBleHBsb3JlZC4gRnVydGhlciwgdGhlIGZhY3RvcnMgaWRlbnRpZmllZCB0aGF0IEV4cGxvcmF0b3J5IEZhY3RvciBBbmFseXNpcyAoRUZBcykgYXJlIGZ1cnRoZXIgdmFsaWRhdGVkIHRocm91Z2ggcmVsaWFiaWxpdHkgYW5hbHlzaXMgKENyb25iYWNo4oCZcyBhbHBoYSBmb3IgZWNvbm9taWMgd2VsbGJlaW5nIGFuZCBzb2NpYWwgd2VsbGJlaW5nIGluZGV4IGZvciBzb2NpYWwgd2VsbGJlaW5nKS4gRmluZGluZ3M6IFdpdGggdGhlIGhlbHAgb2YgdGhpcyBzdHVkeSwgcmVzZWFyY2hlcnMgaGF2ZSB0cmllZCB0byBleHBsb3JlIHRoZSBzaWduaWZpY2FudCBmYWN0b3JzIHRvIHRoZSBzb2NpYWwgYW5kIGVjb25vbWljIHdlbGxiZWluZyBvZiBkb21lc3RpYyB3b3JrZXJzLiBUaGUgcXVhbGl0YXRpdmUgZmFjdHMgY29sbGVjdGVkIGR1cmluZyB0aGUgaW50ZXJ2aWV3IHRpbWUgaGF2ZSBzdWJzdGFudGlhdGVkIHRoZSBmaW5kaW5ncyBnb3QgaW4gRUZBLiBPcmlnaW5hbGl0eS92YWx1ZTogVGhlIHBhcGVyIGFpbXMgdG8gcHJvdmlkZSBncm91bmQtbGV2ZWwgaW5zaWdodHMgdG8gcG9saWN5bWFrZXJzIGZvY3VzaW5nIG9uIHRoZSBkb21lc3RpYyB3b3JrIHNlY3RvciwgYW5kIHRoZSBnYXBzIGlkZW50aWZpZWQgaW4gdGhlIHJlc2VhcmNoIHdpbGwgaGVscCB0aGUgcG9saWN5bWFrZXJzIHRvIGZyYW1lIHRoZSBndWlkZWxpbmVzIGZvciB0aGUgYmV0dGVybWVudCBvZiB0aGVzZSBpbmZvcm1hbCBkb21lc3RpYyB3b3JrZXJzLiIsInB1Ymxpc2hlciI6IkVtZXJhbGQgR3JvdXAgSG9sZGluZ3MgTHRkLiIsImlzc3VlIjoiOCIsInZvbHVtZSI6IjQ5In0sImlzVGVtcG9yYXJ5IjpmYWxzZX1dfQ=="/>
          <w:id w:val="345751592"/>
          <w:placeholder>
            <w:docPart w:val="E8D8ACC4C270439B9C8DDEA095BF4188"/>
          </w:placeholder>
        </w:sdtPr>
        <w:sdtEndPr/>
        <w:sdtContent>
          <w:r w:rsidR="006D031C" w:rsidRPr="0010152F">
            <w:rPr>
              <w:rFonts w:ascii="Arial Black" w:hAnsi="Arial Black"/>
              <w:b/>
              <w:color w:val="000000"/>
              <w:sz w:val="22"/>
              <w:szCs w:val="22"/>
            </w:rPr>
            <w:t>G</w:t>
          </w:r>
          <w:r w:rsidRPr="0010152F">
            <w:rPr>
              <w:rFonts w:ascii="Arial Black" w:hAnsi="Arial Black"/>
              <w:b/>
              <w:color w:val="000000"/>
              <w:sz w:val="22"/>
              <w:szCs w:val="22"/>
            </w:rPr>
            <w:t>upta, 2022)</w:t>
          </w:r>
        </w:sdtContent>
      </w:sdt>
      <w:r w:rsidR="005C1134" w:rsidRPr="0010152F">
        <w:rPr>
          <w:rFonts w:ascii="Arial Black" w:hAnsi="Arial Black"/>
          <w:b/>
          <w:sz w:val="22"/>
          <w:szCs w:val="22"/>
        </w:rPr>
        <w:t>.</w:t>
      </w:r>
      <w:r w:rsidRPr="0010152F">
        <w:rPr>
          <w:rFonts w:ascii="Arial Black" w:hAnsi="Arial Black"/>
          <w:sz w:val="22"/>
          <w:szCs w:val="22"/>
        </w:rPr>
        <w:t xml:space="preserve"> In modern </w:t>
      </w:r>
      <w:r w:rsidR="006D031C" w:rsidRPr="0010152F">
        <w:rPr>
          <w:rFonts w:ascii="Arial Black" w:hAnsi="Arial Black"/>
          <w:sz w:val="22"/>
          <w:szCs w:val="22"/>
        </w:rPr>
        <w:t>India</w:t>
      </w:r>
      <w:r w:rsidRPr="0010152F">
        <w:rPr>
          <w:rFonts w:ascii="Arial Black" w:hAnsi="Arial Black"/>
          <w:sz w:val="22"/>
          <w:szCs w:val="22"/>
        </w:rPr>
        <w:t>, women-paid domestic workers (</w:t>
      </w:r>
      <w:r w:rsidR="006D031C" w:rsidRPr="0010152F">
        <w:rPr>
          <w:rFonts w:ascii="Arial Black" w:hAnsi="Arial Black"/>
          <w:sz w:val="22"/>
          <w:szCs w:val="22"/>
        </w:rPr>
        <w:t>PDWS</w:t>
      </w:r>
      <w:r w:rsidRPr="0010152F">
        <w:rPr>
          <w:rFonts w:ascii="Arial Black" w:hAnsi="Arial Black"/>
          <w:sz w:val="22"/>
          <w:szCs w:val="22"/>
        </w:rPr>
        <w:t xml:space="preserve">) make up two-thirds of the domestic workforce and are an essential component of the informal labor population. Women's struggles encompass issues such as unstable employment, abusive partners, and instances of workplace abuse, which include discrimination and harassment in employers' homes as well as domestic violence in their living environments </w:t>
      </w:r>
      <w:r w:rsidR="005C1134" w:rsidRPr="0010152F">
        <w:rPr>
          <w:rFonts w:ascii="Arial Black" w:hAnsi="Arial Black"/>
          <w:b/>
          <w:sz w:val="22"/>
          <w:szCs w:val="22"/>
        </w:rPr>
        <w:t>(</w:t>
      </w:r>
      <w:sdt>
        <w:sdtPr>
          <w:rPr>
            <w:rFonts w:ascii="Arial Black" w:hAnsi="Arial Black"/>
            <w:b/>
            <w:color w:val="000000"/>
            <w:sz w:val="22"/>
            <w:szCs w:val="22"/>
          </w:rPr>
          <w:tag w:val="MENDELEY_CITATION_v3_eyJjaXRhdGlvbklEIjoiTUVOREVMRVlfQ0lUQVRJT05fODkxMGEwMzctNjkwNy00NDVkLTlmMTYtZDZhMzhlZWJkOTIyIiwicHJvcGVydGllcyI6eyJub3RlSW5kZXgiOjB9LCJpc0VkaXRlZCI6ZmFsc2UsIm1hbnVhbE92ZXJyaWRlIjp7ImlzTWFudWFsbHlPdmVycmlkZGVuIjpmYWxzZSwiY2l0ZXByb2NUZXh0IjoiKFRoYWtrYXIsIDIwMjQpIiwibWFudWFsT3ZlcnJpZGVUZXh0IjoiIn0sImNpdGF0aW9uSXRlbXMiOlt7ImlkIjoiNjAyOWFhZjEtNDcwNS0zNzgwLWJjMmEtZGIyZmJlY2FlZDRkIiwiaXRlbURhdGEiOnsidHlwZSI6ImFydGljbGUtam91cm5hbCIsImlkIjoiNjAyOWFhZjEtNDcwNS0zNzgwLWJjMmEtZGIyZmJlY2FlZDRkIiwidGl0bGUiOiJFeHBsb2l0YXRpb24sIEhhcmFzc21lbnQgYW5kIFZpb2xlbmNlOiBMaXZlZCBFeHBlcmllbmNlcyBvZiBXb21lbiBQYWlkIERvbWVzdGljIFdvcmtlcnMgaW4gSW5kaWEiLCJhdXRob3IiOlt7ImZhbWlseSI6IlRoYWtrYXIiLCJnaXZlbiI6IlNocml5YSIsInBhcnNlLW5hbWVzIjpmYWxzZSwiZHJvcHBpbmctcGFydGljbGUiOiIiLCJub24tZHJvcHBpbmctcGFydGljbGUiOiIifV0sImNvbnRhaW5lci10aXRsZSI6IkpvdXJuYWwgb2YgU291dGggQXNpYW4gRGV2ZWxvcG1lbnQiLCJET0kiOiIxMC4xMTc3LzA5NzMxNzQxMjMxMTY0ODcyIiwiSVNTTiI6IjA5NzMxNzMzIiwiaXNzdWVkIjp7ImRhdGUtcGFydHMiOltbMjAyNCw0LDFdXX0sInBhZ2UiOiI0NC02MCIsImFic3RyYWN0IjoiV29tZW4gcGFpZCBkb21lc3RpYyB3b3JrZXJzIChQRFdzKSBmb3JtIGFuIGludGVncmFsIHBhcnQgb2YgdGhlIGluZm9ybWFsIGxhYm91ciBwb3B1bGF0aW9uIGNvbnN0aXR1dGluZyB0d28gdGhpcmRzIG9mIHRoZSB0b3RhbCBkb21lc3RpYyB3b3JrZm9yY2UgaW4gY29udGVtcG9yYXJ5IEluZGlhLiBUaGUgc2VjdG9yIG9mIGRvbWVzdGljIHdvcmsgaXMgbGFyZ2VseSBzdGlnbWF0aXplZCBhbmQgaXMgb2Z0ZW4gc3lub255bW91cyB3aXRoIGxvdyBvY2N1cGF0aW9uYWwgcHJlc3RpZ2UsIHNlcnZpdHVkZSBhbmQgYmVpbmcg4oCYZGlydHnigJkgYW5kIG1lbmlhbC4gVGh1cywgd29tZW4gUERXcyBhcmUgb2Z0ZW4gZXhwb3NlZCB0byB1bnBsZWFzYW50IHdvcmtpbmcgY29uZGl0aW9ucyBpbiB0aGVpciBlbXBsb3llcnPigJkgaG9tZXMgYXMgd2VsbCBhcyBzb2NpYWwgc3Vycm91bmRpbmdzLiBGdXJ0aGVyLCBtYW55IG9mIHRoZXNlIHdvbWVuIGFyZSBhbHNvIHZpY3RpbXMgb2YgZG9tZXN0aWMgdmlvbGVuY2UgKERWKSBpbiB0aGVpciBvd24gaG9tZXMuIFRoaXMgc3R1ZHkgc2hhcmVzIHRoZSBsaXZlZCBleHBlcmllbmNlcyBvZiB3b3JrLWVtcGxveWVyIHJlbGF0aW9uc2hpcHMsIGhvc3RpbGUgd29yayBjb25kaXRpb25zIGFuZCBEViB0aHJvdWdoIHRoZSBsZW5zZXMgb2Ygd29tZW4gUERXc+KAmSBuYXJyYXRpdmVzLiBUaGUgYXJ0aWNsZSBhbHNvIGNocm9uaWNsZXMgdGhlIHdvbWVu4oCZcyBoYXJkc2hpcHMsIHN1Z2dlc3RpbmcgdGhlIGV4cGxvaXRhdGl2ZSBuYXR1cmUgb2YgZG9tZXN0aWMgd29yayBhbmQgaG93IGl0IGV4cG9zZXMgd29tZW4gUERXcyB0byBhZGRpdGlvbmFsIGFkdmVyc2l0aWVzIGluIHRoZSBmb3JtIG9mIGRpc2NyaW1pbmF0aW9uIGFuZCBoYXJhc3NtZW50IGluIGVtcGxveWVyc+KAmSBob21lcyBhbmQgRFYgd2l0aGluIHRoZWlyIG93biBkb21lc3RpYyBzZXR0aW5nLiBJdCBjb25jbHVkZXMgYnkgc2hvd2luZyBhIHBhdHRlcm4gb2Ygc3Vydml2YWwgYW1vbmcgdGhlc2Ugd29tZW4gd2hvIGVuZHVyZSBjb3VudGxlc3MgY2hhbGxlbmdlcyB3aXRoaW4gYm90aCB0aGUgd29ya3BsYWNlIGFuZCBob21lIGFuZCBlbXBsb3kgY29waW5nIHN0cmF0ZWdpZXMgdG8gbmF2aWdhdGUgaG9zdGlsZSBkb21lc3RpYyBlbnZpcm9ubWVudHMuIFRoZSBmaW5kaW5ncyBvZmZlciBjcnVjaWFsIGluc2lnaHRzIGludG8gdGhlIGxpbWl0cyBhbmQgY2FwYWNpdGllcyBvZiB3b21lbiBQRFdz4oCZIHN0cnVnZ2xlcy4iLCJwdWJsaXNoZXIiOiJTYWdlIFB1YmxpY2F0aW9ucyBJbmRpYSBQdnQuIEx0ZCIsImlzc3VlIjoiMSIsInZvbHVtZSI6IjE5IiwiY29udGFpbmVyLXRpdGxlLXNob3J0IjoiIn0sImlzVGVtcG9yYXJ5IjpmYWxzZX1dfQ=="/>
          <w:id w:val="-1114909868"/>
          <w:placeholder>
            <w:docPart w:val="E8D8ACC4C270439B9C8DDEA095BF4188"/>
          </w:placeholder>
        </w:sdtPr>
        <w:sdtEndPr/>
        <w:sdtContent>
          <w:r w:rsidR="00FF11B9" w:rsidRPr="0010152F">
            <w:rPr>
              <w:rFonts w:ascii="Arial Black" w:hAnsi="Arial Black"/>
              <w:b/>
              <w:color w:val="000000"/>
              <w:sz w:val="22"/>
              <w:szCs w:val="22"/>
            </w:rPr>
            <w:t>Thakkar</w:t>
          </w:r>
          <w:r w:rsidRPr="0010152F">
            <w:rPr>
              <w:rFonts w:ascii="Arial Black" w:hAnsi="Arial Black"/>
              <w:b/>
              <w:color w:val="000000"/>
              <w:sz w:val="22"/>
              <w:szCs w:val="22"/>
            </w:rPr>
            <w:t>, 2024)</w:t>
          </w:r>
        </w:sdtContent>
      </w:sdt>
      <w:r w:rsidR="005C1134" w:rsidRPr="0010152F">
        <w:rPr>
          <w:rFonts w:ascii="Arial Black" w:hAnsi="Arial Black"/>
          <w:sz w:val="22"/>
          <w:szCs w:val="22"/>
        </w:rPr>
        <w:t>.</w:t>
      </w:r>
    </w:p>
    <w:p w14:paraId="02BBAA90" w14:textId="77777777" w:rsidR="005C1134" w:rsidRPr="0010152F" w:rsidRDefault="00190608" w:rsidP="005C1134">
      <w:pPr>
        <w:spacing w:line="360" w:lineRule="auto"/>
        <w:rPr>
          <w:rFonts w:ascii="Arial Black" w:eastAsia="Arial" w:hAnsi="Arial Black"/>
          <w:b/>
          <w:sz w:val="22"/>
          <w:szCs w:val="22"/>
        </w:rPr>
      </w:pPr>
      <w:r w:rsidRPr="0010152F">
        <w:rPr>
          <w:rFonts w:ascii="Arial Black" w:hAnsi="Arial Black"/>
          <w:sz w:val="22"/>
          <w:szCs w:val="22"/>
        </w:rPr>
        <w:t>Women domestic workers (</w:t>
      </w:r>
      <w:r w:rsidR="00FF11B9" w:rsidRPr="0010152F">
        <w:rPr>
          <w:rFonts w:ascii="Arial Black" w:hAnsi="Arial Black"/>
          <w:sz w:val="22"/>
          <w:szCs w:val="22"/>
        </w:rPr>
        <w:t>WDWS</w:t>
      </w:r>
      <w:r w:rsidRPr="0010152F">
        <w:rPr>
          <w:rFonts w:ascii="Arial Black" w:hAnsi="Arial Black"/>
          <w:sz w:val="22"/>
          <w:szCs w:val="22"/>
        </w:rPr>
        <w:t xml:space="preserve">), predominantly belong to marginalized and underprivileged communities; during the covid-19 pandemic, </w:t>
      </w:r>
      <w:r w:rsidR="00FF11B9" w:rsidRPr="0010152F">
        <w:rPr>
          <w:rFonts w:ascii="Arial Black" w:hAnsi="Arial Black"/>
          <w:sz w:val="22"/>
          <w:szCs w:val="22"/>
        </w:rPr>
        <w:t>WDWS</w:t>
      </w:r>
      <w:r w:rsidRPr="0010152F">
        <w:rPr>
          <w:rFonts w:ascii="Arial Black" w:hAnsi="Arial Black"/>
          <w:sz w:val="22"/>
          <w:szCs w:val="22"/>
        </w:rPr>
        <w:t xml:space="preserve"> were among the most adversely affected since </w:t>
      </w:r>
      <w:r w:rsidR="00FF11B9" w:rsidRPr="0010152F">
        <w:rPr>
          <w:rFonts w:ascii="Arial Black" w:hAnsi="Arial Black"/>
          <w:sz w:val="22"/>
          <w:szCs w:val="22"/>
        </w:rPr>
        <w:t>WDWS</w:t>
      </w:r>
      <w:r w:rsidRPr="0010152F">
        <w:rPr>
          <w:rFonts w:ascii="Arial Black" w:hAnsi="Arial Black"/>
          <w:sz w:val="22"/>
          <w:szCs w:val="22"/>
        </w:rPr>
        <w:t xml:space="preserve"> were instructed not to report to work as part of social distancing protocols and this sudden loss of employment severely impacted their ability to sustain their families, highlighting the vulnerabilities inherent in informal labour during times of crisis </w:t>
      </w:r>
      <w:r w:rsidRPr="0010152F">
        <w:rPr>
          <w:rFonts w:ascii="Arial Black" w:hAnsi="Arial Black"/>
          <w:b/>
          <w:sz w:val="22"/>
          <w:szCs w:val="22"/>
        </w:rPr>
        <w:lastRenderedPageBreak/>
        <w:t>(</w:t>
      </w:r>
      <w:r w:rsidR="00FF11B9" w:rsidRPr="0010152F">
        <w:rPr>
          <w:rFonts w:ascii="Arial Black" w:hAnsi="Arial Black"/>
          <w:b/>
          <w:sz w:val="22"/>
          <w:szCs w:val="22"/>
        </w:rPr>
        <w:t>V</w:t>
      </w:r>
      <w:r w:rsidRPr="0010152F">
        <w:rPr>
          <w:rFonts w:ascii="Arial Black" w:hAnsi="Arial Black"/>
          <w:b/>
          <w:sz w:val="22"/>
          <w:szCs w:val="22"/>
        </w:rPr>
        <w:t xml:space="preserve">inita </w:t>
      </w:r>
      <w:r w:rsidR="00FF11B9" w:rsidRPr="0010152F">
        <w:rPr>
          <w:rFonts w:ascii="Arial Black" w:hAnsi="Arial Black"/>
          <w:b/>
          <w:sz w:val="22"/>
          <w:szCs w:val="22"/>
        </w:rPr>
        <w:t>Y</w:t>
      </w:r>
      <w:r w:rsidRPr="0010152F">
        <w:rPr>
          <w:rFonts w:ascii="Arial Black" w:hAnsi="Arial Black"/>
          <w:b/>
          <w:sz w:val="22"/>
          <w:szCs w:val="22"/>
        </w:rPr>
        <w:t>adav,2024).</w:t>
      </w:r>
      <w:r w:rsidRPr="0010152F">
        <w:rPr>
          <w:rFonts w:ascii="Arial Black" w:hAnsi="Arial Black"/>
          <w:sz w:val="22"/>
          <w:szCs w:val="22"/>
        </w:rPr>
        <w:t xml:space="preserve"> Despite women workers essential contributions to both household functioning and the broader economy, they continue to be marginalized and excluded from social security provisions such as health insurance, pensions, and maternity benefits; however, some social protection schemes exist for informal sector workers, they are often poorly implemented, leaving many domestic workers unaware of their entitlements or unable to access them; their vulnerability is further exacerbated by gender-based discrimination, the lack of legal recognition, and the informal nature of their employment </w:t>
      </w:r>
      <w:r w:rsidR="005C1134" w:rsidRPr="0010152F">
        <w:rPr>
          <w:rFonts w:ascii="Arial Black" w:hAnsi="Arial Black"/>
          <w:b/>
          <w:sz w:val="22"/>
          <w:szCs w:val="22"/>
        </w:rPr>
        <w:t>(</w:t>
      </w:r>
      <w:proofErr w:type="spellStart"/>
      <w:r w:rsidR="00FF11B9" w:rsidRPr="0010152F">
        <w:rPr>
          <w:rFonts w:ascii="Arial Black" w:hAnsi="Arial Black"/>
          <w:b/>
          <w:color w:val="222222"/>
          <w:sz w:val="22"/>
          <w:szCs w:val="22"/>
          <w:shd w:val="clear" w:color="auto" w:fill="FFFFFF"/>
        </w:rPr>
        <w:t>Y</w:t>
      </w:r>
      <w:r w:rsidRPr="0010152F">
        <w:rPr>
          <w:rFonts w:ascii="Arial Black" w:hAnsi="Arial Black"/>
          <w:b/>
          <w:color w:val="222222"/>
          <w:sz w:val="22"/>
          <w:szCs w:val="22"/>
          <w:shd w:val="clear" w:color="auto" w:fill="FFFFFF"/>
        </w:rPr>
        <w:t>oganandham</w:t>
      </w:r>
      <w:proofErr w:type="spellEnd"/>
      <w:r w:rsidRPr="0010152F">
        <w:rPr>
          <w:rFonts w:ascii="Arial Black" w:hAnsi="Arial Black"/>
          <w:b/>
          <w:color w:val="222222"/>
          <w:sz w:val="22"/>
          <w:szCs w:val="22"/>
          <w:shd w:val="clear" w:color="auto" w:fill="FFFFFF"/>
        </w:rPr>
        <w:t>, g,2024).</w:t>
      </w:r>
    </w:p>
    <w:p w14:paraId="748AFE9F" w14:textId="77777777" w:rsidR="005C1134" w:rsidRPr="0010152F" w:rsidRDefault="005C1134" w:rsidP="005C1134">
      <w:pPr>
        <w:spacing w:before="240" w:after="240" w:line="360" w:lineRule="auto"/>
        <w:rPr>
          <w:rFonts w:ascii="Arial Black" w:hAnsi="Arial Black"/>
          <w:b/>
          <w:sz w:val="22"/>
          <w:szCs w:val="22"/>
        </w:rPr>
      </w:pPr>
      <w:r w:rsidRPr="0010152F">
        <w:rPr>
          <w:rFonts w:ascii="Arial Black" w:hAnsi="Arial Black"/>
          <w:b/>
          <w:sz w:val="22"/>
          <w:szCs w:val="22"/>
        </w:rPr>
        <w:t>2.1</w:t>
      </w:r>
      <w:r w:rsidR="00190608" w:rsidRPr="0010152F">
        <w:rPr>
          <w:rFonts w:ascii="Arial Black" w:hAnsi="Arial Black"/>
          <w:b/>
          <w:sz w:val="22"/>
          <w:szCs w:val="22"/>
        </w:rPr>
        <w:t>. Research objectives</w:t>
      </w:r>
    </w:p>
    <w:p w14:paraId="13570F54"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The following are the objectives of the study</w:t>
      </w:r>
    </w:p>
    <w:p w14:paraId="0DF3D3C6"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 xml:space="preserve">1.  To study the female domestic worker’s legal protections and welfare schemes introduced by the government of </w:t>
      </w:r>
      <w:r w:rsidR="00FF11B9" w:rsidRPr="0010152F">
        <w:rPr>
          <w:rFonts w:ascii="Arial Black" w:hAnsi="Arial Black"/>
          <w:sz w:val="22"/>
          <w:szCs w:val="22"/>
        </w:rPr>
        <w:t>India</w:t>
      </w:r>
    </w:p>
    <w:p w14:paraId="5E1006A1"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 xml:space="preserve">2. To analyze the socio-economic conditions of domestic women workers in </w:t>
      </w:r>
      <w:r w:rsidR="00FF11B9" w:rsidRPr="0010152F">
        <w:rPr>
          <w:rFonts w:ascii="Arial Black" w:hAnsi="Arial Black"/>
          <w:sz w:val="22"/>
          <w:szCs w:val="22"/>
        </w:rPr>
        <w:t>Bengaluru</w:t>
      </w:r>
      <w:r w:rsidRPr="0010152F">
        <w:rPr>
          <w:rFonts w:ascii="Arial Black" w:hAnsi="Arial Black"/>
          <w:sz w:val="22"/>
          <w:szCs w:val="22"/>
        </w:rPr>
        <w:t xml:space="preserve"> urban</w:t>
      </w:r>
      <w:r w:rsidR="005C1134" w:rsidRPr="0010152F">
        <w:rPr>
          <w:rFonts w:ascii="Arial Black" w:hAnsi="Arial Black"/>
          <w:b/>
          <w:sz w:val="22"/>
          <w:szCs w:val="22"/>
        </w:rPr>
        <w:t xml:space="preserve"> </w:t>
      </w:r>
    </w:p>
    <w:p w14:paraId="27DB3511" w14:textId="77777777" w:rsidR="005C1134" w:rsidRPr="0010152F" w:rsidRDefault="005C1134" w:rsidP="005C1134">
      <w:pPr>
        <w:spacing w:before="240" w:after="240" w:line="360" w:lineRule="auto"/>
        <w:rPr>
          <w:rFonts w:ascii="Arial Black" w:hAnsi="Arial Black"/>
          <w:b/>
          <w:sz w:val="22"/>
          <w:szCs w:val="22"/>
        </w:rPr>
      </w:pPr>
      <w:r w:rsidRPr="0010152F">
        <w:rPr>
          <w:rFonts w:ascii="Arial Black" w:hAnsi="Arial Black"/>
          <w:b/>
          <w:sz w:val="22"/>
          <w:szCs w:val="22"/>
        </w:rPr>
        <w:t>2.3</w:t>
      </w:r>
      <w:r w:rsidR="00190608" w:rsidRPr="0010152F">
        <w:rPr>
          <w:rFonts w:ascii="Arial Black" w:hAnsi="Arial Black"/>
          <w:b/>
          <w:sz w:val="22"/>
          <w:szCs w:val="22"/>
        </w:rPr>
        <w:t>. Research methodology</w:t>
      </w:r>
    </w:p>
    <w:p w14:paraId="1F8F9A34" w14:textId="77777777" w:rsidR="005C1134" w:rsidRPr="0010152F" w:rsidRDefault="00190608" w:rsidP="005C1134">
      <w:pPr>
        <w:spacing w:before="240" w:after="240" w:line="360" w:lineRule="auto"/>
        <w:rPr>
          <w:rFonts w:ascii="Arial Black" w:hAnsi="Arial Black"/>
          <w:sz w:val="22"/>
          <w:szCs w:val="22"/>
        </w:rPr>
      </w:pPr>
      <w:r w:rsidRPr="0010152F">
        <w:rPr>
          <w:rFonts w:ascii="Arial Black" w:hAnsi="Arial Black"/>
          <w:sz w:val="22"/>
          <w:szCs w:val="22"/>
        </w:rPr>
        <w:t xml:space="preserve">The study is based on descriptive and exploratory research. Secondary data is collected from various reports, journals, and </w:t>
      </w:r>
      <w:r w:rsidRPr="0010152F">
        <w:rPr>
          <w:rFonts w:ascii="Arial Black" w:hAnsi="Arial Black" w:cstheme="minorHAnsi"/>
          <w:sz w:val="22"/>
          <w:szCs w:val="22"/>
        </w:rPr>
        <w:t xml:space="preserve">articles. Primary data is based on a survey through a scheduled personal interview. The survey is based on random sampling. The sample size is 100, and the data is collected from the women domestic workers of </w:t>
      </w:r>
      <w:r w:rsidR="00FF11B9" w:rsidRPr="0010152F">
        <w:rPr>
          <w:rFonts w:ascii="Arial Black" w:hAnsi="Arial Black" w:cstheme="minorHAnsi"/>
          <w:sz w:val="22"/>
          <w:szCs w:val="22"/>
        </w:rPr>
        <w:t>Bengaluru Urban</w:t>
      </w:r>
      <w:r w:rsidRPr="0010152F">
        <w:rPr>
          <w:rFonts w:ascii="Arial Black" w:hAnsi="Arial Black" w:cstheme="minorHAnsi"/>
          <w:sz w:val="22"/>
          <w:szCs w:val="22"/>
        </w:rPr>
        <w:t xml:space="preserve">. </w:t>
      </w:r>
      <w:r w:rsidR="00FF11B9" w:rsidRPr="0010152F">
        <w:rPr>
          <w:rFonts w:ascii="Arial Black" w:hAnsi="Arial Black" w:cstheme="minorHAnsi"/>
          <w:sz w:val="22"/>
          <w:szCs w:val="22"/>
        </w:rPr>
        <w:t>SPSS</w:t>
      </w:r>
      <w:r w:rsidRPr="0010152F">
        <w:rPr>
          <w:rFonts w:ascii="Arial Black" w:hAnsi="Arial Black" w:cstheme="minorHAnsi"/>
          <w:sz w:val="22"/>
          <w:szCs w:val="22"/>
        </w:rPr>
        <w:t xml:space="preserve"> and </w:t>
      </w:r>
      <w:r w:rsidR="00FF11B9" w:rsidRPr="0010152F">
        <w:rPr>
          <w:rFonts w:ascii="Arial Black" w:hAnsi="Arial Black" w:cstheme="minorHAnsi"/>
          <w:sz w:val="22"/>
          <w:szCs w:val="22"/>
        </w:rPr>
        <w:t>Microsoft Excel</w:t>
      </w:r>
      <w:r w:rsidRPr="0010152F">
        <w:rPr>
          <w:rFonts w:ascii="Arial Black" w:hAnsi="Arial Black" w:cstheme="minorHAnsi"/>
          <w:sz w:val="22"/>
          <w:szCs w:val="22"/>
        </w:rPr>
        <w:t xml:space="preserve"> </w:t>
      </w:r>
      <w:r w:rsidRPr="0010152F">
        <w:rPr>
          <w:rFonts w:ascii="Arial Black" w:hAnsi="Arial Black" w:cstheme="minorHAnsi"/>
          <w:sz w:val="22"/>
          <w:szCs w:val="22"/>
        </w:rPr>
        <w:lastRenderedPageBreak/>
        <w:t>were used to compile and analyze primary data. Regression is used to test the hypothesis, and the percentage method is used to analyze the data. Simple graphs and diagrams are used to present the findings.</w:t>
      </w:r>
    </w:p>
    <w:p w14:paraId="631B8C3D" w14:textId="77777777" w:rsidR="000E0D12" w:rsidRPr="0010152F" w:rsidRDefault="005C1134" w:rsidP="005C1134">
      <w:pPr>
        <w:spacing w:before="240" w:after="240" w:line="360" w:lineRule="auto"/>
        <w:jc w:val="both"/>
        <w:rPr>
          <w:rFonts w:ascii="Arial Black" w:hAnsi="Arial Black" w:cstheme="minorHAnsi"/>
          <w:b/>
          <w:sz w:val="22"/>
          <w:szCs w:val="22"/>
        </w:rPr>
      </w:pPr>
      <w:r w:rsidRPr="0010152F">
        <w:rPr>
          <w:rFonts w:ascii="Arial Black" w:hAnsi="Arial Black" w:cstheme="minorHAnsi"/>
          <w:b/>
          <w:sz w:val="22"/>
          <w:szCs w:val="22"/>
        </w:rPr>
        <w:t>3.</w:t>
      </w:r>
      <w:r w:rsidR="000E0D12" w:rsidRPr="0010152F">
        <w:rPr>
          <w:rFonts w:ascii="Arial Black" w:hAnsi="Arial Black" w:cstheme="minorHAnsi"/>
          <w:b/>
          <w:sz w:val="22"/>
          <w:szCs w:val="22"/>
        </w:rPr>
        <w:t xml:space="preserve"> Results and Discussion </w:t>
      </w:r>
      <w:r w:rsidRPr="0010152F">
        <w:rPr>
          <w:rFonts w:ascii="Arial Black" w:hAnsi="Arial Black" w:cstheme="minorHAnsi"/>
          <w:b/>
          <w:sz w:val="22"/>
          <w:szCs w:val="22"/>
        </w:rPr>
        <w:t xml:space="preserve"> </w:t>
      </w:r>
    </w:p>
    <w:p w14:paraId="32DFE7B6" w14:textId="77777777" w:rsidR="005C1134" w:rsidRPr="0010152F" w:rsidRDefault="005C1134" w:rsidP="005C1134">
      <w:pPr>
        <w:spacing w:before="240" w:after="240" w:line="360" w:lineRule="auto"/>
        <w:jc w:val="both"/>
        <w:rPr>
          <w:rFonts w:ascii="Arial Black" w:hAnsi="Arial Black" w:cstheme="minorHAnsi"/>
          <w:b/>
          <w:sz w:val="22"/>
          <w:szCs w:val="22"/>
        </w:rPr>
      </w:pPr>
      <w:r w:rsidRPr="0010152F">
        <w:rPr>
          <w:rFonts w:ascii="Arial Black" w:hAnsi="Arial Black" w:cstheme="minorHAnsi"/>
          <w:b/>
          <w:sz w:val="22"/>
          <w:szCs w:val="22"/>
        </w:rPr>
        <w:t xml:space="preserve">Legal Protections and Social Security Measures Provided by the Government in India </w:t>
      </w:r>
    </w:p>
    <w:p w14:paraId="52C90C01"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Constitution of India is the fundamental foundation for our legal system. All labour regulations in India about the legal rights and limitations of workers must strictly comply with the rules of the Constitution of India. It is crucial to protect workers' rights, and the significance of acknowledging the value of work is explicitly stated in Part III and Part IV. The constitutional guarantee of equality, as articulated in Articles 14, 15, and 16, (The Constitution of India, 1950, Articles 14, 15, and 16) aims to provide equality for all individuals, including those who belong to particularly disadvantaged groups. These groups are eligible to receive preferential treatment through positive discrimination.</w:t>
      </w:r>
    </w:p>
    <w:p w14:paraId="05DE68DE"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In addition, the Directive Principles (DPSPs), intended to act as guiding principles for the State, also advocate for labor equality and the cessation of discrimination. (The Constitution of India, 1950, Part III &amp; IV) Articles 36 to 51 of the Indian Constitution embody the socio-economic elements that are vital for the governing of the nation. The items mentioned in Entries 22, 23, and 24 of List III of </w:t>
      </w:r>
      <w:r w:rsidRPr="0010152F">
        <w:rPr>
          <w:rFonts w:ascii="Arial Black" w:hAnsi="Arial Black" w:cstheme="minorHAnsi"/>
          <w:sz w:val="22"/>
          <w:szCs w:val="22"/>
        </w:rPr>
        <w:lastRenderedPageBreak/>
        <w:t>the VII Schedule have been implemented. (The Constitution of India, 1950, Schedule VII) Ensuring regular employment and fair working conditions for domestic workers, who make up a significant portion of the unorganized sector, primarily consisting of women, is a subject of public concern. (Women in Informal Employment: Globalizing and Organizing, Domestic Workers in India, (December 30, 2016).</w:t>
      </w:r>
    </w:p>
    <w:p w14:paraId="4069D2B5"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workers' entitlement to a right to decent work will arise from Fundamental Rights, including the right to life and personal liberty (The Constitution of India, 1950, Article 21) as well as the Directive Principles of State Policy. The United Nations officially supported the International Labour Organization's Decent Work agenda during the 2005 World Summit and the July 2006 ECOSOC high-level segment. This backing aimed to promote sustainable development and establish a more equitable form of globalization. (International Labour Organization, Director-General’s Introduction on the International Labour Conference- Decent Work for Sustainable Development, ILC 96-2007/Report I(A).) For a country to obtain legitimacy and respect, the agenda set out by the International Labour Organization (ILO) to provide decent employment for domestic workers must be incorporated into its Constitution.</w:t>
      </w:r>
    </w:p>
    <w:p w14:paraId="36C53D3A" w14:textId="77777777" w:rsidR="005C1134" w:rsidRPr="0010152F" w:rsidRDefault="005C1134" w:rsidP="005C1134">
      <w:pPr>
        <w:spacing w:line="360" w:lineRule="auto"/>
        <w:jc w:val="both"/>
        <w:rPr>
          <w:rFonts w:ascii="Arial Black" w:hAnsi="Arial Black" w:cstheme="minorHAnsi"/>
          <w:sz w:val="22"/>
          <w:szCs w:val="22"/>
        </w:rPr>
      </w:pPr>
      <w:r w:rsidRPr="0010152F">
        <w:rPr>
          <w:rFonts w:ascii="Arial Black" w:hAnsi="Arial Black" w:cstheme="minorHAnsi"/>
          <w:sz w:val="22"/>
          <w:szCs w:val="22"/>
        </w:rPr>
        <w:t xml:space="preserve">It is against the rules for any government official to hire as domestic laborers any minor under the age of fourteen. (The Central Civil Services (Conduct) Rules, 1964, Rule 22A). There is no coverage for domestic workers under the 1948 Minimum Wages </w:t>
      </w:r>
      <w:r w:rsidRPr="0010152F">
        <w:rPr>
          <w:rFonts w:ascii="Arial Black" w:hAnsi="Arial Black" w:cstheme="minorHAnsi"/>
          <w:sz w:val="22"/>
          <w:szCs w:val="22"/>
        </w:rPr>
        <w:lastRenderedPageBreak/>
        <w:t>Act. A small number of states have changed this, nevertheless, by setting minimum wages for domestic helpers. Acts 11 of 1959 from Madhya Pradesh, 20 of 1960 from Uttar Pradesh, 18 of 1960 from Kerala, 19 of 1961 from Andhra Pradesh, 3 of 1961 from Bihar, 22 of 1961 from Gujarat, 10 of 1961 from Maharashtra, 4 of 1969 from Rajasthan, Madhya Pradesh Act 36 of 1976 from Maharashtra, and 25 of 1976 from Maharashtra have all amended the Act.)</w:t>
      </w:r>
    </w:p>
    <w:p w14:paraId="47CA9AE2" w14:textId="77777777" w:rsidR="005C1134" w:rsidRPr="0010152F" w:rsidRDefault="005C1134" w:rsidP="005C1134">
      <w:pPr>
        <w:spacing w:line="360" w:lineRule="auto"/>
        <w:jc w:val="both"/>
        <w:rPr>
          <w:rFonts w:ascii="Arial Black" w:hAnsi="Arial Black" w:cstheme="minorHAnsi"/>
          <w:sz w:val="22"/>
          <w:szCs w:val="22"/>
        </w:rPr>
      </w:pPr>
      <w:r w:rsidRPr="0010152F">
        <w:rPr>
          <w:rFonts w:ascii="Arial Black" w:hAnsi="Arial Black" w:cstheme="minorHAnsi"/>
          <w:sz w:val="22"/>
          <w:szCs w:val="22"/>
        </w:rPr>
        <w:t xml:space="preserve">The 1986 Child Labour (Prohibition and Regulation) Act forbids employing minors younger than 14 for certain positions. The Act states that when a domestic worker files a complaint, the Local Committee will investigate the claim and forward it to the police if they find enough evidence to support it. Act of 2013 on the Prevention, Prohibition, and Redressal of Sexual Harassment of Women at Work, §. 11(1). </w:t>
      </w:r>
    </w:p>
    <w:p w14:paraId="42A4AE83" w14:textId="77777777" w:rsidR="005C1134" w:rsidRPr="0010152F" w:rsidRDefault="000E0D12" w:rsidP="005C1134">
      <w:pPr>
        <w:spacing w:line="360" w:lineRule="auto"/>
        <w:jc w:val="both"/>
        <w:rPr>
          <w:rFonts w:ascii="Arial Black" w:hAnsi="Arial Black" w:cstheme="minorHAnsi"/>
          <w:b/>
          <w:sz w:val="22"/>
          <w:szCs w:val="22"/>
        </w:rPr>
      </w:pPr>
      <w:r w:rsidRPr="0010152F">
        <w:rPr>
          <w:rFonts w:ascii="Arial Black" w:hAnsi="Arial Black" w:cstheme="minorHAnsi"/>
          <w:b/>
          <w:sz w:val="22"/>
          <w:szCs w:val="22"/>
        </w:rPr>
        <w:t>3</w:t>
      </w:r>
      <w:r w:rsidR="005C1134" w:rsidRPr="0010152F">
        <w:rPr>
          <w:rFonts w:ascii="Arial Black" w:hAnsi="Arial Black" w:cstheme="minorHAnsi"/>
          <w:b/>
          <w:sz w:val="22"/>
          <w:szCs w:val="22"/>
        </w:rPr>
        <w:t>.1. Social Security Measures:</w:t>
      </w:r>
    </w:p>
    <w:p w14:paraId="42C7AC55"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Domestic workers and their families are eligible for the health insurance coverage offered to Below Poverty Line (BPL) households under the National Health Insurance </w:t>
      </w:r>
      <w:proofErr w:type="spellStart"/>
      <w:r w:rsidRPr="0010152F">
        <w:rPr>
          <w:rFonts w:ascii="Arial Black" w:hAnsi="Arial Black" w:cstheme="minorHAnsi"/>
          <w:sz w:val="22"/>
          <w:szCs w:val="22"/>
        </w:rPr>
        <w:t>Programme</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Rashtriya</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Swasthya</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Bima</w:t>
      </w:r>
      <w:proofErr w:type="spellEnd"/>
      <w:r w:rsidRPr="0010152F">
        <w:rPr>
          <w:rFonts w:ascii="Arial Black" w:hAnsi="Arial Black" w:cstheme="minorHAnsi"/>
          <w:sz w:val="22"/>
          <w:szCs w:val="22"/>
        </w:rPr>
        <w:t xml:space="preserve"> Yojana), created in 2007. </w:t>
      </w:r>
    </w:p>
    <w:p w14:paraId="012B236E"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The Unorganized Workers’ Social Security Act 2008 was implemented to provide social security benefits to unorganized workers, including maternity benefits, old-age security, and health coverage for the unorganized labor force. The Act broadens the 'wage worker' definition to include domestic workers under it. (Unorganized Workers’ Social Security Act, 2008, §. 2(n)) The Act </w:t>
      </w:r>
      <w:r w:rsidRPr="0010152F">
        <w:rPr>
          <w:rFonts w:ascii="Arial Black" w:hAnsi="Arial Black" w:cstheme="minorHAnsi"/>
          <w:sz w:val="22"/>
          <w:szCs w:val="22"/>
        </w:rPr>
        <w:lastRenderedPageBreak/>
        <w:t>mandates all the States to set up welfare boards, which most of them have not complied with.</w:t>
      </w:r>
    </w:p>
    <w:p w14:paraId="6EFAF1AC" w14:textId="77777777" w:rsidR="005C1134" w:rsidRPr="0010152F" w:rsidRDefault="005C1134" w:rsidP="005C1134">
      <w:pPr>
        <w:spacing w:line="360" w:lineRule="auto"/>
        <w:jc w:val="both"/>
        <w:rPr>
          <w:rFonts w:ascii="Arial Black" w:hAnsi="Arial Black" w:cstheme="minorHAnsi"/>
          <w:sz w:val="22"/>
          <w:szCs w:val="22"/>
        </w:rPr>
      </w:pPr>
      <w:r w:rsidRPr="0010152F">
        <w:rPr>
          <w:rFonts w:ascii="Arial Black" w:hAnsi="Arial Black" w:cstheme="minorHAnsi"/>
          <w:sz w:val="22"/>
          <w:szCs w:val="22"/>
        </w:rPr>
        <w:t>To address the diverse working conditions of domestic workers, the Domestic Workers Welfare and Social Security Bill was created completely in 2010 and required worker registration. Still, the Bill failed to see the light (Domestic Workers Welfare and Social Security Act, 2010, § 15).</w:t>
      </w:r>
    </w:p>
    <w:p w14:paraId="2C1654F7" w14:textId="77777777" w:rsidR="005C1134" w:rsidRPr="0010152F" w:rsidRDefault="005C1134" w:rsidP="005C1134">
      <w:pPr>
        <w:spacing w:line="360" w:lineRule="auto"/>
        <w:jc w:val="both"/>
        <w:rPr>
          <w:rFonts w:ascii="Arial Black" w:hAnsi="Arial Black" w:cstheme="minorHAnsi"/>
          <w:sz w:val="22"/>
          <w:szCs w:val="22"/>
        </w:rPr>
      </w:pPr>
      <w:r w:rsidRPr="0010152F">
        <w:rPr>
          <w:rFonts w:ascii="Arial Black" w:hAnsi="Arial Black" w:cstheme="minorHAnsi"/>
          <w:sz w:val="22"/>
          <w:szCs w:val="22"/>
        </w:rPr>
        <w:t>To safeguard the rights and welfare of domestic workers, the Ministry of Labour and Employment, Government of India, developed the National Policy on Domestic Workers. This policy stipulates that full-time domestic workers must receive a minimum monthly compensation of Rs. 9,000, in addition to other benefits, such as required leaves. (National Policy on Domestic Helpers in the Work, August 17, 2015, The Times of India, December 30, 2016), Unfortunately, since 2017, the policy has been awaiting approval.</w:t>
      </w:r>
    </w:p>
    <w:p w14:paraId="6FC641F2"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collective strategy implemented by the Self-Employed Women’s Association in India plays an important role in women's empowerment (Hill, E, 2001).</w:t>
      </w:r>
    </w:p>
    <w:p w14:paraId="23DCE64A" w14:textId="77777777" w:rsidR="005C1134" w:rsidRPr="0010152F" w:rsidRDefault="005C1134" w:rsidP="005C1134">
      <w:pPr>
        <w:spacing w:before="240" w:after="240" w:line="360" w:lineRule="auto"/>
        <w:jc w:val="both"/>
        <w:rPr>
          <w:rFonts w:ascii="Arial Black" w:hAnsi="Arial Black" w:cstheme="minorHAnsi"/>
          <w:sz w:val="22"/>
          <w:szCs w:val="22"/>
          <w:highlight w:val="white"/>
        </w:rPr>
      </w:pPr>
      <w:r w:rsidRPr="0010152F">
        <w:rPr>
          <w:rFonts w:ascii="Arial Black" w:hAnsi="Arial Black" w:cstheme="minorHAnsi"/>
          <w:sz w:val="22"/>
          <w:szCs w:val="22"/>
        </w:rPr>
        <w:t>According to the Ministry of Labour and Employment, in 2025, 30.68 crore unorganized workers were registered, and 53.68 percent are female workers. E-Shram Portal is the Aadhaar-seeded portal for informal workers to get a UAN number and get</w:t>
      </w:r>
      <w:r w:rsidRPr="0010152F">
        <w:rPr>
          <w:rFonts w:ascii="Arial Black" w:hAnsi="Arial Black" w:cstheme="minorHAnsi"/>
          <w:sz w:val="22"/>
          <w:szCs w:val="22"/>
          <w:highlight w:val="white"/>
        </w:rPr>
        <w:t xml:space="preserve"> the benefit of 2.0 lakh accidental Insurance</w:t>
      </w:r>
      <w:r w:rsidRPr="0010152F">
        <w:rPr>
          <w:rFonts w:ascii="Arial Black" w:hAnsi="Arial Black" w:cstheme="minorHAnsi"/>
          <w:sz w:val="22"/>
          <w:szCs w:val="22"/>
        </w:rPr>
        <w:t xml:space="preserve">, </w:t>
      </w:r>
      <w:r w:rsidRPr="0010152F">
        <w:rPr>
          <w:rFonts w:ascii="Arial Black" w:hAnsi="Arial Black" w:cstheme="minorHAnsi"/>
          <w:sz w:val="22"/>
          <w:szCs w:val="22"/>
          <w:highlight w:val="white"/>
        </w:rPr>
        <w:t xml:space="preserve">some of the other schemes that were introduced by the Government for unorganized sectors are Pradhan Mantri Shram Yogi Maandhan Yojana- minimum pension of Rs. 3000 </w:t>
      </w:r>
      <w:r w:rsidRPr="0010152F">
        <w:rPr>
          <w:rFonts w:ascii="Arial Black" w:hAnsi="Arial Black" w:cstheme="minorHAnsi"/>
          <w:sz w:val="22"/>
          <w:szCs w:val="22"/>
          <w:highlight w:val="white"/>
        </w:rPr>
        <w:lastRenderedPageBreak/>
        <w:t xml:space="preserve">is provided to the beneficiary after 60 years. National Pension Scheme for shopkeepers, traders, self-employed persons- a minimum pension of Rs. 3000 is provided to a beneficiary after 60 years.   Pradhan Mantri Jeevan Jyoti Bima Yojana: If there is a death of the beneficiary due to any reason, ₹ 200000(2 Lakhs) is provided to the beneficiary’s nominee under this scheme.  Pradhan Mantri Suraksha Bima Yojana:  If the beneficiary becomes completely disabled for any reason, ₹ 200000 is provided to the beneficiary. Ayushman Bharat Pradhan Mantri Jan Arogya Yojana Health Insurance up to Rs. 500000 is provided to every family without paying any premium. Many pension and insurance accounts have been opened for the organized and unorganized workforce. A self-help group was introduced in 1984 it is a voluntary group of the same socio-economic background for the common purpose of solving their financial problems, some of the important self-help groups are </w:t>
      </w:r>
      <w:proofErr w:type="spellStart"/>
      <w:r w:rsidRPr="0010152F">
        <w:rPr>
          <w:rFonts w:ascii="Arial Black" w:hAnsi="Arial Black" w:cstheme="minorHAnsi"/>
          <w:sz w:val="22"/>
          <w:szCs w:val="22"/>
          <w:highlight w:val="white"/>
        </w:rPr>
        <w:t>Mahila</w:t>
      </w:r>
      <w:proofErr w:type="spellEnd"/>
      <w:r w:rsidRPr="0010152F">
        <w:rPr>
          <w:rFonts w:ascii="Arial Black" w:hAnsi="Arial Black" w:cstheme="minorHAnsi"/>
          <w:sz w:val="22"/>
          <w:szCs w:val="22"/>
          <w:highlight w:val="white"/>
        </w:rPr>
        <w:t xml:space="preserve"> </w:t>
      </w:r>
      <w:proofErr w:type="spellStart"/>
      <w:r w:rsidRPr="0010152F">
        <w:rPr>
          <w:rFonts w:ascii="Arial Black" w:hAnsi="Arial Black" w:cstheme="minorHAnsi"/>
          <w:sz w:val="22"/>
          <w:szCs w:val="22"/>
          <w:highlight w:val="white"/>
        </w:rPr>
        <w:t>Arthik</w:t>
      </w:r>
      <w:proofErr w:type="spellEnd"/>
      <w:r w:rsidRPr="0010152F">
        <w:rPr>
          <w:rFonts w:ascii="Arial Black" w:hAnsi="Arial Black" w:cstheme="minorHAnsi"/>
          <w:sz w:val="22"/>
          <w:szCs w:val="22"/>
          <w:highlight w:val="white"/>
        </w:rPr>
        <w:t xml:space="preserve"> Vikas </w:t>
      </w:r>
      <w:proofErr w:type="spellStart"/>
      <w:r w:rsidRPr="0010152F">
        <w:rPr>
          <w:rFonts w:ascii="Arial Black" w:hAnsi="Arial Black" w:cstheme="minorHAnsi"/>
          <w:sz w:val="22"/>
          <w:szCs w:val="22"/>
          <w:highlight w:val="white"/>
        </w:rPr>
        <w:t>Mahamandal</w:t>
      </w:r>
      <w:proofErr w:type="spellEnd"/>
      <w:r w:rsidRPr="0010152F">
        <w:rPr>
          <w:rFonts w:ascii="Arial Black" w:hAnsi="Arial Black" w:cstheme="minorHAnsi"/>
          <w:sz w:val="22"/>
          <w:szCs w:val="22"/>
          <w:highlight w:val="white"/>
        </w:rPr>
        <w:t xml:space="preserve">, Self-Employment Women's Association, </w:t>
      </w:r>
      <w:proofErr w:type="spellStart"/>
      <w:r w:rsidRPr="0010152F">
        <w:rPr>
          <w:rFonts w:ascii="Arial Black" w:hAnsi="Arial Black" w:cstheme="minorHAnsi"/>
          <w:sz w:val="22"/>
          <w:szCs w:val="22"/>
          <w:highlight w:val="white"/>
        </w:rPr>
        <w:t>Kudumbashee</w:t>
      </w:r>
      <w:proofErr w:type="spellEnd"/>
      <w:r w:rsidRPr="0010152F">
        <w:rPr>
          <w:rFonts w:ascii="Arial Black" w:hAnsi="Arial Black" w:cstheme="minorHAnsi"/>
          <w:sz w:val="22"/>
          <w:szCs w:val="22"/>
          <w:highlight w:val="white"/>
        </w:rPr>
        <w:t>, Bandhan-</w:t>
      </w:r>
      <w:proofErr w:type="spellStart"/>
      <w:r w:rsidRPr="0010152F">
        <w:rPr>
          <w:rFonts w:ascii="Arial Black" w:hAnsi="Arial Black" w:cstheme="minorHAnsi"/>
          <w:sz w:val="22"/>
          <w:szCs w:val="22"/>
          <w:highlight w:val="white"/>
        </w:rPr>
        <w:t>Konnagar</w:t>
      </w:r>
      <w:proofErr w:type="spellEnd"/>
      <w:r w:rsidRPr="0010152F">
        <w:rPr>
          <w:rFonts w:ascii="Arial Black" w:hAnsi="Arial Black" w:cstheme="minorHAnsi"/>
          <w:sz w:val="22"/>
          <w:szCs w:val="22"/>
          <w:highlight w:val="white"/>
        </w:rPr>
        <w:t xml:space="preserve">, </w:t>
      </w:r>
      <w:proofErr w:type="spellStart"/>
      <w:r w:rsidRPr="0010152F">
        <w:rPr>
          <w:rFonts w:ascii="Arial Black" w:hAnsi="Arial Black" w:cstheme="minorHAnsi"/>
          <w:sz w:val="22"/>
          <w:szCs w:val="22"/>
          <w:highlight w:val="white"/>
        </w:rPr>
        <w:t>Bhagini</w:t>
      </w:r>
      <w:proofErr w:type="spellEnd"/>
      <w:r w:rsidRPr="0010152F">
        <w:rPr>
          <w:rFonts w:ascii="Arial Black" w:hAnsi="Arial Black" w:cstheme="minorHAnsi"/>
          <w:sz w:val="22"/>
          <w:szCs w:val="22"/>
          <w:highlight w:val="white"/>
        </w:rPr>
        <w:t xml:space="preserve"> Nivedita Gramin Vigyan Niketan are some of the self-help groups designed to protect the interest of Women in informal sector.</w:t>
      </w:r>
    </w:p>
    <w:p w14:paraId="6C7B64A5" w14:textId="77777777" w:rsidR="005C1134" w:rsidRPr="0010152F" w:rsidRDefault="000E0D12" w:rsidP="005C1134">
      <w:pPr>
        <w:spacing w:before="240" w:after="240" w:line="360" w:lineRule="auto"/>
        <w:jc w:val="both"/>
        <w:rPr>
          <w:rFonts w:ascii="Arial Black" w:hAnsi="Arial Black"/>
          <w:b/>
          <w:sz w:val="22"/>
          <w:szCs w:val="22"/>
        </w:rPr>
      </w:pPr>
      <w:r w:rsidRPr="0010152F">
        <w:rPr>
          <w:rFonts w:ascii="Arial Black" w:hAnsi="Arial Black"/>
          <w:b/>
          <w:sz w:val="22"/>
          <w:szCs w:val="22"/>
        </w:rPr>
        <w:t>3.2</w:t>
      </w:r>
      <w:r w:rsidR="005C1134" w:rsidRPr="0010152F">
        <w:rPr>
          <w:rFonts w:ascii="Arial Black" w:hAnsi="Arial Black"/>
          <w:b/>
          <w:sz w:val="22"/>
          <w:szCs w:val="22"/>
        </w:rPr>
        <w:t>. Data Analysis and Results</w:t>
      </w:r>
    </w:p>
    <w:p w14:paraId="54D0FDE2" w14:textId="77777777" w:rsidR="005C1134" w:rsidRPr="0010152F" w:rsidRDefault="005C1134" w:rsidP="005C1134">
      <w:pPr>
        <w:spacing w:before="240" w:after="240" w:line="360" w:lineRule="auto"/>
        <w:jc w:val="both"/>
        <w:rPr>
          <w:rFonts w:ascii="Arial Black" w:hAnsi="Arial Black"/>
          <w:b/>
          <w:sz w:val="22"/>
          <w:szCs w:val="22"/>
        </w:rPr>
      </w:pPr>
      <w:r w:rsidRPr="0010152F">
        <w:rPr>
          <w:rFonts w:ascii="Arial Black" w:hAnsi="Arial Black"/>
          <w:noProof/>
          <w:sz w:val="22"/>
          <w:szCs w:val="22"/>
          <w:lang w:eastAsia="en-IN"/>
        </w:rPr>
        <w:lastRenderedPageBreak/>
        <w:drawing>
          <wp:inline distT="0" distB="0" distL="0" distR="0" wp14:anchorId="4CB31C4C" wp14:editId="0E517F08">
            <wp:extent cx="5486400" cy="1943100"/>
            <wp:effectExtent l="0" t="0" r="0" b="0"/>
            <wp:docPr id="3" name="Chart 3">
              <a:extLst xmlns:a="http://schemas.openxmlformats.org/drawingml/2006/main">
                <a:ext uri="{FF2B5EF4-FFF2-40B4-BE49-F238E27FC236}">
                  <a16:creationId xmlns:a16="http://schemas.microsoft.com/office/drawing/2014/main" id="{5876FE44-B8C8-4703-81CE-80A4D6F937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A8AF53"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Fig.1.</w:t>
      </w:r>
      <w:r w:rsidRPr="0010152F">
        <w:rPr>
          <w:rFonts w:ascii="Arial Black" w:hAnsi="Arial Black" w:cstheme="minorHAnsi"/>
          <w:sz w:val="22"/>
          <w:szCs w:val="22"/>
        </w:rPr>
        <w:t xml:space="preserve"> Age of the Respondents</w:t>
      </w:r>
    </w:p>
    <w:p w14:paraId="125AF665"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 xml:space="preserve">Source: </w:t>
      </w:r>
      <w:r w:rsidRPr="0010152F">
        <w:rPr>
          <w:rFonts w:ascii="Arial Black" w:hAnsi="Arial Black" w:cstheme="minorHAnsi"/>
          <w:sz w:val="22"/>
          <w:szCs w:val="22"/>
        </w:rPr>
        <w:t>Primary Data</w:t>
      </w:r>
    </w:p>
    <w:p w14:paraId="46AB4241"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figure explains the women domestic workers’ age. Out of 100 respondents, 15 to 25 years age workers 27(27 percent), 25-35 age workers 23(23 percent), 35-45 age women 35 members (35 percent), between 45-55 age group workers are10(10 Percent), and 55-65 age group people are only 5(5 percent). The study finds that middle-aged female domestic workers are more than old age people because of their health conditions, the age-old women suffer from back aches, leg pains, and skin allergies and cannot actively work and the women workers cannot work for long years due to decrease in active health conditions after a certain age they lose the physical capacity to work actively due fall in health conditions and they lose their earning capacity compared to young women workers.</w:t>
      </w:r>
    </w:p>
    <w:p w14:paraId="33198EFB"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noProof/>
          <w:sz w:val="22"/>
          <w:szCs w:val="22"/>
          <w:lang w:eastAsia="en-IN"/>
        </w:rPr>
        <w:lastRenderedPageBreak/>
        <w:drawing>
          <wp:inline distT="0" distB="0" distL="0" distR="0" wp14:anchorId="67830D34" wp14:editId="299E5FAE">
            <wp:extent cx="5400675" cy="2209800"/>
            <wp:effectExtent l="0" t="0" r="9525" b="0"/>
            <wp:docPr id="4" name="Chart 4">
              <a:extLst xmlns:a="http://schemas.openxmlformats.org/drawingml/2006/main">
                <a:ext uri="{FF2B5EF4-FFF2-40B4-BE49-F238E27FC236}">
                  <a16:creationId xmlns:a16="http://schemas.microsoft.com/office/drawing/2014/main" id="{87E7330E-33E5-46EE-BA1F-3DB8FE1B35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8F0514"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Fig.2.</w:t>
      </w:r>
      <w:r w:rsidRPr="0010152F">
        <w:rPr>
          <w:rFonts w:ascii="Arial Black" w:hAnsi="Arial Black" w:cstheme="minorHAnsi"/>
          <w:sz w:val="22"/>
          <w:szCs w:val="22"/>
        </w:rPr>
        <w:t xml:space="preserve"> Monthly Income of the Respondents</w:t>
      </w:r>
    </w:p>
    <w:p w14:paraId="67C2BE8F"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Source:</w:t>
      </w:r>
      <w:r w:rsidRPr="0010152F">
        <w:rPr>
          <w:rFonts w:ascii="Arial Black" w:hAnsi="Arial Black" w:cstheme="minorHAnsi"/>
          <w:sz w:val="22"/>
          <w:szCs w:val="22"/>
        </w:rPr>
        <w:t xml:space="preserve"> Collated from the fieldwork</w:t>
      </w:r>
    </w:p>
    <w:p w14:paraId="35155C2D"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The figure describes the monthly income of the respondents, 28(28 percent) of the respondents earn 10,000-15,000 wage per month, 21 respondents (21 percent) earn 15,000 to 20,000 rupees per month, 15 women workers (15 percent) earn around 20,000 to 25,000, about 24 respondents get monthly wage as 25,000 to 30,000 income and only 12(12 percent) earn 30,000 to 40,000 rupees per month. These workers also get festival gifts and bonuses, and extra money earned due to extra work.  Young women earn more compared to older women due to their health conditions. The survey also found that the minimum salary is 2500 rupees and the maximum is 6000 rupees based on the family and house size and per day young workers cover 6 to 7 houses and age-old workers cover 3 to 4 houses, the workers finish their work within 30 to 45 minutes in each house, if the time is more consumed, they charge more money from that particular house owner. Many respondents said that they work for very long hours, like morning 5:00 AM to </w:t>
      </w:r>
      <w:r w:rsidRPr="0010152F">
        <w:rPr>
          <w:rFonts w:ascii="Arial Black" w:hAnsi="Arial Black" w:cstheme="minorHAnsi"/>
          <w:sz w:val="22"/>
          <w:szCs w:val="22"/>
        </w:rPr>
        <w:lastRenderedPageBreak/>
        <w:t>7:00 PM. Some families offer them coffee, tea, and food as per the timings, and some owners also help these workers' children's education; these workers don’t have holidays unless bad health conditions.</w:t>
      </w:r>
    </w:p>
    <w:p w14:paraId="0F7DF73A"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eastAsia="Calibri" w:hAnsi="Arial Black" w:cstheme="minorHAnsi"/>
          <w:b/>
          <w:noProof/>
          <w:sz w:val="22"/>
          <w:szCs w:val="22"/>
          <w:lang w:eastAsia="en-IN"/>
        </w:rPr>
        <w:drawing>
          <wp:inline distT="0" distB="0" distL="0" distR="0" wp14:anchorId="3BC95D3E" wp14:editId="370AF4DB">
            <wp:extent cx="5715000" cy="2219325"/>
            <wp:effectExtent l="76200" t="76200" r="133350" b="142875"/>
            <wp:docPr id="6" name="Picture 6" descr="C:\Users\Admin\AppData\Local\Microsoft\Windows\INetCache\Content.MSO\D24F57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D24F574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402" cy="22229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822D7B"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Fig.3.</w:t>
      </w:r>
      <w:r w:rsidRPr="0010152F">
        <w:rPr>
          <w:rFonts w:ascii="Arial Black" w:hAnsi="Arial Black" w:cstheme="minorHAnsi"/>
          <w:sz w:val="22"/>
          <w:szCs w:val="22"/>
        </w:rPr>
        <w:t xml:space="preserve"> Experience of the Respondents</w:t>
      </w:r>
    </w:p>
    <w:p w14:paraId="1317B77B"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Source:</w:t>
      </w:r>
      <w:r w:rsidRPr="0010152F">
        <w:rPr>
          <w:rFonts w:ascii="Arial Black" w:hAnsi="Arial Black" w:cstheme="minorHAnsi"/>
          <w:sz w:val="22"/>
          <w:szCs w:val="22"/>
        </w:rPr>
        <w:t xml:space="preserve"> Primary Data</w:t>
      </w:r>
    </w:p>
    <w:p w14:paraId="0FE69D76"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above figure gives a clear picture of the experience of the respondents out of 100 respondents with 10 years of experience 34 respondents (34 percent), with 10-20 years of experience 39 women (39 percent), with 20-30 years of experience in household work 22(22 Percent) domestic workers and 30-40 years of experienced workers are just 5 members (5 percent). The study finds that as the age increases, the working capacity of women workers decreases due to a decline in health, and they have to depend on family members.</w:t>
      </w:r>
    </w:p>
    <w:p w14:paraId="1D337F0D"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noProof/>
          <w:sz w:val="22"/>
          <w:szCs w:val="22"/>
          <w:lang w:eastAsia="en-IN"/>
        </w:rPr>
        <w:lastRenderedPageBreak/>
        <w:drawing>
          <wp:inline distT="0" distB="0" distL="0" distR="0" wp14:anchorId="3A604D86" wp14:editId="1B8AF0F6">
            <wp:extent cx="5495925" cy="2514600"/>
            <wp:effectExtent l="0" t="0" r="9525" b="0"/>
            <wp:docPr id="7" name="Chart 7">
              <a:extLst xmlns:a="http://schemas.openxmlformats.org/drawingml/2006/main">
                <a:ext uri="{FF2B5EF4-FFF2-40B4-BE49-F238E27FC236}">
                  <a16:creationId xmlns:a16="http://schemas.microsoft.com/office/drawing/2014/main" id="{86C0374E-B33A-4655-AB42-2C42E2480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9DDEA0"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Fig.4.</w:t>
      </w:r>
      <w:r w:rsidRPr="0010152F">
        <w:rPr>
          <w:rFonts w:ascii="Arial Black" w:hAnsi="Arial Black" w:cstheme="minorHAnsi"/>
          <w:sz w:val="22"/>
          <w:szCs w:val="22"/>
        </w:rPr>
        <w:t xml:space="preserve"> Migrated and non-migrated workers of respondents</w:t>
      </w:r>
    </w:p>
    <w:p w14:paraId="52729636"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Source:</w:t>
      </w:r>
      <w:r w:rsidRPr="0010152F">
        <w:rPr>
          <w:rFonts w:ascii="Arial Black" w:hAnsi="Arial Black" w:cstheme="minorHAnsi"/>
          <w:sz w:val="22"/>
          <w:szCs w:val="22"/>
        </w:rPr>
        <w:t xml:space="preserve"> Collated from the fieldwork</w:t>
      </w:r>
    </w:p>
    <w:p w14:paraId="10F979A6"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The figure depicts the size of the migrated workers; out of 100 respondents, 73 of them said that they migrated to Bengaluru for job and income opportunities, the survey identified that many of the respondents are migrant workers and they are from Andhra Pradesh, Tamil Nadu, Nepal, Bengal, Gujarat and Madhya Pradesh. They all belong to rural areas, The study identified that due to poor economic and social conditions of rural areas, many of the workers migrated to Bengaluru. The reasons are no regular income from agriculture, small holdings of the land, inadequate rainfall, an increase in the cost of production of agriculture, and an increase in personal loans, many workers migrated to Bengaluru. The study identified that non-migrant workers are only 27(27 percent). Since Bengaluru is an IT hub and people are busy with their jobs, there is a huge demand for domestic workers. During COVID-19, reverse </w:t>
      </w:r>
      <w:r w:rsidRPr="0010152F">
        <w:rPr>
          <w:rFonts w:ascii="Arial Black" w:hAnsi="Arial Black" w:cstheme="minorHAnsi"/>
          <w:sz w:val="22"/>
          <w:szCs w:val="22"/>
        </w:rPr>
        <w:lastRenderedPageBreak/>
        <w:t>migration was observed as the majority of the workers migrated back to their villages to save their lives.</w:t>
      </w:r>
    </w:p>
    <w:p w14:paraId="4DBC9B96" w14:textId="77777777" w:rsidR="005C1134" w:rsidRPr="0010152F" w:rsidRDefault="005C1134" w:rsidP="005C1134">
      <w:pPr>
        <w:spacing w:before="240" w:after="240" w:line="360" w:lineRule="auto"/>
        <w:jc w:val="center"/>
        <w:rPr>
          <w:rFonts w:ascii="Arial Black" w:hAnsi="Arial Black" w:cstheme="minorHAnsi"/>
          <w:b/>
          <w:sz w:val="22"/>
          <w:szCs w:val="22"/>
        </w:rPr>
      </w:pPr>
      <w:r w:rsidRPr="0010152F">
        <w:rPr>
          <w:rFonts w:ascii="Arial Black" w:hAnsi="Arial Black" w:cstheme="minorHAnsi"/>
          <w:noProof/>
          <w:sz w:val="22"/>
          <w:szCs w:val="22"/>
          <w:lang w:eastAsia="en-IN"/>
        </w:rPr>
        <w:drawing>
          <wp:inline distT="0" distB="0" distL="0" distR="0" wp14:anchorId="3C4ADAB2" wp14:editId="1EB4A387">
            <wp:extent cx="5457825" cy="1924050"/>
            <wp:effectExtent l="0" t="0" r="9525" b="0"/>
            <wp:docPr id="8" name="Chart 8">
              <a:extLst xmlns:a="http://schemas.openxmlformats.org/drawingml/2006/main">
                <a:ext uri="{FF2B5EF4-FFF2-40B4-BE49-F238E27FC236}">
                  <a16:creationId xmlns:a16="http://schemas.microsoft.com/office/drawing/2014/main" id="{188A478C-1055-4423-8F9E-33066790A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A9B1DE"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Fig.5.</w:t>
      </w:r>
      <w:r w:rsidRPr="0010152F">
        <w:rPr>
          <w:rFonts w:ascii="Arial Black" w:hAnsi="Arial Black" w:cstheme="minorHAnsi"/>
          <w:sz w:val="22"/>
          <w:szCs w:val="22"/>
        </w:rPr>
        <w:t xml:space="preserve"> Social Security Measures</w:t>
      </w:r>
    </w:p>
    <w:p w14:paraId="24196C77" w14:textId="77777777" w:rsidR="005C1134" w:rsidRPr="0010152F" w:rsidRDefault="005C1134" w:rsidP="005C1134">
      <w:pPr>
        <w:spacing w:line="360" w:lineRule="auto"/>
        <w:jc w:val="center"/>
        <w:rPr>
          <w:rFonts w:ascii="Arial Black" w:hAnsi="Arial Black" w:cstheme="minorHAnsi"/>
          <w:sz w:val="22"/>
          <w:szCs w:val="22"/>
        </w:rPr>
      </w:pPr>
      <w:r w:rsidRPr="0010152F">
        <w:rPr>
          <w:rFonts w:ascii="Arial Black" w:hAnsi="Arial Black" w:cstheme="minorHAnsi"/>
          <w:b/>
          <w:sz w:val="22"/>
          <w:szCs w:val="22"/>
        </w:rPr>
        <w:t>Source:</w:t>
      </w:r>
      <w:r w:rsidRPr="0010152F">
        <w:rPr>
          <w:rFonts w:ascii="Arial Black" w:hAnsi="Arial Black" w:cstheme="minorHAnsi"/>
          <w:sz w:val="22"/>
          <w:szCs w:val="22"/>
        </w:rPr>
        <w:t xml:space="preserve"> Primary Data</w:t>
      </w:r>
    </w:p>
    <w:p w14:paraId="7E62CA66" w14:textId="77777777" w:rsidR="005C1134" w:rsidRPr="0010152F" w:rsidRDefault="005C1134" w:rsidP="005C1134">
      <w:pPr>
        <w:spacing w:before="240" w:after="240" w:line="360" w:lineRule="auto"/>
        <w:jc w:val="both"/>
        <w:rPr>
          <w:rFonts w:ascii="Arial Black" w:hAnsi="Arial Black" w:cstheme="minorHAnsi"/>
          <w:sz w:val="22"/>
          <w:szCs w:val="22"/>
          <w:highlight w:val="white"/>
        </w:rPr>
      </w:pPr>
      <w:r w:rsidRPr="0010152F">
        <w:rPr>
          <w:rFonts w:ascii="Arial Black" w:hAnsi="Arial Black" w:cstheme="minorHAnsi"/>
          <w:sz w:val="22"/>
          <w:szCs w:val="22"/>
        </w:rPr>
        <w:t>The above figure explains the social security measures adopted by the domestic workers of Bengaluru Urban. The study has considered only a few social security schemes. E-Shram Portal for informal workers to get a UAN number and get</w:t>
      </w:r>
      <w:r w:rsidRPr="0010152F">
        <w:rPr>
          <w:rFonts w:ascii="Arial Black" w:hAnsi="Arial Black" w:cstheme="minorHAnsi"/>
          <w:sz w:val="22"/>
          <w:szCs w:val="22"/>
          <w:highlight w:val="white"/>
        </w:rPr>
        <w:t xml:space="preserve"> the benefit of 2 lakh accidental Insurance.</w:t>
      </w:r>
      <w:r w:rsidRPr="0010152F">
        <w:rPr>
          <w:rFonts w:ascii="Arial Black" w:hAnsi="Arial Black" w:cstheme="minorHAnsi"/>
          <w:sz w:val="22"/>
          <w:szCs w:val="22"/>
        </w:rPr>
        <w:t xml:space="preserve"> Out of 100 respondents 19(19 percent) are registered to and got UAN numbers, and 81 of them are unaware of the policy. </w:t>
      </w:r>
      <w:r w:rsidRPr="0010152F">
        <w:rPr>
          <w:rFonts w:ascii="Arial Black" w:hAnsi="Arial Black" w:cstheme="minorHAnsi"/>
          <w:sz w:val="22"/>
          <w:szCs w:val="22"/>
          <w:highlight w:val="white"/>
        </w:rPr>
        <w:t xml:space="preserve">Pradhan Mantri Shram Yogi Maandhan Yojana- a minimum pension of Rs. 3000 is provided to the beneficiary after 60 years. National Pension Scheme for domestic workers, shopkeepers, traders, and self-employed persons- a minimum pension of Rs. 3000 is provided to a beneficiary after 60 years. 36 respondents out of 100 (36 percent) have enrolled in the program, and 65 of them don’t know about this scheme. Out of 95 women workers have saving accounts in commercial banks and in the Post </w:t>
      </w:r>
      <w:r w:rsidRPr="0010152F">
        <w:rPr>
          <w:rFonts w:ascii="Arial Black" w:hAnsi="Arial Black" w:cstheme="minorHAnsi"/>
          <w:sz w:val="22"/>
          <w:szCs w:val="22"/>
          <w:highlight w:val="white"/>
        </w:rPr>
        <w:lastRenderedPageBreak/>
        <w:t>Offices to save their money. The Pradhan Mantri Suraksha Bima Yojana (PMSBY) of deducting 12 rupees per annum and its benefits have attracted many women workers, but only 5 respondents (5 percent) do not have any savings bank account due to their old age and complete innocence. The survey also found that many workers invested their money in local chit companies to save their money and also to protect themselves from uncertain situations. The women workers are not aware of the legal name of the Minimum Wage Act exactly, but they know the minimum wage has to be received due to inflation of basic necessities and due to the increase in demand for domestic workers, they bargain for their minimum wages. A self-help group is a voluntary group of the same socio-economic background for the common purpose of solving their financial problems. 44 of the respondents (44 percent) are members of a self-help group, and 56 of the respondents (56 percent) are not members of any group. The study finds that self-help groups support domestic women workers during financial issues. Many respondents are illiterate, and their maximum qualification is 10</w:t>
      </w:r>
      <w:r w:rsidRPr="0010152F">
        <w:rPr>
          <w:rFonts w:ascii="Arial Black" w:hAnsi="Arial Black" w:cstheme="minorHAnsi"/>
          <w:sz w:val="22"/>
          <w:szCs w:val="22"/>
          <w:highlight w:val="white"/>
          <w:vertAlign w:val="superscript"/>
        </w:rPr>
        <w:t>th</w:t>
      </w:r>
      <w:r w:rsidRPr="0010152F">
        <w:rPr>
          <w:rFonts w:ascii="Arial Black" w:hAnsi="Arial Black" w:cstheme="minorHAnsi"/>
          <w:sz w:val="22"/>
          <w:szCs w:val="22"/>
          <w:highlight w:val="white"/>
        </w:rPr>
        <w:t xml:space="preserve"> standard only due to their financial background.</w:t>
      </w:r>
    </w:p>
    <w:p w14:paraId="2EFB9B99" w14:textId="77777777" w:rsidR="005C1134" w:rsidRPr="0010152F" w:rsidRDefault="000E0D12" w:rsidP="005C1134">
      <w:pPr>
        <w:spacing w:before="240" w:after="240" w:line="360" w:lineRule="auto"/>
        <w:jc w:val="both"/>
        <w:rPr>
          <w:rFonts w:ascii="Arial Black" w:hAnsi="Arial Black" w:cstheme="minorHAnsi"/>
          <w:b/>
          <w:sz w:val="22"/>
          <w:szCs w:val="22"/>
        </w:rPr>
      </w:pPr>
      <w:r w:rsidRPr="0010152F">
        <w:rPr>
          <w:rFonts w:ascii="Arial Black" w:hAnsi="Arial Black" w:cstheme="minorHAnsi"/>
          <w:b/>
          <w:sz w:val="22"/>
          <w:szCs w:val="22"/>
        </w:rPr>
        <w:t>3.3</w:t>
      </w:r>
      <w:r w:rsidR="005C1134" w:rsidRPr="0010152F">
        <w:rPr>
          <w:rFonts w:ascii="Arial Black" w:hAnsi="Arial Black" w:cstheme="minorHAnsi"/>
          <w:b/>
          <w:sz w:val="22"/>
          <w:szCs w:val="22"/>
        </w:rPr>
        <w:t>. Hypothesis Testing</w:t>
      </w:r>
    </w:p>
    <w:p w14:paraId="058D0FD5" w14:textId="77777777" w:rsidR="005C1134" w:rsidRPr="0010152F" w:rsidRDefault="005C1134" w:rsidP="005C1134">
      <w:pPr>
        <w:spacing w:before="240" w:after="240" w:line="360" w:lineRule="auto"/>
        <w:jc w:val="both"/>
        <w:rPr>
          <w:rFonts w:ascii="Arial Black" w:hAnsi="Arial Black" w:cstheme="minorHAnsi"/>
          <w:sz w:val="22"/>
          <w:szCs w:val="22"/>
        </w:rPr>
      </w:pPr>
      <w:bookmarkStart w:id="0" w:name="_Hlk186812636"/>
      <w:r w:rsidRPr="0010152F">
        <w:rPr>
          <w:rFonts w:ascii="Arial Black" w:hAnsi="Arial Black" w:cstheme="minorHAnsi"/>
          <w:sz w:val="22"/>
          <w:szCs w:val="22"/>
        </w:rPr>
        <w:t>H</w:t>
      </w:r>
      <w:r w:rsidRPr="0010152F">
        <w:rPr>
          <w:rFonts w:ascii="Arial Black" w:hAnsi="Arial Black" w:cstheme="minorHAnsi"/>
          <w:sz w:val="22"/>
          <w:szCs w:val="22"/>
          <w:vertAlign w:val="subscript"/>
        </w:rPr>
        <w:t>0</w:t>
      </w:r>
      <w:r w:rsidRPr="0010152F">
        <w:rPr>
          <w:rFonts w:ascii="Arial Black" w:hAnsi="Arial Black" w:cstheme="minorHAnsi"/>
          <w:sz w:val="22"/>
          <w:szCs w:val="22"/>
        </w:rPr>
        <w:t>: There is no impact of social security schemes on female domestic workers</w:t>
      </w:r>
    </w:p>
    <w:p w14:paraId="0FA50A4A"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 xml:space="preserve"> H</w:t>
      </w:r>
      <w:r w:rsidRPr="0010152F">
        <w:rPr>
          <w:rFonts w:ascii="Arial Black" w:hAnsi="Arial Black" w:cstheme="minorHAnsi"/>
          <w:sz w:val="22"/>
          <w:szCs w:val="22"/>
          <w:vertAlign w:val="subscript"/>
        </w:rPr>
        <w:t>1</w:t>
      </w:r>
      <w:r w:rsidRPr="0010152F">
        <w:rPr>
          <w:rFonts w:ascii="Arial Black" w:hAnsi="Arial Black" w:cstheme="minorHAnsi"/>
          <w:sz w:val="22"/>
          <w:szCs w:val="22"/>
        </w:rPr>
        <w:t>: There is an impact of social security schemes on female domestic workers</w:t>
      </w:r>
    </w:p>
    <w:p w14:paraId="49887D4B"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lastRenderedPageBreak/>
        <w:t>To test the hypothesis, the study has taken SHG (Self Help Groups), Registration in E-Sharm Portal, registration in PM Pension Yojana, and opening an SB Account are the independent variables, and the dependent variables are Education, Experience, and Age</w:t>
      </w:r>
    </w:p>
    <w:p w14:paraId="143B79DE"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2403"/>
        <w:gridCol w:w="2268"/>
      </w:tblGrid>
      <w:tr w:rsidR="005C1134" w:rsidRPr="0010152F" w14:paraId="63B20738" w14:textId="77777777" w:rsidTr="0004526B">
        <w:trPr>
          <w:cantSplit/>
        </w:trPr>
        <w:tc>
          <w:tcPr>
            <w:tcW w:w="6946" w:type="dxa"/>
            <w:gridSpan w:val="4"/>
            <w:tcBorders>
              <w:top w:val="nil"/>
              <w:left w:val="nil"/>
              <w:bottom w:val="nil"/>
              <w:right w:val="nil"/>
            </w:tcBorders>
            <w:shd w:val="clear" w:color="auto" w:fill="FFFFFF"/>
            <w:vAlign w:val="center"/>
          </w:tcPr>
          <w:p w14:paraId="48BF086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No.1. Variables Entered/Removed</w:t>
            </w:r>
          </w:p>
        </w:tc>
      </w:tr>
      <w:tr w:rsidR="005C1134" w:rsidRPr="0010152F" w14:paraId="1A4368BF"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FCBEB33"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0D0AE709"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Entered</w:t>
            </w:r>
          </w:p>
        </w:tc>
        <w:tc>
          <w:tcPr>
            <w:tcW w:w="2403" w:type="dxa"/>
            <w:tcBorders>
              <w:top w:val="single" w:sz="16" w:space="0" w:color="000000"/>
              <w:bottom w:val="single" w:sz="16" w:space="0" w:color="000000"/>
            </w:tcBorders>
            <w:shd w:val="clear" w:color="auto" w:fill="FFFFFF"/>
            <w:vAlign w:val="bottom"/>
          </w:tcPr>
          <w:p w14:paraId="764E002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Removed</w:t>
            </w:r>
          </w:p>
        </w:tc>
        <w:tc>
          <w:tcPr>
            <w:tcW w:w="2268" w:type="dxa"/>
            <w:tcBorders>
              <w:top w:val="single" w:sz="16" w:space="0" w:color="000000"/>
              <w:bottom w:val="single" w:sz="16" w:space="0" w:color="000000"/>
              <w:right w:val="single" w:sz="16" w:space="0" w:color="000000"/>
            </w:tcBorders>
            <w:shd w:val="clear" w:color="auto" w:fill="FFFFFF"/>
            <w:vAlign w:val="bottom"/>
          </w:tcPr>
          <w:p w14:paraId="29681D9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Method</w:t>
            </w:r>
          </w:p>
        </w:tc>
      </w:tr>
      <w:tr w:rsidR="005C1134" w:rsidRPr="0010152F" w14:paraId="7BF19E45"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271620C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476" w:type="dxa"/>
            <w:tcBorders>
              <w:top w:val="single" w:sz="16" w:space="0" w:color="000000"/>
              <w:left w:val="single" w:sz="16" w:space="0" w:color="000000"/>
              <w:bottom w:val="single" w:sz="16" w:space="0" w:color="000000"/>
            </w:tcBorders>
            <w:shd w:val="clear" w:color="auto" w:fill="FFFFFF"/>
            <w:vAlign w:val="center"/>
          </w:tcPr>
          <w:p w14:paraId="16F477BE"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 E-</w:t>
            </w:r>
            <w:proofErr w:type="spellStart"/>
            <w:r w:rsidRPr="0010152F">
              <w:rPr>
                <w:rFonts w:ascii="Arial Black" w:hAnsi="Arial Black" w:cstheme="minorHAnsi"/>
                <w:color w:val="000000"/>
                <w:sz w:val="22"/>
                <w:szCs w:val="22"/>
                <w:lang w:val="en-IN"/>
              </w:rPr>
              <w:t>Shram</w:t>
            </w:r>
            <w:proofErr w:type="spellEnd"/>
            <w:r w:rsidRPr="0010152F">
              <w:rPr>
                <w:rFonts w:ascii="Arial Black" w:hAnsi="Arial Black" w:cstheme="minorHAnsi"/>
                <w:color w:val="000000"/>
                <w:sz w:val="22"/>
                <w:szCs w:val="22"/>
                <w:lang w:val="en-IN"/>
              </w:rPr>
              <w:t xml:space="preserve">, Pension, SB </w:t>
            </w:r>
            <w:proofErr w:type="spellStart"/>
            <w:r w:rsidRPr="0010152F">
              <w:rPr>
                <w:rFonts w:ascii="Arial Black" w:hAnsi="Arial Black" w:cstheme="minorHAnsi"/>
                <w:color w:val="000000"/>
                <w:sz w:val="22"/>
                <w:szCs w:val="22"/>
                <w:lang w:val="en-IN"/>
              </w:rPr>
              <w:t>Account</w:t>
            </w:r>
            <w:r w:rsidRPr="0010152F">
              <w:rPr>
                <w:rFonts w:ascii="Arial Black" w:hAnsi="Arial Black" w:cstheme="minorHAnsi"/>
                <w:color w:val="000000"/>
                <w:sz w:val="22"/>
                <w:szCs w:val="22"/>
                <w:vertAlign w:val="superscript"/>
                <w:lang w:val="en-IN"/>
              </w:rPr>
              <w:t>b</w:t>
            </w:r>
            <w:proofErr w:type="spellEnd"/>
          </w:p>
        </w:tc>
        <w:tc>
          <w:tcPr>
            <w:tcW w:w="2403" w:type="dxa"/>
            <w:tcBorders>
              <w:top w:val="single" w:sz="16" w:space="0" w:color="000000"/>
              <w:bottom w:val="single" w:sz="16" w:space="0" w:color="000000"/>
            </w:tcBorders>
            <w:shd w:val="clear" w:color="auto" w:fill="FFFFFF"/>
            <w:vAlign w:val="center"/>
          </w:tcPr>
          <w:p w14:paraId="3BA27AC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w:t>
            </w:r>
          </w:p>
        </w:tc>
        <w:tc>
          <w:tcPr>
            <w:tcW w:w="2268" w:type="dxa"/>
            <w:tcBorders>
              <w:top w:val="single" w:sz="16" w:space="0" w:color="000000"/>
              <w:bottom w:val="single" w:sz="16" w:space="0" w:color="000000"/>
              <w:right w:val="single" w:sz="16" w:space="0" w:color="000000"/>
            </w:tcBorders>
            <w:shd w:val="clear" w:color="auto" w:fill="FFFFFF"/>
            <w:vAlign w:val="center"/>
          </w:tcPr>
          <w:p w14:paraId="634C29E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Enter</w:t>
            </w:r>
          </w:p>
        </w:tc>
      </w:tr>
      <w:tr w:rsidR="005C1134" w:rsidRPr="0010152F" w14:paraId="7F07841A" w14:textId="77777777" w:rsidTr="0004526B">
        <w:trPr>
          <w:cantSplit/>
        </w:trPr>
        <w:tc>
          <w:tcPr>
            <w:tcW w:w="6946" w:type="dxa"/>
            <w:gridSpan w:val="4"/>
            <w:tcBorders>
              <w:top w:val="nil"/>
              <w:left w:val="nil"/>
              <w:bottom w:val="nil"/>
              <w:right w:val="nil"/>
            </w:tcBorders>
            <w:shd w:val="clear" w:color="auto" w:fill="FFFFFF"/>
          </w:tcPr>
          <w:p w14:paraId="7F51C53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a. Dependent Variable: education  </w:t>
            </w:r>
          </w:p>
        </w:tc>
      </w:tr>
      <w:tr w:rsidR="005C1134" w:rsidRPr="0010152F" w14:paraId="36655547" w14:textId="77777777" w:rsidTr="0004526B">
        <w:trPr>
          <w:cantSplit/>
        </w:trPr>
        <w:tc>
          <w:tcPr>
            <w:tcW w:w="6946" w:type="dxa"/>
            <w:gridSpan w:val="4"/>
            <w:tcBorders>
              <w:top w:val="nil"/>
              <w:left w:val="nil"/>
              <w:bottom w:val="nil"/>
              <w:right w:val="nil"/>
            </w:tcBorders>
            <w:shd w:val="clear" w:color="auto" w:fill="FFFFFF"/>
          </w:tcPr>
          <w:p w14:paraId="5E63D16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All requested variables entered.</w:t>
            </w:r>
          </w:p>
        </w:tc>
      </w:tr>
    </w:tbl>
    <w:p w14:paraId="68855E1B" w14:textId="77777777" w:rsidR="005C1134" w:rsidRPr="0010152F" w:rsidRDefault="005C1134" w:rsidP="005C1134">
      <w:pPr>
        <w:autoSpaceDE w:val="0"/>
        <w:autoSpaceDN w:val="0"/>
        <w:adjustRightInd w:val="0"/>
        <w:spacing w:line="400" w:lineRule="atLeast"/>
        <w:rPr>
          <w:rFonts w:ascii="Arial Black" w:hAnsi="Arial Black" w:cstheme="minorHAnsi"/>
          <w:sz w:val="22"/>
          <w:szCs w:val="22"/>
          <w:lang w:val="en-IN"/>
        </w:rPr>
      </w:pPr>
    </w:p>
    <w:p w14:paraId="5F781F6D"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7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3133"/>
      </w:tblGrid>
      <w:tr w:rsidR="005C1134" w:rsidRPr="0010152F" w14:paraId="13267359" w14:textId="77777777" w:rsidTr="0004526B">
        <w:trPr>
          <w:cantSplit/>
        </w:trPr>
        <w:tc>
          <w:tcPr>
            <w:tcW w:w="7513" w:type="dxa"/>
            <w:gridSpan w:val="5"/>
            <w:tcBorders>
              <w:top w:val="nil"/>
              <w:left w:val="nil"/>
              <w:bottom w:val="nil"/>
              <w:right w:val="nil"/>
            </w:tcBorders>
            <w:shd w:val="clear" w:color="auto" w:fill="FFFFFF"/>
            <w:vAlign w:val="center"/>
          </w:tcPr>
          <w:p w14:paraId="1E5A8ED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No.2. Model Summary</w:t>
            </w:r>
          </w:p>
        </w:tc>
      </w:tr>
      <w:tr w:rsidR="005C1134" w:rsidRPr="0010152F" w14:paraId="08E12274"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523DB5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0BA3B4A4"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w:t>
            </w:r>
          </w:p>
        </w:tc>
        <w:tc>
          <w:tcPr>
            <w:tcW w:w="1091" w:type="dxa"/>
            <w:tcBorders>
              <w:top w:val="single" w:sz="16" w:space="0" w:color="000000"/>
              <w:bottom w:val="single" w:sz="16" w:space="0" w:color="000000"/>
            </w:tcBorders>
            <w:shd w:val="clear" w:color="auto" w:fill="FFFFFF"/>
            <w:vAlign w:val="bottom"/>
          </w:tcPr>
          <w:p w14:paraId="2255A4FD"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 Square</w:t>
            </w:r>
          </w:p>
        </w:tc>
        <w:tc>
          <w:tcPr>
            <w:tcW w:w="1476" w:type="dxa"/>
            <w:tcBorders>
              <w:top w:val="single" w:sz="16" w:space="0" w:color="000000"/>
              <w:bottom w:val="single" w:sz="16" w:space="0" w:color="000000"/>
            </w:tcBorders>
            <w:shd w:val="clear" w:color="auto" w:fill="FFFFFF"/>
            <w:vAlign w:val="bottom"/>
          </w:tcPr>
          <w:p w14:paraId="4AA7343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Adjusted R Square</w:t>
            </w:r>
          </w:p>
        </w:tc>
        <w:tc>
          <w:tcPr>
            <w:tcW w:w="3133" w:type="dxa"/>
            <w:tcBorders>
              <w:top w:val="single" w:sz="16" w:space="0" w:color="000000"/>
              <w:bottom w:val="single" w:sz="16" w:space="0" w:color="000000"/>
              <w:right w:val="single" w:sz="16" w:space="0" w:color="000000"/>
            </w:tcBorders>
            <w:shd w:val="clear" w:color="auto" w:fill="FFFFFF"/>
            <w:vAlign w:val="bottom"/>
          </w:tcPr>
          <w:p w14:paraId="0B8BAFBA"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 of the Estimate</w:t>
            </w:r>
          </w:p>
        </w:tc>
      </w:tr>
      <w:tr w:rsidR="005C1134" w:rsidRPr="0010152F" w14:paraId="39117801"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3FF3723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79726D8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.746</w:t>
            </w:r>
            <w:r w:rsidRPr="0010152F">
              <w:rPr>
                <w:rFonts w:ascii="Arial Black" w:hAnsi="Arial Black" w:cstheme="minorHAnsi"/>
                <w:color w:val="000000"/>
                <w:sz w:val="22"/>
                <w:szCs w:val="22"/>
                <w:vertAlign w:val="superscript"/>
                <w:lang w:val="en-IN"/>
              </w:rPr>
              <w:t>a</w:t>
            </w:r>
          </w:p>
        </w:tc>
        <w:tc>
          <w:tcPr>
            <w:tcW w:w="1091" w:type="dxa"/>
            <w:tcBorders>
              <w:top w:val="single" w:sz="16" w:space="0" w:color="000000"/>
              <w:bottom w:val="single" w:sz="16" w:space="0" w:color="000000"/>
            </w:tcBorders>
            <w:shd w:val="clear" w:color="auto" w:fill="FFFFFF"/>
            <w:vAlign w:val="center"/>
          </w:tcPr>
          <w:p w14:paraId="35E1501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.556</w:t>
            </w:r>
          </w:p>
        </w:tc>
        <w:tc>
          <w:tcPr>
            <w:tcW w:w="1476" w:type="dxa"/>
            <w:tcBorders>
              <w:top w:val="single" w:sz="16" w:space="0" w:color="000000"/>
              <w:bottom w:val="single" w:sz="16" w:space="0" w:color="000000"/>
            </w:tcBorders>
            <w:shd w:val="clear" w:color="auto" w:fill="FFFFFF"/>
            <w:vAlign w:val="center"/>
          </w:tcPr>
          <w:p w14:paraId="1FCAD0C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.537</w:t>
            </w:r>
          </w:p>
        </w:tc>
        <w:tc>
          <w:tcPr>
            <w:tcW w:w="3133" w:type="dxa"/>
            <w:tcBorders>
              <w:top w:val="single" w:sz="16" w:space="0" w:color="000000"/>
              <w:bottom w:val="single" w:sz="16" w:space="0" w:color="000000"/>
              <w:right w:val="single" w:sz="16" w:space="0" w:color="000000"/>
            </w:tcBorders>
            <w:shd w:val="clear" w:color="auto" w:fill="FFFFFF"/>
            <w:vAlign w:val="center"/>
          </w:tcPr>
          <w:p w14:paraId="42B8729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1.898</w:t>
            </w:r>
          </w:p>
        </w:tc>
      </w:tr>
      <w:tr w:rsidR="005C1134" w:rsidRPr="0010152F" w14:paraId="187EBBAE" w14:textId="77777777" w:rsidTr="0004526B">
        <w:trPr>
          <w:cantSplit/>
        </w:trPr>
        <w:tc>
          <w:tcPr>
            <w:tcW w:w="7513" w:type="dxa"/>
            <w:gridSpan w:val="5"/>
            <w:tcBorders>
              <w:top w:val="nil"/>
              <w:left w:val="nil"/>
              <w:bottom w:val="nil"/>
              <w:right w:val="nil"/>
            </w:tcBorders>
            <w:shd w:val="clear" w:color="auto" w:fill="FFFFFF"/>
          </w:tcPr>
          <w:p w14:paraId="6E35941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Predictors: (Constant), SHG, E-Shram, Pension, SB Account</w:t>
            </w:r>
          </w:p>
        </w:tc>
      </w:tr>
    </w:tbl>
    <w:p w14:paraId="50F2B1CA" w14:textId="77777777" w:rsidR="005C1134" w:rsidRPr="0010152F" w:rsidRDefault="005C1134" w:rsidP="005C1134">
      <w:pPr>
        <w:spacing w:before="100" w:beforeAutospacing="1" w:after="100" w:afterAutospacing="1" w:line="360" w:lineRule="auto"/>
        <w:jc w:val="both"/>
        <w:rPr>
          <w:rStyle w:val="Strong"/>
          <w:rFonts w:ascii="Arial Black" w:hAnsi="Arial Black" w:cstheme="minorHAnsi"/>
          <w:b w:val="0"/>
          <w:bCs w:val="0"/>
          <w:sz w:val="22"/>
          <w:szCs w:val="22"/>
        </w:rPr>
      </w:pPr>
      <w:r w:rsidRPr="0010152F">
        <w:rPr>
          <w:rStyle w:val="Strong"/>
          <w:rFonts w:ascii="Arial Black" w:hAnsi="Arial Black" w:cstheme="minorHAnsi"/>
          <w:b w:val="0"/>
          <w:bCs w:val="0"/>
          <w:sz w:val="22"/>
          <w:szCs w:val="22"/>
        </w:rPr>
        <w:t>R value is .746, indicating a strong positive correlation between the independent variables like SHG, E-Sharam, Pension, SB account holders, and the dependent variable Education, but the R Square is .556, indicating that other factors like age, experience also influence independent variables.</w:t>
      </w:r>
    </w:p>
    <w:p w14:paraId="099B7957" w14:textId="77777777" w:rsidR="005C1134" w:rsidRPr="0010152F" w:rsidRDefault="005C1134" w:rsidP="005C1134">
      <w:pPr>
        <w:spacing w:before="100" w:beforeAutospacing="1" w:after="100" w:afterAutospacing="1" w:line="360" w:lineRule="auto"/>
        <w:jc w:val="both"/>
        <w:rPr>
          <w:rStyle w:val="Strong"/>
          <w:rFonts w:ascii="Arial Black" w:hAnsi="Arial Black" w:cstheme="minorHAnsi"/>
          <w:sz w:val="22"/>
          <w:szCs w:val="22"/>
        </w:rPr>
      </w:pPr>
      <w:r w:rsidRPr="0010152F">
        <w:rPr>
          <w:rFonts w:ascii="Arial Black" w:hAnsi="Arial Black" w:cstheme="minorHAnsi"/>
          <w:sz w:val="22"/>
          <w:szCs w:val="22"/>
        </w:rPr>
        <w:t xml:space="preserve">The regression model, which includes SHG membership, E-Shram registration, pension receipt, and having a savings bank account, </w:t>
      </w:r>
      <w:r w:rsidRPr="0010152F">
        <w:rPr>
          <w:rFonts w:ascii="Arial Black" w:hAnsi="Arial Black" w:cstheme="minorHAnsi"/>
          <w:sz w:val="22"/>
          <w:szCs w:val="22"/>
        </w:rPr>
        <w:lastRenderedPageBreak/>
        <w:t>significantly explains the variation in educational levels. About 55.6% of the variation in education can be explained by these socio-economic and financial inclusion variables. The model shows a strong and statistically meaningful relationship between these predictors and educational outcomes.</w:t>
      </w:r>
    </w:p>
    <w:p w14:paraId="2C8AA1C0"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5C1134" w:rsidRPr="0010152F" w14:paraId="12E8B433" w14:textId="77777777" w:rsidTr="0004526B">
        <w:trPr>
          <w:cantSplit/>
        </w:trPr>
        <w:tc>
          <w:tcPr>
            <w:tcW w:w="7962" w:type="dxa"/>
            <w:gridSpan w:val="7"/>
            <w:tcBorders>
              <w:top w:val="nil"/>
              <w:left w:val="nil"/>
              <w:bottom w:val="nil"/>
              <w:right w:val="nil"/>
            </w:tcBorders>
            <w:shd w:val="clear" w:color="auto" w:fill="FFFFFF"/>
            <w:vAlign w:val="center"/>
          </w:tcPr>
          <w:p w14:paraId="5D6BFD7E"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No.3. </w:t>
            </w:r>
            <w:proofErr w:type="spellStart"/>
            <w:r w:rsidRPr="0010152F">
              <w:rPr>
                <w:rFonts w:ascii="Arial Black" w:hAnsi="Arial Black" w:cstheme="minorHAnsi"/>
                <w:b/>
                <w:bCs/>
                <w:color w:val="000000"/>
                <w:sz w:val="22"/>
                <w:szCs w:val="22"/>
                <w:lang w:val="en-IN"/>
              </w:rPr>
              <w:t>ANOVAa</w:t>
            </w:r>
            <w:proofErr w:type="spellEnd"/>
          </w:p>
        </w:tc>
      </w:tr>
      <w:tr w:rsidR="005C1134" w:rsidRPr="0010152F" w14:paraId="220EA14B" w14:textId="77777777" w:rsidTr="0004526B">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14:paraId="0455D1D0"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6B5EBE6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Sum of Squares</w:t>
            </w:r>
          </w:p>
        </w:tc>
        <w:tc>
          <w:tcPr>
            <w:tcW w:w="1014" w:type="dxa"/>
            <w:tcBorders>
              <w:top w:val="single" w:sz="16" w:space="0" w:color="000000"/>
              <w:bottom w:val="single" w:sz="16" w:space="0" w:color="000000"/>
            </w:tcBorders>
            <w:shd w:val="clear" w:color="auto" w:fill="FFFFFF"/>
            <w:vAlign w:val="bottom"/>
          </w:tcPr>
          <w:p w14:paraId="2CBB44D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df</w:t>
            </w:r>
          </w:p>
        </w:tc>
        <w:tc>
          <w:tcPr>
            <w:tcW w:w="1415" w:type="dxa"/>
            <w:tcBorders>
              <w:top w:val="single" w:sz="16" w:space="0" w:color="000000"/>
              <w:bottom w:val="single" w:sz="16" w:space="0" w:color="000000"/>
            </w:tcBorders>
            <w:shd w:val="clear" w:color="auto" w:fill="FFFFFF"/>
            <w:vAlign w:val="bottom"/>
          </w:tcPr>
          <w:p w14:paraId="274CDAA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Mean Square</w:t>
            </w:r>
          </w:p>
        </w:tc>
        <w:tc>
          <w:tcPr>
            <w:tcW w:w="1014" w:type="dxa"/>
            <w:tcBorders>
              <w:top w:val="single" w:sz="16" w:space="0" w:color="000000"/>
              <w:bottom w:val="single" w:sz="16" w:space="0" w:color="000000"/>
            </w:tcBorders>
            <w:shd w:val="clear" w:color="auto" w:fill="FFFFFF"/>
            <w:vAlign w:val="bottom"/>
          </w:tcPr>
          <w:p w14:paraId="4A6C02E4"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F</w:t>
            </w:r>
          </w:p>
        </w:tc>
        <w:tc>
          <w:tcPr>
            <w:tcW w:w="1014" w:type="dxa"/>
            <w:tcBorders>
              <w:top w:val="single" w:sz="16" w:space="0" w:color="000000"/>
              <w:bottom w:val="single" w:sz="16" w:space="0" w:color="000000"/>
              <w:right w:val="single" w:sz="16" w:space="0" w:color="000000"/>
            </w:tcBorders>
            <w:shd w:val="clear" w:color="auto" w:fill="FFFFFF"/>
            <w:vAlign w:val="bottom"/>
          </w:tcPr>
          <w:p w14:paraId="2CB7CBB5"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2F505AEF" w14:textId="77777777" w:rsidTr="0004526B">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264E791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91" w:type="dxa"/>
            <w:tcBorders>
              <w:top w:val="single" w:sz="16" w:space="0" w:color="000000"/>
              <w:left w:val="nil"/>
              <w:bottom w:val="nil"/>
              <w:right w:val="single" w:sz="16" w:space="0" w:color="000000"/>
            </w:tcBorders>
            <w:shd w:val="clear" w:color="auto" w:fill="FFFFFF"/>
          </w:tcPr>
          <w:p w14:paraId="2B89103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Regression</w:t>
            </w:r>
          </w:p>
        </w:tc>
        <w:tc>
          <w:tcPr>
            <w:tcW w:w="1476" w:type="dxa"/>
            <w:tcBorders>
              <w:top w:val="single" w:sz="16" w:space="0" w:color="000000"/>
              <w:left w:val="single" w:sz="16" w:space="0" w:color="000000"/>
              <w:bottom w:val="nil"/>
            </w:tcBorders>
            <w:shd w:val="clear" w:color="auto" w:fill="FFFFFF"/>
            <w:vAlign w:val="center"/>
          </w:tcPr>
          <w:p w14:paraId="4440278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424.057</w:t>
            </w:r>
          </w:p>
        </w:tc>
        <w:tc>
          <w:tcPr>
            <w:tcW w:w="1014" w:type="dxa"/>
            <w:tcBorders>
              <w:top w:val="single" w:sz="16" w:space="0" w:color="000000"/>
              <w:bottom w:val="nil"/>
            </w:tcBorders>
            <w:shd w:val="clear" w:color="auto" w:fill="FFFFFF"/>
            <w:vAlign w:val="center"/>
          </w:tcPr>
          <w:p w14:paraId="6C38870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w:t>
            </w:r>
          </w:p>
        </w:tc>
        <w:tc>
          <w:tcPr>
            <w:tcW w:w="1415" w:type="dxa"/>
            <w:tcBorders>
              <w:top w:val="single" w:sz="16" w:space="0" w:color="000000"/>
              <w:bottom w:val="nil"/>
            </w:tcBorders>
            <w:shd w:val="clear" w:color="auto" w:fill="FFFFFF"/>
            <w:vAlign w:val="center"/>
          </w:tcPr>
          <w:p w14:paraId="4FA131D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106.014</w:t>
            </w:r>
          </w:p>
        </w:tc>
        <w:tc>
          <w:tcPr>
            <w:tcW w:w="1014" w:type="dxa"/>
            <w:tcBorders>
              <w:top w:val="single" w:sz="16" w:space="0" w:color="000000"/>
              <w:bottom w:val="nil"/>
            </w:tcBorders>
            <w:shd w:val="clear" w:color="auto" w:fill="FFFFFF"/>
            <w:vAlign w:val="center"/>
          </w:tcPr>
          <w:p w14:paraId="76011F2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29.441</w:t>
            </w:r>
          </w:p>
        </w:tc>
        <w:tc>
          <w:tcPr>
            <w:tcW w:w="1014" w:type="dxa"/>
            <w:tcBorders>
              <w:top w:val="single" w:sz="16" w:space="0" w:color="000000"/>
              <w:bottom w:val="nil"/>
              <w:right w:val="single" w:sz="16" w:space="0" w:color="000000"/>
            </w:tcBorders>
            <w:shd w:val="clear" w:color="auto" w:fill="FFFFFF"/>
            <w:vAlign w:val="center"/>
          </w:tcPr>
          <w:p w14:paraId="241406A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r w:rsidRPr="0010152F">
              <w:rPr>
                <w:rFonts w:ascii="Arial Black" w:hAnsi="Arial Black" w:cstheme="minorHAnsi"/>
                <w:color w:val="000000"/>
                <w:sz w:val="22"/>
                <w:szCs w:val="22"/>
                <w:vertAlign w:val="superscript"/>
                <w:lang w:val="en-IN"/>
              </w:rPr>
              <w:t>b</w:t>
            </w:r>
          </w:p>
        </w:tc>
      </w:tr>
      <w:tr w:rsidR="005C1134" w:rsidRPr="0010152F" w14:paraId="1A437E2C" w14:textId="77777777" w:rsidTr="0004526B">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38BD5EFD"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91" w:type="dxa"/>
            <w:tcBorders>
              <w:top w:val="nil"/>
              <w:left w:val="nil"/>
              <w:bottom w:val="nil"/>
              <w:right w:val="single" w:sz="16" w:space="0" w:color="000000"/>
            </w:tcBorders>
            <w:shd w:val="clear" w:color="auto" w:fill="FFFFFF"/>
          </w:tcPr>
          <w:p w14:paraId="53F1D36B"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Residual</w:t>
            </w:r>
          </w:p>
        </w:tc>
        <w:tc>
          <w:tcPr>
            <w:tcW w:w="1476" w:type="dxa"/>
            <w:tcBorders>
              <w:top w:val="nil"/>
              <w:left w:val="single" w:sz="16" w:space="0" w:color="000000"/>
              <w:bottom w:val="nil"/>
            </w:tcBorders>
            <w:shd w:val="clear" w:color="auto" w:fill="FFFFFF"/>
            <w:vAlign w:val="center"/>
          </w:tcPr>
          <w:p w14:paraId="7F48A2F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338.489</w:t>
            </w:r>
          </w:p>
        </w:tc>
        <w:tc>
          <w:tcPr>
            <w:tcW w:w="1014" w:type="dxa"/>
            <w:tcBorders>
              <w:top w:val="nil"/>
              <w:bottom w:val="nil"/>
            </w:tcBorders>
            <w:shd w:val="clear" w:color="auto" w:fill="FFFFFF"/>
            <w:vAlign w:val="center"/>
          </w:tcPr>
          <w:p w14:paraId="20A0913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94</w:t>
            </w:r>
          </w:p>
        </w:tc>
        <w:tc>
          <w:tcPr>
            <w:tcW w:w="1415" w:type="dxa"/>
            <w:tcBorders>
              <w:top w:val="nil"/>
              <w:bottom w:val="nil"/>
            </w:tcBorders>
            <w:shd w:val="clear" w:color="auto" w:fill="FFFFFF"/>
            <w:vAlign w:val="center"/>
          </w:tcPr>
          <w:p w14:paraId="4AEF700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3.601</w:t>
            </w:r>
          </w:p>
        </w:tc>
        <w:tc>
          <w:tcPr>
            <w:tcW w:w="1014" w:type="dxa"/>
            <w:tcBorders>
              <w:top w:val="nil"/>
              <w:bottom w:val="nil"/>
            </w:tcBorders>
            <w:shd w:val="clear" w:color="auto" w:fill="FFFFFF"/>
            <w:vAlign w:val="center"/>
          </w:tcPr>
          <w:p w14:paraId="5EA8905B"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nil"/>
              <w:right w:val="single" w:sz="16" w:space="0" w:color="000000"/>
            </w:tcBorders>
            <w:shd w:val="clear" w:color="auto" w:fill="FFFFFF"/>
            <w:vAlign w:val="center"/>
          </w:tcPr>
          <w:p w14:paraId="03B6E388"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05BBE84D" w14:textId="77777777" w:rsidTr="0004526B">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2A4C2671"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291" w:type="dxa"/>
            <w:tcBorders>
              <w:top w:val="nil"/>
              <w:left w:val="nil"/>
              <w:bottom w:val="single" w:sz="16" w:space="0" w:color="000000"/>
              <w:right w:val="single" w:sz="16" w:space="0" w:color="000000"/>
            </w:tcBorders>
            <w:shd w:val="clear" w:color="auto" w:fill="FFFFFF"/>
          </w:tcPr>
          <w:p w14:paraId="466B895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Total</w:t>
            </w:r>
          </w:p>
        </w:tc>
        <w:tc>
          <w:tcPr>
            <w:tcW w:w="1476" w:type="dxa"/>
            <w:tcBorders>
              <w:top w:val="nil"/>
              <w:left w:val="single" w:sz="16" w:space="0" w:color="000000"/>
              <w:bottom w:val="single" w:sz="16" w:space="0" w:color="000000"/>
            </w:tcBorders>
            <w:shd w:val="clear" w:color="auto" w:fill="FFFFFF"/>
            <w:vAlign w:val="center"/>
          </w:tcPr>
          <w:p w14:paraId="268031E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762.545</w:t>
            </w:r>
          </w:p>
        </w:tc>
        <w:tc>
          <w:tcPr>
            <w:tcW w:w="1014" w:type="dxa"/>
            <w:tcBorders>
              <w:top w:val="nil"/>
              <w:bottom w:val="single" w:sz="16" w:space="0" w:color="000000"/>
            </w:tcBorders>
            <w:shd w:val="clear" w:color="auto" w:fill="FFFFFF"/>
            <w:vAlign w:val="center"/>
          </w:tcPr>
          <w:p w14:paraId="1F077BAF"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98</w:t>
            </w:r>
          </w:p>
        </w:tc>
        <w:tc>
          <w:tcPr>
            <w:tcW w:w="1415" w:type="dxa"/>
            <w:tcBorders>
              <w:top w:val="nil"/>
              <w:bottom w:val="single" w:sz="16" w:space="0" w:color="000000"/>
            </w:tcBorders>
            <w:shd w:val="clear" w:color="auto" w:fill="FFFFFF"/>
            <w:vAlign w:val="center"/>
          </w:tcPr>
          <w:p w14:paraId="7D209959"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tcBorders>
            <w:shd w:val="clear" w:color="auto" w:fill="FFFFFF"/>
            <w:vAlign w:val="center"/>
          </w:tcPr>
          <w:p w14:paraId="66A7F50C"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right w:val="single" w:sz="16" w:space="0" w:color="000000"/>
            </w:tcBorders>
            <w:shd w:val="clear" w:color="auto" w:fill="FFFFFF"/>
            <w:vAlign w:val="center"/>
          </w:tcPr>
          <w:p w14:paraId="5470C82A"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5D3330D0" w14:textId="77777777" w:rsidTr="0004526B">
        <w:trPr>
          <w:cantSplit/>
        </w:trPr>
        <w:tc>
          <w:tcPr>
            <w:tcW w:w="7962" w:type="dxa"/>
            <w:gridSpan w:val="7"/>
            <w:tcBorders>
              <w:top w:val="nil"/>
              <w:left w:val="nil"/>
              <w:bottom w:val="nil"/>
              <w:right w:val="nil"/>
            </w:tcBorders>
            <w:shd w:val="clear" w:color="auto" w:fill="FFFFFF"/>
          </w:tcPr>
          <w:p w14:paraId="14CB7AD0"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a. Dependent Variable: education  </w:t>
            </w:r>
          </w:p>
        </w:tc>
      </w:tr>
      <w:tr w:rsidR="005C1134" w:rsidRPr="0010152F" w14:paraId="4BDD320E" w14:textId="77777777" w:rsidTr="0004526B">
        <w:trPr>
          <w:cantSplit/>
        </w:trPr>
        <w:tc>
          <w:tcPr>
            <w:tcW w:w="7962" w:type="dxa"/>
            <w:gridSpan w:val="7"/>
            <w:tcBorders>
              <w:top w:val="nil"/>
              <w:left w:val="nil"/>
              <w:bottom w:val="nil"/>
              <w:right w:val="nil"/>
            </w:tcBorders>
            <w:shd w:val="clear" w:color="auto" w:fill="FFFFFF"/>
          </w:tcPr>
          <w:p w14:paraId="0FE47EB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Predictors: (Constant), SHG, E-Shram, Pension, SB Account</w:t>
            </w:r>
          </w:p>
        </w:tc>
      </w:tr>
    </w:tbl>
    <w:p w14:paraId="7FD6102F" w14:textId="77777777" w:rsidR="005C1134" w:rsidRPr="0010152F" w:rsidRDefault="005C1134" w:rsidP="005C1134">
      <w:pPr>
        <w:spacing w:before="100" w:beforeAutospacing="1" w:after="100" w:afterAutospacing="1"/>
        <w:rPr>
          <w:rFonts w:ascii="Arial Black" w:hAnsi="Arial Black" w:cstheme="minorHAnsi"/>
          <w:sz w:val="22"/>
          <w:szCs w:val="22"/>
        </w:rPr>
      </w:pPr>
      <w:r w:rsidRPr="0010152F">
        <w:rPr>
          <w:rFonts w:ascii="Arial Black" w:hAnsi="Arial Black" w:cstheme="minorHAnsi"/>
          <w:sz w:val="22"/>
          <w:szCs w:val="22"/>
        </w:rPr>
        <w:t>The Regression sum square is 424.057, indicating a better model fit, and the F value of 29.441 shows the overall significance of the regression model. The P value is less than 0.05; we reject the null hypothesis, and education influences social security schemes.</w:t>
      </w:r>
    </w:p>
    <w:p w14:paraId="5237D7C1"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964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2"/>
        <w:gridCol w:w="1246"/>
        <w:gridCol w:w="1337"/>
        <w:gridCol w:w="1337"/>
        <w:gridCol w:w="1476"/>
        <w:gridCol w:w="1014"/>
        <w:gridCol w:w="2208"/>
      </w:tblGrid>
      <w:tr w:rsidR="005C1134" w:rsidRPr="0010152F" w14:paraId="09164276" w14:textId="77777777" w:rsidTr="0004526B">
        <w:trPr>
          <w:cantSplit/>
        </w:trPr>
        <w:tc>
          <w:tcPr>
            <w:tcW w:w="9640" w:type="dxa"/>
            <w:gridSpan w:val="7"/>
            <w:tcBorders>
              <w:top w:val="nil"/>
              <w:left w:val="nil"/>
              <w:bottom w:val="nil"/>
              <w:right w:val="nil"/>
            </w:tcBorders>
            <w:shd w:val="clear" w:color="auto" w:fill="FFFFFF"/>
            <w:vAlign w:val="center"/>
          </w:tcPr>
          <w:p w14:paraId="435CEA8B"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b/>
                <w:bCs/>
                <w:color w:val="000000"/>
                <w:sz w:val="22"/>
                <w:szCs w:val="22"/>
                <w:lang w:val="en-IN"/>
              </w:rPr>
            </w:pPr>
          </w:p>
          <w:p w14:paraId="5E9EB1C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 </w:t>
            </w:r>
            <w:proofErr w:type="gramStart"/>
            <w:r w:rsidRPr="0010152F">
              <w:rPr>
                <w:rFonts w:ascii="Arial Black" w:hAnsi="Arial Black" w:cstheme="minorHAnsi"/>
                <w:b/>
                <w:bCs/>
                <w:color w:val="000000"/>
                <w:sz w:val="22"/>
                <w:szCs w:val="22"/>
                <w:lang w:val="en-IN"/>
              </w:rPr>
              <w:t>4.Coefficients</w:t>
            </w:r>
            <w:r w:rsidRPr="0010152F">
              <w:rPr>
                <w:rFonts w:ascii="Arial Black" w:hAnsi="Arial Black" w:cstheme="minorHAnsi"/>
                <w:b/>
                <w:bCs/>
                <w:color w:val="000000"/>
                <w:sz w:val="22"/>
                <w:szCs w:val="22"/>
                <w:vertAlign w:val="superscript"/>
                <w:lang w:val="en-IN"/>
              </w:rPr>
              <w:t>a</w:t>
            </w:r>
            <w:proofErr w:type="gramEnd"/>
          </w:p>
        </w:tc>
      </w:tr>
      <w:tr w:rsidR="005C1134" w:rsidRPr="0010152F" w14:paraId="188BE3DF" w14:textId="77777777" w:rsidTr="0004526B">
        <w:trPr>
          <w:cantSplit/>
        </w:trPr>
        <w:tc>
          <w:tcPr>
            <w:tcW w:w="2268" w:type="dxa"/>
            <w:gridSpan w:val="2"/>
            <w:vMerge w:val="restart"/>
            <w:tcBorders>
              <w:top w:val="single" w:sz="16" w:space="0" w:color="000000"/>
              <w:left w:val="single" w:sz="16" w:space="0" w:color="000000"/>
              <w:bottom w:val="nil"/>
              <w:right w:val="nil"/>
            </w:tcBorders>
            <w:shd w:val="clear" w:color="auto" w:fill="FFFFFF"/>
            <w:vAlign w:val="bottom"/>
          </w:tcPr>
          <w:p w14:paraId="36005A5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2674" w:type="dxa"/>
            <w:gridSpan w:val="2"/>
            <w:tcBorders>
              <w:top w:val="single" w:sz="16" w:space="0" w:color="000000"/>
              <w:left w:val="single" w:sz="16" w:space="0" w:color="000000"/>
            </w:tcBorders>
            <w:shd w:val="clear" w:color="auto" w:fill="FFFFFF"/>
            <w:vAlign w:val="bottom"/>
          </w:tcPr>
          <w:p w14:paraId="4695D12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Unstandardized Coefficients</w:t>
            </w:r>
          </w:p>
        </w:tc>
        <w:tc>
          <w:tcPr>
            <w:tcW w:w="1476" w:type="dxa"/>
            <w:tcBorders>
              <w:top w:val="single" w:sz="16" w:space="0" w:color="000000"/>
            </w:tcBorders>
            <w:shd w:val="clear" w:color="auto" w:fill="FFFFFF"/>
            <w:vAlign w:val="bottom"/>
          </w:tcPr>
          <w:p w14:paraId="7C84DAEB"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Standardized Coefficients</w:t>
            </w:r>
          </w:p>
        </w:tc>
        <w:tc>
          <w:tcPr>
            <w:tcW w:w="1014" w:type="dxa"/>
            <w:vMerge w:val="restart"/>
            <w:tcBorders>
              <w:top w:val="single" w:sz="16" w:space="0" w:color="000000"/>
            </w:tcBorders>
            <w:shd w:val="clear" w:color="auto" w:fill="FFFFFF"/>
            <w:vAlign w:val="bottom"/>
          </w:tcPr>
          <w:p w14:paraId="0FCF53D9"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w:t>
            </w:r>
          </w:p>
        </w:tc>
        <w:tc>
          <w:tcPr>
            <w:tcW w:w="2208" w:type="dxa"/>
            <w:vMerge w:val="restart"/>
            <w:tcBorders>
              <w:top w:val="single" w:sz="16" w:space="0" w:color="000000"/>
              <w:right w:val="single" w:sz="16" w:space="0" w:color="000000"/>
            </w:tcBorders>
            <w:shd w:val="clear" w:color="auto" w:fill="FFFFFF"/>
            <w:vAlign w:val="bottom"/>
          </w:tcPr>
          <w:p w14:paraId="1FD063A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79046D87" w14:textId="77777777" w:rsidTr="0004526B">
        <w:trPr>
          <w:cantSplit/>
        </w:trPr>
        <w:tc>
          <w:tcPr>
            <w:tcW w:w="2268" w:type="dxa"/>
            <w:gridSpan w:val="2"/>
            <w:vMerge/>
            <w:tcBorders>
              <w:top w:val="single" w:sz="16" w:space="0" w:color="000000"/>
              <w:left w:val="single" w:sz="16" w:space="0" w:color="000000"/>
              <w:bottom w:val="nil"/>
              <w:right w:val="nil"/>
            </w:tcBorders>
            <w:shd w:val="clear" w:color="auto" w:fill="FFFFFF"/>
            <w:vAlign w:val="bottom"/>
          </w:tcPr>
          <w:p w14:paraId="49B1B28F"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37" w:type="dxa"/>
            <w:tcBorders>
              <w:left w:val="single" w:sz="16" w:space="0" w:color="000000"/>
              <w:bottom w:val="single" w:sz="16" w:space="0" w:color="000000"/>
            </w:tcBorders>
            <w:shd w:val="clear" w:color="auto" w:fill="FFFFFF"/>
            <w:vAlign w:val="bottom"/>
          </w:tcPr>
          <w:p w14:paraId="411BFBE7"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w:t>
            </w:r>
          </w:p>
        </w:tc>
        <w:tc>
          <w:tcPr>
            <w:tcW w:w="1337" w:type="dxa"/>
            <w:tcBorders>
              <w:bottom w:val="single" w:sz="16" w:space="0" w:color="000000"/>
            </w:tcBorders>
            <w:shd w:val="clear" w:color="auto" w:fill="FFFFFF"/>
            <w:vAlign w:val="bottom"/>
          </w:tcPr>
          <w:p w14:paraId="699BB29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w:t>
            </w:r>
          </w:p>
        </w:tc>
        <w:tc>
          <w:tcPr>
            <w:tcW w:w="1476" w:type="dxa"/>
            <w:tcBorders>
              <w:bottom w:val="single" w:sz="16" w:space="0" w:color="000000"/>
            </w:tcBorders>
            <w:shd w:val="clear" w:color="auto" w:fill="FFFFFF"/>
            <w:vAlign w:val="bottom"/>
          </w:tcPr>
          <w:p w14:paraId="151F5DB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Beta</w:t>
            </w:r>
          </w:p>
        </w:tc>
        <w:tc>
          <w:tcPr>
            <w:tcW w:w="1014" w:type="dxa"/>
            <w:vMerge/>
            <w:tcBorders>
              <w:top w:val="single" w:sz="16" w:space="0" w:color="000000"/>
            </w:tcBorders>
            <w:shd w:val="clear" w:color="auto" w:fill="FFFFFF"/>
            <w:vAlign w:val="bottom"/>
          </w:tcPr>
          <w:p w14:paraId="6F5B0FEB"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2208" w:type="dxa"/>
            <w:vMerge/>
            <w:tcBorders>
              <w:top w:val="single" w:sz="16" w:space="0" w:color="000000"/>
              <w:right w:val="single" w:sz="16" w:space="0" w:color="000000"/>
            </w:tcBorders>
            <w:shd w:val="clear" w:color="auto" w:fill="FFFFFF"/>
            <w:vAlign w:val="bottom"/>
          </w:tcPr>
          <w:p w14:paraId="137E8D6E"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r>
      <w:tr w:rsidR="005C1134" w:rsidRPr="0010152F" w14:paraId="08516C73" w14:textId="77777777" w:rsidTr="0004526B">
        <w:trPr>
          <w:cantSplit/>
        </w:trPr>
        <w:tc>
          <w:tcPr>
            <w:tcW w:w="1022" w:type="dxa"/>
            <w:vMerge w:val="restart"/>
            <w:tcBorders>
              <w:top w:val="single" w:sz="16" w:space="0" w:color="000000"/>
              <w:left w:val="single" w:sz="16" w:space="0" w:color="000000"/>
              <w:bottom w:val="single" w:sz="16" w:space="0" w:color="000000"/>
              <w:right w:val="nil"/>
            </w:tcBorders>
            <w:shd w:val="clear" w:color="auto" w:fill="FFFFFF"/>
          </w:tcPr>
          <w:p w14:paraId="39EAD99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46" w:type="dxa"/>
            <w:tcBorders>
              <w:top w:val="single" w:sz="16" w:space="0" w:color="000000"/>
              <w:left w:val="nil"/>
              <w:bottom w:val="nil"/>
              <w:right w:val="single" w:sz="16" w:space="0" w:color="000000"/>
            </w:tcBorders>
            <w:shd w:val="clear" w:color="auto" w:fill="FFFFFF"/>
          </w:tcPr>
          <w:p w14:paraId="01A95D8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(Constant)</w:t>
            </w:r>
          </w:p>
        </w:tc>
        <w:tc>
          <w:tcPr>
            <w:tcW w:w="1337" w:type="dxa"/>
            <w:tcBorders>
              <w:top w:val="single" w:sz="16" w:space="0" w:color="000000"/>
              <w:left w:val="single" w:sz="16" w:space="0" w:color="000000"/>
              <w:bottom w:val="nil"/>
            </w:tcBorders>
            <w:shd w:val="clear" w:color="auto" w:fill="FFFFFF"/>
            <w:vAlign w:val="center"/>
          </w:tcPr>
          <w:p w14:paraId="5975D351"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17.269</w:t>
            </w:r>
          </w:p>
        </w:tc>
        <w:tc>
          <w:tcPr>
            <w:tcW w:w="1337" w:type="dxa"/>
            <w:tcBorders>
              <w:top w:val="single" w:sz="16" w:space="0" w:color="000000"/>
              <w:bottom w:val="nil"/>
            </w:tcBorders>
            <w:shd w:val="clear" w:color="auto" w:fill="FFFFFF"/>
            <w:vAlign w:val="center"/>
          </w:tcPr>
          <w:p w14:paraId="1838AB0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1.442</w:t>
            </w:r>
          </w:p>
        </w:tc>
        <w:tc>
          <w:tcPr>
            <w:tcW w:w="1476" w:type="dxa"/>
            <w:tcBorders>
              <w:top w:val="single" w:sz="16" w:space="0" w:color="000000"/>
              <w:bottom w:val="nil"/>
            </w:tcBorders>
            <w:shd w:val="clear" w:color="auto" w:fill="FFFFFF"/>
            <w:vAlign w:val="center"/>
          </w:tcPr>
          <w:p w14:paraId="51055633"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single" w:sz="16" w:space="0" w:color="000000"/>
              <w:bottom w:val="nil"/>
            </w:tcBorders>
            <w:shd w:val="clear" w:color="auto" w:fill="FFFFFF"/>
            <w:vAlign w:val="center"/>
          </w:tcPr>
          <w:p w14:paraId="54C8C0A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11.978</w:t>
            </w:r>
          </w:p>
        </w:tc>
        <w:tc>
          <w:tcPr>
            <w:tcW w:w="2208" w:type="dxa"/>
            <w:tcBorders>
              <w:top w:val="single" w:sz="16" w:space="0" w:color="000000"/>
              <w:bottom w:val="nil"/>
              <w:right w:val="single" w:sz="16" w:space="0" w:color="000000"/>
            </w:tcBorders>
            <w:shd w:val="clear" w:color="auto" w:fill="FFFFFF"/>
            <w:vAlign w:val="center"/>
          </w:tcPr>
          <w:p w14:paraId="34930C7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720498BD" w14:textId="77777777" w:rsidTr="0004526B">
        <w:trPr>
          <w:cantSplit/>
        </w:trPr>
        <w:tc>
          <w:tcPr>
            <w:tcW w:w="1022" w:type="dxa"/>
            <w:vMerge/>
            <w:tcBorders>
              <w:top w:val="single" w:sz="16" w:space="0" w:color="000000"/>
              <w:left w:val="single" w:sz="16" w:space="0" w:color="000000"/>
              <w:bottom w:val="single" w:sz="16" w:space="0" w:color="000000"/>
              <w:right w:val="nil"/>
            </w:tcBorders>
            <w:shd w:val="clear" w:color="auto" w:fill="FFFFFF"/>
          </w:tcPr>
          <w:p w14:paraId="36BA34FF"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46" w:type="dxa"/>
            <w:tcBorders>
              <w:top w:val="nil"/>
              <w:left w:val="nil"/>
              <w:bottom w:val="nil"/>
              <w:right w:val="single" w:sz="16" w:space="0" w:color="000000"/>
            </w:tcBorders>
            <w:shd w:val="clear" w:color="auto" w:fill="FFFFFF"/>
          </w:tcPr>
          <w:p w14:paraId="208FDD7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E-Shram</w:t>
            </w:r>
          </w:p>
        </w:tc>
        <w:tc>
          <w:tcPr>
            <w:tcW w:w="1337" w:type="dxa"/>
            <w:tcBorders>
              <w:top w:val="nil"/>
              <w:left w:val="single" w:sz="16" w:space="0" w:color="000000"/>
              <w:bottom w:val="nil"/>
            </w:tcBorders>
            <w:shd w:val="clear" w:color="auto" w:fill="FFFFFF"/>
            <w:vAlign w:val="center"/>
          </w:tcPr>
          <w:p w14:paraId="4A3045B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.566</w:t>
            </w:r>
          </w:p>
        </w:tc>
        <w:tc>
          <w:tcPr>
            <w:tcW w:w="1337" w:type="dxa"/>
            <w:tcBorders>
              <w:top w:val="nil"/>
              <w:bottom w:val="nil"/>
            </w:tcBorders>
            <w:shd w:val="clear" w:color="auto" w:fill="FFFFFF"/>
            <w:vAlign w:val="center"/>
          </w:tcPr>
          <w:p w14:paraId="38EE963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.496</w:t>
            </w:r>
          </w:p>
        </w:tc>
        <w:tc>
          <w:tcPr>
            <w:tcW w:w="1476" w:type="dxa"/>
            <w:tcBorders>
              <w:top w:val="nil"/>
              <w:bottom w:val="nil"/>
            </w:tcBorders>
            <w:shd w:val="clear" w:color="auto" w:fill="FFFFFF"/>
            <w:vAlign w:val="center"/>
          </w:tcPr>
          <w:p w14:paraId="340623B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.080</w:t>
            </w:r>
          </w:p>
        </w:tc>
        <w:tc>
          <w:tcPr>
            <w:tcW w:w="1014" w:type="dxa"/>
            <w:tcBorders>
              <w:top w:val="nil"/>
              <w:bottom w:val="nil"/>
            </w:tcBorders>
            <w:shd w:val="clear" w:color="auto" w:fill="FFFFFF"/>
            <w:vAlign w:val="center"/>
          </w:tcPr>
          <w:p w14:paraId="6A95B60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1.142</w:t>
            </w:r>
          </w:p>
        </w:tc>
        <w:tc>
          <w:tcPr>
            <w:tcW w:w="2208" w:type="dxa"/>
            <w:tcBorders>
              <w:top w:val="nil"/>
              <w:bottom w:val="nil"/>
              <w:right w:val="single" w:sz="16" w:space="0" w:color="000000"/>
            </w:tcBorders>
            <w:shd w:val="clear" w:color="auto" w:fill="FFFFFF"/>
            <w:vAlign w:val="center"/>
          </w:tcPr>
          <w:p w14:paraId="0C74A5A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.256</w:t>
            </w:r>
          </w:p>
        </w:tc>
      </w:tr>
      <w:tr w:rsidR="005C1134" w:rsidRPr="0010152F" w14:paraId="7764CFC3" w14:textId="77777777" w:rsidTr="0004526B">
        <w:trPr>
          <w:cantSplit/>
        </w:trPr>
        <w:tc>
          <w:tcPr>
            <w:tcW w:w="1022" w:type="dxa"/>
            <w:vMerge/>
            <w:tcBorders>
              <w:top w:val="single" w:sz="16" w:space="0" w:color="000000"/>
              <w:left w:val="single" w:sz="16" w:space="0" w:color="000000"/>
              <w:bottom w:val="single" w:sz="16" w:space="0" w:color="000000"/>
              <w:right w:val="nil"/>
            </w:tcBorders>
            <w:shd w:val="clear" w:color="auto" w:fill="FFFFFF"/>
          </w:tcPr>
          <w:p w14:paraId="35648206"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46" w:type="dxa"/>
            <w:tcBorders>
              <w:top w:val="nil"/>
              <w:left w:val="nil"/>
              <w:bottom w:val="nil"/>
              <w:right w:val="single" w:sz="16" w:space="0" w:color="000000"/>
            </w:tcBorders>
            <w:shd w:val="clear" w:color="auto" w:fill="FFFFFF"/>
          </w:tcPr>
          <w:p w14:paraId="6BDCE14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Pension</w:t>
            </w:r>
          </w:p>
        </w:tc>
        <w:tc>
          <w:tcPr>
            <w:tcW w:w="1337" w:type="dxa"/>
            <w:tcBorders>
              <w:top w:val="nil"/>
              <w:left w:val="single" w:sz="16" w:space="0" w:color="000000"/>
              <w:bottom w:val="nil"/>
            </w:tcBorders>
            <w:shd w:val="clear" w:color="auto" w:fill="FFFFFF"/>
            <w:vAlign w:val="center"/>
          </w:tcPr>
          <w:p w14:paraId="13BBCE2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-2.550</w:t>
            </w:r>
          </w:p>
        </w:tc>
        <w:tc>
          <w:tcPr>
            <w:tcW w:w="1337" w:type="dxa"/>
            <w:tcBorders>
              <w:top w:val="nil"/>
              <w:bottom w:val="nil"/>
            </w:tcBorders>
            <w:shd w:val="clear" w:color="auto" w:fill="FFFFFF"/>
            <w:vAlign w:val="center"/>
          </w:tcPr>
          <w:p w14:paraId="26E10BE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.410</w:t>
            </w:r>
          </w:p>
        </w:tc>
        <w:tc>
          <w:tcPr>
            <w:tcW w:w="1476" w:type="dxa"/>
            <w:tcBorders>
              <w:top w:val="nil"/>
              <w:bottom w:val="nil"/>
            </w:tcBorders>
            <w:shd w:val="clear" w:color="auto" w:fill="FFFFFF"/>
            <w:vAlign w:val="center"/>
          </w:tcPr>
          <w:p w14:paraId="2291A2C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-.442</w:t>
            </w:r>
          </w:p>
        </w:tc>
        <w:tc>
          <w:tcPr>
            <w:tcW w:w="1014" w:type="dxa"/>
            <w:tcBorders>
              <w:top w:val="nil"/>
              <w:bottom w:val="nil"/>
            </w:tcBorders>
            <w:shd w:val="clear" w:color="auto" w:fill="FFFFFF"/>
            <w:vAlign w:val="center"/>
          </w:tcPr>
          <w:p w14:paraId="481ED00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-6.225</w:t>
            </w:r>
          </w:p>
        </w:tc>
        <w:tc>
          <w:tcPr>
            <w:tcW w:w="2208" w:type="dxa"/>
            <w:tcBorders>
              <w:top w:val="nil"/>
              <w:bottom w:val="nil"/>
              <w:right w:val="single" w:sz="16" w:space="0" w:color="000000"/>
            </w:tcBorders>
            <w:shd w:val="clear" w:color="auto" w:fill="FFFFFF"/>
            <w:vAlign w:val="center"/>
          </w:tcPr>
          <w:p w14:paraId="611ED88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16FF280E" w14:textId="77777777" w:rsidTr="0004526B">
        <w:trPr>
          <w:cantSplit/>
        </w:trPr>
        <w:tc>
          <w:tcPr>
            <w:tcW w:w="1022" w:type="dxa"/>
            <w:vMerge/>
            <w:tcBorders>
              <w:top w:val="single" w:sz="16" w:space="0" w:color="000000"/>
              <w:left w:val="single" w:sz="16" w:space="0" w:color="000000"/>
              <w:bottom w:val="single" w:sz="16" w:space="0" w:color="000000"/>
              <w:right w:val="nil"/>
            </w:tcBorders>
            <w:shd w:val="clear" w:color="auto" w:fill="FFFFFF"/>
          </w:tcPr>
          <w:p w14:paraId="71835230"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46" w:type="dxa"/>
            <w:tcBorders>
              <w:top w:val="nil"/>
              <w:left w:val="nil"/>
              <w:bottom w:val="nil"/>
              <w:right w:val="single" w:sz="16" w:space="0" w:color="000000"/>
            </w:tcBorders>
            <w:shd w:val="clear" w:color="auto" w:fill="FFFFFF"/>
          </w:tcPr>
          <w:p w14:paraId="55F5006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SB Account</w:t>
            </w:r>
          </w:p>
        </w:tc>
        <w:tc>
          <w:tcPr>
            <w:tcW w:w="1337" w:type="dxa"/>
            <w:tcBorders>
              <w:top w:val="nil"/>
              <w:left w:val="single" w:sz="16" w:space="0" w:color="000000"/>
              <w:bottom w:val="nil"/>
            </w:tcBorders>
            <w:shd w:val="clear" w:color="auto" w:fill="FFFFFF"/>
            <w:vAlign w:val="center"/>
          </w:tcPr>
          <w:p w14:paraId="331E8C0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-5.487</w:t>
            </w:r>
          </w:p>
        </w:tc>
        <w:tc>
          <w:tcPr>
            <w:tcW w:w="1337" w:type="dxa"/>
            <w:tcBorders>
              <w:top w:val="nil"/>
              <w:bottom w:val="nil"/>
            </w:tcBorders>
            <w:shd w:val="clear" w:color="auto" w:fill="FFFFFF"/>
            <w:vAlign w:val="center"/>
          </w:tcPr>
          <w:p w14:paraId="35EF8D8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.912</w:t>
            </w:r>
          </w:p>
        </w:tc>
        <w:tc>
          <w:tcPr>
            <w:tcW w:w="1476" w:type="dxa"/>
            <w:tcBorders>
              <w:top w:val="nil"/>
              <w:bottom w:val="nil"/>
            </w:tcBorders>
            <w:shd w:val="clear" w:color="auto" w:fill="FFFFFF"/>
            <w:vAlign w:val="center"/>
          </w:tcPr>
          <w:p w14:paraId="4214BCA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-.433</w:t>
            </w:r>
          </w:p>
        </w:tc>
        <w:tc>
          <w:tcPr>
            <w:tcW w:w="1014" w:type="dxa"/>
            <w:tcBorders>
              <w:top w:val="nil"/>
              <w:bottom w:val="nil"/>
            </w:tcBorders>
            <w:shd w:val="clear" w:color="auto" w:fill="FFFFFF"/>
            <w:vAlign w:val="center"/>
          </w:tcPr>
          <w:p w14:paraId="3096E36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-6.017</w:t>
            </w:r>
          </w:p>
        </w:tc>
        <w:tc>
          <w:tcPr>
            <w:tcW w:w="2208" w:type="dxa"/>
            <w:tcBorders>
              <w:top w:val="nil"/>
              <w:bottom w:val="nil"/>
              <w:right w:val="single" w:sz="16" w:space="0" w:color="000000"/>
            </w:tcBorders>
            <w:shd w:val="clear" w:color="auto" w:fill="FFFFFF"/>
            <w:vAlign w:val="center"/>
          </w:tcPr>
          <w:p w14:paraId="279EED3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00EA5964" w14:textId="77777777" w:rsidTr="0004526B">
        <w:trPr>
          <w:cantSplit/>
        </w:trPr>
        <w:tc>
          <w:tcPr>
            <w:tcW w:w="1022" w:type="dxa"/>
            <w:vMerge/>
            <w:tcBorders>
              <w:top w:val="single" w:sz="16" w:space="0" w:color="000000"/>
              <w:left w:val="single" w:sz="16" w:space="0" w:color="000000"/>
              <w:bottom w:val="single" w:sz="16" w:space="0" w:color="000000"/>
              <w:right w:val="nil"/>
            </w:tcBorders>
            <w:shd w:val="clear" w:color="auto" w:fill="FFFFFF"/>
          </w:tcPr>
          <w:p w14:paraId="55B06917"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46" w:type="dxa"/>
            <w:tcBorders>
              <w:top w:val="nil"/>
              <w:left w:val="nil"/>
              <w:bottom w:val="single" w:sz="16" w:space="0" w:color="000000"/>
              <w:right w:val="single" w:sz="16" w:space="0" w:color="000000"/>
            </w:tcBorders>
            <w:shd w:val="clear" w:color="auto" w:fill="FFFFFF"/>
          </w:tcPr>
          <w:p w14:paraId="6BBC868C"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w:t>
            </w:r>
          </w:p>
        </w:tc>
        <w:tc>
          <w:tcPr>
            <w:tcW w:w="1337" w:type="dxa"/>
            <w:tcBorders>
              <w:top w:val="nil"/>
              <w:left w:val="single" w:sz="16" w:space="0" w:color="000000"/>
              <w:bottom w:val="single" w:sz="16" w:space="0" w:color="000000"/>
            </w:tcBorders>
            <w:shd w:val="clear" w:color="auto" w:fill="FFFFFF"/>
            <w:vAlign w:val="center"/>
          </w:tcPr>
          <w:p w14:paraId="3A8297F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-1.164</w:t>
            </w:r>
          </w:p>
        </w:tc>
        <w:tc>
          <w:tcPr>
            <w:tcW w:w="1337" w:type="dxa"/>
            <w:tcBorders>
              <w:top w:val="nil"/>
              <w:bottom w:val="single" w:sz="16" w:space="0" w:color="000000"/>
            </w:tcBorders>
            <w:shd w:val="clear" w:color="auto" w:fill="FFFFFF"/>
            <w:vAlign w:val="center"/>
          </w:tcPr>
          <w:p w14:paraId="3F0D3A0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.393</w:t>
            </w:r>
          </w:p>
        </w:tc>
        <w:tc>
          <w:tcPr>
            <w:tcW w:w="1476" w:type="dxa"/>
            <w:tcBorders>
              <w:top w:val="nil"/>
              <w:bottom w:val="single" w:sz="16" w:space="0" w:color="000000"/>
            </w:tcBorders>
            <w:shd w:val="clear" w:color="auto" w:fill="FFFFFF"/>
            <w:vAlign w:val="center"/>
          </w:tcPr>
          <w:p w14:paraId="7978AB3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-.208</w:t>
            </w:r>
          </w:p>
        </w:tc>
        <w:tc>
          <w:tcPr>
            <w:tcW w:w="1014" w:type="dxa"/>
            <w:tcBorders>
              <w:top w:val="nil"/>
              <w:bottom w:val="single" w:sz="16" w:space="0" w:color="000000"/>
            </w:tcBorders>
            <w:shd w:val="clear" w:color="auto" w:fill="FFFFFF"/>
            <w:vAlign w:val="center"/>
          </w:tcPr>
          <w:p w14:paraId="254E049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-2.962</w:t>
            </w:r>
          </w:p>
        </w:tc>
        <w:tc>
          <w:tcPr>
            <w:tcW w:w="2208" w:type="dxa"/>
            <w:tcBorders>
              <w:top w:val="nil"/>
              <w:bottom w:val="single" w:sz="16" w:space="0" w:color="000000"/>
              <w:right w:val="single" w:sz="16" w:space="0" w:color="000000"/>
            </w:tcBorders>
            <w:shd w:val="clear" w:color="auto" w:fill="FFFFFF"/>
            <w:vAlign w:val="center"/>
          </w:tcPr>
          <w:p w14:paraId="3D1244E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.004</w:t>
            </w:r>
          </w:p>
        </w:tc>
      </w:tr>
      <w:tr w:rsidR="005C1134" w:rsidRPr="0010152F" w14:paraId="66B53A03" w14:textId="77777777" w:rsidTr="0004526B">
        <w:trPr>
          <w:cantSplit/>
        </w:trPr>
        <w:tc>
          <w:tcPr>
            <w:tcW w:w="9640" w:type="dxa"/>
            <w:gridSpan w:val="7"/>
            <w:tcBorders>
              <w:top w:val="nil"/>
              <w:left w:val="nil"/>
              <w:bottom w:val="nil"/>
              <w:right w:val="nil"/>
            </w:tcBorders>
            <w:shd w:val="clear" w:color="auto" w:fill="FFFFFF"/>
          </w:tcPr>
          <w:p w14:paraId="3974146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a. Dependent Variable: education </w:t>
            </w:r>
          </w:p>
          <w:p w14:paraId="353F099C" w14:textId="77777777" w:rsidR="005C1134" w:rsidRPr="0010152F" w:rsidRDefault="005C1134" w:rsidP="0004526B">
            <w:pPr>
              <w:spacing w:before="100" w:beforeAutospacing="1" w:after="100" w:afterAutospacing="1"/>
              <w:jc w:val="both"/>
              <w:rPr>
                <w:rFonts w:ascii="Arial Black" w:hAnsi="Arial Black" w:cstheme="minorHAnsi"/>
                <w:sz w:val="22"/>
                <w:szCs w:val="22"/>
                <w:lang w:val="en-IN" w:eastAsia="en-IN"/>
              </w:rPr>
            </w:pPr>
            <w:r w:rsidRPr="0010152F">
              <w:rPr>
                <w:rFonts w:ascii="Arial Black" w:hAnsi="Arial Black" w:cstheme="minorHAnsi"/>
                <w:color w:val="000000"/>
                <w:sz w:val="22"/>
                <w:szCs w:val="22"/>
                <w:lang w:val="en-IN"/>
              </w:rPr>
              <w:t xml:space="preserve">The Coefficient table helps to understand how the dependent variable influences the independent variables like E-Sharm, Pension, SB account, and SHG. The above table explains that except the registering in the E-Shram portal, all other independent variables depend on education. </w:t>
            </w:r>
            <w:r w:rsidRPr="0010152F">
              <w:rPr>
                <w:rFonts w:ascii="Arial Black" w:hAnsi="Arial Black" w:cstheme="minorHAnsi"/>
                <w:sz w:val="22"/>
                <w:szCs w:val="22"/>
                <w:lang w:val="en-IN" w:eastAsia="en-IN"/>
              </w:rPr>
              <w:t xml:space="preserve"> The predictors </w:t>
            </w:r>
            <w:r w:rsidRPr="0010152F">
              <w:rPr>
                <w:rFonts w:ascii="Arial Black" w:hAnsi="Arial Black" w:cstheme="minorHAnsi"/>
                <w:bCs/>
                <w:sz w:val="22"/>
                <w:szCs w:val="22"/>
                <w:lang w:val="en-IN" w:eastAsia="en-IN"/>
              </w:rPr>
              <w:t>explain Education levels</w:t>
            </w:r>
            <w:r w:rsidRPr="0010152F">
              <w:rPr>
                <w:rFonts w:ascii="Arial Black" w:hAnsi="Arial Black" w:cstheme="minorHAnsi"/>
                <w:sz w:val="22"/>
                <w:szCs w:val="22"/>
                <w:lang w:val="en-IN" w:eastAsia="en-IN"/>
              </w:rPr>
              <w:t xml:space="preserve">, but </w:t>
            </w:r>
            <w:r w:rsidRPr="0010152F">
              <w:rPr>
                <w:rFonts w:ascii="Arial Black" w:hAnsi="Arial Black" w:cstheme="minorHAnsi"/>
                <w:bCs/>
                <w:sz w:val="22"/>
                <w:szCs w:val="22"/>
                <w:lang w:val="en-IN" w:eastAsia="en-IN"/>
              </w:rPr>
              <w:t>some key factors might be missing</w:t>
            </w:r>
            <w:r w:rsidRPr="0010152F">
              <w:rPr>
                <w:rFonts w:ascii="Arial Black" w:hAnsi="Arial Black" w:cstheme="minorHAnsi"/>
                <w:sz w:val="22"/>
                <w:szCs w:val="22"/>
                <w:lang w:val="en-IN" w:eastAsia="en-IN"/>
              </w:rPr>
              <w:t xml:space="preserve">. Further analysis (e.g., adding socioeconomic variables) could </w:t>
            </w:r>
            <w:r w:rsidRPr="0010152F">
              <w:rPr>
                <w:rFonts w:ascii="Arial Black" w:hAnsi="Arial Black" w:cstheme="minorHAnsi"/>
                <w:bCs/>
                <w:sz w:val="22"/>
                <w:szCs w:val="22"/>
                <w:lang w:val="en-IN" w:eastAsia="en-IN"/>
              </w:rPr>
              <w:t>improve the model</w:t>
            </w:r>
            <w:r w:rsidRPr="0010152F">
              <w:rPr>
                <w:rFonts w:ascii="Arial Black" w:hAnsi="Arial Black" w:cstheme="minorHAnsi"/>
                <w:sz w:val="22"/>
                <w:szCs w:val="22"/>
                <w:lang w:val="en-IN" w:eastAsia="en-IN"/>
              </w:rPr>
              <w:t>.</w:t>
            </w:r>
            <w:r w:rsidRPr="0010152F">
              <w:rPr>
                <w:rFonts w:ascii="Arial Black" w:hAnsi="Arial Black" w:cstheme="minorHAnsi"/>
                <w:color w:val="000000"/>
                <w:sz w:val="22"/>
                <w:szCs w:val="22"/>
                <w:lang w:val="en-IN"/>
              </w:rPr>
              <w:t xml:space="preserve"> </w:t>
            </w:r>
          </w:p>
          <w:p w14:paraId="4E607D56"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 </w:t>
            </w:r>
          </w:p>
        </w:tc>
      </w:tr>
    </w:tbl>
    <w:p w14:paraId="517F62E6"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1476"/>
        <w:gridCol w:w="4754"/>
      </w:tblGrid>
      <w:tr w:rsidR="005C1134" w:rsidRPr="0010152F" w14:paraId="04CAA100" w14:textId="77777777" w:rsidTr="0004526B">
        <w:trPr>
          <w:cantSplit/>
        </w:trPr>
        <w:tc>
          <w:tcPr>
            <w:tcW w:w="8505" w:type="dxa"/>
            <w:gridSpan w:val="4"/>
            <w:tcBorders>
              <w:top w:val="nil"/>
              <w:left w:val="nil"/>
              <w:bottom w:val="nil"/>
              <w:right w:val="nil"/>
            </w:tcBorders>
            <w:shd w:val="clear" w:color="auto" w:fill="FFFFFF"/>
            <w:vAlign w:val="center"/>
          </w:tcPr>
          <w:p w14:paraId="1F01FB4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b/>
                <w:bCs/>
                <w:color w:val="000000"/>
                <w:sz w:val="22"/>
                <w:szCs w:val="22"/>
                <w:lang w:val="en-IN"/>
              </w:rPr>
            </w:pPr>
          </w:p>
          <w:p w14:paraId="2A11B7F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No.5. Variables Entered/Removed</w:t>
            </w:r>
          </w:p>
        </w:tc>
      </w:tr>
      <w:tr w:rsidR="005C1134" w:rsidRPr="0010152F" w14:paraId="737E4547"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C8F278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4AED796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Entered</w:t>
            </w:r>
          </w:p>
        </w:tc>
        <w:tc>
          <w:tcPr>
            <w:tcW w:w="1476" w:type="dxa"/>
            <w:tcBorders>
              <w:top w:val="single" w:sz="16" w:space="0" w:color="000000"/>
              <w:bottom w:val="single" w:sz="16" w:space="0" w:color="000000"/>
            </w:tcBorders>
            <w:shd w:val="clear" w:color="auto" w:fill="FFFFFF"/>
            <w:vAlign w:val="bottom"/>
          </w:tcPr>
          <w:p w14:paraId="135675C1"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Removed</w:t>
            </w:r>
          </w:p>
        </w:tc>
        <w:tc>
          <w:tcPr>
            <w:tcW w:w="4754" w:type="dxa"/>
            <w:tcBorders>
              <w:top w:val="single" w:sz="16" w:space="0" w:color="000000"/>
              <w:bottom w:val="single" w:sz="16" w:space="0" w:color="000000"/>
              <w:right w:val="single" w:sz="16" w:space="0" w:color="000000"/>
            </w:tcBorders>
            <w:shd w:val="clear" w:color="auto" w:fill="FFFFFF"/>
            <w:vAlign w:val="bottom"/>
          </w:tcPr>
          <w:p w14:paraId="76F015B9"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Method</w:t>
            </w:r>
          </w:p>
        </w:tc>
      </w:tr>
      <w:tr w:rsidR="005C1134" w:rsidRPr="0010152F" w14:paraId="7960382A"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4E34A45C"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476" w:type="dxa"/>
            <w:tcBorders>
              <w:top w:val="single" w:sz="16" w:space="0" w:color="000000"/>
              <w:left w:val="single" w:sz="16" w:space="0" w:color="000000"/>
              <w:bottom w:val="single" w:sz="16" w:space="0" w:color="000000"/>
            </w:tcBorders>
            <w:shd w:val="clear" w:color="auto" w:fill="FFFFFF"/>
            <w:vAlign w:val="center"/>
          </w:tcPr>
          <w:p w14:paraId="5492491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 E-</w:t>
            </w:r>
            <w:proofErr w:type="spellStart"/>
            <w:r w:rsidRPr="0010152F">
              <w:rPr>
                <w:rFonts w:ascii="Arial Black" w:hAnsi="Arial Black" w:cstheme="minorHAnsi"/>
                <w:color w:val="000000"/>
                <w:sz w:val="22"/>
                <w:szCs w:val="22"/>
                <w:lang w:val="en-IN"/>
              </w:rPr>
              <w:t>Shram</w:t>
            </w:r>
            <w:proofErr w:type="spellEnd"/>
            <w:r w:rsidRPr="0010152F">
              <w:rPr>
                <w:rFonts w:ascii="Arial Black" w:hAnsi="Arial Black" w:cstheme="minorHAnsi"/>
                <w:color w:val="000000"/>
                <w:sz w:val="22"/>
                <w:szCs w:val="22"/>
                <w:lang w:val="en-IN"/>
              </w:rPr>
              <w:t xml:space="preserve">, Pension, SB </w:t>
            </w:r>
            <w:proofErr w:type="spellStart"/>
            <w:r w:rsidRPr="0010152F">
              <w:rPr>
                <w:rFonts w:ascii="Arial Black" w:hAnsi="Arial Black" w:cstheme="minorHAnsi"/>
                <w:color w:val="000000"/>
                <w:sz w:val="22"/>
                <w:szCs w:val="22"/>
                <w:lang w:val="en-IN"/>
              </w:rPr>
              <w:t>Account</w:t>
            </w:r>
            <w:r w:rsidRPr="0010152F">
              <w:rPr>
                <w:rFonts w:ascii="Arial Black" w:hAnsi="Arial Black" w:cstheme="minorHAnsi"/>
                <w:color w:val="000000"/>
                <w:sz w:val="22"/>
                <w:szCs w:val="22"/>
                <w:vertAlign w:val="superscript"/>
                <w:lang w:val="en-IN"/>
              </w:rPr>
              <w:t>b</w:t>
            </w:r>
            <w:proofErr w:type="spellEnd"/>
          </w:p>
        </w:tc>
        <w:tc>
          <w:tcPr>
            <w:tcW w:w="1476" w:type="dxa"/>
            <w:tcBorders>
              <w:top w:val="single" w:sz="16" w:space="0" w:color="000000"/>
              <w:bottom w:val="single" w:sz="16" w:space="0" w:color="000000"/>
            </w:tcBorders>
            <w:shd w:val="clear" w:color="auto" w:fill="FFFFFF"/>
            <w:vAlign w:val="center"/>
          </w:tcPr>
          <w:p w14:paraId="0B0AF83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w:t>
            </w:r>
          </w:p>
        </w:tc>
        <w:tc>
          <w:tcPr>
            <w:tcW w:w="4754" w:type="dxa"/>
            <w:tcBorders>
              <w:top w:val="single" w:sz="16" w:space="0" w:color="000000"/>
              <w:bottom w:val="single" w:sz="16" w:space="0" w:color="000000"/>
              <w:right w:val="single" w:sz="16" w:space="0" w:color="000000"/>
            </w:tcBorders>
            <w:shd w:val="clear" w:color="auto" w:fill="FFFFFF"/>
            <w:vAlign w:val="center"/>
          </w:tcPr>
          <w:p w14:paraId="3EE1D97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Enter</w:t>
            </w:r>
          </w:p>
        </w:tc>
      </w:tr>
      <w:tr w:rsidR="005C1134" w:rsidRPr="0010152F" w14:paraId="6AEA85D6" w14:textId="77777777" w:rsidTr="0004526B">
        <w:trPr>
          <w:cantSplit/>
        </w:trPr>
        <w:tc>
          <w:tcPr>
            <w:tcW w:w="8505" w:type="dxa"/>
            <w:gridSpan w:val="4"/>
            <w:tcBorders>
              <w:top w:val="nil"/>
              <w:left w:val="nil"/>
              <w:bottom w:val="nil"/>
              <w:right w:val="nil"/>
            </w:tcBorders>
            <w:shd w:val="clear" w:color="auto" w:fill="FFFFFF"/>
          </w:tcPr>
          <w:p w14:paraId="7B579B3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Experience</w:t>
            </w:r>
          </w:p>
        </w:tc>
      </w:tr>
      <w:tr w:rsidR="005C1134" w:rsidRPr="0010152F" w14:paraId="7C58706F" w14:textId="77777777" w:rsidTr="0004526B">
        <w:trPr>
          <w:cantSplit/>
        </w:trPr>
        <w:tc>
          <w:tcPr>
            <w:tcW w:w="8505" w:type="dxa"/>
            <w:gridSpan w:val="4"/>
            <w:tcBorders>
              <w:top w:val="nil"/>
              <w:left w:val="nil"/>
              <w:bottom w:val="nil"/>
              <w:right w:val="nil"/>
            </w:tcBorders>
            <w:shd w:val="clear" w:color="auto" w:fill="FFFFFF"/>
          </w:tcPr>
          <w:p w14:paraId="421D627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All requested variables entered.</w:t>
            </w:r>
          </w:p>
        </w:tc>
      </w:tr>
    </w:tbl>
    <w:p w14:paraId="67DE4B68"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4125"/>
      </w:tblGrid>
      <w:tr w:rsidR="005C1134" w:rsidRPr="0010152F" w14:paraId="4FE8B842" w14:textId="77777777" w:rsidTr="0004526B">
        <w:trPr>
          <w:cantSplit/>
        </w:trPr>
        <w:tc>
          <w:tcPr>
            <w:tcW w:w="8505" w:type="dxa"/>
            <w:gridSpan w:val="5"/>
            <w:tcBorders>
              <w:top w:val="nil"/>
              <w:left w:val="nil"/>
              <w:bottom w:val="nil"/>
              <w:right w:val="nil"/>
            </w:tcBorders>
            <w:shd w:val="clear" w:color="auto" w:fill="FFFFFF"/>
            <w:vAlign w:val="center"/>
          </w:tcPr>
          <w:p w14:paraId="55FFC30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No.6. Model Summary</w:t>
            </w:r>
          </w:p>
        </w:tc>
      </w:tr>
      <w:tr w:rsidR="005C1134" w:rsidRPr="0010152F" w14:paraId="55F44C88"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DF18CF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26BA13D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w:t>
            </w:r>
          </w:p>
        </w:tc>
        <w:tc>
          <w:tcPr>
            <w:tcW w:w="1091" w:type="dxa"/>
            <w:tcBorders>
              <w:top w:val="single" w:sz="16" w:space="0" w:color="000000"/>
              <w:bottom w:val="single" w:sz="16" w:space="0" w:color="000000"/>
            </w:tcBorders>
            <w:shd w:val="clear" w:color="auto" w:fill="FFFFFF"/>
            <w:vAlign w:val="bottom"/>
          </w:tcPr>
          <w:p w14:paraId="4B98ABDF"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 Square</w:t>
            </w:r>
          </w:p>
        </w:tc>
        <w:tc>
          <w:tcPr>
            <w:tcW w:w="1476" w:type="dxa"/>
            <w:tcBorders>
              <w:top w:val="single" w:sz="16" w:space="0" w:color="000000"/>
              <w:bottom w:val="single" w:sz="16" w:space="0" w:color="000000"/>
            </w:tcBorders>
            <w:shd w:val="clear" w:color="auto" w:fill="FFFFFF"/>
            <w:vAlign w:val="bottom"/>
          </w:tcPr>
          <w:p w14:paraId="3B0678C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Adjusted R Square</w:t>
            </w:r>
          </w:p>
        </w:tc>
        <w:tc>
          <w:tcPr>
            <w:tcW w:w="4125" w:type="dxa"/>
            <w:tcBorders>
              <w:top w:val="single" w:sz="16" w:space="0" w:color="000000"/>
              <w:bottom w:val="single" w:sz="16" w:space="0" w:color="000000"/>
              <w:right w:val="single" w:sz="16" w:space="0" w:color="000000"/>
            </w:tcBorders>
            <w:shd w:val="clear" w:color="auto" w:fill="FFFFFF"/>
            <w:vAlign w:val="bottom"/>
          </w:tcPr>
          <w:p w14:paraId="02536FCA"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 of the Estimate</w:t>
            </w:r>
          </w:p>
        </w:tc>
      </w:tr>
      <w:tr w:rsidR="005C1134" w:rsidRPr="0010152F" w14:paraId="0E3A3868"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1828E76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744358A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.834</w:t>
            </w:r>
            <w:r w:rsidRPr="0010152F">
              <w:rPr>
                <w:rFonts w:ascii="Arial Black" w:hAnsi="Arial Black" w:cstheme="minorHAnsi"/>
                <w:color w:val="000000"/>
                <w:sz w:val="22"/>
                <w:szCs w:val="22"/>
                <w:vertAlign w:val="superscript"/>
                <w:lang w:val="en-IN"/>
              </w:rPr>
              <w:t>a</w:t>
            </w:r>
          </w:p>
        </w:tc>
        <w:tc>
          <w:tcPr>
            <w:tcW w:w="1091" w:type="dxa"/>
            <w:tcBorders>
              <w:top w:val="single" w:sz="16" w:space="0" w:color="000000"/>
              <w:bottom w:val="single" w:sz="16" w:space="0" w:color="000000"/>
            </w:tcBorders>
            <w:shd w:val="clear" w:color="auto" w:fill="FFFFFF"/>
            <w:vAlign w:val="center"/>
          </w:tcPr>
          <w:p w14:paraId="56ABE10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.696</w:t>
            </w:r>
          </w:p>
        </w:tc>
        <w:tc>
          <w:tcPr>
            <w:tcW w:w="1476" w:type="dxa"/>
            <w:tcBorders>
              <w:top w:val="single" w:sz="16" w:space="0" w:color="000000"/>
              <w:bottom w:val="single" w:sz="16" w:space="0" w:color="000000"/>
            </w:tcBorders>
            <w:shd w:val="clear" w:color="auto" w:fill="FFFFFF"/>
            <w:vAlign w:val="center"/>
          </w:tcPr>
          <w:p w14:paraId="1AE4501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.683</w:t>
            </w:r>
          </w:p>
        </w:tc>
        <w:tc>
          <w:tcPr>
            <w:tcW w:w="4125" w:type="dxa"/>
            <w:tcBorders>
              <w:top w:val="single" w:sz="16" w:space="0" w:color="000000"/>
              <w:bottom w:val="single" w:sz="16" w:space="0" w:color="000000"/>
              <w:right w:val="single" w:sz="16" w:space="0" w:color="000000"/>
            </w:tcBorders>
            <w:shd w:val="clear" w:color="auto" w:fill="FFFFFF"/>
            <w:vAlign w:val="center"/>
          </w:tcPr>
          <w:p w14:paraId="43E0481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.479</w:t>
            </w:r>
          </w:p>
        </w:tc>
      </w:tr>
      <w:tr w:rsidR="005C1134" w:rsidRPr="0010152F" w14:paraId="15529D63" w14:textId="77777777" w:rsidTr="0004526B">
        <w:trPr>
          <w:cantSplit/>
        </w:trPr>
        <w:tc>
          <w:tcPr>
            <w:tcW w:w="8505" w:type="dxa"/>
            <w:gridSpan w:val="5"/>
            <w:tcBorders>
              <w:top w:val="nil"/>
              <w:left w:val="nil"/>
              <w:bottom w:val="nil"/>
              <w:right w:val="nil"/>
            </w:tcBorders>
            <w:shd w:val="clear" w:color="auto" w:fill="FFFFFF"/>
          </w:tcPr>
          <w:p w14:paraId="6A929B0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Predictors: (Constant), SHG, E-Shram, Pension, SB Account</w:t>
            </w:r>
          </w:p>
        </w:tc>
      </w:tr>
    </w:tbl>
    <w:p w14:paraId="1D6C8EC6" w14:textId="77777777" w:rsidR="005C1134" w:rsidRPr="0010152F" w:rsidRDefault="005C1134" w:rsidP="005C1134">
      <w:pPr>
        <w:spacing w:before="100" w:beforeAutospacing="1" w:after="100" w:afterAutospacing="1"/>
        <w:jc w:val="both"/>
        <w:rPr>
          <w:rFonts w:ascii="Arial Black" w:hAnsi="Arial Black" w:cstheme="minorHAnsi"/>
          <w:sz w:val="22"/>
          <w:szCs w:val="22"/>
        </w:rPr>
      </w:pPr>
      <w:r w:rsidRPr="0010152F">
        <w:rPr>
          <w:rStyle w:val="Strong"/>
          <w:rFonts w:ascii="Arial Black" w:hAnsi="Arial Black" w:cstheme="minorHAnsi"/>
          <w:b w:val="0"/>
          <w:sz w:val="22"/>
          <w:szCs w:val="22"/>
        </w:rPr>
        <w:t>The R value indicates a strong positive correlation between the independent variable and the dependent variable, and the R-squared value indicates a better fit.</w:t>
      </w:r>
      <w:r w:rsidRPr="0010152F">
        <w:rPr>
          <w:rFonts w:ascii="Arial Black" w:hAnsi="Arial Black" w:cstheme="minorHAnsi"/>
          <w:sz w:val="22"/>
          <w:szCs w:val="22"/>
        </w:rPr>
        <w:t xml:space="preserve"> The regression model demonstrates a </w:t>
      </w:r>
      <w:r w:rsidRPr="0010152F">
        <w:rPr>
          <w:rStyle w:val="Strong"/>
          <w:rFonts w:ascii="Arial Black" w:hAnsi="Arial Black" w:cstheme="minorHAnsi"/>
          <w:b w:val="0"/>
          <w:bCs w:val="0"/>
          <w:sz w:val="22"/>
          <w:szCs w:val="22"/>
        </w:rPr>
        <w:t>strong and statistically significant relationship</w:t>
      </w:r>
      <w:r w:rsidRPr="0010152F">
        <w:rPr>
          <w:rFonts w:ascii="Arial Black" w:hAnsi="Arial Black" w:cstheme="minorHAnsi"/>
          <w:sz w:val="22"/>
          <w:szCs w:val="22"/>
        </w:rPr>
        <w:t xml:space="preserve"> between the independent variables </w:t>
      </w:r>
      <w:r w:rsidRPr="0010152F">
        <w:rPr>
          <w:rFonts w:ascii="Arial Black" w:hAnsi="Arial Black" w:cstheme="minorHAnsi"/>
          <w:i/>
          <w:iCs/>
          <w:sz w:val="22"/>
          <w:szCs w:val="22"/>
        </w:rPr>
        <w:t>(</w:t>
      </w:r>
      <w:r w:rsidRPr="0010152F">
        <w:rPr>
          <w:rStyle w:val="Emphasis"/>
          <w:rFonts w:ascii="Arial Black" w:hAnsi="Arial Black" w:cstheme="minorHAnsi"/>
          <w:i w:val="0"/>
          <w:iCs w:val="0"/>
          <w:sz w:val="22"/>
          <w:szCs w:val="22"/>
        </w:rPr>
        <w:t xml:space="preserve">SHG membership, E-Shram registration, pension benefits, and savings bank account </w:t>
      </w:r>
      <w:r w:rsidRPr="0010152F">
        <w:rPr>
          <w:rStyle w:val="Emphasis"/>
          <w:rFonts w:ascii="Arial Black" w:hAnsi="Arial Black" w:cstheme="minorHAnsi"/>
          <w:i w:val="0"/>
          <w:iCs w:val="0"/>
          <w:sz w:val="22"/>
          <w:szCs w:val="22"/>
        </w:rPr>
        <w:lastRenderedPageBreak/>
        <w:t>ownership</w:t>
      </w:r>
      <w:r w:rsidRPr="0010152F">
        <w:rPr>
          <w:rFonts w:ascii="Arial Black" w:hAnsi="Arial Black" w:cstheme="minorHAnsi"/>
          <w:i/>
          <w:iCs/>
          <w:sz w:val="22"/>
          <w:szCs w:val="22"/>
        </w:rPr>
        <w:t>)</w:t>
      </w:r>
      <w:r w:rsidRPr="0010152F">
        <w:rPr>
          <w:rFonts w:ascii="Arial Black" w:hAnsi="Arial Black" w:cstheme="minorHAnsi"/>
          <w:sz w:val="22"/>
          <w:szCs w:val="22"/>
        </w:rPr>
        <w:t xml:space="preserve"> and the work experience of individuals. Approximately </w:t>
      </w:r>
      <w:r w:rsidRPr="0010152F">
        <w:rPr>
          <w:rStyle w:val="Strong"/>
          <w:rFonts w:ascii="Arial Black" w:hAnsi="Arial Black" w:cstheme="minorHAnsi"/>
          <w:b w:val="0"/>
          <w:bCs w:val="0"/>
          <w:sz w:val="22"/>
          <w:szCs w:val="22"/>
        </w:rPr>
        <w:t>69.6% of the variance</w:t>
      </w:r>
      <w:r w:rsidRPr="0010152F">
        <w:rPr>
          <w:rFonts w:ascii="Arial Black" w:hAnsi="Arial Black" w:cstheme="minorHAnsi"/>
          <w:sz w:val="22"/>
          <w:szCs w:val="22"/>
        </w:rPr>
        <w:t xml:space="preserve"> in experience is explained by these variables, suggesting that financial and social inclusion indicators play a substantial role in shaping work history.</w:t>
      </w:r>
    </w:p>
    <w:p w14:paraId="68ADF10F"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557"/>
      </w:tblGrid>
      <w:tr w:rsidR="005C1134" w:rsidRPr="0010152F" w14:paraId="193C05E0" w14:textId="77777777" w:rsidTr="0004526B">
        <w:trPr>
          <w:cantSplit/>
        </w:trPr>
        <w:tc>
          <w:tcPr>
            <w:tcW w:w="8505" w:type="dxa"/>
            <w:gridSpan w:val="7"/>
            <w:tcBorders>
              <w:top w:val="nil"/>
              <w:left w:val="nil"/>
              <w:bottom w:val="nil"/>
              <w:right w:val="nil"/>
            </w:tcBorders>
            <w:shd w:val="clear" w:color="auto" w:fill="FFFFFF"/>
            <w:vAlign w:val="center"/>
          </w:tcPr>
          <w:p w14:paraId="7405AFF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No.7. </w:t>
            </w:r>
            <w:proofErr w:type="spellStart"/>
            <w:r w:rsidRPr="0010152F">
              <w:rPr>
                <w:rFonts w:ascii="Arial Black" w:hAnsi="Arial Black" w:cstheme="minorHAnsi"/>
                <w:b/>
                <w:bCs/>
                <w:color w:val="000000"/>
                <w:sz w:val="22"/>
                <w:szCs w:val="22"/>
                <w:lang w:val="en-IN"/>
              </w:rPr>
              <w:t>ANOVA</w:t>
            </w:r>
            <w:r w:rsidRPr="0010152F">
              <w:rPr>
                <w:rFonts w:ascii="Arial Black" w:hAnsi="Arial Black" w:cstheme="minorHAnsi"/>
                <w:b/>
                <w:bCs/>
                <w:color w:val="000000"/>
                <w:sz w:val="22"/>
                <w:szCs w:val="22"/>
                <w:vertAlign w:val="superscript"/>
                <w:lang w:val="en-IN"/>
              </w:rPr>
              <w:t>a</w:t>
            </w:r>
            <w:proofErr w:type="spellEnd"/>
          </w:p>
        </w:tc>
      </w:tr>
      <w:tr w:rsidR="005C1134" w:rsidRPr="0010152F" w14:paraId="3185550A" w14:textId="77777777" w:rsidTr="0004526B">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14:paraId="2EBA1AF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34A8951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Sum of Squares</w:t>
            </w:r>
          </w:p>
        </w:tc>
        <w:tc>
          <w:tcPr>
            <w:tcW w:w="1014" w:type="dxa"/>
            <w:tcBorders>
              <w:top w:val="single" w:sz="16" w:space="0" w:color="000000"/>
              <w:bottom w:val="single" w:sz="16" w:space="0" w:color="000000"/>
            </w:tcBorders>
            <w:shd w:val="clear" w:color="auto" w:fill="FFFFFF"/>
            <w:vAlign w:val="bottom"/>
          </w:tcPr>
          <w:p w14:paraId="426BC79A"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df</w:t>
            </w:r>
          </w:p>
        </w:tc>
        <w:tc>
          <w:tcPr>
            <w:tcW w:w="1415" w:type="dxa"/>
            <w:tcBorders>
              <w:top w:val="single" w:sz="16" w:space="0" w:color="000000"/>
              <w:bottom w:val="single" w:sz="16" w:space="0" w:color="000000"/>
            </w:tcBorders>
            <w:shd w:val="clear" w:color="auto" w:fill="FFFFFF"/>
            <w:vAlign w:val="bottom"/>
          </w:tcPr>
          <w:p w14:paraId="3BD546A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Mean Square</w:t>
            </w:r>
          </w:p>
        </w:tc>
        <w:tc>
          <w:tcPr>
            <w:tcW w:w="1014" w:type="dxa"/>
            <w:tcBorders>
              <w:top w:val="single" w:sz="16" w:space="0" w:color="000000"/>
              <w:bottom w:val="single" w:sz="16" w:space="0" w:color="000000"/>
            </w:tcBorders>
            <w:shd w:val="clear" w:color="auto" w:fill="FFFFFF"/>
            <w:vAlign w:val="bottom"/>
          </w:tcPr>
          <w:p w14:paraId="000410C5"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F</w:t>
            </w:r>
          </w:p>
        </w:tc>
        <w:tc>
          <w:tcPr>
            <w:tcW w:w="1557" w:type="dxa"/>
            <w:tcBorders>
              <w:top w:val="single" w:sz="16" w:space="0" w:color="000000"/>
              <w:bottom w:val="single" w:sz="16" w:space="0" w:color="000000"/>
              <w:right w:val="single" w:sz="16" w:space="0" w:color="000000"/>
            </w:tcBorders>
            <w:shd w:val="clear" w:color="auto" w:fill="FFFFFF"/>
            <w:vAlign w:val="bottom"/>
          </w:tcPr>
          <w:p w14:paraId="37040D77"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112A5DE0" w14:textId="77777777" w:rsidTr="0004526B">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631C3AEB"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91" w:type="dxa"/>
            <w:tcBorders>
              <w:top w:val="single" w:sz="16" w:space="0" w:color="000000"/>
              <w:left w:val="nil"/>
              <w:bottom w:val="nil"/>
              <w:right w:val="single" w:sz="16" w:space="0" w:color="000000"/>
            </w:tcBorders>
            <w:shd w:val="clear" w:color="auto" w:fill="FFFFFF"/>
          </w:tcPr>
          <w:p w14:paraId="4D0D44D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Regression</w:t>
            </w:r>
          </w:p>
        </w:tc>
        <w:tc>
          <w:tcPr>
            <w:tcW w:w="1476" w:type="dxa"/>
            <w:tcBorders>
              <w:top w:val="single" w:sz="16" w:space="0" w:color="000000"/>
              <w:left w:val="single" w:sz="16" w:space="0" w:color="000000"/>
              <w:bottom w:val="nil"/>
            </w:tcBorders>
            <w:shd w:val="clear" w:color="auto" w:fill="FFFFFF"/>
            <w:vAlign w:val="center"/>
          </w:tcPr>
          <w:p w14:paraId="1117463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49.880</w:t>
            </w:r>
          </w:p>
        </w:tc>
        <w:tc>
          <w:tcPr>
            <w:tcW w:w="1014" w:type="dxa"/>
            <w:tcBorders>
              <w:top w:val="single" w:sz="16" w:space="0" w:color="000000"/>
              <w:bottom w:val="nil"/>
            </w:tcBorders>
            <w:shd w:val="clear" w:color="auto" w:fill="FFFFFF"/>
            <w:vAlign w:val="center"/>
          </w:tcPr>
          <w:p w14:paraId="44EDC92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w:t>
            </w:r>
          </w:p>
        </w:tc>
        <w:tc>
          <w:tcPr>
            <w:tcW w:w="1415" w:type="dxa"/>
            <w:tcBorders>
              <w:top w:val="single" w:sz="16" w:space="0" w:color="000000"/>
              <w:bottom w:val="nil"/>
            </w:tcBorders>
            <w:shd w:val="clear" w:color="auto" w:fill="FFFFFF"/>
            <w:vAlign w:val="center"/>
          </w:tcPr>
          <w:p w14:paraId="714BC6B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12.470</w:t>
            </w:r>
          </w:p>
        </w:tc>
        <w:tc>
          <w:tcPr>
            <w:tcW w:w="1014" w:type="dxa"/>
            <w:tcBorders>
              <w:top w:val="single" w:sz="16" w:space="0" w:color="000000"/>
              <w:bottom w:val="nil"/>
            </w:tcBorders>
            <w:shd w:val="clear" w:color="auto" w:fill="FFFFFF"/>
            <w:vAlign w:val="center"/>
          </w:tcPr>
          <w:p w14:paraId="0312847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54.441</w:t>
            </w:r>
          </w:p>
        </w:tc>
        <w:tc>
          <w:tcPr>
            <w:tcW w:w="1557" w:type="dxa"/>
            <w:tcBorders>
              <w:top w:val="single" w:sz="16" w:space="0" w:color="000000"/>
              <w:bottom w:val="nil"/>
              <w:right w:val="single" w:sz="16" w:space="0" w:color="000000"/>
            </w:tcBorders>
            <w:shd w:val="clear" w:color="auto" w:fill="FFFFFF"/>
            <w:vAlign w:val="center"/>
          </w:tcPr>
          <w:p w14:paraId="78708EF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r w:rsidRPr="0010152F">
              <w:rPr>
                <w:rFonts w:ascii="Arial Black" w:hAnsi="Arial Black" w:cstheme="minorHAnsi"/>
                <w:color w:val="000000"/>
                <w:sz w:val="22"/>
                <w:szCs w:val="22"/>
                <w:vertAlign w:val="superscript"/>
                <w:lang w:val="en-IN"/>
              </w:rPr>
              <w:t>b</w:t>
            </w:r>
          </w:p>
        </w:tc>
      </w:tr>
      <w:tr w:rsidR="005C1134" w:rsidRPr="0010152F" w14:paraId="7A9978BD" w14:textId="77777777" w:rsidTr="0004526B">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21601C64"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91" w:type="dxa"/>
            <w:tcBorders>
              <w:top w:val="nil"/>
              <w:left w:val="nil"/>
              <w:bottom w:val="nil"/>
              <w:right w:val="single" w:sz="16" w:space="0" w:color="000000"/>
            </w:tcBorders>
            <w:shd w:val="clear" w:color="auto" w:fill="FFFFFF"/>
          </w:tcPr>
          <w:p w14:paraId="7F2DDCC6"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Residual</w:t>
            </w:r>
          </w:p>
        </w:tc>
        <w:tc>
          <w:tcPr>
            <w:tcW w:w="1476" w:type="dxa"/>
            <w:tcBorders>
              <w:top w:val="nil"/>
              <w:left w:val="single" w:sz="16" w:space="0" w:color="000000"/>
              <w:bottom w:val="nil"/>
            </w:tcBorders>
            <w:shd w:val="clear" w:color="auto" w:fill="FFFFFF"/>
            <w:vAlign w:val="center"/>
          </w:tcPr>
          <w:p w14:paraId="1D7B9DD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21.760</w:t>
            </w:r>
          </w:p>
        </w:tc>
        <w:tc>
          <w:tcPr>
            <w:tcW w:w="1014" w:type="dxa"/>
            <w:tcBorders>
              <w:top w:val="nil"/>
              <w:bottom w:val="nil"/>
            </w:tcBorders>
            <w:shd w:val="clear" w:color="auto" w:fill="FFFFFF"/>
            <w:vAlign w:val="center"/>
          </w:tcPr>
          <w:p w14:paraId="2A62984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95</w:t>
            </w:r>
          </w:p>
        </w:tc>
        <w:tc>
          <w:tcPr>
            <w:tcW w:w="1415" w:type="dxa"/>
            <w:tcBorders>
              <w:top w:val="nil"/>
              <w:bottom w:val="nil"/>
            </w:tcBorders>
            <w:shd w:val="clear" w:color="auto" w:fill="FFFFFF"/>
            <w:vAlign w:val="center"/>
          </w:tcPr>
          <w:p w14:paraId="2378692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.229</w:t>
            </w:r>
          </w:p>
        </w:tc>
        <w:tc>
          <w:tcPr>
            <w:tcW w:w="1014" w:type="dxa"/>
            <w:tcBorders>
              <w:top w:val="nil"/>
              <w:bottom w:val="nil"/>
            </w:tcBorders>
            <w:shd w:val="clear" w:color="auto" w:fill="FFFFFF"/>
            <w:vAlign w:val="center"/>
          </w:tcPr>
          <w:p w14:paraId="5D65FD90"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557" w:type="dxa"/>
            <w:tcBorders>
              <w:top w:val="nil"/>
              <w:bottom w:val="nil"/>
              <w:right w:val="single" w:sz="16" w:space="0" w:color="000000"/>
            </w:tcBorders>
            <w:shd w:val="clear" w:color="auto" w:fill="FFFFFF"/>
            <w:vAlign w:val="center"/>
          </w:tcPr>
          <w:p w14:paraId="2CBD70B4"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3F952C0D" w14:textId="77777777" w:rsidTr="0004526B">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6CB9D235"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291" w:type="dxa"/>
            <w:tcBorders>
              <w:top w:val="nil"/>
              <w:left w:val="nil"/>
              <w:bottom w:val="single" w:sz="16" w:space="0" w:color="000000"/>
              <w:right w:val="single" w:sz="16" w:space="0" w:color="000000"/>
            </w:tcBorders>
            <w:shd w:val="clear" w:color="auto" w:fill="FFFFFF"/>
          </w:tcPr>
          <w:p w14:paraId="2FC23CA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Total</w:t>
            </w:r>
          </w:p>
        </w:tc>
        <w:tc>
          <w:tcPr>
            <w:tcW w:w="1476" w:type="dxa"/>
            <w:tcBorders>
              <w:top w:val="nil"/>
              <w:left w:val="single" w:sz="16" w:space="0" w:color="000000"/>
              <w:bottom w:val="single" w:sz="16" w:space="0" w:color="000000"/>
            </w:tcBorders>
            <w:shd w:val="clear" w:color="auto" w:fill="FFFFFF"/>
            <w:vAlign w:val="center"/>
          </w:tcPr>
          <w:p w14:paraId="499DC72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71.640</w:t>
            </w:r>
          </w:p>
        </w:tc>
        <w:tc>
          <w:tcPr>
            <w:tcW w:w="1014" w:type="dxa"/>
            <w:tcBorders>
              <w:top w:val="nil"/>
              <w:bottom w:val="single" w:sz="16" w:space="0" w:color="000000"/>
            </w:tcBorders>
            <w:shd w:val="clear" w:color="auto" w:fill="FFFFFF"/>
            <w:vAlign w:val="center"/>
          </w:tcPr>
          <w:p w14:paraId="44EF1AD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99</w:t>
            </w:r>
          </w:p>
        </w:tc>
        <w:tc>
          <w:tcPr>
            <w:tcW w:w="1415" w:type="dxa"/>
            <w:tcBorders>
              <w:top w:val="nil"/>
              <w:bottom w:val="single" w:sz="16" w:space="0" w:color="000000"/>
            </w:tcBorders>
            <w:shd w:val="clear" w:color="auto" w:fill="FFFFFF"/>
            <w:vAlign w:val="center"/>
          </w:tcPr>
          <w:p w14:paraId="23E63A06"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tcBorders>
            <w:shd w:val="clear" w:color="auto" w:fill="FFFFFF"/>
            <w:vAlign w:val="center"/>
          </w:tcPr>
          <w:p w14:paraId="524CB253"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557" w:type="dxa"/>
            <w:tcBorders>
              <w:top w:val="nil"/>
              <w:bottom w:val="single" w:sz="16" w:space="0" w:color="000000"/>
              <w:right w:val="single" w:sz="16" w:space="0" w:color="000000"/>
            </w:tcBorders>
            <w:shd w:val="clear" w:color="auto" w:fill="FFFFFF"/>
            <w:vAlign w:val="center"/>
          </w:tcPr>
          <w:p w14:paraId="6361F231"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00E7EAB3" w14:textId="77777777" w:rsidTr="0004526B">
        <w:trPr>
          <w:cantSplit/>
        </w:trPr>
        <w:tc>
          <w:tcPr>
            <w:tcW w:w="8505" w:type="dxa"/>
            <w:gridSpan w:val="7"/>
            <w:tcBorders>
              <w:top w:val="nil"/>
              <w:left w:val="nil"/>
              <w:bottom w:val="nil"/>
              <w:right w:val="nil"/>
            </w:tcBorders>
            <w:shd w:val="clear" w:color="auto" w:fill="FFFFFF"/>
          </w:tcPr>
          <w:p w14:paraId="58C7B7E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Experience</w:t>
            </w:r>
          </w:p>
        </w:tc>
      </w:tr>
      <w:tr w:rsidR="005C1134" w:rsidRPr="0010152F" w14:paraId="59471966" w14:textId="77777777" w:rsidTr="0004526B">
        <w:trPr>
          <w:cantSplit/>
        </w:trPr>
        <w:tc>
          <w:tcPr>
            <w:tcW w:w="8505" w:type="dxa"/>
            <w:gridSpan w:val="7"/>
            <w:tcBorders>
              <w:top w:val="nil"/>
              <w:left w:val="nil"/>
              <w:bottom w:val="nil"/>
              <w:right w:val="nil"/>
            </w:tcBorders>
            <w:shd w:val="clear" w:color="auto" w:fill="FFFFFF"/>
          </w:tcPr>
          <w:p w14:paraId="5C23823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Predictors: (Constant), SHG, E-Shram, Pension, SB Account</w:t>
            </w:r>
          </w:p>
        </w:tc>
      </w:tr>
    </w:tbl>
    <w:p w14:paraId="17A643CF" w14:textId="77777777" w:rsidR="005C1134" w:rsidRPr="0010152F" w:rsidRDefault="005C1134" w:rsidP="005C1134">
      <w:pPr>
        <w:spacing w:before="100" w:beforeAutospacing="1" w:after="100" w:afterAutospacing="1"/>
        <w:jc w:val="both"/>
        <w:rPr>
          <w:rFonts w:ascii="Arial Black" w:hAnsi="Arial Black" w:cstheme="minorHAnsi"/>
          <w:sz w:val="22"/>
          <w:szCs w:val="22"/>
        </w:rPr>
      </w:pPr>
      <w:r w:rsidRPr="0010152F">
        <w:rPr>
          <w:rFonts w:ascii="Arial Black" w:hAnsi="Arial Black" w:cstheme="minorHAnsi"/>
          <w:sz w:val="22"/>
          <w:szCs w:val="22"/>
        </w:rPr>
        <w:t xml:space="preserve">The ANOVA table helps to determine the statistically significant effect of an independent variable on the dependent variable, which is Experience. The model is highly significant because the p-value is less than 0.05, which indicates rejecting the null hypothesis and accepting the alternative hypothesis. The ANOVA results confirm that the overall regression model is statistically significant. This suggests that the independent variables </w:t>
      </w:r>
      <w:r w:rsidRPr="0010152F">
        <w:rPr>
          <w:rStyle w:val="Emphasis"/>
          <w:rFonts w:ascii="Arial Black" w:hAnsi="Arial Black" w:cstheme="minorHAnsi"/>
          <w:i w:val="0"/>
          <w:iCs w:val="0"/>
          <w:sz w:val="22"/>
          <w:szCs w:val="22"/>
        </w:rPr>
        <w:t>SHG membership, E-Shram registration, pension receipt, and having a savings bank account</w:t>
      </w:r>
      <w:r w:rsidRPr="0010152F">
        <w:rPr>
          <w:rFonts w:ascii="Arial Black" w:hAnsi="Arial Black" w:cstheme="minorHAnsi"/>
          <w:i/>
          <w:iCs/>
          <w:sz w:val="22"/>
          <w:szCs w:val="22"/>
        </w:rPr>
        <w:t xml:space="preserve"> </w:t>
      </w:r>
      <w:r w:rsidRPr="0010152F">
        <w:rPr>
          <w:rFonts w:ascii="Arial Black" w:hAnsi="Arial Black" w:cstheme="minorHAnsi"/>
          <w:sz w:val="22"/>
          <w:szCs w:val="22"/>
        </w:rPr>
        <w:t xml:space="preserve">together </w:t>
      </w:r>
      <w:r w:rsidRPr="0010152F">
        <w:rPr>
          <w:rStyle w:val="Strong"/>
          <w:rFonts w:ascii="Arial Black" w:hAnsi="Arial Black" w:cstheme="minorHAnsi"/>
          <w:b w:val="0"/>
          <w:bCs w:val="0"/>
          <w:sz w:val="22"/>
          <w:szCs w:val="22"/>
        </w:rPr>
        <w:t>have a meaningful and statistically significant impact on the work experience</w:t>
      </w:r>
      <w:r w:rsidRPr="0010152F">
        <w:rPr>
          <w:rFonts w:ascii="Arial Black" w:hAnsi="Arial Black" w:cstheme="minorHAnsi"/>
          <w:b/>
          <w:bCs/>
          <w:sz w:val="22"/>
          <w:szCs w:val="22"/>
        </w:rPr>
        <w:t xml:space="preserve"> </w:t>
      </w:r>
      <w:r w:rsidRPr="0010152F">
        <w:rPr>
          <w:rFonts w:ascii="Arial Black" w:hAnsi="Arial Black" w:cstheme="minorHAnsi"/>
          <w:sz w:val="22"/>
          <w:szCs w:val="22"/>
        </w:rPr>
        <w:t>of individuals.</w:t>
      </w:r>
    </w:p>
    <w:p w14:paraId="6084294C"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9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57"/>
        <w:gridCol w:w="1347"/>
        <w:gridCol w:w="1352"/>
        <w:gridCol w:w="1487"/>
        <w:gridCol w:w="1021"/>
        <w:gridCol w:w="2229"/>
        <w:gridCol w:w="26"/>
      </w:tblGrid>
      <w:tr w:rsidR="005C1134" w:rsidRPr="0010152F" w14:paraId="023C0B51" w14:textId="77777777" w:rsidTr="0004526B">
        <w:trPr>
          <w:cantSplit/>
          <w:trHeight w:val="52"/>
        </w:trPr>
        <w:tc>
          <w:tcPr>
            <w:tcW w:w="9457" w:type="dxa"/>
            <w:gridSpan w:val="8"/>
            <w:tcBorders>
              <w:top w:val="nil"/>
              <w:left w:val="nil"/>
              <w:bottom w:val="nil"/>
              <w:right w:val="nil"/>
            </w:tcBorders>
            <w:shd w:val="clear" w:color="auto" w:fill="FFFFFF"/>
            <w:vAlign w:val="center"/>
          </w:tcPr>
          <w:p w14:paraId="4931454A"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No.8. </w:t>
            </w:r>
            <w:proofErr w:type="spellStart"/>
            <w:r w:rsidRPr="0010152F">
              <w:rPr>
                <w:rFonts w:ascii="Arial Black" w:hAnsi="Arial Black" w:cstheme="minorHAnsi"/>
                <w:b/>
                <w:bCs/>
                <w:color w:val="000000"/>
                <w:sz w:val="22"/>
                <w:szCs w:val="22"/>
                <w:lang w:val="en-IN"/>
              </w:rPr>
              <w:t>Coefficients</w:t>
            </w:r>
            <w:r w:rsidRPr="0010152F">
              <w:rPr>
                <w:rFonts w:ascii="Arial Black" w:hAnsi="Arial Black" w:cstheme="minorHAnsi"/>
                <w:b/>
                <w:bCs/>
                <w:color w:val="000000"/>
                <w:sz w:val="22"/>
                <w:szCs w:val="22"/>
                <w:vertAlign w:val="superscript"/>
                <w:lang w:val="en-IN"/>
              </w:rPr>
              <w:t>a</w:t>
            </w:r>
            <w:proofErr w:type="spellEnd"/>
          </w:p>
        </w:tc>
      </w:tr>
      <w:tr w:rsidR="005C1134" w:rsidRPr="0010152F" w14:paraId="635D3D9B" w14:textId="77777777" w:rsidTr="0004526B">
        <w:trPr>
          <w:gridAfter w:val="1"/>
          <w:wAfter w:w="26" w:type="dxa"/>
          <w:cantSplit/>
          <w:trHeight w:val="111"/>
        </w:trPr>
        <w:tc>
          <w:tcPr>
            <w:tcW w:w="1995" w:type="dxa"/>
            <w:gridSpan w:val="2"/>
            <w:vMerge w:val="restart"/>
            <w:tcBorders>
              <w:top w:val="single" w:sz="16" w:space="0" w:color="000000"/>
              <w:left w:val="single" w:sz="16" w:space="0" w:color="000000"/>
              <w:bottom w:val="nil"/>
              <w:right w:val="nil"/>
            </w:tcBorders>
            <w:shd w:val="clear" w:color="auto" w:fill="FFFFFF"/>
            <w:vAlign w:val="bottom"/>
          </w:tcPr>
          <w:p w14:paraId="548AD753"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2699" w:type="dxa"/>
            <w:gridSpan w:val="2"/>
            <w:tcBorders>
              <w:top w:val="single" w:sz="16" w:space="0" w:color="000000"/>
              <w:left w:val="single" w:sz="16" w:space="0" w:color="000000"/>
            </w:tcBorders>
            <w:shd w:val="clear" w:color="auto" w:fill="FFFFFF"/>
            <w:vAlign w:val="bottom"/>
          </w:tcPr>
          <w:p w14:paraId="6D736E2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Unstandardized Coefficients</w:t>
            </w:r>
          </w:p>
        </w:tc>
        <w:tc>
          <w:tcPr>
            <w:tcW w:w="1487" w:type="dxa"/>
            <w:tcBorders>
              <w:top w:val="single" w:sz="16" w:space="0" w:color="000000"/>
            </w:tcBorders>
            <w:shd w:val="clear" w:color="auto" w:fill="FFFFFF"/>
            <w:vAlign w:val="bottom"/>
          </w:tcPr>
          <w:p w14:paraId="0054FD2D"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Standardized Coefficients</w:t>
            </w:r>
          </w:p>
        </w:tc>
        <w:tc>
          <w:tcPr>
            <w:tcW w:w="1021" w:type="dxa"/>
            <w:vMerge w:val="restart"/>
            <w:tcBorders>
              <w:top w:val="single" w:sz="16" w:space="0" w:color="000000"/>
            </w:tcBorders>
            <w:shd w:val="clear" w:color="auto" w:fill="FFFFFF"/>
            <w:vAlign w:val="bottom"/>
          </w:tcPr>
          <w:p w14:paraId="57814D5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w:t>
            </w:r>
          </w:p>
        </w:tc>
        <w:tc>
          <w:tcPr>
            <w:tcW w:w="2229" w:type="dxa"/>
            <w:vMerge w:val="restart"/>
            <w:tcBorders>
              <w:top w:val="single" w:sz="16" w:space="0" w:color="000000"/>
              <w:right w:val="single" w:sz="16" w:space="0" w:color="000000"/>
            </w:tcBorders>
            <w:shd w:val="clear" w:color="auto" w:fill="FFFFFF"/>
            <w:vAlign w:val="bottom"/>
          </w:tcPr>
          <w:p w14:paraId="1680B99B"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4BBBE15D" w14:textId="77777777" w:rsidTr="0004526B">
        <w:trPr>
          <w:gridAfter w:val="1"/>
          <w:wAfter w:w="26" w:type="dxa"/>
          <w:cantSplit/>
          <w:trHeight w:val="60"/>
        </w:trPr>
        <w:tc>
          <w:tcPr>
            <w:tcW w:w="1995" w:type="dxa"/>
            <w:gridSpan w:val="2"/>
            <w:vMerge/>
            <w:tcBorders>
              <w:top w:val="single" w:sz="16" w:space="0" w:color="000000"/>
              <w:left w:val="single" w:sz="16" w:space="0" w:color="000000"/>
              <w:bottom w:val="nil"/>
              <w:right w:val="nil"/>
            </w:tcBorders>
            <w:shd w:val="clear" w:color="auto" w:fill="FFFFFF"/>
            <w:vAlign w:val="bottom"/>
          </w:tcPr>
          <w:p w14:paraId="0B115C65"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47" w:type="dxa"/>
            <w:tcBorders>
              <w:left w:val="single" w:sz="16" w:space="0" w:color="000000"/>
              <w:bottom w:val="single" w:sz="16" w:space="0" w:color="000000"/>
            </w:tcBorders>
            <w:shd w:val="clear" w:color="auto" w:fill="FFFFFF"/>
            <w:vAlign w:val="bottom"/>
          </w:tcPr>
          <w:p w14:paraId="3412568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w:t>
            </w:r>
          </w:p>
        </w:tc>
        <w:tc>
          <w:tcPr>
            <w:tcW w:w="1352" w:type="dxa"/>
            <w:tcBorders>
              <w:bottom w:val="single" w:sz="16" w:space="0" w:color="000000"/>
            </w:tcBorders>
            <w:shd w:val="clear" w:color="auto" w:fill="FFFFFF"/>
            <w:vAlign w:val="bottom"/>
          </w:tcPr>
          <w:p w14:paraId="3E8F1A1E"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w:t>
            </w:r>
          </w:p>
        </w:tc>
        <w:tc>
          <w:tcPr>
            <w:tcW w:w="1487" w:type="dxa"/>
            <w:tcBorders>
              <w:bottom w:val="single" w:sz="16" w:space="0" w:color="000000"/>
            </w:tcBorders>
            <w:shd w:val="clear" w:color="auto" w:fill="FFFFFF"/>
            <w:vAlign w:val="bottom"/>
          </w:tcPr>
          <w:p w14:paraId="12E9C1E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Beta</w:t>
            </w:r>
          </w:p>
        </w:tc>
        <w:tc>
          <w:tcPr>
            <w:tcW w:w="1021" w:type="dxa"/>
            <w:vMerge/>
            <w:tcBorders>
              <w:top w:val="single" w:sz="16" w:space="0" w:color="000000"/>
            </w:tcBorders>
            <w:shd w:val="clear" w:color="auto" w:fill="FFFFFF"/>
            <w:vAlign w:val="bottom"/>
          </w:tcPr>
          <w:p w14:paraId="2CC05598"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2229" w:type="dxa"/>
            <w:vMerge/>
            <w:tcBorders>
              <w:top w:val="single" w:sz="16" w:space="0" w:color="000000"/>
              <w:right w:val="single" w:sz="16" w:space="0" w:color="000000"/>
            </w:tcBorders>
            <w:shd w:val="clear" w:color="auto" w:fill="FFFFFF"/>
            <w:vAlign w:val="bottom"/>
          </w:tcPr>
          <w:p w14:paraId="69A0752B"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r>
      <w:tr w:rsidR="005C1134" w:rsidRPr="0010152F" w14:paraId="62D0A282" w14:textId="77777777" w:rsidTr="0004526B">
        <w:trPr>
          <w:gridAfter w:val="1"/>
          <w:wAfter w:w="26" w:type="dxa"/>
          <w:cantSplit/>
          <w:trHeight w:val="52"/>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01C19876"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57" w:type="dxa"/>
            <w:tcBorders>
              <w:top w:val="single" w:sz="16" w:space="0" w:color="000000"/>
              <w:left w:val="nil"/>
              <w:bottom w:val="nil"/>
              <w:right w:val="single" w:sz="16" w:space="0" w:color="000000"/>
            </w:tcBorders>
            <w:shd w:val="clear" w:color="auto" w:fill="FFFFFF"/>
          </w:tcPr>
          <w:p w14:paraId="7B029B0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(Constant)</w:t>
            </w:r>
          </w:p>
        </w:tc>
        <w:tc>
          <w:tcPr>
            <w:tcW w:w="1347" w:type="dxa"/>
            <w:tcBorders>
              <w:top w:val="single" w:sz="16" w:space="0" w:color="000000"/>
              <w:left w:val="single" w:sz="16" w:space="0" w:color="000000"/>
              <w:bottom w:val="nil"/>
            </w:tcBorders>
            <w:shd w:val="clear" w:color="auto" w:fill="FFFFFF"/>
            <w:vAlign w:val="center"/>
          </w:tcPr>
          <w:p w14:paraId="2E01D27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-2.773</w:t>
            </w:r>
          </w:p>
        </w:tc>
        <w:tc>
          <w:tcPr>
            <w:tcW w:w="1352" w:type="dxa"/>
            <w:tcBorders>
              <w:top w:val="single" w:sz="16" w:space="0" w:color="000000"/>
              <w:bottom w:val="nil"/>
            </w:tcBorders>
            <w:shd w:val="clear" w:color="auto" w:fill="FFFFFF"/>
            <w:vAlign w:val="center"/>
          </w:tcPr>
          <w:p w14:paraId="16F483F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.363</w:t>
            </w:r>
          </w:p>
        </w:tc>
        <w:tc>
          <w:tcPr>
            <w:tcW w:w="1487" w:type="dxa"/>
            <w:tcBorders>
              <w:top w:val="single" w:sz="16" w:space="0" w:color="000000"/>
              <w:bottom w:val="nil"/>
            </w:tcBorders>
            <w:shd w:val="clear" w:color="auto" w:fill="FFFFFF"/>
            <w:vAlign w:val="center"/>
          </w:tcPr>
          <w:p w14:paraId="3D784971"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21" w:type="dxa"/>
            <w:tcBorders>
              <w:top w:val="single" w:sz="16" w:space="0" w:color="000000"/>
              <w:bottom w:val="nil"/>
            </w:tcBorders>
            <w:shd w:val="clear" w:color="auto" w:fill="FFFFFF"/>
            <w:vAlign w:val="center"/>
          </w:tcPr>
          <w:p w14:paraId="4AA6474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-7.644</w:t>
            </w:r>
          </w:p>
        </w:tc>
        <w:tc>
          <w:tcPr>
            <w:tcW w:w="2229" w:type="dxa"/>
            <w:tcBorders>
              <w:top w:val="single" w:sz="16" w:space="0" w:color="000000"/>
              <w:bottom w:val="nil"/>
              <w:right w:val="single" w:sz="16" w:space="0" w:color="000000"/>
            </w:tcBorders>
            <w:shd w:val="clear" w:color="auto" w:fill="FFFFFF"/>
            <w:vAlign w:val="center"/>
          </w:tcPr>
          <w:p w14:paraId="680A00E1"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4F2EBD9C" w14:textId="77777777" w:rsidTr="0004526B">
        <w:trPr>
          <w:gridAfter w:val="1"/>
          <w:wAfter w:w="26" w:type="dxa"/>
          <w:cantSplit/>
          <w:trHeight w:val="60"/>
        </w:trPr>
        <w:tc>
          <w:tcPr>
            <w:tcW w:w="738" w:type="dxa"/>
            <w:vMerge/>
            <w:tcBorders>
              <w:top w:val="single" w:sz="16" w:space="0" w:color="000000"/>
              <w:left w:val="single" w:sz="16" w:space="0" w:color="000000"/>
              <w:bottom w:val="single" w:sz="16" w:space="0" w:color="000000"/>
              <w:right w:val="nil"/>
            </w:tcBorders>
            <w:shd w:val="clear" w:color="auto" w:fill="FFFFFF"/>
          </w:tcPr>
          <w:p w14:paraId="78F74F35"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57" w:type="dxa"/>
            <w:tcBorders>
              <w:top w:val="nil"/>
              <w:left w:val="nil"/>
              <w:bottom w:val="nil"/>
              <w:right w:val="single" w:sz="16" w:space="0" w:color="000000"/>
            </w:tcBorders>
            <w:shd w:val="clear" w:color="auto" w:fill="FFFFFF"/>
          </w:tcPr>
          <w:p w14:paraId="42A6995E"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E-Shram</w:t>
            </w:r>
          </w:p>
        </w:tc>
        <w:tc>
          <w:tcPr>
            <w:tcW w:w="1347" w:type="dxa"/>
            <w:tcBorders>
              <w:top w:val="nil"/>
              <w:left w:val="single" w:sz="16" w:space="0" w:color="000000"/>
              <w:bottom w:val="nil"/>
            </w:tcBorders>
            <w:shd w:val="clear" w:color="auto" w:fill="FFFFFF"/>
            <w:vAlign w:val="center"/>
          </w:tcPr>
          <w:p w14:paraId="0C56816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.956</w:t>
            </w:r>
          </w:p>
        </w:tc>
        <w:tc>
          <w:tcPr>
            <w:tcW w:w="1352" w:type="dxa"/>
            <w:tcBorders>
              <w:top w:val="nil"/>
              <w:bottom w:val="nil"/>
            </w:tcBorders>
            <w:shd w:val="clear" w:color="auto" w:fill="FFFFFF"/>
            <w:vAlign w:val="center"/>
          </w:tcPr>
          <w:p w14:paraId="6DAEB5C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.125</w:t>
            </w:r>
          </w:p>
        </w:tc>
        <w:tc>
          <w:tcPr>
            <w:tcW w:w="1487" w:type="dxa"/>
            <w:tcBorders>
              <w:top w:val="nil"/>
              <w:bottom w:val="nil"/>
            </w:tcBorders>
            <w:shd w:val="clear" w:color="auto" w:fill="FFFFFF"/>
            <w:vAlign w:val="center"/>
          </w:tcPr>
          <w:p w14:paraId="6280E5C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.443</w:t>
            </w:r>
          </w:p>
        </w:tc>
        <w:tc>
          <w:tcPr>
            <w:tcW w:w="1021" w:type="dxa"/>
            <w:tcBorders>
              <w:top w:val="nil"/>
              <w:bottom w:val="nil"/>
            </w:tcBorders>
            <w:shd w:val="clear" w:color="auto" w:fill="FFFFFF"/>
            <w:vAlign w:val="center"/>
          </w:tcPr>
          <w:p w14:paraId="05FB72E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7.668</w:t>
            </w:r>
          </w:p>
        </w:tc>
        <w:tc>
          <w:tcPr>
            <w:tcW w:w="2229" w:type="dxa"/>
            <w:tcBorders>
              <w:top w:val="nil"/>
              <w:bottom w:val="nil"/>
              <w:right w:val="single" w:sz="16" w:space="0" w:color="000000"/>
            </w:tcBorders>
            <w:shd w:val="clear" w:color="auto" w:fill="FFFFFF"/>
            <w:vAlign w:val="center"/>
          </w:tcPr>
          <w:p w14:paraId="1A732A6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5B9D4112" w14:textId="77777777" w:rsidTr="0004526B">
        <w:trPr>
          <w:gridAfter w:val="1"/>
          <w:wAfter w:w="26" w:type="dxa"/>
          <w:cantSplit/>
          <w:trHeight w:val="60"/>
        </w:trPr>
        <w:tc>
          <w:tcPr>
            <w:tcW w:w="738" w:type="dxa"/>
            <w:vMerge/>
            <w:tcBorders>
              <w:top w:val="single" w:sz="16" w:space="0" w:color="000000"/>
              <w:left w:val="single" w:sz="16" w:space="0" w:color="000000"/>
              <w:bottom w:val="single" w:sz="16" w:space="0" w:color="000000"/>
              <w:right w:val="nil"/>
            </w:tcBorders>
            <w:shd w:val="clear" w:color="auto" w:fill="FFFFFF"/>
          </w:tcPr>
          <w:p w14:paraId="4F2CDDBE"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57" w:type="dxa"/>
            <w:tcBorders>
              <w:top w:val="nil"/>
              <w:left w:val="nil"/>
              <w:bottom w:val="nil"/>
              <w:right w:val="single" w:sz="16" w:space="0" w:color="000000"/>
            </w:tcBorders>
            <w:shd w:val="clear" w:color="auto" w:fill="FFFFFF"/>
          </w:tcPr>
          <w:p w14:paraId="0743943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Pension</w:t>
            </w:r>
          </w:p>
        </w:tc>
        <w:tc>
          <w:tcPr>
            <w:tcW w:w="1347" w:type="dxa"/>
            <w:tcBorders>
              <w:top w:val="nil"/>
              <w:left w:val="single" w:sz="16" w:space="0" w:color="000000"/>
              <w:bottom w:val="nil"/>
            </w:tcBorders>
            <w:shd w:val="clear" w:color="auto" w:fill="FFFFFF"/>
            <w:vAlign w:val="center"/>
          </w:tcPr>
          <w:p w14:paraId="469A0C26"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.907</w:t>
            </w:r>
          </w:p>
        </w:tc>
        <w:tc>
          <w:tcPr>
            <w:tcW w:w="1352" w:type="dxa"/>
            <w:tcBorders>
              <w:top w:val="nil"/>
              <w:bottom w:val="nil"/>
            </w:tcBorders>
            <w:shd w:val="clear" w:color="auto" w:fill="FFFFFF"/>
            <w:vAlign w:val="center"/>
          </w:tcPr>
          <w:p w14:paraId="1ED0E58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.103</w:t>
            </w:r>
          </w:p>
        </w:tc>
        <w:tc>
          <w:tcPr>
            <w:tcW w:w="1487" w:type="dxa"/>
            <w:tcBorders>
              <w:top w:val="nil"/>
              <w:bottom w:val="nil"/>
            </w:tcBorders>
            <w:shd w:val="clear" w:color="auto" w:fill="FFFFFF"/>
            <w:vAlign w:val="center"/>
          </w:tcPr>
          <w:p w14:paraId="4F02FA3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.514</w:t>
            </w:r>
          </w:p>
        </w:tc>
        <w:tc>
          <w:tcPr>
            <w:tcW w:w="1021" w:type="dxa"/>
            <w:tcBorders>
              <w:top w:val="nil"/>
              <w:bottom w:val="nil"/>
            </w:tcBorders>
            <w:shd w:val="clear" w:color="auto" w:fill="FFFFFF"/>
            <w:vAlign w:val="center"/>
          </w:tcPr>
          <w:p w14:paraId="4046A97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8.809</w:t>
            </w:r>
          </w:p>
        </w:tc>
        <w:tc>
          <w:tcPr>
            <w:tcW w:w="2229" w:type="dxa"/>
            <w:tcBorders>
              <w:top w:val="nil"/>
              <w:bottom w:val="nil"/>
              <w:right w:val="single" w:sz="16" w:space="0" w:color="000000"/>
            </w:tcBorders>
            <w:shd w:val="clear" w:color="auto" w:fill="FFFFFF"/>
            <w:vAlign w:val="center"/>
          </w:tcPr>
          <w:p w14:paraId="71E0E42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755BFC7E" w14:textId="77777777" w:rsidTr="0004526B">
        <w:trPr>
          <w:gridAfter w:val="1"/>
          <w:wAfter w:w="26" w:type="dxa"/>
          <w:cantSplit/>
          <w:trHeight w:val="117"/>
        </w:trPr>
        <w:tc>
          <w:tcPr>
            <w:tcW w:w="738" w:type="dxa"/>
            <w:vMerge/>
            <w:tcBorders>
              <w:top w:val="single" w:sz="16" w:space="0" w:color="000000"/>
              <w:left w:val="single" w:sz="16" w:space="0" w:color="000000"/>
              <w:bottom w:val="single" w:sz="16" w:space="0" w:color="000000"/>
              <w:right w:val="nil"/>
            </w:tcBorders>
            <w:shd w:val="clear" w:color="auto" w:fill="FFFFFF"/>
          </w:tcPr>
          <w:p w14:paraId="3AD64374"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57" w:type="dxa"/>
            <w:tcBorders>
              <w:top w:val="nil"/>
              <w:left w:val="nil"/>
              <w:bottom w:val="nil"/>
              <w:right w:val="single" w:sz="16" w:space="0" w:color="000000"/>
            </w:tcBorders>
            <w:shd w:val="clear" w:color="auto" w:fill="FFFFFF"/>
          </w:tcPr>
          <w:p w14:paraId="48E692E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SB Account</w:t>
            </w:r>
          </w:p>
        </w:tc>
        <w:tc>
          <w:tcPr>
            <w:tcW w:w="1347" w:type="dxa"/>
            <w:tcBorders>
              <w:top w:val="nil"/>
              <w:left w:val="single" w:sz="16" w:space="0" w:color="000000"/>
              <w:bottom w:val="nil"/>
            </w:tcBorders>
            <w:shd w:val="clear" w:color="auto" w:fill="FFFFFF"/>
            <w:vAlign w:val="center"/>
          </w:tcPr>
          <w:p w14:paraId="509E98F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1.729</w:t>
            </w:r>
          </w:p>
        </w:tc>
        <w:tc>
          <w:tcPr>
            <w:tcW w:w="1352" w:type="dxa"/>
            <w:tcBorders>
              <w:top w:val="nil"/>
              <w:bottom w:val="nil"/>
            </w:tcBorders>
            <w:shd w:val="clear" w:color="auto" w:fill="FFFFFF"/>
            <w:vAlign w:val="center"/>
          </w:tcPr>
          <w:p w14:paraId="6F5FD90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.230</w:t>
            </w:r>
          </w:p>
        </w:tc>
        <w:tc>
          <w:tcPr>
            <w:tcW w:w="1487" w:type="dxa"/>
            <w:tcBorders>
              <w:top w:val="nil"/>
              <w:bottom w:val="nil"/>
            </w:tcBorders>
            <w:shd w:val="clear" w:color="auto" w:fill="FFFFFF"/>
            <w:vAlign w:val="center"/>
          </w:tcPr>
          <w:p w14:paraId="4B16E24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.445</w:t>
            </w:r>
          </w:p>
        </w:tc>
        <w:tc>
          <w:tcPr>
            <w:tcW w:w="1021" w:type="dxa"/>
            <w:tcBorders>
              <w:top w:val="nil"/>
              <w:bottom w:val="nil"/>
            </w:tcBorders>
            <w:shd w:val="clear" w:color="auto" w:fill="FFFFFF"/>
            <w:vAlign w:val="center"/>
          </w:tcPr>
          <w:p w14:paraId="47F47352"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7.532</w:t>
            </w:r>
          </w:p>
        </w:tc>
        <w:tc>
          <w:tcPr>
            <w:tcW w:w="2229" w:type="dxa"/>
            <w:tcBorders>
              <w:top w:val="nil"/>
              <w:bottom w:val="nil"/>
              <w:right w:val="single" w:sz="16" w:space="0" w:color="000000"/>
            </w:tcBorders>
            <w:shd w:val="clear" w:color="auto" w:fill="FFFFFF"/>
            <w:vAlign w:val="center"/>
          </w:tcPr>
          <w:p w14:paraId="07F8F85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66C2A84A" w14:textId="77777777" w:rsidTr="0004526B">
        <w:trPr>
          <w:gridAfter w:val="1"/>
          <w:wAfter w:w="26" w:type="dxa"/>
          <w:cantSplit/>
          <w:trHeight w:val="60"/>
        </w:trPr>
        <w:tc>
          <w:tcPr>
            <w:tcW w:w="738" w:type="dxa"/>
            <w:vMerge/>
            <w:tcBorders>
              <w:top w:val="single" w:sz="16" w:space="0" w:color="000000"/>
              <w:left w:val="single" w:sz="16" w:space="0" w:color="000000"/>
              <w:bottom w:val="single" w:sz="16" w:space="0" w:color="000000"/>
              <w:right w:val="nil"/>
            </w:tcBorders>
            <w:shd w:val="clear" w:color="auto" w:fill="FFFFFF"/>
          </w:tcPr>
          <w:p w14:paraId="64F25446"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57" w:type="dxa"/>
            <w:tcBorders>
              <w:top w:val="nil"/>
              <w:left w:val="nil"/>
              <w:bottom w:val="single" w:sz="16" w:space="0" w:color="000000"/>
              <w:right w:val="single" w:sz="16" w:space="0" w:color="000000"/>
            </w:tcBorders>
            <w:shd w:val="clear" w:color="auto" w:fill="FFFFFF"/>
          </w:tcPr>
          <w:p w14:paraId="3F97EDD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w:t>
            </w:r>
          </w:p>
        </w:tc>
        <w:tc>
          <w:tcPr>
            <w:tcW w:w="1347" w:type="dxa"/>
            <w:tcBorders>
              <w:top w:val="nil"/>
              <w:left w:val="single" w:sz="16" w:space="0" w:color="000000"/>
              <w:bottom w:val="single" w:sz="16" w:space="0" w:color="000000"/>
            </w:tcBorders>
            <w:shd w:val="clear" w:color="auto" w:fill="FFFFFF"/>
            <w:vAlign w:val="center"/>
          </w:tcPr>
          <w:p w14:paraId="428C97A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-.205</w:t>
            </w:r>
          </w:p>
        </w:tc>
        <w:tc>
          <w:tcPr>
            <w:tcW w:w="1352" w:type="dxa"/>
            <w:tcBorders>
              <w:top w:val="nil"/>
              <w:bottom w:val="single" w:sz="16" w:space="0" w:color="000000"/>
            </w:tcBorders>
            <w:shd w:val="clear" w:color="auto" w:fill="FFFFFF"/>
            <w:vAlign w:val="center"/>
          </w:tcPr>
          <w:p w14:paraId="26A33BF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.099</w:t>
            </w:r>
          </w:p>
        </w:tc>
        <w:tc>
          <w:tcPr>
            <w:tcW w:w="1487" w:type="dxa"/>
            <w:tcBorders>
              <w:top w:val="nil"/>
              <w:bottom w:val="single" w:sz="16" w:space="0" w:color="000000"/>
            </w:tcBorders>
            <w:shd w:val="clear" w:color="auto" w:fill="FFFFFF"/>
            <w:vAlign w:val="center"/>
          </w:tcPr>
          <w:p w14:paraId="5F3F1E3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-.120</w:t>
            </w:r>
          </w:p>
        </w:tc>
        <w:tc>
          <w:tcPr>
            <w:tcW w:w="1021" w:type="dxa"/>
            <w:tcBorders>
              <w:top w:val="nil"/>
              <w:bottom w:val="single" w:sz="16" w:space="0" w:color="000000"/>
            </w:tcBorders>
            <w:shd w:val="clear" w:color="auto" w:fill="FFFFFF"/>
            <w:vAlign w:val="center"/>
          </w:tcPr>
          <w:p w14:paraId="1377B88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-2.080</w:t>
            </w:r>
          </w:p>
        </w:tc>
        <w:tc>
          <w:tcPr>
            <w:tcW w:w="2229" w:type="dxa"/>
            <w:tcBorders>
              <w:top w:val="nil"/>
              <w:bottom w:val="single" w:sz="16" w:space="0" w:color="000000"/>
              <w:right w:val="single" w:sz="16" w:space="0" w:color="000000"/>
            </w:tcBorders>
            <w:shd w:val="clear" w:color="auto" w:fill="FFFFFF"/>
            <w:vAlign w:val="center"/>
          </w:tcPr>
          <w:p w14:paraId="72EF70A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.040</w:t>
            </w:r>
          </w:p>
        </w:tc>
      </w:tr>
      <w:tr w:rsidR="005C1134" w:rsidRPr="0010152F" w14:paraId="181142DE" w14:textId="77777777" w:rsidTr="0004526B">
        <w:trPr>
          <w:cantSplit/>
          <w:trHeight w:val="461"/>
        </w:trPr>
        <w:tc>
          <w:tcPr>
            <w:tcW w:w="9457" w:type="dxa"/>
            <w:gridSpan w:val="8"/>
            <w:tcBorders>
              <w:top w:val="nil"/>
              <w:left w:val="nil"/>
              <w:bottom w:val="nil"/>
              <w:right w:val="nil"/>
            </w:tcBorders>
            <w:shd w:val="clear" w:color="auto" w:fill="FFFFFF"/>
          </w:tcPr>
          <w:p w14:paraId="54BEFA1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Experience</w:t>
            </w:r>
          </w:p>
          <w:p w14:paraId="3D8C608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p>
          <w:p w14:paraId="4D60DD2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p>
        </w:tc>
      </w:tr>
    </w:tbl>
    <w:p w14:paraId="693EF15F" w14:textId="77777777" w:rsidR="005C1134" w:rsidRPr="0010152F" w:rsidRDefault="005C1134" w:rsidP="005C1134">
      <w:pPr>
        <w:spacing w:before="100" w:beforeAutospacing="1" w:after="100" w:afterAutospacing="1"/>
        <w:rPr>
          <w:rFonts w:ascii="Arial Black" w:hAnsi="Arial Black" w:cstheme="minorHAnsi"/>
          <w:sz w:val="22"/>
          <w:szCs w:val="22"/>
        </w:rPr>
      </w:pPr>
      <w:r w:rsidRPr="0010152F">
        <w:rPr>
          <w:rFonts w:ascii="Arial Black" w:hAnsi="Arial Black" w:cstheme="minorHAnsi"/>
          <w:color w:val="000000"/>
          <w:sz w:val="22"/>
          <w:szCs w:val="22"/>
          <w:lang w:val="en-IN"/>
        </w:rPr>
        <w:t xml:space="preserve">The Coefficient table shows that the independent variables </w:t>
      </w:r>
      <w:r w:rsidRPr="0010152F">
        <w:rPr>
          <w:rStyle w:val="Strong"/>
          <w:rFonts w:ascii="Arial Black" w:hAnsi="Arial Black" w:cstheme="minorHAnsi"/>
          <w:b w:val="0"/>
          <w:sz w:val="22"/>
          <w:szCs w:val="22"/>
        </w:rPr>
        <w:t>E-Shram, Pension, SB Account, and SHG all significantly impact Experience</w:t>
      </w:r>
      <w:r w:rsidRPr="0010152F">
        <w:rPr>
          <w:rFonts w:ascii="Arial Black" w:hAnsi="Arial Black" w:cstheme="minorHAnsi"/>
          <w:b/>
          <w:sz w:val="22"/>
          <w:szCs w:val="22"/>
        </w:rPr>
        <w:t xml:space="preserve"> (</w:t>
      </w:r>
      <w:r w:rsidRPr="0010152F">
        <w:rPr>
          <w:rStyle w:val="Strong"/>
          <w:rFonts w:ascii="Arial Black" w:hAnsi="Arial Black" w:cstheme="minorHAnsi"/>
          <w:b w:val="0"/>
          <w:sz w:val="22"/>
          <w:szCs w:val="22"/>
        </w:rPr>
        <w:t>p &lt; 0.05</w:t>
      </w:r>
      <w:r w:rsidRPr="0010152F">
        <w:rPr>
          <w:rFonts w:ascii="Arial Black" w:hAnsi="Arial Black" w:cstheme="minorHAnsi"/>
          <w:b/>
          <w:sz w:val="22"/>
          <w:szCs w:val="22"/>
        </w:rPr>
        <w:t xml:space="preserve">), </w:t>
      </w:r>
      <w:r w:rsidRPr="0010152F">
        <w:rPr>
          <w:rFonts w:ascii="Arial Black" w:hAnsi="Arial Black" w:cstheme="minorHAnsi"/>
          <w:sz w:val="22"/>
          <w:szCs w:val="22"/>
        </w:rPr>
        <w:t>and all variables have a positive impact on Experience. The negative coefficient of SHG has a negative effect suggests that participation in SHG reduces experience.</w:t>
      </w:r>
    </w:p>
    <w:p w14:paraId="2EBEC897"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1476"/>
        <w:gridCol w:w="4329"/>
      </w:tblGrid>
      <w:tr w:rsidR="005C1134" w:rsidRPr="0010152F" w14:paraId="71DA7121" w14:textId="77777777" w:rsidTr="0004526B">
        <w:trPr>
          <w:cantSplit/>
        </w:trPr>
        <w:tc>
          <w:tcPr>
            <w:tcW w:w="8080" w:type="dxa"/>
            <w:gridSpan w:val="4"/>
            <w:tcBorders>
              <w:top w:val="nil"/>
              <w:left w:val="nil"/>
              <w:bottom w:val="nil"/>
              <w:right w:val="nil"/>
            </w:tcBorders>
            <w:shd w:val="clear" w:color="auto" w:fill="FFFFFF"/>
            <w:vAlign w:val="center"/>
          </w:tcPr>
          <w:p w14:paraId="68222517" w14:textId="77777777" w:rsidR="005C1134" w:rsidRPr="0010152F" w:rsidRDefault="005C1134" w:rsidP="000F74D5">
            <w:pPr>
              <w:autoSpaceDE w:val="0"/>
              <w:autoSpaceDN w:val="0"/>
              <w:adjustRightInd w:val="0"/>
              <w:spacing w:line="320" w:lineRule="atLeast"/>
              <w:ind w:right="60"/>
              <w:rPr>
                <w:rFonts w:ascii="Arial Black" w:hAnsi="Arial Black" w:cstheme="minorHAnsi"/>
                <w:b/>
                <w:bCs/>
                <w:color w:val="000000"/>
                <w:sz w:val="22"/>
                <w:szCs w:val="22"/>
                <w:vertAlign w:val="superscript"/>
                <w:lang w:val="en-IN"/>
              </w:rPr>
            </w:pPr>
            <w:r w:rsidRPr="0010152F">
              <w:rPr>
                <w:rFonts w:ascii="Arial Black" w:hAnsi="Arial Black" w:cstheme="minorHAnsi"/>
                <w:b/>
                <w:bCs/>
                <w:color w:val="000000"/>
                <w:sz w:val="22"/>
                <w:szCs w:val="22"/>
                <w:lang w:val="en-IN"/>
              </w:rPr>
              <w:t xml:space="preserve">Table No. </w:t>
            </w:r>
            <w:proofErr w:type="gramStart"/>
            <w:r w:rsidRPr="0010152F">
              <w:rPr>
                <w:rFonts w:ascii="Arial Black" w:hAnsi="Arial Black" w:cstheme="minorHAnsi"/>
                <w:b/>
                <w:bCs/>
                <w:color w:val="000000"/>
                <w:sz w:val="22"/>
                <w:szCs w:val="22"/>
                <w:lang w:val="en-IN"/>
              </w:rPr>
              <w:t>9.Variables</w:t>
            </w:r>
            <w:proofErr w:type="gramEnd"/>
            <w:r w:rsidRPr="0010152F">
              <w:rPr>
                <w:rFonts w:ascii="Arial Black" w:hAnsi="Arial Black" w:cstheme="minorHAnsi"/>
                <w:b/>
                <w:bCs/>
                <w:color w:val="000000"/>
                <w:sz w:val="22"/>
                <w:szCs w:val="22"/>
                <w:lang w:val="en-IN"/>
              </w:rPr>
              <w:t xml:space="preserve"> Entered/Removed</w:t>
            </w:r>
          </w:p>
          <w:p w14:paraId="00F5D434"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p>
        </w:tc>
      </w:tr>
      <w:tr w:rsidR="005C1134" w:rsidRPr="0010152F" w14:paraId="264FD0C6"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432FF9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1383375E"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Entered</w:t>
            </w:r>
          </w:p>
        </w:tc>
        <w:tc>
          <w:tcPr>
            <w:tcW w:w="1476" w:type="dxa"/>
            <w:tcBorders>
              <w:top w:val="single" w:sz="16" w:space="0" w:color="000000"/>
              <w:bottom w:val="single" w:sz="16" w:space="0" w:color="000000"/>
            </w:tcBorders>
            <w:shd w:val="clear" w:color="auto" w:fill="FFFFFF"/>
            <w:vAlign w:val="bottom"/>
          </w:tcPr>
          <w:p w14:paraId="2BEFD4E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Variables Removed</w:t>
            </w:r>
          </w:p>
        </w:tc>
        <w:tc>
          <w:tcPr>
            <w:tcW w:w="4329" w:type="dxa"/>
            <w:tcBorders>
              <w:top w:val="single" w:sz="16" w:space="0" w:color="000000"/>
              <w:bottom w:val="single" w:sz="16" w:space="0" w:color="000000"/>
              <w:right w:val="single" w:sz="16" w:space="0" w:color="000000"/>
            </w:tcBorders>
            <w:shd w:val="clear" w:color="auto" w:fill="FFFFFF"/>
            <w:vAlign w:val="bottom"/>
          </w:tcPr>
          <w:p w14:paraId="2AC6C3B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Method</w:t>
            </w:r>
          </w:p>
        </w:tc>
      </w:tr>
      <w:tr w:rsidR="005C1134" w:rsidRPr="0010152F" w14:paraId="029522B8"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5F090EB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476" w:type="dxa"/>
            <w:tcBorders>
              <w:top w:val="single" w:sz="16" w:space="0" w:color="000000"/>
              <w:left w:val="single" w:sz="16" w:space="0" w:color="000000"/>
              <w:bottom w:val="single" w:sz="16" w:space="0" w:color="000000"/>
            </w:tcBorders>
            <w:shd w:val="clear" w:color="auto" w:fill="FFFFFF"/>
            <w:vAlign w:val="center"/>
          </w:tcPr>
          <w:p w14:paraId="7986C46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 E-</w:t>
            </w:r>
            <w:proofErr w:type="spellStart"/>
            <w:r w:rsidRPr="0010152F">
              <w:rPr>
                <w:rFonts w:ascii="Arial Black" w:hAnsi="Arial Black" w:cstheme="minorHAnsi"/>
                <w:color w:val="000000"/>
                <w:sz w:val="22"/>
                <w:szCs w:val="22"/>
                <w:lang w:val="en-IN"/>
              </w:rPr>
              <w:t>Shram</w:t>
            </w:r>
            <w:proofErr w:type="spellEnd"/>
            <w:r w:rsidRPr="0010152F">
              <w:rPr>
                <w:rFonts w:ascii="Arial Black" w:hAnsi="Arial Black" w:cstheme="minorHAnsi"/>
                <w:color w:val="000000"/>
                <w:sz w:val="22"/>
                <w:szCs w:val="22"/>
                <w:lang w:val="en-IN"/>
              </w:rPr>
              <w:t xml:space="preserve">, Pension, SB </w:t>
            </w:r>
            <w:proofErr w:type="spellStart"/>
            <w:r w:rsidRPr="0010152F">
              <w:rPr>
                <w:rFonts w:ascii="Arial Black" w:hAnsi="Arial Black" w:cstheme="minorHAnsi"/>
                <w:color w:val="000000"/>
                <w:sz w:val="22"/>
                <w:szCs w:val="22"/>
                <w:lang w:val="en-IN"/>
              </w:rPr>
              <w:t>Account</w:t>
            </w:r>
            <w:r w:rsidRPr="0010152F">
              <w:rPr>
                <w:rFonts w:ascii="Arial Black" w:hAnsi="Arial Black" w:cstheme="minorHAnsi"/>
                <w:color w:val="000000"/>
                <w:sz w:val="22"/>
                <w:szCs w:val="22"/>
                <w:vertAlign w:val="superscript"/>
                <w:lang w:val="en-IN"/>
              </w:rPr>
              <w:t>b</w:t>
            </w:r>
            <w:proofErr w:type="spellEnd"/>
          </w:p>
        </w:tc>
        <w:tc>
          <w:tcPr>
            <w:tcW w:w="1476" w:type="dxa"/>
            <w:tcBorders>
              <w:top w:val="single" w:sz="16" w:space="0" w:color="000000"/>
              <w:bottom w:val="single" w:sz="16" w:space="0" w:color="000000"/>
            </w:tcBorders>
            <w:shd w:val="clear" w:color="auto" w:fill="FFFFFF"/>
            <w:vAlign w:val="center"/>
          </w:tcPr>
          <w:p w14:paraId="422933D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w:t>
            </w:r>
          </w:p>
        </w:tc>
        <w:tc>
          <w:tcPr>
            <w:tcW w:w="4329" w:type="dxa"/>
            <w:tcBorders>
              <w:top w:val="single" w:sz="16" w:space="0" w:color="000000"/>
              <w:bottom w:val="single" w:sz="16" w:space="0" w:color="000000"/>
              <w:right w:val="single" w:sz="16" w:space="0" w:color="000000"/>
            </w:tcBorders>
            <w:shd w:val="clear" w:color="auto" w:fill="FFFFFF"/>
            <w:vAlign w:val="center"/>
          </w:tcPr>
          <w:p w14:paraId="41B61D7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Enter</w:t>
            </w:r>
          </w:p>
        </w:tc>
      </w:tr>
      <w:tr w:rsidR="005C1134" w:rsidRPr="0010152F" w14:paraId="726CFA2B" w14:textId="77777777" w:rsidTr="0004526B">
        <w:trPr>
          <w:cantSplit/>
        </w:trPr>
        <w:tc>
          <w:tcPr>
            <w:tcW w:w="8080" w:type="dxa"/>
            <w:gridSpan w:val="4"/>
            <w:tcBorders>
              <w:top w:val="nil"/>
              <w:left w:val="nil"/>
              <w:bottom w:val="nil"/>
              <w:right w:val="nil"/>
            </w:tcBorders>
            <w:shd w:val="clear" w:color="auto" w:fill="FFFFFF"/>
          </w:tcPr>
          <w:p w14:paraId="2E61A112"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Age</w:t>
            </w:r>
          </w:p>
        </w:tc>
      </w:tr>
      <w:tr w:rsidR="005C1134" w:rsidRPr="0010152F" w14:paraId="235907AE" w14:textId="77777777" w:rsidTr="0004526B">
        <w:trPr>
          <w:cantSplit/>
        </w:trPr>
        <w:tc>
          <w:tcPr>
            <w:tcW w:w="8080" w:type="dxa"/>
            <w:gridSpan w:val="4"/>
            <w:tcBorders>
              <w:top w:val="nil"/>
              <w:left w:val="nil"/>
              <w:bottom w:val="nil"/>
              <w:right w:val="nil"/>
            </w:tcBorders>
            <w:shd w:val="clear" w:color="auto" w:fill="FFFFFF"/>
          </w:tcPr>
          <w:p w14:paraId="59C6312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All requested variables entered.</w:t>
            </w:r>
          </w:p>
        </w:tc>
      </w:tr>
    </w:tbl>
    <w:p w14:paraId="29885582" w14:textId="77777777" w:rsidR="005C1134" w:rsidRPr="0010152F" w:rsidRDefault="005C1134" w:rsidP="005C1134">
      <w:pPr>
        <w:autoSpaceDE w:val="0"/>
        <w:autoSpaceDN w:val="0"/>
        <w:adjustRightInd w:val="0"/>
        <w:spacing w:line="400" w:lineRule="atLeast"/>
        <w:rPr>
          <w:rFonts w:ascii="Arial Black" w:hAnsi="Arial Black" w:cstheme="minorHAnsi"/>
          <w:sz w:val="22"/>
          <w:szCs w:val="22"/>
          <w:lang w:val="en-IN"/>
        </w:rPr>
      </w:pPr>
    </w:p>
    <w:p w14:paraId="6E453803" w14:textId="77777777" w:rsidR="005C1134" w:rsidRPr="0010152F" w:rsidRDefault="005C1134" w:rsidP="005C1134">
      <w:pPr>
        <w:autoSpaceDE w:val="0"/>
        <w:autoSpaceDN w:val="0"/>
        <w:adjustRightInd w:val="0"/>
        <w:rPr>
          <w:rFonts w:ascii="Arial Black" w:hAnsi="Arial Black" w:cstheme="minorHAnsi"/>
          <w:sz w:val="22"/>
          <w:szCs w:val="22"/>
          <w:lang w:val="en-IN"/>
        </w:rPr>
      </w:pP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3700"/>
      </w:tblGrid>
      <w:tr w:rsidR="005C1134" w:rsidRPr="0010152F" w14:paraId="61EC4E61" w14:textId="77777777" w:rsidTr="0004526B">
        <w:trPr>
          <w:cantSplit/>
        </w:trPr>
        <w:tc>
          <w:tcPr>
            <w:tcW w:w="8080" w:type="dxa"/>
            <w:gridSpan w:val="5"/>
            <w:tcBorders>
              <w:top w:val="nil"/>
              <w:left w:val="nil"/>
              <w:bottom w:val="nil"/>
              <w:right w:val="nil"/>
            </w:tcBorders>
            <w:shd w:val="clear" w:color="auto" w:fill="FFFFFF"/>
            <w:vAlign w:val="center"/>
          </w:tcPr>
          <w:p w14:paraId="7082B87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No.10. Model Summary</w:t>
            </w:r>
          </w:p>
        </w:tc>
      </w:tr>
      <w:tr w:rsidR="005C1134" w:rsidRPr="0010152F" w14:paraId="49EEB6C4"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187B74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0E8F090B"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w:t>
            </w:r>
          </w:p>
        </w:tc>
        <w:tc>
          <w:tcPr>
            <w:tcW w:w="1091" w:type="dxa"/>
            <w:tcBorders>
              <w:top w:val="single" w:sz="16" w:space="0" w:color="000000"/>
              <w:bottom w:val="single" w:sz="16" w:space="0" w:color="000000"/>
            </w:tcBorders>
            <w:shd w:val="clear" w:color="auto" w:fill="FFFFFF"/>
            <w:vAlign w:val="bottom"/>
          </w:tcPr>
          <w:p w14:paraId="205AB434"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 Square</w:t>
            </w:r>
          </w:p>
        </w:tc>
        <w:tc>
          <w:tcPr>
            <w:tcW w:w="1476" w:type="dxa"/>
            <w:tcBorders>
              <w:top w:val="single" w:sz="16" w:space="0" w:color="000000"/>
              <w:bottom w:val="single" w:sz="16" w:space="0" w:color="000000"/>
            </w:tcBorders>
            <w:shd w:val="clear" w:color="auto" w:fill="FFFFFF"/>
            <w:vAlign w:val="bottom"/>
          </w:tcPr>
          <w:p w14:paraId="52BFF42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Adjusted R Square</w:t>
            </w:r>
          </w:p>
        </w:tc>
        <w:tc>
          <w:tcPr>
            <w:tcW w:w="3700" w:type="dxa"/>
            <w:tcBorders>
              <w:top w:val="single" w:sz="16" w:space="0" w:color="000000"/>
              <w:bottom w:val="single" w:sz="16" w:space="0" w:color="000000"/>
              <w:right w:val="single" w:sz="16" w:space="0" w:color="000000"/>
            </w:tcBorders>
            <w:shd w:val="clear" w:color="auto" w:fill="FFFFFF"/>
            <w:vAlign w:val="bottom"/>
          </w:tcPr>
          <w:p w14:paraId="2905432C"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 of the Estimate</w:t>
            </w:r>
          </w:p>
        </w:tc>
      </w:tr>
      <w:tr w:rsidR="005C1134" w:rsidRPr="0010152F" w14:paraId="02662FA2" w14:textId="77777777" w:rsidTr="0004526B">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65E6577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50B751E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.751</w:t>
            </w:r>
            <w:r w:rsidRPr="0010152F">
              <w:rPr>
                <w:rFonts w:ascii="Arial Black" w:hAnsi="Arial Black" w:cstheme="minorHAnsi"/>
                <w:color w:val="000000"/>
                <w:sz w:val="22"/>
                <w:szCs w:val="22"/>
                <w:vertAlign w:val="superscript"/>
                <w:lang w:val="en-IN"/>
              </w:rPr>
              <w:t>a</w:t>
            </w:r>
          </w:p>
        </w:tc>
        <w:tc>
          <w:tcPr>
            <w:tcW w:w="1091" w:type="dxa"/>
            <w:tcBorders>
              <w:top w:val="single" w:sz="16" w:space="0" w:color="000000"/>
              <w:bottom w:val="single" w:sz="16" w:space="0" w:color="000000"/>
            </w:tcBorders>
            <w:shd w:val="clear" w:color="auto" w:fill="FFFFFF"/>
            <w:vAlign w:val="center"/>
          </w:tcPr>
          <w:p w14:paraId="23CD7ED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.564</w:t>
            </w:r>
          </w:p>
        </w:tc>
        <w:tc>
          <w:tcPr>
            <w:tcW w:w="1476" w:type="dxa"/>
            <w:tcBorders>
              <w:top w:val="single" w:sz="16" w:space="0" w:color="000000"/>
              <w:bottom w:val="single" w:sz="16" w:space="0" w:color="000000"/>
            </w:tcBorders>
            <w:shd w:val="clear" w:color="auto" w:fill="FFFFFF"/>
            <w:vAlign w:val="center"/>
          </w:tcPr>
          <w:p w14:paraId="1D886809"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.545</w:t>
            </w:r>
          </w:p>
        </w:tc>
        <w:tc>
          <w:tcPr>
            <w:tcW w:w="3700" w:type="dxa"/>
            <w:tcBorders>
              <w:top w:val="single" w:sz="16" w:space="0" w:color="000000"/>
              <w:bottom w:val="single" w:sz="16" w:space="0" w:color="000000"/>
              <w:right w:val="single" w:sz="16" w:space="0" w:color="000000"/>
            </w:tcBorders>
            <w:shd w:val="clear" w:color="auto" w:fill="FFFFFF"/>
            <w:vAlign w:val="center"/>
          </w:tcPr>
          <w:p w14:paraId="150BD7E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.768</w:t>
            </w:r>
          </w:p>
        </w:tc>
      </w:tr>
      <w:tr w:rsidR="005C1134" w:rsidRPr="0010152F" w14:paraId="558FC3D9" w14:textId="77777777" w:rsidTr="0004526B">
        <w:trPr>
          <w:cantSplit/>
        </w:trPr>
        <w:tc>
          <w:tcPr>
            <w:tcW w:w="8080" w:type="dxa"/>
            <w:gridSpan w:val="5"/>
            <w:tcBorders>
              <w:top w:val="nil"/>
              <w:left w:val="nil"/>
              <w:bottom w:val="nil"/>
              <w:right w:val="nil"/>
            </w:tcBorders>
            <w:shd w:val="clear" w:color="auto" w:fill="FFFFFF"/>
          </w:tcPr>
          <w:p w14:paraId="253DF940"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Predictors: (Constant), SHG, E-Shram, Pension, SB Account</w:t>
            </w:r>
          </w:p>
        </w:tc>
      </w:tr>
    </w:tbl>
    <w:p w14:paraId="07594423" w14:textId="77777777" w:rsidR="005C1134" w:rsidRPr="0010152F" w:rsidRDefault="005C1134" w:rsidP="005C1134">
      <w:pPr>
        <w:autoSpaceDE w:val="0"/>
        <w:autoSpaceDN w:val="0"/>
        <w:adjustRightInd w:val="0"/>
        <w:spacing w:line="400" w:lineRule="atLeast"/>
        <w:rPr>
          <w:rFonts w:ascii="Arial Black" w:hAnsi="Arial Black" w:cstheme="minorHAnsi"/>
          <w:sz w:val="22"/>
          <w:szCs w:val="22"/>
          <w:lang w:val="en-IN"/>
        </w:rPr>
      </w:pPr>
    </w:p>
    <w:p w14:paraId="0697A033" w14:textId="77777777" w:rsidR="005C1134" w:rsidRPr="0010152F" w:rsidRDefault="005C1134" w:rsidP="005C1134">
      <w:pPr>
        <w:autoSpaceDE w:val="0"/>
        <w:autoSpaceDN w:val="0"/>
        <w:adjustRightInd w:val="0"/>
        <w:jc w:val="both"/>
        <w:rPr>
          <w:rFonts w:ascii="Arial Black" w:hAnsi="Arial Black" w:cstheme="minorHAnsi"/>
          <w:sz w:val="22"/>
          <w:szCs w:val="22"/>
          <w:lang w:val="en-IN"/>
        </w:rPr>
      </w:pPr>
      <w:r w:rsidRPr="0010152F">
        <w:rPr>
          <w:rFonts w:ascii="Arial Black" w:hAnsi="Arial Black" w:cstheme="minorHAnsi"/>
          <w:sz w:val="22"/>
          <w:szCs w:val="22"/>
        </w:rPr>
        <w:t xml:space="preserve">The R value indicates a strong positive correlation between the independent variable and Age and the R square shows the model is a good fit. The regression model demonstrates a </w:t>
      </w:r>
      <w:r w:rsidRPr="0010152F">
        <w:rPr>
          <w:rStyle w:val="Strong"/>
          <w:rFonts w:ascii="Arial Black" w:hAnsi="Arial Black" w:cstheme="minorHAnsi"/>
          <w:b w:val="0"/>
          <w:bCs w:val="0"/>
          <w:sz w:val="22"/>
          <w:szCs w:val="22"/>
        </w:rPr>
        <w:t>strong and statistically meaningful relationship</w:t>
      </w:r>
      <w:r w:rsidRPr="0010152F">
        <w:rPr>
          <w:rFonts w:ascii="Arial Black" w:hAnsi="Arial Black" w:cstheme="minorHAnsi"/>
          <w:sz w:val="22"/>
          <w:szCs w:val="22"/>
        </w:rPr>
        <w:t xml:space="preserve"> between the independent </w:t>
      </w:r>
      <w:r w:rsidRPr="0010152F">
        <w:rPr>
          <w:rFonts w:ascii="Arial Black" w:hAnsi="Arial Black" w:cstheme="minorHAnsi"/>
          <w:sz w:val="22"/>
          <w:szCs w:val="22"/>
        </w:rPr>
        <w:lastRenderedPageBreak/>
        <w:t xml:space="preserve">variables </w:t>
      </w:r>
      <w:r w:rsidRPr="0010152F">
        <w:rPr>
          <w:rFonts w:ascii="Arial Black" w:hAnsi="Arial Black" w:cstheme="minorHAnsi"/>
          <w:i/>
          <w:iCs/>
          <w:sz w:val="22"/>
          <w:szCs w:val="22"/>
        </w:rPr>
        <w:t>(</w:t>
      </w:r>
      <w:r w:rsidRPr="0010152F">
        <w:rPr>
          <w:rStyle w:val="Emphasis"/>
          <w:rFonts w:ascii="Arial Black" w:hAnsi="Arial Black" w:cstheme="minorHAnsi"/>
          <w:i w:val="0"/>
          <w:iCs w:val="0"/>
          <w:sz w:val="22"/>
          <w:szCs w:val="22"/>
        </w:rPr>
        <w:t>SHG membership, E-Shram registration, pension benefits, and savings bank account ownership</w:t>
      </w:r>
      <w:r w:rsidRPr="0010152F">
        <w:rPr>
          <w:rFonts w:ascii="Arial Black" w:hAnsi="Arial Black" w:cstheme="minorHAnsi"/>
          <w:i/>
          <w:iCs/>
          <w:sz w:val="22"/>
          <w:szCs w:val="22"/>
        </w:rPr>
        <w:t>)</w:t>
      </w:r>
      <w:r w:rsidRPr="0010152F">
        <w:rPr>
          <w:rFonts w:ascii="Arial Black" w:hAnsi="Arial Black" w:cstheme="minorHAnsi"/>
          <w:sz w:val="22"/>
          <w:szCs w:val="22"/>
        </w:rPr>
        <w:t xml:space="preserve"> and the </w:t>
      </w:r>
      <w:r w:rsidRPr="0010152F">
        <w:rPr>
          <w:rStyle w:val="Strong"/>
          <w:rFonts w:ascii="Arial Black" w:hAnsi="Arial Black" w:cstheme="minorHAnsi"/>
          <w:b w:val="0"/>
          <w:bCs w:val="0"/>
          <w:sz w:val="22"/>
          <w:szCs w:val="22"/>
        </w:rPr>
        <w:t>age</w:t>
      </w:r>
      <w:r w:rsidRPr="0010152F">
        <w:rPr>
          <w:rFonts w:ascii="Arial Black" w:hAnsi="Arial Black" w:cstheme="minorHAnsi"/>
          <w:sz w:val="22"/>
          <w:szCs w:val="22"/>
        </w:rPr>
        <w:t xml:space="preserve"> of individuals. The model explains approximately </w:t>
      </w:r>
      <w:r w:rsidRPr="0010152F">
        <w:rPr>
          <w:rStyle w:val="Strong"/>
          <w:rFonts w:ascii="Arial Black" w:hAnsi="Arial Black" w:cstheme="minorHAnsi"/>
          <w:b w:val="0"/>
          <w:bCs w:val="0"/>
          <w:sz w:val="22"/>
          <w:szCs w:val="22"/>
        </w:rPr>
        <w:t>56.4% of the variance in age</w:t>
      </w:r>
      <w:r w:rsidRPr="0010152F">
        <w:rPr>
          <w:rFonts w:ascii="Arial Black" w:hAnsi="Arial Black" w:cstheme="minorHAnsi"/>
          <w:sz w:val="22"/>
          <w:szCs w:val="22"/>
        </w:rPr>
        <w:t>, suggesting that these socio-economic variables are important indicators of age distribution in the sample.</w:t>
      </w: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5C1134" w:rsidRPr="0010152F" w14:paraId="76261F17" w14:textId="77777777" w:rsidTr="0004526B">
        <w:trPr>
          <w:cantSplit/>
        </w:trPr>
        <w:tc>
          <w:tcPr>
            <w:tcW w:w="7959" w:type="dxa"/>
            <w:gridSpan w:val="7"/>
            <w:tcBorders>
              <w:top w:val="nil"/>
              <w:left w:val="nil"/>
              <w:bottom w:val="nil"/>
              <w:right w:val="nil"/>
            </w:tcBorders>
            <w:shd w:val="clear" w:color="auto" w:fill="FFFFFF"/>
            <w:vAlign w:val="center"/>
          </w:tcPr>
          <w:p w14:paraId="01E981D3"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 xml:space="preserve">Table No. 11. </w:t>
            </w:r>
            <w:proofErr w:type="spellStart"/>
            <w:r w:rsidRPr="0010152F">
              <w:rPr>
                <w:rFonts w:ascii="Arial Black" w:hAnsi="Arial Black" w:cstheme="minorHAnsi"/>
                <w:b/>
                <w:bCs/>
                <w:color w:val="000000"/>
                <w:sz w:val="22"/>
                <w:szCs w:val="22"/>
                <w:lang w:val="en-IN"/>
              </w:rPr>
              <w:t>ANOVAa</w:t>
            </w:r>
            <w:proofErr w:type="spellEnd"/>
          </w:p>
        </w:tc>
      </w:tr>
      <w:tr w:rsidR="005C1134" w:rsidRPr="0010152F" w14:paraId="090B2BC2" w14:textId="77777777" w:rsidTr="0004526B">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2F83B257"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1475" w:type="dxa"/>
            <w:tcBorders>
              <w:top w:val="single" w:sz="16" w:space="0" w:color="000000"/>
              <w:left w:val="single" w:sz="16" w:space="0" w:color="000000"/>
              <w:bottom w:val="single" w:sz="16" w:space="0" w:color="000000"/>
            </w:tcBorders>
            <w:shd w:val="clear" w:color="auto" w:fill="FFFFFF"/>
            <w:vAlign w:val="bottom"/>
          </w:tcPr>
          <w:p w14:paraId="6A5D7D42"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Sum of Squares</w:t>
            </w:r>
          </w:p>
        </w:tc>
        <w:tc>
          <w:tcPr>
            <w:tcW w:w="1014" w:type="dxa"/>
            <w:tcBorders>
              <w:top w:val="single" w:sz="16" w:space="0" w:color="000000"/>
              <w:bottom w:val="single" w:sz="16" w:space="0" w:color="000000"/>
            </w:tcBorders>
            <w:shd w:val="clear" w:color="auto" w:fill="FFFFFF"/>
            <w:vAlign w:val="bottom"/>
          </w:tcPr>
          <w:p w14:paraId="1F9B3C0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df</w:t>
            </w:r>
          </w:p>
        </w:tc>
        <w:tc>
          <w:tcPr>
            <w:tcW w:w="1414" w:type="dxa"/>
            <w:tcBorders>
              <w:top w:val="single" w:sz="16" w:space="0" w:color="000000"/>
              <w:bottom w:val="single" w:sz="16" w:space="0" w:color="000000"/>
            </w:tcBorders>
            <w:shd w:val="clear" w:color="auto" w:fill="FFFFFF"/>
            <w:vAlign w:val="bottom"/>
          </w:tcPr>
          <w:p w14:paraId="215A6D0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Mean Square</w:t>
            </w:r>
          </w:p>
        </w:tc>
        <w:tc>
          <w:tcPr>
            <w:tcW w:w="1014" w:type="dxa"/>
            <w:tcBorders>
              <w:top w:val="single" w:sz="16" w:space="0" w:color="000000"/>
              <w:bottom w:val="single" w:sz="16" w:space="0" w:color="000000"/>
            </w:tcBorders>
            <w:shd w:val="clear" w:color="auto" w:fill="FFFFFF"/>
            <w:vAlign w:val="bottom"/>
          </w:tcPr>
          <w:p w14:paraId="25146308"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F</w:t>
            </w:r>
          </w:p>
        </w:tc>
        <w:tc>
          <w:tcPr>
            <w:tcW w:w="1014" w:type="dxa"/>
            <w:tcBorders>
              <w:top w:val="single" w:sz="16" w:space="0" w:color="000000"/>
              <w:bottom w:val="single" w:sz="16" w:space="0" w:color="000000"/>
              <w:right w:val="single" w:sz="16" w:space="0" w:color="000000"/>
            </w:tcBorders>
            <w:shd w:val="clear" w:color="auto" w:fill="FFFFFF"/>
            <w:vAlign w:val="bottom"/>
          </w:tcPr>
          <w:p w14:paraId="1A27EF11"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7AA4879D" w14:textId="77777777" w:rsidTr="0004526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0C9A570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291" w:type="dxa"/>
            <w:tcBorders>
              <w:top w:val="single" w:sz="16" w:space="0" w:color="000000"/>
              <w:left w:val="nil"/>
              <w:bottom w:val="nil"/>
              <w:right w:val="single" w:sz="16" w:space="0" w:color="000000"/>
            </w:tcBorders>
            <w:shd w:val="clear" w:color="auto" w:fill="FFFFFF"/>
          </w:tcPr>
          <w:p w14:paraId="18090E5F"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Regression</w:t>
            </w:r>
          </w:p>
        </w:tc>
        <w:tc>
          <w:tcPr>
            <w:tcW w:w="1475" w:type="dxa"/>
            <w:tcBorders>
              <w:top w:val="single" w:sz="16" w:space="0" w:color="000000"/>
              <w:left w:val="single" w:sz="16" w:space="0" w:color="000000"/>
              <w:bottom w:val="nil"/>
            </w:tcBorders>
            <w:shd w:val="clear" w:color="auto" w:fill="FFFFFF"/>
            <w:vAlign w:val="center"/>
          </w:tcPr>
          <w:p w14:paraId="2E7904C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72.447</w:t>
            </w:r>
          </w:p>
        </w:tc>
        <w:tc>
          <w:tcPr>
            <w:tcW w:w="1014" w:type="dxa"/>
            <w:tcBorders>
              <w:top w:val="single" w:sz="16" w:space="0" w:color="000000"/>
              <w:bottom w:val="nil"/>
            </w:tcBorders>
            <w:shd w:val="clear" w:color="auto" w:fill="FFFFFF"/>
            <w:vAlign w:val="center"/>
          </w:tcPr>
          <w:p w14:paraId="73B98EA6"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w:t>
            </w:r>
          </w:p>
        </w:tc>
        <w:tc>
          <w:tcPr>
            <w:tcW w:w="1414" w:type="dxa"/>
            <w:tcBorders>
              <w:top w:val="single" w:sz="16" w:space="0" w:color="000000"/>
              <w:bottom w:val="nil"/>
            </w:tcBorders>
            <w:shd w:val="clear" w:color="auto" w:fill="FFFFFF"/>
            <w:vAlign w:val="center"/>
          </w:tcPr>
          <w:p w14:paraId="30A26B4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18.112</w:t>
            </w:r>
          </w:p>
        </w:tc>
        <w:tc>
          <w:tcPr>
            <w:tcW w:w="1014" w:type="dxa"/>
            <w:tcBorders>
              <w:top w:val="single" w:sz="16" w:space="0" w:color="000000"/>
              <w:bottom w:val="nil"/>
            </w:tcBorders>
            <w:shd w:val="clear" w:color="auto" w:fill="FFFFFF"/>
            <w:vAlign w:val="center"/>
          </w:tcPr>
          <w:p w14:paraId="61F9FE5F"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30.690</w:t>
            </w:r>
          </w:p>
        </w:tc>
        <w:tc>
          <w:tcPr>
            <w:tcW w:w="1014" w:type="dxa"/>
            <w:tcBorders>
              <w:top w:val="single" w:sz="16" w:space="0" w:color="000000"/>
              <w:bottom w:val="nil"/>
              <w:right w:val="single" w:sz="16" w:space="0" w:color="000000"/>
            </w:tcBorders>
            <w:shd w:val="clear" w:color="auto" w:fill="FFFFFF"/>
            <w:vAlign w:val="center"/>
          </w:tcPr>
          <w:p w14:paraId="4EA0673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r w:rsidRPr="0010152F">
              <w:rPr>
                <w:rFonts w:ascii="Arial Black" w:hAnsi="Arial Black" w:cstheme="minorHAnsi"/>
                <w:color w:val="000000"/>
                <w:sz w:val="22"/>
                <w:szCs w:val="22"/>
                <w:vertAlign w:val="superscript"/>
                <w:lang w:val="en-IN"/>
              </w:rPr>
              <w:t>b</w:t>
            </w:r>
          </w:p>
        </w:tc>
      </w:tr>
      <w:tr w:rsidR="005C1134" w:rsidRPr="0010152F" w14:paraId="54472E03" w14:textId="77777777" w:rsidTr="0004526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4F37BB0"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291" w:type="dxa"/>
            <w:tcBorders>
              <w:top w:val="nil"/>
              <w:left w:val="nil"/>
              <w:bottom w:val="nil"/>
              <w:right w:val="single" w:sz="16" w:space="0" w:color="000000"/>
            </w:tcBorders>
            <w:shd w:val="clear" w:color="auto" w:fill="FFFFFF"/>
          </w:tcPr>
          <w:p w14:paraId="5BDCC6E8"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Residual</w:t>
            </w:r>
          </w:p>
        </w:tc>
        <w:tc>
          <w:tcPr>
            <w:tcW w:w="1475" w:type="dxa"/>
            <w:tcBorders>
              <w:top w:val="nil"/>
              <w:left w:val="single" w:sz="16" w:space="0" w:color="000000"/>
              <w:bottom w:val="nil"/>
            </w:tcBorders>
            <w:shd w:val="clear" w:color="auto" w:fill="FFFFFF"/>
            <w:vAlign w:val="center"/>
          </w:tcPr>
          <w:p w14:paraId="3FC7A66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56.063</w:t>
            </w:r>
          </w:p>
        </w:tc>
        <w:tc>
          <w:tcPr>
            <w:tcW w:w="1014" w:type="dxa"/>
            <w:tcBorders>
              <w:top w:val="nil"/>
              <w:bottom w:val="nil"/>
            </w:tcBorders>
            <w:shd w:val="clear" w:color="auto" w:fill="FFFFFF"/>
            <w:vAlign w:val="center"/>
          </w:tcPr>
          <w:p w14:paraId="6948458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95</w:t>
            </w:r>
          </w:p>
        </w:tc>
        <w:tc>
          <w:tcPr>
            <w:tcW w:w="1414" w:type="dxa"/>
            <w:tcBorders>
              <w:top w:val="nil"/>
              <w:bottom w:val="nil"/>
            </w:tcBorders>
            <w:shd w:val="clear" w:color="auto" w:fill="FFFFFF"/>
            <w:vAlign w:val="center"/>
          </w:tcPr>
          <w:p w14:paraId="14A0A3D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.590</w:t>
            </w:r>
          </w:p>
        </w:tc>
        <w:tc>
          <w:tcPr>
            <w:tcW w:w="1014" w:type="dxa"/>
            <w:tcBorders>
              <w:top w:val="nil"/>
              <w:bottom w:val="nil"/>
            </w:tcBorders>
            <w:shd w:val="clear" w:color="auto" w:fill="FFFFFF"/>
            <w:vAlign w:val="center"/>
          </w:tcPr>
          <w:p w14:paraId="71BA2760"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nil"/>
              <w:right w:val="single" w:sz="16" w:space="0" w:color="000000"/>
            </w:tcBorders>
            <w:shd w:val="clear" w:color="auto" w:fill="FFFFFF"/>
            <w:vAlign w:val="center"/>
          </w:tcPr>
          <w:p w14:paraId="0D857787"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39D6F4F0" w14:textId="77777777" w:rsidTr="0004526B">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9BD1D3A"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291" w:type="dxa"/>
            <w:tcBorders>
              <w:top w:val="nil"/>
              <w:left w:val="nil"/>
              <w:bottom w:val="single" w:sz="16" w:space="0" w:color="000000"/>
              <w:right w:val="single" w:sz="16" w:space="0" w:color="000000"/>
            </w:tcBorders>
            <w:shd w:val="clear" w:color="auto" w:fill="FFFFFF"/>
          </w:tcPr>
          <w:p w14:paraId="771728B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Total</w:t>
            </w:r>
          </w:p>
        </w:tc>
        <w:tc>
          <w:tcPr>
            <w:tcW w:w="1475" w:type="dxa"/>
            <w:tcBorders>
              <w:top w:val="nil"/>
              <w:left w:val="single" w:sz="16" w:space="0" w:color="000000"/>
              <w:bottom w:val="single" w:sz="16" w:space="0" w:color="000000"/>
            </w:tcBorders>
            <w:shd w:val="clear" w:color="auto" w:fill="FFFFFF"/>
            <w:vAlign w:val="center"/>
          </w:tcPr>
          <w:p w14:paraId="4E82BF5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128.510</w:t>
            </w:r>
          </w:p>
        </w:tc>
        <w:tc>
          <w:tcPr>
            <w:tcW w:w="1014" w:type="dxa"/>
            <w:tcBorders>
              <w:top w:val="nil"/>
              <w:bottom w:val="single" w:sz="16" w:space="0" w:color="000000"/>
            </w:tcBorders>
            <w:shd w:val="clear" w:color="auto" w:fill="FFFFFF"/>
            <w:vAlign w:val="center"/>
          </w:tcPr>
          <w:p w14:paraId="08F4316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99</w:t>
            </w:r>
          </w:p>
        </w:tc>
        <w:tc>
          <w:tcPr>
            <w:tcW w:w="1414" w:type="dxa"/>
            <w:tcBorders>
              <w:top w:val="nil"/>
              <w:bottom w:val="single" w:sz="16" w:space="0" w:color="000000"/>
            </w:tcBorders>
            <w:shd w:val="clear" w:color="auto" w:fill="FFFFFF"/>
            <w:vAlign w:val="center"/>
          </w:tcPr>
          <w:p w14:paraId="1B18BF86"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tcBorders>
            <w:shd w:val="clear" w:color="auto" w:fill="FFFFFF"/>
            <w:vAlign w:val="center"/>
          </w:tcPr>
          <w:p w14:paraId="1F782F81"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014" w:type="dxa"/>
            <w:tcBorders>
              <w:top w:val="nil"/>
              <w:bottom w:val="single" w:sz="16" w:space="0" w:color="000000"/>
              <w:right w:val="single" w:sz="16" w:space="0" w:color="000000"/>
            </w:tcBorders>
            <w:shd w:val="clear" w:color="auto" w:fill="FFFFFF"/>
            <w:vAlign w:val="center"/>
          </w:tcPr>
          <w:p w14:paraId="60C327B3" w14:textId="77777777" w:rsidR="005C1134" w:rsidRPr="0010152F" w:rsidRDefault="005C1134" w:rsidP="0004526B">
            <w:pPr>
              <w:autoSpaceDE w:val="0"/>
              <w:autoSpaceDN w:val="0"/>
              <w:adjustRightInd w:val="0"/>
              <w:rPr>
                <w:rFonts w:ascii="Arial Black" w:hAnsi="Arial Black" w:cstheme="minorHAnsi"/>
                <w:sz w:val="22"/>
                <w:szCs w:val="22"/>
                <w:lang w:val="en-IN"/>
              </w:rPr>
            </w:pPr>
          </w:p>
        </w:tc>
      </w:tr>
      <w:tr w:rsidR="005C1134" w:rsidRPr="0010152F" w14:paraId="643D6DC1" w14:textId="77777777" w:rsidTr="0004526B">
        <w:trPr>
          <w:cantSplit/>
        </w:trPr>
        <w:tc>
          <w:tcPr>
            <w:tcW w:w="7959" w:type="dxa"/>
            <w:gridSpan w:val="7"/>
            <w:tcBorders>
              <w:top w:val="nil"/>
              <w:left w:val="nil"/>
              <w:bottom w:val="nil"/>
              <w:right w:val="nil"/>
            </w:tcBorders>
            <w:shd w:val="clear" w:color="auto" w:fill="FFFFFF"/>
          </w:tcPr>
          <w:p w14:paraId="067F7F25"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a. Dependent Variable: Age</w:t>
            </w:r>
          </w:p>
        </w:tc>
      </w:tr>
      <w:tr w:rsidR="005C1134" w:rsidRPr="0010152F" w14:paraId="101B481D" w14:textId="77777777" w:rsidTr="0004526B">
        <w:trPr>
          <w:cantSplit/>
        </w:trPr>
        <w:tc>
          <w:tcPr>
            <w:tcW w:w="7959" w:type="dxa"/>
            <w:gridSpan w:val="7"/>
            <w:tcBorders>
              <w:top w:val="nil"/>
              <w:left w:val="nil"/>
              <w:bottom w:val="nil"/>
              <w:right w:val="nil"/>
            </w:tcBorders>
            <w:shd w:val="clear" w:color="auto" w:fill="FFFFFF"/>
          </w:tcPr>
          <w:p w14:paraId="23A8719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 Predictors: (Constant), SHG, E-Shram, Pension, SB Account</w:t>
            </w:r>
          </w:p>
        </w:tc>
      </w:tr>
    </w:tbl>
    <w:p w14:paraId="01AA3D3B" w14:textId="77777777" w:rsidR="005C1134" w:rsidRPr="0010152F" w:rsidRDefault="005C1134" w:rsidP="005C1134">
      <w:pPr>
        <w:autoSpaceDE w:val="0"/>
        <w:autoSpaceDN w:val="0"/>
        <w:adjustRightInd w:val="0"/>
        <w:spacing w:line="400" w:lineRule="atLeast"/>
        <w:rPr>
          <w:rFonts w:ascii="Arial Black" w:hAnsi="Arial Black" w:cstheme="minorHAnsi"/>
          <w:sz w:val="22"/>
          <w:szCs w:val="22"/>
          <w:lang w:val="en-IN"/>
        </w:rPr>
      </w:pPr>
    </w:p>
    <w:p w14:paraId="7AFBB8DA" w14:textId="77777777" w:rsidR="005C1134" w:rsidRPr="0010152F" w:rsidRDefault="005C1134" w:rsidP="005C1134">
      <w:pPr>
        <w:autoSpaceDE w:val="0"/>
        <w:autoSpaceDN w:val="0"/>
        <w:adjustRightInd w:val="0"/>
        <w:jc w:val="both"/>
        <w:rPr>
          <w:rFonts w:ascii="Arial Black" w:hAnsi="Arial Black" w:cstheme="minorHAnsi"/>
          <w:b/>
          <w:sz w:val="22"/>
          <w:szCs w:val="22"/>
          <w:lang w:val="en-IN"/>
        </w:rPr>
      </w:pPr>
      <w:r w:rsidRPr="0010152F">
        <w:rPr>
          <w:rStyle w:val="Strong"/>
          <w:rFonts w:ascii="Arial Black" w:hAnsi="Arial Black" w:cstheme="minorHAnsi"/>
          <w:b w:val="0"/>
          <w:sz w:val="22"/>
          <w:szCs w:val="22"/>
        </w:rPr>
        <w:t>In the above ANOVA table, the F-statistic value is 30.690, and the p-value (0.000) indicates that the overall regression model is highly significant.</w:t>
      </w:r>
      <w:r w:rsidRPr="0010152F">
        <w:rPr>
          <w:rFonts w:ascii="Arial Black" w:hAnsi="Arial Black" w:cstheme="minorHAnsi"/>
          <w:b/>
          <w:sz w:val="22"/>
          <w:szCs w:val="22"/>
        </w:rPr>
        <w:t xml:space="preserve"> </w:t>
      </w:r>
      <w:r w:rsidRPr="0010152F">
        <w:rPr>
          <w:rFonts w:ascii="Arial Black" w:hAnsi="Arial Black" w:cstheme="minorHAnsi"/>
          <w:sz w:val="22"/>
          <w:szCs w:val="22"/>
        </w:rPr>
        <w:t xml:space="preserve">The ANOVA indicates that the regression model is </w:t>
      </w:r>
      <w:r w:rsidRPr="0010152F">
        <w:rPr>
          <w:rStyle w:val="Strong"/>
          <w:rFonts w:ascii="Arial Black" w:hAnsi="Arial Black" w:cstheme="minorHAnsi"/>
          <w:b w:val="0"/>
          <w:bCs w:val="0"/>
          <w:sz w:val="22"/>
          <w:szCs w:val="22"/>
        </w:rPr>
        <w:t>statistically significant</w:t>
      </w:r>
      <w:r w:rsidRPr="0010152F">
        <w:rPr>
          <w:rFonts w:ascii="Arial Black" w:hAnsi="Arial Black" w:cstheme="minorHAnsi"/>
          <w:sz w:val="22"/>
          <w:szCs w:val="22"/>
        </w:rPr>
        <w:t xml:space="preserve"> in explaining variations in age. Together, the predictors </w:t>
      </w:r>
      <w:r w:rsidRPr="0010152F">
        <w:rPr>
          <w:rFonts w:ascii="Arial Black" w:hAnsi="Arial Black" w:cstheme="minorHAnsi"/>
          <w:i/>
          <w:iCs/>
          <w:sz w:val="22"/>
          <w:szCs w:val="22"/>
        </w:rPr>
        <w:t>(</w:t>
      </w:r>
      <w:r w:rsidRPr="0010152F">
        <w:rPr>
          <w:rStyle w:val="Emphasis"/>
          <w:rFonts w:ascii="Arial Black" w:hAnsi="Arial Black" w:cstheme="minorHAnsi"/>
          <w:i w:val="0"/>
          <w:iCs w:val="0"/>
          <w:sz w:val="22"/>
          <w:szCs w:val="22"/>
        </w:rPr>
        <w:t>SHG, E-Shram, Pension, and SB Account</w:t>
      </w:r>
      <w:r w:rsidRPr="0010152F">
        <w:rPr>
          <w:rFonts w:ascii="Arial Black" w:hAnsi="Arial Black" w:cstheme="minorHAnsi"/>
          <w:i/>
          <w:iCs/>
          <w:sz w:val="22"/>
          <w:szCs w:val="22"/>
        </w:rPr>
        <w:t>)</w:t>
      </w:r>
      <w:r w:rsidRPr="0010152F">
        <w:rPr>
          <w:rFonts w:ascii="Arial Black" w:hAnsi="Arial Black" w:cstheme="minorHAnsi"/>
          <w:sz w:val="22"/>
          <w:szCs w:val="22"/>
        </w:rPr>
        <w:t xml:space="preserve"> account for a significant portion of the variance in age among the respondents. This implies that socio-economic and financial inclusion variables are closely associated with the age profile of the individuals in the study.</w:t>
      </w:r>
    </w:p>
    <w:tbl>
      <w:tblPr>
        <w:tblW w:w="9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1"/>
        <w:gridCol w:w="1393"/>
        <w:gridCol w:w="1490"/>
        <w:gridCol w:w="1497"/>
        <w:gridCol w:w="1645"/>
        <w:gridCol w:w="1129"/>
        <w:gridCol w:w="1426"/>
      </w:tblGrid>
      <w:tr w:rsidR="005C1134" w:rsidRPr="0010152F" w14:paraId="6F462C23" w14:textId="77777777" w:rsidTr="0004526B">
        <w:trPr>
          <w:cantSplit/>
          <w:trHeight w:val="30"/>
        </w:trPr>
        <w:tc>
          <w:tcPr>
            <w:tcW w:w="9401" w:type="dxa"/>
            <w:gridSpan w:val="7"/>
            <w:tcBorders>
              <w:top w:val="nil"/>
              <w:left w:val="nil"/>
              <w:bottom w:val="nil"/>
              <w:right w:val="nil"/>
            </w:tcBorders>
            <w:shd w:val="clear" w:color="auto" w:fill="FFFFFF"/>
            <w:vAlign w:val="center"/>
          </w:tcPr>
          <w:p w14:paraId="25EF7AC9" w14:textId="77777777" w:rsidR="005C1134" w:rsidRPr="0010152F" w:rsidRDefault="005C1134" w:rsidP="0004526B">
            <w:pPr>
              <w:autoSpaceDE w:val="0"/>
              <w:autoSpaceDN w:val="0"/>
              <w:adjustRightInd w:val="0"/>
              <w:spacing w:line="320" w:lineRule="atLeast"/>
              <w:ind w:left="-284" w:right="60" w:firstLine="344"/>
              <w:jc w:val="center"/>
              <w:rPr>
                <w:rFonts w:ascii="Arial Black" w:hAnsi="Arial Black" w:cstheme="minorHAnsi"/>
                <w:color w:val="000000"/>
                <w:sz w:val="22"/>
                <w:szCs w:val="22"/>
                <w:lang w:val="en-IN"/>
              </w:rPr>
            </w:pPr>
            <w:r w:rsidRPr="0010152F">
              <w:rPr>
                <w:rFonts w:ascii="Arial Black" w:hAnsi="Arial Black" w:cstheme="minorHAnsi"/>
                <w:b/>
                <w:bCs/>
                <w:color w:val="000000"/>
                <w:sz w:val="22"/>
                <w:szCs w:val="22"/>
                <w:lang w:val="en-IN"/>
              </w:rPr>
              <w:t>Table No.12. Coefficients</w:t>
            </w:r>
          </w:p>
        </w:tc>
      </w:tr>
      <w:tr w:rsidR="005C1134" w:rsidRPr="0010152F" w14:paraId="3EDFA89B" w14:textId="77777777" w:rsidTr="0004526B">
        <w:trPr>
          <w:cantSplit/>
          <w:trHeight w:val="62"/>
        </w:trPr>
        <w:tc>
          <w:tcPr>
            <w:tcW w:w="2214" w:type="dxa"/>
            <w:gridSpan w:val="2"/>
            <w:vMerge w:val="restart"/>
            <w:tcBorders>
              <w:top w:val="single" w:sz="16" w:space="0" w:color="000000"/>
              <w:left w:val="single" w:sz="16" w:space="0" w:color="000000"/>
              <w:bottom w:val="nil"/>
              <w:right w:val="nil"/>
            </w:tcBorders>
            <w:shd w:val="clear" w:color="auto" w:fill="FFFFFF"/>
            <w:vAlign w:val="bottom"/>
          </w:tcPr>
          <w:p w14:paraId="7218209D"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Model</w:t>
            </w:r>
          </w:p>
        </w:tc>
        <w:tc>
          <w:tcPr>
            <w:tcW w:w="2987" w:type="dxa"/>
            <w:gridSpan w:val="2"/>
            <w:tcBorders>
              <w:top w:val="single" w:sz="16" w:space="0" w:color="000000"/>
              <w:left w:val="single" w:sz="16" w:space="0" w:color="000000"/>
            </w:tcBorders>
            <w:shd w:val="clear" w:color="auto" w:fill="FFFFFF"/>
            <w:vAlign w:val="bottom"/>
          </w:tcPr>
          <w:p w14:paraId="22A82870"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Unstandardized Coefficients</w:t>
            </w:r>
          </w:p>
        </w:tc>
        <w:tc>
          <w:tcPr>
            <w:tcW w:w="1645" w:type="dxa"/>
            <w:tcBorders>
              <w:top w:val="single" w:sz="16" w:space="0" w:color="000000"/>
            </w:tcBorders>
            <w:shd w:val="clear" w:color="auto" w:fill="FFFFFF"/>
            <w:vAlign w:val="bottom"/>
          </w:tcPr>
          <w:p w14:paraId="28241ED7"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Standardized Coefficients</w:t>
            </w:r>
          </w:p>
        </w:tc>
        <w:tc>
          <w:tcPr>
            <w:tcW w:w="1129" w:type="dxa"/>
            <w:vMerge w:val="restart"/>
            <w:tcBorders>
              <w:top w:val="single" w:sz="16" w:space="0" w:color="000000"/>
            </w:tcBorders>
            <w:shd w:val="clear" w:color="auto" w:fill="FFFFFF"/>
            <w:vAlign w:val="bottom"/>
          </w:tcPr>
          <w:p w14:paraId="0CBFE2E5"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t</w:t>
            </w:r>
          </w:p>
        </w:tc>
        <w:tc>
          <w:tcPr>
            <w:tcW w:w="1425" w:type="dxa"/>
            <w:vMerge w:val="restart"/>
            <w:tcBorders>
              <w:top w:val="single" w:sz="16" w:space="0" w:color="000000"/>
              <w:right w:val="single" w:sz="16" w:space="0" w:color="000000"/>
            </w:tcBorders>
            <w:shd w:val="clear" w:color="auto" w:fill="FFFFFF"/>
            <w:vAlign w:val="bottom"/>
          </w:tcPr>
          <w:p w14:paraId="387014ED"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Sig.</w:t>
            </w:r>
          </w:p>
        </w:tc>
      </w:tr>
      <w:tr w:rsidR="005C1134" w:rsidRPr="0010152F" w14:paraId="05B78433" w14:textId="77777777" w:rsidTr="0004526B">
        <w:trPr>
          <w:cantSplit/>
          <w:trHeight w:val="34"/>
        </w:trPr>
        <w:tc>
          <w:tcPr>
            <w:tcW w:w="2214" w:type="dxa"/>
            <w:gridSpan w:val="2"/>
            <w:vMerge/>
            <w:tcBorders>
              <w:top w:val="single" w:sz="16" w:space="0" w:color="000000"/>
              <w:left w:val="single" w:sz="16" w:space="0" w:color="000000"/>
              <w:bottom w:val="nil"/>
              <w:right w:val="nil"/>
            </w:tcBorders>
            <w:shd w:val="clear" w:color="auto" w:fill="FFFFFF"/>
            <w:vAlign w:val="bottom"/>
          </w:tcPr>
          <w:p w14:paraId="25541A5A"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490" w:type="dxa"/>
            <w:tcBorders>
              <w:left w:val="single" w:sz="16" w:space="0" w:color="000000"/>
              <w:bottom w:val="single" w:sz="16" w:space="0" w:color="000000"/>
            </w:tcBorders>
            <w:shd w:val="clear" w:color="auto" w:fill="FFFFFF"/>
            <w:vAlign w:val="bottom"/>
          </w:tcPr>
          <w:p w14:paraId="2683B295"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w:t>
            </w:r>
          </w:p>
        </w:tc>
        <w:tc>
          <w:tcPr>
            <w:tcW w:w="1496" w:type="dxa"/>
            <w:tcBorders>
              <w:bottom w:val="single" w:sz="16" w:space="0" w:color="000000"/>
            </w:tcBorders>
            <w:shd w:val="clear" w:color="auto" w:fill="FFFFFF"/>
            <w:vAlign w:val="bottom"/>
          </w:tcPr>
          <w:p w14:paraId="2566C756"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Std. Error</w:t>
            </w:r>
          </w:p>
        </w:tc>
        <w:tc>
          <w:tcPr>
            <w:tcW w:w="1645" w:type="dxa"/>
            <w:tcBorders>
              <w:bottom w:val="single" w:sz="16" w:space="0" w:color="000000"/>
            </w:tcBorders>
            <w:shd w:val="clear" w:color="auto" w:fill="FFFFFF"/>
            <w:vAlign w:val="bottom"/>
          </w:tcPr>
          <w:p w14:paraId="72F9F379" w14:textId="77777777" w:rsidR="005C1134" w:rsidRPr="0010152F" w:rsidRDefault="005C1134" w:rsidP="0004526B">
            <w:pPr>
              <w:autoSpaceDE w:val="0"/>
              <w:autoSpaceDN w:val="0"/>
              <w:adjustRightInd w:val="0"/>
              <w:spacing w:line="320" w:lineRule="atLeast"/>
              <w:ind w:left="60" w:right="60"/>
              <w:jc w:val="center"/>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Beta</w:t>
            </w:r>
          </w:p>
        </w:tc>
        <w:tc>
          <w:tcPr>
            <w:tcW w:w="1129" w:type="dxa"/>
            <w:vMerge/>
            <w:tcBorders>
              <w:top w:val="single" w:sz="16" w:space="0" w:color="000000"/>
            </w:tcBorders>
            <w:shd w:val="clear" w:color="auto" w:fill="FFFFFF"/>
            <w:vAlign w:val="bottom"/>
          </w:tcPr>
          <w:p w14:paraId="79FE62DD"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425" w:type="dxa"/>
            <w:vMerge/>
            <w:tcBorders>
              <w:top w:val="single" w:sz="16" w:space="0" w:color="000000"/>
              <w:right w:val="single" w:sz="16" w:space="0" w:color="000000"/>
            </w:tcBorders>
            <w:shd w:val="clear" w:color="auto" w:fill="FFFFFF"/>
            <w:vAlign w:val="bottom"/>
          </w:tcPr>
          <w:p w14:paraId="2F23A682"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r>
      <w:tr w:rsidR="005C1134" w:rsidRPr="0010152F" w14:paraId="518CEFAF" w14:textId="77777777" w:rsidTr="0004526B">
        <w:trPr>
          <w:cantSplit/>
          <w:trHeight w:val="30"/>
        </w:trPr>
        <w:tc>
          <w:tcPr>
            <w:tcW w:w="821" w:type="dxa"/>
            <w:vMerge w:val="restart"/>
            <w:tcBorders>
              <w:top w:val="single" w:sz="16" w:space="0" w:color="000000"/>
              <w:left w:val="single" w:sz="16" w:space="0" w:color="000000"/>
              <w:bottom w:val="single" w:sz="16" w:space="0" w:color="000000"/>
              <w:right w:val="nil"/>
            </w:tcBorders>
            <w:shd w:val="clear" w:color="auto" w:fill="FFFFFF"/>
          </w:tcPr>
          <w:p w14:paraId="6C574A2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w:t>
            </w:r>
          </w:p>
        </w:tc>
        <w:tc>
          <w:tcPr>
            <w:tcW w:w="1392" w:type="dxa"/>
            <w:tcBorders>
              <w:top w:val="single" w:sz="16" w:space="0" w:color="000000"/>
              <w:left w:val="nil"/>
              <w:bottom w:val="nil"/>
              <w:right w:val="single" w:sz="16" w:space="0" w:color="000000"/>
            </w:tcBorders>
            <w:shd w:val="clear" w:color="auto" w:fill="FFFFFF"/>
          </w:tcPr>
          <w:p w14:paraId="6BC3B744"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(Constant)</w:t>
            </w:r>
          </w:p>
        </w:tc>
        <w:tc>
          <w:tcPr>
            <w:tcW w:w="1490" w:type="dxa"/>
            <w:tcBorders>
              <w:top w:val="single" w:sz="16" w:space="0" w:color="000000"/>
              <w:left w:val="single" w:sz="16" w:space="0" w:color="000000"/>
              <w:bottom w:val="nil"/>
            </w:tcBorders>
            <w:shd w:val="clear" w:color="auto" w:fill="FFFFFF"/>
            <w:vAlign w:val="center"/>
          </w:tcPr>
          <w:p w14:paraId="4E5A9F7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-3.480</w:t>
            </w:r>
          </w:p>
        </w:tc>
        <w:tc>
          <w:tcPr>
            <w:tcW w:w="1496" w:type="dxa"/>
            <w:tcBorders>
              <w:top w:val="single" w:sz="16" w:space="0" w:color="000000"/>
              <w:bottom w:val="nil"/>
            </w:tcBorders>
            <w:shd w:val="clear" w:color="auto" w:fill="FFFFFF"/>
            <w:vAlign w:val="center"/>
          </w:tcPr>
          <w:p w14:paraId="05A48A80"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.582</w:t>
            </w:r>
          </w:p>
        </w:tc>
        <w:tc>
          <w:tcPr>
            <w:tcW w:w="1645" w:type="dxa"/>
            <w:tcBorders>
              <w:top w:val="single" w:sz="16" w:space="0" w:color="000000"/>
              <w:bottom w:val="nil"/>
            </w:tcBorders>
            <w:shd w:val="clear" w:color="auto" w:fill="FFFFFF"/>
            <w:vAlign w:val="center"/>
          </w:tcPr>
          <w:p w14:paraId="1462040E" w14:textId="77777777" w:rsidR="005C1134" w:rsidRPr="0010152F" w:rsidRDefault="005C1134" w:rsidP="0004526B">
            <w:pPr>
              <w:autoSpaceDE w:val="0"/>
              <w:autoSpaceDN w:val="0"/>
              <w:adjustRightInd w:val="0"/>
              <w:rPr>
                <w:rFonts w:ascii="Arial Black" w:hAnsi="Arial Black" w:cstheme="minorHAnsi"/>
                <w:sz w:val="22"/>
                <w:szCs w:val="22"/>
                <w:lang w:val="en-IN"/>
              </w:rPr>
            </w:pPr>
          </w:p>
        </w:tc>
        <w:tc>
          <w:tcPr>
            <w:tcW w:w="1129" w:type="dxa"/>
            <w:tcBorders>
              <w:top w:val="single" w:sz="16" w:space="0" w:color="000000"/>
              <w:bottom w:val="nil"/>
            </w:tcBorders>
            <w:shd w:val="clear" w:color="auto" w:fill="FFFFFF"/>
            <w:vAlign w:val="center"/>
          </w:tcPr>
          <w:p w14:paraId="0F423F5E"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-5.976</w:t>
            </w:r>
          </w:p>
        </w:tc>
        <w:tc>
          <w:tcPr>
            <w:tcW w:w="1425" w:type="dxa"/>
            <w:tcBorders>
              <w:top w:val="single" w:sz="16" w:space="0" w:color="000000"/>
              <w:bottom w:val="nil"/>
              <w:right w:val="single" w:sz="16" w:space="0" w:color="000000"/>
            </w:tcBorders>
            <w:shd w:val="clear" w:color="auto" w:fill="FFFFFF"/>
            <w:vAlign w:val="center"/>
          </w:tcPr>
          <w:p w14:paraId="7B85A80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260B3322" w14:textId="77777777" w:rsidTr="0004526B">
        <w:trPr>
          <w:cantSplit/>
          <w:trHeight w:val="34"/>
        </w:trPr>
        <w:tc>
          <w:tcPr>
            <w:tcW w:w="821" w:type="dxa"/>
            <w:vMerge/>
            <w:tcBorders>
              <w:top w:val="single" w:sz="16" w:space="0" w:color="000000"/>
              <w:left w:val="single" w:sz="16" w:space="0" w:color="000000"/>
              <w:bottom w:val="single" w:sz="16" w:space="0" w:color="000000"/>
              <w:right w:val="nil"/>
            </w:tcBorders>
            <w:shd w:val="clear" w:color="auto" w:fill="FFFFFF"/>
          </w:tcPr>
          <w:p w14:paraId="26D3FB3F"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92" w:type="dxa"/>
            <w:tcBorders>
              <w:top w:val="nil"/>
              <w:left w:val="nil"/>
              <w:bottom w:val="nil"/>
              <w:right w:val="single" w:sz="16" w:space="0" w:color="000000"/>
            </w:tcBorders>
            <w:shd w:val="clear" w:color="auto" w:fill="FFFFFF"/>
          </w:tcPr>
          <w:p w14:paraId="2D5A5E3B"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E-Shram</w:t>
            </w:r>
          </w:p>
        </w:tc>
        <w:tc>
          <w:tcPr>
            <w:tcW w:w="1490" w:type="dxa"/>
            <w:tcBorders>
              <w:top w:val="nil"/>
              <w:left w:val="single" w:sz="16" w:space="0" w:color="000000"/>
              <w:bottom w:val="nil"/>
            </w:tcBorders>
            <w:shd w:val="clear" w:color="auto" w:fill="FFFFFF"/>
            <w:vAlign w:val="center"/>
          </w:tcPr>
          <w:p w14:paraId="7EDDB5B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1.120</w:t>
            </w:r>
          </w:p>
        </w:tc>
        <w:tc>
          <w:tcPr>
            <w:tcW w:w="1496" w:type="dxa"/>
            <w:tcBorders>
              <w:top w:val="nil"/>
              <w:bottom w:val="nil"/>
            </w:tcBorders>
            <w:shd w:val="clear" w:color="auto" w:fill="FFFFFF"/>
            <w:vAlign w:val="center"/>
          </w:tcPr>
          <w:p w14:paraId="1A90A40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.200</w:t>
            </w:r>
          </w:p>
        </w:tc>
        <w:tc>
          <w:tcPr>
            <w:tcW w:w="1645" w:type="dxa"/>
            <w:tcBorders>
              <w:top w:val="nil"/>
              <w:bottom w:val="nil"/>
            </w:tcBorders>
            <w:shd w:val="clear" w:color="auto" w:fill="FFFFFF"/>
            <w:vAlign w:val="center"/>
          </w:tcPr>
          <w:p w14:paraId="39F1F1F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.388</w:t>
            </w:r>
          </w:p>
        </w:tc>
        <w:tc>
          <w:tcPr>
            <w:tcW w:w="1129" w:type="dxa"/>
            <w:tcBorders>
              <w:top w:val="nil"/>
              <w:bottom w:val="nil"/>
            </w:tcBorders>
            <w:shd w:val="clear" w:color="auto" w:fill="FFFFFF"/>
            <w:vAlign w:val="center"/>
          </w:tcPr>
          <w:p w14:paraId="11DC84DF"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5.594</w:t>
            </w:r>
          </w:p>
        </w:tc>
        <w:tc>
          <w:tcPr>
            <w:tcW w:w="1425" w:type="dxa"/>
            <w:tcBorders>
              <w:top w:val="nil"/>
              <w:bottom w:val="nil"/>
              <w:right w:val="single" w:sz="16" w:space="0" w:color="000000"/>
            </w:tcBorders>
            <w:shd w:val="clear" w:color="auto" w:fill="FFFFFF"/>
            <w:vAlign w:val="center"/>
          </w:tcPr>
          <w:p w14:paraId="53E22751"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3B93E9A3" w14:textId="77777777" w:rsidTr="0004526B">
        <w:trPr>
          <w:cantSplit/>
          <w:trHeight w:val="34"/>
        </w:trPr>
        <w:tc>
          <w:tcPr>
            <w:tcW w:w="821" w:type="dxa"/>
            <w:vMerge/>
            <w:tcBorders>
              <w:top w:val="single" w:sz="16" w:space="0" w:color="000000"/>
              <w:left w:val="single" w:sz="16" w:space="0" w:color="000000"/>
              <w:bottom w:val="single" w:sz="16" w:space="0" w:color="000000"/>
              <w:right w:val="nil"/>
            </w:tcBorders>
            <w:shd w:val="clear" w:color="auto" w:fill="FFFFFF"/>
          </w:tcPr>
          <w:p w14:paraId="16B557A0"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92" w:type="dxa"/>
            <w:tcBorders>
              <w:top w:val="nil"/>
              <w:left w:val="nil"/>
              <w:bottom w:val="nil"/>
              <w:right w:val="single" w:sz="16" w:space="0" w:color="000000"/>
            </w:tcBorders>
            <w:shd w:val="clear" w:color="auto" w:fill="FFFFFF"/>
          </w:tcPr>
          <w:p w14:paraId="45EF5869"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Pension</w:t>
            </w:r>
          </w:p>
        </w:tc>
        <w:tc>
          <w:tcPr>
            <w:tcW w:w="1490" w:type="dxa"/>
            <w:tcBorders>
              <w:top w:val="nil"/>
              <w:left w:val="single" w:sz="16" w:space="0" w:color="000000"/>
              <w:bottom w:val="nil"/>
            </w:tcBorders>
            <w:shd w:val="clear" w:color="auto" w:fill="FFFFFF"/>
            <w:vAlign w:val="center"/>
          </w:tcPr>
          <w:p w14:paraId="0A1F9255"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1.086</w:t>
            </w:r>
          </w:p>
        </w:tc>
        <w:tc>
          <w:tcPr>
            <w:tcW w:w="1496" w:type="dxa"/>
            <w:tcBorders>
              <w:top w:val="nil"/>
              <w:bottom w:val="nil"/>
            </w:tcBorders>
            <w:shd w:val="clear" w:color="auto" w:fill="FFFFFF"/>
            <w:vAlign w:val="center"/>
          </w:tcPr>
          <w:p w14:paraId="783D86B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.165</w:t>
            </w:r>
          </w:p>
        </w:tc>
        <w:tc>
          <w:tcPr>
            <w:tcW w:w="1645" w:type="dxa"/>
            <w:tcBorders>
              <w:top w:val="nil"/>
              <w:bottom w:val="nil"/>
            </w:tcBorders>
            <w:shd w:val="clear" w:color="auto" w:fill="FFFFFF"/>
            <w:vAlign w:val="center"/>
          </w:tcPr>
          <w:p w14:paraId="6B66116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.460</w:t>
            </w:r>
          </w:p>
        </w:tc>
        <w:tc>
          <w:tcPr>
            <w:tcW w:w="1129" w:type="dxa"/>
            <w:tcBorders>
              <w:top w:val="nil"/>
              <w:bottom w:val="nil"/>
            </w:tcBorders>
            <w:shd w:val="clear" w:color="auto" w:fill="FFFFFF"/>
            <w:vAlign w:val="center"/>
          </w:tcPr>
          <w:p w14:paraId="45B60D5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6.575</w:t>
            </w:r>
          </w:p>
        </w:tc>
        <w:tc>
          <w:tcPr>
            <w:tcW w:w="1425" w:type="dxa"/>
            <w:tcBorders>
              <w:top w:val="nil"/>
              <w:bottom w:val="nil"/>
              <w:right w:val="single" w:sz="16" w:space="0" w:color="000000"/>
            </w:tcBorders>
            <w:shd w:val="clear" w:color="auto" w:fill="FFFFFF"/>
            <w:vAlign w:val="center"/>
          </w:tcPr>
          <w:p w14:paraId="742B48C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535D41AB" w14:textId="77777777" w:rsidTr="0004526B">
        <w:trPr>
          <w:cantSplit/>
          <w:trHeight w:val="65"/>
        </w:trPr>
        <w:tc>
          <w:tcPr>
            <w:tcW w:w="821" w:type="dxa"/>
            <w:vMerge/>
            <w:tcBorders>
              <w:top w:val="single" w:sz="16" w:space="0" w:color="000000"/>
              <w:left w:val="single" w:sz="16" w:space="0" w:color="000000"/>
              <w:bottom w:val="single" w:sz="16" w:space="0" w:color="000000"/>
              <w:right w:val="nil"/>
            </w:tcBorders>
            <w:shd w:val="clear" w:color="auto" w:fill="FFFFFF"/>
          </w:tcPr>
          <w:p w14:paraId="3476E90F"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92" w:type="dxa"/>
            <w:tcBorders>
              <w:top w:val="nil"/>
              <w:left w:val="nil"/>
              <w:bottom w:val="nil"/>
              <w:right w:val="single" w:sz="16" w:space="0" w:color="000000"/>
            </w:tcBorders>
            <w:shd w:val="clear" w:color="auto" w:fill="FFFFFF"/>
          </w:tcPr>
          <w:p w14:paraId="50D7ABEE"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SB Account</w:t>
            </w:r>
          </w:p>
        </w:tc>
        <w:tc>
          <w:tcPr>
            <w:tcW w:w="1490" w:type="dxa"/>
            <w:tcBorders>
              <w:top w:val="nil"/>
              <w:left w:val="single" w:sz="16" w:space="0" w:color="000000"/>
              <w:bottom w:val="nil"/>
            </w:tcBorders>
            <w:shd w:val="clear" w:color="auto" w:fill="FFFFFF"/>
            <w:vAlign w:val="center"/>
          </w:tcPr>
          <w:p w14:paraId="7CEBAE3C"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2.101</w:t>
            </w:r>
          </w:p>
        </w:tc>
        <w:tc>
          <w:tcPr>
            <w:tcW w:w="1496" w:type="dxa"/>
            <w:tcBorders>
              <w:top w:val="nil"/>
              <w:bottom w:val="nil"/>
            </w:tcBorders>
            <w:shd w:val="clear" w:color="auto" w:fill="FFFFFF"/>
            <w:vAlign w:val="center"/>
          </w:tcPr>
          <w:p w14:paraId="78883FC3"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.368</w:t>
            </w:r>
          </w:p>
        </w:tc>
        <w:tc>
          <w:tcPr>
            <w:tcW w:w="1645" w:type="dxa"/>
            <w:tcBorders>
              <w:top w:val="nil"/>
              <w:bottom w:val="nil"/>
            </w:tcBorders>
            <w:shd w:val="clear" w:color="auto" w:fill="FFFFFF"/>
            <w:vAlign w:val="center"/>
          </w:tcPr>
          <w:p w14:paraId="1E03015F"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.404</w:t>
            </w:r>
          </w:p>
        </w:tc>
        <w:tc>
          <w:tcPr>
            <w:tcW w:w="1129" w:type="dxa"/>
            <w:tcBorders>
              <w:top w:val="nil"/>
              <w:bottom w:val="nil"/>
            </w:tcBorders>
            <w:shd w:val="clear" w:color="auto" w:fill="FFFFFF"/>
            <w:vAlign w:val="center"/>
          </w:tcPr>
          <w:p w14:paraId="745851C8"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5.702</w:t>
            </w:r>
          </w:p>
        </w:tc>
        <w:tc>
          <w:tcPr>
            <w:tcW w:w="1425" w:type="dxa"/>
            <w:tcBorders>
              <w:top w:val="nil"/>
              <w:bottom w:val="nil"/>
              <w:right w:val="single" w:sz="16" w:space="0" w:color="000000"/>
            </w:tcBorders>
            <w:shd w:val="clear" w:color="auto" w:fill="FFFFFF"/>
            <w:vAlign w:val="center"/>
          </w:tcPr>
          <w:p w14:paraId="7B464F4D"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.000</w:t>
            </w:r>
          </w:p>
        </w:tc>
      </w:tr>
      <w:tr w:rsidR="005C1134" w:rsidRPr="0010152F" w14:paraId="466795E3" w14:textId="77777777" w:rsidTr="0004526B">
        <w:trPr>
          <w:cantSplit/>
          <w:trHeight w:val="34"/>
        </w:trPr>
        <w:tc>
          <w:tcPr>
            <w:tcW w:w="821" w:type="dxa"/>
            <w:vMerge/>
            <w:tcBorders>
              <w:top w:val="single" w:sz="16" w:space="0" w:color="000000"/>
              <w:left w:val="single" w:sz="16" w:space="0" w:color="000000"/>
              <w:bottom w:val="single" w:sz="16" w:space="0" w:color="000000"/>
              <w:right w:val="nil"/>
            </w:tcBorders>
            <w:shd w:val="clear" w:color="auto" w:fill="FFFFFF"/>
          </w:tcPr>
          <w:p w14:paraId="3BAD3156" w14:textId="77777777" w:rsidR="005C1134" w:rsidRPr="0010152F" w:rsidRDefault="005C1134" w:rsidP="0004526B">
            <w:pPr>
              <w:autoSpaceDE w:val="0"/>
              <w:autoSpaceDN w:val="0"/>
              <w:adjustRightInd w:val="0"/>
              <w:rPr>
                <w:rFonts w:ascii="Arial Black" w:hAnsi="Arial Black" w:cstheme="minorHAnsi"/>
                <w:color w:val="000000"/>
                <w:sz w:val="22"/>
                <w:szCs w:val="22"/>
                <w:lang w:val="en-IN"/>
              </w:rPr>
            </w:pPr>
          </w:p>
        </w:tc>
        <w:tc>
          <w:tcPr>
            <w:tcW w:w="1392" w:type="dxa"/>
            <w:tcBorders>
              <w:top w:val="nil"/>
              <w:left w:val="nil"/>
              <w:bottom w:val="single" w:sz="16" w:space="0" w:color="000000"/>
              <w:right w:val="single" w:sz="16" w:space="0" w:color="000000"/>
            </w:tcBorders>
            <w:shd w:val="clear" w:color="auto" w:fill="FFFFFF"/>
          </w:tcPr>
          <w:p w14:paraId="7E4A7F83"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SHG</w:t>
            </w:r>
          </w:p>
        </w:tc>
        <w:tc>
          <w:tcPr>
            <w:tcW w:w="1490" w:type="dxa"/>
            <w:tcBorders>
              <w:top w:val="nil"/>
              <w:left w:val="single" w:sz="16" w:space="0" w:color="000000"/>
              <w:bottom w:val="single" w:sz="16" w:space="0" w:color="000000"/>
            </w:tcBorders>
            <w:shd w:val="clear" w:color="auto" w:fill="FFFFFF"/>
            <w:vAlign w:val="center"/>
          </w:tcPr>
          <w:p w14:paraId="0B0ACB8A"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-.067</w:t>
            </w:r>
          </w:p>
        </w:tc>
        <w:tc>
          <w:tcPr>
            <w:tcW w:w="1496" w:type="dxa"/>
            <w:tcBorders>
              <w:top w:val="nil"/>
              <w:bottom w:val="single" w:sz="16" w:space="0" w:color="000000"/>
            </w:tcBorders>
            <w:shd w:val="clear" w:color="auto" w:fill="FFFFFF"/>
            <w:vAlign w:val="center"/>
          </w:tcPr>
          <w:p w14:paraId="382F25D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.158</w:t>
            </w:r>
          </w:p>
        </w:tc>
        <w:tc>
          <w:tcPr>
            <w:tcW w:w="1645" w:type="dxa"/>
            <w:tcBorders>
              <w:top w:val="nil"/>
              <w:bottom w:val="single" w:sz="16" w:space="0" w:color="000000"/>
            </w:tcBorders>
            <w:shd w:val="clear" w:color="auto" w:fill="FFFFFF"/>
            <w:vAlign w:val="center"/>
          </w:tcPr>
          <w:p w14:paraId="03CC094B"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-.029</w:t>
            </w:r>
          </w:p>
        </w:tc>
        <w:tc>
          <w:tcPr>
            <w:tcW w:w="1129" w:type="dxa"/>
            <w:tcBorders>
              <w:top w:val="nil"/>
              <w:bottom w:val="single" w:sz="16" w:space="0" w:color="000000"/>
            </w:tcBorders>
            <w:shd w:val="clear" w:color="auto" w:fill="FFFFFF"/>
            <w:vAlign w:val="center"/>
          </w:tcPr>
          <w:p w14:paraId="458D47B4"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-.421</w:t>
            </w:r>
          </w:p>
        </w:tc>
        <w:tc>
          <w:tcPr>
            <w:tcW w:w="1425" w:type="dxa"/>
            <w:tcBorders>
              <w:top w:val="nil"/>
              <w:bottom w:val="single" w:sz="16" w:space="0" w:color="000000"/>
              <w:right w:val="single" w:sz="16" w:space="0" w:color="000000"/>
            </w:tcBorders>
            <w:shd w:val="clear" w:color="auto" w:fill="FFFFFF"/>
            <w:vAlign w:val="center"/>
          </w:tcPr>
          <w:p w14:paraId="5804ACD7" w14:textId="77777777" w:rsidR="005C1134" w:rsidRPr="0010152F" w:rsidRDefault="005C1134" w:rsidP="0004526B">
            <w:pPr>
              <w:autoSpaceDE w:val="0"/>
              <w:autoSpaceDN w:val="0"/>
              <w:adjustRightInd w:val="0"/>
              <w:spacing w:line="320" w:lineRule="atLeast"/>
              <w:ind w:left="60" w:right="60"/>
              <w:jc w:val="right"/>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.675</w:t>
            </w:r>
          </w:p>
        </w:tc>
      </w:tr>
      <w:tr w:rsidR="005C1134" w:rsidRPr="0010152F" w14:paraId="7E4BCA1F" w14:textId="77777777" w:rsidTr="0004526B">
        <w:trPr>
          <w:cantSplit/>
          <w:trHeight w:val="157"/>
        </w:trPr>
        <w:tc>
          <w:tcPr>
            <w:tcW w:w="9401" w:type="dxa"/>
            <w:gridSpan w:val="7"/>
            <w:tcBorders>
              <w:top w:val="nil"/>
              <w:left w:val="nil"/>
              <w:bottom w:val="nil"/>
              <w:right w:val="nil"/>
            </w:tcBorders>
            <w:shd w:val="clear" w:color="auto" w:fill="FFFFFF"/>
          </w:tcPr>
          <w:p w14:paraId="0EEE00E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lastRenderedPageBreak/>
              <w:t>a. Dependent Variable: Age</w:t>
            </w:r>
          </w:p>
          <w:p w14:paraId="5BA4824A"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r w:rsidRPr="0010152F">
              <w:rPr>
                <w:rFonts w:ascii="Arial Black" w:hAnsi="Arial Black" w:cstheme="minorHAnsi"/>
                <w:color w:val="000000"/>
                <w:sz w:val="22"/>
                <w:szCs w:val="22"/>
                <w:lang w:val="en-IN"/>
              </w:rPr>
              <w:t xml:space="preserve"> </w:t>
            </w:r>
          </w:p>
          <w:p w14:paraId="512746D2" w14:textId="77777777" w:rsidR="005C1134" w:rsidRPr="0010152F" w:rsidRDefault="005C1134" w:rsidP="0004526B">
            <w:pPr>
              <w:autoSpaceDE w:val="0"/>
              <w:autoSpaceDN w:val="0"/>
              <w:adjustRightInd w:val="0"/>
              <w:spacing w:line="320" w:lineRule="atLeast"/>
              <w:ind w:right="60"/>
              <w:rPr>
                <w:rFonts w:ascii="Arial Black" w:hAnsi="Arial Black" w:cstheme="minorHAnsi"/>
                <w:color w:val="000000"/>
                <w:sz w:val="22"/>
                <w:szCs w:val="22"/>
                <w:lang w:val="en-IN"/>
              </w:rPr>
            </w:pPr>
          </w:p>
          <w:p w14:paraId="6AD4BC61" w14:textId="77777777" w:rsidR="005C1134" w:rsidRPr="0010152F" w:rsidRDefault="005C1134" w:rsidP="0004526B">
            <w:pPr>
              <w:autoSpaceDE w:val="0"/>
              <w:autoSpaceDN w:val="0"/>
              <w:adjustRightInd w:val="0"/>
              <w:spacing w:line="320" w:lineRule="atLeast"/>
              <w:ind w:left="60" w:right="60"/>
              <w:rPr>
                <w:rFonts w:ascii="Arial Black" w:hAnsi="Arial Black" w:cstheme="minorHAnsi"/>
                <w:color w:val="000000"/>
                <w:sz w:val="22"/>
                <w:szCs w:val="22"/>
                <w:lang w:val="en-IN"/>
              </w:rPr>
            </w:pPr>
          </w:p>
        </w:tc>
      </w:tr>
    </w:tbl>
    <w:p w14:paraId="3C961540" w14:textId="77777777" w:rsidR="005C1134" w:rsidRPr="0010152F" w:rsidRDefault="005C1134" w:rsidP="000F74D5">
      <w:pPr>
        <w:autoSpaceDE w:val="0"/>
        <w:autoSpaceDN w:val="0"/>
        <w:adjustRightInd w:val="0"/>
        <w:spacing w:line="320" w:lineRule="atLeast"/>
        <w:ind w:right="60"/>
        <w:rPr>
          <w:rFonts w:ascii="Arial Black" w:hAnsi="Arial Black" w:cstheme="minorHAnsi"/>
          <w:color w:val="000000"/>
          <w:sz w:val="22"/>
          <w:szCs w:val="22"/>
          <w:lang w:val="en-IN"/>
        </w:rPr>
      </w:pPr>
      <w:bookmarkStart w:id="1" w:name="_Hlk186812660"/>
      <w:bookmarkEnd w:id="0"/>
      <w:r w:rsidRPr="0010152F">
        <w:rPr>
          <w:rFonts w:ascii="Arial Black" w:hAnsi="Arial Black" w:cstheme="minorHAnsi"/>
          <w:color w:val="000000"/>
          <w:sz w:val="22"/>
          <w:szCs w:val="22"/>
          <w:lang w:val="en-IN"/>
        </w:rPr>
        <w:t xml:space="preserve">The Independent variables, like E-Shram, Pension, and SB Account, have significantly impacted the age of the women worker, and SHG has less impact on Age. With the above analysis, the study reveals that all the independent variables influence the dependent variables, and we reject the null hypothesis and accept the alternative hypothesis that </w:t>
      </w:r>
      <w:r w:rsidRPr="0010152F">
        <w:rPr>
          <w:rFonts w:ascii="Arial Black" w:hAnsi="Arial Black" w:cstheme="minorHAnsi"/>
          <w:sz w:val="22"/>
          <w:szCs w:val="22"/>
        </w:rPr>
        <w:t>there is a positive impact of social security schemes on female domestic workers.</w:t>
      </w:r>
    </w:p>
    <w:p w14:paraId="64BA1A2E" w14:textId="77777777" w:rsidR="005C1134" w:rsidRPr="0010152F" w:rsidRDefault="000E0D12" w:rsidP="005C1134">
      <w:pPr>
        <w:spacing w:before="240" w:after="240" w:line="360" w:lineRule="auto"/>
        <w:jc w:val="both"/>
        <w:rPr>
          <w:rFonts w:ascii="Arial Black" w:hAnsi="Arial Black" w:cstheme="minorHAnsi"/>
          <w:sz w:val="22"/>
          <w:szCs w:val="22"/>
        </w:rPr>
      </w:pPr>
      <w:r w:rsidRPr="0010152F">
        <w:rPr>
          <w:rFonts w:ascii="Arial Black" w:hAnsi="Arial Black" w:cstheme="minorHAnsi"/>
          <w:b/>
          <w:sz w:val="22"/>
          <w:szCs w:val="22"/>
        </w:rPr>
        <w:t>4</w:t>
      </w:r>
      <w:r w:rsidR="005C1134" w:rsidRPr="0010152F">
        <w:rPr>
          <w:rFonts w:ascii="Arial Black" w:hAnsi="Arial Black" w:cstheme="minorHAnsi"/>
          <w:b/>
          <w:sz w:val="22"/>
          <w:szCs w:val="22"/>
        </w:rPr>
        <w:t>. Findings of the Study</w:t>
      </w:r>
    </w:p>
    <w:bookmarkEnd w:id="1"/>
    <w:p w14:paraId="528B400F"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1.  </w:t>
      </w:r>
      <w:r w:rsidRPr="0010152F">
        <w:rPr>
          <w:rFonts w:ascii="Arial Black" w:hAnsi="Arial Black" w:cstheme="minorHAnsi"/>
          <w:sz w:val="22"/>
          <w:szCs w:val="22"/>
        </w:rPr>
        <w:tab/>
        <w:t>Domestic works are placed in 3</w:t>
      </w:r>
      <w:r w:rsidRPr="0010152F">
        <w:rPr>
          <w:rFonts w:ascii="Arial Black" w:hAnsi="Arial Black" w:cstheme="minorHAnsi"/>
          <w:sz w:val="22"/>
          <w:szCs w:val="22"/>
          <w:vertAlign w:val="superscript"/>
        </w:rPr>
        <w:t>rd</w:t>
      </w:r>
      <w:r w:rsidRPr="0010152F">
        <w:rPr>
          <w:rFonts w:ascii="Arial Black" w:hAnsi="Arial Black" w:cstheme="minorHAnsi"/>
          <w:sz w:val="22"/>
          <w:szCs w:val="22"/>
        </w:rPr>
        <w:t xml:space="preserve"> position in the work category, followed by agriculture and construction.</w:t>
      </w:r>
    </w:p>
    <w:p w14:paraId="43256820"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2.  </w:t>
      </w:r>
      <w:r w:rsidRPr="0010152F">
        <w:rPr>
          <w:rFonts w:ascii="Arial Black" w:hAnsi="Arial Black" w:cstheme="minorHAnsi"/>
          <w:sz w:val="22"/>
          <w:szCs w:val="22"/>
        </w:rPr>
        <w:tab/>
        <w:t>All labour regulations in India about the legal rights and limitations of workers must strictly comply with the rules of the Constitution of India.</w:t>
      </w:r>
    </w:p>
    <w:p w14:paraId="0D1863F4"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3.  </w:t>
      </w:r>
      <w:r w:rsidRPr="0010152F">
        <w:rPr>
          <w:rFonts w:ascii="Arial Black" w:hAnsi="Arial Black" w:cstheme="minorHAnsi"/>
          <w:sz w:val="22"/>
          <w:szCs w:val="22"/>
        </w:rPr>
        <w:tab/>
        <w:t xml:space="preserve"> It is crucial to protect workers' rights, and the significance of acknowledging the value of work is explicitly stated in Part III and Part IV.</w:t>
      </w:r>
    </w:p>
    <w:p w14:paraId="7BBF3053"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4.      The constitutional guarantee of equality, as articulated in Articles 14, 15, and 16, aims to provide equality for all individuals, including those who belong to particularly disadvantaged groups.</w:t>
      </w:r>
    </w:p>
    <w:p w14:paraId="70ADD231"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5.      Domestic workers are not covered under the Minimum Wages Act of 1948. However, few states have made </w:t>
      </w:r>
      <w:r w:rsidRPr="0010152F">
        <w:rPr>
          <w:rFonts w:ascii="Arial Black" w:hAnsi="Arial Black" w:cstheme="minorHAnsi"/>
          <w:sz w:val="22"/>
          <w:szCs w:val="22"/>
        </w:rPr>
        <w:lastRenderedPageBreak/>
        <w:t>amendments by establishing specific minimum pay rates for domestic workers.</w:t>
      </w:r>
    </w:p>
    <w:p w14:paraId="57658D52"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6.  The Child Labour (Prohibition and Regulation) Act of 1986 prevents the hiring of children under the age of 14 in specific jobs.</w:t>
      </w:r>
    </w:p>
    <w:p w14:paraId="6DEB75CD"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7.  Domestic workers and their families are eligible for the health insurance coverage offered to Below Poverty Line (BPL) households under the National Health Insurance </w:t>
      </w:r>
      <w:proofErr w:type="spellStart"/>
      <w:r w:rsidRPr="0010152F">
        <w:rPr>
          <w:rFonts w:ascii="Arial Black" w:hAnsi="Arial Black" w:cstheme="minorHAnsi"/>
          <w:sz w:val="22"/>
          <w:szCs w:val="22"/>
        </w:rPr>
        <w:t>Programme</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Rashtriya</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Swasthya</w:t>
      </w:r>
      <w:proofErr w:type="spellEnd"/>
      <w:r w:rsidRPr="0010152F">
        <w:rPr>
          <w:rFonts w:ascii="Arial Black" w:hAnsi="Arial Black" w:cstheme="minorHAnsi"/>
          <w:sz w:val="22"/>
          <w:szCs w:val="22"/>
        </w:rPr>
        <w:t xml:space="preserve"> </w:t>
      </w:r>
      <w:proofErr w:type="spellStart"/>
      <w:r w:rsidRPr="0010152F">
        <w:rPr>
          <w:rFonts w:ascii="Arial Black" w:hAnsi="Arial Black" w:cstheme="minorHAnsi"/>
          <w:sz w:val="22"/>
          <w:szCs w:val="22"/>
        </w:rPr>
        <w:t>Bima</w:t>
      </w:r>
      <w:proofErr w:type="spellEnd"/>
      <w:r w:rsidRPr="0010152F">
        <w:rPr>
          <w:rFonts w:ascii="Arial Black" w:hAnsi="Arial Black" w:cstheme="minorHAnsi"/>
          <w:sz w:val="22"/>
          <w:szCs w:val="22"/>
        </w:rPr>
        <w:t xml:space="preserve"> Yojana), created in 2007.</w:t>
      </w:r>
    </w:p>
    <w:p w14:paraId="7D1332B4"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8.  Many Social awareness schemes were launched by the government to protect the interests of informal workers.</w:t>
      </w:r>
    </w:p>
    <w:p w14:paraId="648D1FB2"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9.   The study finds that the majority of female domestic workers belong to the middle age group of 35 to 45 years of age.</w:t>
      </w:r>
    </w:p>
    <w:p w14:paraId="1505D6B2"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10.  The survey also found that the minimum salary is 2500 rupees and the maximum is 6000 rupees, based on the family and house size.</w:t>
      </w:r>
    </w:p>
    <w:p w14:paraId="1C0A14C7" w14:textId="77777777" w:rsidR="005C1134" w:rsidRPr="0010152F" w:rsidRDefault="005C1134" w:rsidP="005C1134">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 xml:space="preserve">11. </w:t>
      </w:r>
      <w:r w:rsidR="00E93319" w:rsidRPr="0010152F">
        <w:rPr>
          <w:rFonts w:ascii="Arial Black" w:hAnsi="Arial Black" w:cstheme="minorHAnsi"/>
          <w:sz w:val="22"/>
          <w:szCs w:val="22"/>
        </w:rPr>
        <w:t>Many of the domestic workers are migrant women</w:t>
      </w:r>
      <w:r w:rsidRPr="0010152F">
        <w:rPr>
          <w:rFonts w:ascii="Arial Black" w:hAnsi="Arial Black" w:cstheme="minorHAnsi"/>
          <w:sz w:val="22"/>
          <w:szCs w:val="22"/>
        </w:rPr>
        <w:t>.</w:t>
      </w:r>
    </w:p>
    <w:p w14:paraId="49CBCCEA" w14:textId="77777777" w:rsidR="005C1134" w:rsidRPr="0010152F" w:rsidRDefault="005C1134" w:rsidP="000F74D5">
      <w:pPr>
        <w:spacing w:before="240" w:after="240" w:line="360" w:lineRule="auto"/>
        <w:ind w:left="1000" w:hanging="360"/>
        <w:jc w:val="both"/>
        <w:rPr>
          <w:rFonts w:ascii="Arial Black" w:hAnsi="Arial Black" w:cstheme="minorHAnsi"/>
          <w:sz w:val="22"/>
          <w:szCs w:val="22"/>
        </w:rPr>
      </w:pPr>
      <w:r w:rsidRPr="0010152F">
        <w:rPr>
          <w:rFonts w:ascii="Arial Black" w:hAnsi="Arial Black" w:cstheme="minorHAnsi"/>
          <w:sz w:val="22"/>
          <w:szCs w:val="22"/>
        </w:rPr>
        <w:t>12.  The Social Security Schemes of the Government and Legal Protections Acts have a positive impact on women domestic workers in their socioeconomic conditions.</w:t>
      </w:r>
    </w:p>
    <w:p w14:paraId="2A8116CF" w14:textId="77777777" w:rsidR="005C1134" w:rsidRPr="0010152F" w:rsidRDefault="000E0D12" w:rsidP="005C1134">
      <w:pPr>
        <w:spacing w:before="240" w:after="240" w:line="360" w:lineRule="auto"/>
        <w:rPr>
          <w:rFonts w:ascii="Arial Black" w:hAnsi="Arial Black" w:cstheme="minorHAnsi"/>
          <w:b/>
          <w:sz w:val="22"/>
          <w:szCs w:val="22"/>
        </w:rPr>
      </w:pPr>
      <w:bookmarkStart w:id="2" w:name="_Hlk186812675"/>
      <w:r w:rsidRPr="0010152F">
        <w:rPr>
          <w:rFonts w:ascii="Arial Black" w:hAnsi="Arial Black" w:cstheme="minorHAnsi"/>
          <w:b/>
          <w:sz w:val="22"/>
          <w:szCs w:val="22"/>
        </w:rPr>
        <w:lastRenderedPageBreak/>
        <w:t>5</w:t>
      </w:r>
      <w:r w:rsidR="005C1134" w:rsidRPr="0010152F">
        <w:rPr>
          <w:rFonts w:ascii="Arial Black" w:hAnsi="Arial Black" w:cstheme="minorHAnsi"/>
          <w:b/>
          <w:sz w:val="22"/>
          <w:szCs w:val="22"/>
        </w:rPr>
        <w:t>. Limitations</w:t>
      </w:r>
    </w:p>
    <w:bookmarkEnd w:id="2"/>
    <w:p w14:paraId="3554C8F5"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b/>
          <w:sz w:val="22"/>
          <w:szCs w:val="22"/>
        </w:rPr>
        <w:t xml:space="preserve"> </w:t>
      </w:r>
      <w:r w:rsidRPr="0010152F">
        <w:rPr>
          <w:rFonts w:ascii="Arial Black" w:hAnsi="Arial Black" w:cstheme="minorHAnsi"/>
          <w:sz w:val="22"/>
          <w:szCs w:val="22"/>
        </w:rPr>
        <w:t>The study is limited to domestic women workers, who visit different houses as per the time scheduled to clean and wash houses (Domestic Help), and it is limited to Bengaluru Urban only.</w:t>
      </w:r>
    </w:p>
    <w:p w14:paraId="10AE3CF8" w14:textId="77777777" w:rsidR="005C1134" w:rsidRPr="0010152F" w:rsidRDefault="00387A25" w:rsidP="005C1134">
      <w:pPr>
        <w:tabs>
          <w:tab w:val="left" w:pos="360"/>
        </w:tabs>
        <w:spacing w:before="240" w:after="240" w:line="360" w:lineRule="auto"/>
        <w:ind w:left="270" w:hanging="360"/>
        <w:jc w:val="both"/>
        <w:rPr>
          <w:rFonts w:ascii="Arial Black" w:hAnsi="Arial Black" w:cstheme="minorHAnsi"/>
          <w:b/>
          <w:sz w:val="22"/>
          <w:szCs w:val="22"/>
        </w:rPr>
      </w:pPr>
      <w:bookmarkStart w:id="3" w:name="_Hlk186812686"/>
      <w:r w:rsidRPr="0010152F">
        <w:rPr>
          <w:rFonts w:ascii="Arial Black" w:hAnsi="Arial Black" w:cstheme="minorHAnsi"/>
          <w:b/>
          <w:sz w:val="22"/>
          <w:szCs w:val="22"/>
        </w:rPr>
        <w:t>6</w:t>
      </w:r>
      <w:r w:rsidR="005C1134" w:rsidRPr="0010152F">
        <w:rPr>
          <w:rFonts w:ascii="Arial Black" w:hAnsi="Arial Black" w:cstheme="minorHAnsi"/>
          <w:b/>
          <w:sz w:val="22"/>
          <w:szCs w:val="22"/>
        </w:rPr>
        <w:t>. Conclusion</w:t>
      </w:r>
    </w:p>
    <w:p w14:paraId="0765A108" w14:textId="77777777" w:rsidR="005C1134" w:rsidRPr="0010152F" w:rsidRDefault="005C1134" w:rsidP="005C1134">
      <w:pPr>
        <w:spacing w:before="240" w:after="240" w:line="360" w:lineRule="auto"/>
        <w:jc w:val="both"/>
        <w:rPr>
          <w:rFonts w:ascii="Arial Black" w:hAnsi="Arial Black" w:cstheme="minorHAnsi"/>
          <w:sz w:val="22"/>
          <w:szCs w:val="22"/>
        </w:rPr>
      </w:pPr>
      <w:r w:rsidRPr="0010152F">
        <w:rPr>
          <w:rFonts w:ascii="Arial Black" w:hAnsi="Arial Black" w:cstheme="minorHAnsi"/>
          <w:sz w:val="22"/>
          <w:szCs w:val="22"/>
        </w:rPr>
        <w:t>The study is based on the most underprivileged workers of the economy, that is, domestic women workers. it is found that they are easily exploited by their husbands, sons, and house owners due to their illiteracy and innocence. The Government of India has introduced Social Security Schemes and Legal Protection Acts to facilitate the unorganised sector, the female domestic workers who are situated in Bengaluru urban have adopted them and are enjoying the benefits.</w:t>
      </w:r>
    </w:p>
    <w:p w14:paraId="60DF6674" w14:textId="77777777" w:rsidR="005C1134" w:rsidRPr="0010152F" w:rsidRDefault="00387A25" w:rsidP="005C1134">
      <w:pPr>
        <w:spacing w:before="240" w:after="240" w:line="360" w:lineRule="auto"/>
        <w:ind w:left="180" w:hanging="360"/>
        <w:jc w:val="both"/>
        <w:rPr>
          <w:rFonts w:ascii="Arial Black" w:hAnsi="Arial Black" w:cstheme="minorHAnsi"/>
          <w:b/>
          <w:sz w:val="22"/>
          <w:szCs w:val="22"/>
        </w:rPr>
      </w:pPr>
      <w:bookmarkStart w:id="4" w:name="_Hlk186812697"/>
      <w:bookmarkEnd w:id="3"/>
      <w:r w:rsidRPr="0010152F">
        <w:rPr>
          <w:rFonts w:ascii="Arial Black" w:hAnsi="Arial Black" w:cstheme="minorHAnsi"/>
          <w:b/>
          <w:sz w:val="22"/>
          <w:szCs w:val="22"/>
        </w:rPr>
        <w:t>7</w:t>
      </w:r>
      <w:r w:rsidR="005C1134" w:rsidRPr="0010152F">
        <w:rPr>
          <w:rFonts w:ascii="Arial Black" w:hAnsi="Arial Black" w:cstheme="minorHAnsi"/>
          <w:b/>
          <w:sz w:val="22"/>
          <w:szCs w:val="22"/>
        </w:rPr>
        <w:t>.</w:t>
      </w:r>
      <w:r w:rsidR="005C1134" w:rsidRPr="0010152F">
        <w:rPr>
          <w:rFonts w:ascii="Arial Black" w:hAnsi="Arial Black" w:cstheme="minorHAnsi"/>
          <w:sz w:val="22"/>
          <w:szCs w:val="22"/>
        </w:rPr>
        <w:t xml:space="preserve">  </w:t>
      </w:r>
      <w:r w:rsidR="005C1134" w:rsidRPr="0010152F">
        <w:rPr>
          <w:rFonts w:ascii="Arial Black" w:hAnsi="Arial Black" w:cstheme="minorHAnsi"/>
          <w:b/>
          <w:sz w:val="22"/>
          <w:szCs w:val="22"/>
        </w:rPr>
        <w:t>Recommendations</w:t>
      </w:r>
    </w:p>
    <w:bookmarkEnd w:id="4"/>
    <w:p w14:paraId="756A52F8" w14:textId="77777777" w:rsidR="005C1134" w:rsidRPr="0010152F" w:rsidRDefault="005C1134" w:rsidP="005C1134">
      <w:pPr>
        <w:spacing w:before="240" w:after="240" w:line="360" w:lineRule="auto"/>
        <w:ind w:left="360"/>
        <w:jc w:val="both"/>
        <w:rPr>
          <w:rFonts w:ascii="Arial Black" w:hAnsi="Arial Black" w:cstheme="minorHAnsi"/>
          <w:sz w:val="22"/>
          <w:szCs w:val="22"/>
        </w:rPr>
      </w:pPr>
      <w:r w:rsidRPr="0010152F">
        <w:rPr>
          <w:rFonts w:ascii="Arial Black" w:hAnsi="Arial Black" w:cstheme="minorHAnsi"/>
          <w:sz w:val="22"/>
          <w:szCs w:val="22"/>
        </w:rPr>
        <w:t>1. Awareness about social security schemes should be actively spread among female domestic workers to ensure they can access the benefits available to them.</w:t>
      </w:r>
    </w:p>
    <w:p w14:paraId="0AFDE457" w14:textId="77777777" w:rsidR="005C1134" w:rsidRPr="0010152F" w:rsidRDefault="005C1134" w:rsidP="005C1134">
      <w:pPr>
        <w:spacing w:before="240" w:after="240" w:line="360" w:lineRule="auto"/>
        <w:ind w:left="360"/>
        <w:jc w:val="both"/>
        <w:rPr>
          <w:rFonts w:ascii="Arial Black" w:hAnsi="Arial Black" w:cstheme="minorHAnsi"/>
          <w:sz w:val="22"/>
          <w:szCs w:val="22"/>
        </w:rPr>
      </w:pPr>
      <w:r w:rsidRPr="0010152F">
        <w:rPr>
          <w:rFonts w:ascii="Arial Black" w:hAnsi="Arial Black" w:cstheme="minorHAnsi"/>
          <w:sz w:val="22"/>
          <w:szCs w:val="22"/>
        </w:rPr>
        <w:t>2. Enrollment in government welfare schemes should be made mandatory to enhance the social and economic security of domestic workers.</w:t>
      </w:r>
    </w:p>
    <w:p w14:paraId="492D94FA" w14:textId="77777777" w:rsidR="005C1134" w:rsidRPr="0010152F" w:rsidRDefault="005C1134" w:rsidP="005C1134">
      <w:pPr>
        <w:spacing w:before="240" w:after="240" w:line="360" w:lineRule="auto"/>
        <w:ind w:left="360"/>
        <w:jc w:val="both"/>
        <w:rPr>
          <w:rFonts w:ascii="Arial Black" w:hAnsi="Arial Black" w:cstheme="minorHAnsi"/>
          <w:sz w:val="22"/>
          <w:szCs w:val="22"/>
        </w:rPr>
      </w:pPr>
      <w:r w:rsidRPr="0010152F">
        <w:rPr>
          <w:rFonts w:ascii="Arial Black" w:hAnsi="Arial Black" w:cstheme="minorHAnsi"/>
          <w:sz w:val="22"/>
          <w:szCs w:val="22"/>
        </w:rPr>
        <w:t>3. Legal awareness programs, particularly those conducted through colleges as part of NAAC initiatives, should include focused sessions on legal protections for domestic workers.</w:t>
      </w:r>
    </w:p>
    <w:p w14:paraId="276B9258" w14:textId="77777777" w:rsidR="00387A25" w:rsidRPr="0010152F" w:rsidRDefault="00387A25" w:rsidP="00387A25">
      <w:pPr>
        <w:spacing w:before="240" w:after="240" w:line="360" w:lineRule="auto"/>
        <w:ind w:left="-90"/>
        <w:rPr>
          <w:rFonts w:ascii="Arial Black" w:hAnsi="Arial Black"/>
          <w:b/>
          <w:sz w:val="22"/>
          <w:szCs w:val="22"/>
        </w:rPr>
      </w:pPr>
      <w:bookmarkStart w:id="5" w:name="_GoBack"/>
      <w:bookmarkEnd w:id="5"/>
      <w:proofErr w:type="gramStart"/>
      <w:r w:rsidRPr="0010152F">
        <w:rPr>
          <w:rFonts w:ascii="Arial Black" w:hAnsi="Arial Black"/>
          <w:b/>
          <w:sz w:val="22"/>
          <w:szCs w:val="22"/>
        </w:rPr>
        <w:lastRenderedPageBreak/>
        <w:t>9</w:t>
      </w:r>
      <w:r w:rsidRPr="0010152F">
        <w:rPr>
          <w:rFonts w:ascii="Arial Black" w:hAnsi="Arial Black"/>
          <w:sz w:val="22"/>
          <w:szCs w:val="22"/>
        </w:rPr>
        <w:t xml:space="preserve">  </w:t>
      </w:r>
      <w:r w:rsidRPr="0010152F">
        <w:rPr>
          <w:rFonts w:ascii="Arial Black" w:hAnsi="Arial Black"/>
          <w:b/>
          <w:sz w:val="22"/>
          <w:szCs w:val="22"/>
        </w:rPr>
        <w:t>References</w:t>
      </w:r>
      <w:proofErr w:type="gramEnd"/>
    </w:p>
    <w:sdt>
      <w:sdtPr>
        <w:rPr>
          <w:rFonts w:ascii="Arial Black" w:hAnsi="Arial Black"/>
          <w:b/>
          <w:sz w:val="22"/>
          <w:szCs w:val="22"/>
        </w:rPr>
        <w:tag w:val="MENDELEY_BIBLIOGRAPHY"/>
        <w:id w:val="-1714726083"/>
        <w:placeholder>
          <w:docPart w:val="B37CA56BB8FB43DDA6EE4042A836CBA1"/>
        </w:placeholder>
      </w:sdtPr>
      <w:sdtEndPr/>
      <w:sdtContent>
        <w:p w14:paraId="64DA056B" w14:textId="77777777" w:rsidR="00387A25" w:rsidRPr="0010152F" w:rsidRDefault="00387A25" w:rsidP="00387A25">
          <w:pPr>
            <w:autoSpaceDE w:val="0"/>
            <w:autoSpaceDN w:val="0"/>
            <w:ind w:hanging="480"/>
            <w:rPr>
              <w:rFonts w:ascii="Arial Black" w:hAnsi="Arial Black"/>
              <w:sz w:val="22"/>
              <w:szCs w:val="22"/>
            </w:rPr>
          </w:pPr>
        </w:p>
        <w:p w14:paraId="1B0ED6B4"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Agarwala, R., &amp; Saha, S. (2018). The Employment Relationship and Movement Strategies among Domestic Workers in India. </w:t>
          </w:r>
          <w:r w:rsidRPr="0010152F">
            <w:rPr>
              <w:rFonts w:ascii="Arial Black" w:hAnsi="Arial Black"/>
              <w:i/>
              <w:iCs/>
              <w:sz w:val="22"/>
              <w:szCs w:val="22"/>
            </w:rPr>
            <w:t>Critical Sociology</w:t>
          </w:r>
          <w:r w:rsidRPr="0010152F">
            <w:rPr>
              <w:rFonts w:ascii="Arial Black" w:hAnsi="Arial Black"/>
              <w:sz w:val="22"/>
              <w:szCs w:val="22"/>
            </w:rPr>
            <w:t xml:space="preserve">, </w:t>
          </w:r>
          <w:r w:rsidRPr="0010152F">
            <w:rPr>
              <w:rFonts w:ascii="Arial Black" w:hAnsi="Arial Black"/>
              <w:i/>
              <w:iCs/>
              <w:sz w:val="22"/>
              <w:szCs w:val="22"/>
            </w:rPr>
            <w:t>44</w:t>
          </w:r>
          <w:r w:rsidRPr="0010152F">
            <w:rPr>
              <w:rFonts w:ascii="Arial Black" w:hAnsi="Arial Black"/>
              <w:sz w:val="22"/>
              <w:szCs w:val="22"/>
            </w:rPr>
            <w:t xml:space="preserve">(7–8), 1207–1223. </w:t>
          </w:r>
          <w:hyperlink r:id="rId13" w:history="1">
            <w:r w:rsidRPr="0010152F">
              <w:rPr>
                <w:rStyle w:val="Hyperlink"/>
                <w:rFonts w:ascii="Arial Black" w:hAnsi="Arial Black"/>
                <w:sz w:val="22"/>
                <w:szCs w:val="22"/>
              </w:rPr>
              <w:t>https://doi.org/10.1177/0896920518765925</w:t>
            </w:r>
          </w:hyperlink>
          <w:r w:rsidRPr="0010152F">
            <w:rPr>
              <w:rFonts w:ascii="Arial Black" w:hAnsi="Arial Black"/>
              <w:sz w:val="22"/>
              <w:szCs w:val="22"/>
            </w:rPr>
            <w:t xml:space="preserve"> </w:t>
          </w:r>
        </w:p>
        <w:p w14:paraId="234F8265"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Augustine, R., &amp; Singh, Dr. R. K. (2016). Condition &amp; Problems of Female Domestic Workers (With Special Reference to L.D.A. Colony in Lucknow City, India). </w:t>
          </w:r>
          <w:r w:rsidRPr="0010152F">
            <w:rPr>
              <w:rFonts w:ascii="Arial Black" w:hAnsi="Arial Black"/>
              <w:i/>
              <w:iCs/>
              <w:sz w:val="22"/>
              <w:szCs w:val="22"/>
            </w:rPr>
            <w:t>Journal of Sociology and Social Work</w:t>
          </w:r>
          <w:r w:rsidRPr="0010152F">
            <w:rPr>
              <w:rFonts w:ascii="Arial Black" w:hAnsi="Arial Black"/>
              <w:sz w:val="22"/>
              <w:szCs w:val="22"/>
            </w:rPr>
            <w:t xml:space="preserve">, </w:t>
          </w:r>
          <w:r w:rsidRPr="0010152F">
            <w:rPr>
              <w:rFonts w:ascii="Arial Black" w:hAnsi="Arial Black"/>
              <w:i/>
              <w:iCs/>
              <w:sz w:val="22"/>
              <w:szCs w:val="22"/>
            </w:rPr>
            <w:t>4</w:t>
          </w:r>
          <w:r w:rsidRPr="0010152F">
            <w:rPr>
              <w:rFonts w:ascii="Arial Black" w:hAnsi="Arial Black"/>
              <w:sz w:val="22"/>
              <w:szCs w:val="22"/>
            </w:rPr>
            <w:t xml:space="preserve">(2). </w:t>
          </w:r>
          <w:hyperlink r:id="rId14" w:history="1">
            <w:r w:rsidRPr="0010152F">
              <w:rPr>
                <w:rStyle w:val="Hyperlink"/>
                <w:rFonts w:ascii="Arial Black" w:hAnsi="Arial Black"/>
                <w:sz w:val="22"/>
                <w:szCs w:val="22"/>
              </w:rPr>
              <w:t>https://doi.org/10.15640/jssw.v4n2a11</w:t>
            </w:r>
          </w:hyperlink>
          <w:r w:rsidRPr="0010152F">
            <w:rPr>
              <w:rFonts w:ascii="Arial Black" w:hAnsi="Arial Black"/>
              <w:sz w:val="22"/>
              <w:szCs w:val="22"/>
            </w:rPr>
            <w:t xml:space="preserve"> </w:t>
          </w:r>
        </w:p>
        <w:p w14:paraId="3C4A2FB6"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Bhattacharjee, S., &amp; Goswami, B. (2020). Female Domestic Workers: Income Determinants and Empowerment Correlates—A Case Study. </w:t>
          </w:r>
          <w:r w:rsidRPr="0010152F">
            <w:rPr>
              <w:rFonts w:ascii="Arial Black" w:hAnsi="Arial Black"/>
              <w:i/>
              <w:iCs/>
              <w:sz w:val="22"/>
              <w:szCs w:val="22"/>
            </w:rPr>
            <w:t>Indian Journal of Labour Economics</w:t>
          </w:r>
          <w:r w:rsidRPr="0010152F">
            <w:rPr>
              <w:rFonts w:ascii="Arial Black" w:hAnsi="Arial Black"/>
              <w:sz w:val="22"/>
              <w:szCs w:val="22"/>
            </w:rPr>
            <w:t xml:space="preserve">, </w:t>
          </w:r>
          <w:r w:rsidRPr="0010152F">
            <w:rPr>
              <w:rFonts w:ascii="Arial Black" w:hAnsi="Arial Black"/>
              <w:i/>
              <w:iCs/>
              <w:sz w:val="22"/>
              <w:szCs w:val="22"/>
            </w:rPr>
            <w:t>63</w:t>
          </w:r>
          <w:r w:rsidRPr="0010152F">
            <w:rPr>
              <w:rFonts w:ascii="Arial Black" w:hAnsi="Arial Black"/>
              <w:sz w:val="22"/>
              <w:szCs w:val="22"/>
            </w:rPr>
            <w:t xml:space="preserve">(2), 483–498. </w:t>
          </w:r>
          <w:hyperlink r:id="rId15" w:history="1">
            <w:r w:rsidRPr="0010152F">
              <w:rPr>
                <w:rStyle w:val="Hyperlink"/>
                <w:rFonts w:ascii="Arial Black" w:hAnsi="Arial Black"/>
                <w:sz w:val="22"/>
                <w:szCs w:val="22"/>
              </w:rPr>
              <w:t>https://doi.org/10.1007/s41027-020-00223-8</w:t>
            </w:r>
          </w:hyperlink>
          <w:r w:rsidRPr="0010152F">
            <w:rPr>
              <w:rFonts w:ascii="Arial Black" w:hAnsi="Arial Black"/>
              <w:sz w:val="22"/>
              <w:szCs w:val="22"/>
            </w:rPr>
            <w:t xml:space="preserve"> </w:t>
          </w:r>
        </w:p>
        <w:p w14:paraId="05153CDA"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Cheng, S.-J. A. (1996). Migrant Women Domestic Workers in Hong Kong, Singapore and Taiwan: A Comparative Analysis. In </w:t>
          </w:r>
          <w:r w:rsidRPr="0010152F">
            <w:rPr>
              <w:rFonts w:ascii="Arial Black" w:hAnsi="Arial Black"/>
              <w:i/>
              <w:iCs/>
              <w:sz w:val="22"/>
              <w:szCs w:val="22"/>
            </w:rPr>
            <w:t>Asian and Pacific Migration Journal</w:t>
          </w:r>
          <w:r w:rsidRPr="0010152F">
            <w:rPr>
              <w:rFonts w:ascii="Arial Black" w:hAnsi="Arial Black"/>
              <w:sz w:val="22"/>
              <w:szCs w:val="22"/>
            </w:rPr>
            <w:t xml:space="preserve"> (Vol. 5, Issue 1).</w:t>
          </w:r>
        </w:p>
        <w:p w14:paraId="1ACC219B"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Dar, J. A., Ahmad, J., &amp; Student, D. (2014). Socio-Economic Conditions of Female Domestic Workers in Punjab: A Case Study of Sangrur District. </w:t>
          </w:r>
          <w:r w:rsidRPr="0010152F">
            <w:rPr>
              <w:rFonts w:ascii="Arial Black" w:hAnsi="Arial Black"/>
              <w:i/>
              <w:iCs/>
              <w:sz w:val="22"/>
              <w:szCs w:val="22"/>
            </w:rPr>
            <w:t>Research J. Humanities and Social Sciences</w:t>
          </w:r>
          <w:r w:rsidRPr="0010152F">
            <w:rPr>
              <w:rFonts w:ascii="Arial Black" w:hAnsi="Arial Black"/>
              <w:sz w:val="22"/>
              <w:szCs w:val="22"/>
            </w:rPr>
            <w:t xml:space="preserve">, </w:t>
          </w:r>
          <w:r w:rsidRPr="0010152F">
            <w:rPr>
              <w:rFonts w:ascii="Arial Black" w:hAnsi="Arial Black"/>
              <w:i/>
              <w:iCs/>
              <w:sz w:val="22"/>
              <w:szCs w:val="22"/>
            </w:rPr>
            <w:t>5</w:t>
          </w:r>
          <w:r w:rsidRPr="0010152F">
            <w:rPr>
              <w:rFonts w:ascii="Arial Black" w:hAnsi="Arial Black"/>
              <w:sz w:val="22"/>
              <w:szCs w:val="22"/>
            </w:rPr>
            <w:t xml:space="preserve">(1), 120–128. </w:t>
          </w:r>
        </w:p>
        <w:p w14:paraId="243209CF"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Fernandez, B. (2010). Cheap and disposable? The impact of the global economic crisis on the migration of Ethiopian women domestic workers to the Gulf. </w:t>
          </w:r>
          <w:r w:rsidRPr="0010152F">
            <w:rPr>
              <w:rFonts w:ascii="Arial Black" w:hAnsi="Arial Black"/>
              <w:i/>
              <w:iCs/>
              <w:sz w:val="22"/>
              <w:szCs w:val="22"/>
            </w:rPr>
            <w:t>Gender and Development</w:t>
          </w:r>
          <w:r w:rsidRPr="0010152F">
            <w:rPr>
              <w:rFonts w:ascii="Arial Black" w:hAnsi="Arial Black"/>
              <w:sz w:val="22"/>
              <w:szCs w:val="22"/>
            </w:rPr>
            <w:t xml:space="preserve">, </w:t>
          </w:r>
          <w:r w:rsidRPr="0010152F">
            <w:rPr>
              <w:rFonts w:ascii="Arial Black" w:hAnsi="Arial Black"/>
              <w:i/>
              <w:iCs/>
              <w:sz w:val="22"/>
              <w:szCs w:val="22"/>
            </w:rPr>
            <w:t>18</w:t>
          </w:r>
          <w:r w:rsidRPr="0010152F">
            <w:rPr>
              <w:rFonts w:ascii="Arial Black" w:hAnsi="Arial Black"/>
              <w:sz w:val="22"/>
              <w:szCs w:val="22"/>
            </w:rPr>
            <w:t xml:space="preserve">(2), 249–262. </w:t>
          </w:r>
          <w:hyperlink r:id="rId16" w:history="1">
            <w:r w:rsidRPr="0010152F">
              <w:rPr>
                <w:rStyle w:val="Hyperlink"/>
                <w:rFonts w:ascii="Arial Black" w:hAnsi="Arial Black"/>
                <w:sz w:val="22"/>
                <w:szCs w:val="22"/>
              </w:rPr>
              <w:t>https://doi.org/10.1080/13552074.2010.491335</w:t>
            </w:r>
          </w:hyperlink>
          <w:r w:rsidRPr="0010152F">
            <w:rPr>
              <w:rFonts w:ascii="Arial Black" w:hAnsi="Arial Black"/>
              <w:sz w:val="22"/>
              <w:szCs w:val="22"/>
            </w:rPr>
            <w:t xml:space="preserve"> </w:t>
          </w:r>
        </w:p>
        <w:p w14:paraId="2EAEFD27"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Ghosh, A. (2021). Recognizing invisible work: The women domestic workers’ movement in Bangladesh. </w:t>
          </w:r>
          <w:r w:rsidRPr="0010152F">
            <w:rPr>
              <w:rFonts w:ascii="Arial Black" w:hAnsi="Arial Black"/>
              <w:i/>
              <w:iCs/>
              <w:sz w:val="22"/>
              <w:szCs w:val="22"/>
            </w:rPr>
            <w:t>Asian Journal of Women’s Studies</w:t>
          </w:r>
          <w:r w:rsidRPr="0010152F">
            <w:rPr>
              <w:rFonts w:ascii="Arial Black" w:hAnsi="Arial Black"/>
              <w:sz w:val="22"/>
              <w:szCs w:val="22"/>
            </w:rPr>
            <w:t xml:space="preserve">, </w:t>
          </w:r>
          <w:r w:rsidRPr="0010152F">
            <w:rPr>
              <w:rFonts w:ascii="Arial Black" w:hAnsi="Arial Black"/>
              <w:i/>
              <w:iCs/>
              <w:sz w:val="22"/>
              <w:szCs w:val="22"/>
            </w:rPr>
            <w:t>27</w:t>
          </w:r>
          <w:r w:rsidRPr="0010152F">
            <w:rPr>
              <w:rFonts w:ascii="Arial Black" w:hAnsi="Arial Black"/>
              <w:sz w:val="22"/>
              <w:szCs w:val="22"/>
            </w:rPr>
            <w:t xml:space="preserve">(3), 384–405. </w:t>
          </w:r>
          <w:hyperlink r:id="rId17" w:history="1">
            <w:r w:rsidRPr="0010152F">
              <w:rPr>
                <w:rStyle w:val="Hyperlink"/>
                <w:rFonts w:ascii="Arial Black" w:hAnsi="Arial Black"/>
                <w:sz w:val="22"/>
                <w:szCs w:val="22"/>
              </w:rPr>
              <w:t>https://doi.org/10.1080/12259276.2021.1965365</w:t>
            </w:r>
          </w:hyperlink>
          <w:r w:rsidRPr="0010152F">
            <w:rPr>
              <w:rFonts w:ascii="Arial Black" w:hAnsi="Arial Black"/>
              <w:sz w:val="22"/>
              <w:szCs w:val="22"/>
            </w:rPr>
            <w:t xml:space="preserve"> </w:t>
          </w:r>
        </w:p>
        <w:p w14:paraId="0A32886E"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Grossman, A. S. (1980). Women in domestic work: yesterday and today. In </w:t>
          </w:r>
          <w:r w:rsidRPr="0010152F">
            <w:rPr>
              <w:rFonts w:ascii="Arial Black" w:hAnsi="Arial Black"/>
              <w:i/>
              <w:iCs/>
              <w:sz w:val="22"/>
              <w:szCs w:val="22"/>
            </w:rPr>
            <w:t>Review</w:t>
          </w:r>
          <w:r w:rsidRPr="0010152F">
            <w:rPr>
              <w:rFonts w:ascii="Arial Black" w:hAnsi="Arial Black"/>
              <w:sz w:val="22"/>
              <w:szCs w:val="22"/>
            </w:rPr>
            <w:t xml:space="preserve"> (Vol. 103, Issue 8). </w:t>
          </w:r>
          <w:hyperlink r:id="rId18" w:history="1">
            <w:r w:rsidRPr="0010152F">
              <w:rPr>
                <w:rStyle w:val="Hyperlink"/>
                <w:rFonts w:ascii="Arial Black" w:hAnsi="Arial Black"/>
                <w:sz w:val="22"/>
                <w:szCs w:val="22"/>
              </w:rPr>
              <w:t>https://about.jstor.org/terms</w:t>
            </w:r>
          </w:hyperlink>
          <w:r w:rsidRPr="0010152F">
            <w:rPr>
              <w:rFonts w:ascii="Arial Black" w:hAnsi="Arial Black"/>
              <w:sz w:val="22"/>
              <w:szCs w:val="22"/>
            </w:rPr>
            <w:t xml:space="preserve"> </w:t>
          </w:r>
        </w:p>
        <w:p w14:paraId="4FA88D78"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Gupta, H. (2022). Socioeconomic wellbeing of women domestic workers in Pune: an exploratory study. </w:t>
          </w:r>
          <w:r w:rsidRPr="0010152F">
            <w:rPr>
              <w:rFonts w:ascii="Arial Black" w:hAnsi="Arial Black"/>
              <w:i/>
              <w:iCs/>
              <w:sz w:val="22"/>
              <w:szCs w:val="22"/>
            </w:rPr>
            <w:t>International Journal of Social Economics</w:t>
          </w:r>
          <w:r w:rsidRPr="0010152F">
            <w:rPr>
              <w:rFonts w:ascii="Arial Black" w:hAnsi="Arial Black"/>
              <w:sz w:val="22"/>
              <w:szCs w:val="22"/>
            </w:rPr>
            <w:t xml:space="preserve">, </w:t>
          </w:r>
          <w:r w:rsidRPr="0010152F">
            <w:rPr>
              <w:rFonts w:ascii="Arial Black" w:hAnsi="Arial Black"/>
              <w:i/>
              <w:iCs/>
              <w:sz w:val="22"/>
              <w:szCs w:val="22"/>
            </w:rPr>
            <w:t>49</w:t>
          </w:r>
          <w:r w:rsidRPr="0010152F">
            <w:rPr>
              <w:rFonts w:ascii="Arial Black" w:hAnsi="Arial Black"/>
              <w:sz w:val="22"/>
              <w:szCs w:val="22"/>
            </w:rPr>
            <w:t xml:space="preserve">(8), 1105–1118. </w:t>
          </w:r>
          <w:hyperlink r:id="rId19" w:history="1">
            <w:r w:rsidRPr="0010152F">
              <w:rPr>
                <w:rStyle w:val="Hyperlink"/>
                <w:rFonts w:ascii="Arial Black" w:hAnsi="Arial Black"/>
                <w:sz w:val="22"/>
                <w:szCs w:val="22"/>
              </w:rPr>
              <w:t>https://doi.org/10.1108/IJSE-01-2021-0031</w:t>
            </w:r>
          </w:hyperlink>
          <w:r w:rsidRPr="0010152F">
            <w:rPr>
              <w:rFonts w:ascii="Arial Black" w:hAnsi="Arial Black"/>
              <w:sz w:val="22"/>
              <w:szCs w:val="22"/>
            </w:rPr>
            <w:t xml:space="preserve"> </w:t>
          </w:r>
        </w:p>
        <w:p w14:paraId="10482690"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t>Gurtoo</w:t>
          </w:r>
          <w:proofErr w:type="spellEnd"/>
          <w:r w:rsidRPr="0010152F">
            <w:rPr>
              <w:rFonts w:ascii="Arial Black" w:hAnsi="Arial Black"/>
              <w:sz w:val="22"/>
              <w:szCs w:val="22"/>
            </w:rPr>
            <w:t xml:space="preserve">, A. (2016). Workplace Conditions and Employer Relationships as Predictors of Economic Well-Being: Female Domestic Workers in </w:t>
          </w:r>
          <w:r w:rsidRPr="0010152F">
            <w:rPr>
              <w:rFonts w:ascii="Arial Black" w:hAnsi="Arial Black"/>
              <w:sz w:val="22"/>
              <w:szCs w:val="22"/>
            </w:rPr>
            <w:lastRenderedPageBreak/>
            <w:t xml:space="preserve">India. </w:t>
          </w:r>
          <w:r w:rsidRPr="0010152F">
            <w:rPr>
              <w:rFonts w:ascii="Arial Black" w:hAnsi="Arial Black"/>
              <w:i/>
              <w:iCs/>
              <w:sz w:val="22"/>
              <w:szCs w:val="22"/>
            </w:rPr>
            <w:t>Asian Social Work and Policy Review</w:t>
          </w:r>
          <w:r w:rsidRPr="0010152F">
            <w:rPr>
              <w:rFonts w:ascii="Arial Black" w:hAnsi="Arial Black"/>
              <w:sz w:val="22"/>
              <w:szCs w:val="22"/>
            </w:rPr>
            <w:t xml:space="preserve">, </w:t>
          </w:r>
          <w:r w:rsidRPr="0010152F">
            <w:rPr>
              <w:rFonts w:ascii="Arial Black" w:hAnsi="Arial Black"/>
              <w:i/>
              <w:iCs/>
              <w:sz w:val="22"/>
              <w:szCs w:val="22"/>
            </w:rPr>
            <w:t>10</w:t>
          </w:r>
          <w:r w:rsidRPr="0010152F">
            <w:rPr>
              <w:rFonts w:ascii="Arial Black" w:hAnsi="Arial Black"/>
              <w:sz w:val="22"/>
              <w:szCs w:val="22"/>
            </w:rPr>
            <w:t xml:space="preserve">(1), 61–75. </w:t>
          </w:r>
          <w:hyperlink r:id="rId20" w:history="1">
            <w:r w:rsidRPr="0010152F">
              <w:rPr>
                <w:rStyle w:val="Hyperlink"/>
                <w:rFonts w:ascii="Arial Black" w:hAnsi="Arial Black"/>
                <w:sz w:val="22"/>
                <w:szCs w:val="22"/>
              </w:rPr>
              <w:t>https://doi.org/10.1111/aswp.12076</w:t>
            </w:r>
          </w:hyperlink>
          <w:r w:rsidRPr="0010152F">
            <w:rPr>
              <w:rFonts w:ascii="Arial Black" w:hAnsi="Arial Black"/>
              <w:sz w:val="22"/>
              <w:szCs w:val="22"/>
            </w:rPr>
            <w:t xml:space="preserve"> </w:t>
          </w:r>
        </w:p>
        <w:p w14:paraId="3AFC205B"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Hazarika, B., Ghosh, S., Chattopadhyay, A., Majumder, A., &amp; Kumar, S. (n.d.). </w:t>
          </w:r>
          <w:r w:rsidRPr="0010152F">
            <w:rPr>
              <w:rFonts w:ascii="Arial Black" w:hAnsi="Arial Black"/>
              <w:i/>
              <w:iCs/>
              <w:sz w:val="22"/>
              <w:szCs w:val="22"/>
            </w:rPr>
            <w:t>WOMEN Domestic Workers: Their Life, Problem and Dream Group Work for Survey Research</w:t>
          </w:r>
          <w:r w:rsidRPr="0010152F">
            <w:rPr>
              <w:rFonts w:ascii="Arial Black" w:hAnsi="Arial Black"/>
              <w:sz w:val="22"/>
              <w:szCs w:val="22"/>
            </w:rPr>
            <w:t>.</w:t>
          </w:r>
        </w:p>
        <w:p w14:paraId="757205D1"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highlight w:val="white"/>
            </w:rPr>
            <w:t xml:space="preserve">Hill, E. (2001). Women in the Indian informal economy: Collective strategies for work-life improvement and development. </w:t>
          </w:r>
          <w:r w:rsidRPr="0010152F">
            <w:rPr>
              <w:rFonts w:ascii="Arial Black" w:hAnsi="Arial Black"/>
              <w:i/>
              <w:sz w:val="22"/>
              <w:szCs w:val="22"/>
              <w:highlight w:val="white"/>
            </w:rPr>
            <w:t>Work, Employment and Society</w:t>
          </w:r>
          <w:r w:rsidRPr="0010152F">
            <w:rPr>
              <w:rFonts w:ascii="Arial Black" w:hAnsi="Arial Black"/>
              <w:sz w:val="22"/>
              <w:szCs w:val="22"/>
              <w:highlight w:val="white"/>
            </w:rPr>
            <w:t xml:space="preserve">, </w:t>
          </w:r>
          <w:r w:rsidRPr="0010152F">
            <w:rPr>
              <w:rFonts w:ascii="Arial Black" w:hAnsi="Arial Black"/>
              <w:i/>
              <w:sz w:val="22"/>
              <w:szCs w:val="22"/>
              <w:highlight w:val="white"/>
            </w:rPr>
            <w:t>15</w:t>
          </w:r>
          <w:r w:rsidRPr="0010152F">
            <w:rPr>
              <w:rFonts w:ascii="Arial Black" w:hAnsi="Arial Black"/>
              <w:sz w:val="22"/>
              <w:szCs w:val="22"/>
              <w:highlight w:val="white"/>
            </w:rPr>
            <w:t>(3), 443–464.</w:t>
          </w:r>
          <w:hyperlink r:id="rId21">
            <w:r w:rsidRPr="0010152F">
              <w:rPr>
                <w:rFonts w:ascii="Arial Black" w:hAnsi="Arial Black"/>
                <w:sz w:val="22"/>
                <w:szCs w:val="22"/>
                <w:highlight w:val="white"/>
              </w:rPr>
              <w:t xml:space="preserve"> </w:t>
            </w:r>
          </w:hyperlink>
          <w:hyperlink r:id="rId22">
            <w:r w:rsidRPr="0010152F">
              <w:rPr>
                <w:rFonts w:ascii="Arial Black" w:hAnsi="Arial Black"/>
                <w:color w:val="1155CC"/>
                <w:sz w:val="22"/>
                <w:szCs w:val="22"/>
                <w:highlight w:val="white"/>
                <w:u w:val="single"/>
              </w:rPr>
              <w:t>https://doi.org/10.1177/09500170122119101</w:t>
            </w:r>
          </w:hyperlink>
          <w:r w:rsidRPr="0010152F">
            <w:rPr>
              <w:rFonts w:ascii="Arial Black" w:hAnsi="Arial Black"/>
              <w:sz w:val="22"/>
              <w:szCs w:val="22"/>
              <w:highlight w:val="white"/>
            </w:rPr>
            <w:t>.</w:t>
          </w:r>
        </w:p>
        <w:p w14:paraId="32561D0F" w14:textId="77777777" w:rsidR="00387A25" w:rsidRPr="0010152F" w:rsidRDefault="00387A25" w:rsidP="00387A25">
          <w:pPr>
            <w:autoSpaceDE w:val="0"/>
            <w:autoSpaceDN w:val="0"/>
            <w:ind w:hanging="480"/>
            <w:rPr>
              <w:rFonts w:ascii="Arial Black" w:hAnsi="Arial Black"/>
              <w:sz w:val="22"/>
              <w:szCs w:val="22"/>
            </w:rPr>
          </w:pPr>
        </w:p>
        <w:p w14:paraId="2CA5A549"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Malhotra, R., </w:t>
          </w:r>
          <w:proofErr w:type="spellStart"/>
          <w:r w:rsidRPr="0010152F">
            <w:rPr>
              <w:rFonts w:ascii="Arial Black" w:hAnsi="Arial Black"/>
              <w:sz w:val="22"/>
              <w:szCs w:val="22"/>
            </w:rPr>
            <w:t>Arambepola</w:t>
          </w:r>
          <w:proofErr w:type="spellEnd"/>
          <w:r w:rsidRPr="0010152F">
            <w:rPr>
              <w:rFonts w:ascii="Arial Black" w:hAnsi="Arial Black"/>
              <w:sz w:val="22"/>
              <w:szCs w:val="22"/>
            </w:rPr>
            <w:t xml:space="preserve">, C., Tarun, S., de Silva, V., Kishore, J., &amp; Østbye, T. (2013). Health issues of female foreign domestic workers: A systematic review of the scientific and gray literature. In </w:t>
          </w:r>
          <w:r w:rsidRPr="0010152F">
            <w:rPr>
              <w:rFonts w:ascii="Arial Black" w:hAnsi="Arial Black"/>
              <w:i/>
              <w:iCs/>
              <w:sz w:val="22"/>
              <w:szCs w:val="22"/>
            </w:rPr>
            <w:t>International Journal of Occupational and Environmental Health</w:t>
          </w:r>
          <w:r w:rsidRPr="0010152F">
            <w:rPr>
              <w:rFonts w:ascii="Arial Black" w:hAnsi="Arial Black"/>
              <w:sz w:val="22"/>
              <w:szCs w:val="22"/>
            </w:rPr>
            <w:t xml:space="preserve"> (Vol. 19, Issue 4, pp. 261–277). </w:t>
          </w:r>
          <w:hyperlink r:id="rId23" w:history="1">
            <w:r w:rsidRPr="0010152F">
              <w:rPr>
                <w:rStyle w:val="Hyperlink"/>
                <w:rFonts w:ascii="Arial Black" w:hAnsi="Arial Black"/>
                <w:sz w:val="22"/>
                <w:szCs w:val="22"/>
              </w:rPr>
              <w:t>https://doi.org/10.1179/2049396713Y.0000000041</w:t>
            </w:r>
          </w:hyperlink>
        </w:p>
        <w:p w14:paraId="69C2BD61" w14:textId="77777777" w:rsidR="00387A25" w:rsidRPr="0010152F" w:rsidRDefault="00387A25" w:rsidP="00387A25">
          <w:pPr>
            <w:autoSpaceDE w:val="0"/>
            <w:autoSpaceDN w:val="0"/>
            <w:rPr>
              <w:rFonts w:ascii="Arial Black" w:hAnsi="Arial Black"/>
              <w:sz w:val="22"/>
              <w:szCs w:val="22"/>
            </w:rPr>
          </w:pPr>
        </w:p>
        <w:p w14:paraId="6EE82699"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Neetha, N., &amp; </w:t>
          </w:r>
          <w:proofErr w:type="spellStart"/>
          <w:r w:rsidRPr="0010152F">
            <w:rPr>
              <w:rFonts w:ascii="Arial Black" w:hAnsi="Arial Black"/>
              <w:sz w:val="22"/>
              <w:szCs w:val="22"/>
            </w:rPr>
            <w:t>Palriwala</w:t>
          </w:r>
          <w:proofErr w:type="spellEnd"/>
          <w:r w:rsidRPr="0010152F">
            <w:rPr>
              <w:rFonts w:ascii="Arial Black" w:hAnsi="Arial Black"/>
              <w:sz w:val="22"/>
              <w:szCs w:val="22"/>
            </w:rPr>
            <w:t xml:space="preserve">, R. (2011). The absence of state law: Domestic workers in India. </w:t>
          </w:r>
          <w:r w:rsidRPr="0010152F">
            <w:rPr>
              <w:rFonts w:ascii="Arial Black" w:hAnsi="Arial Black"/>
              <w:i/>
              <w:iCs/>
              <w:sz w:val="22"/>
              <w:szCs w:val="22"/>
            </w:rPr>
            <w:t>Canadian Journal of Women and the Law</w:t>
          </w:r>
          <w:r w:rsidRPr="0010152F">
            <w:rPr>
              <w:rFonts w:ascii="Arial Black" w:hAnsi="Arial Black"/>
              <w:sz w:val="22"/>
              <w:szCs w:val="22"/>
            </w:rPr>
            <w:t xml:space="preserve">, </w:t>
          </w:r>
          <w:r w:rsidRPr="0010152F">
            <w:rPr>
              <w:rFonts w:ascii="Arial Black" w:hAnsi="Arial Black"/>
              <w:i/>
              <w:iCs/>
              <w:sz w:val="22"/>
              <w:szCs w:val="22"/>
            </w:rPr>
            <w:t>23</w:t>
          </w:r>
          <w:r w:rsidRPr="0010152F">
            <w:rPr>
              <w:rFonts w:ascii="Arial Black" w:hAnsi="Arial Black"/>
              <w:sz w:val="22"/>
              <w:szCs w:val="22"/>
            </w:rPr>
            <w:t xml:space="preserve">(1), 97–119. </w:t>
          </w:r>
          <w:hyperlink r:id="rId24" w:history="1">
            <w:r w:rsidRPr="0010152F">
              <w:rPr>
                <w:rStyle w:val="Hyperlink"/>
                <w:rFonts w:ascii="Arial Black" w:hAnsi="Arial Black"/>
                <w:sz w:val="22"/>
                <w:szCs w:val="22"/>
              </w:rPr>
              <w:t>https://doi.org/10.3138/cjwl.23.1.097</w:t>
            </w:r>
          </w:hyperlink>
          <w:r w:rsidRPr="0010152F">
            <w:rPr>
              <w:rFonts w:ascii="Arial Black" w:hAnsi="Arial Black"/>
              <w:sz w:val="22"/>
              <w:szCs w:val="22"/>
            </w:rPr>
            <w:t xml:space="preserve"> </w:t>
          </w:r>
        </w:p>
        <w:p w14:paraId="5B1DBF28"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color w:val="222222"/>
              <w:sz w:val="22"/>
              <w:szCs w:val="22"/>
              <w:shd w:val="clear" w:color="auto" w:fill="FFFFFF"/>
            </w:rPr>
            <w:t>Parameshwara, N. (2016). Sociological study of women domestic workers in Bangalore city. </w:t>
          </w:r>
          <w:r w:rsidRPr="0010152F">
            <w:rPr>
              <w:rFonts w:ascii="Arial Black" w:hAnsi="Arial Black"/>
              <w:i/>
              <w:iCs/>
              <w:color w:val="222222"/>
              <w:sz w:val="22"/>
              <w:szCs w:val="22"/>
              <w:shd w:val="clear" w:color="auto" w:fill="FFFFFF"/>
            </w:rPr>
            <w:t>Social Sciences</w:t>
          </w:r>
          <w:r w:rsidRPr="0010152F">
            <w:rPr>
              <w:rFonts w:ascii="Arial Black" w:hAnsi="Arial Black"/>
              <w:color w:val="222222"/>
              <w:sz w:val="22"/>
              <w:szCs w:val="22"/>
              <w:shd w:val="clear" w:color="auto" w:fill="FFFFFF"/>
            </w:rPr>
            <w:t>, </w:t>
          </w:r>
          <w:r w:rsidRPr="0010152F">
            <w:rPr>
              <w:rFonts w:ascii="Arial Black" w:hAnsi="Arial Black"/>
              <w:i/>
              <w:iCs/>
              <w:color w:val="222222"/>
              <w:sz w:val="22"/>
              <w:szCs w:val="22"/>
              <w:shd w:val="clear" w:color="auto" w:fill="FFFFFF"/>
            </w:rPr>
            <w:t>3</w:t>
          </w:r>
          <w:r w:rsidRPr="0010152F">
            <w:rPr>
              <w:rFonts w:ascii="Arial Black" w:hAnsi="Arial Black"/>
              <w:color w:val="222222"/>
              <w:sz w:val="22"/>
              <w:szCs w:val="22"/>
              <w:shd w:val="clear" w:color="auto" w:fill="FFFFFF"/>
            </w:rPr>
            <w:t>(03), 2016.</w:t>
          </w:r>
        </w:p>
        <w:p w14:paraId="1F3B39E0"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Sahni, S. P., &amp; Junnarkar, M. (2019). ‘Well-Being’ of Domestic Workers in India. In </w:t>
          </w:r>
          <w:r w:rsidRPr="0010152F">
            <w:rPr>
              <w:rFonts w:ascii="Arial Black" w:hAnsi="Arial Black"/>
              <w:i/>
              <w:iCs/>
              <w:sz w:val="22"/>
              <w:szCs w:val="22"/>
            </w:rPr>
            <w:t>Recognition of the Rights of Domestic Workers in India: Challenges and the Way Forward</w:t>
          </w:r>
          <w:r w:rsidRPr="0010152F">
            <w:rPr>
              <w:rFonts w:ascii="Arial Black" w:hAnsi="Arial Black"/>
              <w:sz w:val="22"/>
              <w:szCs w:val="22"/>
            </w:rPr>
            <w:t xml:space="preserve"> (pp. 163–175). Springer Singapore. </w:t>
          </w:r>
          <w:hyperlink r:id="rId25" w:history="1">
            <w:r w:rsidRPr="0010152F">
              <w:rPr>
                <w:rStyle w:val="Hyperlink"/>
                <w:rFonts w:ascii="Arial Black" w:hAnsi="Arial Black"/>
                <w:sz w:val="22"/>
                <w:szCs w:val="22"/>
              </w:rPr>
              <w:t>https://doi.org/10.1007/978-981-13-5764-0_9</w:t>
            </w:r>
          </w:hyperlink>
          <w:r w:rsidRPr="0010152F">
            <w:rPr>
              <w:rFonts w:ascii="Arial Black" w:hAnsi="Arial Black"/>
              <w:sz w:val="22"/>
              <w:szCs w:val="22"/>
            </w:rPr>
            <w:t xml:space="preserve"> </w:t>
          </w:r>
        </w:p>
        <w:p w14:paraId="3E27FFC5"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Saluja, R., &amp; Rani GSSDGS, E. (2018). </w:t>
          </w:r>
          <w:r w:rsidRPr="0010152F">
            <w:rPr>
              <w:rFonts w:ascii="Arial Black" w:hAnsi="Arial Black"/>
              <w:i/>
              <w:iCs/>
              <w:sz w:val="22"/>
              <w:szCs w:val="22"/>
            </w:rPr>
            <w:t xml:space="preserve">An Empirical Study of Working Conditions </w:t>
          </w:r>
          <w:proofErr w:type="gramStart"/>
          <w:r w:rsidRPr="0010152F">
            <w:rPr>
              <w:rFonts w:ascii="Arial Black" w:hAnsi="Arial Black"/>
              <w:i/>
              <w:iCs/>
              <w:sz w:val="22"/>
              <w:szCs w:val="22"/>
            </w:rPr>
            <w:t>And</w:t>
          </w:r>
          <w:proofErr w:type="gramEnd"/>
          <w:r w:rsidRPr="0010152F">
            <w:rPr>
              <w:rFonts w:ascii="Arial Black" w:hAnsi="Arial Black"/>
              <w:i/>
              <w:iCs/>
              <w:sz w:val="22"/>
              <w:szCs w:val="22"/>
            </w:rPr>
            <w:t xml:space="preserve"> Work Life Balance Of Domestic Help Workers In Punjab, India</w:t>
          </w:r>
          <w:r w:rsidRPr="0010152F">
            <w:rPr>
              <w:rFonts w:ascii="Arial Black" w:hAnsi="Arial Black"/>
              <w:sz w:val="22"/>
              <w:szCs w:val="22"/>
            </w:rPr>
            <w:t xml:space="preserve">. </w:t>
          </w:r>
          <w:hyperlink r:id="rId26" w:history="1">
            <w:r w:rsidRPr="0010152F">
              <w:rPr>
                <w:rStyle w:val="Hyperlink"/>
                <w:rFonts w:ascii="Arial Black" w:hAnsi="Arial Black"/>
                <w:sz w:val="22"/>
                <w:szCs w:val="22"/>
              </w:rPr>
              <w:t>https://www.researchgate.net/publication/326261152</w:t>
            </w:r>
          </w:hyperlink>
          <w:r w:rsidRPr="0010152F">
            <w:rPr>
              <w:rFonts w:ascii="Arial Black" w:hAnsi="Arial Black"/>
              <w:sz w:val="22"/>
              <w:szCs w:val="22"/>
            </w:rPr>
            <w:t xml:space="preserve"> </w:t>
          </w:r>
        </w:p>
        <w:p w14:paraId="1F8C07A7"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sz w:val="22"/>
              <w:szCs w:val="22"/>
            </w:rPr>
            <w:t>Stiell</w:t>
          </w:r>
          <w:proofErr w:type="spellEnd"/>
          <w:r w:rsidRPr="0010152F">
            <w:rPr>
              <w:rFonts w:ascii="Arial Black" w:hAnsi="Arial Black"/>
              <w:sz w:val="22"/>
              <w:szCs w:val="22"/>
            </w:rPr>
            <w:t xml:space="preserve">, B., &amp; England, K. (1997). Domestic distinctions: Constructing difference among paid domestic workers in Toronto. </w:t>
          </w:r>
          <w:r w:rsidRPr="0010152F">
            <w:rPr>
              <w:rFonts w:ascii="Arial Black" w:hAnsi="Arial Black"/>
              <w:i/>
              <w:iCs/>
              <w:sz w:val="22"/>
              <w:szCs w:val="22"/>
            </w:rPr>
            <w:t>Gender, Place and Culture</w:t>
          </w:r>
          <w:r w:rsidRPr="0010152F">
            <w:rPr>
              <w:rFonts w:ascii="Arial Black" w:hAnsi="Arial Black"/>
              <w:sz w:val="22"/>
              <w:szCs w:val="22"/>
            </w:rPr>
            <w:t xml:space="preserve">, </w:t>
          </w:r>
          <w:r w:rsidRPr="0010152F">
            <w:rPr>
              <w:rFonts w:ascii="Arial Black" w:hAnsi="Arial Black"/>
              <w:i/>
              <w:iCs/>
              <w:sz w:val="22"/>
              <w:szCs w:val="22"/>
            </w:rPr>
            <w:t>4</w:t>
          </w:r>
          <w:r w:rsidRPr="0010152F">
            <w:rPr>
              <w:rFonts w:ascii="Arial Black" w:hAnsi="Arial Black"/>
              <w:sz w:val="22"/>
              <w:szCs w:val="22"/>
            </w:rPr>
            <w:t xml:space="preserve">(3), 339–360. </w:t>
          </w:r>
          <w:hyperlink r:id="rId27" w:history="1">
            <w:r w:rsidRPr="0010152F">
              <w:rPr>
                <w:rStyle w:val="Hyperlink"/>
                <w:rFonts w:ascii="Arial Black" w:hAnsi="Arial Black"/>
                <w:sz w:val="22"/>
                <w:szCs w:val="22"/>
              </w:rPr>
              <w:t>https://doi.org/10.1080/09663699725387</w:t>
            </w:r>
          </w:hyperlink>
          <w:r w:rsidRPr="0010152F">
            <w:rPr>
              <w:rFonts w:ascii="Arial Black" w:hAnsi="Arial Black"/>
              <w:sz w:val="22"/>
              <w:szCs w:val="22"/>
            </w:rPr>
            <w:t xml:space="preserve"> </w:t>
          </w:r>
        </w:p>
        <w:p w14:paraId="5A0E5866"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Sumalatha, B. S., Bhat, L. D., &amp; Chitra, K. P. (2021). Impact of Covid-19 on Informal Sector: A Study of Women Domestic Workers in India. </w:t>
          </w:r>
          <w:r w:rsidRPr="0010152F">
            <w:rPr>
              <w:rFonts w:ascii="Arial Black" w:hAnsi="Arial Black"/>
              <w:i/>
              <w:iCs/>
              <w:sz w:val="22"/>
              <w:szCs w:val="22"/>
            </w:rPr>
            <w:t>The Indian Economic Journal</w:t>
          </w:r>
          <w:r w:rsidRPr="0010152F">
            <w:rPr>
              <w:rFonts w:ascii="Arial Black" w:hAnsi="Arial Black"/>
              <w:sz w:val="22"/>
              <w:szCs w:val="22"/>
            </w:rPr>
            <w:t xml:space="preserve">, </w:t>
          </w:r>
          <w:r w:rsidRPr="0010152F">
            <w:rPr>
              <w:rFonts w:ascii="Arial Black" w:hAnsi="Arial Black"/>
              <w:i/>
              <w:iCs/>
              <w:sz w:val="22"/>
              <w:szCs w:val="22"/>
            </w:rPr>
            <w:t>69</w:t>
          </w:r>
          <w:r w:rsidRPr="0010152F">
            <w:rPr>
              <w:rFonts w:ascii="Arial Black" w:hAnsi="Arial Black"/>
              <w:sz w:val="22"/>
              <w:szCs w:val="22"/>
            </w:rPr>
            <w:t xml:space="preserve">(3), 441–461. </w:t>
          </w:r>
          <w:hyperlink r:id="rId28" w:history="1">
            <w:r w:rsidRPr="0010152F">
              <w:rPr>
                <w:rStyle w:val="Hyperlink"/>
                <w:rFonts w:ascii="Arial Black" w:hAnsi="Arial Black"/>
                <w:sz w:val="22"/>
                <w:szCs w:val="22"/>
              </w:rPr>
              <w:t>https://doi.org/10.1177/00194662211023845</w:t>
            </w:r>
          </w:hyperlink>
          <w:r w:rsidRPr="0010152F">
            <w:rPr>
              <w:rFonts w:ascii="Arial Black" w:hAnsi="Arial Black"/>
              <w:sz w:val="22"/>
              <w:szCs w:val="22"/>
            </w:rPr>
            <w:t xml:space="preserve"> </w:t>
          </w:r>
        </w:p>
        <w:p w14:paraId="73622CE0" w14:textId="77777777" w:rsidR="00387A25" w:rsidRPr="0010152F" w:rsidRDefault="00387A25" w:rsidP="00387A25">
          <w:pPr>
            <w:autoSpaceDE w:val="0"/>
            <w:autoSpaceDN w:val="0"/>
            <w:ind w:hanging="480"/>
            <w:rPr>
              <w:rFonts w:ascii="Arial Black" w:hAnsi="Arial Black"/>
              <w:sz w:val="22"/>
              <w:szCs w:val="22"/>
            </w:rPr>
          </w:pPr>
          <w:r w:rsidRPr="0010152F">
            <w:rPr>
              <w:rFonts w:ascii="Arial Black" w:hAnsi="Arial Black"/>
              <w:sz w:val="22"/>
              <w:szCs w:val="22"/>
            </w:rPr>
            <w:t xml:space="preserve">Thakkar, S. (2024). Exploitation, Harassment and Violence: Lived Experiences of Women Paid Domestic Workers in India. </w:t>
          </w:r>
          <w:r w:rsidRPr="0010152F">
            <w:rPr>
              <w:rFonts w:ascii="Arial Black" w:hAnsi="Arial Black"/>
              <w:i/>
              <w:iCs/>
              <w:sz w:val="22"/>
              <w:szCs w:val="22"/>
            </w:rPr>
            <w:t xml:space="preserve">Journal of </w:t>
          </w:r>
          <w:r w:rsidRPr="0010152F">
            <w:rPr>
              <w:rFonts w:ascii="Arial Black" w:hAnsi="Arial Black"/>
              <w:i/>
              <w:iCs/>
              <w:sz w:val="22"/>
              <w:szCs w:val="22"/>
            </w:rPr>
            <w:lastRenderedPageBreak/>
            <w:t>South Asian Development</w:t>
          </w:r>
          <w:r w:rsidRPr="0010152F">
            <w:rPr>
              <w:rFonts w:ascii="Arial Black" w:hAnsi="Arial Black"/>
              <w:sz w:val="22"/>
              <w:szCs w:val="22"/>
            </w:rPr>
            <w:t xml:space="preserve">, </w:t>
          </w:r>
          <w:r w:rsidRPr="0010152F">
            <w:rPr>
              <w:rFonts w:ascii="Arial Black" w:hAnsi="Arial Black"/>
              <w:i/>
              <w:iCs/>
              <w:sz w:val="22"/>
              <w:szCs w:val="22"/>
            </w:rPr>
            <w:t>19</w:t>
          </w:r>
          <w:r w:rsidRPr="0010152F">
            <w:rPr>
              <w:rFonts w:ascii="Arial Black" w:hAnsi="Arial Black"/>
              <w:sz w:val="22"/>
              <w:szCs w:val="22"/>
            </w:rPr>
            <w:t xml:space="preserve">(1), 44–60. </w:t>
          </w:r>
          <w:hyperlink r:id="rId29" w:history="1">
            <w:r w:rsidRPr="0010152F">
              <w:rPr>
                <w:rStyle w:val="Hyperlink"/>
                <w:rFonts w:ascii="Arial Black" w:hAnsi="Arial Black"/>
                <w:sz w:val="22"/>
                <w:szCs w:val="22"/>
              </w:rPr>
              <w:t>https://doi.org/10.1177/09731741231164872</w:t>
            </w:r>
          </w:hyperlink>
          <w:r w:rsidRPr="0010152F">
            <w:rPr>
              <w:rFonts w:ascii="Arial Black" w:hAnsi="Arial Black"/>
              <w:sz w:val="22"/>
              <w:szCs w:val="22"/>
            </w:rPr>
            <w:t xml:space="preserve"> </w:t>
          </w:r>
        </w:p>
        <w:p w14:paraId="186075D4" w14:textId="77777777" w:rsidR="00387A25" w:rsidRPr="0010152F" w:rsidRDefault="00387A25" w:rsidP="00387A25">
          <w:pPr>
            <w:autoSpaceDE w:val="0"/>
            <w:autoSpaceDN w:val="0"/>
            <w:ind w:hanging="480"/>
            <w:rPr>
              <w:rStyle w:val="Hyperlink"/>
              <w:rFonts w:ascii="Arial Black" w:hAnsi="Arial Black"/>
              <w:sz w:val="22"/>
              <w:szCs w:val="22"/>
            </w:rPr>
          </w:pPr>
          <w:r w:rsidRPr="0010152F">
            <w:rPr>
              <w:rFonts w:ascii="Arial Black" w:hAnsi="Arial Black"/>
              <w:sz w:val="22"/>
              <w:szCs w:val="22"/>
            </w:rPr>
            <w:t xml:space="preserve">Thilaka, M. S. (2018). </w:t>
          </w:r>
          <w:r w:rsidRPr="0010152F">
            <w:rPr>
              <w:rFonts w:ascii="Arial Black" w:hAnsi="Arial Black"/>
              <w:iCs/>
              <w:sz w:val="22"/>
              <w:szCs w:val="22"/>
            </w:rPr>
            <w:t xml:space="preserve">An Empirical Study on Socio-Economic Conditions of Women Domestic Workers in Tamil Nadu, </w:t>
          </w:r>
          <w:r w:rsidRPr="0010152F">
            <w:rPr>
              <w:rFonts w:ascii="Arial Black" w:hAnsi="Arial Black"/>
              <w:i/>
              <w:iCs/>
              <w:sz w:val="22"/>
              <w:szCs w:val="22"/>
            </w:rPr>
            <w:t>International Journal of Innovative Studies in Sociology and Humanities (IJISSH)</w:t>
          </w:r>
          <w:r w:rsidRPr="0010152F">
            <w:rPr>
              <w:rFonts w:ascii="Arial Black" w:hAnsi="Arial Black"/>
              <w:iCs/>
              <w:sz w:val="22"/>
              <w:szCs w:val="22"/>
            </w:rPr>
            <w:t xml:space="preserve"> India</w:t>
          </w:r>
          <w:r w:rsidRPr="0010152F">
            <w:rPr>
              <w:rFonts w:ascii="Arial Black" w:hAnsi="Arial Black"/>
              <w:sz w:val="22"/>
              <w:szCs w:val="22"/>
            </w:rPr>
            <w:t xml:space="preserve">. </w:t>
          </w:r>
          <w:hyperlink r:id="rId30" w:history="1">
            <w:r w:rsidRPr="0010152F">
              <w:rPr>
                <w:rStyle w:val="Hyperlink"/>
                <w:rFonts w:ascii="Arial Black" w:hAnsi="Arial Black"/>
                <w:sz w:val="22"/>
                <w:szCs w:val="22"/>
              </w:rPr>
              <w:t>www.ijissh.org</w:t>
            </w:r>
          </w:hyperlink>
        </w:p>
        <w:p w14:paraId="47950195"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color w:val="222222"/>
              <w:sz w:val="22"/>
              <w:szCs w:val="22"/>
              <w:shd w:val="clear" w:color="auto" w:fill="FFFFFF"/>
            </w:rPr>
            <w:t>Vadageri</w:t>
          </w:r>
          <w:proofErr w:type="spellEnd"/>
          <w:r w:rsidRPr="0010152F">
            <w:rPr>
              <w:rFonts w:ascii="Arial Black" w:hAnsi="Arial Black"/>
              <w:color w:val="222222"/>
              <w:sz w:val="22"/>
              <w:szCs w:val="22"/>
              <w:shd w:val="clear" w:color="auto" w:fill="FFFFFF"/>
            </w:rPr>
            <w:t xml:space="preserve">, B. S., &amp; Soundari, M. H. (2016). Socio-economic problems of women domestic </w:t>
          </w:r>
          <w:proofErr w:type="spellStart"/>
          <w:r w:rsidRPr="0010152F">
            <w:rPr>
              <w:rFonts w:ascii="Arial Black" w:hAnsi="Arial Black"/>
              <w:color w:val="222222"/>
              <w:sz w:val="22"/>
              <w:szCs w:val="22"/>
              <w:shd w:val="clear" w:color="auto" w:fill="FFFFFF"/>
            </w:rPr>
            <w:t>labourers</w:t>
          </w:r>
          <w:proofErr w:type="spellEnd"/>
          <w:r w:rsidRPr="0010152F">
            <w:rPr>
              <w:rFonts w:ascii="Arial Black" w:hAnsi="Arial Black"/>
              <w:color w:val="222222"/>
              <w:sz w:val="22"/>
              <w:szCs w:val="22"/>
              <w:shd w:val="clear" w:color="auto" w:fill="FFFFFF"/>
            </w:rPr>
            <w:t xml:space="preserve"> in Karnataka, India. </w:t>
          </w:r>
          <w:r w:rsidRPr="0010152F">
            <w:rPr>
              <w:rFonts w:ascii="Arial Black" w:hAnsi="Arial Black"/>
              <w:i/>
              <w:iCs/>
              <w:color w:val="222222"/>
              <w:sz w:val="22"/>
              <w:szCs w:val="22"/>
              <w:shd w:val="clear" w:color="auto" w:fill="FFFFFF"/>
            </w:rPr>
            <w:t>Indian J Econ Dev</w:t>
          </w:r>
          <w:r w:rsidRPr="0010152F">
            <w:rPr>
              <w:rFonts w:ascii="Arial Black" w:hAnsi="Arial Black"/>
              <w:color w:val="222222"/>
              <w:sz w:val="22"/>
              <w:szCs w:val="22"/>
              <w:shd w:val="clear" w:color="auto" w:fill="FFFFFF"/>
            </w:rPr>
            <w:t>, </w:t>
          </w:r>
          <w:r w:rsidRPr="0010152F">
            <w:rPr>
              <w:rFonts w:ascii="Arial Black" w:hAnsi="Arial Black"/>
              <w:i/>
              <w:iCs/>
              <w:color w:val="222222"/>
              <w:sz w:val="22"/>
              <w:szCs w:val="22"/>
              <w:shd w:val="clear" w:color="auto" w:fill="FFFFFF"/>
            </w:rPr>
            <w:t>4</w:t>
          </w:r>
          <w:r w:rsidRPr="0010152F">
            <w:rPr>
              <w:rFonts w:ascii="Arial Black" w:hAnsi="Arial Black"/>
              <w:color w:val="222222"/>
              <w:sz w:val="22"/>
              <w:szCs w:val="22"/>
              <w:shd w:val="clear" w:color="auto" w:fill="FFFFFF"/>
            </w:rPr>
            <w:t>, 1-8.</w:t>
          </w:r>
        </w:p>
        <w:p w14:paraId="3A6A9A7B" w14:textId="77777777" w:rsidR="00387A25" w:rsidRPr="0010152F" w:rsidRDefault="00387A25" w:rsidP="00387A25">
          <w:pPr>
            <w:autoSpaceDE w:val="0"/>
            <w:autoSpaceDN w:val="0"/>
            <w:ind w:hanging="480"/>
            <w:rPr>
              <w:rFonts w:ascii="Arial Black" w:hAnsi="Arial Black"/>
              <w:color w:val="222222"/>
              <w:sz w:val="22"/>
              <w:szCs w:val="22"/>
              <w:shd w:val="clear" w:color="auto" w:fill="FFFFFF"/>
            </w:rPr>
          </w:pPr>
          <w:r w:rsidRPr="0010152F">
            <w:rPr>
              <w:rFonts w:ascii="Arial Black" w:hAnsi="Arial Black"/>
              <w:color w:val="222222"/>
              <w:sz w:val="22"/>
              <w:szCs w:val="22"/>
              <w:shd w:val="clear" w:color="auto" w:fill="FFFFFF"/>
            </w:rPr>
            <w:t>Yadav, Vinita, and Sherin Jacob. "Informalized Workforce of Women Domestic Workers: Case of Bengaluru Metropolitan Region." </w:t>
          </w:r>
          <w:r w:rsidRPr="0010152F">
            <w:rPr>
              <w:rFonts w:ascii="Arial Black" w:hAnsi="Arial Black"/>
              <w:i/>
              <w:iCs/>
              <w:color w:val="222222"/>
              <w:sz w:val="22"/>
              <w:szCs w:val="22"/>
              <w:shd w:val="clear" w:color="auto" w:fill="FFFFFF"/>
            </w:rPr>
            <w:t>City Responses to Disruptions in 2020: From Lockdowns to Aftermath</w:t>
          </w:r>
          <w:r w:rsidRPr="0010152F">
            <w:rPr>
              <w:rFonts w:ascii="Arial Black" w:hAnsi="Arial Black"/>
              <w:color w:val="222222"/>
              <w:sz w:val="22"/>
              <w:szCs w:val="22"/>
              <w:shd w:val="clear" w:color="auto" w:fill="FFFFFF"/>
            </w:rPr>
            <w:t>. Singapore: Springer Nature Singapore, 2024. 67-80.</w:t>
          </w:r>
        </w:p>
        <w:p w14:paraId="26B522FF" w14:textId="77777777" w:rsidR="00387A25" w:rsidRPr="0010152F" w:rsidRDefault="00387A25" w:rsidP="00387A25">
          <w:pPr>
            <w:autoSpaceDE w:val="0"/>
            <w:autoSpaceDN w:val="0"/>
            <w:ind w:hanging="480"/>
            <w:rPr>
              <w:rFonts w:ascii="Arial Black" w:hAnsi="Arial Black"/>
              <w:sz w:val="22"/>
              <w:szCs w:val="22"/>
            </w:rPr>
          </w:pPr>
          <w:proofErr w:type="spellStart"/>
          <w:r w:rsidRPr="0010152F">
            <w:rPr>
              <w:rFonts w:ascii="Arial Black" w:hAnsi="Arial Black"/>
              <w:color w:val="222222"/>
              <w:sz w:val="22"/>
              <w:szCs w:val="22"/>
              <w:shd w:val="clear" w:color="auto" w:fill="FFFFFF"/>
            </w:rPr>
            <w:t>Yoganandham</w:t>
          </w:r>
          <w:proofErr w:type="spellEnd"/>
          <w:r w:rsidRPr="0010152F">
            <w:rPr>
              <w:rFonts w:ascii="Arial Black" w:hAnsi="Arial Black"/>
              <w:color w:val="222222"/>
              <w:sz w:val="22"/>
              <w:szCs w:val="22"/>
              <w:shd w:val="clear" w:color="auto" w:fill="FFFFFF"/>
            </w:rPr>
            <w:t xml:space="preserve">, G., And </w:t>
          </w:r>
          <w:proofErr w:type="spellStart"/>
          <w:r w:rsidRPr="0010152F">
            <w:rPr>
              <w:rFonts w:ascii="Arial Black" w:hAnsi="Arial Black"/>
              <w:color w:val="222222"/>
              <w:sz w:val="22"/>
              <w:szCs w:val="22"/>
              <w:shd w:val="clear" w:color="auto" w:fill="FFFFFF"/>
            </w:rPr>
            <w:t>Mr</w:t>
          </w:r>
          <w:proofErr w:type="spellEnd"/>
          <w:r w:rsidRPr="0010152F">
            <w:rPr>
              <w:rFonts w:ascii="Arial Black" w:hAnsi="Arial Black"/>
              <w:color w:val="222222"/>
              <w:sz w:val="22"/>
              <w:szCs w:val="22"/>
              <w:shd w:val="clear" w:color="auto" w:fill="FFFFFF"/>
            </w:rPr>
            <w:t xml:space="preserve"> V. Vishnuram. "Status, Survival and Current Dilemma of Informal Sector Domestic Women Workers in Tamil Nadu With Reference to Social Protection and Economic Empowerment-An </w:t>
          </w:r>
          <w:proofErr w:type="spellStart"/>
          <w:r w:rsidRPr="0010152F">
            <w:rPr>
              <w:rFonts w:ascii="Arial Black" w:hAnsi="Arial Black"/>
              <w:color w:val="222222"/>
              <w:sz w:val="22"/>
              <w:szCs w:val="22"/>
              <w:shd w:val="clear" w:color="auto" w:fill="FFFFFF"/>
            </w:rPr>
            <w:t>Assessment."</w:t>
          </w:r>
          <w:r w:rsidRPr="0010152F">
            <w:rPr>
              <w:rFonts w:ascii="Arial Black" w:hAnsi="Arial Black"/>
              <w:sz w:val="22"/>
              <w:szCs w:val="22"/>
            </w:rPr>
            <w:t>Science</w:t>
          </w:r>
          <w:proofErr w:type="spellEnd"/>
          <w:r w:rsidRPr="0010152F">
            <w:rPr>
              <w:rFonts w:ascii="Arial Black" w:hAnsi="Arial Black"/>
              <w:sz w:val="22"/>
              <w:szCs w:val="22"/>
            </w:rPr>
            <w:t xml:space="preserve">, Technology and Development Volume XIII Issue X OCTOBER 2024 </w:t>
          </w:r>
          <w:proofErr w:type="gramStart"/>
          <w:r w:rsidRPr="0010152F">
            <w:rPr>
              <w:rFonts w:ascii="Arial Black" w:hAnsi="Arial Black"/>
              <w:sz w:val="22"/>
              <w:szCs w:val="22"/>
            </w:rPr>
            <w:t>ISSN :</w:t>
          </w:r>
          <w:proofErr w:type="gramEnd"/>
          <w:r w:rsidRPr="0010152F">
            <w:rPr>
              <w:rFonts w:ascii="Arial Black" w:hAnsi="Arial Black"/>
              <w:sz w:val="22"/>
              <w:szCs w:val="22"/>
            </w:rPr>
            <w:t xml:space="preserve"> 0950-0707. </w:t>
          </w:r>
        </w:p>
        <w:p w14:paraId="0E0C60F7" w14:textId="77777777" w:rsidR="00387A25" w:rsidRPr="0010152F" w:rsidRDefault="00387A25" w:rsidP="00387A25">
          <w:pPr>
            <w:spacing w:before="240" w:after="240" w:line="360" w:lineRule="auto"/>
            <w:ind w:left="360"/>
            <w:rPr>
              <w:rFonts w:ascii="Arial Black" w:hAnsi="Arial Black"/>
              <w:b/>
              <w:sz w:val="22"/>
              <w:szCs w:val="22"/>
            </w:rPr>
          </w:pPr>
          <w:r w:rsidRPr="0010152F">
            <w:rPr>
              <w:rFonts w:ascii="Arial Black" w:hAnsi="Arial Black"/>
              <w:sz w:val="22"/>
              <w:szCs w:val="22"/>
            </w:rPr>
            <w:t> </w:t>
          </w:r>
        </w:p>
      </w:sdtContent>
    </w:sdt>
    <w:p w14:paraId="0BF08C6C" w14:textId="77777777" w:rsidR="00387A25" w:rsidRPr="0010152F" w:rsidRDefault="00387A25" w:rsidP="00387A25">
      <w:pPr>
        <w:spacing w:before="240" w:after="240" w:line="360" w:lineRule="auto"/>
        <w:rPr>
          <w:rFonts w:ascii="Arial Black" w:hAnsi="Arial Black"/>
          <w:b/>
          <w:sz w:val="22"/>
          <w:szCs w:val="22"/>
        </w:rPr>
      </w:pPr>
      <w:r w:rsidRPr="0010152F">
        <w:rPr>
          <w:rFonts w:ascii="Arial Black" w:hAnsi="Arial Black"/>
          <w:b/>
          <w:sz w:val="22"/>
          <w:szCs w:val="22"/>
        </w:rPr>
        <w:t>9.1 Webliography</w:t>
      </w:r>
    </w:p>
    <w:p w14:paraId="2647B08D" w14:textId="77777777" w:rsidR="00387A25" w:rsidRPr="0010152F" w:rsidRDefault="00387A25" w:rsidP="00387A25">
      <w:pPr>
        <w:spacing w:before="240" w:after="240" w:line="360" w:lineRule="auto"/>
        <w:ind w:left="90" w:hanging="360"/>
        <w:rPr>
          <w:rFonts w:ascii="Arial Black" w:hAnsi="Arial Black"/>
          <w:color w:val="1155CC"/>
          <w:sz w:val="22"/>
          <w:szCs w:val="22"/>
          <w:u w:val="single"/>
        </w:rPr>
      </w:pPr>
      <w:r w:rsidRPr="0010152F">
        <w:rPr>
          <w:rFonts w:ascii="Arial Black" w:hAnsi="Arial Black"/>
          <w:i/>
          <w:sz w:val="22"/>
          <w:szCs w:val="22"/>
        </w:rPr>
        <w:t>1.</w:t>
      </w:r>
      <w:r w:rsidRPr="0010152F">
        <w:rPr>
          <w:rFonts w:ascii="Arial Black" w:hAnsi="Arial Black"/>
          <w:sz w:val="22"/>
          <w:szCs w:val="22"/>
        </w:rPr>
        <w:t xml:space="preserve">      </w:t>
      </w:r>
      <w:r w:rsidRPr="0010152F">
        <w:rPr>
          <w:rFonts w:ascii="Arial Black" w:hAnsi="Arial Black"/>
          <w:i/>
          <w:sz w:val="22"/>
          <w:szCs w:val="22"/>
        </w:rPr>
        <w:t>Budget 2024: Social security to millions of domestic workers? Minimum wage, pension under consideration - Times of India</w:t>
      </w:r>
      <w:r w:rsidRPr="0010152F">
        <w:rPr>
          <w:rFonts w:ascii="Arial Black" w:hAnsi="Arial Black"/>
          <w:sz w:val="22"/>
          <w:szCs w:val="22"/>
        </w:rPr>
        <w:t>. (n.d.). Retrieved January 29, 2024, from</w:t>
      </w:r>
      <w:hyperlink r:id="rId31">
        <w:r w:rsidRPr="0010152F">
          <w:rPr>
            <w:rFonts w:ascii="Arial Black" w:hAnsi="Arial Black"/>
            <w:sz w:val="22"/>
            <w:szCs w:val="22"/>
          </w:rPr>
          <w:t xml:space="preserve"> </w:t>
        </w:r>
      </w:hyperlink>
      <w:hyperlink r:id="rId32">
        <w:r w:rsidRPr="0010152F">
          <w:rPr>
            <w:rFonts w:ascii="Arial Black" w:hAnsi="Arial Black"/>
            <w:color w:val="1155CC"/>
            <w:sz w:val="22"/>
            <w:szCs w:val="22"/>
            <w:u w:val="single"/>
          </w:rPr>
          <w:t>https://timesofindia.indiatimes.com/business/budget/budget-2024-social-security-to-millions-of-domestic-workers-minimum-wage-pension-under-consideration/articleshow/106718231.cms</w:t>
        </w:r>
      </w:hyperlink>
    </w:p>
    <w:p w14:paraId="274CD63C" w14:textId="77777777" w:rsidR="00387A25" w:rsidRPr="0010152F" w:rsidRDefault="00387A25" w:rsidP="00387A25">
      <w:pPr>
        <w:spacing w:before="240" w:after="240" w:line="360" w:lineRule="auto"/>
        <w:ind w:left="90" w:hanging="360"/>
        <w:rPr>
          <w:rFonts w:ascii="Arial Black" w:hAnsi="Arial Black"/>
          <w:color w:val="1155CC"/>
          <w:sz w:val="22"/>
          <w:szCs w:val="22"/>
          <w:u w:val="single"/>
        </w:rPr>
      </w:pPr>
      <w:r w:rsidRPr="0010152F">
        <w:rPr>
          <w:rFonts w:ascii="Arial Black" w:hAnsi="Arial Black"/>
          <w:i/>
          <w:sz w:val="22"/>
          <w:szCs w:val="22"/>
        </w:rPr>
        <w:t>2.</w:t>
      </w:r>
      <w:r w:rsidRPr="0010152F">
        <w:rPr>
          <w:rFonts w:ascii="Arial Black" w:hAnsi="Arial Black"/>
          <w:sz w:val="22"/>
          <w:szCs w:val="22"/>
        </w:rPr>
        <w:t xml:space="preserve">  </w:t>
      </w:r>
      <w:r w:rsidRPr="0010152F">
        <w:rPr>
          <w:rFonts w:ascii="Arial Black" w:hAnsi="Arial Black"/>
          <w:sz w:val="22"/>
          <w:szCs w:val="22"/>
        </w:rPr>
        <w:tab/>
      </w:r>
      <w:r w:rsidRPr="0010152F">
        <w:rPr>
          <w:rFonts w:ascii="Arial Black" w:hAnsi="Arial Black"/>
          <w:i/>
          <w:sz w:val="22"/>
          <w:szCs w:val="22"/>
        </w:rPr>
        <w:t>Domestic Workers in India: Status and Issues - Explained, pointwise-</w:t>
      </w:r>
      <w:proofErr w:type="spellStart"/>
      <w:r w:rsidRPr="0010152F">
        <w:rPr>
          <w:rFonts w:ascii="Arial Black" w:hAnsi="Arial Black"/>
          <w:i/>
          <w:sz w:val="22"/>
          <w:szCs w:val="22"/>
        </w:rPr>
        <w:t>ForumIAS</w:t>
      </w:r>
      <w:proofErr w:type="spellEnd"/>
      <w:r w:rsidRPr="0010152F">
        <w:rPr>
          <w:rFonts w:ascii="Arial Black" w:hAnsi="Arial Black"/>
          <w:i/>
          <w:sz w:val="22"/>
          <w:szCs w:val="22"/>
        </w:rPr>
        <w:t xml:space="preserve"> Blog</w:t>
      </w:r>
      <w:r w:rsidRPr="0010152F">
        <w:rPr>
          <w:rFonts w:ascii="Arial Black" w:hAnsi="Arial Black"/>
          <w:sz w:val="22"/>
          <w:szCs w:val="22"/>
        </w:rPr>
        <w:t>. (n.d.). Retrieved January 2, 2024, from</w:t>
      </w:r>
      <w:hyperlink r:id="rId33">
        <w:r w:rsidRPr="0010152F">
          <w:rPr>
            <w:rFonts w:ascii="Arial Black" w:hAnsi="Arial Black"/>
            <w:sz w:val="22"/>
            <w:szCs w:val="22"/>
          </w:rPr>
          <w:t xml:space="preserve"> </w:t>
        </w:r>
      </w:hyperlink>
      <w:hyperlink r:id="rId34">
        <w:r w:rsidRPr="0010152F">
          <w:rPr>
            <w:rFonts w:ascii="Arial Black" w:hAnsi="Arial Black"/>
            <w:color w:val="1155CC"/>
            <w:sz w:val="22"/>
            <w:szCs w:val="22"/>
            <w:u w:val="single"/>
          </w:rPr>
          <w:t>https://forumias.com/blog/domestic-workers-in-india-status-and-issues-explained-pointwise/</w:t>
        </w:r>
      </w:hyperlink>
    </w:p>
    <w:p w14:paraId="49C37A70" w14:textId="77777777" w:rsidR="00387A25" w:rsidRPr="0010152F" w:rsidRDefault="00387A25" w:rsidP="00387A25">
      <w:pPr>
        <w:spacing w:before="240" w:after="240" w:line="360" w:lineRule="auto"/>
        <w:ind w:left="90" w:hanging="360"/>
        <w:rPr>
          <w:rFonts w:ascii="Arial Black" w:hAnsi="Arial Black"/>
          <w:color w:val="1155CC"/>
          <w:sz w:val="22"/>
          <w:szCs w:val="22"/>
          <w:u w:val="single"/>
        </w:rPr>
      </w:pPr>
      <w:r w:rsidRPr="0010152F">
        <w:rPr>
          <w:rFonts w:ascii="Arial Black" w:hAnsi="Arial Black"/>
          <w:i/>
          <w:sz w:val="22"/>
          <w:szCs w:val="22"/>
        </w:rPr>
        <w:lastRenderedPageBreak/>
        <w:t>3.</w:t>
      </w:r>
      <w:r w:rsidRPr="0010152F">
        <w:rPr>
          <w:rFonts w:ascii="Arial Black" w:hAnsi="Arial Black"/>
          <w:sz w:val="22"/>
          <w:szCs w:val="22"/>
        </w:rPr>
        <w:t xml:space="preserve">  </w:t>
      </w:r>
      <w:r w:rsidRPr="0010152F">
        <w:rPr>
          <w:rFonts w:ascii="Arial Black" w:hAnsi="Arial Black"/>
          <w:sz w:val="22"/>
          <w:szCs w:val="22"/>
        </w:rPr>
        <w:tab/>
      </w:r>
      <w:r w:rsidRPr="0010152F">
        <w:rPr>
          <w:rFonts w:ascii="Arial Black" w:hAnsi="Arial Black"/>
          <w:i/>
          <w:sz w:val="22"/>
          <w:szCs w:val="22"/>
        </w:rPr>
        <w:t>Domestic Workers in India: Status and Issues - Explained, pointwise-</w:t>
      </w:r>
      <w:proofErr w:type="spellStart"/>
      <w:r w:rsidRPr="0010152F">
        <w:rPr>
          <w:rFonts w:ascii="Arial Black" w:hAnsi="Arial Black"/>
          <w:i/>
          <w:sz w:val="22"/>
          <w:szCs w:val="22"/>
        </w:rPr>
        <w:t>ForumIAS</w:t>
      </w:r>
      <w:proofErr w:type="spellEnd"/>
      <w:r w:rsidRPr="0010152F">
        <w:rPr>
          <w:rFonts w:ascii="Arial Black" w:hAnsi="Arial Black"/>
          <w:i/>
          <w:sz w:val="22"/>
          <w:szCs w:val="22"/>
        </w:rPr>
        <w:t xml:space="preserve"> Blog</w:t>
      </w:r>
      <w:r w:rsidRPr="0010152F">
        <w:rPr>
          <w:rFonts w:ascii="Arial Black" w:hAnsi="Arial Black"/>
          <w:sz w:val="22"/>
          <w:szCs w:val="22"/>
        </w:rPr>
        <w:t>. (n.d.). Retrieved January 30, 2024, from</w:t>
      </w:r>
      <w:hyperlink r:id="rId35" w:anchor="gsc.tab=0">
        <w:r w:rsidRPr="0010152F">
          <w:rPr>
            <w:rFonts w:ascii="Arial Black" w:hAnsi="Arial Black"/>
            <w:sz w:val="22"/>
            <w:szCs w:val="22"/>
          </w:rPr>
          <w:t xml:space="preserve"> </w:t>
        </w:r>
      </w:hyperlink>
      <w:hyperlink r:id="rId36" w:anchor="gsc.tab=0">
        <w:r w:rsidRPr="0010152F">
          <w:rPr>
            <w:rFonts w:ascii="Arial Black" w:hAnsi="Arial Black"/>
            <w:color w:val="1155CC"/>
            <w:sz w:val="22"/>
            <w:szCs w:val="22"/>
            <w:u w:val="single"/>
          </w:rPr>
          <w:t>https://forumias.com/blog/domestic-workers-in-india-status-and-issues-explained-pointwise/#gsc.tab=0</w:t>
        </w:r>
      </w:hyperlink>
    </w:p>
    <w:p w14:paraId="6B3CEED4" w14:textId="77777777" w:rsidR="00387A25" w:rsidRPr="0010152F" w:rsidRDefault="00387A25" w:rsidP="00387A25">
      <w:pPr>
        <w:spacing w:before="240" w:after="240" w:line="360" w:lineRule="auto"/>
        <w:ind w:left="-270"/>
        <w:rPr>
          <w:rFonts w:ascii="Arial Black" w:hAnsi="Arial Black"/>
          <w:color w:val="1155CC"/>
          <w:sz w:val="22"/>
          <w:szCs w:val="22"/>
          <w:u w:val="single"/>
        </w:rPr>
      </w:pPr>
      <w:r w:rsidRPr="0010152F">
        <w:rPr>
          <w:rFonts w:ascii="Arial Black" w:hAnsi="Arial Black"/>
          <w:i/>
          <w:sz w:val="22"/>
          <w:szCs w:val="22"/>
        </w:rPr>
        <w:t>4.</w:t>
      </w:r>
      <w:r w:rsidRPr="0010152F">
        <w:rPr>
          <w:rFonts w:ascii="Arial Black" w:hAnsi="Arial Black"/>
          <w:sz w:val="22"/>
          <w:szCs w:val="22"/>
        </w:rPr>
        <w:t xml:space="preserve">  </w:t>
      </w:r>
      <w:r w:rsidRPr="0010152F">
        <w:rPr>
          <w:rFonts w:ascii="Arial Black" w:hAnsi="Arial Black"/>
          <w:sz w:val="22"/>
          <w:szCs w:val="22"/>
        </w:rPr>
        <w:tab/>
      </w:r>
      <w:r w:rsidRPr="0010152F">
        <w:rPr>
          <w:rFonts w:ascii="Arial Black" w:hAnsi="Arial Black"/>
          <w:i/>
          <w:sz w:val="22"/>
          <w:szCs w:val="22"/>
        </w:rPr>
        <w:t>Domestic work: A bleak reality of missing laws and inadequate rights – The Leaflet</w:t>
      </w:r>
      <w:r w:rsidRPr="0010152F">
        <w:rPr>
          <w:rFonts w:ascii="Arial Black" w:hAnsi="Arial Black"/>
          <w:sz w:val="22"/>
          <w:szCs w:val="22"/>
        </w:rPr>
        <w:t>. (n.d.). Retrieved January 30, 2024, from</w:t>
      </w:r>
      <w:hyperlink r:id="rId37">
        <w:r w:rsidRPr="0010152F">
          <w:rPr>
            <w:rFonts w:ascii="Arial Black" w:hAnsi="Arial Black"/>
            <w:sz w:val="22"/>
            <w:szCs w:val="22"/>
          </w:rPr>
          <w:t xml:space="preserve"> </w:t>
        </w:r>
      </w:hyperlink>
      <w:hyperlink r:id="rId38">
        <w:r w:rsidRPr="0010152F">
          <w:rPr>
            <w:rFonts w:ascii="Arial Black" w:hAnsi="Arial Black"/>
            <w:color w:val="1155CC"/>
            <w:sz w:val="22"/>
            <w:szCs w:val="22"/>
            <w:u w:val="single"/>
          </w:rPr>
          <w:t>https://theleaflet.in/domestic-work-a-bleak-reality-of-missing-laws-and-inadequate-rights/</w:t>
        </w:r>
      </w:hyperlink>
    </w:p>
    <w:p w14:paraId="1BA33A8C" w14:textId="77777777" w:rsidR="00387A25" w:rsidRPr="0010152F" w:rsidRDefault="00387A25" w:rsidP="00387A25">
      <w:pPr>
        <w:spacing w:before="240" w:after="240" w:line="360" w:lineRule="auto"/>
        <w:ind w:left="-180"/>
        <w:rPr>
          <w:rFonts w:ascii="Arial Black" w:hAnsi="Arial Black"/>
          <w:color w:val="1155CC"/>
          <w:sz w:val="22"/>
          <w:szCs w:val="22"/>
          <w:u w:val="single"/>
        </w:rPr>
      </w:pPr>
      <w:r w:rsidRPr="0010152F">
        <w:rPr>
          <w:rFonts w:ascii="Arial Black" w:hAnsi="Arial Black"/>
          <w:i/>
          <w:sz w:val="22"/>
          <w:szCs w:val="22"/>
        </w:rPr>
        <w:t>5.</w:t>
      </w:r>
      <w:r w:rsidRPr="0010152F">
        <w:rPr>
          <w:rFonts w:ascii="Arial Black" w:hAnsi="Arial Black"/>
          <w:sz w:val="22"/>
          <w:szCs w:val="22"/>
        </w:rPr>
        <w:t xml:space="preserve">      M. H.-T. A. of the A. A., &amp; 1987, undefined. (n.d.). Female participation in the informal economy: A neglected issue. </w:t>
      </w:r>
      <w:r w:rsidRPr="0010152F">
        <w:rPr>
          <w:rFonts w:ascii="Arial Black" w:hAnsi="Arial Black"/>
          <w:i/>
          <w:sz w:val="22"/>
          <w:szCs w:val="22"/>
        </w:rPr>
        <w:t>Journals.Sagepub.Com</w:t>
      </w:r>
      <w:r w:rsidRPr="0010152F">
        <w:rPr>
          <w:rFonts w:ascii="Arial Black" w:hAnsi="Arial Black"/>
          <w:sz w:val="22"/>
          <w:szCs w:val="22"/>
        </w:rPr>
        <w:t>. Retrieved December 29, 2023, from</w:t>
      </w:r>
      <w:hyperlink r:id="rId39">
        <w:r w:rsidRPr="0010152F">
          <w:rPr>
            <w:rFonts w:ascii="Arial Black" w:hAnsi="Arial Black"/>
            <w:sz w:val="22"/>
            <w:szCs w:val="22"/>
          </w:rPr>
          <w:t xml:space="preserve"> </w:t>
        </w:r>
      </w:hyperlink>
      <w:hyperlink r:id="rId40">
        <w:r w:rsidRPr="0010152F">
          <w:rPr>
            <w:rFonts w:ascii="Arial Black" w:hAnsi="Arial Black"/>
            <w:color w:val="1155CC"/>
            <w:sz w:val="22"/>
            <w:szCs w:val="22"/>
            <w:u w:val="single"/>
          </w:rPr>
          <w:t>https://journals.sagepub.com/doi/abs/10.1177/0002716287493001006</w:t>
        </w:r>
      </w:hyperlink>
    </w:p>
    <w:p w14:paraId="6009C654" w14:textId="77777777" w:rsidR="00387A25" w:rsidRPr="0010152F" w:rsidRDefault="00387A25" w:rsidP="00387A25">
      <w:pPr>
        <w:tabs>
          <w:tab w:val="left" w:pos="-90"/>
        </w:tabs>
        <w:spacing w:before="240" w:after="240" w:line="360" w:lineRule="auto"/>
        <w:ind w:left="90" w:hanging="270"/>
        <w:rPr>
          <w:rFonts w:ascii="Arial Black" w:hAnsi="Arial Black"/>
          <w:color w:val="1155CC"/>
          <w:sz w:val="22"/>
          <w:szCs w:val="22"/>
          <w:u w:val="single"/>
        </w:rPr>
      </w:pPr>
      <w:r w:rsidRPr="0010152F">
        <w:rPr>
          <w:rFonts w:ascii="Arial Black" w:hAnsi="Arial Black"/>
          <w:i/>
          <w:sz w:val="22"/>
          <w:szCs w:val="22"/>
        </w:rPr>
        <w:t>6.</w:t>
      </w:r>
      <w:r w:rsidRPr="0010152F">
        <w:rPr>
          <w:rFonts w:ascii="Arial Black" w:hAnsi="Arial Black"/>
          <w:sz w:val="22"/>
          <w:szCs w:val="22"/>
        </w:rPr>
        <w:t xml:space="preserve">      Work, E. H.-, Society, E. and, &amp; 2001, undefined. (n.d.). Women in the Indian informal economy: collective strategies for work-life improvement and development. </w:t>
      </w:r>
      <w:r w:rsidRPr="0010152F">
        <w:rPr>
          <w:rFonts w:ascii="Arial Black" w:hAnsi="Arial Black"/>
          <w:i/>
          <w:sz w:val="22"/>
          <w:szCs w:val="22"/>
        </w:rPr>
        <w:t>Cambridge.Org</w:t>
      </w:r>
      <w:r w:rsidRPr="0010152F">
        <w:rPr>
          <w:rFonts w:ascii="Arial Black" w:hAnsi="Arial Black"/>
          <w:sz w:val="22"/>
          <w:szCs w:val="22"/>
        </w:rPr>
        <w:t>. Retrieved December 29, 2023, from</w:t>
      </w:r>
      <w:hyperlink r:id="rId41">
        <w:r w:rsidRPr="0010152F">
          <w:rPr>
            <w:rFonts w:ascii="Arial Black" w:hAnsi="Arial Black"/>
            <w:sz w:val="22"/>
            <w:szCs w:val="22"/>
          </w:rPr>
          <w:t xml:space="preserve"> </w:t>
        </w:r>
      </w:hyperlink>
      <w:hyperlink r:id="rId42">
        <w:r w:rsidRPr="0010152F">
          <w:rPr>
            <w:rFonts w:ascii="Arial Black" w:hAnsi="Arial Black"/>
            <w:color w:val="1155CC"/>
            <w:sz w:val="22"/>
            <w:szCs w:val="22"/>
            <w:u w:val="single"/>
          </w:rPr>
          <w:t>https://www.cambridge.org/core/journals/work-employment-and-society/article/women-in-the-indian-informal-economy-collective-strategies-for-work-life-improvement-and-development/AE519EF47109F3C1806F8BD7C503CBB2</w:t>
        </w:r>
      </w:hyperlink>
    </w:p>
    <w:p w14:paraId="720A6A91" w14:textId="77777777" w:rsidR="005C1134" w:rsidRPr="006B5685" w:rsidRDefault="00387A25" w:rsidP="00387A25">
      <w:pPr>
        <w:tabs>
          <w:tab w:val="left" w:pos="360"/>
        </w:tabs>
        <w:spacing w:before="240" w:after="240" w:line="360" w:lineRule="auto"/>
        <w:rPr>
          <w:rFonts w:ascii="Arial Black" w:hAnsi="Arial Black"/>
          <w:color w:val="1155CC"/>
          <w:sz w:val="24"/>
          <w:szCs w:val="24"/>
          <w:u w:val="single"/>
        </w:rPr>
      </w:pPr>
      <w:r w:rsidRPr="006B5685">
        <w:rPr>
          <w:rFonts w:ascii="Arial Black" w:hAnsi="Arial Black"/>
          <w:i/>
          <w:sz w:val="24"/>
          <w:szCs w:val="24"/>
        </w:rPr>
        <w:t>7.</w:t>
      </w:r>
      <w:r w:rsidRPr="006B5685">
        <w:rPr>
          <w:rFonts w:ascii="Arial Black" w:hAnsi="Arial Black"/>
          <w:sz w:val="24"/>
          <w:szCs w:val="24"/>
        </w:rPr>
        <w:t xml:space="preserve">  </w:t>
      </w:r>
      <w:r w:rsidRPr="006B5685">
        <w:rPr>
          <w:rFonts w:ascii="Arial Black" w:hAnsi="Arial Black"/>
          <w:sz w:val="24"/>
          <w:szCs w:val="24"/>
        </w:rPr>
        <w:tab/>
      </w:r>
      <w:r w:rsidRPr="006B5685">
        <w:rPr>
          <w:rFonts w:ascii="Arial Black" w:hAnsi="Arial Black"/>
          <w:i/>
          <w:sz w:val="24"/>
          <w:szCs w:val="24"/>
        </w:rPr>
        <w:t>Smartnet</w:t>
      </w:r>
      <w:r w:rsidRPr="006B5685">
        <w:rPr>
          <w:rFonts w:ascii="Arial Black" w:hAnsi="Arial Black"/>
          <w:sz w:val="24"/>
          <w:szCs w:val="24"/>
        </w:rPr>
        <w:t>. (n.d.). Retrieved January 30, 2024, from</w:t>
      </w:r>
      <w:hyperlink r:id="rId43">
        <w:r w:rsidRPr="006B5685">
          <w:rPr>
            <w:rFonts w:ascii="Arial Black" w:hAnsi="Arial Black"/>
            <w:sz w:val="24"/>
            <w:szCs w:val="24"/>
          </w:rPr>
          <w:t xml:space="preserve"> </w:t>
        </w:r>
      </w:hyperlink>
      <w:hyperlink r:id="rId44">
        <w:r w:rsidRPr="006B5685">
          <w:rPr>
            <w:rFonts w:ascii="Arial Black" w:hAnsi="Arial Black"/>
            <w:color w:val="1155CC"/>
            <w:sz w:val="24"/>
            <w:szCs w:val="24"/>
            <w:u w:val="single"/>
          </w:rPr>
          <w:t>https://smartnet.niua.org/</w:t>
        </w:r>
      </w:hyperlink>
    </w:p>
    <w:sectPr w:rsidR="005C1134" w:rsidRPr="006B5685" w:rsidSect="00F46578">
      <w:headerReference w:type="even" r:id="rId45"/>
      <w:headerReference w:type="default" r:id="rId46"/>
      <w:footerReference w:type="even" r:id="rId47"/>
      <w:footerReference w:type="default" r:id="rId48"/>
      <w:headerReference w:type="first" r:id="rId49"/>
      <w:footerReference w:type="first" r:id="rId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895D6" w14:textId="77777777" w:rsidR="007C43FE" w:rsidRDefault="007C43FE" w:rsidP="00C37E61">
      <w:r>
        <w:separator/>
      </w:r>
    </w:p>
  </w:endnote>
  <w:endnote w:type="continuationSeparator" w:id="0">
    <w:p w14:paraId="785C5A50" w14:textId="77777777" w:rsidR="007C43FE" w:rsidRDefault="007C43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3E25" w14:textId="77777777" w:rsidR="008C17A8" w:rsidRDefault="008C1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15AD" w14:textId="77777777" w:rsidR="0004526B" w:rsidRPr="00753D9A" w:rsidRDefault="0004526B" w:rsidP="00CC61DD">
    <w:pPr>
      <w:spacing w:before="240"/>
      <w:rPr>
        <w:rFonts w:ascii="Times New Roman" w:hAnsi="Times New Roman"/>
        <w:b/>
        <w:sz w:val="24"/>
        <w:szCs w:val="24"/>
        <w:vertAlign w:val="superscript"/>
      </w:rPr>
    </w:pPr>
  </w:p>
  <w:p w14:paraId="7BEC60B7" w14:textId="77777777" w:rsidR="0004526B" w:rsidRDefault="0004526B"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B529" w14:textId="77777777" w:rsidR="0004526B" w:rsidRDefault="0004526B">
    <w:pPr>
      <w:pStyle w:val="Footer"/>
      <w:rPr>
        <w:rFonts w:ascii="Arial" w:hAnsi="Arial" w:cs="Arial"/>
        <w:sz w:val="16"/>
      </w:rPr>
    </w:pPr>
  </w:p>
  <w:p w14:paraId="48AFA1E9" w14:textId="77777777" w:rsidR="0004526B" w:rsidRDefault="0004526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4E35472" w14:textId="77777777" w:rsidR="0004526B" w:rsidRDefault="0004526B">
    <w:pPr>
      <w:pStyle w:val="Footer"/>
      <w:rPr>
        <w:rFonts w:ascii="Arial" w:hAnsi="Arial" w:cs="Arial"/>
        <w:sz w:val="16"/>
      </w:rPr>
    </w:pPr>
  </w:p>
  <w:p w14:paraId="702B42FF" w14:textId="77777777" w:rsidR="0004526B" w:rsidRPr="009E048A" w:rsidRDefault="0004526B">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D0EBD" w14:textId="77777777" w:rsidR="007C43FE" w:rsidRDefault="007C43FE" w:rsidP="00C37E61">
      <w:r>
        <w:separator/>
      </w:r>
    </w:p>
  </w:footnote>
  <w:footnote w:type="continuationSeparator" w:id="0">
    <w:p w14:paraId="395D3007" w14:textId="77777777" w:rsidR="007C43FE" w:rsidRDefault="007C43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860B" w14:textId="4763508A" w:rsidR="008C17A8" w:rsidRDefault="007C43FE">
    <w:pPr>
      <w:pStyle w:val="Header"/>
    </w:pPr>
    <w:r>
      <w:rPr>
        <w:noProof/>
      </w:rPr>
      <w:pict w14:anchorId="01878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52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DE19" w14:textId="6D1DBD09" w:rsidR="008C17A8" w:rsidRDefault="007C43FE">
    <w:pPr>
      <w:pStyle w:val="Header"/>
    </w:pPr>
    <w:r>
      <w:rPr>
        <w:noProof/>
      </w:rPr>
      <w:pict w14:anchorId="0F59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52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6E4D" w14:textId="59AFF1EF" w:rsidR="0004526B" w:rsidRPr="00296529" w:rsidRDefault="007C43FE" w:rsidP="00296529">
    <w:pPr>
      <w:ind w:left="2160"/>
      <w:jc w:val="center"/>
      <w:rPr>
        <w:rFonts w:ascii="Times New Roman" w:eastAsia="Calibri" w:hAnsi="Times New Roman"/>
        <w:i/>
        <w:sz w:val="18"/>
        <w:szCs w:val="22"/>
      </w:rPr>
    </w:pPr>
    <w:r>
      <w:rPr>
        <w:noProof/>
      </w:rPr>
      <w:pict w14:anchorId="08AC6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52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267F0C" w14:textId="77777777" w:rsidR="0004526B" w:rsidRPr="00296529" w:rsidRDefault="0004526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E4F1F6" w14:textId="77777777" w:rsidR="0004526B" w:rsidRPr="00296529" w:rsidRDefault="0004526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2334ED" w14:textId="77777777" w:rsidR="0004526B" w:rsidRPr="00296529" w:rsidRDefault="0004526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B2114F" w14:textId="77777777" w:rsidR="0004526B" w:rsidRDefault="0004526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4ED9CA" w14:textId="77777777" w:rsidR="0004526B" w:rsidRDefault="0004526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060F45" w14:textId="77777777" w:rsidR="0004526B" w:rsidRDefault="0004526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26B"/>
    <w:rsid w:val="0004579C"/>
    <w:rsid w:val="000A47FA"/>
    <w:rsid w:val="000A65D3"/>
    <w:rsid w:val="000B1E33"/>
    <w:rsid w:val="000D689F"/>
    <w:rsid w:val="000E0D12"/>
    <w:rsid w:val="000E7B7B"/>
    <w:rsid w:val="000E7D62"/>
    <w:rsid w:val="000F74D5"/>
    <w:rsid w:val="0010152F"/>
    <w:rsid w:val="00103357"/>
    <w:rsid w:val="00123C9F"/>
    <w:rsid w:val="00126190"/>
    <w:rsid w:val="00130F17"/>
    <w:rsid w:val="001320BF"/>
    <w:rsid w:val="00163BC4"/>
    <w:rsid w:val="00190608"/>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7E31"/>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A25"/>
    <w:rsid w:val="0039224F"/>
    <w:rsid w:val="003A2357"/>
    <w:rsid w:val="003A43A4"/>
    <w:rsid w:val="003A7E18"/>
    <w:rsid w:val="003C4C86"/>
    <w:rsid w:val="003C6258"/>
    <w:rsid w:val="003E2904"/>
    <w:rsid w:val="00401927"/>
    <w:rsid w:val="0040410B"/>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75E"/>
    <w:rsid w:val="0053056E"/>
    <w:rsid w:val="00554FDA"/>
    <w:rsid w:val="00591414"/>
    <w:rsid w:val="005C113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1483"/>
    <w:rsid w:val="006967F7"/>
    <w:rsid w:val="006A250C"/>
    <w:rsid w:val="006B21D3"/>
    <w:rsid w:val="006B5685"/>
    <w:rsid w:val="006B57D0"/>
    <w:rsid w:val="006D031C"/>
    <w:rsid w:val="006D30FF"/>
    <w:rsid w:val="006D6940"/>
    <w:rsid w:val="006F11EC"/>
    <w:rsid w:val="0070082C"/>
    <w:rsid w:val="00724CDC"/>
    <w:rsid w:val="007369E6"/>
    <w:rsid w:val="00746E59"/>
    <w:rsid w:val="00754C9A"/>
    <w:rsid w:val="0075599A"/>
    <w:rsid w:val="00761D52"/>
    <w:rsid w:val="00763ED3"/>
    <w:rsid w:val="0077749E"/>
    <w:rsid w:val="00790ADA"/>
    <w:rsid w:val="007C43FE"/>
    <w:rsid w:val="007D2288"/>
    <w:rsid w:val="007E088F"/>
    <w:rsid w:val="007F7B32"/>
    <w:rsid w:val="00804BC2"/>
    <w:rsid w:val="0081431A"/>
    <w:rsid w:val="0083216F"/>
    <w:rsid w:val="00860000"/>
    <w:rsid w:val="00863BD3"/>
    <w:rsid w:val="008641ED"/>
    <w:rsid w:val="00866D66"/>
    <w:rsid w:val="008671C6"/>
    <w:rsid w:val="00875803"/>
    <w:rsid w:val="008B459E"/>
    <w:rsid w:val="008C17A8"/>
    <w:rsid w:val="008E13AE"/>
    <w:rsid w:val="008E1506"/>
    <w:rsid w:val="008E710C"/>
    <w:rsid w:val="008F69D6"/>
    <w:rsid w:val="00902823"/>
    <w:rsid w:val="00915CA6"/>
    <w:rsid w:val="00927834"/>
    <w:rsid w:val="009500A6"/>
    <w:rsid w:val="00957C18"/>
    <w:rsid w:val="009659BA"/>
    <w:rsid w:val="00983040"/>
    <w:rsid w:val="0099454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642"/>
    <w:rsid w:val="00A347C0"/>
    <w:rsid w:val="00A51431"/>
    <w:rsid w:val="00A539AD"/>
    <w:rsid w:val="00A93DE0"/>
    <w:rsid w:val="00A94063"/>
    <w:rsid w:val="00AA4FFA"/>
    <w:rsid w:val="00AA6219"/>
    <w:rsid w:val="00AA74E0"/>
    <w:rsid w:val="00AB703F"/>
    <w:rsid w:val="00AC6BB8"/>
    <w:rsid w:val="00AC6E5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6A5"/>
    <w:rsid w:val="00C166EF"/>
    <w:rsid w:val="00C17EB0"/>
    <w:rsid w:val="00C27F5F"/>
    <w:rsid w:val="00C30A0F"/>
    <w:rsid w:val="00C34A62"/>
    <w:rsid w:val="00C37E61"/>
    <w:rsid w:val="00C70F1B"/>
    <w:rsid w:val="00C71A47"/>
    <w:rsid w:val="00C7464C"/>
    <w:rsid w:val="00C85588"/>
    <w:rsid w:val="00CC61DD"/>
    <w:rsid w:val="00CC6795"/>
    <w:rsid w:val="00CD6755"/>
    <w:rsid w:val="00CD6856"/>
    <w:rsid w:val="00CE0089"/>
    <w:rsid w:val="00CE793C"/>
    <w:rsid w:val="00CF193C"/>
    <w:rsid w:val="00D173F1"/>
    <w:rsid w:val="00D4475D"/>
    <w:rsid w:val="00D74CB0"/>
    <w:rsid w:val="00D8295D"/>
    <w:rsid w:val="00DC2A65"/>
    <w:rsid w:val="00DE15F0"/>
    <w:rsid w:val="00DE5663"/>
    <w:rsid w:val="00DE78AA"/>
    <w:rsid w:val="00DF3844"/>
    <w:rsid w:val="00E053D0"/>
    <w:rsid w:val="00E15994"/>
    <w:rsid w:val="00E3114E"/>
    <w:rsid w:val="00E31A70"/>
    <w:rsid w:val="00E35B02"/>
    <w:rsid w:val="00E550AC"/>
    <w:rsid w:val="00E66496"/>
    <w:rsid w:val="00E66B35"/>
    <w:rsid w:val="00E66E10"/>
    <w:rsid w:val="00E769F6"/>
    <w:rsid w:val="00E8407C"/>
    <w:rsid w:val="00E84F3C"/>
    <w:rsid w:val="00E92620"/>
    <w:rsid w:val="00E93319"/>
    <w:rsid w:val="00EA012C"/>
    <w:rsid w:val="00EC6A55"/>
    <w:rsid w:val="00ED0288"/>
    <w:rsid w:val="00EE52CB"/>
    <w:rsid w:val="00EF581D"/>
    <w:rsid w:val="00EF7FD8"/>
    <w:rsid w:val="00F06F59"/>
    <w:rsid w:val="00F17988"/>
    <w:rsid w:val="00F26730"/>
    <w:rsid w:val="00F46578"/>
    <w:rsid w:val="00F469F0"/>
    <w:rsid w:val="00F53273"/>
    <w:rsid w:val="00F7471C"/>
    <w:rsid w:val="00F755E4"/>
    <w:rsid w:val="00F77D02"/>
    <w:rsid w:val="00FA3FC8"/>
    <w:rsid w:val="00FB3A86"/>
    <w:rsid w:val="00FD36C8"/>
    <w:rsid w:val="00FF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10FE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F7471C"/>
    <w:rPr>
      <w:rFonts w:ascii="Arial" w:eastAsia="Arial" w:hAnsi="Arial" w:cs="Arial"/>
      <w:sz w:val="22"/>
      <w:szCs w:val="22"/>
      <w:lang w:val="en"/>
    </w:rPr>
  </w:style>
  <w:style w:type="character" w:styleId="Strong">
    <w:name w:val="Strong"/>
    <w:basedOn w:val="DefaultParagraphFont"/>
    <w:uiPriority w:val="22"/>
    <w:qFormat/>
    <w:rsid w:val="005C1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896920518765925" TargetMode="External"/><Relationship Id="rId18" Type="http://schemas.openxmlformats.org/officeDocument/2006/relationships/hyperlink" Target="https://about.jstor.org/terms" TargetMode="External"/><Relationship Id="rId26" Type="http://schemas.openxmlformats.org/officeDocument/2006/relationships/hyperlink" Target="https://www.researchgate.net/publication/326261152" TargetMode="External"/><Relationship Id="rId39" Type="http://schemas.openxmlformats.org/officeDocument/2006/relationships/hyperlink" Target="https://journals.sagepub.com/doi/abs/10.1177/0002716287493001006" TargetMode="External"/><Relationship Id="rId21" Type="http://schemas.openxmlformats.org/officeDocument/2006/relationships/hyperlink" Target="https://doi.org/10.1177/09500170122119101" TargetMode="External"/><Relationship Id="rId34" Type="http://schemas.openxmlformats.org/officeDocument/2006/relationships/hyperlink" Target="https://forumias.com/blog/domestic-workers-in-india-status-and-issues-explained-pointwise/" TargetMode="External"/><Relationship Id="rId42" Type="http://schemas.openxmlformats.org/officeDocument/2006/relationships/hyperlink" Target="https://www.cambridge.org/core/journals/work-employment-and-society/article/women-in-the-indian-informal-economy-collective-strategies-for-work-life-improvement-and-development/AE519EF47109F3C1806F8BD7C503CBB2"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552074.2010.491335" TargetMode="External"/><Relationship Id="rId29" Type="http://schemas.openxmlformats.org/officeDocument/2006/relationships/hyperlink" Target="https://doi.org/10.1177/09731741231164872" TargetMode="External"/><Relationship Id="rId11" Type="http://schemas.openxmlformats.org/officeDocument/2006/relationships/chart" Target="charts/chart3.xml"/><Relationship Id="rId24" Type="http://schemas.openxmlformats.org/officeDocument/2006/relationships/hyperlink" Target="https://doi.org/10.3138/cjwl.23.1.097" TargetMode="External"/><Relationship Id="rId32" Type="http://schemas.openxmlformats.org/officeDocument/2006/relationships/hyperlink" Target="https://timesofindia.indiatimes.com/business/budget/budget-2024-social-security-to-millions-of-domestic-workers-minimum-wage-pension-under-consideration/articleshow/106718231.cms" TargetMode="External"/><Relationship Id="rId37" Type="http://schemas.openxmlformats.org/officeDocument/2006/relationships/hyperlink" Target="https://theleaflet.in/domestic-work-a-bleak-reality-of-missing-laws-and-inadequate-rights/" TargetMode="External"/><Relationship Id="rId40" Type="http://schemas.openxmlformats.org/officeDocument/2006/relationships/hyperlink" Target="https://journals.sagepub.com/doi/abs/10.1177/0002716287493001006"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doi.org/10.1108/IJSE-01-2021-0031" TargetMode="External"/><Relationship Id="rId31" Type="http://schemas.openxmlformats.org/officeDocument/2006/relationships/hyperlink" Target="https://timesofindia.indiatimes.com/business/budget/budget-2024-social-security-to-millions-of-domestic-workers-minimum-wage-pension-under-consideration/articleshow/106718231.cms" TargetMode="External"/><Relationship Id="rId44" Type="http://schemas.openxmlformats.org/officeDocument/2006/relationships/hyperlink" Target="https://smartnet.niua.org/"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5640/jssw.v4n2a11" TargetMode="External"/><Relationship Id="rId22" Type="http://schemas.openxmlformats.org/officeDocument/2006/relationships/hyperlink" Target="https://doi.org/10.1177/09500170122119101" TargetMode="External"/><Relationship Id="rId27" Type="http://schemas.openxmlformats.org/officeDocument/2006/relationships/hyperlink" Target="https://doi.org/10.1080/09663699725387" TargetMode="External"/><Relationship Id="rId30" Type="http://schemas.openxmlformats.org/officeDocument/2006/relationships/hyperlink" Target="http://www.ijissh.org" TargetMode="External"/><Relationship Id="rId35" Type="http://schemas.openxmlformats.org/officeDocument/2006/relationships/hyperlink" Target="https://forumias.com/blog/domestic-workers-in-india-status-and-issues-explained-pointwise/" TargetMode="External"/><Relationship Id="rId43" Type="http://schemas.openxmlformats.org/officeDocument/2006/relationships/hyperlink" Target="https://smartnet.niua.org/" TargetMode="External"/><Relationship Id="rId48" Type="http://schemas.openxmlformats.org/officeDocument/2006/relationships/footer" Target="footer2.xm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doi.org/10.1080/12259276.2021.1965365" TargetMode="External"/><Relationship Id="rId25" Type="http://schemas.openxmlformats.org/officeDocument/2006/relationships/hyperlink" Target="https://doi.org/10.1007/978-981-13-5764-0_9" TargetMode="External"/><Relationship Id="rId33" Type="http://schemas.openxmlformats.org/officeDocument/2006/relationships/hyperlink" Target="https://forumias.com/blog/domestic-workers-in-india-status-and-issues-explained-pointwise/" TargetMode="External"/><Relationship Id="rId38" Type="http://schemas.openxmlformats.org/officeDocument/2006/relationships/hyperlink" Target="https://theleaflet.in/domestic-work-a-bleak-reality-of-missing-laws-and-inadequate-rights/" TargetMode="External"/><Relationship Id="rId46" Type="http://schemas.openxmlformats.org/officeDocument/2006/relationships/header" Target="header2.xml"/><Relationship Id="rId20" Type="http://schemas.openxmlformats.org/officeDocument/2006/relationships/hyperlink" Target="https://doi.org/10.1111/aswp.12076" TargetMode="External"/><Relationship Id="rId41" Type="http://schemas.openxmlformats.org/officeDocument/2006/relationships/hyperlink" Target="https://www.cambridge.org/core/journals/work-employment-and-society/article/women-in-the-indian-informal-economy-collective-strategies-for-work-life-improvement-and-development/AE519EF47109F3C1806F8BD7C503CBB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41027-020-00223-8" TargetMode="External"/><Relationship Id="rId23" Type="http://schemas.openxmlformats.org/officeDocument/2006/relationships/hyperlink" Target="https://doi.org/10.1179/2049396713Y.0000000041" TargetMode="External"/><Relationship Id="rId28" Type="http://schemas.openxmlformats.org/officeDocument/2006/relationships/hyperlink" Target="https://doi.org/10.1177/00194662211023845" TargetMode="External"/><Relationship Id="rId36" Type="http://schemas.openxmlformats.org/officeDocument/2006/relationships/hyperlink" Target="https://forumias.com/blog/domestic-workers-in-india-status-and-issues-explained-pointwise/" TargetMode="Externa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Women%20Domestic%20work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Women%20Domestic%20work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Women%20Domestic%20work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Sheet2!$B$2</c:f>
              <c:strCache>
                <c:ptCount val="1"/>
                <c:pt idx="0">
                  <c:v>Response</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Sheet2!$A$3:$A$7</c:f>
              <c:strCache>
                <c:ptCount val="5"/>
                <c:pt idx="0">
                  <c:v>15-25</c:v>
                </c:pt>
                <c:pt idx="1">
                  <c:v>25-35</c:v>
                </c:pt>
                <c:pt idx="2">
                  <c:v>35-45</c:v>
                </c:pt>
                <c:pt idx="3">
                  <c:v>45-55</c:v>
                </c:pt>
                <c:pt idx="4">
                  <c:v>55-65</c:v>
                </c:pt>
              </c:strCache>
            </c:strRef>
          </c:cat>
          <c:val>
            <c:numRef>
              <c:f>Sheet2!$B$3:$B$7</c:f>
              <c:numCache>
                <c:formatCode>General</c:formatCode>
                <c:ptCount val="5"/>
                <c:pt idx="0">
                  <c:v>27</c:v>
                </c:pt>
                <c:pt idx="1">
                  <c:v>23</c:v>
                </c:pt>
                <c:pt idx="2">
                  <c:v>35</c:v>
                </c:pt>
                <c:pt idx="3">
                  <c:v>10</c:v>
                </c:pt>
                <c:pt idx="4">
                  <c:v>5</c:v>
                </c:pt>
              </c:numCache>
            </c:numRef>
          </c:val>
          <c:extLst>
            <c:ext xmlns:c16="http://schemas.microsoft.com/office/drawing/2014/chart" uri="{C3380CC4-5D6E-409C-BE32-E72D297353CC}">
              <c16:uniqueId val="{00000000-05FB-4B79-94D9-019E3610CDC3}"/>
            </c:ext>
          </c:extLst>
        </c:ser>
        <c:dLbls>
          <c:showLegendKey val="0"/>
          <c:showVal val="1"/>
          <c:showCatName val="0"/>
          <c:showSerName val="0"/>
          <c:showPercent val="0"/>
          <c:showBubbleSize val="0"/>
        </c:dLbls>
        <c:gapWidth val="150"/>
        <c:shape val="box"/>
        <c:axId val="484212200"/>
        <c:axId val="484206952"/>
        <c:axId val="0"/>
      </c:bar3DChart>
      <c:catAx>
        <c:axId val="4842122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Age of the Respondents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4206952"/>
        <c:crosses val="autoZero"/>
        <c:auto val="1"/>
        <c:lblAlgn val="ctr"/>
        <c:lblOffset val="100"/>
        <c:noMultiLvlLbl val="0"/>
      </c:catAx>
      <c:valAx>
        <c:axId val="4842069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Respondents (In Numbers)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4212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Sheet3!$C$3</c:f>
              <c:strCache>
                <c:ptCount val="1"/>
                <c:pt idx="0">
                  <c:v>Response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36B-4FAD-AFFF-C4C47B3AF33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36B-4FAD-AFFF-C4C47B3AF33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36B-4FAD-AFFF-C4C47B3AF33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36B-4FAD-AFFF-C4C47B3AF33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36B-4FAD-AFFF-C4C47B3AF33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C36B-4FAD-AFFF-C4C47B3AF33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C36B-4FAD-AFFF-C4C47B3AF33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C36B-4FAD-AFFF-C4C47B3AF33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C36B-4FAD-AFFF-C4C47B3AF33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C36B-4FAD-AFFF-C4C47B3AF339}"/>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Sheet3!$B$4:$B$8</c:f>
              <c:strCache>
                <c:ptCount val="5"/>
                <c:pt idx="0">
                  <c:v>10.000-15.000</c:v>
                </c:pt>
                <c:pt idx="1">
                  <c:v>15,000-20,000</c:v>
                </c:pt>
                <c:pt idx="2">
                  <c:v>20.000-25,000</c:v>
                </c:pt>
                <c:pt idx="3">
                  <c:v>25,000-30,000</c:v>
                </c:pt>
                <c:pt idx="4">
                  <c:v>30,000-40,000</c:v>
                </c:pt>
              </c:strCache>
            </c:strRef>
          </c:cat>
          <c:val>
            <c:numRef>
              <c:f>Sheet3!$C$4:$C$8</c:f>
              <c:numCache>
                <c:formatCode>General</c:formatCode>
                <c:ptCount val="5"/>
                <c:pt idx="0">
                  <c:v>28</c:v>
                </c:pt>
                <c:pt idx="1">
                  <c:v>21</c:v>
                </c:pt>
                <c:pt idx="2">
                  <c:v>15</c:v>
                </c:pt>
                <c:pt idx="3">
                  <c:v>24</c:v>
                </c:pt>
                <c:pt idx="4">
                  <c:v>12</c:v>
                </c:pt>
              </c:numCache>
            </c:numRef>
          </c:val>
          <c:extLst>
            <c:ext xmlns:c16="http://schemas.microsoft.com/office/drawing/2014/chart" uri="{C3380CC4-5D6E-409C-BE32-E72D297353CC}">
              <c16:uniqueId val="{0000000A-C36B-4FAD-AFFF-C4C47B3AF339}"/>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Sheet5!$C$4</c:f>
              <c:strCache>
                <c:ptCount val="1"/>
                <c:pt idx="0">
                  <c:v>Response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31-4BEA-B135-02DED860B36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31-4BEA-B135-02DED860B3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Sheet5!$B$5:$B$6</c:f>
              <c:strCache>
                <c:ptCount val="2"/>
                <c:pt idx="0">
                  <c:v>Yes</c:v>
                </c:pt>
                <c:pt idx="1">
                  <c:v>No</c:v>
                </c:pt>
              </c:strCache>
            </c:strRef>
          </c:cat>
          <c:val>
            <c:numRef>
              <c:f>Sheet5!$C$5:$C$6</c:f>
              <c:numCache>
                <c:formatCode>General</c:formatCode>
                <c:ptCount val="2"/>
                <c:pt idx="0">
                  <c:v>73</c:v>
                </c:pt>
                <c:pt idx="1">
                  <c:v>27</c:v>
                </c:pt>
              </c:numCache>
            </c:numRef>
          </c:val>
          <c:extLst>
            <c:ext xmlns:c16="http://schemas.microsoft.com/office/drawing/2014/chart" uri="{C3380CC4-5D6E-409C-BE32-E72D297353CC}">
              <c16:uniqueId val="{00000004-0631-4BEA-B135-02DED860B36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Sheet6!$C$3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Sheet6!$B$4:$B$8</c:f>
              <c:strCache>
                <c:ptCount val="5"/>
                <c:pt idx="0">
                  <c:v>E-Sharm Card</c:v>
                </c:pt>
                <c:pt idx="1">
                  <c:v>PMSY-Pension Yojana</c:v>
                </c:pt>
                <c:pt idx="2">
                  <c:v>SB Account</c:v>
                </c:pt>
                <c:pt idx="3">
                  <c:v>Minimum Wage Act</c:v>
                </c:pt>
                <c:pt idx="4">
                  <c:v>Self  Help Groups</c:v>
                </c:pt>
              </c:strCache>
            </c:strRef>
          </c:cat>
          <c:val>
            <c:numRef>
              <c:f>Sheet6!$C$4:$C$8</c:f>
              <c:numCache>
                <c:formatCode>General</c:formatCode>
                <c:ptCount val="5"/>
                <c:pt idx="0">
                  <c:v>19</c:v>
                </c:pt>
                <c:pt idx="1">
                  <c:v>36</c:v>
                </c:pt>
                <c:pt idx="2">
                  <c:v>95</c:v>
                </c:pt>
                <c:pt idx="3">
                  <c:v>100</c:v>
                </c:pt>
                <c:pt idx="4">
                  <c:v>44</c:v>
                </c:pt>
              </c:numCache>
            </c:numRef>
          </c:val>
          <c:extLst>
            <c:ext xmlns:c16="http://schemas.microsoft.com/office/drawing/2014/chart" uri="{C3380CC4-5D6E-409C-BE32-E72D297353CC}">
              <c16:uniqueId val="{00000000-7DEF-4350-A1AC-A4FB4B71B949}"/>
            </c:ext>
          </c:extLst>
        </c:ser>
        <c:ser>
          <c:idx val="1"/>
          <c:order val="1"/>
          <c:tx>
            <c:strRef>
              <c:f>Sheet6!$D$3</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Sheet6!$B$4:$B$8</c:f>
              <c:strCache>
                <c:ptCount val="5"/>
                <c:pt idx="0">
                  <c:v>E-Sharm Card</c:v>
                </c:pt>
                <c:pt idx="1">
                  <c:v>PMSY-Pension Yojana</c:v>
                </c:pt>
                <c:pt idx="2">
                  <c:v>SB Account</c:v>
                </c:pt>
                <c:pt idx="3">
                  <c:v>Minimum Wage Act</c:v>
                </c:pt>
                <c:pt idx="4">
                  <c:v>Self  Help Groups</c:v>
                </c:pt>
              </c:strCache>
            </c:strRef>
          </c:cat>
          <c:val>
            <c:numRef>
              <c:f>Sheet6!$D$4:$D$8</c:f>
              <c:numCache>
                <c:formatCode>General</c:formatCode>
                <c:ptCount val="5"/>
                <c:pt idx="0">
                  <c:v>81</c:v>
                </c:pt>
                <c:pt idx="1">
                  <c:v>65</c:v>
                </c:pt>
                <c:pt idx="2">
                  <c:v>5</c:v>
                </c:pt>
                <c:pt idx="3">
                  <c:v>0</c:v>
                </c:pt>
                <c:pt idx="4">
                  <c:v>56</c:v>
                </c:pt>
              </c:numCache>
            </c:numRef>
          </c:val>
          <c:extLst>
            <c:ext xmlns:c16="http://schemas.microsoft.com/office/drawing/2014/chart" uri="{C3380CC4-5D6E-409C-BE32-E72D297353CC}">
              <c16:uniqueId val="{00000001-7DEF-4350-A1AC-A4FB4B71B949}"/>
            </c:ext>
          </c:extLst>
        </c:ser>
        <c:dLbls>
          <c:dLblPos val="outEnd"/>
          <c:showLegendKey val="0"/>
          <c:showVal val="1"/>
          <c:showCatName val="0"/>
          <c:showSerName val="0"/>
          <c:showPercent val="0"/>
          <c:showBubbleSize val="0"/>
        </c:dLbls>
        <c:gapWidth val="219"/>
        <c:overlap val="-27"/>
        <c:axId val="482053488"/>
        <c:axId val="482052504"/>
      </c:barChart>
      <c:catAx>
        <c:axId val="482053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Social</a:t>
                </a:r>
                <a:r>
                  <a:rPr lang="en-IN" baseline="0"/>
                  <a:t> Security Measures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52504"/>
        <c:crosses val="autoZero"/>
        <c:auto val="1"/>
        <c:lblAlgn val="ctr"/>
        <c:lblOffset val="100"/>
        <c:noMultiLvlLbl val="0"/>
      </c:catAx>
      <c:valAx>
        <c:axId val="482052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53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D8ACC4C270439B9C8DDEA095BF4188"/>
        <w:category>
          <w:name w:val="General"/>
          <w:gallery w:val="placeholder"/>
        </w:category>
        <w:types>
          <w:type w:val="bbPlcHdr"/>
        </w:types>
        <w:behaviors>
          <w:behavior w:val="content"/>
        </w:behaviors>
        <w:guid w:val="{91ACF897-9590-43FD-B5A7-3505014BCD5D}"/>
      </w:docPartPr>
      <w:docPartBody>
        <w:p w:rsidR="0001064E" w:rsidRDefault="00117BDD" w:rsidP="00117BDD">
          <w:pPr>
            <w:pStyle w:val="E8D8ACC4C270439B9C8DDEA095BF4188"/>
          </w:pPr>
          <w:r w:rsidRPr="00304F47">
            <w:rPr>
              <w:rStyle w:val="PlaceholderText"/>
            </w:rPr>
            <w:t>Click or tap here to enter text.</w:t>
          </w:r>
        </w:p>
      </w:docPartBody>
    </w:docPart>
    <w:docPart>
      <w:docPartPr>
        <w:name w:val="0A4FE7CE09154CC38302519F45DA3A8D"/>
        <w:category>
          <w:name w:val="General"/>
          <w:gallery w:val="placeholder"/>
        </w:category>
        <w:types>
          <w:type w:val="bbPlcHdr"/>
        </w:types>
        <w:behaviors>
          <w:behavior w:val="content"/>
        </w:behaviors>
        <w:guid w:val="{35387D89-BF8D-480A-9695-01E779728005}"/>
      </w:docPartPr>
      <w:docPartBody>
        <w:p w:rsidR="0001064E" w:rsidRDefault="00117BDD" w:rsidP="00117BDD">
          <w:pPr>
            <w:pStyle w:val="0A4FE7CE09154CC38302519F45DA3A8D"/>
          </w:pPr>
          <w:r w:rsidRPr="00304F47">
            <w:rPr>
              <w:rStyle w:val="PlaceholderText"/>
            </w:rPr>
            <w:t>Click or tap here to enter text.</w:t>
          </w:r>
        </w:p>
      </w:docPartBody>
    </w:docPart>
    <w:docPart>
      <w:docPartPr>
        <w:name w:val="9FC691E1DAC04DAEA059844DE2B20B54"/>
        <w:category>
          <w:name w:val="General"/>
          <w:gallery w:val="placeholder"/>
        </w:category>
        <w:types>
          <w:type w:val="bbPlcHdr"/>
        </w:types>
        <w:behaviors>
          <w:behavior w:val="content"/>
        </w:behaviors>
        <w:guid w:val="{F55890A6-0DD3-4DEA-87B5-9EEBB58779CF}"/>
      </w:docPartPr>
      <w:docPartBody>
        <w:p w:rsidR="0001064E" w:rsidRDefault="00117BDD" w:rsidP="00117BDD">
          <w:pPr>
            <w:pStyle w:val="9FC691E1DAC04DAEA059844DE2B20B54"/>
          </w:pPr>
          <w:r w:rsidRPr="00304F47">
            <w:rPr>
              <w:rStyle w:val="PlaceholderText"/>
            </w:rPr>
            <w:t>Click or tap here to enter text.</w:t>
          </w:r>
        </w:p>
      </w:docPartBody>
    </w:docPart>
    <w:docPart>
      <w:docPartPr>
        <w:name w:val="B37CA56BB8FB43DDA6EE4042A836CBA1"/>
        <w:category>
          <w:name w:val="General"/>
          <w:gallery w:val="placeholder"/>
        </w:category>
        <w:types>
          <w:type w:val="bbPlcHdr"/>
        </w:types>
        <w:behaviors>
          <w:behavior w:val="content"/>
        </w:behaviors>
        <w:guid w:val="{4521E139-D356-47ED-B44B-98129904843D}"/>
      </w:docPartPr>
      <w:docPartBody>
        <w:p w:rsidR="0001064E" w:rsidRDefault="00117BDD" w:rsidP="00117BDD">
          <w:pPr>
            <w:pStyle w:val="B37CA56BB8FB43DDA6EE4042A836CBA1"/>
          </w:pPr>
          <w:r w:rsidRPr="00304F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DD"/>
    <w:rsid w:val="0001064E"/>
    <w:rsid w:val="00017D47"/>
    <w:rsid w:val="00117BDD"/>
    <w:rsid w:val="003A2357"/>
    <w:rsid w:val="00A65F00"/>
    <w:rsid w:val="00AF71F9"/>
    <w:rsid w:val="00BA7755"/>
    <w:rsid w:val="00C146A5"/>
    <w:rsid w:val="00E83E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BDD"/>
    <w:rPr>
      <w:color w:val="808080"/>
    </w:rPr>
  </w:style>
  <w:style w:type="paragraph" w:customStyle="1" w:styleId="E8D8ACC4C270439B9C8DDEA095BF4188">
    <w:name w:val="E8D8ACC4C270439B9C8DDEA095BF4188"/>
    <w:rsid w:val="00117BDD"/>
  </w:style>
  <w:style w:type="paragraph" w:customStyle="1" w:styleId="0A4FE7CE09154CC38302519F45DA3A8D">
    <w:name w:val="0A4FE7CE09154CC38302519F45DA3A8D"/>
    <w:rsid w:val="00117BDD"/>
  </w:style>
  <w:style w:type="paragraph" w:customStyle="1" w:styleId="9FC691E1DAC04DAEA059844DE2B20B54">
    <w:name w:val="9FC691E1DAC04DAEA059844DE2B20B54"/>
    <w:rsid w:val="00117BDD"/>
  </w:style>
  <w:style w:type="paragraph" w:customStyle="1" w:styleId="B37CA56BB8FB43DDA6EE4042A836CBA1">
    <w:name w:val="B37CA56BB8FB43DDA6EE4042A836CBA1"/>
    <w:rsid w:val="00117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745A-9C05-4366-9FE5-2FE6568A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32</Pages>
  <Words>6833</Words>
  <Characters>38950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21</cp:revision>
  <cp:lastPrinted>1999-07-06T11:00:00Z</cp:lastPrinted>
  <dcterms:created xsi:type="dcterms:W3CDTF">2014-10-25T14:34:00Z</dcterms:created>
  <dcterms:modified xsi:type="dcterms:W3CDTF">2025-04-21T09:09:00Z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8c164331b11b2e1f901477008def681d3d2b38ce6d61e016c7ec6099a5b61688</vt:lpwstr>
  </property>
</Properties>
</file>