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0EE14" w14:textId="77777777" w:rsidR="00BB41E8" w:rsidRPr="00BB41E8" w:rsidRDefault="00BB41E8" w:rsidP="00BB41E8">
      <w:pPr>
        <w:jc w:val="center"/>
        <w:rPr>
          <w:rFonts w:asciiTheme="minorBidi" w:hAnsiTheme="minorBidi"/>
          <w:b/>
          <w:bCs/>
          <w:i/>
          <w:iCs/>
          <w:u w:val="single"/>
        </w:rPr>
      </w:pPr>
      <w:bookmarkStart w:id="0" w:name="_GoBack"/>
      <w:bookmarkEnd w:id="0"/>
      <w:r w:rsidRPr="00BB41E8">
        <w:rPr>
          <w:rFonts w:asciiTheme="minorBidi" w:hAnsiTheme="minorBidi"/>
          <w:b/>
          <w:bCs/>
          <w:i/>
          <w:iCs/>
          <w:u w:val="single"/>
        </w:rPr>
        <w:t>Original Research Article</w:t>
      </w:r>
    </w:p>
    <w:p w14:paraId="256D9FBE" w14:textId="77777777" w:rsidR="00BB41E8" w:rsidRDefault="00BB41E8" w:rsidP="002B3656">
      <w:pPr>
        <w:jc w:val="center"/>
        <w:rPr>
          <w:rFonts w:asciiTheme="minorBidi" w:hAnsiTheme="minorBidi"/>
          <w:b/>
          <w:bCs/>
        </w:rPr>
      </w:pPr>
    </w:p>
    <w:p w14:paraId="0EF83BB4" w14:textId="6688B3FB" w:rsidR="00305367" w:rsidRDefault="00305367" w:rsidP="002B3656">
      <w:pPr>
        <w:jc w:val="center"/>
        <w:rPr>
          <w:rFonts w:asciiTheme="minorBidi" w:hAnsiTheme="minorBidi"/>
          <w:b/>
          <w:bCs/>
        </w:rPr>
      </w:pPr>
      <w:r w:rsidRPr="00BB41E8">
        <w:rPr>
          <w:rFonts w:asciiTheme="minorBidi" w:hAnsiTheme="minorBidi"/>
          <w:b/>
          <w:bCs/>
        </w:rPr>
        <w:t xml:space="preserve">Assessment of Knowledge, Attitudes, and Practices Regarding Oral </w:t>
      </w:r>
      <w:r w:rsidR="00AD2EBD" w:rsidRPr="00BB41E8">
        <w:rPr>
          <w:rFonts w:asciiTheme="minorBidi" w:hAnsiTheme="minorBidi"/>
          <w:b/>
          <w:bCs/>
        </w:rPr>
        <w:t>Health</w:t>
      </w:r>
      <w:r w:rsidRPr="00BB41E8">
        <w:rPr>
          <w:rFonts w:asciiTheme="minorBidi" w:hAnsiTheme="minorBidi"/>
          <w:b/>
          <w:bCs/>
        </w:rPr>
        <w:t xml:space="preserve"> Among High School Students in Jalalabad City: A Cross-Sectional Study</w:t>
      </w:r>
    </w:p>
    <w:p w14:paraId="04AD8CEB" w14:textId="77777777" w:rsidR="00127586" w:rsidRDefault="00127586" w:rsidP="002B3656">
      <w:pPr>
        <w:jc w:val="center"/>
        <w:rPr>
          <w:rFonts w:asciiTheme="minorBidi" w:hAnsiTheme="minorBidi"/>
          <w:b/>
          <w:bCs/>
        </w:rPr>
      </w:pPr>
    </w:p>
    <w:p w14:paraId="016E4360" w14:textId="77777777" w:rsidR="00127586" w:rsidRPr="002B3656" w:rsidRDefault="00127586" w:rsidP="00305367">
      <w:pPr>
        <w:rPr>
          <w:rStyle w:val="Hyperlink"/>
          <w:rFonts w:asciiTheme="minorBidi" w:hAnsiTheme="minorBidi"/>
          <w:sz w:val="18"/>
          <w:szCs w:val="18"/>
        </w:rPr>
      </w:pPr>
    </w:p>
    <w:p w14:paraId="31EF7C6A" w14:textId="54315D87" w:rsidR="007F0F5F" w:rsidRPr="002B3656" w:rsidRDefault="00AF66D8" w:rsidP="002B3656">
      <w:pPr>
        <w:spacing w:before="240" w:after="0" w:line="276" w:lineRule="auto"/>
        <w:jc w:val="lowKashida"/>
        <w:rPr>
          <w:rFonts w:asciiTheme="minorBidi" w:hAnsiTheme="minorBidi"/>
          <w:b/>
          <w:bCs/>
          <w:sz w:val="28"/>
          <w:szCs w:val="28"/>
        </w:rPr>
      </w:pPr>
      <w:r>
        <w:rPr>
          <w:rFonts w:asciiTheme="minorBidi" w:hAnsiTheme="minorBidi"/>
          <w:b/>
          <w:bCs/>
          <w:sz w:val="28"/>
          <w:szCs w:val="28"/>
        </w:rPr>
        <w:t>ABSTRACT</w:t>
      </w:r>
    </w:p>
    <w:p w14:paraId="55238EBD" w14:textId="73D72342" w:rsidR="002B3656" w:rsidRDefault="00953E7F" w:rsidP="00D70530">
      <w:pPr>
        <w:spacing w:after="0" w:line="276" w:lineRule="auto"/>
        <w:jc w:val="lowKashida"/>
        <w:rPr>
          <w:rFonts w:asciiTheme="minorBidi" w:hAnsiTheme="minorBidi"/>
          <w:sz w:val="22"/>
          <w:szCs w:val="22"/>
        </w:rPr>
      </w:pPr>
      <w:r>
        <w:rPr>
          <w:rFonts w:asciiTheme="minorBidi" w:hAnsiTheme="minorBidi"/>
          <w:b/>
          <w:bCs/>
          <w:sz w:val="22"/>
          <w:szCs w:val="22"/>
        </w:rPr>
        <w:t>Aims</w:t>
      </w:r>
      <w:r w:rsidR="00D70530" w:rsidRPr="002B3656">
        <w:rPr>
          <w:rFonts w:asciiTheme="minorBidi" w:hAnsiTheme="minorBidi"/>
          <w:b/>
          <w:bCs/>
          <w:sz w:val="22"/>
          <w:szCs w:val="22"/>
        </w:rPr>
        <w:t>:</w:t>
      </w:r>
      <w:r w:rsidR="00D70530" w:rsidRPr="002B3656">
        <w:rPr>
          <w:rFonts w:asciiTheme="minorBidi" w:hAnsiTheme="minorBidi"/>
          <w:sz w:val="22"/>
          <w:szCs w:val="22"/>
        </w:rPr>
        <w:t xml:space="preserve"> Oral health is a critical component of overall health, yet adolescents often face challenges in maintaining good oral hygiene practices. This study aimed to evaluate the knowledge, attitude, and practices related to oral health among high school students in Jalalabad city.</w:t>
      </w:r>
    </w:p>
    <w:p w14:paraId="66577C56" w14:textId="59E0A81C" w:rsidR="00953E7F" w:rsidRDefault="00953E7F" w:rsidP="00D70530">
      <w:pPr>
        <w:spacing w:after="0" w:line="276" w:lineRule="auto"/>
        <w:jc w:val="lowKashida"/>
        <w:rPr>
          <w:rFonts w:asciiTheme="minorBidi" w:hAnsiTheme="minorBidi"/>
          <w:sz w:val="22"/>
          <w:szCs w:val="22"/>
        </w:rPr>
      </w:pPr>
      <w:r w:rsidRPr="00953E7F">
        <w:rPr>
          <w:rFonts w:asciiTheme="minorBidi" w:hAnsiTheme="minorBidi"/>
          <w:b/>
          <w:bCs/>
          <w:sz w:val="22"/>
          <w:szCs w:val="22"/>
        </w:rPr>
        <w:t>Study Design:</w:t>
      </w:r>
      <w:r>
        <w:rPr>
          <w:rFonts w:asciiTheme="minorBidi" w:hAnsiTheme="minorBidi"/>
          <w:sz w:val="22"/>
          <w:szCs w:val="22"/>
        </w:rPr>
        <w:t xml:space="preserve"> Cross-sectional descriptive</w:t>
      </w:r>
    </w:p>
    <w:p w14:paraId="50452560" w14:textId="732404E1" w:rsidR="00AF66D8" w:rsidRPr="00AF66D8" w:rsidRDefault="00AF66D8" w:rsidP="00D70530">
      <w:pPr>
        <w:spacing w:after="0" w:line="276" w:lineRule="auto"/>
        <w:jc w:val="lowKashida"/>
        <w:rPr>
          <w:rFonts w:asciiTheme="minorBidi" w:hAnsiTheme="minorBidi"/>
          <w:b/>
          <w:bCs/>
          <w:sz w:val="22"/>
          <w:szCs w:val="22"/>
        </w:rPr>
      </w:pPr>
      <w:r w:rsidRPr="00AF66D8">
        <w:rPr>
          <w:rFonts w:asciiTheme="minorBidi" w:hAnsiTheme="minorBidi"/>
          <w:b/>
          <w:bCs/>
          <w:sz w:val="22"/>
          <w:szCs w:val="22"/>
        </w:rPr>
        <w:t>Place and Duration of Study:</w:t>
      </w:r>
      <w:r w:rsidRPr="002B3656">
        <w:rPr>
          <w:rFonts w:asciiTheme="minorBidi" w:hAnsiTheme="minorBidi"/>
          <w:sz w:val="22"/>
          <w:szCs w:val="22"/>
        </w:rPr>
        <w:t xml:space="preserve"> </w:t>
      </w:r>
      <w:r>
        <w:rPr>
          <w:rFonts w:asciiTheme="minorBidi" w:hAnsiTheme="minorBidi"/>
          <w:sz w:val="22"/>
          <w:szCs w:val="22"/>
        </w:rPr>
        <w:t>The s</w:t>
      </w:r>
      <w:r w:rsidRPr="002B3656">
        <w:rPr>
          <w:rFonts w:asciiTheme="minorBidi" w:hAnsiTheme="minorBidi"/>
          <w:sz w:val="22"/>
          <w:szCs w:val="22"/>
        </w:rPr>
        <w:t xml:space="preserve">tudy was conducted from January 5, 2025, to March 5, 2025, </w:t>
      </w:r>
      <w:r>
        <w:rPr>
          <w:rFonts w:asciiTheme="minorBidi" w:hAnsiTheme="minorBidi"/>
          <w:sz w:val="22"/>
          <w:szCs w:val="22"/>
        </w:rPr>
        <w:t>in Jalalabad city.</w:t>
      </w:r>
    </w:p>
    <w:p w14:paraId="22F5D143" w14:textId="0D3AA5A9" w:rsidR="002B3656" w:rsidRPr="002B3656" w:rsidRDefault="00953E7F" w:rsidP="00D70530">
      <w:pPr>
        <w:spacing w:after="0" w:line="276" w:lineRule="auto"/>
        <w:jc w:val="lowKashida"/>
        <w:rPr>
          <w:rFonts w:asciiTheme="minorBidi" w:hAnsiTheme="minorBidi"/>
          <w:sz w:val="22"/>
          <w:szCs w:val="22"/>
        </w:rPr>
      </w:pPr>
      <w:r>
        <w:rPr>
          <w:rFonts w:asciiTheme="minorBidi" w:hAnsiTheme="minorBidi"/>
          <w:b/>
          <w:bCs/>
          <w:sz w:val="22"/>
          <w:szCs w:val="22"/>
        </w:rPr>
        <w:t>Methodology</w:t>
      </w:r>
      <w:r w:rsidR="00D70530" w:rsidRPr="002B3656">
        <w:rPr>
          <w:rFonts w:asciiTheme="minorBidi" w:hAnsiTheme="minorBidi"/>
          <w:b/>
          <w:bCs/>
          <w:sz w:val="22"/>
          <w:szCs w:val="22"/>
        </w:rPr>
        <w:t>:</w:t>
      </w:r>
      <w:r w:rsidR="00D70530" w:rsidRPr="002B3656">
        <w:rPr>
          <w:rFonts w:asciiTheme="minorBidi" w:hAnsiTheme="minorBidi"/>
          <w:sz w:val="22"/>
          <w:szCs w:val="22"/>
        </w:rPr>
        <w:t xml:space="preserve"> A cross-sectional study was conducted from January 5, 2025, to March 5, 2025, involving 460 male high school students from 10th, 11th, and 12th grades in 5 governmental and 5 private schools. A non-probability convenience sampling method was used, and 450 students completed the questionnaire accurately. The data collected included their knowledge of oral health, attitudes towards dental care, and practices related to oral hygiene. Data was analyzed by Statistical Package for Social Science (SPSS) version 27.0. </w:t>
      </w:r>
    </w:p>
    <w:p w14:paraId="34A29051" w14:textId="035F0361" w:rsidR="002B3656" w:rsidRPr="002B3656" w:rsidRDefault="00D70530" w:rsidP="00D70530">
      <w:pPr>
        <w:spacing w:after="0" w:line="276" w:lineRule="auto"/>
        <w:jc w:val="lowKashida"/>
        <w:rPr>
          <w:rFonts w:asciiTheme="minorBidi" w:hAnsiTheme="minorBidi"/>
          <w:sz w:val="22"/>
          <w:szCs w:val="22"/>
        </w:rPr>
      </w:pPr>
      <w:r w:rsidRPr="002B3656">
        <w:rPr>
          <w:rFonts w:asciiTheme="minorBidi" w:hAnsiTheme="minorBidi"/>
          <w:b/>
          <w:bCs/>
          <w:sz w:val="22"/>
          <w:szCs w:val="22"/>
        </w:rPr>
        <w:t>Results:</w:t>
      </w:r>
      <w:r w:rsidRPr="002B3656">
        <w:rPr>
          <w:rFonts w:asciiTheme="minorBidi" w:hAnsiTheme="minorBidi"/>
          <w:sz w:val="22"/>
          <w:szCs w:val="22"/>
        </w:rPr>
        <w:t xml:space="preserve"> The results showed that 78.9% of students had </w:t>
      </w:r>
      <w:r w:rsidR="00A01ECD">
        <w:rPr>
          <w:rFonts w:asciiTheme="minorBidi" w:hAnsiTheme="minorBidi"/>
          <w:sz w:val="22"/>
          <w:szCs w:val="22"/>
        </w:rPr>
        <w:t xml:space="preserve">overall </w:t>
      </w:r>
      <w:r w:rsidRPr="002B3656">
        <w:rPr>
          <w:rFonts w:asciiTheme="minorBidi" w:hAnsiTheme="minorBidi"/>
          <w:sz w:val="22"/>
          <w:szCs w:val="22"/>
        </w:rPr>
        <w:t>oral health knowledge, with 71% demonstrating very good knowledge and 5% showing very poor knowledge. In terms of attitude, 83% of students recognized the importance of dental visits, but only 63.1% visited a dentist when experiencing tooth pain. Barriers to dental visits included high costs (36.2%) and fear of needles and pain (49%). Regarding oral hygiene practices, 76.2% of students used a toothbrush and toothpaste, and 54.9% brushed their teeth two or more times daily. Additionally, 69.1% spent more than two minutes brushing their teeth. However, 9.6% reported that their parents never provided guidance or supervision for oral health maintenance.</w:t>
      </w:r>
    </w:p>
    <w:p w14:paraId="3BDF7C6E" w14:textId="5B8736EF" w:rsidR="00D70530" w:rsidRDefault="00D70530" w:rsidP="00D70530">
      <w:pPr>
        <w:spacing w:after="0" w:line="276" w:lineRule="auto"/>
        <w:jc w:val="lowKashida"/>
        <w:rPr>
          <w:rFonts w:asciiTheme="minorBidi" w:hAnsiTheme="minorBidi"/>
          <w:sz w:val="22"/>
          <w:szCs w:val="22"/>
        </w:rPr>
      </w:pPr>
      <w:r w:rsidRPr="002B3656">
        <w:rPr>
          <w:rFonts w:asciiTheme="minorBidi" w:hAnsiTheme="minorBidi"/>
          <w:b/>
          <w:bCs/>
          <w:sz w:val="22"/>
          <w:szCs w:val="22"/>
        </w:rPr>
        <w:t>Conclusion:</w:t>
      </w:r>
      <w:r w:rsidRPr="002B3656">
        <w:rPr>
          <w:rFonts w:asciiTheme="minorBidi" w:hAnsiTheme="minorBidi"/>
          <w:sz w:val="22"/>
          <w:szCs w:val="22"/>
        </w:rPr>
        <w:t xml:space="preserve"> The study revealed that while students demonstrated a reasonable understanding and practice of oral health, barriers such as cost and fear prevented some from seeking dental care. Parental involvement also appeared to play a role in promoting oral hygiene habits. These findings highlight the need for targeted interventions to improve oral health awareness and reduce barriers to dental care among adolescents in Jalalabad.</w:t>
      </w:r>
    </w:p>
    <w:p w14:paraId="58E74AD3" w14:textId="6C78CD0B" w:rsidR="00953E7F" w:rsidRPr="00953E7F" w:rsidRDefault="00953E7F" w:rsidP="00D70530">
      <w:pPr>
        <w:spacing w:after="0" w:line="276" w:lineRule="auto"/>
        <w:jc w:val="lowKashida"/>
        <w:rPr>
          <w:rFonts w:asciiTheme="minorBidi" w:hAnsiTheme="minorBidi"/>
          <w:b/>
          <w:bCs/>
          <w:sz w:val="22"/>
          <w:szCs w:val="22"/>
        </w:rPr>
      </w:pPr>
      <w:r w:rsidRPr="00953E7F">
        <w:rPr>
          <w:rFonts w:asciiTheme="minorBidi" w:hAnsiTheme="minorBidi"/>
          <w:b/>
          <w:bCs/>
          <w:sz w:val="22"/>
          <w:szCs w:val="22"/>
        </w:rPr>
        <w:t xml:space="preserve">Keywords: </w:t>
      </w:r>
      <w:r>
        <w:rPr>
          <w:rFonts w:asciiTheme="minorBidi" w:hAnsiTheme="minorBidi"/>
          <w:b/>
          <w:bCs/>
          <w:sz w:val="22"/>
          <w:szCs w:val="22"/>
        </w:rPr>
        <w:t>Attitude, High School Students, Knowledge, Oral health, Practice</w:t>
      </w:r>
    </w:p>
    <w:p w14:paraId="49FA97DF" w14:textId="73087468" w:rsidR="007F0F5F" w:rsidRPr="00953E7F" w:rsidRDefault="00953E7F" w:rsidP="00D70530">
      <w:pPr>
        <w:spacing w:before="240" w:after="0" w:line="276" w:lineRule="auto"/>
        <w:jc w:val="lowKashida"/>
        <w:rPr>
          <w:rFonts w:asciiTheme="minorBidi" w:hAnsiTheme="minorBidi"/>
          <w:b/>
          <w:bCs/>
          <w:sz w:val="22"/>
          <w:szCs w:val="22"/>
        </w:rPr>
      </w:pPr>
      <w:r>
        <w:rPr>
          <w:rFonts w:asciiTheme="minorBidi" w:hAnsiTheme="minorBidi"/>
          <w:b/>
          <w:bCs/>
          <w:sz w:val="22"/>
          <w:szCs w:val="22"/>
        </w:rPr>
        <w:t>INTRODUCTION</w:t>
      </w:r>
    </w:p>
    <w:p w14:paraId="0FD1E3AF" w14:textId="1A374242" w:rsidR="005631D6" w:rsidRPr="00953E7F" w:rsidRDefault="00873F50" w:rsidP="001009BB">
      <w:pPr>
        <w:spacing w:after="0" w:line="276" w:lineRule="auto"/>
        <w:jc w:val="lowKashida"/>
        <w:rPr>
          <w:rFonts w:asciiTheme="minorBidi" w:hAnsiTheme="minorBidi"/>
          <w:sz w:val="20"/>
          <w:szCs w:val="20"/>
        </w:rPr>
      </w:pPr>
      <w:r w:rsidRPr="00953E7F">
        <w:rPr>
          <w:rFonts w:asciiTheme="minorBidi" w:hAnsiTheme="minorBidi"/>
          <w:sz w:val="20"/>
          <w:szCs w:val="20"/>
        </w:rPr>
        <w:t xml:space="preserve">The oral cavity is commonly regarded as a critical entry point to the human body, underscoring its integral role in maintaining systemic health and physiological function </w:t>
      </w:r>
      <w:r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&lt;EndNote&gt;&lt;Cite&gt;&lt;Author&gt;Hwwidi&lt;/Author&gt;&lt;Year&gt;2025&lt;/Year&gt;&lt;RecNum&gt;15&lt;/RecNum&gt;&lt;DisplayText&gt;(Hwwidi et al., 2025)&lt;/DisplayText&gt;&lt;record&gt;&lt;rec-number&gt;15&lt;/rec-number&gt;&lt;foreign-keys&gt;&lt;key app="EN" db-id="te5dp5wzi5axzte2ed7p9z9bxe0twptxdafr" timestamp="1745496597"&gt;15&lt;/key&gt;&lt;/foreign-keys&gt;&lt;ref-type name="Journal Article"&gt;17&lt;/ref-type&gt;&lt;contributors&gt;&lt;authors&gt;&lt;author&gt;Hwwidi, Moamer Suliman&lt;/author&gt;&lt;author&gt;Swaid, Abdulgader Ibrahim&lt;/author&gt;&lt;author&gt;Kallel, Ines&lt;/author&gt;&lt;author&gt;Alrashah, Salah Mohammed&lt;/author&gt;&lt;author&gt;Benzahya, Mohamed M&lt;/author&gt;&lt;/authors&gt;&lt;/contributors&gt;&lt;titles&gt;&lt;title&gt;Evaluation Of Attitude, Knowledge And Practice Towards Oral Hygiene Among School Children&lt;/title&gt;&lt;secondary-title&gt;</w:instrText>
      </w:r>
      <w:r w:rsidR="00855DC4" w:rsidRPr="00953E7F">
        <w:rPr>
          <w:rFonts w:asciiTheme="minorBidi" w:hAnsiTheme="minorBidi"/>
          <w:sz w:val="20"/>
          <w:szCs w:val="20"/>
          <w:rtl/>
        </w:rPr>
        <w:instrText>المجلة الأفروآسيوية للبحث العلمي</w:instrText>
      </w:r>
      <w:r w:rsidR="00855DC4" w:rsidRPr="00953E7F">
        <w:rPr>
          <w:rFonts w:asciiTheme="minorBidi" w:hAnsiTheme="minorBidi"/>
          <w:sz w:val="20"/>
          <w:szCs w:val="20"/>
        </w:rPr>
        <w:instrText xml:space="preserve"> (AAJSR)&lt;/secondary-title&gt;&lt;/titles&gt;&lt;periodical&gt;&lt;full-title&gt;</w:instrText>
      </w:r>
      <w:r w:rsidR="00855DC4" w:rsidRPr="00953E7F">
        <w:rPr>
          <w:rFonts w:asciiTheme="minorBidi" w:hAnsiTheme="minorBidi"/>
          <w:sz w:val="20"/>
          <w:szCs w:val="20"/>
          <w:rtl/>
        </w:rPr>
        <w:instrText>المجلة الأفروآسيوية للبحث العلمي</w:instrText>
      </w:r>
      <w:r w:rsidR="00855DC4" w:rsidRPr="00953E7F">
        <w:rPr>
          <w:rFonts w:asciiTheme="minorBidi" w:hAnsiTheme="minorBidi"/>
          <w:sz w:val="20"/>
          <w:szCs w:val="20"/>
        </w:rPr>
        <w:instrText xml:space="preserve"> (AAJSR)&lt;/full-title&gt;&lt;/periodical&gt;&lt;pages&gt;151-158&lt;/pages&gt;&lt;dates&gt;&lt;year&gt;2025&lt;/year&gt;&lt;/dates&gt;&lt;isbn&gt;2959-6505&lt;/isbn&gt;&lt;urls&gt;&lt;/urls&gt;&lt;/record&gt;&lt;/Cite&gt;&lt;/EndNote&gt;</w:instrText>
      </w:r>
      <w:r w:rsidRPr="00953E7F">
        <w:rPr>
          <w:rFonts w:asciiTheme="minorBidi" w:hAnsiTheme="minorBidi"/>
          <w:sz w:val="20"/>
          <w:szCs w:val="20"/>
        </w:rPr>
        <w:fldChar w:fldCharType="separate"/>
      </w:r>
      <w:r w:rsidR="00855DC4" w:rsidRPr="00953E7F">
        <w:rPr>
          <w:rFonts w:asciiTheme="minorBidi" w:hAnsiTheme="minorBidi"/>
          <w:noProof/>
          <w:sz w:val="20"/>
          <w:szCs w:val="20"/>
        </w:rPr>
        <w:t>(Hwwidi et al., 2025)</w:t>
      </w:r>
      <w:r w:rsidRPr="00953E7F">
        <w:rPr>
          <w:rFonts w:asciiTheme="minorBidi" w:hAnsiTheme="minorBidi"/>
          <w:sz w:val="20"/>
          <w:szCs w:val="20"/>
        </w:rPr>
        <w:fldChar w:fldCharType="end"/>
      </w:r>
      <w:r w:rsidRPr="00953E7F">
        <w:rPr>
          <w:rFonts w:asciiTheme="minorBidi" w:hAnsiTheme="minorBidi"/>
          <w:sz w:val="20"/>
          <w:szCs w:val="20"/>
        </w:rPr>
        <w:t xml:space="preserve">. </w:t>
      </w:r>
      <w:r w:rsidR="003E679C" w:rsidRPr="00953E7F">
        <w:rPr>
          <w:rFonts w:asciiTheme="minorBidi" w:hAnsiTheme="minorBidi"/>
          <w:sz w:val="20"/>
          <w:szCs w:val="20"/>
        </w:rPr>
        <w:t xml:space="preserve">Maintaining oral health plays a critical role in supporting overall physical </w:t>
      </w:r>
      <w:r w:rsidR="00C629EC" w:rsidRPr="00953E7F">
        <w:rPr>
          <w:rFonts w:asciiTheme="minorBidi" w:hAnsiTheme="minorBidi"/>
          <w:sz w:val="20"/>
          <w:szCs w:val="20"/>
        </w:rPr>
        <w:t>wellness</w:t>
      </w:r>
      <w:r w:rsidR="003E679C" w:rsidRPr="00953E7F">
        <w:rPr>
          <w:rFonts w:asciiTheme="minorBidi" w:hAnsiTheme="minorBidi"/>
          <w:sz w:val="20"/>
          <w:szCs w:val="20"/>
        </w:rPr>
        <w:t>, it enables individuals to communicate clearly, consume food comfortably, and participate in social activities free from illness, pain, or self-consciousness</w:t>
      </w:r>
      <w:r w:rsidR="00C629EC" w:rsidRPr="00953E7F">
        <w:rPr>
          <w:rFonts w:asciiTheme="minorBidi" w:hAnsiTheme="minorBidi"/>
          <w:sz w:val="20"/>
          <w:szCs w:val="20"/>
        </w:rPr>
        <w:t xml:space="preserve"> </w:t>
      </w:r>
      <w:r w:rsidR="00C629EC"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&lt;EndNote&gt;&lt;Cite&gt;&lt;Author&gt;Mahore&lt;/Author&gt;&lt;Year&gt;2021&lt;/Year&gt;&lt;RecNum&gt;8&lt;/RecNum&gt;&lt;DisplayText&gt;(Mahore et al., 2021)&lt;/DisplayText&gt;&lt;record&gt;&lt;rec-number&gt;8&lt;/rec-number&gt;&lt;foreign-keys&gt;&lt;key app="EN" db-id="te5dp5wzi5axzte2ed7p9z9bxe0twptxdafr" timestamp="1745382891"&gt;8&lt;/key&gt;&lt;/foreign-keys&gt;&lt;ref-type name="Journal Article"&gt;17&lt;/ref-type&gt;&lt;contributors&gt;&lt;authors&gt;&lt;author&gt;Mahore, RakeshKumar&lt;/author&gt;&lt;author&gt;Gupta, Vikas&lt;/author&gt;&lt;author&gt;Panika, RamKumar&lt;/author&gt;&lt;/authors&gt;&lt;/contributors&gt;&lt;titles&gt;&lt;title&gt;Assessment of Knowledge, Attitude, and Practices Regarding Oral and Dental Hygiene among Dental Outpatients in Central India: A Cross-sectional Study&lt;/title&gt;&lt;secondary-title&gt;Journal of the Scientific Society&lt;/secondary-title&gt;&lt;/titles&gt;&lt;periodical&gt;&lt;full-title&gt;Journal of the Scientific Society&lt;/full-title&gt;&lt;/periodical&gt;&lt;pages&gt;73&lt;/pages&gt;&lt;volume&gt;48&lt;/volume&gt;&lt;dates&gt;&lt;year&gt;2021&lt;/year&gt;&lt;pub-dates&gt;&lt;date&gt;05/01&lt;/date&gt;&lt;/pub-dates&gt;&lt;/dates&gt;&lt;urls&gt;&lt;/urls&gt;&lt;electronic-resource-num&gt;10.4103/jss.jss_101_20&lt;/electronic-resource-num&gt;&lt;/record&gt;&lt;/Cite&gt;&lt;/EndNote&gt;</w:instrText>
      </w:r>
      <w:r w:rsidR="00C629EC" w:rsidRPr="00953E7F">
        <w:rPr>
          <w:rFonts w:asciiTheme="minorBidi" w:hAnsiTheme="minorBidi"/>
          <w:sz w:val="20"/>
          <w:szCs w:val="20"/>
        </w:rPr>
        <w:fldChar w:fldCharType="separate"/>
      </w:r>
      <w:r w:rsidR="00855DC4" w:rsidRPr="00953E7F">
        <w:rPr>
          <w:rFonts w:asciiTheme="minorBidi" w:hAnsiTheme="minorBidi"/>
          <w:noProof/>
          <w:sz w:val="20"/>
          <w:szCs w:val="20"/>
        </w:rPr>
        <w:t>(Mahore et al., 2021)</w:t>
      </w:r>
      <w:r w:rsidR="00C629EC" w:rsidRPr="00953E7F">
        <w:rPr>
          <w:rFonts w:asciiTheme="minorBidi" w:hAnsiTheme="minorBidi"/>
          <w:sz w:val="20"/>
          <w:szCs w:val="20"/>
        </w:rPr>
        <w:fldChar w:fldCharType="end"/>
      </w:r>
      <w:r w:rsidR="003E679C" w:rsidRPr="00953E7F">
        <w:rPr>
          <w:rFonts w:asciiTheme="minorBidi" w:hAnsiTheme="minorBidi"/>
          <w:sz w:val="20"/>
          <w:szCs w:val="20"/>
        </w:rPr>
        <w:t>.</w:t>
      </w:r>
      <w:r w:rsidR="00C629EC" w:rsidRPr="00953E7F">
        <w:rPr>
          <w:rFonts w:asciiTheme="minorBidi" w:hAnsiTheme="minorBidi"/>
          <w:sz w:val="20"/>
          <w:szCs w:val="20"/>
        </w:rPr>
        <w:t xml:space="preserve"> Oral diseases and dental conditions pose notable challenges to public health and demand proper intervention. Awareness and comprehension of oral hygiene and health are regarded as </w:t>
      </w:r>
      <w:r w:rsidR="00C629EC" w:rsidRPr="00953E7F">
        <w:rPr>
          <w:rFonts w:asciiTheme="minorBidi" w:hAnsiTheme="minorBidi"/>
          <w:sz w:val="20"/>
          <w:szCs w:val="20"/>
        </w:rPr>
        <w:lastRenderedPageBreak/>
        <w:t xml:space="preserve">essential in shaping behaviors that support long-term health </w:t>
      </w:r>
      <w:r w:rsidR="00C629EC"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&lt;EndNote&gt;&lt;Cite&gt;&lt;Author&gt;Igbinedion&lt;/Author&gt;&lt;Year&gt;2023&lt;/Year&gt;&lt;RecNum&gt;14&lt;/RecNum&gt;&lt;DisplayText&gt;(Igbinedion et al., 2023)&lt;/DisplayText&gt;&lt;record&gt;&lt;rec-number&gt;14&lt;/rec-number&gt;&lt;foreign-keys&gt;&lt;key app="EN" db-id="te5dp5wzi5axzte2ed7p9z9bxe0twptxdafr" timestamp="1745495682"&gt;14&lt;/key&gt;&lt;/foreign-keys&gt;&lt;ref-type name="Journal Article"&gt;17&lt;/ref-type&gt;&lt;contributors&gt;&lt;authors&gt;&lt;author&gt;Igbinedion, Henry Uyi&lt;/author&gt;&lt;author&gt;Akaji, Ezi Abigail&lt;/author&gt;&lt;author&gt;Chukwuneke, Felix Nzube&lt;/author&gt;&lt;author&gt;Ezeoke, Uche Enuma&lt;/author&gt;&lt;author&gt;Igbinedion, Esther Baragha&lt;/author&gt;&lt;/authors&gt;&lt;/contributors&gt;&lt;titles&gt;&lt;title&gt;Oral Health Knowledge Attitude and Behaviour among Secondary School Children–a quasi-experimental study.: Oral Health KAB of Secondary school Students&lt;/title&gt;&lt;secondary-title&gt;Nigerian Journal of Dental Research&lt;/secondary-title&gt;&lt;/titles&gt;&lt;periodical&gt;&lt;full-title&gt;Nigerian Journal of Dental Research&lt;/full-title&gt;&lt;/periodical&gt;&lt;pages&gt;20-29&lt;/pages&gt;&lt;volume&gt;8&lt;/volume&gt;&lt;number&gt;1&lt;/number&gt;&lt;dates&gt;&lt;year&gt;2023&lt;/year&gt;&lt;/dates&gt;&lt;isbn&gt;2714-4089&lt;/isbn&gt;&lt;urls&gt;&lt;/urls&gt;&lt;/record&gt;&lt;/Cite&gt;&lt;/EndNote&gt;</w:instrText>
      </w:r>
      <w:r w:rsidR="00C629EC" w:rsidRPr="00953E7F">
        <w:rPr>
          <w:rFonts w:asciiTheme="minorBidi" w:hAnsiTheme="minorBidi"/>
          <w:sz w:val="20"/>
          <w:szCs w:val="20"/>
        </w:rPr>
        <w:fldChar w:fldCharType="separate"/>
      </w:r>
      <w:r w:rsidR="00855DC4" w:rsidRPr="00953E7F">
        <w:rPr>
          <w:rFonts w:asciiTheme="minorBidi" w:hAnsiTheme="minorBidi"/>
          <w:noProof/>
          <w:sz w:val="20"/>
          <w:szCs w:val="20"/>
        </w:rPr>
        <w:t>(Igbinedion et al., 2023)</w:t>
      </w:r>
      <w:r w:rsidR="00C629EC" w:rsidRPr="00953E7F">
        <w:rPr>
          <w:rFonts w:asciiTheme="minorBidi" w:hAnsiTheme="minorBidi"/>
          <w:sz w:val="20"/>
          <w:szCs w:val="20"/>
        </w:rPr>
        <w:fldChar w:fldCharType="end"/>
      </w:r>
      <w:r w:rsidR="00C629EC" w:rsidRPr="00953E7F">
        <w:rPr>
          <w:rFonts w:asciiTheme="minorBidi" w:hAnsiTheme="minorBidi"/>
          <w:sz w:val="20"/>
          <w:szCs w:val="20"/>
        </w:rPr>
        <w:t>.</w:t>
      </w:r>
      <w:r w:rsidR="00D161B6" w:rsidRPr="00953E7F">
        <w:rPr>
          <w:rFonts w:asciiTheme="minorBidi" w:hAnsiTheme="minorBidi"/>
          <w:sz w:val="20"/>
          <w:szCs w:val="20"/>
        </w:rPr>
        <w:t xml:space="preserve"> </w:t>
      </w:r>
      <w:r w:rsidRPr="00953E7F">
        <w:rPr>
          <w:rFonts w:asciiTheme="minorBidi" w:hAnsiTheme="minorBidi"/>
          <w:sz w:val="20"/>
          <w:szCs w:val="20"/>
        </w:rPr>
        <w:t>Inadequate oral hygiene is linked to a range of health conditions, including dental caries, gingivitis, periodontal disorders, halitosis, respiratory illnesses, cardiovascular diseases, and chronic kidney disease. Additionally, compromised oral health can exert significant psychological effects, adversely impacting quality of life and limiting individuals’ ability to function effectively in educational, occupational, and domestic environments</w:t>
      </w:r>
      <w:r w:rsidR="000D534D" w:rsidRPr="00953E7F">
        <w:rPr>
          <w:rFonts w:asciiTheme="minorBidi" w:hAnsiTheme="minorBidi"/>
          <w:sz w:val="20"/>
          <w:szCs w:val="20"/>
        </w:rPr>
        <w:t xml:space="preserve"> </w:t>
      </w:r>
      <w:r w:rsidR="000D534D"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&lt;EndNote&gt;&lt;Cite&gt;&lt;Author&gt;Okello&lt;/Author&gt;&lt;Year&gt;2022&lt;/Year&gt;&lt;RecNum&gt;16&lt;/RecNum&gt;&lt;DisplayText&gt;(Okello &amp;amp; Kalungi, 2022)&lt;/DisplayText&gt;&lt;record&gt;&lt;rec-number&gt;16&lt;/rec-number&gt;&lt;foreign-keys&gt;&lt;key app="EN" db-id="te5dp5wzi5axzte2ed7p9z9bxe0twptxdafr" timestamp="1745497152"&gt;16&lt;/key&gt;&lt;/foreign-keys&gt;&lt;ref-type name="Journal Article"&gt;17&lt;/ref-type&gt;&lt;contributors&gt;&lt;authors&gt;&lt;author&gt;Okello, Henry&lt;/author&gt;&lt;author&gt;Kalungi, Vincent Charles&lt;/author&gt;&lt;/authors&gt;&lt;/contributors&gt;&lt;titles&gt;&lt;title&gt;Knowledge, Attitude and Practices towards Oral Hygiene among Adults (18-45yrs) in Lira Regional Referral Hospital, Lira City. A Cross-sectional Study&lt;/title&gt;&lt;secondary-title&gt;Student&amp;apos;s Journal of Health Research Africa&lt;/secondary-title&gt;&lt;/titles&gt;&lt;periodical&gt;&lt;full-title&gt;Student&amp;apos;s Journal of Health Research Africa&lt;/full-title&gt;&lt;/periodical&gt;&lt;pages&gt;15-15&lt;/pages&gt;&lt;volume&gt;3&lt;/volume&gt;&lt;number&gt;6&lt;/number&gt;&lt;dates&gt;&lt;year&gt;2022&lt;/year&gt;&lt;/dates&gt;&lt;isbn&gt;2709-9997&lt;/isbn&gt;&lt;urls&gt;&lt;/urls&gt;&lt;/record&gt;&lt;/Cite&gt;&lt;/EndNote&gt;</w:instrText>
      </w:r>
      <w:r w:rsidR="000D534D" w:rsidRPr="00953E7F">
        <w:rPr>
          <w:rFonts w:asciiTheme="minorBidi" w:hAnsiTheme="minorBidi"/>
          <w:sz w:val="20"/>
          <w:szCs w:val="20"/>
        </w:rPr>
        <w:fldChar w:fldCharType="separate"/>
      </w:r>
      <w:r w:rsidR="00855DC4" w:rsidRPr="00953E7F">
        <w:rPr>
          <w:rFonts w:asciiTheme="minorBidi" w:hAnsiTheme="minorBidi"/>
          <w:noProof/>
          <w:sz w:val="20"/>
          <w:szCs w:val="20"/>
        </w:rPr>
        <w:t>(Okello &amp; Kalungi, 2022)</w:t>
      </w:r>
      <w:r w:rsidR="000D534D" w:rsidRPr="00953E7F">
        <w:rPr>
          <w:rFonts w:asciiTheme="minorBidi" w:hAnsiTheme="minorBidi"/>
          <w:sz w:val="20"/>
          <w:szCs w:val="20"/>
        </w:rPr>
        <w:fldChar w:fldCharType="end"/>
      </w:r>
      <w:r w:rsidRPr="00953E7F">
        <w:rPr>
          <w:rFonts w:asciiTheme="minorBidi" w:hAnsiTheme="minorBidi"/>
          <w:sz w:val="20"/>
          <w:szCs w:val="20"/>
        </w:rPr>
        <w:t>.</w:t>
      </w:r>
      <w:r w:rsidR="000D534D" w:rsidRPr="00953E7F">
        <w:rPr>
          <w:rFonts w:asciiTheme="minorBidi" w:hAnsiTheme="minorBidi"/>
          <w:sz w:val="20"/>
          <w:szCs w:val="20"/>
        </w:rPr>
        <w:t xml:space="preserve"> Oral health is defined as the absence of pain in the mouth and face, as well as the absence of oral and oropharyngeal cancers, oral infections and lesions, periodontal (gum) diseases, dental caries, and tooth loss (WHO, 2017). Globally, the burden of oral diseases is rising, particularly in low- and middle-income countries undergoing rapid urbanization and lifestyle changes</w:t>
      </w:r>
      <w:r w:rsidR="00FA3735" w:rsidRPr="00953E7F">
        <w:rPr>
          <w:rFonts w:asciiTheme="minorBidi" w:hAnsiTheme="minorBidi"/>
          <w:sz w:val="20"/>
          <w:szCs w:val="20"/>
        </w:rPr>
        <w:t>,</w:t>
      </w:r>
      <w:r w:rsidR="000D534D" w:rsidRPr="00953E7F">
        <w:rPr>
          <w:rFonts w:asciiTheme="minorBidi" w:hAnsiTheme="minorBidi"/>
          <w:sz w:val="20"/>
          <w:szCs w:val="20"/>
        </w:rPr>
        <w:t xml:space="preserve"> </w:t>
      </w:r>
      <w:r w:rsidR="00FA3735" w:rsidRPr="00953E7F">
        <w:rPr>
          <w:rFonts w:asciiTheme="minorBidi" w:hAnsiTheme="minorBidi"/>
          <w:sz w:val="20"/>
          <w:szCs w:val="20"/>
        </w:rPr>
        <w:t xml:space="preserve">The World Health Organization’s Global Oral Health Report, published in 2022, identified oral diseases as among the most prevalent non-communicable conditions globally, impacting an estimated 3.5 billion individuals across the world </w:t>
      </w:r>
      <w:r w:rsidR="00FA3735"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&lt;EndNote&gt;&lt;Cite&gt;&lt;Author&gt;Organization&lt;/Author&gt;&lt;Year&gt;2022&lt;/Year&gt;&lt;RecNum&gt;17&lt;/RecNum&gt;&lt;DisplayText&gt;(Organization, 2022a, 2022b)&lt;/DisplayText&gt;&lt;record&gt;&lt;rec-number&gt;17&lt;/rec-number&gt;&lt;foreign-keys&gt;&lt;key app="EN" db-id="te5dp5wzi5axzte2ed7p9z9bxe0twptxdafr" timestamp="1745497820"&gt;17&lt;/key&gt;&lt;/foreign-keys&gt;&lt;ref-type name="Book"&gt;6&lt;/ref-type&gt;&lt;contributors&gt;&lt;authors&gt;&lt;author&gt;World Health Organization&lt;/author&gt;&lt;/authors&gt;&lt;/contributors&gt;&lt;titles&gt;&lt;title&gt;Global oral health status report: towards universal health coverage for oral health by 2030&lt;/title&gt;&lt;/titles&gt;&lt;dates&gt;&lt;year&gt;2022&lt;/year&gt;&lt;/dates&gt;&lt;publisher&gt;World Health Organization&lt;/publisher&gt;&lt;isbn&gt;9240061487&lt;/isbn&gt;&lt;urls&gt;&lt;/urls&gt;&lt;/record&gt;&lt;/Cite&gt;&lt;Cite&gt;&lt;Author&gt;Organization&lt;/Author&gt;&lt;Year&gt;2022&lt;/Year&gt;&lt;RecNum&gt;18&lt;/RecNum&gt;&lt;record&gt;&lt;rec-number&gt;18&lt;/rec-number&gt;&lt;foreign-keys&gt;&lt;key app="EN" db-id="te5dp5wzi5axzte2ed7p9z9bxe0twptxdafr" timestamp="1745497851"&gt;18&lt;/key&gt;&lt;/foreign-keys&gt;&lt;ref-type name="Book"&gt;6&lt;/ref-type&gt;&lt;contributors&gt;&lt;authors&gt;&lt;author&gt;World Health Organization&lt;/author&gt;&lt;/authors&gt;&lt;/contributors&gt;&lt;titles&gt;&lt;title&gt;Global oral health status report: Towards universal health coverage for oral health by 2030. Executive Summary&lt;/title&gt;&lt;/titles&gt;&lt;dates&gt;&lt;year&gt;2022&lt;/year&gt;&lt;/dates&gt;&lt;publisher&gt;World Health Organization&lt;/publisher&gt;&lt;isbn&gt;9240061568&lt;/isbn&gt;&lt;urls&gt;&lt;/urls&gt;&lt;/record&gt;&lt;/Cite&gt;&lt;/EndNote&gt;</w:instrText>
      </w:r>
      <w:r w:rsidR="00FA3735" w:rsidRPr="00953E7F">
        <w:rPr>
          <w:rFonts w:asciiTheme="minorBidi" w:hAnsiTheme="minorBidi"/>
          <w:sz w:val="20"/>
          <w:szCs w:val="20"/>
        </w:rPr>
        <w:fldChar w:fldCharType="separate"/>
      </w:r>
      <w:r w:rsidR="00855DC4" w:rsidRPr="00953E7F">
        <w:rPr>
          <w:rFonts w:asciiTheme="minorBidi" w:hAnsiTheme="minorBidi"/>
          <w:noProof/>
          <w:sz w:val="20"/>
          <w:szCs w:val="20"/>
        </w:rPr>
        <w:t>(Organization, 2022a, 2022b)</w:t>
      </w:r>
      <w:r w:rsidR="00FA3735" w:rsidRPr="00953E7F">
        <w:rPr>
          <w:rFonts w:asciiTheme="minorBidi" w:hAnsiTheme="minorBidi"/>
          <w:sz w:val="20"/>
          <w:szCs w:val="20"/>
        </w:rPr>
        <w:fldChar w:fldCharType="end"/>
      </w:r>
      <w:r w:rsidR="00FA3735" w:rsidRPr="00953E7F">
        <w:rPr>
          <w:rFonts w:asciiTheme="minorBidi" w:hAnsiTheme="minorBidi"/>
          <w:sz w:val="20"/>
          <w:szCs w:val="20"/>
        </w:rPr>
        <w:t>.</w:t>
      </w:r>
      <w:r w:rsidR="00141485" w:rsidRPr="00953E7F">
        <w:rPr>
          <w:rFonts w:asciiTheme="minorBidi" w:hAnsiTheme="minorBidi"/>
          <w:sz w:val="20"/>
          <w:szCs w:val="20"/>
        </w:rPr>
        <w:t xml:space="preserve"> This data highlights the global magnitude of oral health challenges, underscoring the critical need to assess oral health status across diverse populations</w:t>
      </w:r>
      <w:r w:rsidR="000973B9" w:rsidRPr="00953E7F">
        <w:rPr>
          <w:rFonts w:asciiTheme="minorBidi" w:hAnsiTheme="minorBidi"/>
          <w:sz w:val="20"/>
          <w:szCs w:val="20"/>
        </w:rPr>
        <w:t>,</w:t>
      </w:r>
      <w:r w:rsidR="00141485" w:rsidRPr="00953E7F">
        <w:rPr>
          <w:rFonts w:asciiTheme="minorBidi" w:hAnsiTheme="minorBidi"/>
          <w:sz w:val="20"/>
          <w:szCs w:val="20"/>
        </w:rPr>
        <w:t xml:space="preserve"> In response to this growing concern, the 74th World Health Assembly adopted a resolution on oral health, urging member states to enhance the delivery of oral health services and to integrate oral health into primary healthcare systems—particularly at the household and school levels—to advance overall oral health outcomes </w:t>
      </w:r>
      <w:r w:rsidR="00141485"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&lt;EndNote&gt;&lt;Cite&gt;&lt;Author&gt;Jain&lt;/Author&gt;&lt;Year&gt;2024&lt;/Year&gt;&lt;RecNum&gt;19&lt;/RecNum&gt;&lt;DisplayText&gt;(Jain et al., 2024)&lt;/DisplayText&gt;&lt;record&gt;&lt;rec-number&gt;19&lt;/rec-number&gt;&lt;foreign-keys&gt;&lt;key app="EN" db-id="te5dp5wzi5axzte2ed7p9z9bxe0twptxdafr" timestamp="1745498853"&gt;19&lt;/key&gt;&lt;/foreign-keys&gt;&lt;ref-type name="Generic"&gt;13&lt;/ref-type&gt;&lt;contributors&gt;&lt;authors&gt;&lt;author&gt;Jain, Nityanand&lt;/author&gt;&lt;author&gt;Dutt, Upasna&lt;/author&gt;&lt;author&gt;Radenkov, Igor&lt;/author&gt;&lt;author&gt;Jain, Shivani&lt;/author&gt;&lt;/authors&gt;&lt;/contributors&gt;&lt;titles&gt;&lt;title&gt;WHO&amp;apos;s global oral health status report 2022: Actions, discussion and implementation&lt;/title&gt;&lt;/titles&gt;&lt;pages&gt;73-79&lt;/pages&gt;&lt;volume&gt;30&lt;/volume&gt;&lt;number&gt;2&lt;/number&gt;&lt;dates&gt;&lt;year&gt;2024&lt;/year&gt;&lt;/dates&gt;&lt;publisher&gt;Wiley Online Library&lt;/publisher&gt;&lt;isbn&gt;1354-523X&lt;/isbn&gt;&lt;urls&gt;&lt;/urls&gt;&lt;/record&gt;&lt;/Cite&gt;&lt;/EndNote&gt;</w:instrText>
      </w:r>
      <w:r w:rsidR="00141485" w:rsidRPr="00953E7F">
        <w:rPr>
          <w:rFonts w:asciiTheme="minorBidi" w:hAnsiTheme="minorBidi"/>
          <w:sz w:val="20"/>
          <w:szCs w:val="20"/>
        </w:rPr>
        <w:fldChar w:fldCharType="separate"/>
      </w:r>
      <w:r w:rsidR="00855DC4" w:rsidRPr="00953E7F">
        <w:rPr>
          <w:rFonts w:asciiTheme="minorBidi" w:hAnsiTheme="minorBidi"/>
          <w:noProof/>
          <w:sz w:val="20"/>
          <w:szCs w:val="20"/>
        </w:rPr>
        <w:t>(Jain et al., 2024)</w:t>
      </w:r>
      <w:r w:rsidR="00141485" w:rsidRPr="00953E7F">
        <w:rPr>
          <w:rFonts w:asciiTheme="minorBidi" w:hAnsiTheme="minorBidi"/>
          <w:sz w:val="20"/>
          <w:szCs w:val="20"/>
        </w:rPr>
        <w:fldChar w:fldCharType="end"/>
      </w:r>
      <w:r w:rsidR="00141485" w:rsidRPr="00953E7F">
        <w:rPr>
          <w:rFonts w:asciiTheme="minorBidi" w:hAnsiTheme="minorBidi"/>
          <w:sz w:val="20"/>
          <w:szCs w:val="20"/>
        </w:rPr>
        <w:t>.</w:t>
      </w:r>
      <w:r w:rsidR="00AB1C38" w:rsidRPr="00953E7F">
        <w:rPr>
          <w:rFonts w:asciiTheme="minorBidi" w:hAnsiTheme="minorBidi"/>
          <w:sz w:val="20"/>
          <w:szCs w:val="20"/>
        </w:rPr>
        <w:t xml:space="preserve"> </w:t>
      </w:r>
      <w:r w:rsidR="001009BB" w:rsidRPr="00953E7F">
        <w:rPr>
          <w:rFonts w:asciiTheme="minorBidi" w:hAnsiTheme="minorBidi"/>
          <w:sz w:val="20"/>
          <w:szCs w:val="20"/>
        </w:rPr>
        <w:t xml:space="preserve">For around 40 years, Afghanistan has been beset by natural catastrophes, poverty, turmoil over politics, war, and disputes as well as property devastation, nervousness, and widespread relocation. All of these influences have had an enormous effect on many facets of Afghan life, including the disruption of school infrastructure and education systems, divergent and frequently lacking instructions, and declining health education in various aspects including hygiene and sanitation </w:t>
      </w:r>
      <w:r w:rsidR="001009BB"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&lt;EndNote&gt;&lt;Cite&gt;&lt;Author&gt;Hashimi&lt;/Author&gt;&lt;Year&gt;2024&lt;/Year&gt;&lt;RecNum&gt;25&lt;/RecNum&gt;&lt;DisplayText&gt;(Hashimi et al., 2024)&lt;/DisplayText&gt;&lt;record&gt;&lt;rec-number&gt;25&lt;/rec-number&gt;&lt;foreign-keys&gt;&lt;key app="EN" db-id="te5dp5wzi5axzte2ed7p9z9bxe0twptxdafr" timestamp="1745560358"&gt;25&lt;/key&gt;&lt;/foreign-keys&gt;&lt;ref-type name="Journal Article"&gt;17&lt;/ref-type&gt;&lt;contributors&gt;&lt;authors&gt;&lt;author&gt;Hashimi, Sayed Zekria&lt;/author&gt;&lt;author&gt;Kamran, Abdulillah&lt;/author&gt;&lt;author&gt;Niazi, Shukria&lt;/author&gt;&lt;author&gt;Rahemi, Mohammad Haroon&lt;/author&gt;&lt;/authors&gt;&lt;/contributors&gt;&lt;titles&gt;&lt;title&gt;A Descriptive Study of Depressive Disorders among Medical Students in Jalalabad City&lt;/title&gt;&lt;secondary-title&gt;Nangarhar University International Journal of Biosciences&lt;/secondary-title&gt;&lt;/titles&gt;&lt;periodical&gt;&lt;full-title&gt;Nangarhar University International Journal of Biosciences&lt;/full-title&gt;&lt;/periodical&gt;&lt;pages&gt;33-44&lt;/pages&gt;&lt;volume&gt;3&lt;/volume&gt;&lt;number&gt;01&lt;/number&gt;&lt;dates&gt;&lt;year&gt;2024&lt;/year&gt;&lt;/dates&gt;&lt;isbn&gt;2957-9988&lt;/isbn&gt;&lt;urls&gt;&lt;/urls&gt;&lt;/record&gt;&lt;/Cite&gt;&lt;/EndNote&gt;</w:instrText>
      </w:r>
      <w:r w:rsidR="001009BB" w:rsidRPr="00953E7F">
        <w:rPr>
          <w:rFonts w:asciiTheme="minorBidi" w:hAnsiTheme="minorBidi"/>
          <w:sz w:val="20"/>
          <w:szCs w:val="20"/>
        </w:rPr>
        <w:fldChar w:fldCharType="separate"/>
      </w:r>
      <w:r w:rsidR="00855DC4" w:rsidRPr="00953E7F">
        <w:rPr>
          <w:rFonts w:asciiTheme="minorBidi" w:hAnsiTheme="minorBidi"/>
          <w:noProof/>
          <w:sz w:val="20"/>
          <w:szCs w:val="20"/>
        </w:rPr>
        <w:t>(Hashimi et al., 2024)</w:t>
      </w:r>
      <w:r w:rsidR="001009BB" w:rsidRPr="00953E7F">
        <w:rPr>
          <w:rFonts w:asciiTheme="minorBidi" w:hAnsiTheme="minorBidi"/>
          <w:sz w:val="20"/>
          <w:szCs w:val="20"/>
        </w:rPr>
        <w:fldChar w:fldCharType="end"/>
      </w:r>
      <w:r w:rsidR="001009BB" w:rsidRPr="00953E7F">
        <w:rPr>
          <w:rFonts w:asciiTheme="minorBidi" w:hAnsiTheme="minorBidi"/>
          <w:sz w:val="20"/>
          <w:szCs w:val="20"/>
        </w:rPr>
        <w:t xml:space="preserve">. Afghanistan's oral health system is undergoing transition at the moment. We don't know much about how our people feel about dental diseases and how to prevent them </w:t>
      </w:r>
      <w:r w:rsidR="001009BB"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&lt;EndNote&gt;&lt;Cite&gt;&lt;Author&gt;Ehsan&lt;/Author&gt;&lt;Year&gt;2023&lt;/Year&gt;&lt;RecNum&gt;23&lt;/RecNum&gt;&lt;DisplayText&gt;(Ehsan et al., 2023)&lt;/DisplayText&gt;&lt;record&gt;&lt;rec-number&gt;23&lt;/rec-number&gt;&lt;foreign-keys&gt;&lt;key app="EN" db-id="te5dp5wzi5axzte2ed7p9z9bxe0twptxdafr" timestamp="1745559486"&gt;23&lt;/key&gt;&lt;/foreign-keys&gt;&lt;ref-type name="Journal Article"&gt;17&lt;/ref-type&gt;&lt;contributors&gt;&lt;authors&gt;&lt;author&gt;Ehsan, Hedayatullah&lt;/author&gt;&lt;author&gt;Ahmadzai, Nazera&lt;/author&gt;&lt;author&gt;Orfani, Zarlasht&lt;/author&gt;&lt;author&gt;Rezayee, Bibi Marwa&lt;/author&gt;&lt;author&gt;Wally, Moqadasa&lt;/author&gt;&lt;author&gt;Daftani, Sardara&lt;/author&gt;&lt;/authors&gt;&lt;/contributors&gt;&lt;titles&gt;&lt;title&gt;Oral health knowledge, attitude, and behavior among health professions’ students at Kabul University of medical sciences&lt;/title&gt;&lt;secondary-title&gt;Clinical, Cosmetic and Investigational Dentistry&lt;/secondary-title&gt;&lt;/titles&gt;&lt;periodical&gt;&lt;full-title&gt;Clinical, Cosmetic and Investigational Dentistry&lt;/full-title&gt;&lt;/periodical&gt;&lt;pages&gt;349-358&lt;/pages&gt;&lt;dates&gt;&lt;year&gt;2023&lt;/year&gt;&lt;/dates&gt;&lt;isbn&gt;1179-1357&lt;/isbn&gt;&lt;urls&gt;&lt;/urls&gt;&lt;/record&gt;&lt;/Cite&gt;&lt;/EndNote&gt;</w:instrText>
      </w:r>
      <w:r w:rsidR="001009BB" w:rsidRPr="00953E7F">
        <w:rPr>
          <w:rFonts w:asciiTheme="minorBidi" w:hAnsiTheme="minorBidi"/>
          <w:sz w:val="20"/>
          <w:szCs w:val="20"/>
        </w:rPr>
        <w:fldChar w:fldCharType="separate"/>
      </w:r>
      <w:r w:rsidR="00855DC4" w:rsidRPr="00953E7F">
        <w:rPr>
          <w:rFonts w:asciiTheme="minorBidi" w:hAnsiTheme="minorBidi"/>
          <w:noProof/>
          <w:sz w:val="20"/>
          <w:szCs w:val="20"/>
        </w:rPr>
        <w:t>(Ehsan et al., 2023)</w:t>
      </w:r>
      <w:r w:rsidR="001009BB" w:rsidRPr="00953E7F">
        <w:rPr>
          <w:rFonts w:asciiTheme="minorBidi" w:hAnsiTheme="minorBidi"/>
          <w:sz w:val="20"/>
          <w:szCs w:val="20"/>
        </w:rPr>
        <w:fldChar w:fldCharType="end"/>
      </w:r>
      <w:r w:rsidR="001009BB" w:rsidRPr="00953E7F">
        <w:rPr>
          <w:rFonts w:asciiTheme="minorBidi" w:hAnsiTheme="minorBidi"/>
          <w:sz w:val="20"/>
          <w:szCs w:val="20"/>
        </w:rPr>
        <w:t xml:space="preserve">. </w:t>
      </w:r>
    </w:p>
    <w:p w14:paraId="58D98399" w14:textId="68895C66" w:rsidR="00855DC4" w:rsidRPr="00953E7F" w:rsidRDefault="001009BB" w:rsidP="00953E7F">
      <w:pPr>
        <w:spacing w:line="276" w:lineRule="auto"/>
        <w:jc w:val="lowKashida"/>
        <w:rPr>
          <w:rFonts w:asciiTheme="minorBidi" w:hAnsiTheme="minorBidi"/>
          <w:sz w:val="20"/>
          <w:szCs w:val="20"/>
        </w:rPr>
      </w:pPr>
      <w:r w:rsidRPr="00953E7F">
        <w:rPr>
          <w:rFonts w:asciiTheme="minorBidi" w:hAnsiTheme="minorBidi"/>
          <w:sz w:val="20"/>
          <w:szCs w:val="20"/>
        </w:rPr>
        <w:t>Comprehensive data is necessary for public oral healthcare planning. A scarcity of data about the oral health knowledge, attitudes, and cleaning acts of Afghan students make this study unique.</w:t>
      </w:r>
      <w:r w:rsidR="005631D6" w:rsidRPr="00953E7F">
        <w:rPr>
          <w:rFonts w:asciiTheme="minorBidi" w:hAnsiTheme="minorBidi"/>
          <w:sz w:val="20"/>
          <w:szCs w:val="20"/>
        </w:rPr>
        <w:t xml:space="preserve"> The study sought to ascertain high school Pupils' self-reported oral </w:t>
      </w:r>
      <w:r w:rsidR="00791640" w:rsidRPr="00953E7F">
        <w:rPr>
          <w:rFonts w:asciiTheme="minorBidi" w:hAnsiTheme="minorBidi"/>
          <w:sz w:val="20"/>
          <w:szCs w:val="20"/>
        </w:rPr>
        <w:t>health</w:t>
      </w:r>
      <w:r w:rsidR="005631D6" w:rsidRPr="00953E7F">
        <w:rPr>
          <w:rFonts w:asciiTheme="minorBidi" w:hAnsiTheme="minorBidi"/>
          <w:sz w:val="20"/>
          <w:szCs w:val="20"/>
        </w:rPr>
        <w:t xml:space="preserve"> routine knowledge as well as their attitudes and practices about oral health in Jalalabad City.</w:t>
      </w:r>
    </w:p>
    <w:p w14:paraId="73329EA5" w14:textId="5FC13611" w:rsidR="005631D6" w:rsidRPr="00953E7F" w:rsidRDefault="00953E7F" w:rsidP="002B3656">
      <w:pPr>
        <w:spacing w:before="240" w:after="0" w:line="276" w:lineRule="auto"/>
        <w:jc w:val="lowKashida"/>
        <w:rPr>
          <w:rFonts w:asciiTheme="minorBidi" w:hAnsiTheme="minorBidi"/>
          <w:b/>
          <w:bCs/>
          <w:sz w:val="22"/>
          <w:szCs w:val="22"/>
        </w:rPr>
      </w:pPr>
      <w:r>
        <w:rPr>
          <w:rFonts w:asciiTheme="minorBidi" w:hAnsiTheme="minorBidi"/>
          <w:b/>
          <w:bCs/>
          <w:sz w:val="22"/>
          <w:szCs w:val="22"/>
        </w:rPr>
        <w:t>MATERIALS AND METHODS</w:t>
      </w:r>
    </w:p>
    <w:p w14:paraId="145BF3AF" w14:textId="4861FA39" w:rsidR="00873F50" w:rsidRPr="00953E7F" w:rsidRDefault="00FE3277" w:rsidP="00FE3277">
      <w:pPr>
        <w:spacing w:after="0" w:line="276" w:lineRule="auto"/>
        <w:jc w:val="lowKashida"/>
        <w:rPr>
          <w:rFonts w:asciiTheme="minorBidi" w:hAnsiTheme="minorBidi"/>
          <w:sz w:val="20"/>
          <w:szCs w:val="20"/>
        </w:rPr>
      </w:pPr>
      <w:r w:rsidRPr="00953E7F">
        <w:rPr>
          <w:rFonts w:asciiTheme="minorBidi" w:hAnsiTheme="minorBidi"/>
          <w:sz w:val="20"/>
          <w:szCs w:val="20"/>
        </w:rPr>
        <w:t xml:space="preserve">This cross-sectional study was carried out between January </w:t>
      </w:r>
      <w:r w:rsidR="009021BE" w:rsidRPr="00953E7F">
        <w:rPr>
          <w:rFonts w:asciiTheme="minorBidi" w:hAnsiTheme="minorBidi"/>
          <w:sz w:val="20"/>
          <w:szCs w:val="20"/>
        </w:rPr>
        <w:t>5</w:t>
      </w:r>
      <w:r w:rsidRPr="00953E7F">
        <w:rPr>
          <w:rFonts w:asciiTheme="minorBidi" w:hAnsiTheme="minorBidi"/>
          <w:sz w:val="20"/>
          <w:szCs w:val="20"/>
        </w:rPr>
        <w:t xml:space="preserve">, 2025, and March 5, 2025, among students from the tenth, eleventh, and twelfth grades enrolled in five public (Nangarhar, Tajrobawi, Abdul Wakil, Isteqlal, and Shaheed Mohammad Arif) and five private (Heela, Farhan, Ahmad Shah Durani, Shersha Sori, and Spoogmai) high schools in Jalalabad city, Afghanistan. The required sample size was calculated using the formula </w:t>
      </w:r>
      <w:r w:rsidRPr="00953E7F">
        <w:rPr>
          <w:rFonts w:asciiTheme="minorBidi" w:hAnsiTheme="minorBidi"/>
          <w:i/>
          <w:iCs/>
          <w:sz w:val="20"/>
          <w:szCs w:val="20"/>
        </w:rPr>
        <w:t>n = Z² × P(1−P) / d²</w:t>
      </w:r>
      <w:r w:rsidRPr="00953E7F">
        <w:rPr>
          <w:rFonts w:asciiTheme="minorBidi" w:hAnsiTheme="minorBidi"/>
          <w:sz w:val="20"/>
          <w:szCs w:val="20"/>
        </w:rPr>
        <w:t xml:space="preserve">; where </w:t>
      </w:r>
      <w:r w:rsidRPr="00953E7F">
        <w:rPr>
          <w:rFonts w:asciiTheme="minorBidi" w:hAnsiTheme="minorBidi"/>
          <w:i/>
          <w:iCs/>
          <w:sz w:val="20"/>
          <w:szCs w:val="20"/>
        </w:rPr>
        <w:t>n</w:t>
      </w:r>
      <w:r w:rsidRPr="00953E7F">
        <w:rPr>
          <w:rFonts w:asciiTheme="minorBidi" w:hAnsiTheme="minorBidi"/>
          <w:sz w:val="20"/>
          <w:szCs w:val="20"/>
        </w:rPr>
        <w:t xml:space="preserve"> represents the sample size, </w:t>
      </w:r>
      <w:r w:rsidRPr="00953E7F">
        <w:rPr>
          <w:rFonts w:asciiTheme="minorBidi" w:hAnsiTheme="minorBidi"/>
          <w:i/>
          <w:iCs/>
          <w:sz w:val="20"/>
          <w:szCs w:val="20"/>
        </w:rPr>
        <w:t>Z</w:t>
      </w:r>
      <w:r w:rsidRPr="00953E7F">
        <w:rPr>
          <w:rFonts w:asciiTheme="minorBidi" w:hAnsiTheme="minorBidi"/>
          <w:sz w:val="20"/>
          <w:szCs w:val="20"/>
        </w:rPr>
        <w:t xml:space="preserve"> = 1.96 corresponds to the 95% confidence level, </w:t>
      </w:r>
      <w:r w:rsidRPr="00953E7F">
        <w:rPr>
          <w:rFonts w:asciiTheme="minorBidi" w:hAnsiTheme="minorBidi"/>
          <w:i/>
          <w:iCs/>
          <w:sz w:val="20"/>
          <w:szCs w:val="20"/>
        </w:rPr>
        <w:t>P</w:t>
      </w:r>
      <w:r w:rsidRPr="00953E7F">
        <w:rPr>
          <w:rFonts w:asciiTheme="minorBidi" w:hAnsiTheme="minorBidi"/>
          <w:sz w:val="20"/>
          <w:szCs w:val="20"/>
        </w:rPr>
        <w:t xml:space="preserve"> = 0.5 reflects the anticipated prevalence, and </w:t>
      </w:r>
      <w:r w:rsidRPr="00953E7F">
        <w:rPr>
          <w:rFonts w:asciiTheme="minorBidi" w:hAnsiTheme="minorBidi"/>
          <w:i/>
          <w:iCs/>
          <w:sz w:val="20"/>
          <w:szCs w:val="20"/>
        </w:rPr>
        <w:t>d</w:t>
      </w:r>
      <w:r w:rsidRPr="00953E7F">
        <w:rPr>
          <w:rFonts w:asciiTheme="minorBidi" w:hAnsiTheme="minorBidi"/>
          <w:sz w:val="20"/>
          <w:szCs w:val="20"/>
        </w:rPr>
        <w:t xml:space="preserve"> = 0.05 signifies the acceptable margin of error </w:t>
      </w:r>
      <w:r w:rsidR="0008624C" w:rsidRPr="00953E7F">
        <w:rPr>
          <w:rFonts w:asciiTheme="minorBidi" w:hAnsiTheme="minorBidi"/>
          <w:sz w:val="20"/>
          <w:szCs w:val="20"/>
        </w:rPr>
        <w:fldChar w:fldCharType="begin"/>
      </w:r>
      <w:r w:rsidR="0008624C" w:rsidRPr="00953E7F">
        <w:rPr>
          <w:rFonts w:asciiTheme="minorBidi" w:hAnsiTheme="minorBidi"/>
          <w:sz w:val="20"/>
          <w:szCs w:val="20"/>
        </w:rPr>
        <w:instrText xml:space="preserve"> QUOTE </w:instrText>
      </w:r>
      <m:oMath>
        <m:r>
          <m:rPr>
            <m:sty m:val="p"/>
          </m:rPr>
          <w:rPr>
            <w:rFonts w:ascii="Cambria Math" w:hAnsi="Cambria Math"/>
            <w:sz w:val="20"/>
            <w:szCs w:val="20"/>
          </w:rPr>
          <m:t>n =</m:t>
        </m:r>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Z</m:t>
                </m:r>
              </m:e>
              <m:sup>
                <m:r>
                  <m:rPr>
                    <m:sty m:val="p"/>
                  </m:rPr>
                  <w:rPr>
                    <w:rFonts w:ascii="Cambria Math" w:hAnsi="Cambria Math"/>
                    <w:sz w:val="20"/>
                    <w:szCs w:val="20"/>
                  </w:rPr>
                  <m:t>2</m:t>
                </m:r>
              </m:sup>
            </m:sSup>
            <m:r>
              <m:rPr>
                <m:sty m:val="p"/>
              </m:rPr>
              <w:rPr>
                <w:rFonts w:ascii="Cambria Math" w:hAnsi="Cambria Math"/>
                <w:sz w:val="20"/>
                <w:szCs w:val="20"/>
              </w:rPr>
              <m:t>P</m:t>
            </m:r>
            <m:d>
              <m:dPr>
                <m:ctrlPr>
                  <w:rPr>
                    <w:rFonts w:ascii="Cambria Math" w:hAnsi="Cambria Math"/>
                    <w:sz w:val="20"/>
                    <w:szCs w:val="20"/>
                  </w:rPr>
                </m:ctrlPr>
              </m:dPr>
              <m:e>
                <m:r>
                  <m:rPr>
                    <m:sty m:val="p"/>
                  </m:rPr>
                  <w:rPr>
                    <w:rFonts w:ascii="Cambria Math" w:hAnsi="Cambria Math"/>
                    <w:sz w:val="20"/>
                    <w:szCs w:val="20"/>
                  </w:rPr>
                  <m:t>1-p</m:t>
                </m:r>
              </m:e>
            </m:d>
          </m:num>
          <m:den>
            <m:sSup>
              <m:sSupPr>
                <m:ctrlPr>
                  <w:rPr>
                    <w:rFonts w:ascii="Cambria Math" w:hAnsi="Cambria Math"/>
                    <w:sz w:val="20"/>
                    <w:szCs w:val="20"/>
                  </w:rPr>
                </m:ctrlPr>
              </m:sSupPr>
              <m:e>
                <m:r>
                  <m:rPr>
                    <m:sty m:val="p"/>
                  </m:rPr>
                  <w:rPr>
                    <w:rFonts w:ascii="Cambria Math" w:hAnsi="Cambria Math"/>
                    <w:sz w:val="20"/>
                    <w:szCs w:val="20"/>
                  </w:rPr>
                  <m:t>d</m:t>
                </m:r>
              </m:e>
              <m:sup>
                <m:r>
                  <m:rPr>
                    <m:sty m:val="p"/>
                  </m:rPr>
                  <w:rPr>
                    <w:rFonts w:ascii="Cambria Math" w:hAnsi="Cambria Math"/>
                    <w:sz w:val="20"/>
                    <w:szCs w:val="20"/>
                  </w:rPr>
                  <m:t>2</m:t>
                </m:r>
              </m:sup>
            </m:sSup>
          </m:den>
        </m:f>
      </m:oMath>
      <w:r w:rsidR="0008624C" w:rsidRPr="00953E7F">
        <w:rPr>
          <w:rFonts w:asciiTheme="minorBidi" w:hAnsiTheme="minorBidi"/>
          <w:sz w:val="20"/>
          <w:szCs w:val="20"/>
        </w:rPr>
        <w:instrText xml:space="preserve"> </w:instrText>
      </w:r>
      <w:r w:rsidR="0008624C" w:rsidRPr="00953E7F">
        <w:rPr>
          <w:rFonts w:asciiTheme="minorBidi" w:hAnsiTheme="minorBidi"/>
          <w:sz w:val="20"/>
          <w:szCs w:val="20"/>
        </w:rPr>
        <w:fldChar w:fldCharType="end"/>
      </w:r>
      <w:r w:rsidR="0008624C"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&lt;EndNote&gt;&lt;Cite&gt;&lt;Author&gt;Pourhoseingholi&lt;/Author&gt;&lt;Year&gt;2013&lt;/Year&gt;&lt;RecNum&gt;37&lt;/RecNum&gt;&lt;DisplayText&gt;(Pourhoseingholi et al., 2013)&lt;/DisplayText&gt;&lt;record&gt;&lt;rec-number&gt;37&lt;/rec-number&gt;&lt;foreign-keys&gt;&lt;key app="EN" db-id="d9vezd9dn5tt25e9w5h5xssdese9wv2ppwr2" timestamp="1708423792"&gt;37&lt;/key&gt;&lt;/foreign-keys&gt;&lt;ref-type name="Journal Article"&gt;17&lt;/ref-type&gt;&lt;contributors&gt;&lt;authors&gt;&lt;author&gt;Pourhoseingholi, Mohamad Amin&lt;/author&gt;&lt;author&gt;Vahedi, Mohsen&lt;/author&gt;&lt;author&gt;Rahimzadeh, Mitra&lt;/author&gt;&lt;/authors&gt;&lt;/contributors&gt;&lt;titles&gt;&lt;title&gt;Sample size calculation in medical studies&lt;/title&gt;&lt;secondary-title&gt;Gastroenterology and Hepatology from bed to bench&lt;/secondary-title&gt;&lt;/titles&gt;&lt;periodical&gt;&lt;full-title&gt;Gastroenterology and Hepatology from bed to bench&lt;/full-title&gt;&lt;/periodical&gt;&lt;pages&gt;14&lt;/pages&gt;&lt;volume&gt;6&lt;/volume&gt;&lt;number&gt;1&lt;/number&gt;&lt;dates&gt;&lt;year&gt;2013&lt;/year&gt;&lt;/dates&gt;&lt;urls&gt;&lt;/urls&gt;&lt;/record&gt;&lt;/Cite&gt;&lt;/EndNote&gt;</w:instrText>
      </w:r>
      <w:r w:rsidR="0008624C" w:rsidRPr="00953E7F">
        <w:rPr>
          <w:rFonts w:asciiTheme="minorBidi" w:hAnsiTheme="minorBidi"/>
          <w:sz w:val="20"/>
          <w:szCs w:val="20"/>
        </w:rPr>
        <w:fldChar w:fldCharType="separate"/>
      </w:r>
      <w:r w:rsidR="00855DC4" w:rsidRPr="00953E7F">
        <w:rPr>
          <w:rFonts w:asciiTheme="minorBidi" w:hAnsiTheme="minorBidi"/>
          <w:noProof/>
          <w:sz w:val="20"/>
          <w:szCs w:val="20"/>
        </w:rPr>
        <w:t>(Pourhoseingholi et al., 2013)</w:t>
      </w:r>
      <w:r w:rsidR="0008624C" w:rsidRPr="00953E7F">
        <w:rPr>
          <w:rFonts w:asciiTheme="minorBidi" w:hAnsiTheme="minorBidi"/>
          <w:sz w:val="20"/>
          <w:szCs w:val="20"/>
        </w:rPr>
        <w:fldChar w:fldCharType="end"/>
      </w:r>
      <w:r w:rsidR="0008624C" w:rsidRPr="00953E7F">
        <w:rPr>
          <w:rFonts w:asciiTheme="minorBidi" w:hAnsiTheme="minorBidi"/>
          <w:sz w:val="20"/>
          <w:szCs w:val="20"/>
        </w:rPr>
        <w:t xml:space="preserve">; </w:t>
      </w:r>
      <w:r w:rsidRPr="00953E7F">
        <w:rPr>
          <w:rFonts w:asciiTheme="minorBidi" w:hAnsiTheme="minorBidi"/>
          <w:sz w:val="20"/>
          <w:szCs w:val="20"/>
        </w:rPr>
        <w:t>To address the likelihood of incomplete responses, a 20% increase was applied to the initial estimate, resulting in a final sample of 460 students. Participants were recruited using a non-probability convenience sampling method, with 4</w:t>
      </w:r>
      <w:r w:rsidR="00042AC0" w:rsidRPr="00953E7F">
        <w:rPr>
          <w:rFonts w:asciiTheme="minorBidi" w:hAnsiTheme="minorBidi"/>
          <w:sz w:val="20"/>
          <w:szCs w:val="20"/>
        </w:rPr>
        <w:t>8</w:t>
      </w:r>
      <w:r w:rsidRPr="00953E7F">
        <w:rPr>
          <w:rFonts w:asciiTheme="minorBidi" w:hAnsiTheme="minorBidi"/>
          <w:sz w:val="20"/>
          <w:szCs w:val="20"/>
        </w:rPr>
        <w:t xml:space="preserve"> students selected from each school, ensuring an equal distribution of 1</w:t>
      </w:r>
      <w:r w:rsidR="00042AC0" w:rsidRPr="00953E7F">
        <w:rPr>
          <w:rFonts w:asciiTheme="minorBidi" w:hAnsiTheme="minorBidi"/>
          <w:sz w:val="20"/>
          <w:szCs w:val="20"/>
        </w:rPr>
        <w:t>6</w:t>
      </w:r>
      <w:r w:rsidRPr="00953E7F">
        <w:rPr>
          <w:rFonts w:asciiTheme="minorBidi" w:hAnsiTheme="minorBidi"/>
          <w:sz w:val="20"/>
          <w:szCs w:val="20"/>
        </w:rPr>
        <w:t xml:space="preserve"> students per academic grade.</w:t>
      </w:r>
    </w:p>
    <w:p w14:paraId="0BCD9938" w14:textId="00083CED" w:rsidR="009021BE" w:rsidRPr="00953E7F" w:rsidRDefault="006B6C91" w:rsidP="006B6C91">
      <w:pPr>
        <w:spacing w:after="0" w:line="276" w:lineRule="auto"/>
        <w:jc w:val="lowKashida"/>
        <w:rPr>
          <w:rFonts w:asciiTheme="minorBidi" w:hAnsiTheme="minorBidi"/>
          <w:sz w:val="20"/>
          <w:szCs w:val="20"/>
        </w:rPr>
      </w:pPr>
      <w:r w:rsidRPr="00953E7F">
        <w:rPr>
          <w:rFonts w:asciiTheme="minorBidi" w:hAnsiTheme="minorBidi"/>
          <w:sz w:val="20"/>
          <w:szCs w:val="20"/>
        </w:rPr>
        <w:t>Prior to data collection, informed consent was obtained from the participating students. Formal authorization was secured through a written approval letter from the Directorate of Education in Jalalabad, and official communication was sent to the selected schools outlining the objectives and procedures of the study. To promote genuine participation and to create an environment where students could express themselves openly, they were thoroughly briefed on the study’s aims, scope, and processes. Furthermore, participants were clearly informed about the methods and purposes of data collection.</w:t>
      </w:r>
    </w:p>
    <w:p w14:paraId="3B03C1B1" w14:textId="620D3D7B" w:rsidR="001E53E6" w:rsidRPr="00953E7F" w:rsidRDefault="005A508C" w:rsidP="001E53E6">
      <w:pPr>
        <w:spacing w:after="0" w:line="276" w:lineRule="auto"/>
        <w:jc w:val="lowKashida"/>
        <w:rPr>
          <w:rFonts w:asciiTheme="minorBidi" w:hAnsiTheme="minorBidi"/>
          <w:sz w:val="20"/>
          <w:szCs w:val="20"/>
        </w:rPr>
      </w:pPr>
      <w:r w:rsidRPr="00953E7F">
        <w:rPr>
          <w:rFonts w:asciiTheme="minorBidi" w:hAnsiTheme="minorBidi"/>
          <w:sz w:val="20"/>
          <w:szCs w:val="20"/>
        </w:rPr>
        <w:t>Data collection was conducted using a modified questionnaire adapted from previous research</w:t>
      </w:r>
      <w:r w:rsidR="001E53E6" w:rsidRPr="00953E7F">
        <w:rPr>
          <w:rFonts w:asciiTheme="minorBidi" w:hAnsiTheme="minorBidi"/>
          <w:sz w:val="20"/>
          <w:szCs w:val="20"/>
        </w:rPr>
        <w:t xml:space="preserve"> </w:t>
      </w:r>
      <w:r w:rsidR="007B6870" w:rsidRPr="00953E7F">
        <w:rPr>
          <w:rFonts w:asciiTheme="minorBidi" w:hAnsiTheme="minorBidi"/>
          <w:sz w:val="20"/>
          <w:szCs w:val="20"/>
        </w:rPr>
        <w:fldChar w:fldCharType="begin">
          <w:fldData xml:space="preserve">PEVuZE5vdGU+PENpdGU+PEF1dGhvcj5BTEJhc2h0YXd5PC9BdXRob3I+PFllYXI+MjAxMjwvWWVh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</w:fldData>
        </w:fldChar>
      </w:r>
      <w:r w:rsidR="00855DC4" w:rsidRPr="00953E7F">
        <w:rPr>
          <w:rFonts w:asciiTheme="minorBidi" w:hAnsiTheme="minorBidi"/>
          <w:sz w:val="20"/>
          <w:szCs w:val="20"/>
        </w:rPr>
        <w:instrText xml:space="preserve"> ADDIN EN.CITE </w:instrText>
      </w:r>
      <w:r w:rsidR="00855DC4" w:rsidRPr="00953E7F">
        <w:rPr>
          <w:rFonts w:asciiTheme="minorBidi" w:hAnsiTheme="minorBidi"/>
          <w:sz w:val="20"/>
          <w:szCs w:val="20"/>
        </w:rPr>
        <w:fldChar w:fldCharType="begin">
          <w:fldData xml:space="preserve">PEVuZE5vdGU+PENpdGU+PEF1dGhvcj5BTEJhc2h0YXd5PC9BdXRob3I+PFllYXI+MjAxMjwvWWVh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</w:fldData>
        </w:fldChar>
      </w:r>
      <w:r w:rsidR="00855DC4" w:rsidRPr="00953E7F">
        <w:rPr>
          <w:rFonts w:asciiTheme="minorBidi" w:hAnsiTheme="minorBidi"/>
          <w:sz w:val="20"/>
          <w:szCs w:val="20"/>
        </w:rPr>
        <w:instrText xml:space="preserve"> ADDIN EN.CITE.DATA </w:instrText>
      </w:r>
      <w:r w:rsidR="00855DC4" w:rsidRPr="00953E7F">
        <w:rPr>
          <w:rFonts w:asciiTheme="minorBidi" w:hAnsiTheme="minorBidi"/>
          <w:sz w:val="20"/>
          <w:szCs w:val="20"/>
        </w:rPr>
      </w:r>
      <w:r w:rsidR="00855DC4" w:rsidRPr="00953E7F">
        <w:rPr>
          <w:rFonts w:asciiTheme="minorBidi" w:hAnsiTheme="minorBidi"/>
          <w:sz w:val="20"/>
          <w:szCs w:val="20"/>
        </w:rPr>
        <w:fldChar w:fldCharType="end"/>
      </w:r>
      <w:r w:rsidR="007B6870" w:rsidRPr="00953E7F">
        <w:rPr>
          <w:rFonts w:asciiTheme="minorBidi" w:hAnsiTheme="minorBidi"/>
          <w:sz w:val="20"/>
          <w:szCs w:val="20"/>
        </w:rPr>
      </w:r>
      <w:r w:rsidR="007B6870" w:rsidRPr="00953E7F">
        <w:rPr>
          <w:rFonts w:asciiTheme="minorBidi" w:hAnsiTheme="minorBidi"/>
          <w:sz w:val="20"/>
          <w:szCs w:val="20"/>
        </w:rPr>
        <w:fldChar w:fldCharType="separate"/>
      </w:r>
      <w:r w:rsidR="00855DC4" w:rsidRPr="00953E7F">
        <w:rPr>
          <w:rFonts w:asciiTheme="minorBidi" w:hAnsiTheme="minorBidi"/>
          <w:noProof/>
          <w:sz w:val="20"/>
          <w:szCs w:val="20"/>
        </w:rPr>
        <w:t>(Al</w:t>
      </w:r>
      <w:r w:rsidR="00855DC4" w:rsidRPr="00953E7F">
        <w:rPr>
          <w:rFonts w:ascii="Cambria Math" w:hAnsi="Cambria Math" w:cs="Cambria Math"/>
          <w:noProof/>
          <w:sz w:val="20"/>
          <w:szCs w:val="20"/>
        </w:rPr>
        <w:t>‐</w:t>
      </w:r>
      <w:r w:rsidR="00855DC4" w:rsidRPr="00953E7F">
        <w:rPr>
          <w:rFonts w:asciiTheme="minorBidi" w:hAnsiTheme="minorBidi"/>
          <w:noProof/>
          <w:sz w:val="20"/>
          <w:szCs w:val="20"/>
        </w:rPr>
        <w:t>Omiri et al., 2006; ALBashtawy, 2012; Khamaiseh &amp; Albashtawy, 2013; Petersen et al., 2000; Stenberg et al., 2000)</w:t>
      </w:r>
      <w:r w:rsidR="007B6870" w:rsidRPr="00953E7F">
        <w:rPr>
          <w:rFonts w:asciiTheme="minorBidi" w:hAnsiTheme="minorBidi"/>
          <w:sz w:val="20"/>
          <w:szCs w:val="20"/>
        </w:rPr>
        <w:fldChar w:fldCharType="end"/>
      </w:r>
      <w:r w:rsidR="001E53E6" w:rsidRPr="00953E7F">
        <w:rPr>
          <w:rFonts w:asciiTheme="minorBidi" w:hAnsiTheme="minorBidi"/>
          <w:sz w:val="20"/>
          <w:szCs w:val="20"/>
        </w:rPr>
        <w:t xml:space="preserve">, and translated into Pashto language, comprising four sections. The first section gathered information related to sociodemographic characteristics. The second section assessed students' knowledge of oral </w:t>
      </w:r>
      <w:r w:rsidR="001E53E6" w:rsidRPr="00953E7F">
        <w:rPr>
          <w:rFonts w:asciiTheme="minorBidi" w:hAnsiTheme="minorBidi"/>
          <w:sz w:val="20"/>
          <w:szCs w:val="20"/>
        </w:rPr>
        <w:lastRenderedPageBreak/>
        <w:t>health through ten questions, covering topics such as dental appearance, gum bleeding, use of dental floss, and the number of primary and permanent teeth. Each correct response was awarded one point, while incorrect answers received zero. A total score below 5</w:t>
      </w:r>
      <w:r w:rsidR="00DC75FC" w:rsidRPr="00953E7F">
        <w:rPr>
          <w:rFonts w:asciiTheme="minorBidi" w:hAnsiTheme="minorBidi"/>
          <w:sz w:val="20"/>
          <w:szCs w:val="20"/>
        </w:rPr>
        <w:t>0 points</w:t>
      </w:r>
      <w:r w:rsidR="001E53E6" w:rsidRPr="00953E7F">
        <w:rPr>
          <w:rFonts w:asciiTheme="minorBidi" w:hAnsiTheme="minorBidi"/>
          <w:sz w:val="20"/>
          <w:szCs w:val="20"/>
        </w:rPr>
        <w:t xml:space="preserve"> indicated very poor knowledge, scores between 5</w:t>
      </w:r>
      <w:r w:rsidR="00DC75FC" w:rsidRPr="00953E7F">
        <w:rPr>
          <w:rFonts w:asciiTheme="minorBidi" w:hAnsiTheme="minorBidi"/>
          <w:sz w:val="20"/>
          <w:szCs w:val="20"/>
        </w:rPr>
        <w:t>0</w:t>
      </w:r>
      <w:r w:rsidR="001E53E6" w:rsidRPr="00953E7F">
        <w:rPr>
          <w:rFonts w:asciiTheme="minorBidi" w:hAnsiTheme="minorBidi"/>
          <w:sz w:val="20"/>
          <w:szCs w:val="20"/>
        </w:rPr>
        <w:t xml:space="preserve"> and </w:t>
      </w:r>
      <w:r w:rsidR="00DC75FC" w:rsidRPr="00953E7F">
        <w:rPr>
          <w:rFonts w:asciiTheme="minorBidi" w:hAnsiTheme="minorBidi"/>
          <w:sz w:val="20"/>
          <w:szCs w:val="20"/>
        </w:rPr>
        <w:t xml:space="preserve">69 </w:t>
      </w:r>
      <w:proofErr w:type="gramStart"/>
      <w:r w:rsidR="00DC75FC" w:rsidRPr="00953E7F">
        <w:rPr>
          <w:rFonts w:asciiTheme="minorBidi" w:hAnsiTheme="minorBidi"/>
          <w:sz w:val="20"/>
          <w:szCs w:val="20"/>
        </w:rPr>
        <w:t xml:space="preserve">points </w:t>
      </w:r>
      <w:r w:rsidR="001E53E6" w:rsidRPr="00953E7F">
        <w:rPr>
          <w:rFonts w:asciiTheme="minorBidi" w:hAnsiTheme="minorBidi"/>
          <w:sz w:val="20"/>
          <w:szCs w:val="20"/>
        </w:rPr>
        <w:t xml:space="preserve"> reflected</w:t>
      </w:r>
      <w:proofErr w:type="gramEnd"/>
      <w:r w:rsidR="001E53E6" w:rsidRPr="00953E7F">
        <w:rPr>
          <w:rFonts w:asciiTheme="minorBidi" w:hAnsiTheme="minorBidi"/>
          <w:sz w:val="20"/>
          <w:szCs w:val="20"/>
        </w:rPr>
        <w:t xml:space="preserve"> poor knowledge, scores between 7</w:t>
      </w:r>
      <w:r w:rsidR="00DC75FC" w:rsidRPr="00953E7F">
        <w:rPr>
          <w:rFonts w:asciiTheme="minorBidi" w:hAnsiTheme="minorBidi"/>
          <w:sz w:val="20"/>
          <w:szCs w:val="20"/>
        </w:rPr>
        <w:t>0</w:t>
      </w:r>
      <w:r w:rsidR="001E53E6" w:rsidRPr="00953E7F">
        <w:rPr>
          <w:rFonts w:asciiTheme="minorBidi" w:hAnsiTheme="minorBidi"/>
          <w:sz w:val="20"/>
          <w:szCs w:val="20"/>
        </w:rPr>
        <w:t xml:space="preserve"> and </w:t>
      </w:r>
      <w:r w:rsidR="00DC75FC" w:rsidRPr="00953E7F">
        <w:rPr>
          <w:rFonts w:asciiTheme="minorBidi" w:hAnsiTheme="minorBidi"/>
          <w:sz w:val="20"/>
          <w:szCs w:val="20"/>
        </w:rPr>
        <w:t>79 point</w:t>
      </w:r>
      <w:r w:rsidR="001E53E6" w:rsidRPr="00953E7F">
        <w:rPr>
          <w:rFonts w:asciiTheme="minorBidi" w:hAnsiTheme="minorBidi"/>
          <w:sz w:val="20"/>
          <w:szCs w:val="20"/>
        </w:rPr>
        <w:t xml:space="preserve"> represented good knowledge, and scores above 8</w:t>
      </w:r>
      <w:r w:rsidR="00DC75FC" w:rsidRPr="00953E7F">
        <w:rPr>
          <w:rFonts w:asciiTheme="minorBidi" w:hAnsiTheme="minorBidi"/>
          <w:sz w:val="20"/>
          <w:szCs w:val="20"/>
        </w:rPr>
        <w:t>0</w:t>
      </w:r>
      <w:r w:rsidR="001E53E6" w:rsidRPr="00953E7F">
        <w:rPr>
          <w:rFonts w:asciiTheme="minorBidi" w:hAnsiTheme="minorBidi"/>
          <w:sz w:val="20"/>
          <w:szCs w:val="20"/>
        </w:rPr>
        <w:t xml:space="preserve"> were categorized as very good knowledge regarding oral health. In the third section, students’ attitudes toward professional dental care were evaluated through eight questions, focusing on their feelings, experiences during dental visits, and their views on dental services. The fourth and final section investigated students' daily oral hygiene practices with six questions addressing the frequency and duration of oral care activities, as well as the role of family members in supervising oral hygiene.</w:t>
      </w:r>
      <w:r w:rsidR="00977931" w:rsidRPr="00953E7F">
        <w:rPr>
          <w:rFonts w:asciiTheme="minorBidi" w:hAnsiTheme="minorBidi"/>
          <w:sz w:val="20"/>
          <w:szCs w:val="20"/>
        </w:rPr>
        <w:t xml:space="preserve"> </w:t>
      </w:r>
    </w:p>
    <w:p w14:paraId="6F9523C6" w14:textId="1495E517" w:rsidR="001E53E6" w:rsidRPr="00953E7F" w:rsidRDefault="001E53E6" w:rsidP="001E53E6">
      <w:pPr>
        <w:spacing w:after="0" w:line="276" w:lineRule="auto"/>
        <w:jc w:val="lowKashida"/>
        <w:rPr>
          <w:rFonts w:asciiTheme="minorBidi" w:hAnsiTheme="minorBidi"/>
          <w:sz w:val="20"/>
          <w:szCs w:val="20"/>
        </w:rPr>
      </w:pPr>
      <w:r w:rsidRPr="00953E7F">
        <w:rPr>
          <w:rFonts w:asciiTheme="minorBidi" w:hAnsiTheme="minorBidi"/>
          <w:sz w:val="20"/>
          <w:szCs w:val="20"/>
        </w:rPr>
        <w:t>A pilot study was carried out involving 50 high school students. On average, completing the questionnaire required between 11 and 14 minutes. Following the pilot testing, certain questions were added while some were removed. The reliability and internal consistency of the knowledge scale were assessed using Cronbach's alpha, which yielded a value of 0.813, demonstrating good reliability of the questionnaire.</w:t>
      </w:r>
    </w:p>
    <w:p w14:paraId="5FA8CE2F" w14:textId="2B9A6192" w:rsidR="00AD2EBD" w:rsidRPr="00953E7F" w:rsidRDefault="001E53E6" w:rsidP="00855DC4">
      <w:pPr>
        <w:spacing w:after="0" w:line="276" w:lineRule="auto"/>
        <w:jc w:val="lowKashida"/>
        <w:rPr>
          <w:rFonts w:asciiTheme="minorBidi" w:hAnsiTheme="minorBidi"/>
          <w:sz w:val="20"/>
          <w:szCs w:val="20"/>
        </w:rPr>
      </w:pPr>
      <w:r w:rsidRPr="00953E7F">
        <w:rPr>
          <w:rFonts w:asciiTheme="minorBidi" w:hAnsiTheme="minorBidi"/>
          <w:sz w:val="20"/>
          <w:szCs w:val="20"/>
        </w:rPr>
        <w:t>The data were analyzed using the Statistical Package for the Social Sciences (SPSS) version 27</w:t>
      </w:r>
      <w:r w:rsidR="00EC0D97" w:rsidRPr="00953E7F">
        <w:rPr>
          <w:rFonts w:asciiTheme="minorBidi" w:hAnsiTheme="minorBidi"/>
          <w:sz w:val="20"/>
          <w:szCs w:val="20"/>
          <w:lang w:bidi="ps-AF"/>
        </w:rPr>
        <w:t>.0</w:t>
      </w:r>
      <w:r w:rsidRPr="00953E7F">
        <w:rPr>
          <w:rFonts w:asciiTheme="minorBidi" w:hAnsiTheme="minorBidi"/>
          <w:sz w:val="20"/>
          <w:szCs w:val="20"/>
        </w:rPr>
        <w:t>. Mean values and frequency distributions were computed and the results were displayed through tables, charts, and graphs.</w:t>
      </w:r>
    </w:p>
    <w:p w14:paraId="1E0D9237" w14:textId="0415BE64" w:rsidR="00EC0D97" w:rsidRPr="002B3656" w:rsidRDefault="00953E7F" w:rsidP="002B3656">
      <w:pPr>
        <w:spacing w:before="240" w:after="0" w:line="276" w:lineRule="auto"/>
        <w:jc w:val="lowKashida"/>
        <w:rPr>
          <w:rFonts w:asciiTheme="minorBidi" w:hAnsiTheme="minorBidi"/>
          <w:b/>
          <w:bCs/>
          <w:sz w:val="28"/>
          <w:szCs w:val="28"/>
        </w:rPr>
      </w:pPr>
      <w:r>
        <w:rPr>
          <w:rFonts w:asciiTheme="minorBidi" w:hAnsiTheme="minorBidi"/>
          <w:b/>
          <w:bCs/>
          <w:sz w:val="28"/>
          <w:szCs w:val="28"/>
        </w:rPr>
        <w:t>RESULTS</w:t>
      </w:r>
    </w:p>
    <w:p w14:paraId="7F5627E4" w14:textId="1E8200E2" w:rsidR="00EC0D97" w:rsidRDefault="00EC0D97" w:rsidP="001E53E6">
      <w:pPr>
        <w:spacing w:after="0" w:line="276" w:lineRule="auto"/>
        <w:jc w:val="lowKashida"/>
        <w:rPr>
          <w:rFonts w:asciiTheme="minorBidi" w:hAnsiTheme="minorBidi"/>
          <w:sz w:val="20"/>
          <w:szCs w:val="20"/>
        </w:rPr>
      </w:pPr>
      <w:r w:rsidRPr="00953E7F">
        <w:rPr>
          <w:rFonts w:asciiTheme="minorBidi" w:hAnsiTheme="minorBidi"/>
          <w:sz w:val="20"/>
          <w:szCs w:val="20"/>
        </w:rPr>
        <w:t xml:space="preserve">A total of </w:t>
      </w:r>
      <w:r w:rsidR="00042AC0" w:rsidRPr="00953E7F">
        <w:rPr>
          <w:rFonts w:asciiTheme="minorBidi" w:hAnsiTheme="minorBidi"/>
          <w:sz w:val="20"/>
          <w:szCs w:val="20"/>
        </w:rPr>
        <w:t xml:space="preserve">460 questionnaires were distributed among </w:t>
      </w:r>
      <w:r w:rsidR="000943BB" w:rsidRPr="00953E7F">
        <w:rPr>
          <w:rFonts w:asciiTheme="minorBidi" w:hAnsiTheme="minorBidi"/>
          <w:sz w:val="20"/>
          <w:szCs w:val="20"/>
        </w:rPr>
        <w:t xml:space="preserve">students of </w:t>
      </w:r>
      <w:r w:rsidR="00325AB4" w:rsidRPr="00953E7F">
        <w:rPr>
          <w:rFonts w:asciiTheme="minorBidi" w:hAnsiTheme="minorBidi"/>
          <w:sz w:val="20"/>
          <w:szCs w:val="20"/>
        </w:rPr>
        <w:t xml:space="preserve">tenth, eleventh, and twelfth grades enrolled in five public (Nangarhar, Tajrobawi, Abdul Wakil, Isteqlal, and Shaheed Mohammad Arif) and five private (Heela, Farhan, Ahmad Shah Durani, Shersha Sori, and Spoogmai) high schools in Jalalabad (figure 1), </w:t>
      </w:r>
      <w:r w:rsidR="00042AC0" w:rsidRPr="00953E7F">
        <w:rPr>
          <w:rFonts w:asciiTheme="minorBidi" w:hAnsiTheme="minorBidi"/>
          <w:sz w:val="20"/>
          <w:szCs w:val="20"/>
        </w:rPr>
        <w:t>and 450 questionnaires was completed and 10 of them was either incomplete or no response. Among 450 students all of them were male (females were not allowed to high schools), mean age of the students was 17.5 ± 1.63 SD</w:t>
      </w:r>
      <w:r w:rsidR="00A64D9F" w:rsidRPr="00953E7F">
        <w:rPr>
          <w:rFonts w:asciiTheme="minorBidi" w:hAnsiTheme="minorBidi"/>
          <w:sz w:val="20"/>
          <w:szCs w:val="20"/>
        </w:rPr>
        <w:t>. Most of the participants 298 (66.2%) had normal body weight, 18 (4.0%) was obese, 67 (14.9%) was Overweight and 67 (14.9%) was underweight according to the World Health Organization’s Body Mass Index (BMI) measurements. Most of the students 176 (39.1%) reported poor household economic status and nearly all (99.1%) were residing in rural area (Jalalabad city) (Table 1).</w:t>
      </w:r>
    </w:p>
    <w:p w14:paraId="31F2BB93" w14:textId="77777777" w:rsidR="008607FE" w:rsidRDefault="008607FE" w:rsidP="001E53E6">
      <w:pPr>
        <w:spacing w:after="0" w:line="276" w:lineRule="auto"/>
        <w:jc w:val="lowKashida"/>
        <w:rPr>
          <w:rFonts w:asciiTheme="minorBidi" w:hAnsiTheme="minorBidi"/>
          <w:sz w:val="20"/>
          <w:szCs w:val="20"/>
        </w:rPr>
      </w:pPr>
    </w:p>
    <w:p w14:paraId="4157AF9B" w14:textId="77777777" w:rsidR="008607FE" w:rsidRPr="00953E7F" w:rsidRDefault="008607FE" w:rsidP="001E53E6">
      <w:pPr>
        <w:spacing w:after="0" w:line="276" w:lineRule="auto"/>
        <w:jc w:val="lowKashida"/>
        <w:rPr>
          <w:rFonts w:asciiTheme="minorBidi" w:hAnsiTheme="minorBidi"/>
          <w:sz w:val="20"/>
          <w:szCs w:val="20"/>
        </w:rPr>
      </w:pPr>
    </w:p>
    <w:p w14:paraId="0C9C23FE" w14:textId="4CF939C3" w:rsidR="000943BB" w:rsidRPr="002B3656" w:rsidRDefault="002B3656" w:rsidP="002B3656">
      <w:pPr>
        <w:spacing w:before="240" w:after="0" w:line="276" w:lineRule="auto"/>
        <w:jc w:val="lowKashida"/>
        <w:rPr>
          <w:rFonts w:asciiTheme="minorBidi" w:hAnsiTheme="minorBidi"/>
          <w:sz w:val="20"/>
          <w:szCs w:val="20"/>
        </w:rPr>
      </w:pPr>
      <w:r w:rsidRPr="002B3656">
        <w:rPr>
          <w:rFonts w:asciiTheme="minorBidi" w:hAnsiTheme="minorBidi"/>
          <w:sz w:val="20"/>
          <w:szCs w:val="20"/>
        </w:rPr>
        <w:t xml:space="preserve">Table 1 </w:t>
      </w:r>
      <w:r w:rsidR="000943BB" w:rsidRPr="002B3656">
        <w:rPr>
          <w:rFonts w:asciiTheme="minorBidi" w:hAnsiTheme="minorBidi"/>
          <w:sz w:val="20"/>
          <w:szCs w:val="20"/>
        </w:rPr>
        <w:t>Socio-demographic data of the participants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865"/>
        <w:gridCol w:w="1445"/>
      </w:tblGrid>
      <w:tr w:rsidR="00A64D9F" w:rsidRPr="002B3656" w14:paraId="44BD2C0A" w14:textId="77777777" w:rsidTr="002B3656">
        <w:trPr>
          <w:jc w:val="center"/>
        </w:trPr>
        <w:tc>
          <w:tcPr>
            <w:tcW w:w="3865" w:type="dxa"/>
            <w:shd w:val="clear" w:color="auto" w:fill="auto"/>
          </w:tcPr>
          <w:p w14:paraId="34805F72" w14:textId="320A9957" w:rsidR="00A64D9F" w:rsidRPr="002B3656" w:rsidRDefault="00A64D9F" w:rsidP="00855DC4">
            <w:pPr>
              <w:spacing w:after="0" w:line="240" w:lineRule="auto"/>
              <w:jc w:val="center"/>
              <w:rPr>
                <w:rFonts w:asciiTheme="minorBidi" w:hAnsiTheme="minorBidi"/>
                <w:sz w:val="20"/>
                <w:szCs w:val="20"/>
              </w:rPr>
            </w:pPr>
            <w:r w:rsidRPr="002B3656">
              <w:rPr>
                <w:rFonts w:asciiTheme="minorBidi" w:hAnsiTheme="minorBidi"/>
                <w:sz w:val="20"/>
                <w:szCs w:val="20"/>
              </w:rPr>
              <w:t>Socio-demographic information</w:t>
            </w:r>
          </w:p>
        </w:tc>
        <w:tc>
          <w:tcPr>
            <w:tcW w:w="1445" w:type="dxa"/>
            <w:shd w:val="clear" w:color="auto" w:fill="auto"/>
          </w:tcPr>
          <w:p w14:paraId="3BDA6764" w14:textId="77777777" w:rsidR="00A64D9F" w:rsidRPr="002B3656" w:rsidRDefault="00A64D9F" w:rsidP="00855DC4">
            <w:pPr>
              <w:spacing w:after="0" w:line="240" w:lineRule="auto"/>
              <w:jc w:val="center"/>
              <w:rPr>
                <w:rFonts w:asciiTheme="minorBidi" w:hAnsiTheme="minorBidi"/>
                <w:sz w:val="20"/>
                <w:szCs w:val="20"/>
              </w:rPr>
            </w:pPr>
            <w:r w:rsidRPr="002B3656">
              <w:rPr>
                <w:rFonts w:asciiTheme="minorBidi" w:hAnsiTheme="minorBidi"/>
                <w:sz w:val="20"/>
                <w:szCs w:val="20"/>
              </w:rPr>
              <w:t>n (%)</w:t>
            </w:r>
          </w:p>
        </w:tc>
      </w:tr>
      <w:tr w:rsidR="00A64D9F" w:rsidRPr="002B3656" w14:paraId="2129C043" w14:textId="77777777" w:rsidTr="002B3656">
        <w:trPr>
          <w:jc w:val="center"/>
        </w:trPr>
        <w:tc>
          <w:tcPr>
            <w:tcW w:w="3865" w:type="dxa"/>
            <w:shd w:val="clear" w:color="auto" w:fill="auto"/>
          </w:tcPr>
          <w:p w14:paraId="284F44C4"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Age, years (±SD)</w:t>
            </w:r>
          </w:p>
        </w:tc>
        <w:tc>
          <w:tcPr>
            <w:tcW w:w="1445" w:type="dxa"/>
            <w:shd w:val="clear" w:color="auto" w:fill="auto"/>
          </w:tcPr>
          <w:p w14:paraId="040DD179" w14:textId="5A37FD01"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17.5 ± 1.63</w:t>
            </w:r>
          </w:p>
        </w:tc>
      </w:tr>
      <w:tr w:rsidR="00A64D9F" w:rsidRPr="002B3656" w14:paraId="25997590" w14:textId="77777777" w:rsidTr="002B3656">
        <w:trPr>
          <w:jc w:val="center"/>
        </w:trPr>
        <w:tc>
          <w:tcPr>
            <w:tcW w:w="3865" w:type="dxa"/>
            <w:shd w:val="clear" w:color="auto" w:fill="auto"/>
          </w:tcPr>
          <w:p w14:paraId="530D8377" w14:textId="7AD3EBD0" w:rsidR="00A64D9F" w:rsidRPr="002B3656" w:rsidRDefault="009B2830" w:rsidP="00855DC4">
            <w:pPr>
              <w:spacing w:after="0" w:line="240" w:lineRule="auto"/>
              <w:jc w:val="lowKashida"/>
              <w:rPr>
                <w:rFonts w:asciiTheme="minorBidi" w:hAnsiTheme="minorBidi"/>
                <w:sz w:val="20"/>
                <w:szCs w:val="20"/>
              </w:rPr>
            </w:pPr>
            <w:r w:rsidRPr="002B3656">
              <w:rPr>
                <w:rFonts w:asciiTheme="minorBidi" w:hAnsiTheme="minorBidi"/>
                <w:sz w:val="20"/>
                <w:szCs w:val="20"/>
              </w:rPr>
              <w:t>Residence</w:t>
            </w:r>
          </w:p>
          <w:p w14:paraId="48794612"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Urban</w:t>
            </w:r>
          </w:p>
          <w:p w14:paraId="6F81F235"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Rural</w:t>
            </w:r>
          </w:p>
        </w:tc>
        <w:tc>
          <w:tcPr>
            <w:tcW w:w="1445" w:type="dxa"/>
            <w:shd w:val="clear" w:color="auto" w:fill="auto"/>
          </w:tcPr>
          <w:p w14:paraId="6735DB01" w14:textId="77777777" w:rsidR="00A64D9F" w:rsidRPr="002B3656" w:rsidRDefault="00A64D9F" w:rsidP="00855DC4">
            <w:pPr>
              <w:spacing w:after="0" w:line="240" w:lineRule="auto"/>
              <w:jc w:val="lowKashida"/>
              <w:rPr>
                <w:rFonts w:asciiTheme="minorBidi" w:hAnsiTheme="minorBidi"/>
                <w:sz w:val="20"/>
                <w:szCs w:val="20"/>
              </w:rPr>
            </w:pPr>
          </w:p>
          <w:p w14:paraId="181FAA08" w14:textId="677B31DD"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446 (99.1%)</w:t>
            </w:r>
          </w:p>
          <w:p w14:paraId="11CAA144" w14:textId="37CBC910"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4</w:t>
            </w:r>
            <w:r w:rsidR="006E7785" w:rsidRPr="002B3656">
              <w:rPr>
                <w:rFonts w:asciiTheme="minorBidi" w:hAnsiTheme="minorBidi"/>
                <w:sz w:val="20"/>
                <w:szCs w:val="20"/>
              </w:rPr>
              <w:t xml:space="preserve"> (</w:t>
            </w:r>
            <w:r w:rsidRPr="002B3656">
              <w:rPr>
                <w:rFonts w:asciiTheme="minorBidi" w:hAnsiTheme="minorBidi"/>
                <w:sz w:val="20"/>
                <w:szCs w:val="20"/>
              </w:rPr>
              <w:t>0.1%)</w:t>
            </w:r>
          </w:p>
        </w:tc>
      </w:tr>
      <w:tr w:rsidR="00A64D9F" w:rsidRPr="002B3656" w14:paraId="70FFC356" w14:textId="77777777" w:rsidTr="002B3656">
        <w:trPr>
          <w:jc w:val="center"/>
        </w:trPr>
        <w:tc>
          <w:tcPr>
            <w:tcW w:w="3865" w:type="dxa"/>
            <w:shd w:val="clear" w:color="auto" w:fill="auto"/>
          </w:tcPr>
          <w:p w14:paraId="0B3FD036" w14:textId="18AFDDFD"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Economic status </w:t>
            </w:r>
          </w:p>
          <w:p w14:paraId="2A235241" w14:textId="5480FC1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Poor </w:t>
            </w:r>
          </w:p>
          <w:p w14:paraId="281748A7" w14:textId="7A977EF5"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Fair </w:t>
            </w:r>
          </w:p>
          <w:p w14:paraId="204AFB9F"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Good </w:t>
            </w:r>
          </w:p>
        </w:tc>
        <w:tc>
          <w:tcPr>
            <w:tcW w:w="1445" w:type="dxa"/>
            <w:shd w:val="clear" w:color="auto" w:fill="auto"/>
          </w:tcPr>
          <w:p w14:paraId="77A3CB24" w14:textId="77777777" w:rsidR="00A64D9F" w:rsidRPr="002B3656" w:rsidRDefault="00A64D9F" w:rsidP="00855DC4">
            <w:pPr>
              <w:spacing w:after="0" w:line="240" w:lineRule="auto"/>
              <w:jc w:val="lowKashida"/>
              <w:rPr>
                <w:rFonts w:asciiTheme="minorBidi" w:hAnsiTheme="minorBidi"/>
                <w:sz w:val="20"/>
                <w:szCs w:val="20"/>
              </w:rPr>
            </w:pPr>
          </w:p>
          <w:p w14:paraId="61B50FC0" w14:textId="46DBD17E"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176 (39.1%)</w:t>
            </w:r>
          </w:p>
          <w:p w14:paraId="7A2A1356" w14:textId="43DCB21F"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117 (26.0%)</w:t>
            </w:r>
          </w:p>
          <w:p w14:paraId="3B34BB3C" w14:textId="7681BB82"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157 (34.9%)</w:t>
            </w:r>
          </w:p>
        </w:tc>
      </w:tr>
      <w:tr w:rsidR="00A64D9F" w:rsidRPr="002B3656" w14:paraId="7594DDF7" w14:textId="77777777" w:rsidTr="002B3656">
        <w:trPr>
          <w:jc w:val="center"/>
        </w:trPr>
        <w:tc>
          <w:tcPr>
            <w:tcW w:w="3865" w:type="dxa"/>
            <w:tcBorders>
              <w:bottom w:val="single" w:sz="4" w:space="0" w:color="auto"/>
            </w:tcBorders>
            <w:shd w:val="clear" w:color="auto" w:fill="auto"/>
          </w:tcPr>
          <w:p w14:paraId="75ACB7F9" w14:textId="3B825FA3" w:rsidR="00A64D9F" w:rsidRPr="002B3656" w:rsidRDefault="009B2830" w:rsidP="00855DC4">
            <w:pPr>
              <w:spacing w:after="0" w:line="240" w:lineRule="auto"/>
              <w:jc w:val="lowKashida"/>
              <w:rPr>
                <w:rFonts w:asciiTheme="minorBidi" w:hAnsiTheme="minorBidi"/>
                <w:sz w:val="20"/>
                <w:szCs w:val="20"/>
              </w:rPr>
            </w:pPr>
            <w:r w:rsidRPr="002B3656">
              <w:rPr>
                <w:rFonts w:asciiTheme="minorBidi" w:hAnsiTheme="minorBidi"/>
                <w:sz w:val="20"/>
                <w:szCs w:val="20"/>
              </w:rPr>
              <w:t>School Type</w:t>
            </w:r>
          </w:p>
          <w:p w14:paraId="7E1ACA75" w14:textId="07F25306"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w:t>
            </w:r>
            <w:r w:rsidR="009B2830" w:rsidRPr="002B3656">
              <w:rPr>
                <w:rFonts w:asciiTheme="minorBidi" w:hAnsiTheme="minorBidi"/>
                <w:sz w:val="20"/>
                <w:szCs w:val="20"/>
              </w:rPr>
              <w:t>Governmental</w:t>
            </w:r>
          </w:p>
          <w:p w14:paraId="7CED7B42" w14:textId="1FBE70CD"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w:t>
            </w:r>
            <w:r w:rsidR="009B2830" w:rsidRPr="002B3656">
              <w:rPr>
                <w:rFonts w:asciiTheme="minorBidi" w:hAnsiTheme="minorBidi"/>
                <w:sz w:val="20"/>
                <w:szCs w:val="20"/>
              </w:rPr>
              <w:t>Private</w:t>
            </w:r>
          </w:p>
        </w:tc>
        <w:tc>
          <w:tcPr>
            <w:tcW w:w="1445" w:type="dxa"/>
            <w:tcBorders>
              <w:bottom w:val="single" w:sz="4" w:space="0" w:color="auto"/>
            </w:tcBorders>
            <w:shd w:val="clear" w:color="auto" w:fill="auto"/>
          </w:tcPr>
          <w:p w14:paraId="3D9E846B" w14:textId="77777777" w:rsidR="00A64D9F" w:rsidRPr="002B3656" w:rsidRDefault="00A64D9F" w:rsidP="00855DC4">
            <w:pPr>
              <w:spacing w:after="0" w:line="240" w:lineRule="auto"/>
              <w:jc w:val="lowKashida"/>
              <w:rPr>
                <w:rFonts w:asciiTheme="minorBidi" w:hAnsiTheme="minorBidi"/>
                <w:sz w:val="20"/>
                <w:szCs w:val="20"/>
              </w:rPr>
            </w:pPr>
          </w:p>
          <w:p w14:paraId="054AD704" w14:textId="22CCCD79" w:rsidR="00A64D9F" w:rsidRPr="002B3656" w:rsidRDefault="009B2830" w:rsidP="00855DC4">
            <w:pPr>
              <w:spacing w:after="0" w:line="240" w:lineRule="auto"/>
              <w:jc w:val="lowKashida"/>
              <w:rPr>
                <w:rFonts w:asciiTheme="minorBidi" w:hAnsiTheme="minorBidi"/>
                <w:sz w:val="20"/>
                <w:szCs w:val="20"/>
              </w:rPr>
            </w:pPr>
            <w:r w:rsidRPr="002B3656">
              <w:rPr>
                <w:rFonts w:asciiTheme="minorBidi" w:hAnsiTheme="minorBidi"/>
                <w:sz w:val="20"/>
                <w:szCs w:val="20"/>
              </w:rPr>
              <w:t>223</w:t>
            </w:r>
            <w:r w:rsidR="00A64D9F" w:rsidRPr="002B3656">
              <w:rPr>
                <w:rFonts w:asciiTheme="minorBidi" w:hAnsiTheme="minorBidi"/>
                <w:sz w:val="20"/>
                <w:szCs w:val="20"/>
              </w:rPr>
              <w:t xml:space="preserve"> (</w:t>
            </w:r>
            <w:r w:rsidRPr="002B3656">
              <w:rPr>
                <w:rFonts w:asciiTheme="minorBidi" w:hAnsiTheme="minorBidi"/>
                <w:sz w:val="20"/>
                <w:szCs w:val="20"/>
              </w:rPr>
              <w:t>49.5</w:t>
            </w:r>
            <w:r w:rsidR="00A64D9F" w:rsidRPr="002B3656">
              <w:rPr>
                <w:rFonts w:asciiTheme="minorBidi" w:hAnsiTheme="minorBidi"/>
                <w:sz w:val="20"/>
                <w:szCs w:val="20"/>
              </w:rPr>
              <w:t>%)</w:t>
            </w:r>
          </w:p>
          <w:p w14:paraId="36FF2756" w14:textId="3BD0F72A" w:rsidR="00A64D9F" w:rsidRPr="002B3656" w:rsidRDefault="009B2830" w:rsidP="00855DC4">
            <w:pPr>
              <w:spacing w:after="0" w:line="240" w:lineRule="auto"/>
              <w:jc w:val="lowKashida"/>
              <w:rPr>
                <w:rFonts w:asciiTheme="minorBidi" w:hAnsiTheme="minorBidi"/>
                <w:sz w:val="20"/>
                <w:szCs w:val="20"/>
              </w:rPr>
            </w:pPr>
            <w:r w:rsidRPr="002B3656">
              <w:rPr>
                <w:rFonts w:asciiTheme="minorBidi" w:hAnsiTheme="minorBidi"/>
                <w:sz w:val="20"/>
                <w:szCs w:val="20"/>
              </w:rPr>
              <w:t>227</w:t>
            </w:r>
            <w:r w:rsidR="00A64D9F" w:rsidRPr="002B3656">
              <w:rPr>
                <w:rFonts w:asciiTheme="minorBidi" w:hAnsiTheme="minorBidi"/>
                <w:sz w:val="20"/>
                <w:szCs w:val="20"/>
              </w:rPr>
              <w:t xml:space="preserve"> (</w:t>
            </w:r>
            <w:r w:rsidRPr="002B3656">
              <w:rPr>
                <w:rFonts w:asciiTheme="minorBidi" w:hAnsiTheme="minorBidi"/>
                <w:sz w:val="20"/>
                <w:szCs w:val="20"/>
              </w:rPr>
              <w:t>50.5</w:t>
            </w:r>
            <w:r w:rsidR="00A64D9F" w:rsidRPr="002B3656">
              <w:rPr>
                <w:rFonts w:asciiTheme="minorBidi" w:hAnsiTheme="minorBidi"/>
                <w:sz w:val="20"/>
                <w:szCs w:val="20"/>
              </w:rPr>
              <w:t>%)</w:t>
            </w:r>
          </w:p>
        </w:tc>
      </w:tr>
      <w:tr w:rsidR="00A64D9F" w:rsidRPr="002B3656" w14:paraId="24AB6AE0" w14:textId="77777777" w:rsidTr="002B3656">
        <w:trPr>
          <w:jc w:val="center"/>
        </w:trPr>
        <w:tc>
          <w:tcPr>
            <w:tcW w:w="3865" w:type="dxa"/>
            <w:tcBorders>
              <w:bottom w:val="single" w:sz="4" w:space="0" w:color="auto"/>
            </w:tcBorders>
            <w:shd w:val="clear" w:color="auto" w:fill="auto"/>
          </w:tcPr>
          <w:p w14:paraId="6B1430C2" w14:textId="29C4A216"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Body Mass Index (BMI)</w:t>
            </w:r>
          </w:p>
          <w:p w14:paraId="009F6F34"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Underweight </w:t>
            </w:r>
          </w:p>
          <w:p w14:paraId="7F79C094"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Normal Weight</w:t>
            </w:r>
          </w:p>
          <w:p w14:paraId="7CDDF1C9" w14:textId="77777777"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Overweight</w:t>
            </w:r>
          </w:p>
          <w:p w14:paraId="6A672ED1" w14:textId="114D6B71"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       Obes</w:t>
            </w:r>
            <w:r w:rsidR="009B2830" w:rsidRPr="002B3656">
              <w:rPr>
                <w:rFonts w:asciiTheme="minorBidi" w:hAnsiTheme="minorBidi"/>
                <w:sz w:val="20"/>
                <w:szCs w:val="20"/>
              </w:rPr>
              <w:t>e</w:t>
            </w:r>
          </w:p>
        </w:tc>
        <w:tc>
          <w:tcPr>
            <w:tcW w:w="1445" w:type="dxa"/>
            <w:tcBorders>
              <w:bottom w:val="single" w:sz="4" w:space="0" w:color="auto"/>
            </w:tcBorders>
            <w:shd w:val="clear" w:color="auto" w:fill="auto"/>
          </w:tcPr>
          <w:p w14:paraId="137BEF1B" w14:textId="77777777" w:rsidR="00A64D9F" w:rsidRPr="002B3656" w:rsidRDefault="00A64D9F" w:rsidP="00855DC4">
            <w:pPr>
              <w:spacing w:after="0" w:line="240" w:lineRule="auto"/>
              <w:jc w:val="lowKashida"/>
              <w:rPr>
                <w:rFonts w:asciiTheme="minorBidi" w:hAnsiTheme="minorBidi"/>
                <w:sz w:val="20"/>
                <w:szCs w:val="20"/>
              </w:rPr>
            </w:pPr>
          </w:p>
          <w:p w14:paraId="149096DC" w14:textId="6ABF5D56" w:rsidR="00A64D9F" w:rsidRPr="002B3656" w:rsidRDefault="000943BB" w:rsidP="00855DC4">
            <w:pPr>
              <w:spacing w:after="0" w:line="240" w:lineRule="auto"/>
              <w:jc w:val="lowKashida"/>
              <w:rPr>
                <w:rFonts w:asciiTheme="minorBidi" w:hAnsiTheme="minorBidi"/>
                <w:sz w:val="20"/>
                <w:szCs w:val="20"/>
              </w:rPr>
            </w:pPr>
            <w:r w:rsidRPr="002B3656">
              <w:rPr>
                <w:rFonts w:asciiTheme="minorBidi" w:hAnsiTheme="minorBidi"/>
                <w:sz w:val="20"/>
                <w:szCs w:val="20"/>
              </w:rPr>
              <w:t>67</w:t>
            </w:r>
            <w:r w:rsidR="00A64D9F" w:rsidRPr="002B3656">
              <w:rPr>
                <w:rFonts w:asciiTheme="minorBidi" w:hAnsiTheme="minorBidi"/>
                <w:sz w:val="20"/>
                <w:szCs w:val="20"/>
              </w:rPr>
              <w:t xml:space="preserve"> (</w:t>
            </w:r>
            <w:r w:rsidRPr="002B3656">
              <w:rPr>
                <w:rFonts w:asciiTheme="minorBidi" w:hAnsiTheme="minorBidi"/>
                <w:sz w:val="20"/>
                <w:szCs w:val="20"/>
              </w:rPr>
              <w:t>1</w:t>
            </w:r>
            <w:r w:rsidR="00A64D9F" w:rsidRPr="002B3656">
              <w:rPr>
                <w:rFonts w:asciiTheme="minorBidi" w:hAnsiTheme="minorBidi"/>
                <w:sz w:val="20"/>
                <w:szCs w:val="20"/>
              </w:rPr>
              <w:t>4.</w:t>
            </w:r>
            <w:r w:rsidRPr="002B3656">
              <w:rPr>
                <w:rFonts w:asciiTheme="minorBidi" w:hAnsiTheme="minorBidi"/>
                <w:sz w:val="20"/>
                <w:szCs w:val="20"/>
              </w:rPr>
              <w:t>9</w:t>
            </w:r>
            <w:r w:rsidR="00A64D9F" w:rsidRPr="002B3656">
              <w:rPr>
                <w:rFonts w:asciiTheme="minorBidi" w:hAnsiTheme="minorBidi"/>
                <w:sz w:val="20"/>
                <w:szCs w:val="20"/>
              </w:rPr>
              <w:t>%)</w:t>
            </w:r>
          </w:p>
          <w:p w14:paraId="09F8244E" w14:textId="7068D22A" w:rsidR="00A64D9F" w:rsidRPr="002B3656" w:rsidRDefault="00A64D9F" w:rsidP="00855DC4">
            <w:pPr>
              <w:spacing w:after="0" w:line="240" w:lineRule="auto"/>
              <w:jc w:val="lowKashida"/>
              <w:rPr>
                <w:rFonts w:asciiTheme="minorBidi" w:hAnsiTheme="minorBidi"/>
                <w:sz w:val="20"/>
                <w:szCs w:val="20"/>
              </w:rPr>
            </w:pPr>
            <w:r w:rsidRPr="002B3656">
              <w:rPr>
                <w:rFonts w:asciiTheme="minorBidi" w:hAnsiTheme="minorBidi"/>
                <w:sz w:val="20"/>
                <w:szCs w:val="20"/>
              </w:rPr>
              <w:t>29</w:t>
            </w:r>
            <w:r w:rsidR="000943BB" w:rsidRPr="002B3656">
              <w:rPr>
                <w:rFonts w:asciiTheme="minorBidi" w:hAnsiTheme="minorBidi"/>
                <w:sz w:val="20"/>
                <w:szCs w:val="20"/>
              </w:rPr>
              <w:t>8</w:t>
            </w:r>
            <w:r w:rsidRPr="002B3656">
              <w:rPr>
                <w:rFonts w:asciiTheme="minorBidi" w:hAnsiTheme="minorBidi"/>
                <w:sz w:val="20"/>
                <w:szCs w:val="20"/>
              </w:rPr>
              <w:t xml:space="preserve"> (6</w:t>
            </w:r>
            <w:r w:rsidR="000943BB" w:rsidRPr="002B3656">
              <w:rPr>
                <w:rFonts w:asciiTheme="minorBidi" w:hAnsiTheme="minorBidi"/>
                <w:sz w:val="20"/>
                <w:szCs w:val="20"/>
              </w:rPr>
              <w:t>6</w:t>
            </w:r>
            <w:r w:rsidRPr="002B3656">
              <w:rPr>
                <w:rFonts w:asciiTheme="minorBidi" w:hAnsiTheme="minorBidi"/>
                <w:sz w:val="20"/>
                <w:szCs w:val="20"/>
              </w:rPr>
              <w:t>.</w:t>
            </w:r>
            <w:r w:rsidR="000943BB" w:rsidRPr="002B3656">
              <w:rPr>
                <w:rFonts w:asciiTheme="minorBidi" w:hAnsiTheme="minorBidi"/>
                <w:sz w:val="20"/>
                <w:szCs w:val="20"/>
              </w:rPr>
              <w:t>2</w:t>
            </w:r>
            <w:r w:rsidRPr="002B3656">
              <w:rPr>
                <w:rFonts w:asciiTheme="minorBidi" w:hAnsiTheme="minorBidi"/>
                <w:sz w:val="20"/>
                <w:szCs w:val="20"/>
              </w:rPr>
              <w:t>%)</w:t>
            </w:r>
          </w:p>
          <w:p w14:paraId="0F958886" w14:textId="2EE831F0" w:rsidR="00A64D9F" w:rsidRPr="002B3656" w:rsidRDefault="000943BB" w:rsidP="00855DC4">
            <w:pPr>
              <w:spacing w:after="0" w:line="240" w:lineRule="auto"/>
              <w:jc w:val="lowKashida"/>
              <w:rPr>
                <w:rFonts w:asciiTheme="minorBidi" w:hAnsiTheme="minorBidi"/>
                <w:sz w:val="20"/>
                <w:szCs w:val="20"/>
              </w:rPr>
            </w:pPr>
            <w:r w:rsidRPr="002B3656">
              <w:rPr>
                <w:rFonts w:asciiTheme="minorBidi" w:hAnsiTheme="minorBidi"/>
                <w:sz w:val="20"/>
                <w:szCs w:val="20"/>
              </w:rPr>
              <w:t>67</w:t>
            </w:r>
            <w:r w:rsidR="00A64D9F" w:rsidRPr="002B3656">
              <w:rPr>
                <w:rFonts w:asciiTheme="minorBidi" w:hAnsiTheme="minorBidi"/>
                <w:sz w:val="20"/>
                <w:szCs w:val="20"/>
              </w:rPr>
              <w:t>(</w:t>
            </w:r>
            <w:r w:rsidRPr="002B3656">
              <w:rPr>
                <w:rFonts w:asciiTheme="minorBidi" w:hAnsiTheme="minorBidi"/>
                <w:sz w:val="20"/>
                <w:szCs w:val="20"/>
              </w:rPr>
              <w:t>1</w:t>
            </w:r>
            <w:r w:rsidR="00A64D9F" w:rsidRPr="002B3656">
              <w:rPr>
                <w:rFonts w:asciiTheme="minorBidi" w:hAnsiTheme="minorBidi"/>
                <w:sz w:val="20"/>
                <w:szCs w:val="20"/>
              </w:rPr>
              <w:t>4.</w:t>
            </w:r>
            <w:r w:rsidRPr="002B3656">
              <w:rPr>
                <w:rFonts w:asciiTheme="minorBidi" w:hAnsiTheme="minorBidi"/>
                <w:sz w:val="20"/>
                <w:szCs w:val="20"/>
              </w:rPr>
              <w:t>9</w:t>
            </w:r>
            <w:r w:rsidR="00A64D9F" w:rsidRPr="002B3656">
              <w:rPr>
                <w:rFonts w:asciiTheme="minorBidi" w:hAnsiTheme="minorBidi"/>
                <w:sz w:val="20"/>
                <w:szCs w:val="20"/>
              </w:rPr>
              <w:t>%)</w:t>
            </w:r>
          </w:p>
          <w:p w14:paraId="499CEFE1" w14:textId="7E095007" w:rsidR="00A64D9F" w:rsidRPr="002B3656" w:rsidRDefault="000943BB" w:rsidP="00855DC4">
            <w:pPr>
              <w:spacing w:after="0" w:line="240" w:lineRule="auto"/>
              <w:jc w:val="lowKashida"/>
              <w:rPr>
                <w:rFonts w:asciiTheme="minorBidi" w:hAnsiTheme="minorBidi"/>
                <w:sz w:val="20"/>
                <w:szCs w:val="20"/>
              </w:rPr>
            </w:pPr>
            <w:r w:rsidRPr="002B3656">
              <w:rPr>
                <w:rFonts w:asciiTheme="minorBidi" w:hAnsiTheme="minorBidi"/>
                <w:sz w:val="20"/>
                <w:szCs w:val="20"/>
              </w:rPr>
              <w:t>18</w:t>
            </w:r>
            <w:r w:rsidR="00A64D9F" w:rsidRPr="002B3656">
              <w:rPr>
                <w:rFonts w:asciiTheme="minorBidi" w:hAnsiTheme="minorBidi"/>
                <w:sz w:val="20"/>
                <w:szCs w:val="20"/>
              </w:rPr>
              <w:t xml:space="preserve"> (4.</w:t>
            </w:r>
            <w:r w:rsidRPr="002B3656">
              <w:rPr>
                <w:rFonts w:asciiTheme="minorBidi" w:hAnsiTheme="minorBidi"/>
                <w:sz w:val="20"/>
                <w:szCs w:val="20"/>
              </w:rPr>
              <w:t>0</w:t>
            </w:r>
            <w:r w:rsidR="00A64D9F" w:rsidRPr="002B3656">
              <w:rPr>
                <w:rFonts w:asciiTheme="minorBidi" w:hAnsiTheme="minorBidi"/>
                <w:sz w:val="20"/>
                <w:szCs w:val="20"/>
              </w:rPr>
              <w:t>%)</w:t>
            </w:r>
          </w:p>
        </w:tc>
      </w:tr>
    </w:tbl>
    <w:p w14:paraId="57E83336" w14:textId="77777777" w:rsidR="000E52CD" w:rsidRPr="002B3656" w:rsidRDefault="000E52CD" w:rsidP="001E53E6">
      <w:pPr>
        <w:spacing w:after="0" w:line="276" w:lineRule="auto"/>
        <w:jc w:val="lowKashida"/>
        <w:rPr>
          <w:rFonts w:asciiTheme="minorBidi" w:hAnsiTheme="minorBidi"/>
        </w:rPr>
      </w:pPr>
    </w:p>
    <w:p w14:paraId="617921F7" w14:textId="47D1D514" w:rsidR="00A64D9F" w:rsidRPr="002B3656" w:rsidRDefault="00325AB4" w:rsidP="00AD2EBD">
      <w:pPr>
        <w:spacing w:after="0" w:line="276" w:lineRule="auto"/>
        <w:jc w:val="center"/>
        <w:rPr>
          <w:rFonts w:asciiTheme="minorBidi" w:hAnsiTheme="minorBidi"/>
        </w:rPr>
      </w:pPr>
      <w:r w:rsidRPr="002B3656">
        <w:rPr>
          <w:rFonts w:asciiTheme="minorBidi" w:hAnsiTheme="minorBidi"/>
          <w:noProof/>
        </w:rPr>
        <w:lastRenderedPageBreak/>
        <w:drawing>
          <wp:inline distT="0" distB="0" distL="0" distR="0" wp14:anchorId="313925D1" wp14:editId="06E42A57">
            <wp:extent cx="4754880" cy="2125980"/>
            <wp:effectExtent l="0" t="0" r="7620" b="7620"/>
            <wp:docPr id="747111231" name="Chart 1">
              <a:extLst xmlns:a="http://schemas.openxmlformats.org/drawingml/2006/main">
                <a:ext uri="{FF2B5EF4-FFF2-40B4-BE49-F238E27FC236}">
                  <a16:creationId xmlns:a16="http://schemas.microsoft.com/office/drawing/2014/main" id="{1C2EEE98-13DE-3300-ECDA-4952F2AF3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E70D23" w14:textId="4ECAC066" w:rsidR="000E52CD" w:rsidRPr="002B3656" w:rsidRDefault="000E52CD" w:rsidP="000E52CD">
      <w:pPr>
        <w:spacing w:after="0" w:line="276" w:lineRule="auto"/>
        <w:jc w:val="center"/>
        <w:rPr>
          <w:rFonts w:asciiTheme="minorBidi" w:hAnsiTheme="minorBidi"/>
          <w:sz w:val="20"/>
          <w:szCs w:val="20"/>
        </w:rPr>
      </w:pPr>
      <w:r w:rsidRPr="002B3656">
        <w:rPr>
          <w:rFonts w:asciiTheme="minorBidi" w:hAnsiTheme="minorBidi"/>
          <w:sz w:val="20"/>
          <w:szCs w:val="20"/>
        </w:rPr>
        <w:t>Figure 1 Number of students from each high school</w:t>
      </w:r>
    </w:p>
    <w:p w14:paraId="191EB1E3" w14:textId="340FD85C" w:rsidR="00533FEB" w:rsidRPr="00953E7F" w:rsidRDefault="00533FEB" w:rsidP="002B3656">
      <w:pPr>
        <w:spacing w:before="240" w:after="0" w:line="276" w:lineRule="auto"/>
        <w:jc w:val="lowKashida"/>
        <w:rPr>
          <w:rFonts w:asciiTheme="minorBidi" w:hAnsiTheme="minorBidi"/>
          <w:b/>
          <w:bCs/>
          <w:sz w:val="26"/>
          <w:szCs w:val="26"/>
        </w:rPr>
      </w:pPr>
      <w:r w:rsidRPr="00953E7F">
        <w:rPr>
          <w:rFonts w:asciiTheme="minorBidi" w:hAnsiTheme="minorBidi"/>
          <w:b/>
          <w:bCs/>
          <w:sz w:val="22"/>
          <w:szCs w:val="22"/>
        </w:rPr>
        <w:t xml:space="preserve">Knowledge </w:t>
      </w:r>
      <w:r w:rsidR="005F68ED" w:rsidRPr="00953E7F">
        <w:rPr>
          <w:rFonts w:asciiTheme="minorBidi" w:hAnsiTheme="minorBidi"/>
          <w:b/>
          <w:bCs/>
          <w:sz w:val="26"/>
          <w:szCs w:val="26"/>
        </w:rPr>
        <w:t xml:space="preserve">of Participants </w:t>
      </w:r>
      <w:r w:rsidRPr="00953E7F">
        <w:rPr>
          <w:rFonts w:asciiTheme="minorBidi" w:hAnsiTheme="minorBidi"/>
          <w:b/>
          <w:bCs/>
          <w:sz w:val="26"/>
          <w:szCs w:val="26"/>
        </w:rPr>
        <w:t>regarding Oral Health</w:t>
      </w:r>
    </w:p>
    <w:p w14:paraId="4AC9D001" w14:textId="6E6CDC79" w:rsidR="005F68ED" w:rsidRPr="00953E7F" w:rsidRDefault="00EB1E1C" w:rsidP="00533FEB">
      <w:pPr>
        <w:spacing w:after="0" w:line="276" w:lineRule="auto"/>
        <w:jc w:val="lowKashida"/>
        <w:rPr>
          <w:rFonts w:asciiTheme="minorBidi" w:hAnsiTheme="minorBidi"/>
          <w:sz w:val="20"/>
          <w:szCs w:val="20"/>
        </w:rPr>
      </w:pPr>
      <w:r w:rsidRPr="00953E7F">
        <w:rPr>
          <w:rFonts w:asciiTheme="minorBidi" w:hAnsiTheme="minorBidi"/>
          <w:sz w:val="20"/>
          <w:szCs w:val="20"/>
        </w:rPr>
        <w:t>Overall,</w:t>
      </w:r>
      <w:r w:rsidR="00DC75FC" w:rsidRPr="00953E7F">
        <w:rPr>
          <w:rFonts w:asciiTheme="minorBidi" w:hAnsiTheme="minorBidi"/>
          <w:sz w:val="20"/>
          <w:szCs w:val="20"/>
        </w:rPr>
        <w:t xml:space="preserve"> </w:t>
      </w:r>
      <w:r w:rsidRPr="00953E7F">
        <w:rPr>
          <w:rFonts w:asciiTheme="minorBidi" w:hAnsiTheme="minorBidi"/>
          <w:sz w:val="20"/>
          <w:szCs w:val="20"/>
        </w:rPr>
        <w:t xml:space="preserve">78.9% of participants had </w:t>
      </w:r>
      <w:r w:rsidR="00DC75FC" w:rsidRPr="00953E7F">
        <w:rPr>
          <w:rFonts w:asciiTheme="minorBidi" w:hAnsiTheme="minorBidi"/>
          <w:sz w:val="20"/>
          <w:szCs w:val="20"/>
        </w:rPr>
        <w:t>know</w:t>
      </w:r>
      <w:r w:rsidRPr="00953E7F">
        <w:rPr>
          <w:rFonts w:asciiTheme="minorBidi" w:hAnsiTheme="minorBidi"/>
          <w:sz w:val="20"/>
          <w:szCs w:val="20"/>
        </w:rPr>
        <w:t xml:space="preserve">ledge about oral health. Among all participants, 318 (71%) of students reported Very Good knowledge, </w:t>
      </w:r>
      <w:r w:rsidR="005F68ED" w:rsidRPr="00953E7F">
        <w:rPr>
          <w:rFonts w:asciiTheme="minorBidi" w:hAnsiTheme="minorBidi"/>
          <w:sz w:val="20"/>
          <w:szCs w:val="20"/>
        </w:rPr>
        <w:t>92 (</w:t>
      </w:r>
      <w:r w:rsidRPr="00953E7F">
        <w:rPr>
          <w:rFonts w:asciiTheme="minorBidi" w:hAnsiTheme="minorBidi"/>
          <w:sz w:val="20"/>
          <w:szCs w:val="20"/>
        </w:rPr>
        <w:t>20%</w:t>
      </w:r>
      <w:r w:rsidR="005F68ED" w:rsidRPr="00953E7F">
        <w:rPr>
          <w:rFonts w:asciiTheme="minorBidi" w:hAnsiTheme="minorBidi"/>
          <w:sz w:val="20"/>
          <w:szCs w:val="20"/>
        </w:rPr>
        <w:t>)</w:t>
      </w:r>
      <w:r w:rsidRPr="00953E7F">
        <w:rPr>
          <w:rFonts w:asciiTheme="minorBidi" w:hAnsiTheme="minorBidi"/>
          <w:sz w:val="20"/>
          <w:szCs w:val="20"/>
        </w:rPr>
        <w:t xml:space="preserve"> reported good knowledge, </w:t>
      </w:r>
      <w:r w:rsidR="005F68ED" w:rsidRPr="00953E7F">
        <w:rPr>
          <w:rFonts w:asciiTheme="minorBidi" w:hAnsiTheme="minorBidi"/>
          <w:sz w:val="20"/>
          <w:szCs w:val="20"/>
        </w:rPr>
        <w:t>17 (4</w:t>
      </w:r>
      <w:r w:rsidRPr="00953E7F">
        <w:rPr>
          <w:rFonts w:asciiTheme="minorBidi" w:hAnsiTheme="minorBidi"/>
          <w:sz w:val="20"/>
          <w:szCs w:val="20"/>
        </w:rPr>
        <w:t>%</w:t>
      </w:r>
      <w:r w:rsidR="005F68ED" w:rsidRPr="00953E7F">
        <w:rPr>
          <w:rFonts w:asciiTheme="minorBidi" w:hAnsiTheme="minorBidi"/>
          <w:sz w:val="20"/>
          <w:szCs w:val="20"/>
        </w:rPr>
        <w:t>)</w:t>
      </w:r>
      <w:r w:rsidRPr="00953E7F">
        <w:rPr>
          <w:rFonts w:asciiTheme="minorBidi" w:hAnsiTheme="minorBidi"/>
          <w:sz w:val="20"/>
          <w:szCs w:val="20"/>
        </w:rPr>
        <w:t xml:space="preserve"> reported poor knowledge and </w:t>
      </w:r>
      <w:r w:rsidR="005F68ED" w:rsidRPr="00953E7F">
        <w:rPr>
          <w:rFonts w:asciiTheme="minorBidi" w:hAnsiTheme="minorBidi"/>
          <w:sz w:val="20"/>
          <w:szCs w:val="20"/>
        </w:rPr>
        <w:t>23 (</w:t>
      </w:r>
      <w:r w:rsidRPr="00953E7F">
        <w:rPr>
          <w:rFonts w:asciiTheme="minorBidi" w:hAnsiTheme="minorBidi"/>
          <w:sz w:val="20"/>
          <w:szCs w:val="20"/>
        </w:rPr>
        <w:t>5%</w:t>
      </w:r>
      <w:r w:rsidR="005F68ED" w:rsidRPr="00953E7F">
        <w:rPr>
          <w:rFonts w:asciiTheme="minorBidi" w:hAnsiTheme="minorBidi"/>
          <w:sz w:val="20"/>
          <w:szCs w:val="20"/>
        </w:rPr>
        <w:t>)</w:t>
      </w:r>
      <w:r w:rsidRPr="00953E7F">
        <w:rPr>
          <w:rFonts w:asciiTheme="minorBidi" w:hAnsiTheme="minorBidi"/>
          <w:sz w:val="20"/>
          <w:szCs w:val="20"/>
        </w:rPr>
        <w:t xml:space="preserve"> reported Very poor knowledge. (Figure </w:t>
      </w:r>
      <w:r w:rsidR="000E52CD" w:rsidRPr="00953E7F">
        <w:rPr>
          <w:rFonts w:asciiTheme="minorBidi" w:hAnsiTheme="minorBidi"/>
          <w:sz w:val="20"/>
          <w:szCs w:val="20"/>
        </w:rPr>
        <w:t>2</w:t>
      </w:r>
      <w:r w:rsidRPr="00953E7F">
        <w:rPr>
          <w:rFonts w:asciiTheme="minorBidi" w:hAnsiTheme="minorBidi"/>
          <w:sz w:val="20"/>
          <w:szCs w:val="20"/>
        </w:rPr>
        <w:t>)</w:t>
      </w:r>
    </w:p>
    <w:p w14:paraId="22357BF6" w14:textId="77777777" w:rsidR="000E52CD" w:rsidRPr="002B3656" w:rsidRDefault="005F68ED" w:rsidP="000E52CD">
      <w:pPr>
        <w:spacing w:after="0" w:line="276" w:lineRule="auto"/>
        <w:jc w:val="center"/>
        <w:rPr>
          <w:rFonts w:asciiTheme="minorBidi" w:hAnsiTheme="minorBidi"/>
          <w:sz w:val="18"/>
          <w:szCs w:val="18"/>
        </w:rPr>
      </w:pPr>
      <w:r w:rsidRPr="002B3656">
        <w:rPr>
          <w:rFonts w:asciiTheme="minorBidi" w:hAnsiTheme="minorBidi"/>
          <w:noProof/>
        </w:rPr>
        <w:drawing>
          <wp:inline distT="0" distB="0" distL="0" distR="0" wp14:anchorId="1EB196FE" wp14:editId="10ADABC2">
            <wp:extent cx="3398520" cy="2095500"/>
            <wp:effectExtent l="0" t="0" r="11430" b="0"/>
            <wp:docPr id="2048468678" name="Chart 1">
              <a:extLst xmlns:a="http://schemas.openxmlformats.org/drawingml/2006/main">
                <a:ext uri="{FF2B5EF4-FFF2-40B4-BE49-F238E27FC236}">
                  <a16:creationId xmlns:a16="http://schemas.microsoft.com/office/drawing/2014/main" id="{28FB2EC6-53BB-C3FC-8229-CE418E5737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2A344E" w14:textId="44058113" w:rsidR="005F68ED" w:rsidRPr="002B3656" w:rsidRDefault="005F68ED" w:rsidP="000E52CD">
      <w:pPr>
        <w:spacing w:after="0" w:line="276" w:lineRule="auto"/>
        <w:jc w:val="center"/>
        <w:rPr>
          <w:rFonts w:asciiTheme="minorBidi" w:hAnsiTheme="minorBidi"/>
          <w:sz w:val="20"/>
          <w:szCs w:val="20"/>
        </w:rPr>
      </w:pPr>
      <w:r w:rsidRPr="002B3656">
        <w:rPr>
          <w:rFonts w:asciiTheme="minorBidi" w:hAnsiTheme="minorBidi"/>
          <w:sz w:val="20"/>
          <w:szCs w:val="20"/>
        </w:rPr>
        <w:t xml:space="preserve">Figure </w:t>
      </w:r>
      <w:r w:rsidR="000E52CD" w:rsidRPr="002B3656">
        <w:rPr>
          <w:rFonts w:asciiTheme="minorBidi" w:hAnsiTheme="minorBidi"/>
          <w:sz w:val="20"/>
          <w:szCs w:val="20"/>
        </w:rPr>
        <w:t>2</w:t>
      </w:r>
      <w:r w:rsidRPr="002B3656">
        <w:rPr>
          <w:rFonts w:asciiTheme="minorBidi" w:hAnsiTheme="minorBidi"/>
          <w:sz w:val="20"/>
          <w:szCs w:val="20"/>
        </w:rPr>
        <w:t xml:space="preserve"> Knowledge of students regarding Oral Health</w:t>
      </w:r>
    </w:p>
    <w:p w14:paraId="2C86E147" w14:textId="3163C179" w:rsidR="005F68ED" w:rsidRPr="00953E7F" w:rsidRDefault="005F68ED" w:rsidP="002B3656">
      <w:pPr>
        <w:spacing w:before="240" w:after="0" w:line="276" w:lineRule="auto"/>
        <w:jc w:val="lowKashida"/>
        <w:rPr>
          <w:rFonts w:asciiTheme="minorBidi" w:hAnsiTheme="minorBidi"/>
          <w:b/>
          <w:bCs/>
          <w:sz w:val="22"/>
          <w:szCs w:val="22"/>
        </w:rPr>
      </w:pPr>
      <w:r w:rsidRPr="00953E7F">
        <w:rPr>
          <w:rFonts w:asciiTheme="minorBidi" w:hAnsiTheme="minorBidi"/>
          <w:b/>
          <w:bCs/>
          <w:sz w:val="22"/>
          <w:szCs w:val="22"/>
        </w:rPr>
        <w:t xml:space="preserve">Attitude of Participants regarding Oral Health </w:t>
      </w:r>
    </w:p>
    <w:p w14:paraId="6D1EED2D" w14:textId="5C9DE179" w:rsidR="001F6A30" w:rsidRPr="00953E7F" w:rsidRDefault="00EC0C2E" w:rsidP="00855DC4">
      <w:pPr>
        <w:spacing w:after="0" w:line="276" w:lineRule="auto"/>
        <w:jc w:val="lowKashida"/>
        <w:rPr>
          <w:rFonts w:asciiTheme="minorBidi" w:hAnsiTheme="minorBidi"/>
          <w:sz w:val="20"/>
          <w:szCs w:val="20"/>
        </w:rPr>
      </w:pPr>
      <w:r w:rsidRPr="00953E7F">
        <w:rPr>
          <w:rFonts w:asciiTheme="minorBidi" w:hAnsiTheme="minorBidi"/>
          <w:sz w:val="20"/>
          <w:szCs w:val="20"/>
        </w:rPr>
        <w:t>Among the 450 participants, 83.6% indicated that regular dental visits are essential. Additionally, 63.1% stated they only visit a dentist when experiencing pain. Regular dental check-ups were reported by 21% of the participants, whereas 9.3% visited a dentist occasionally, and 6% had never visited a dentist at all. Regarding the reasons for their most recent dental visit, 64% of students cited toothache as the primary cause. Furthermore, 81.8% of the students noted that dentists consistently explain the problem and attempt to address it, while 76.4% mentioned that dentists always explain the procedures before initiating treatment. Sixty percent of the students believed that dentists focus more on treatment than on preventive care, and 64% reported that dentists actively involve them in the treatment process. When asked about the factors causing fear or reluctance to visit a dentist, 36.2% of participants identified high costs, 24.2% cited a fear of needles, 22.9% expressed a fear of pain, 5.6% mentioned long waiting times, 1.8% reported the absence of nearby dental clinics, and 6.4% indicated no specific reason. (</w:t>
      </w:r>
      <w:r w:rsidR="000E52CD" w:rsidRPr="00953E7F">
        <w:rPr>
          <w:rFonts w:asciiTheme="minorBidi" w:hAnsiTheme="minorBidi"/>
          <w:sz w:val="20"/>
          <w:szCs w:val="20"/>
        </w:rPr>
        <w:t xml:space="preserve">Table </w:t>
      </w:r>
      <w:r w:rsidRPr="00953E7F">
        <w:rPr>
          <w:rFonts w:asciiTheme="minorBidi" w:hAnsiTheme="minorBidi"/>
          <w:sz w:val="20"/>
          <w:szCs w:val="20"/>
        </w:rPr>
        <w:t>2)</w:t>
      </w:r>
    </w:p>
    <w:p w14:paraId="343448FC" w14:textId="2DFA2288" w:rsidR="00EC0C2E" w:rsidRPr="002B3656" w:rsidRDefault="00EC0C2E" w:rsidP="00855DC4">
      <w:pPr>
        <w:spacing w:before="240"/>
        <w:rPr>
          <w:rFonts w:asciiTheme="minorBidi" w:hAnsiTheme="minorBidi"/>
          <w:sz w:val="20"/>
          <w:szCs w:val="20"/>
        </w:rPr>
      </w:pPr>
      <w:r w:rsidRPr="002B3656">
        <w:rPr>
          <w:rFonts w:asciiTheme="minorBidi" w:hAnsiTheme="minorBidi"/>
          <w:sz w:val="20"/>
          <w:szCs w:val="20"/>
        </w:rPr>
        <w:t>Table 2 Attitude of participants towards Oral Health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gridCol w:w="1468"/>
      </w:tblGrid>
      <w:tr w:rsidR="009D5225" w:rsidRPr="002B3656" w14:paraId="1ED61AEA" w14:textId="77777777" w:rsidTr="006E7785">
        <w:trPr>
          <w:jc w:val="center"/>
        </w:trPr>
        <w:tc>
          <w:tcPr>
            <w:tcW w:w="4216" w:type="pct"/>
            <w:tcBorders>
              <w:left w:val="nil"/>
              <w:bottom w:val="single" w:sz="4" w:space="0" w:color="auto"/>
              <w:right w:val="nil"/>
            </w:tcBorders>
            <w:shd w:val="clear" w:color="auto" w:fill="auto"/>
            <w:vAlign w:val="center"/>
          </w:tcPr>
          <w:p w14:paraId="260EAD86" w14:textId="653FF2AD" w:rsidR="009D5225" w:rsidRPr="002B3656" w:rsidRDefault="00092B69" w:rsidP="00855DC4">
            <w:pPr>
              <w:spacing w:after="0" w:line="240" w:lineRule="auto"/>
              <w:jc w:val="center"/>
              <w:rPr>
                <w:rFonts w:asciiTheme="minorBidi" w:hAnsiTheme="minorBidi"/>
                <w:b/>
                <w:bCs/>
                <w:sz w:val="20"/>
                <w:szCs w:val="20"/>
              </w:rPr>
            </w:pPr>
            <w:bookmarkStart w:id="1" w:name="_Hlk196814682"/>
            <w:r w:rsidRPr="002B3656">
              <w:rPr>
                <w:rFonts w:asciiTheme="minorBidi" w:hAnsiTheme="minorBidi"/>
                <w:b/>
                <w:bCs/>
                <w:sz w:val="20"/>
                <w:szCs w:val="20"/>
              </w:rPr>
              <w:lastRenderedPageBreak/>
              <w:t>Attitude</w:t>
            </w:r>
          </w:p>
        </w:tc>
        <w:tc>
          <w:tcPr>
            <w:tcW w:w="784" w:type="pct"/>
            <w:tcBorders>
              <w:left w:val="nil"/>
              <w:bottom w:val="single" w:sz="4" w:space="0" w:color="auto"/>
              <w:right w:val="nil"/>
            </w:tcBorders>
            <w:shd w:val="clear" w:color="auto" w:fill="auto"/>
            <w:vAlign w:val="center"/>
          </w:tcPr>
          <w:p w14:paraId="1C23ADBF" w14:textId="6ED98C3E" w:rsidR="009D5225" w:rsidRPr="002B3656" w:rsidRDefault="009D5225" w:rsidP="00855DC4">
            <w:pPr>
              <w:spacing w:after="0" w:line="240" w:lineRule="auto"/>
              <w:jc w:val="center"/>
              <w:rPr>
                <w:rFonts w:asciiTheme="minorBidi" w:hAnsiTheme="minorBidi"/>
                <w:b/>
                <w:bCs/>
                <w:sz w:val="20"/>
                <w:szCs w:val="20"/>
              </w:rPr>
            </w:pPr>
            <w:r w:rsidRPr="002B3656">
              <w:rPr>
                <w:rFonts w:asciiTheme="minorBidi" w:hAnsiTheme="minorBidi"/>
                <w:b/>
                <w:bCs/>
                <w:sz w:val="20"/>
                <w:szCs w:val="20"/>
              </w:rPr>
              <w:t>Frequency</w:t>
            </w:r>
          </w:p>
          <w:p w14:paraId="1FCD377B" w14:textId="77777777" w:rsidR="009D5225" w:rsidRPr="002B3656" w:rsidRDefault="009D5225" w:rsidP="00855DC4">
            <w:pPr>
              <w:spacing w:after="0" w:line="240" w:lineRule="auto"/>
              <w:jc w:val="center"/>
              <w:rPr>
                <w:rFonts w:asciiTheme="minorBidi" w:hAnsiTheme="minorBidi"/>
                <w:b/>
                <w:bCs/>
                <w:sz w:val="20"/>
                <w:szCs w:val="20"/>
              </w:rPr>
            </w:pPr>
            <w:r w:rsidRPr="002B3656">
              <w:rPr>
                <w:rFonts w:asciiTheme="minorBidi" w:hAnsiTheme="minorBidi"/>
                <w:b/>
                <w:bCs/>
                <w:sz w:val="20"/>
                <w:szCs w:val="20"/>
              </w:rPr>
              <w:t>n (%)</w:t>
            </w:r>
          </w:p>
        </w:tc>
      </w:tr>
      <w:tr w:rsidR="009D5225" w:rsidRPr="002B3656" w14:paraId="6ABBF36E" w14:textId="77777777" w:rsidTr="006E7785">
        <w:trPr>
          <w:jc w:val="center"/>
        </w:trPr>
        <w:tc>
          <w:tcPr>
            <w:tcW w:w="4216" w:type="pct"/>
            <w:tcBorders>
              <w:left w:val="nil"/>
              <w:bottom w:val="single" w:sz="4" w:space="0" w:color="auto"/>
              <w:right w:val="nil"/>
            </w:tcBorders>
            <w:shd w:val="clear" w:color="auto" w:fill="auto"/>
            <w:vAlign w:val="center"/>
          </w:tcPr>
          <w:p w14:paraId="16D34373"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Are regular dental visits considered necessary?</w:t>
            </w:r>
          </w:p>
          <w:p w14:paraId="41CF4E58"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48FD6F51"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3DA45F1A"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left w:val="nil"/>
              <w:bottom w:val="single" w:sz="4" w:space="0" w:color="auto"/>
              <w:right w:val="nil"/>
            </w:tcBorders>
            <w:shd w:val="clear" w:color="auto" w:fill="auto"/>
            <w:vAlign w:val="center"/>
          </w:tcPr>
          <w:p w14:paraId="65E138C4" w14:textId="77777777" w:rsidR="009D5225" w:rsidRPr="002B3656" w:rsidRDefault="009D5225" w:rsidP="00855DC4">
            <w:pPr>
              <w:spacing w:after="0" w:line="240" w:lineRule="auto"/>
              <w:jc w:val="center"/>
              <w:rPr>
                <w:rFonts w:asciiTheme="minorBidi" w:hAnsiTheme="minorBidi"/>
                <w:sz w:val="20"/>
                <w:szCs w:val="20"/>
              </w:rPr>
            </w:pPr>
          </w:p>
          <w:p w14:paraId="0C4BAC9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376 (83.6)</w:t>
            </w:r>
          </w:p>
          <w:p w14:paraId="4E29F513"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15 (3.3)</w:t>
            </w:r>
          </w:p>
          <w:p w14:paraId="3AABC546"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59 (13.1)</w:t>
            </w:r>
          </w:p>
        </w:tc>
      </w:tr>
      <w:tr w:rsidR="009D5225" w:rsidRPr="002B3656" w14:paraId="2B4BC899"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4776BD78"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How frequently do you visit the dentist?</w:t>
            </w:r>
          </w:p>
          <w:p w14:paraId="314F7DC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Regularly</w:t>
            </w:r>
          </w:p>
          <w:p w14:paraId="51985B2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When Pain Occurs</w:t>
            </w:r>
          </w:p>
          <w:p w14:paraId="5CEE0C0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Occasionally</w:t>
            </w:r>
          </w:p>
          <w:p w14:paraId="334F99F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Never</w:t>
            </w:r>
          </w:p>
        </w:tc>
        <w:tc>
          <w:tcPr>
            <w:tcW w:w="784" w:type="pct"/>
            <w:tcBorders>
              <w:top w:val="single" w:sz="4" w:space="0" w:color="auto"/>
              <w:left w:val="nil"/>
              <w:bottom w:val="single" w:sz="4" w:space="0" w:color="auto"/>
              <w:right w:val="nil"/>
            </w:tcBorders>
            <w:shd w:val="clear" w:color="auto" w:fill="auto"/>
            <w:vAlign w:val="center"/>
          </w:tcPr>
          <w:p w14:paraId="0FD19E00" w14:textId="77777777" w:rsidR="009D5225" w:rsidRPr="002B3656" w:rsidRDefault="009D5225" w:rsidP="00855DC4">
            <w:pPr>
              <w:spacing w:after="0" w:line="240" w:lineRule="auto"/>
              <w:jc w:val="center"/>
              <w:rPr>
                <w:rFonts w:asciiTheme="minorBidi" w:hAnsiTheme="minorBidi"/>
                <w:sz w:val="20"/>
                <w:szCs w:val="20"/>
              </w:rPr>
            </w:pPr>
          </w:p>
          <w:p w14:paraId="77A72B9B"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97 (21.6)</w:t>
            </w:r>
          </w:p>
          <w:p w14:paraId="6340CFB2"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284 (63.1)</w:t>
            </w:r>
          </w:p>
          <w:p w14:paraId="486CB934"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42 (9.3)</w:t>
            </w:r>
          </w:p>
          <w:p w14:paraId="0E09DC0E"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27 (6.0)</w:t>
            </w:r>
          </w:p>
        </w:tc>
      </w:tr>
      <w:tr w:rsidR="009D5225" w:rsidRPr="002B3656" w14:paraId="0B21C410"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155B6250"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What were the reasons that led to your most recent dental visit?</w:t>
            </w:r>
          </w:p>
          <w:p w14:paraId="6DD74A8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Toothache</w:t>
            </w:r>
          </w:p>
          <w:p w14:paraId="775361C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Dentist advice</w:t>
            </w:r>
          </w:p>
          <w:p w14:paraId="54DBF560"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Parents advice</w:t>
            </w:r>
          </w:p>
          <w:p w14:paraId="1561401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Other reason</w:t>
            </w:r>
          </w:p>
        </w:tc>
        <w:tc>
          <w:tcPr>
            <w:tcW w:w="784" w:type="pct"/>
            <w:tcBorders>
              <w:top w:val="single" w:sz="4" w:space="0" w:color="auto"/>
              <w:left w:val="nil"/>
              <w:bottom w:val="single" w:sz="4" w:space="0" w:color="auto"/>
              <w:right w:val="nil"/>
            </w:tcBorders>
            <w:shd w:val="clear" w:color="auto" w:fill="auto"/>
            <w:vAlign w:val="center"/>
          </w:tcPr>
          <w:p w14:paraId="4EE56303" w14:textId="77777777" w:rsidR="009D5225" w:rsidRPr="002B3656" w:rsidRDefault="009D5225" w:rsidP="00855DC4">
            <w:pPr>
              <w:spacing w:after="0" w:line="240" w:lineRule="auto"/>
              <w:jc w:val="center"/>
              <w:rPr>
                <w:rFonts w:asciiTheme="minorBidi" w:hAnsiTheme="minorBidi"/>
                <w:sz w:val="20"/>
                <w:szCs w:val="20"/>
              </w:rPr>
            </w:pPr>
          </w:p>
          <w:p w14:paraId="5114590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288 (64.0)</w:t>
            </w:r>
          </w:p>
          <w:p w14:paraId="14A96EAA"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62 (13.8)</w:t>
            </w:r>
          </w:p>
          <w:p w14:paraId="43073DE8"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31 (6.9)</w:t>
            </w:r>
          </w:p>
          <w:p w14:paraId="07DED86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69 (15.3)</w:t>
            </w:r>
          </w:p>
        </w:tc>
      </w:tr>
      <w:tr w:rsidR="009D5225" w:rsidRPr="002B3656" w14:paraId="50C2C25B"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296B53F5"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Do dentists consistently explain the problem and attempt to resolve it?</w:t>
            </w:r>
          </w:p>
          <w:p w14:paraId="1580B60C"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05D4AE40"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4B2D7017"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top w:val="single" w:sz="4" w:space="0" w:color="auto"/>
              <w:left w:val="nil"/>
              <w:bottom w:val="single" w:sz="4" w:space="0" w:color="auto"/>
              <w:right w:val="nil"/>
            </w:tcBorders>
            <w:shd w:val="clear" w:color="auto" w:fill="auto"/>
            <w:vAlign w:val="center"/>
          </w:tcPr>
          <w:p w14:paraId="29320DF4" w14:textId="77777777" w:rsidR="009D5225" w:rsidRPr="002B3656" w:rsidRDefault="009D5225" w:rsidP="00855DC4">
            <w:pPr>
              <w:spacing w:after="0" w:line="240" w:lineRule="auto"/>
              <w:jc w:val="center"/>
              <w:rPr>
                <w:rFonts w:asciiTheme="minorBidi" w:hAnsiTheme="minorBidi"/>
                <w:sz w:val="20"/>
                <w:szCs w:val="20"/>
              </w:rPr>
            </w:pPr>
          </w:p>
          <w:p w14:paraId="004E1D31"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368 (81.8)</w:t>
            </w:r>
          </w:p>
          <w:p w14:paraId="4FC28238"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47 (10.4)</w:t>
            </w:r>
          </w:p>
          <w:p w14:paraId="740A78A2"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35 (7.8)</w:t>
            </w:r>
          </w:p>
        </w:tc>
      </w:tr>
      <w:tr w:rsidR="009D5225" w:rsidRPr="002B3656" w14:paraId="29F8A46E"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5AA6FF4A"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Do dentists always explain the procedures before beginning treatment?</w:t>
            </w:r>
          </w:p>
          <w:p w14:paraId="539C98BE"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399C8937"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4548D4C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top w:val="single" w:sz="4" w:space="0" w:color="auto"/>
              <w:left w:val="nil"/>
              <w:bottom w:val="single" w:sz="4" w:space="0" w:color="auto"/>
              <w:right w:val="nil"/>
            </w:tcBorders>
            <w:shd w:val="clear" w:color="auto" w:fill="auto"/>
            <w:vAlign w:val="center"/>
          </w:tcPr>
          <w:p w14:paraId="1618A3CD" w14:textId="77777777" w:rsidR="009D5225" w:rsidRPr="002B3656" w:rsidRDefault="009D5225" w:rsidP="00855DC4">
            <w:pPr>
              <w:spacing w:after="0" w:line="240" w:lineRule="auto"/>
              <w:jc w:val="center"/>
              <w:rPr>
                <w:rFonts w:asciiTheme="minorBidi" w:hAnsiTheme="minorBidi"/>
                <w:sz w:val="20"/>
                <w:szCs w:val="20"/>
              </w:rPr>
            </w:pPr>
          </w:p>
          <w:p w14:paraId="4A50B575"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344 (76.4)</w:t>
            </w:r>
          </w:p>
          <w:p w14:paraId="154E1602"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74 (16.4)</w:t>
            </w:r>
          </w:p>
          <w:p w14:paraId="6FAF0FA8"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32 (7.1)</w:t>
            </w:r>
          </w:p>
        </w:tc>
      </w:tr>
      <w:tr w:rsidR="009D5225" w:rsidRPr="002B3656" w14:paraId="27ADD265"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42C8E84D"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Do you believe that dentists prioritize treatment over preventive care?</w:t>
            </w:r>
          </w:p>
          <w:p w14:paraId="3084B1BB"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6DA3320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28C2B08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top w:val="single" w:sz="4" w:space="0" w:color="auto"/>
              <w:left w:val="nil"/>
              <w:bottom w:val="single" w:sz="4" w:space="0" w:color="auto"/>
              <w:right w:val="nil"/>
            </w:tcBorders>
            <w:shd w:val="clear" w:color="auto" w:fill="auto"/>
            <w:vAlign w:val="center"/>
          </w:tcPr>
          <w:p w14:paraId="4FFBD6AE" w14:textId="77777777" w:rsidR="009D5225" w:rsidRPr="002B3656" w:rsidRDefault="009D5225" w:rsidP="00855DC4">
            <w:pPr>
              <w:spacing w:after="0" w:line="240" w:lineRule="auto"/>
              <w:jc w:val="center"/>
              <w:rPr>
                <w:rFonts w:asciiTheme="minorBidi" w:hAnsiTheme="minorBidi"/>
                <w:sz w:val="20"/>
                <w:szCs w:val="20"/>
              </w:rPr>
            </w:pPr>
          </w:p>
          <w:p w14:paraId="0B67B9AA"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272 (60.4)</w:t>
            </w:r>
          </w:p>
          <w:p w14:paraId="254A6A2E"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129 (28.7)</w:t>
            </w:r>
          </w:p>
          <w:p w14:paraId="32D81BC3"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49 (10.9)</w:t>
            </w:r>
          </w:p>
        </w:tc>
      </w:tr>
      <w:tr w:rsidR="009D5225" w:rsidRPr="002B3656" w14:paraId="7278BD05" w14:textId="77777777" w:rsidTr="006E7785">
        <w:trPr>
          <w:jc w:val="center"/>
        </w:trPr>
        <w:tc>
          <w:tcPr>
            <w:tcW w:w="4216" w:type="pct"/>
            <w:tcBorders>
              <w:top w:val="single" w:sz="4" w:space="0" w:color="auto"/>
              <w:left w:val="nil"/>
              <w:bottom w:val="single" w:sz="4" w:space="0" w:color="auto"/>
              <w:right w:val="nil"/>
            </w:tcBorders>
            <w:shd w:val="clear" w:color="auto" w:fill="auto"/>
            <w:vAlign w:val="center"/>
          </w:tcPr>
          <w:p w14:paraId="526D3C44" w14:textId="77777777" w:rsidR="009D5225" w:rsidRPr="005B2F8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Does the dentist consistently involve you in decisions regarding your treatment?</w:t>
            </w:r>
          </w:p>
          <w:p w14:paraId="43ADD2CC"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Yes</w:t>
            </w:r>
          </w:p>
          <w:p w14:paraId="7E7CAAA1"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w:t>
            </w:r>
          </w:p>
          <w:p w14:paraId="0FAAF07B"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Don’t know</w:t>
            </w:r>
          </w:p>
        </w:tc>
        <w:tc>
          <w:tcPr>
            <w:tcW w:w="784" w:type="pct"/>
            <w:tcBorders>
              <w:top w:val="single" w:sz="4" w:space="0" w:color="auto"/>
              <w:left w:val="nil"/>
              <w:bottom w:val="single" w:sz="4" w:space="0" w:color="auto"/>
              <w:right w:val="nil"/>
            </w:tcBorders>
            <w:shd w:val="clear" w:color="auto" w:fill="auto"/>
            <w:vAlign w:val="center"/>
          </w:tcPr>
          <w:p w14:paraId="2BD85A41" w14:textId="77777777" w:rsidR="009D5225" w:rsidRPr="002B3656" w:rsidRDefault="009D5225" w:rsidP="00855DC4">
            <w:pPr>
              <w:spacing w:after="0" w:line="240" w:lineRule="auto"/>
              <w:jc w:val="center"/>
              <w:rPr>
                <w:rFonts w:asciiTheme="minorBidi" w:hAnsiTheme="minorBidi"/>
                <w:sz w:val="20"/>
                <w:szCs w:val="20"/>
              </w:rPr>
            </w:pPr>
          </w:p>
          <w:p w14:paraId="260B329A"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288 (64.0)</w:t>
            </w:r>
          </w:p>
          <w:p w14:paraId="16A10042"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100 (22.2)</w:t>
            </w:r>
          </w:p>
          <w:p w14:paraId="3993B44D"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62 (13.8)</w:t>
            </w:r>
          </w:p>
        </w:tc>
      </w:tr>
      <w:tr w:rsidR="009D5225" w:rsidRPr="002B3656" w14:paraId="36ACE0C3" w14:textId="77777777" w:rsidTr="006E7785">
        <w:trPr>
          <w:jc w:val="center"/>
        </w:trPr>
        <w:tc>
          <w:tcPr>
            <w:tcW w:w="4216" w:type="pct"/>
            <w:tcBorders>
              <w:top w:val="single" w:sz="4" w:space="0" w:color="auto"/>
              <w:left w:val="nil"/>
              <w:right w:val="nil"/>
            </w:tcBorders>
            <w:shd w:val="clear" w:color="auto" w:fill="auto"/>
            <w:vAlign w:val="center"/>
          </w:tcPr>
          <w:p w14:paraId="1CF85ADC" w14:textId="77777777" w:rsidR="009D5225" w:rsidRPr="002B3656" w:rsidRDefault="009D5225" w:rsidP="00855DC4">
            <w:pPr>
              <w:spacing w:after="0" w:line="240" w:lineRule="auto"/>
              <w:jc w:val="lowKashida"/>
              <w:rPr>
                <w:rFonts w:asciiTheme="minorBidi" w:hAnsiTheme="minorBidi"/>
                <w:sz w:val="20"/>
                <w:szCs w:val="20"/>
              </w:rPr>
            </w:pPr>
            <w:r w:rsidRPr="005B2F86">
              <w:rPr>
                <w:rFonts w:asciiTheme="minorBidi" w:hAnsiTheme="minorBidi"/>
                <w:sz w:val="20"/>
                <w:szCs w:val="20"/>
              </w:rPr>
              <w:t>What factors contribute to your fear of or dislike for visiting the dentist?</w:t>
            </w:r>
          </w:p>
          <w:p w14:paraId="7EC26F1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Fear of Needles or drilling</w:t>
            </w:r>
          </w:p>
          <w:p w14:paraId="042C4536"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Fear of Pain</w:t>
            </w:r>
          </w:p>
          <w:p w14:paraId="3167CE4F"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Fear of infection</w:t>
            </w:r>
          </w:p>
          <w:p w14:paraId="76626E2F"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Long waiting time</w:t>
            </w:r>
          </w:p>
          <w:p w14:paraId="3929F7D6"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High cost</w:t>
            </w:r>
          </w:p>
          <w:p w14:paraId="1A15A2D6"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No clinic nearby </w:t>
            </w:r>
          </w:p>
        </w:tc>
        <w:tc>
          <w:tcPr>
            <w:tcW w:w="784" w:type="pct"/>
            <w:tcBorders>
              <w:top w:val="single" w:sz="4" w:space="0" w:color="auto"/>
              <w:left w:val="nil"/>
              <w:right w:val="nil"/>
            </w:tcBorders>
            <w:shd w:val="clear" w:color="auto" w:fill="auto"/>
            <w:vAlign w:val="center"/>
          </w:tcPr>
          <w:p w14:paraId="4B14BA44" w14:textId="77777777" w:rsidR="009D5225" w:rsidRPr="002B3656" w:rsidRDefault="009D5225" w:rsidP="00855DC4">
            <w:pPr>
              <w:spacing w:after="0" w:line="240" w:lineRule="auto"/>
              <w:jc w:val="center"/>
              <w:rPr>
                <w:rFonts w:asciiTheme="minorBidi" w:hAnsiTheme="minorBidi"/>
                <w:sz w:val="20"/>
                <w:szCs w:val="20"/>
              </w:rPr>
            </w:pPr>
          </w:p>
          <w:p w14:paraId="753AAA53"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109 (24.2)</w:t>
            </w:r>
          </w:p>
          <w:p w14:paraId="66A53A5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103 (22.9)</w:t>
            </w:r>
          </w:p>
          <w:p w14:paraId="6BBD310A"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13 (2.9)</w:t>
            </w:r>
          </w:p>
          <w:p w14:paraId="540F475D"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25 (5.6)</w:t>
            </w:r>
          </w:p>
          <w:p w14:paraId="6931A901"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163 (36.2)</w:t>
            </w:r>
          </w:p>
          <w:p w14:paraId="312D6C9F" w14:textId="77777777"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8 (1.8)</w:t>
            </w:r>
          </w:p>
        </w:tc>
      </w:tr>
    </w:tbl>
    <w:bookmarkEnd w:id="1"/>
    <w:p w14:paraId="1842ED36" w14:textId="0F3C2E5F" w:rsidR="00383129" w:rsidRPr="00953E7F" w:rsidRDefault="00383129" w:rsidP="006E7785">
      <w:pPr>
        <w:spacing w:before="240" w:after="0" w:line="276" w:lineRule="auto"/>
        <w:jc w:val="lowKashida"/>
        <w:rPr>
          <w:rFonts w:asciiTheme="minorBidi" w:hAnsiTheme="minorBidi"/>
          <w:b/>
          <w:bCs/>
          <w:sz w:val="22"/>
          <w:szCs w:val="22"/>
        </w:rPr>
      </w:pPr>
      <w:r w:rsidRPr="00953E7F">
        <w:rPr>
          <w:rFonts w:asciiTheme="minorBidi" w:hAnsiTheme="minorBidi"/>
          <w:b/>
          <w:bCs/>
          <w:sz w:val="22"/>
          <w:szCs w:val="22"/>
        </w:rPr>
        <w:t>Practice of participants regarding oral health</w:t>
      </w:r>
    </w:p>
    <w:p w14:paraId="110CB414" w14:textId="17A383F3" w:rsidR="00320206" w:rsidRPr="00953E7F" w:rsidRDefault="00320206" w:rsidP="006E7785">
      <w:pPr>
        <w:spacing w:after="0" w:line="276" w:lineRule="auto"/>
        <w:jc w:val="lowKashida"/>
        <w:rPr>
          <w:rFonts w:asciiTheme="minorBidi" w:hAnsiTheme="minorBidi"/>
          <w:sz w:val="20"/>
          <w:szCs w:val="20"/>
        </w:rPr>
      </w:pPr>
      <w:r w:rsidRPr="00953E7F">
        <w:rPr>
          <w:rFonts w:asciiTheme="minorBidi" w:hAnsiTheme="minorBidi"/>
          <w:sz w:val="20"/>
          <w:szCs w:val="20"/>
        </w:rPr>
        <w:t>Among the 450 participants, 76.2% of the students reported using a toothbrush and toothpaste for dental cleaning, while 14.7% used mouthwash, 3.8% used dental floss, and 5.3% relied on toothpicks. Regarding the frequency of dental cleaning, 11.8% of students reported cleaning their teeth more than twice daily, 43.1% brushed twice a day, 40.4% brushed once daily, and 4.7% indicated they never cleaned their teeth. In terms of the duration of cleaning, 25.8% of participants stated they spent more than two minutes brushing, 43.3% reported spending two minutes, 22.4% spent one minute, and 8.4% spent less than a minute. Concerning the timing of dental cleaning, 33.1% reported brushing only in the morning, 41.3% brushed both in the morning and evening, 4.4% brushed only before going to bed, 13.3% brushed both before bed and in the morning, 2.9% brushed only in the evening, and 4.9% reported having no specific time for brushing. Additionally, 68.2% of students stated that their parents supervise and advise them on oral hygiene, 22.2% said their parents advise but do not monitor their oral hygiene practices, and 9.6% reported that their parents show no concern for their oral health. (table 3)</w:t>
      </w:r>
    </w:p>
    <w:p w14:paraId="1B67E22C" w14:textId="7AC52A9C" w:rsidR="00320206" w:rsidRPr="002B3656" w:rsidRDefault="00320206" w:rsidP="00092B69">
      <w:pPr>
        <w:spacing w:before="240"/>
        <w:rPr>
          <w:rFonts w:asciiTheme="minorBidi" w:hAnsiTheme="minorBidi"/>
          <w:sz w:val="20"/>
          <w:szCs w:val="20"/>
        </w:rPr>
      </w:pPr>
      <w:r w:rsidRPr="002B3656">
        <w:rPr>
          <w:rFonts w:asciiTheme="minorBidi" w:hAnsiTheme="minorBidi"/>
          <w:sz w:val="20"/>
          <w:szCs w:val="20"/>
        </w:rPr>
        <w:lastRenderedPageBreak/>
        <w:t>Table 3 Practice of participants towards Oral Health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1"/>
        <w:gridCol w:w="1619"/>
      </w:tblGrid>
      <w:tr w:rsidR="009D5225" w:rsidRPr="002B3656" w14:paraId="01EE9F71" w14:textId="77777777" w:rsidTr="006E7785">
        <w:trPr>
          <w:jc w:val="center"/>
        </w:trPr>
        <w:tc>
          <w:tcPr>
            <w:tcW w:w="4135" w:type="pct"/>
            <w:tcBorders>
              <w:left w:val="nil"/>
              <w:bottom w:val="single" w:sz="4" w:space="0" w:color="auto"/>
              <w:right w:val="nil"/>
            </w:tcBorders>
            <w:shd w:val="clear" w:color="auto" w:fill="auto"/>
            <w:vAlign w:val="center"/>
          </w:tcPr>
          <w:p w14:paraId="0D155414" w14:textId="7EA99DFF" w:rsidR="009D5225" w:rsidRPr="002B3656" w:rsidRDefault="009D5225" w:rsidP="00855DC4">
            <w:pPr>
              <w:spacing w:after="0" w:line="240" w:lineRule="auto"/>
              <w:jc w:val="center"/>
              <w:rPr>
                <w:rFonts w:asciiTheme="minorBidi" w:hAnsiTheme="minorBidi"/>
                <w:b/>
                <w:bCs/>
                <w:sz w:val="20"/>
                <w:szCs w:val="20"/>
              </w:rPr>
            </w:pPr>
            <w:bookmarkStart w:id="2" w:name="_Hlk196819104"/>
            <w:r w:rsidRPr="002B3656">
              <w:rPr>
                <w:rFonts w:asciiTheme="minorBidi" w:hAnsiTheme="minorBidi"/>
                <w:b/>
                <w:bCs/>
                <w:sz w:val="20"/>
                <w:szCs w:val="20"/>
              </w:rPr>
              <w:t>Practice</w:t>
            </w:r>
          </w:p>
        </w:tc>
        <w:tc>
          <w:tcPr>
            <w:tcW w:w="865" w:type="pct"/>
            <w:tcBorders>
              <w:left w:val="nil"/>
              <w:bottom w:val="single" w:sz="4" w:space="0" w:color="auto"/>
              <w:right w:val="nil"/>
            </w:tcBorders>
            <w:shd w:val="clear" w:color="auto" w:fill="auto"/>
            <w:vAlign w:val="center"/>
          </w:tcPr>
          <w:p w14:paraId="06474BBA" w14:textId="4A2969ED" w:rsidR="009D5225" w:rsidRPr="002B3656" w:rsidRDefault="009D5225" w:rsidP="00855DC4">
            <w:pPr>
              <w:spacing w:after="0" w:line="240" w:lineRule="auto"/>
              <w:jc w:val="center"/>
              <w:rPr>
                <w:rFonts w:asciiTheme="minorBidi" w:hAnsiTheme="minorBidi"/>
                <w:b/>
                <w:bCs/>
                <w:sz w:val="20"/>
                <w:szCs w:val="20"/>
              </w:rPr>
            </w:pPr>
            <w:r w:rsidRPr="002B3656">
              <w:rPr>
                <w:rFonts w:asciiTheme="minorBidi" w:hAnsiTheme="minorBidi"/>
                <w:b/>
                <w:bCs/>
                <w:sz w:val="20"/>
                <w:szCs w:val="20"/>
              </w:rPr>
              <w:t>Frequency</w:t>
            </w:r>
          </w:p>
          <w:p w14:paraId="7830C47B" w14:textId="77777777" w:rsidR="009D5225" w:rsidRPr="002B3656" w:rsidRDefault="009D5225" w:rsidP="00855DC4">
            <w:pPr>
              <w:spacing w:after="0" w:line="240" w:lineRule="auto"/>
              <w:jc w:val="center"/>
              <w:rPr>
                <w:rFonts w:asciiTheme="minorBidi" w:hAnsiTheme="minorBidi"/>
                <w:b/>
                <w:bCs/>
                <w:sz w:val="20"/>
                <w:szCs w:val="20"/>
              </w:rPr>
            </w:pPr>
            <w:r w:rsidRPr="002B3656">
              <w:rPr>
                <w:rFonts w:asciiTheme="minorBidi" w:hAnsiTheme="minorBidi"/>
                <w:b/>
                <w:bCs/>
                <w:sz w:val="20"/>
                <w:szCs w:val="20"/>
              </w:rPr>
              <w:t>n (%)</w:t>
            </w:r>
          </w:p>
        </w:tc>
      </w:tr>
      <w:tr w:rsidR="009D5225" w:rsidRPr="002B3656" w14:paraId="02C8BCF7" w14:textId="77777777" w:rsidTr="006E7785">
        <w:trPr>
          <w:jc w:val="center"/>
        </w:trPr>
        <w:tc>
          <w:tcPr>
            <w:tcW w:w="4135" w:type="pct"/>
            <w:tcBorders>
              <w:left w:val="nil"/>
              <w:bottom w:val="single" w:sz="4" w:space="0" w:color="auto"/>
              <w:right w:val="nil"/>
            </w:tcBorders>
            <w:shd w:val="clear" w:color="auto" w:fill="auto"/>
            <w:vAlign w:val="center"/>
          </w:tcPr>
          <w:p w14:paraId="3A67762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Methods used for maintaining oral hygiene</w:t>
            </w:r>
          </w:p>
          <w:p w14:paraId="2E2CE10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Tooth Brush and Paste</w:t>
            </w:r>
          </w:p>
          <w:p w14:paraId="0AC0D99B"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Mouth wash</w:t>
            </w:r>
          </w:p>
          <w:p w14:paraId="2368B48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Dental floss</w:t>
            </w:r>
          </w:p>
          <w:p w14:paraId="02E3434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Toothpick</w:t>
            </w:r>
          </w:p>
        </w:tc>
        <w:tc>
          <w:tcPr>
            <w:tcW w:w="865" w:type="pct"/>
            <w:tcBorders>
              <w:left w:val="nil"/>
              <w:bottom w:val="single" w:sz="4" w:space="0" w:color="auto"/>
              <w:right w:val="nil"/>
            </w:tcBorders>
            <w:shd w:val="clear" w:color="auto" w:fill="auto"/>
            <w:vAlign w:val="center"/>
          </w:tcPr>
          <w:p w14:paraId="63984A76" w14:textId="77777777" w:rsidR="009D5225" w:rsidRPr="002B3656" w:rsidRDefault="009D5225" w:rsidP="00855DC4">
            <w:pPr>
              <w:spacing w:after="0" w:line="240" w:lineRule="auto"/>
              <w:jc w:val="center"/>
              <w:rPr>
                <w:rFonts w:asciiTheme="minorBidi" w:hAnsiTheme="minorBidi"/>
                <w:sz w:val="20"/>
                <w:szCs w:val="20"/>
              </w:rPr>
            </w:pPr>
          </w:p>
          <w:p w14:paraId="646D8B00" w14:textId="0949F281" w:rsidR="009D5225" w:rsidRPr="002B3656" w:rsidRDefault="009D5225" w:rsidP="00855DC4">
            <w:pPr>
              <w:spacing w:after="0" w:line="240" w:lineRule="auto"/>
              <w:jc w:val="center"/>
              <w:rPr>
                <w:rFonts w:asciiTheme="minorBidi" w:hAnsiTheme="minorBidi"/>
                <w:sz w:val="20"/>
                <w:szCs w:val="20"/>
              </w:rPr>
            </w:pPr>
            <w:r w:rsidRPr="002B3656">
              <w:rPr>
                <w:rFonts w:asciiTheme="minorBidi" w:hAnsiTheme="minorBidi"/>
                <w:sz w:val="20"/>
                <w:szCs w:val="20"/>
              </w:rPr>
              <w:t>343 (</w:t>
            </w:r>
            <w:r w:rsidR="005B25A0" w:rsidRPr="002B3656">
              <w:rPr>
                <w:rFonts w:asciiTheme="minorBidi" w:hAnsiTheme="minorBidi"/>
                <w:sz w:val="20"/>
                <w:szCs w:val="20"/>
              </w:rPr>
              <w:t>76.2</w:t>
            </w:r>
            <w:r w:rsidRPr="002B3656">
              <w:rPr>
                <w:rFonts w:asciiTheme="minorBidi" w:hAnsiTheme="minorBidi"/>
                <w:sz w:val="20"/>
                <w:szCs w:val="20"/>
              </w:rPr>
              <w:t>)</w:t>
            </w:r>
          </w:p>
          <w:p w14:paraId="597A72B0" w14:textId="294D6FFD"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66</w:t>
            </w:r>
            <w:r w:rsidR="009D5225" w:rsidRPr="002B3656">
              <w:rPr>
                <w:rFonts w:asciiTheme="minorBidi" w:hAnsiTheme="minorBidi"/>
                <w:sz w:val="20"/>
                <w:szCs w:val="20"/>
              </w:rPr>
              <w:t xml:space="preserve"> (</w:t>
            </w:r>
            <w:r w:rsidRPr="002B3656">
              <w:rPr>
                <w:rFonts w:asciiTheme="minorBidi" w:hAnsiTheme="minorBidi"/>
                <w:sz w:val="20"/>
                <w:szCs w:val="20"/>
              </w:rPr>
              <w:t>14.7</w:t>
            </w:r>
            <w:r w:rsidR="009D5225" w:rsidRPr="002B3656">
              <w:rPr>
                <w:rFonts w:asciiTheme="minorBidi" w:hAnsiTheme="minorBidi"/>
                <w:sz w:val="20"/>
                <w:szCs w:val="20"/>
              </w:rPr>
              <w:t>)</w:t>
            </w:r>
          </w:p>
          <w:p w14:paraId="2B1EF8B4" w14:textId="77777777"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17</w:t>
            </w:r>
            <w:r w:rsidR="009D5225" w:rsidRPr="002B3656">
              <w:rPr>
                <w:rFonts w:asciiTheme="minorBidi" w:hAnsiTheme="minorBidi"/>
                <w:sz w:val="20"/>
                <w:szCs w:val="20"/>
              </w:rPr>
              <w:t xml:space="preserve"> (</w:t>
            </w:r>
            <w:r w:rsidRPr="002B3656">
              <w:rPr>
                <w:rFonts w:asciiTheme="minorBidi" w:hAnsiTheme="minorBidi"/>
                <w:sz w:val="20"/>
                <w:szCs w:val="20"/>
              </w:rPr>
              <w:t>3.8</w:t>
            </w:r>
            <w:r w:rsidR="009D5225" w:rsidRPr="002B3656">
              <w:rPr>
                <w:rFonts w:asciiTheme="minorBidi" w:hAnsiTheme="minorBidi"/>
                <w:sz w:val="20"/>
                <w:szCs w:val="20"/>
              </w:rPr>
              <w:t>)</w:t>
            </w:r>
          </w:p>
          <w:p w14:paraId="498EB529" w14:textId="62BCBC65" w:rsidR="005B25A0"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24 (5.3)</w:t>
            </w:r>
          </w:p>
        </w:tc>
      </w:tr>
      <w:tr w:rsidR="009D5225" w:rsidRPr="002B3656" w14:paraId="44D750B8" w14:textId="77777777" w:rsidTr="006E7785">
        <w:trPr>
          <w:jc w:val="center"/>
        </w:trPr>
        <w:tc>
          <w:tcPr>
            <w:tcW w:w="4135" w:type="pct"/>
            <w:tcBorders>
              <w:top w:val="single" w:sz="4" w:space="0" w:color="auto"/>
              <w:left w:val="nil"/>
              <w:bottom w:val="single" w:sz="4" w:space="0" w:color="auto"/>
              <w:right w:val="nil"/>
            </w:tcBorders>
            <w:shd w:val="clear" w:color="auto" w:fill="auto"/>
            <w:vAlign w:val="center"/>
          </w:tcPr>
          <w:p w14:paraId="6A0605C0"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Frequency of tooth brushing per day</w:t>
            </w:r>
          </w:p>
          <w:p w14:paraId="0417958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More than twice</w:t>
            </w:r>
          </w:p>
          <w:p w14:paraId="17D059C7"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Twice</w:t>
            </w:r>
          </w:p>
          <w:p w14:paraId="2F10D2D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Once</w:t>
            </w:r>
          </w:p>
          <w:p w14:paraId="3374D6F3"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Never</w:t>
            </w:r>
          </w:p>
        </w:tc>
        <w:tc>
          <w:tcPr>
            <w:tcW w:w="865" w:type="pct"/>
            <w:tcBorders>
              <w:top w:val="single" w:sz="4" w:space="0" w:color="auto"/>
              <w:left w:val="nil"/>
              <w:bottom w:val="single" w:sz="4" w:space="0" w:color="auto"/>
              <w:right w:val="nil"/>
            </w:tcBorders>
            <w:shd w:val="clear" w:color="auto" w:fill="auto"/>
            <w:vAlign w:val="center"/>
          </w:tcPr>
          <w:p w14:paraId="2466EA24" w14:textId="77777777" w:rsidR="009D5225" w:rsidRPr="002B3656" w:rsidRDefault="009D5225" w:rsidP="00855DC4">
            <w:pPr>
              <w:spacing w:after="0" w:line="240" w:lineRule="auto"/>
              <w:jc w:val="center"/>
              <w:rPr>
                <w:rFonts w:asciiTheme="minorBidi" w:hAnsiTheme="minorBidi"/>
                <w:sz w:val="20"/>
                <w:szCs w:val="20"/>
              </w:rPr>
            </w:pPr>
          </w:p>
          <w:p w14:paraId="1B3133F5" w14:textId="462017C0"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53</w:t>
            </w:r>
            <w:r w:rsidR="009D5225" w:rsidRPr="002B3656">
              <w:rPr>
                <w:rFonts w:asciiTheme="minorBidi" w:hAnsiTheme="minorBidi"/>
                <w:sz w:val="20"/>
                <w:szCs w:val="20"/>
              </w:rPr>
              <w:t xml:space="preserve"> (</w:t>
            </w:r>
            <w:r w:rsidRPr="002B3656">
              <w:rPr>
                <w:rFonts w:asciiTheme="minorBidi" w:hAnsiTheme="minorBidi"/>
                <w:sz w:val="20"/>
                <w:szCs w:val="20"/>
              </w:rPr>
              <w:t>11.8</w:t>
            </w:r>
            <w:r w:rsidR="009D5225" w:rsidRPr="002B3656">
              <w:rPr>
                <w:rFonts w:asciiTheme="minorBidi" w:hAnsiTheme="minorBidi"/>
                <w:sz w:val="20"/>
                <w:szCs w:val="20"/>
              </w:rPr>
              <w:t>)</w:t>
            </w:r>
          </w:p>
          <w:p w14:paraId="49A2FF6B" w14:textId="74251E98"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194</w:t>
            </w:r>
            <w:r w:rsidR="009D5225" w:rsidRPr="002B3656">
              <w:rPr>
                <w:rFonts w:asciiTheme="minorBidi" w:hAnsiTheme="minorBidi"/>
                <w:sz w:val="20"/>
                <w:szCs w:val="20"/>
              </w:rPr>
              <w:t xml:space="preserve"> (</w:t>
            </w:r>
            <w:r w:rsidRPr="002B3656">
              <w:rPr>
                <w:rFonts w:asciiTheme="minorBidi" w:hAnsiTheme="minorBidi"/>
                <w:sz w:val="20"/>
                <w:szCs w:val="20"/>
              </w:rPr>
              <w:t>43.1</w:t>
            </w:r>
            <w:r w:rsidR="009D5225" w:rsidRPr="002B3656">
              <w:rPr>
                <w:rFonts w:asciiTheme="minorBidi" w:hAnsiTheme="minorBidi"/>
                <w:sz w:val="20"/>
                <w:szCs w:val="20"/>
              </w:rPr>
              <w:t>)</w:t>
            </w:r>
          </w:p>
          <w:p w14:paraId="0D2D754E" w14:textId="43E1B131"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182</w:t>
            </w:r>
            <w:r w:rsidR="009D5225" w:rsidRPr="002B3656">
              <w:rPr>
                <w:rFonts w:asciiTheme="minorBidi" w:hAnsiTheme="minorBidi"/>
                <w:sz w:val="20"/>
                <w:szCs w:val="20"/>
              </w:rPr>
              <w:t xml:space="preserve"> (</w:t>
            </w:r>
            <w:r w:rsidRPr="002B3656">
              <w:rPr>
                <w:rFonts w:asciiTheme="minorBidi" w:hAnsiTheme="minorBidi"/>
                <w:sz w:val="20"/>
                <w:szCs w:val="20"/>
              </w:rPr>
              <w:t>40.4</w:t>
            </w:r>
            <w:r w:rsidR="009D5225" w:rsidRPr="002B3656">
              <w:rPr>
                <w:rFonts w:asciiTheme="minorBidi" w:hAnsiTheme="minorBidi"/>
                <w:sz w:val="20"/>
                <w:szCs w:val="20"/>
              </w:rPr>
              <w:t>)</w:t>
            </w:r>
          </w:p>
          <w:p w14:paraId="23F9E51D" w14:textId="71C45F71"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21</w:t>
            </w:r>
            <w:r w:rsidR="009D5225" w:rsidRPr="002B3656">
              <w:rPr>
                <w:rFonts w:asciiTheme="minorBidi" w:hAnsiTheme="minorBidi"/>
                <w:sz w:val="20"/>
                <w:szCs w:val="20"/>
              </w:rPr>
              <w:t xml:space="preserve"> (</w:t>
            </w:r>
            <w:r w:rsidRPr="002B3656">
              <w:rPr>
                <w:rFonts w:asciiTheme="minorBidi" w:hAnsiTheme="minorBidi"/>
                <w:sz w:val="20"/>
                <w:szCs w:val="20"/>
              </w:rPr>
              <w:t>4.7</w:t>
            </w:r>
            <w:r w:rsidR="009D5225" w:rsidRPr="002B3656">
              <w:rPr>
                <w:rFonts w:asciiTheme="minorBidi" w:hAnsiTheme="minorBidi"/>
                <w:sz w:val="20"/>
                <w:szCs w:val="20"/>
              </w:rPr>
              <w:t>)</w:t>
            </w:r>
          </w:p>
        </w:tc>
      </w:tr>
      <w:tr w:rsidR="009D5225" w:rsidRPr="002B3656" w14:paraId="7E06D82B" w14:textId="77777777" w:rsidTr="006E7785">
        <w:trPr>
          <w:jc w:val="center"/>
        </w:trPr>
        <w:tc>
          <w:tcPr>
            <w:tcW w:w="4135" w:type="pct"/>
            <w:tcBorders>
              <w:top w:val="single" w:sz="4" w:space="0" w:color="auto"/>
              <w:left w:val="nil"/>
              <w:bottom w:val="single" w:sz="4" w:space="0" w:color="auto"/>
              <w:right w:val="nil"/>
            </w:tcBorders>
            <w:shd w:val="clear" w:color="auto" w:fill="auto"/>
            <w:vAlign w:val="center"/>
          </w:tcPr>
          <w:p w14:paraId="13406BC1"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Duration of tooth brushing (in minutes</w:t>
            </w:r>
          </w:p>
          <w:p w14:paraId="2972747A"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More than 2 minutes</w:t>
            </w:r>
          </w:p>
          <w:p w14:paraId="26EB29F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Two minutes</w:t>
            </w:r>
          </w:p>
          <w:p w14:paraId="26B6953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One minute</w:t>
            </w:r>
          </w:p>
          <w:p w14:paraId="4586612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Less than a minute</w:t>
            </w:r>
          </w:p>
        </w:tc>
        <w:tc>
          <w:tcPr>
            <w:tcW w:w="865" w:type="pct"/>
            <w:tcBorders>
              <w:top w:val="single" w:sz="4" w:space="0" w:color="auto"/>
              <w:left w:val="nil"/>
              <w:bottom w:val="single" w:sz="4" w:space="0" w:color="auto"/>
              <w:right w:val="nil"/>
            </w:tcBorders>
            <w:shd w:val="clear" w:color="auto" w:fill="auto"/>
            <w:vAlign w:val="center"/>
          </w:tcPr>
          <w:p w14:paraId="4F4AD629" w14:textId="77777777" w:rsidR="009D5225" w:rsidRPr="002B3656" w:rsidRDefault="009D5225" w:rsidP="00855DC4">
            <w:pPr>
              <w:spacing w:after="0" w:line="240" w:lineRule="auto"/>
              <w:jc w:val="center"/>
              <w:rPr>
                <w:rFonts w:asciiTheme="minorBidi" w:hAnsiTheme="minorBidi"/>
                <w:sz w:val="20"/>
                <w:szCs w:val="20"/>
              </w:rPr>
            </w:pPr>
          </w:p>
          <w:p w14:paraId="0506C26F" w14:textId="48DB7FC3"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116</w:t>
            </w:r>
            <w:r w:rsidR="009D5225" w:rsidRPr="002B3656">
              <w:rPr>
                <w:rFonts w:asciiTheme="minorBidi" w:hAnsiTheme="minorBidi"/>
                <w:sz w:val="20"/>
                <w:szCs w:val="20"/>
              </w:rPr>
              <w:t xml:space="preserve"> (</w:t>
            </w:r>
            <w:r w:rsidRPr="002B3656">
              <w:rPr>
                <w:rFonts w:asciiTheme="minorBidi" w:hAnsiTheme="minorBidi"/>
                <w:sz w:val="20"/>
                <w:szCs w:val="20"/>
              </w:rPr>
              <w:t>25.8</w:t>
            </w:r>
            <w:r w:rsidR="009D5225" w:rsidRPr="002B3656">
              <w:rPr>
                <w:rFonts w:asciiTheme="minorBidi" w:hAnsiTheme="minorBidi"/>
                <w:sz w:val="20"/>
                <w:szCs w:val="20"/>
              </w:rPr>
              <w:t>)</w:t>
            </w:r>
          </w:p>
          <w:p w14:paraId="6F5DC023" w14:textId="481462E6"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195</w:t>
            </w:r>
            <w:r w:rsidR="009D5225" w:rsidRPr="002B3656">
              <w:rPr>
                <w:rFonts w:asciiTheme="minorBidi" w:hAnsiTheme="minorBidi"/>
                <w:sz w:val="20"/>
                <w:szCs w:val="20"/>
              </w:rPr>
              <w:t xml:space="preserve"> (</w:t>
            </w:r>
            <w:r w:rsidRPr="002B3656">
              <w:rPr>
                <w:rFonts w:asciiTheme="minorBidi" w:hAnsiTheme="minorBidi"/>
                <w:sz w:val="20"/>
                <w:szCs w:val="20"/>
              </w:rPr>
              <w:t>43.3</w:t>
            </w:r>
            <w:r w:rsidR="009D5225" w:rsidRPr="002B3656">
              <w:rPr>
                <w:rFonts w:asciiTheme="minorBidi" w:hAnsiTheme="minorBidi"/>
                <w:sz w:val="20"/>
                <w:szCs w:val="20"/>
              </w:rPr>
              <w:t>)</w:t>
            </w:r>
          </w:p>
          <w:p w14:paraId="7AA0F82C" w14:textId="614A7688" w:rsidR="009D5225" w:rsidRPr="002B3656" w:rsidRDefault="005B25A0" w:rsidP="00855DC4">
            <w:pPr>
              <w:spacing w:after="0" w:line="240" w:lineRule="auto"/>
              <w:jc w:val="center"/>
              <w:rPr>
                <w:rFonts w:asciiTheme="minorBidi" w:hAnsiTheme="minorBidi"/>
                <w:sz w:val="20"/>
                <w:szCs w:val="20"/>
              </w:rPr>
            </w:pPr>
            <w:r w:rsidRPr="002B3656">
              <w:rPr>
                <w:rFonts w:asciiTheme="minorBidi" w:hAnsiTheme="minorBidi"/>
                <w:sz w:val="20"/>
                <w:szCs w:val="20"/>
              </w:rPr>
              <w:t>101</w:t>
            </w:r>
            <w:r w:rsidR="009D5225" w:rsidRPr="002B3656">
              <w:rPr>
                <w:rFonts w:asciiTheme="minorBidi" w:hAnsiTheme="minorBidi"/>
                <w:sz w:val="20"/>
                <w:szCs w:val="20"/>
              </w:rPr>
              <w:t xml:space="preserve"> (</w:t>
            </w:r>
            <w:r w:rsidRPr="002B3656">
              <w:rPr>
                <w:rFonts w:asciiTheme="minorBidi" w:hAnsiTheme="minorBidi"/>
                <w:sz w:val="20"/>
                <w:szCs w:val="20"/>
              </w:rPr>
              <w:t>22.4</w:t>
            </w:r>
            <w:r w:rsidR="009D5225" w:rsidRPr="002B3656">
              <w:rPr>
                <w:rFonts w:asciiTheme="minorBidi" w:hAnsiTheme="minorBidi"/>
                <w:sz w:val="20"/>
                <w:szCs w:val="20"/>
              </w:rPr>
              <w:t>)</w:t>
            </w:r>
          </w:p>
          <w:p w14:paraId="0C5D9AC3" w14:textId="0670B5E0"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38</w:t>
            </w:r>
            <w:r w:rsidR="009D5225" w:rsidRPr="002B3656">
              <w:rPr>
                <w:rFonts w:asciiTheme="minorBidi" w:hAnsiTheme="minorBidi"/>
                <w:sz w:val="20"/>
                <w:szCs w:val="20"/>
              </w:rPr>
              <w:t xml:space="preserve"> (</w:t>
            </w:r>
            <w:r w:rsidRPr="002B3656">
              <w:rPr>
                <w:rFonts w:asciiTheme="minorBidi" w:hAnsiTheme="minorBidi"/>
                <w:sz w:val="20"/>
                <w:szCs w:val="20"/>
              </w:rPr>
              <w:t>8.4</w:t>
            </w:r>
            <w:r w:rsidR="009D5225" w:rsidRPr="002B3656">
              <w:rPr>
                <w:rFonts w:asciiTheme="minorBidi" w:hAnsiTheme="minorBidi"/>
                <w:sz w:val="20"/>
                <w:szCs w:val="20"/>
              </w:rPr>
              <w:t>)</w:t>
            </w:r>
          </w:p>
        </w:tc>
      </w:tr>
      <w:tr w:rsidR="009D5225" w:rsidRPr="002B3656" w14:paraId="4076FB32" w14:textId="77777777" w:rsidTr="006E7785">
        <w:trPr>
          <w:jc w:val="center"/>
        </w:trPr>
        <w:tc>
          <w:tcPr>
            <w:tcW w:w="4135" w:type="pct"/>
            <w:tcBorders>
              <w:top w:val="single" w:sz="4" w:space="0" w:color="auto"/>
              <w:left w:val="nil"/>
              <w:bottom w:val="single" w:sz="4" w:space="0" w:color="auto"/>
              <w:right w:val="nil"/>
            </w:tcBorders>
            <w:shd w:val="clear" w:color="auto" w:fill="auto"/>
            <w:vAlign w:val="center"/>
          </w:tcPr>
          <w:p w14:paraId="679FE5B3"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Timing of tooth brushing during the day</w:t>
            </w:r>
          </w:p>
          <w:p w14:paraId="7C3BFC6F"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Morning only</w:t>
            </w:r>
          </w:p>
          <w:p w14:paraId="24502A8F"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Morning and evening</w:t>
            </w:r>
          </w:p>
          <w:p w14:paraId="327D69B8"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Before going to bed only</w:t>
            </w:r>
          </w:p>
          <w:p w14:paraId="104D936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Before going to bed and morning</w:t>
            </w:r>
          </w:p>
          <w:p w14:paraId="0B1CD546"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 xml:space="preserve">Evening only </w:t>
            </w:r>
          </w:p>
          <w:p w14:paraId="6C2EA5C2"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Others</w:t>
            </w:r>
          </w:p>
        </w:tc>
        <w:tc>
          <w:tcPr>
            <w:tcW w:w="865" w:type="pct"/>
            <w:tcBorders>
              <w:top w:val="single" w:sz="4" w:space="0" w:color="auto"/>
              <w:left w:val="nil"/>
              <w:bottom w:val="single" w:sz="4" w:space="0" w:color="auto"/>
              <w:right w:val="nil"/>
            </w:tcBorders>
            <w:shd w:val="clear" w:color="auto" w:fill="auto"/>
            <w:vAlign w:val="center"/>
          </w:tcPr>
          <w:p w14:paraId="549A00AE" w14:textId="77777777" w:rsidR="009D5225" w:rsidRPr="002B3656" w:rsidRDefault="009D5225" w:rsidP="00855DC4">
            <w:pPr>
              <w:spacing w:after="0" w:line="240" w:lineRule="auto"/>
              <w:jc w:val="center"/>
              <w:rPr>
                <w:rFonts w:asciiTheme="minorBidi" w:hAnsiTheme="minorBidi"/>
                <w:sz w:val="20"/>
                <w:szCs w:val="20"/>
              </w:rPr>
            </w:pPr>
          </w:p>
          <w:p w14:paraId="33190122" w14:textId="78DB787F"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149</w:t>
            </w:r>
            <w:r w:rsidR="009D5225" w:rsidRPr="002B3656">
              <w:rPr>
                <w:rFonts w:asciiTheme="minorBidi" w:hAnsiTheme="minorBidi"/>
                <w:sz w:val="20"/>
                <w:szCs w:val="20"/>
              </w:rPr>
              <w:t xml:space="preserve"> (</w:t>
            </w:r>
            <w:r w:rsidRPr="002B3656">
              <w:rPr>
                <w:rFonts w:asciiTheme="minorBidi" w:hAnsiTheme="minorBidi"/>
                <w:sz w:val="20"/>
                <w:szCs w:val="20"/>
              </w:rPr>
              <w:t>33.1</w:t>
            </w:r>
            <w:r w:rsidR="009D5225" w:rsidRPr="002B3656">
              <w:rPr>
                <w:rFonts w:asciiTheme="minorBidi" w:hAnsiTheme="minorBidi"/>
                <w:sz w:val="20"/>
                <w:szCs w:val="20"/>
              </w:rPr>
              <w:t>)</w:t>
            </w:r>
          </w:p>
          <w:p w14:paraId="614D3ABC" w14:textId="7C22A559"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186</w:t>
            </w:r>
            <w:r w:rsidR="009D5225" w:rsidRPr="002B3656">
              <w:rPr>
                <w:rFonts w:asciiTheme="minorBidi" w:hAnsiTheme="minorBidi"/>
                <w:sz w:val="20"/>
                <w:szCs w:val="20"/>
              </w:rPr>
              <w:t xml:space="preserve"> (</w:t>
            </w:r>
            <w:r w:rsidRPr="002B3656">
              <w:rPr>
                <w:rFonts w:asciiTheme="minorBidi" w:hAnsiTheme="minorBidi"/>
                <w:sz w:val="20"/>
                <w:szCs w:val="20"/>
              </w:rPr>
              <w:t>41.3</w:t>
            </w:r>
            <w:r w:rsidR="009D5225" w:rsidRPr="002B3656">
              <w:rPr>
                <w:rFonts w:asciiTheme="minorBidi" w:hAnsiTheme="minorBidi"/>
                <w:sz w:val="20"/>
                <w:szCs w:val="20"/>
              </w:rPr>
              <w:t>)</w:t>
            </w:r>
          </w:p>
          <w:p w14:paraId="7AD24372" w14:textId="77777777"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20</w:t>
            </w:r>
            <w:r w:rsidR="009D5225" w:rsidRPr="002B3656">
              <w:rPr>
                <w:rFonts w:asciiTheme="minorBidi" w:hAnsiTheme="minorBidi"/>
                <w:sz w:val="20"/>
                <w:szCs w:val="20"/>
              </w:rPr>
              <w:t xml:space="preserve"> (</w:t>
            </w:r>
            <w:r w:rsidRPr="002B3656">
              <w:rPr>
                <w:rFonts w:asciiTheme="minorBidi" w:hAnsiTheme="minorBidi"/>
                <w:sz w:val="20"/>
                <w:szCs w:val="20"/>
              </w:rPr>
              <w:t>4.4%</w:t>
            </w:r>
            <w:r w:rsidR="009D5225" w:rsidRPr="002B3656">
              <w:rPr>
                <w:rFonts w:asciiTheme="minorBidi" w:hAnsiTheme="minorBidi"/>
                <w:sz w:val="20"/>
                <w:szCs w:val="20"/>
              </w:rPr>
              <w:t>)</w:t>
            </w:r>
          </w:p>
          <w:p w14:paraId="02552AFF" w14:textId="77777777" w:rsidR="006E778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60 (13.3)</w:t>
            </w:r>
          </w:p>
          <w:p w14:paraId="16F99302" w14:textId="77777777" w:rsidR="006E778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13 (2.9)</w:t>
            </w:r>
          </w:p>
          <w:p w14:paraId="6AD31FC7" w14:textId="7C69CF39" w:rsidR="006E778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22 (4.9)</w:t>
            </w:r>
          </w:p>
        </w:tc>
      </w:tr>
      <w:tr w:rsidR="009D5225" w:rsidRPr="002B3656" w14:paraId="08AB3106" w14:textId="77777777" w:rsidTr="006E7785">
        <w:trPr>
          <w:jc w:val="center"/>
        </w:trPr>
        <w:tc>
          <w:tcPr>
            <w:tcW w:w="4135" w:type="pct"/>
            <w:tcBorders>
              <w:top w:val="single" w:sz="4" w:space="0" w:color="auto"/>
              <w:left w:val="nil"/>
              <w:bottom w:val="single" w:sz="4" w:space="0" w:color="auto"/>
              <w:right w:val="nil"/>
            </w:tcBorders>
            <w:shd w:val="clear" w:color="auto" w:fill="auto"/>
            <w:vAlign w:val="center"/>
          </w:tcPr>
          <w:p w14:paraId="2F8F8834"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Role of family in supervising and promoting oral hygiene practice</w:t>
            </w:r>
          </w:p>
          <w:p w14:paraId="306900F8"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Parents watch and advise</w:t>
            </w:r>
          </w:p>
          <w:p w14:paraId="4756E7E9"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Parents advise but do not watch</w:t>
            </w:r>
          </w:p>
          <w:p w14:paraId="6C0BA9DD" w14:textId="77777777" w:rsidR="009D5225" w:rsidRPr="002B3656" w:rsidRDefault="009D5225" w:rsidP="00855DC4">
            <w:pPr>
              <w:spacing w:after="0" w:line="240" w:lineRule="auto"/>
              <w:jc w:val="lowKashida"/>
              <w:rPr>
                <w:rFonts w:asciiTheme="minorBidi" w:hAnsiTheme="minorBidi"/>
                <w:sz w:val="20"/>
                <w:szCs w:val="20"/>
              </w:rPr>
            </w:pPr>
            <w:r w:rsidRPr="002B3656">
              <w:rPr>
                <w:rFonts w:asciiTheme="minorBidi" w:hAnsiTheme="minorBidi"/>
                <w:sz w:val="20"/>
                <w:szCs w:val="20"/>
              </w:rPr>
              <w:t>Parents never care</w:t>
            </w:r>
          </w:p>
        </w:tc>
        <w:tc>
          <w:tcPr>
            <w:tcW w:w="865" w:type="pct"/>
            <w:tcBorders>
              <w:top w:val="single" w:sz="4" w:space="0" w:color="auto"/>
              <w:left w:val="nil"/>
              <w:bottom w:val="single" w:sz="4" w:space="0" w:color="auto"/>
              <w:right w:val="nil"/>
            </w:tcBorders>
            <w:shd w:val="clear" w:color="auto" w:fill="auto"/>
            <w:vAlign w:val="center"/>
          </w:tcPr>
          <w:p w14:paraId="1680636C" w14:textId="77777777" w:rsidR="009D5225" w:rsidRPr="002B3656" w:rsidRDefault="009D5225" w:rsidP="00855DC4">
            <w:pPr>
              <w:spacing w:after="0" w:line="240" w:lineRule="auto"/>
              <w:jc w:val="center"/>
              <w:rPr>
                <w:rFonts w:asciiTheme="minorBidi" w:hAnsiTheme="minorBidi"/>
                <w:sz w:val="20"/>
                <w:szCs w:val="20"/>
              </w:rPr>
            </w:pPr>
          </w:p>
          <w:p w14:paraId="5672DB82" w14:textId="0060CC9A"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307</w:t>
            </w:r>
            <w:r w:rsidR="009D5225" w:rsidRPr="002B3656">
              <w:rPr>
                <w:rFonts w:asciiTheme="minorBidi" w:hAnsiTheme="minorBidi"/>
                <w:sz w:val="20"/>
                <w:szCs w:val="20"/>
              </w:rPr>
              <w:t xml:space="preserve"> (</w:t>
            </w:r>
            <w:r w:rsidRPr="002B3656">
              <w:rPr>
                <w:rFonts w:asciiTheme="minorBidi" w:hAnsiTheme="minorBidi"/>
                <w:sz w:val="20"/>
                <w:szCs w:val="20"/>
              </w:rPr>
              <w:t>68.2</w:t>
            </w:r>
            <w:r w:rsidR="009D5225" w:rsidRPr="002B3656">
              <w:rPr>
                <w:rFonts w:asciiTheme="minorBidi" w:hAnsiTheme="minorBidi"/>
                <w:sz w:val="20"/>
                <w:szCs w:val="20"/>
              </w:rPr>
              <w:t>)</w:t>
            </w:r>
          </w:p>
          <w:p w14:paraId="0F5BE9B0" w14:textId="46CB903E"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100</w:t>
            </w:r>
            <w:r w:rsidR="009D5225" w:rsidRPr="002B3656">
              <w:rPr>
                <w:rFonts w:asciiTheme="minorBidi" w:hAnsiTheme="minorBidi"/>
                <w:sz w:val="20"/>
                <w:szCs w:val="20"/>
              </w:rPr>
              <w:t xml:space="preserve"> (</w:t>
            </w:r>
            <w:r w:rsidRPr="002B3656">
              <w:rPr>
                <w:rFonts w:asciiTheme="minorBidi" w:hAnsiTheme="minorBidi"/>
                <w:sz w:val="20"/>
                <w:szCs w:val="20"/>
              </w:rPr>
              <w:t>22.2</w:t>
            </w:r>
            <w:r w:rsidR="009D5225" w:rsidRPr="002B3656">
              <w:rPr>
                <w:rFonts w:asciiTheme="minorBidi" w:hAnsiTheme="minorBidi"/>
                <w:sz w:val="20"/>
                <w:szCs w:val="20"/>
              </w:rPr>
              <w:t>)</w:t>
            </w:r>
          </w:p>
          <w:p w14:paraId="5420C826" w14:textId="5BF40E0A" w:rsidR="009D5225" w:rsidRPr="002B3656" w:rsidRDefault="006E7785" w:rsidP="00855DC4">
            <w:pPr>
              <w:spacing w:after="0" w:line="240" w:lineRule="auto"/>
              <w:jc w:val="center"/>
              <w:rPr>
                <w:rFonts w:asciiTheme="minorBidi" w:hAnsiTheme="minorBidi"/>
                <w:sz w:val="20"/>
                <w:szCs w:val="20"/>
              </w:rPr>
            </w:pPr>
            <w:r w:rsidRPr="002B3656">
              <w:rPr>
                <w:rFonts w:asciiTheme="minorBidi" w:hAnsiTheme="minorBidi"/>
                <w:sz w:val="20"/>
                <w:szCs w:val="20"/>
              </w:rPr>
              <w:t>43</w:t>
            </w:r>
            <w:r w:rsidR="009D5225" w:rsidRPr="002B3656">
              <w:rPr>
                <w:rFonts w:asciiTheme="minorBidi" w:hAnsiTheme="minorBidi"/>
                <w:sz w:val="20"/>
                <w:szCs w:val="20"/>
              </w:rPr>
              <w:t xml:space="preserve"> (</w:t>
            </w:r>
            <w:r w:rsidRPr="002B3656">
              <w:rPr>
                <w:rFonts w:asciiTheme="minorBidi" w:hAnsiTheme="minorBidi"/>
                <w:sz w:val="20"/>
                <w:szCs w:val="20"/>
              </w:rPr>
              <w:t>9.6</w:t>
            </w:r>
            <w:r w:rsidR="009D5225" w:rsidRPr="002B3656">
              <w:rPr>
                <w:rFonts w:asciiTheme="minorBidi" w:hAnsiTheme="minorBidi"/>
                <w:sz w:val="20"/>
                <w:szCs w:val="20"/>
              </w:rPr>
              <w:t>)</w:t>
            </w:r>
          </w:p>
        </w:tc>
      </w:tr>
    </w:tbl>
    <w:bookmarkEnd w:id="2"/>
    <w:p w14:paraId="222FB60D" w14:textId="1B252E64" w:rsidR="00320206" w:rsidRPr="00953E7F" w:rsidRDefault="00953E7F" w:rsidP="00EF1DD5">
      <w:pPr>
        <w:spacing w:before="240" w:after="0" w:line="276" w:lineRule="auto"/>
        <w:jc w:val="lowKashida"/>
        <w:rPr>
          <w:rFonts w:asciiTheme="minorBidi" w:hAnsiTheme="minorBidi"/>
          <w:b/>
          <w:bCs/>
          <w:sz w:val="22"/>
          <w:szCs w:val="22"/>
        </w:rPr>
      </w:pPr>
      <w:r w:rsidRPr="00953E7F">
        <w:rPr>
          <w:rFonts w:asciiTheme="minorBidi" w:hAnsiTheme="minorBidi"/>
          <w:b/>
          <w:bCs/>
          <w:sz w:val="22"/>
          <w:szCs w:val="22"/>
        </w:rPr>
        <w:t>DISCUSSION</w:t>
      </w:r>
    </w:p>
    <w:p w14:paraId="60C10CB1" w14:textId="62FD1301" w:rsidR="00516445" w:rsidRPr="00953E7F" w:rsidRDefault="00AD2EBD" w:rsidP="00953E7F">
      <w:pPr>
        <w:jc w:val="lowKashida"/>
        <w:rPr>
          <w:rFonts w:asciiTheme="minorBidi" w:hAnsiTheme="minorBidi"/>
          <w:sz w:val="20"/>
          <w:szCs w:val="20"/>
        </w:rPr>
      </w:pPr>
      <w:r w:rsidRPr="00953E7F">
        <w:rPr>
          <w:rFonts w:asciiTheme="minorBidi" w:hAnsiTheme="minorBidi"/>
          <w:sz w:val="20"/>
          <w:szCs w:val="20"/>
        </w:rPr>
        <w:t xml:space="preserve">Oral health knowledge is essential in preventing a range of oral and dental diseases. This study aimed to assess the level of oral health knowledge among high school students, as well as to evaluate their attitudes and practices concerning oral health. The results revealed that 78.9% of the student’s possessed knowledge about oral health. This finding is consistent with a study by Rajbhandari in Kathmandu, Nepal, where the knowledge rate was 77.2% </w:t>
      </w:r>
      <w:r w:rsidR="0061643F"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&lt;EndNote&gt;&lt;Cite&gt;&lt;Author&gt;Rajbhandari&lt;/Author&gt;&lt;Year&gt;2024&lt;/Year&gt;&lt;RecNum&gt;10&lt;/RecNum&gt;&lt;DisplayText&gt;(Rajbhandari &amp;amp; Aryal, 2024)&lt;/DisplayText&gt;&lt;record&gt;&lt;rec-number&gt;10&lt;/rec-number&gt;&lt;foreign-keys&gt;&lt;key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61643F" w:rsidRPr="00953E7F">
        <w:rPr>
          <w:rFonts w:asciiTheme="minorBidi" w:hAnsiTheme="minorBidi"/>
          <w:sz w:val="20"/>
          <w:szCs w:val="20"/>
        </w:rPr>
        <w:fldChar w:fldCharType="separate"/>
      </w:r>
      <w:r w:rsidR="00855DC4" w:rsidRPr="00953E7F">
        <w:rPr>
          <w:rFonts w:asciiTheme="minorBidi" w:hAnsiTheme="minorBidi"/>
          <w:noProof/>
          <w:sz w:val="20"/>
          <w:szCs w:val="20"/>
        </w:rPr>
        <w:t>(Rajbhandari &amp; Aryal, 2024)</w:t>
      </w:r>
      <w:r w:rsidR="0061643F" w:rsidRPr="00953E7F">
        <w:rPr>
          <w:rFonts w:asciiTheme="minorBidi" w:hAnsiTheme="minorBidi"/>
          <w:sz w:val="20"/>
          <w:szCs w:val="20"/>
        </w:rPr>
        <w:fldChar w:fldCharType="end"/>
      </w:r>
      <w:r w:rsidR="00DD6771" w:rsidRPr="00953E7F">
        <w:rPr>
          <w:rFonts w:asciiTheme="minorBidi" w:hAnsiTheme="minorBidi"/>
          <w:sz w:val="20"/>
          <w:szCs w:val="20"/>
        </w:rPr>
        <w:t xml:space="preserve">. </w:t>
      </w:r>
      <w:r w:rsidRPr="00953E7F">
        <w:rPr>
          <w:rFonts w:asciiTheme="minorBidi" w:hAnsiTheme="minorBidi"/>
          <w:sz w:val="20"/>
          <w:szCs w:val="20"/>
        </w:rPr>
        <w:t>However, the results differ from those of Abdullah Khamaiseh's study in Jordan, which found a knowledge rate of 60.8%. This discrepancy could be attributed to variations in the study methodologies and the tools used to assess knowledge</w:t>
      </w:r>
      <w:r w:rsidR="00640758" w:rsidRPr="00953E7F">
        <w:rPr>
          <w:rFonts w:asciiTheme="minorBidi" w:hAnsiTheme="minorBidi"/>
          <w:sz w:val="20"/>
          <w:szCs w:val="20"/>
        </w:rPr>
        <w:t xml:space="preserve"> </w:t>
      </w:r>
      <w:r w:rsidR="00640758"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&lt;EndNote&gt;&lt;Cite&gt;&lt;Author&gt;Khamaiseh&lt;/Author&gt;&lt;Year&gt;2013&lt;/Year&gt;&lt;RecNum&gt;13&lt;/RecNum&gt;&lt;DisplayText&gt;(Khamaiseh &amp;amp; Albashtawy, 2013)&lt;/DisplayText&gt;&lt;record&gt;&lt;rec-number&gt;13&lt;/rec-number&gt;&lt;foreign-keys&gt;&lt;key app="EN" db-id="te5dp5wzi5axzte2ed7p9z9bxe0twptxdafr" timestamp="1745388462"&gt;13&lt;/key&gt;&lt;/foreign-keys&gt;&lt;ref-type name="Journal Article"&gt;17&lt;/ref-type&gt;&lt;contributors&gt;&lt;authors&gt;&lt;author&gt;Khamaiseh, Abdullah&lt;/author&gt;&lt;author&gt;Albashtawy, Mohammed&lt;/author&gt;&lt;/authors&gt;&lt;/contributors&gt;&lt;titles&gt;&lt;title&gt;Oral health knowledge, attitudes, and practices among secondary school students&lt;/title&gt;&lt;secondary-title&gt;British Journal of School Nursing&lt;/secondary-title&gt;&lt;/titles&gt;&lt;periodical&gt;&lt;full-title&gt;British Journal of School Nursing&lt;/full-title&gt;&lt;/periodical&gt;&lt;pages&gt;194-199&lt;/pages&gt;&lt;volume&gt;8&lt;/volume&gt;&lt;dates&gt;&lt;year&gt;2013&lt;/year&gt;&lt;pub-dates&gt;&lt;date&gt;05/01&lt;/date&gt;&lt;/pub-dates&gt;&lt;/dates&gt;&lt;urls&gt;&lt;/urls&gt;&lt;electronic-resource-num&gt;10.12968/bjsn.2013.8.4.194&lt;/electronic-resource-num&gt;&lt;/record&gt;&lt;/Cite&gt;&lt;/EndNote&gt;</w:instrText>
      </w:r>
      <w:r w:rsidR="00640758" w:rsidRPr="00953E7F">
        <w:rPr>
          <w:rFonts w:asciiTheme="minorBidi" w:hAnsiTheme="minorBidi"/>
          <w:sz w:val="20"/>
          <w:szCs w:val="20"/>
        </w:rPr>
        <w:fldChar w:fldCharType="separate"/>
      </w:r>
      <w:r w:rsidR="00855DC4" w:rsidRPr="00953E7F">
        <w:rPr>
          <w:rFonts w:asciiTheme="minorBidi" w:hAnsiTheme="minorBidi"/>
          <w:noProof/>
          <w:sz w:val="20"/>
          <w:szCs w:val="20"/>
        </w:rPr>
        <w:t>(Khamaiseh &amp; Albashtawy, 2013)</w:t>
      </w:r>
      <w:r w:rsidR="00640758" w:rsidRPr="00953E7F">
        <w:rPr>
          <w:rFonts w:asciiTheme="minorBidi" w:hAnsiTheme="minorBidi"/>
          <w:sz w:val="20"/>
          <w:szCs w:val="20"/>
        </w:rPr>
        <w:fldChar w:fldCharType="end"/>
      </w:r>
      <w:r w:rsidR="00640758" w:rsidRPr="00953E7F">
        <w:rPr>
          <w:rFonts w:asciiTheme="minorBidi" w:hAnsiTheme="minorBidi"/>
          <w:sz w:val="20"/>
          <w:szCs w:val="20"/>
        </w:rPr>
        <w:t xml:space="preserve">. </w:t>
      </w:r>
      <w:r w:rsidRPr="00953E7F">
        <w:rPr>
          <w:rFonts w:asciiTheme="minorBidi" w:hAnsiTheme="minorBidi"/>
          <w:sz w:val="20"/>
          <w:szCs w:val="20"/>
        </w:rPr>
        <w:t>Additionally, the knowledge level in this study was lower than that reported by Bright Mukanga et al. in the Choma district of Zambia, where 87.5% of participants had oral health knowledge. Such differences may be due to cultural, educational, and systemic variations between the settings</w:t>
      </w:r>
      <w:r w:rsidR="00855DC4" w:rsidRPr="00953E7F">
        <w:rPr>
          <w:rFonts w:asciiTheme="minorBidi" w:hAnsiTheme="minorBidi"/>
          <w:sz w:val="20"/>
          <w:szCs w:val="20"/>
        </w:rPr>
        <w:t xml:space="preserve"> </w:t>
      </w:r>
      <w:r w:rsidR="00640758"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&lt;EndNote&gt;&lt;Cite&gt;&lt;Author&gt;Mukanga&lt;/Author&gt;&lt;Year&gt;2022&lt;/Year&gt;&lt;RecNum&gt;32&lt;/RecNum&gt;&lt;DisplayText&gt;(Mukanga et al., 2022)&lt;/DisplayText&gt;&lt;record&gt;&lt;rec-number&gt;32&lt;/rec-number&gt;&lt;foreign-keys&gt;&lt;key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EndNote&gt;</w:instrText>
      </w:r>
      <w:r w:rsidR="00640758" w:rsidRPr="00953E7F">
        <w:rPr>
          <w:rFonts w:asciiTheme="minorBidi" w:hAnsiTheme="minorBidi"/>
          <w:sz w:val="20"/>
          <w:szCs w:val="20"/>
        </w:rPr>
        <w:fldChar w:fldCharType="separate"/>
      </w:r>
      <w:r w:rsidR="00855DC4" w:rsidRPr="00953E7F">
        <w:rPr>
          <w:rFonts w:asciiTheme="minorBidi" w:hAnsiTheme="minorBidi"/>
          <w:noProof/>
          <w:sz w:val="20"/>
          <w:szCs w:val="20"/>
        </w:rPr>
        <w:t>(Mukanga et al., 2022)</w:t>
      </w:r>
      <w:r w:rsidR="00640758" w:rsidRPr="00953E7F">
        <w:rPr>
          <w:rFonts w:asciiTheme="minorBidi" w:hAnsiTheme="minorBidi"/>
          <w:sz w:val="20"/>
          <w:szCs w:val="20"/>
        </w:rPr>
        <w:fldChar w:fldCharType="end"/>
      </w:r>
      <w:r w:rsidR="00640758" w:rsidRPr="00953E7F">
        <w:rPr>
          <w:rFonts w:asciiTheme="minorBidi" w:hAnsiTheme="minorBidi"/>
          <w:sz w:val="20"/>
          <w:szCs w:val="20"/>
        </w:rPr>
        <w:t>.</w:t>
      </w:r>
      <w:r w:rsidR="00953E7F">
        <w:rPr>
          <w:rFonts w:asciiTheme="minorBidi" w:hAnsiTheme="minorBidi"/>
          <w:sz w:val="20"/>
          <w:szCs w:val="20"/>
        </w:rPr>
        <w:t xml:space="preserve"> </w:t>
      </w:r>
      <w:r w:rsidRPr="00953E7F">
        <w:rPr>
          <w:rFonts w:asciiTheme="minorBidi" w:hAnsiTheme="minorBidi"/>
          <w:sz w:val="20"/>
          <w:szCs w:val="20"/>
        </w:rPr>
        <w:t xml:space="preserve">In this study, 83.6% of participants indicated that regular dental visits are necessary, which is in line with a similar study conducted in Jordan, where 75% of participants shared the same view </w:t>
      </w:r>
      <w:r w:rsidR="00FB021B"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&lt;EndNote&gt;&lt;Cite&gt;&lt;Author&gt;Khamaiseh&lt;/Author&gt;&lt;Year&gt;2013&lt;/Year&gt;&lt;RecNum&gt;13&lt;/RecNum&gt;&lt;DisplayText&gt;(Khamaiseh &amp;amp; Albashtawy, 2013)&lt;/DisplayText&gt;&lt;record&gt;&lt;rec-number&gt;13&lt;/rec-number&gt;&lt;foreign-keys&gt;&lt;key app="EN" db-id="te5dp5wzi5axzte2ed7p9z9bxe0twptxdafr" timestamp="1745388462"&gt;13&lt;/key&gt;&lt;/foreign-keys&gt;&lt;ref-type name="Journal Article"&gt;17&lt;/ref-type&gt;&lt;contributors&gt;&lt;authors&gt;&lt;author&gt;Khamaiseh, Abdullah&lt;/author&gt;&lt;author&gt;Albashtawy, Mohammed&lt;/author&gt;&lt;/authors&gt;&lt;/contributors&gt;&lt;titles&gt;&lt;title&gt;Oral health knowledge, attitudes, and practices among secondary school students&lt;/title&gt;&lt;secondary-title&gt;British Journal of School Nursing&lt;/secondary-title&gt;&lt;/titles&gt;&lt;periodical&gt;&lt;full-title&gt;British Journal of School Nursing&lt;/full-title&gt;&lt;/periodical&gt;&lt;pages&gt;194-199&lt;/pages&gt;&lt;volume&gt;8&lt;/volume&gt;&lt;dates&gt;&lt;year&gt;2013&lt;/year&gt;&lt;pub-dates&gt;&lt;date&gt;05/01&lt;/date&gt;&lt;/pub-dates&gt;&lt;/dates&gt;&lt;urls&gt;&lt;/urls&gt;&lt;electronic-resource-num&gt;10.12968/bjsn.2013.8.4.194&lt;/electronic-resource-num&gt;&lt;/record&gt;&lt;/Cite&gt;&lt;/EndNote&gt;</w:instrText>
      </w:r>
      <w:r w:rsidR="00FB021B" w:rsidRPr="00953E7F">
        <w:rPr>
          <w:rFonts w:asciiTheme="minorBidi" w:hAnsiTheme="minorBidi"/>
          <w:sz w:val="20"/>
          <w:szCs w:val="20"/>
        </w:rPr>
        <w:fldChar w:fldCharType="separate"/>
      </w:r>
      <w:r w:rsidR="00855DC4" w:rsidRPr="00953E7F">
        <w:rPr>
          <w:rFonts w:asciiTheme="minorBidi" w:hAnsiTheme="minorBidi"/>
          <w:noProof/>
          <w:sz w:val="20"/>
          <w:szCs w:val="20"/>
        </w:rPr>
        <w:t>(Khamaiseh &amp; Albashtawy, 2013)</w:t>
      </w:r>
      <w:r w:rsidR="00FB021B" w:rsidRPr="00953E7F">
        <w:rPr>
          <w:rFonts w:asciiTheme="minorBidi" w:hAnsiTheme="minorBidi"/>
          <w:sz w:val="20"/>
          <w:szCs w:val="20"/>
        </w:rPr>
        <w:fldChar w:fldCharType="end"/>
      </w:r>
      <w:r w:rsidR="00FB021B" w:rsidRPr="00953E7F">
        <w:rPr>
          <w:rFonts w:asciiTheme="minorBidi" w:hAnsiTheme="minorBidi"/>
          <w:sz w:val="20"/>
          <w:szCs w:val="20"/>
        </w:rPr>
        <w:t xml:space="preserve">. </w:t>
      </w:r>
      <w:r w:rsidRPr="00953E7F">
        <w:rPr>
          <w:rFonts w:asciiTheme="minorBidi" w:hAnsiTheme="minorBidi"/>
          <w:sz w:val="20"/>
          <w:szCs w:val="20"/>
        </w:rPr>
        <w:t xml:space="preserve">However, this finding contrasts with the results of a study conducted in Kathmandu, Nepal, where only 67.1% of participants reported the necessity of regular dental visits. This discrepancy may be attributed to differences in the measurement tools used in the studies </w:t>
      </w:r>
      <w:r w:rsidR="00DB445A"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&lt;EndNote&gt;&lt;Cite&gt;&lt;Author&gt;Rajbhandari&lt;/Author&gt;&lt;Year&gt;2024&lt;/Year&gt;&lt;RecNum&gt;10&lt;/RecNum&gt;&lt;DisplayText&gt;(Rajbhandari &amp;amp; Aryal, 2024)&lt;/DisplayText&gt;&lt;record&gt;&lt;rec-number&gt;10&lt;/rec-number&gt;&lt;foreign-keys&gt;&lt;key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DB445A" w:rsidRPr="00953E7F">
        <w:rPr>
          <w:rFonts w:asciiTheme="minorBidi" w:hAnsiTheme="minorBidi"/>
          <w:sz w:val="20"/>
          <w:szCs w:val="20"/>
        </w:rPr>
        <w:fldChar w:fldCharType="separate"/>
      </w:r>
      <w:r w:rsidR="00855DC4" w:rsidRPr="00953E7F">
        <w:rPr>
          <w:rFonts w:asciiTheme="minorBidi" w:hAnsiTheme="minorBidi"/>
          <w:noProof/>
          <w:sz w:val="20"/>
          <w:szCs w:val="20"/>
        </w:rPr>
        <w:t>(Rajbhandari &amp; Aryal, 2024)</w:t>
      </w:r>
      <w:r w:rsidR="00DB445A" w:rsidRPr="00953E7F">
        <w:rPr>
          <w:rFonts w:asciiTheme="minorBidi" w:hAnsiTheme="minorBidi"/>
          <w:sz w:val="20"/>
          <w:szCs w:val="20"/>
        </w:rPr>
        <w:fldChar w:fldCharType="end"/>
      </w:r>
      <w:r w:rsidR="00DB445A" w:rsidRPr="00953E7F">
        <w:rPr>
          <w:rFonts w:asciiTheme="minorBidi" w:hAnsiTheme="minorBidi"/>
          <w:sz w:val="20"/>
          <w:szCs w:val="20"/>
        </w:rPr>
        <w:t xml:space="preserve">. </w:t>
      </w:r>
      <w:r w:rsidRPr="00953E7F">
        <w:rPr>
          <w:rFonts w:asciiTheme="minorBidi" w:hAnsiTheme="minorBidi"/>
          <w:sz w:val="20"/>
          <w:szCs w:val="20"/>
        </w:rPr>
        <w:t>Additionally, 63.1% of students in our study reported visiting a dentist only when experiencing pain, a result that significantly differs from other studies, where the percentages were 34% and 18.3%. This variation could be linked to economic and behavioral factors</w:t>
      </w:r>
      <w:r w:rsidR="00281E43" w:rsidRPr="00953E7F">
        <w:rPr>
          <w:rFonts w:asciiTheme="minorBidi" w:hAnsiTheme="minorBidi"/>
          <w:sz w:val="20"/>
          <w:szCs w:val="20"/>
        </w:rPr>
        <w:t xml:space="preserve"> </w:t>
      </w:r>
      <w:r w:rsidR="00281E43"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&lt;EndNote&gt;&lt;Cite&gt;&lt;Author&gt;Mukanga&lt;/Author&gt;&lt;Year&gt;2022&lt;/Year&gt;&lt;RecNum&gt;32&lt;/RecNum&gt;&lt;DisplayText&gt;(Mukanga et al., 2022)&lt;/DisplayText&gt;&lt;record&gt;&lt;rec-number&gt;32&lt;/rec-number&gt;&lt;foreign-keys&gt;&lt;key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EndNote&gt;</w:instrText>
      </w:r>
      <w:r w:rsidR="00281E43" w:rsidRPr="00953E7F">
        <w:rPr>
          <w:rFonts w:asciiTheme="minorBidi" w:hAnsiTheme="minorBidi"/>
          <w:sz w:val="20"/>
          <w:szCs w:val="20"/>
        </w:rPr>
        <w:fldChar w:fldCharType="separate"/>
      </w:r>
      <w:r w:rsidR="00855DC4" w:rsidRPr="00953E7F">
        <w:rPr>
          <w:rFonts w:asciiTheme="minorBidi" w:hAnsiTheme="minorBidi"/>
          <w:noProof/>
          <w:sz w:val="20"/>
          <w:szCs w:val="20"/>
        </w:rPr>
        <w:t>(Mukanga et al., 2022)</w:t>
      </w:r>
      <w:r w:rsidR="00281E43" w:rsidRPr="00953E7F">
        <w:rPr>
          <w:rFonts w:asciiTheme="minorBidi" w:hAnsiTheme="minorBidi"/>
          <w:sz w:val="20"/>
          <w:szCs w:val="20"/>
        </w:rPr>
        <w:fldChar w:fldCharType="end"/>
      </w:r>
      <w:r w:rsidR="00281E43" w:rsidRPr="00953E7F">
        <w:rPr>
          <w:rFonts w:asciiTheme="minorBidi" w:hAnsiTheme="minorBidi"/>
          <w:sz w:val="20"/>
          <w:szCs w:val="20"/>
        </w:rPr>
        <w:t xml:space="preserve">. </w:t>
      </w:r>
      <w:r w:rsidRPr="00953E7F">
        <w:rPr>
          <w:rFonts w:asciiTheme="minorBidi" w:hAnsiTheme="minorBidi"/>
          <w:sz w:val="20"/>
          <w:szCs w:val="20"/>
        </w:rPr>
        <w:t xml:space="preserve">Regarding barriers to dental visits, 50% of the participants cited fear of needles and pain, while 36.2% mentioned the high cost as reasons for avoiding or disliking dental visits. These findings are somewhat similar to those in other </w:t>
      </w:r>
      <w:r w:rsidRPr="00953E7F">
        <w:rPr>
          <w:rFonts w:asciiTheme="minorBidi" w:hAnsiTheme="minorBidi"/>
          <w:sz w:val="20"/>
          <w:szCs w:val="20"/>
        </w:rPr>
        <w:lastRenderedPageBreak/>
        <w:t xml:space="preserve">studies, where 50% and 64% of participants reported similar reasons </w:t>
      </w:r>
      <w:r w:rsidR="00735B53"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&lt;EndNote&gt;&lt;Cite&gt;&lt;Author&gt;Mukanga&lt;/Author&gt;&lt;Year&gt;2022&lt;/Year&gt;&lt;RecNum&gt;32&lt;/RecNum&gt;&lt;DisplayText&gt;(Mukanga et al., 2022)&lt;/DisplayText&gt;&lt;record&gt;&lt;rec-number&gt;32&lt;/rec-number&gt;&lt;foreign-keys&gt;&lt;key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EndNote&gt;</w:instrText>
      </w:r>
      <w:r w:rsidR="00735B53" w:rsidRPr="00953E7F">
        <w:rPr>
          <w:rFonts w:asciiTheme="minorBidi" w:hAnsiTheme="minorBidi"/>
          <w:sz w:val="20"/>
          <w:szCs w:val="20"/>
        </w:rPr>
        <w:fldChar w:fldCharType="separate"/>
      </w:r>
      <w:r w:rsidR="00855DC4" w:rsidRPr="00953E7F">
        <w:rPr>
          <w:rFonts w:asciiTheme="minorBidi" w:hAnsiTheme="minorBidi"/>
          <w:noProof/>
          <w:sz w:val="20"/>
          <w:szCs w:val="20"/>
        </w:rPr>
        <w:t>(Mukanga et al., 2022)</w:t>
      </w:r>
      <w:r w:rsidR="00735B53" w:rsidRPr="00953E7F">
        <w:rPr>
          <w:rFonts w:asciiTheme="minorBidi" w:hAnsiTheme="minorBidi"/>
          <w:sz w:val="20"/>
          <w:szCs w:val="20"/>
        </w:rPr>
        <w:fldChar w:fldCharType="end"/>
      </w:r>
      <w:r w:rsidR="00735B53" w:rsidRPr="00953E7F">
        <w:rPr>
          <w:rFonts w:asciiTheme="minorBidi" w:hAnsiTheme="minorBidi"/>
          <w:sz w:val="20"/>
          <w:szCs w:val="20"/>
        </w:rPr>
        <w:t xml:space="preserve">. </w:t>
      </w:r>
      <w:r w:rsidRPr="00953E7F">
        <w:rPr>
          <w:rFonts w:asciiTheme="minorBidi" w:hAnsiTheme="minorBidi"/>
          <w:sz w:val="20"/>
          <w:szCs w:val="20"/>
        </w:rPr>
        <w:t xml:space="preserve">The findings of this study indicate that 76.2% of participants used a toothbrush and toothpaste for dental cleaning, which is similar to the results of another study reporting 78.8%. However, this differs from the findings in Zambia, where 95% of participants reported using a toothbrush and toothpaste. These discrepancies may be attributed to differences in health education levels or economic factors </w:t>
      </w:r>
      <w:r w:rsidR="00B50525"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&lt;EndNote&gt;&lt;Cite&gt;&lt;Author&gt;Mukanga&lt;/Author&gt;&lt;Year&gt;2022&lt;/Year&gt;&lt;RecNum&gt;32&lt;/RecNum&gt;&lt;DisplayText&gt;(Mukanga et al., 2022; Rajbhandari &amp;amp; Aryal, 2024)&lt;/DisplayText&gt;&lt;record&gt;&lt;rec-number&gt;32&lt;/rec-number&gt;&lt;foreign-keys&gt;&lt;key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Cite&gt;&lt;Author&gt;Rajbhandari&lt;/Author&gt;&lt;Year&gt;2024&lt;/Year&gt;&lt;RecNum&gt;10&lt;/RecNum&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B50525" w:rsidRPr="00953E7F">
        <w:rPr>
          <w:rFonts w:asciiTheme="minorBidi" w:hAnsiTheme="minorBidi"/>
          <w:sz w:val="20"/>
          <w:szCs w:val="20"/>
        </w:rPr>
        <w:fldChar w:fldCharType="separate"/>
      </w:r>
      <w:r w:rsidR="00855DC4" w:rsidRPr="00953E7F">
        <w:rPr>
          <w:rFonts w:asciiTheme="minorBidi" w:hAnsiTheme="minorBidi"/>
          <w:noProof/>
          <w:sz w:val="20"/>
          <w:szCs w:val="20"/>
        </w:rPr>
        <w:t>(Mukanga et al., 2022; Rajbhandari &amp; Aryal, 2024)</w:t>
      </w:r>
      <w:r w:rsidR="00B50525" w:rsidRPr="00953E7F">
        <w:rPr>
          <w:rFonts w:asciiTheme="minorBidi" w:hAnsiTheme="minorBidi"/>
          <w:sz w:val="20"/>
          <w:szCs w:val="20"/>
        </w:rPr>
        <w:fldChar w:fldCharType="end"/>
      </w:r>
      <w:r w:rsidRPr="00953E7F">
        <w:rPr>
          <w:rFonts w:asciiTheme="minorBidi" w:hAnsiTheme="minorBidi"/>
          <w:sz w:val="20"/>
          <w:szCs w:val="20"/>
        </w:rPr>
        <w:t>.</w:t>
      </w:r>
      <w:r w:rsidR="00953E7F">
        <w:rPr>
          <w:rFonts w:asciiTheme="minorBidi" w:hAnsiTheme="minorBidi"/>
          <w:sz w:val="20"/>
          <w:szCs w:val="20"/>
        </w:rPr>
        <w:t xml:space="preserve"> </w:t>
      </w:r>
      <w:r w:rsidR="00855DC4" w:rsidRPr="00953E7F">
        <w:rPr>
          <w:rFonts w:asciiTheme="minorBidi" w:hAnsiTheme="minorBidi"/>
          <w:sz w:val="20"/>
          <w:szCs w:val="20"/>
        </w:rPr>
        <w:t>In this study, 54.9% of students reported brushing their teeth two or more times a day, a result closely aligned with the findings of Rajbhandari et al., which was 50.4%</w:t>
      </w:r>
      <w:r w:rsidR="00A47123" w:rsidRPr="00953E7F">
        <w:rPr>
          <w:rFonts w:asciiTheme="minorBidi" w:hAnsiTheme="minorBidi"/>
          <w:sz w:val="20"/>
          <w:szCs w:val="20"/>
        </w:rPr>
        <w:t xml:space="preserve"> </w:t>
      </w:r>
      <w:r w:rsidR="00A47123"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&lt;EndNote&gt;&lt;Cite&gt;&lt;Author&gt;Rajbhandari&lt;/Author&gt;&lt;Year&gt;2024&lt;/Year&gt;&lt;RecNum&gt;10&lt;/RecNum&gt;&lt;DisplayText&gt;(Rajbhandari &amp;amp; Aryal, 2024)&lt;/DisplayText&gt;&lt;record&gt;&lt;rec-number&gt;10&lt;/rec-number&gt;&lt;foreign-keys&gt;&lt;key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A47123" w:rsidRPr="00953E7F">
        <w:rPr>
          <w:rFonts w:asciiTheme="minorBidi" w:hAnsiTheme="minorBidi"/>
          <w:sz w:val="20"/>
          <w:szCs w:val="20"/>
        </w:rPr>
        <w:fldChar w:fldCharType="separate"/>
      </w:r>
      <w:r w:rsidR="00855DC4" w:rsidRPr="00953E7F">
        <w:rPr>
          <w:rFonts w:asciiTheme="minorBidi" w:hAnsiTheme="minorBidi"/>
          <w:noProof/>
          <w:sz w:val="20"/>
          <w:szCs w:val="20"/>
        </w:rPr>
        <w:t>(Rajbhandari &amp; Aryal, 2024)</w:t>
      </w:r>
      <w:r w:rsidR="00A47123" w:rsidRPr="00953E7F">
        <w:rPr>
          <w:rFonts w:asciiTheme="minorBidi" w:hAnsiTheme="minorBidi"/>
          <w:sz w:val="20"/>
          <w:szCs w:val="20"/>
        </w:rPr>
        <w:fldChar w:fldCharType="end"/>
      </w:r>
      <w:r w:rsidR="00A47123" w:rsidRPr="00953E7F">
        <w:rPr>
          <w:rFonts w:asciiTheme="minorBidi" w:hAnsiTheme="minorBidi"/>
          <w:sz w:val="20"/>
          <w:szCs w:val="20"/>
        </w:rPr>
        <w:t xml:space="preserve">. </w:t>
      </w:r>
      <w:r w:rsidR="00855DC4" w:rsidRPr="00953E7F">
        <w:rPr>
          <w:rFonts w:asciiTheme="minorBidi" w:hAnsiTheme="minorBidi"/>
          <w:sz w:val="20"/>
          <w:szCs w:val="20"/>
        </w:rPr>
        <w:t>However, this differs from another study where 85% of participants reported brushing their teeth this frequently</w:t>
      </w:r>
      <w:r w:rsidR="00516445" w:rsidRPr="00953E7F">
        <w:rPr>
          <w:rFonts w:asciiTheme="minorBidi" w:hAnsiTheme="minorBidi"/>
          <w:sz w:val="20"/>
          <w:szCs w:val="20"/>
        </w:rPr>
        <w:t xml:space="preserve"> </w:t>
      </w:r>
      <w:r w:rsidR="00516445"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&lt;EndNote&gt;&lt;Cite&gt;&lt;Author&gt;Mukanga&lt;/Author&gt;&lt;Year&gt;2022&lt;/Year&gt;&lt;RecNum&gt;32&lt;/RecNum&gt;&lt;DisplayText&gt;(Mukanga et al., 2022)&lt;/DisplayText&gt;&lt;record&gt;&lt;rec-number&gt;32&lt;/rec-number&gt;&lt;foreign-keys&gt;&lt;key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EndNote&gt;</w:instrText>
      </w:r>
      <w:r w:rsidR="00516445" w:rsidRPr="00953E7F">
        <w:rPr>
          <w:rFonts w:asciiTheme="minorBidi" w:hAnsiTheme="minorBidi"/>
          <w:sz w:val="20"/>
          <w:szCs w:val="20"/>
        </w:rPr>
        <w:fldChar w:fldCharType="separate"/>
      </w:r>
      <w:r w:rsidR="00855DC4" w:rsidRPr="00953E7F">
        <w:rPr>
          <w:rFonts w:asciiTheme="minorBidi" w:hAnsiTheme="minorBidi"/>
          <w:noProof/>
          <w:sz w:val="20"/>
          <w:szCs w:val="20"/>
        </w:rPr>
        <w:t>(Mukanga et al., 2022)</w:t>
      </w:r>
      <w:r w:rsidR="00516445" w:rsidRPr="00953E7F">
        <w:rPr>
          <w:rFonts w:asciiTheme="minorBidi" w:hAnsiTheme="minorBidi"/>
          <w:sz w:val="20"/>
          <w:szCs w:val="20"/>
        </w:rPr>
        <w:fldChar w:fldCharType="end"/>
      </w:r>
      <w:r w:rsidR="00516445" w:rsidRPr="00953E7F">
        <w:rPr>
          <w:rFonts w:asciiTheme="minorBidi" w:hAnsiTheme="minorBidi"/>
          <w:sz w:val="20"/>
          <w:szCs w:val="20"/>
        </w:rPr>
        <w:t xml:space="preserve">. </w:t>
      </w:r>
      <w:r w:rsidR="00855DC4" w:rsidRPr="00953E7F">
        <w:rPr>
          <w:rFonts w:asciiTheme="minorBidi" w:hAnsiTheme="minorBidi"/>
          <w:sz w:val="20"/>
          <w:szCs w:val="20"/>
        </w:rPr>
        <w:t>The variation in these findings may be attributed to differences in household facilities, economic factors, cultural influences, or the level of health education.</w:t>
      </w:r>
      <w:r w:rsidR="00953E7F">
        <w:rPr>
          <w:rFonts w:asciiTheme="minorBidi" w:hAnsiTheme="minorBidi"/>
          <w:sz w:val="20"/>
          <w:szCs w:val="20"/>
        </w:rPr>
        <w:t xml:space="preserve"> </w:t>
      </w:r>
      <w:r w:rsidR="00855DC4" w:rsidRPr="00953E7F">
        <w:rPr>
          <w:rFonts w:asciiTheme="minorBidi" w:hAnsiTheme="minorBidi"/>
          <w:sz w:val="20"/>
          <w:szCs w:val="20"/>
        </w:rPr>
        <w:t>In this study, 69.1% of participants reported spending two or more minutes brushing their teeth, which contrasts with the findings of other studies where the percentages were 39.5% and 55%</w:t>
      </w:r>
      <w:r w:rsidR="00516445" w:rsidRPr="00953E7F">
        <w:rPr>
          <w:rFonts w:asciiTheme="minorBidi" w:hAnsiTheme="minorBidi"/>
          <w:sz w:val="20"/>
          <w:szCs w:val="20"/>
        </w:rPr>
        <w:t xml:space="preserve"> </w:t>
      </w:r>
      <w:r w:rsidR="00516445"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&lt;EndNote&gt;&lt;Cite&gt;&lt;Author&gt;Mukanga&lt;/Author&gt;&lt;Year&gt;2022&lt;/Year&gt;&lt;RecNum&gt;32&lt;/RecNum&gt;&lt;DisplayText&gt;(Mukanga et al., 2022; Rajbhandari &amp;amp; Aryal, 2024)&lt;/DisplayText&gt;&lt;record&gt;&lt;rec-number&gt;32&lt;/rec-number&gt;&lt;foreign-keys&gt;&lt;key app="EN" db-id="te5dp5wzi5axzte2ed7p9z9bxe0twptxdafr" timestamp="1745860060"&gt;32&lt;/key&gt;&lt;/foreign-keys&gt;&lt;ref-type name="Journal Article"&gt;17&lt;/ref-type&gt;&lt;contributors&gt;&lt;authors&gt;&lt;author&gt;Mukanga, Bright&lt;/author&gt;&lt;author&gt;Sakala, Kupuzo&lt;/author&gt;&lt;author&gt;Nyirenda, Tato&lt;/author&gt;&lt;author&gt;Daka, Victor&lt;/author&gt;&lt;author&gt;Mulenga, David&lt;/author&gt;&lt;/authors&gt;&lt;/contributors&gt;&lt;titles&gt;&lt;title&gt;Oral Health knowledge, attitude and practices among adolescents in Choma District of Zambia&lt;/title&gt;&lt;secondary-title&gt;Medical Journal of Zambia&lt;/secondary-title&gt;&lt;/titles&gt;&lt;periodical&gt;&lt;full-title&gt;Medical Journal of Zambia&lt;/full-title&gt;&lt;/periodical&gt;&lt;pages&gt;118-127&lt;/pages&gt;&lt;volume&gt;49&lt;/volume&gt;&lt;number&gt;2&lt;/number&gt;&lt;dates&gt;&lt;year&gt;2022&lt;/year&gt;&lt;/dates&gt;&lt;isbn&gt;0047-651X&lt;/isbn&gt;&lt;urls&gt;&lt;/urls&gt;&lt;/record&gt;&lt;/Cite&gt;&lt;Cite&gt;&lt;Author&gt;Rajbhandari&lt;/Author&gt;&lt;Year&gt;2024&lt;/Year&gt;&lt;RecNum&gt;10&lt;/RecNum&gt;&lt;record&gt;&lt;rec-number&gt;10&lt;/rec-number&gt;&lt;foreign-keys&gt;&lt;key app="EN" db-id="te5dp5wzi5axzte2ed7p9z9bxe0twptxdafr" timestamp="1745384507"&gt;10&lt;/key&gt;&lt;/foreign-keys&gt;&lt;ref-type name="Journal Article"&gt;17&lt;/ref-type&gt;&lt;contributors&gt;&lt;authors&gt;&lt;author&gt;Rajbhandari, Anuja&lt;/author&gt;&lt;author&gt;Aryal, Nishika&lt;/author&gt;&lt;/authors&gt;&lt;/contributors&gt;&lt;titles&gt;&lt;title&gt;Assessment of knowledge, attitude and practice (KAP) on oral health among secondary-level students: a cross-sectional study in Kathmandu, Nepal&lt;/title&gt;&lt;secondary-title&gt;BMJ Public Health&lt;/secondary-title&gt;&lt;/titles&gt;&lt;periodical&gt;&lt;full-title&gt;BMJ Public Health&lt;/full-title&gt;&lt;/periodical&gt;&lt;volume&gt;2&lt;/volume&gt;&lt;number&gt;1&lt;/number&gt;&lt;dates&gt;&lt;year&gt;2024&lt;/year&gt;&lt;/dates&gt;&lt;isbn&gt;2753-4294&lt;/isbn&gt;&lt;urls&gt;&lt;/urls&gt;&lt;/record&gt;&lt;/Cite&gt;&lt;/EndNote&gt;</w:instrText>
      </w:r>
      <w:r w:rsidR="00516445" w:rsidRPr="00953E7F">
        <w:rPr>
          <w:rFonts w:asciiTheme="minorBidi" w:hAnsiTheme="minorBidi"/>
          <w:sz w:val="20"/>
          <w:szCs w:val="20"/>
        </w:rPr>
        <w:fldChar w:fldCharType="separate"/>
      </w:r>
      <w:r w:rsidR="00855DC4" w:rsidRPr="00953E7F">
        <w:rPr>
          <w:rFonts w:asciiTheme="minorBidi" w:hAnsiTheme="minorBidi"/>
          <w:noProof/>
          <w:sz w:val="20"/>
          <w:szCs w:val="20"/>
        </w:rPr>
        <w:t>(Mukanga et al., 2022; Rajbhandari &amp; Aryal, 2024)</w:t>
      </w:r>
      <w:r w:rsidR="00516445" w:rsidRPr="00953E7F">
        <w:rPr>
          <w:rFonts w:asciiTheme="minorBidi" w:hAnsiTheme="minorBidi"/>
          <w:sz w:val="20"/>
          <w:szCs w:val="20"/>
        </w:rPr>
        <w:fldChar w:fldCharType="end"/>
      </w:r>
      <w:r w:rsidR="00516445" w:rsidRPr="00953E7F">
        <w:rPr>
          <w:rFonts w:asciiTheme="minorBidi" w:hAnsiTheme="minorBidi"/>
          <w:sz w:val="20"/>
          <w:szCs w:val="20"/>
        </w:rPr>
        <w:t>.</w:t>
      </w:r>
      <w:r w:rsidR="00953E7F">
        <w:rPr>
          <w:rFonts w:asciiTheme="minorBidi" w:hAnsiTheme="minorBidi"/>
          <w:sz w:val="20"/>
          <w:szCs w:val="20"/>
        </w:rPr>
        <w:t xml:space="preserve"> </w:t>
      </w:r>
      <w:r w:rsidR="00855DC4" w:rsidRPr="00953E7F">
        <w:rPr>
          <w:rFonts w:asciiTheme="minorBidi" w:hAnsiTheme="minorBidi"/>
          <w:sz w:val="20"/>
          <w:szCs w:val="20"/>
        </w:rPr>
        <w:t xml:space="preserve">Additionally, 9.6% of students in this study indicated that their parents never advised or supervised their oral health and dental care. This result differs from the study by Abdullah Mousa Khamaiseh in Jordan, where only 2.5% of students reported the same. These differences may be attributed to economic, cultural, or environmental factors, which warrant further investigation </w:t>
      </w:r>
      <w:r w:rsidR="00F6290C" w:rsidRPr="00953E7F">
        <w:rPr>
          <w:rFonts w:asciiTheme="minorBidi" w:hAnsiTheme="minorBidi"/>
          <w:sz w:val="20"/>
          <w:szCs w:val="20"/>
        </w:rPr>
        <w:fldChar w:fldCharType="begin"/>
      </w:r>
      <w:r w:rsidR="00855DC4" w:rsidRPr="00953E7F">
        <w:rPr>
          <w:rFonts w:asciiTheme="minorBidi" w:hAnsiTheme="minorBidi"/>
          <w:sz w:val="20"/>
          <w:szCs w:val="20"/>
        </w:rPr>
        <w:instrText xml:space="preserve"> ADDIN EN.CITE &lt;EndNote&gt;&lt;Cite&gt;&lt;Author&gt;Khamaiseh&lt;/Author&gt;&lt;Year&gt;2013&lt;/Year&gt;&lt;RecNum&gt;13&lt;/RecNum&gt;&lt;DisplayText&gt;(Khamaiseh &amp;amp; Albashtawy, 2013)&lt;/DisplayText&gt;&lt;record&gt;&lt;rec-number&gt;13&lt;/rec-number&gt;&lt;foreign-keys&gt;&lt;key app="EN" db-id="te5dp5wzi5axzte2ed7p9z9bxe0twptxdafr" timestamp="1745388462"&gt;13&lt;/key&gt;&lt;/foreign-keys&gt;&lt;ref-type name="Journal Article"&gt;17&lt;/ref-type&gt;&lt;contributors&gt;&lt;authors&gt;&lt;author&gt;Khamaiseh, Abdullah&lt;/author&gt;&lt;author&gt;Albashtawy, Mohammed&lt;/author&gt;&lt;/authors&gt;&lt;/contributors&gt;&lt;titles&gt;&lt;title&gt;Oral health knowledge, attitudes, and practices among secondary school students&lt;/title&gt;&lt;secondary-title&gt;British Journal of School Nursing&lt;/secondary-title&gt;&lt;/titles&gt;&lt;periodical&gt;&lt;full-title&gt;British Journal of School Nursing&lt;/full-title&gt;&lt;/periodical&gt;&lt;pages&gt;194-199&lt;/pages&gt;&lt;volume&gt;8&lt;/volume&gt;&lt;dates&gt;&lt;year&gt;2013&lt;/year&gt;&lt;pub-dates&gt;&lt;date&gt;05/01&lt;/date&gt;&lt;/pub-dates&gt;&lt;/dates&gt;&lt;urls&gt;&lt;/urls&gt;&lt;electronic-resource-num&gt;10.12968/bjsn.2013.8.4.194&lt;/electronic-resource-num&gt;&lt;/record&gt;&lt;/Cite&gt;&lt;/EndNote&gt;</w:instrText>
      </w:r>
      <w:r w:rsidR="00F6290C" w:rsidRPr="00953E7F">
        <w:rPr>
          <w:rFonts w:asciiTheme="minorBidi" w:hAnsiTheme="minorBidi"/>
          <w:sz w:val="20"/>
          <w:szCs w:val="20"/>
        </w:rPr>
        <w:fldChar w:fldCharType="separate"/>
      </w:r>
      <w:r w:rsidR="00855DC4" w:rsidRPr="00953E7F">
        <w:rPr>
          <w:rFonts w:asciiTheme="minorBidi" w:hAnsiTheme="minorBidi"/>
          <w:noProof/>
          <w:sz w:val="20"/>
          <w:szCs w:val="20"/>
        </w:rPr>
        <w:t>(Khamaiseh &amp; Albashtawy, 2013)</w:t>
      </w:r>
      <w:r w:rsidR="00F6290C" w:rsidRPr="00953E7F">
        <w:rPr>
          <w:rFonts w:asciiTheme="minorBidi" w:hAnsiTheme="minorBidi"/>
          <w:sz w:val="20"/>
          <w:szCs w:val="20"/>
        </w:rPr>
        <w:fldChar w:fldCharType="end"/>
      </w:r>
      <w:r w:rsidR="00855DC4" w:rsidRPr="00953E7F">
        <w:rPr>
          <w:rFonts w:asciiTheme="minorBidi" w:hAnsiTheme="minorBidi"/>
          <w:sz w:val="20"/>
          <w:szCs w:val="20"/>
        </w:rPr>
        <w:t>.</w:t>
      </w:r>
      <w:r w:rsidR="00953E7F">
        <w:rPr>
          <w:rFonts w:asciiTheme="minorBidi" w:hAnsiTheme="minorBidi"/>
          <w:sz w:val="20"/>
          <w:szCs w:val="20"/>
        </w:rPr>
        <w:t xml:space="preserve"> </w:t>
      </w:r>
      <w:r w:rsidR="002B3162" w:rsidRPr="00953E7F">
        <w:rPr>
          <w:rFonts w:asciiTheme="minorBidi" w:hAnsiTheme="minorBidi"/>
          <w:sz w:val="20"/>
          <w:szCs w:val="20"/>
        </w:rPr>
        <w:t>This study has several limitations that should be acknowledged. First, the cross-sectional design restricts the ability to establish causal relationships between knowledge, attitude, and practice of oral health among high school students. Second, the use of a non-probability convenience sampling method may introduce selection bias and limit the generalizability of the findings to the broader student population in Jalalabad. Additionally, although an equal number of students were selected from each school and grade level (10th, 11th, and 12th), this uniform distribution may not accurately reflect the actual population structure, potentially affecting the representativeness of the results. Furthermore, self-reported data may be influenced by social desirability bias, leading to over- or underestimation of students’ true knowledge, attitudes, and practices. These limitations should be considered when interpreting the findings and planning future research.</w:t>
      </w:r>
    </w:p>
    <w:p w14:paraId="5D1AB1E1" w14:textId="00E701C7" w:rsidR="00F6290C" w:rsidRPr="00953E7F" w:rsidRDefault="00953E7F" w:rsidP="00F6290C">
      <w:pPr>
        <w:spacing w:before="240" w:after="0" w:line="276" w:lineRule="auto"/>
        <w:jc w:val="lowKashida"/>
        <w:rPr>
          <w:rFonts w:asciiTheme="minorBidi" w:hAnsiTheme="minorBidi"/>
          <w:b/>
          <w:bCs/>
          <w:sz w:val="22"/>
          <w:szCs w:val="22"/>
          <w:rtl/>
        </w:rPr>
      </w:pPr>
      <w:r w:rsidRPr="00953E7F">
        <w:rPr>
          <w:rFonts w:asciiTheme="minorBidi" w:hAnsiTheme="minorBidi"/>
          <w:b/>
          <w:bCs/>
          <w:sz w:val="22"/>
          <w:szCs w:val="22"/>
        </w:rPr>
        <w:t>CONCLUSION</w:t>
      </w:r>
    </w:p>
    <w:p w14:paraId="4CCC9E24" w14:textId="5B379D68" w:rsidR="00E01BB2" w:rsidRPr="00953E7F" w:rsidRDefault="00F6290C" w:rsidP="00E01BB2">
      <w:pPr>
        <w:jc w:val="lowKashida"/>
        <w:rPr>
          <w:rFonts w:asciiTheme="minorBidi" w:hAnsiTheme="minorBidi"/>
          <w:sz w:val="20"/>
          <w:szCs w:val="20"/>
          <w:lang w:bidi="ps-AF"/>
        </w:rPr>
      </w:pPr>
      <w:r w:rsidRPr="00953E7F">
        <w:rPr>
          <w:rFonts w:asciiTheme="minorBidi" w:hAnsiTheme="minorBidi"/>
          <w:sz w:val="20"/>
          <w:szCs w:val="20"/>
          <w:lang w:bidi="ps-AF"/>
        </w:rPr>
        <w:t>This cross-sectional study explored the knowledge, attitude, and practice related to oral health among high school students in Jalalabad city. The findings indicated that most students possessed a satisfactory level of knowledge, with a considerable proportion demonstrating strong understanding, though a small segment still lacked essential awareness. In terms of attitude, the majority recognized the importance of regular dental visits; however, many reported seeking dental care primarily in response to pain rather than as a preventive measure. Common barriers to dental visits included financial constraints and fear related to dental procedures. In practice, the use of toothbrush and toothpaste was widespread, and a significant number of students reported engaging in recommended oral hygiene behaviors, such as brushing multiple times daily and for adequate durations. Parental involvement was also noted as an important factor in encouraging and monitoring oral health habits. Overall, the results suggest a generally positive trend in oral health awareness and behaviors, while also emphasizing the need for targeted educational interventions to address remaining gaps and barriers.</w:t>
      </w:r>
    </w:p>
    <w:p w14:paraId="3C43B747" w14:textId="77777777" w:rsidR="0044490C" w:rsidRDefault="0044490C" w:rsidP="002B3656">
      <w:pPr>
        <w:spacing w:before="240" w:after="0" w:line="276" w:lineRule="auto"/>
        <w:jc w:val="lowKashida"/>
        <w:rPr>
          <w:rFonts w:asciiTheme="minorBidi" w:hAnsiTheme="minorBidi"/>
          <w:b/>
          <w:bCs/>
          <w:sz w:val="22"/>
          <w:szCs w:val="22"/>
        </w:rPr>
      </w:pPr>
    </w:p>
    <w:p w14:paraId="47DD2C63" w14:textId="77777777" w:rsidR="0044490C" w:rsidRDefault="0044490C" w:rsidP="002B3656">
      <w:pPr>
        <w:spacing w:before="240" w:after="0" w:line="276" w:lineRule="auto"/>
        <w:jc w:val="lowKashida"/>
        <w:rPr>
          <w:rFonts w:asciiTheme="minorBidi" w:hAnsiTheme="minorBidi"/>
          <w:b/>
          <w:bCs/>
          <w:sz w:val="22"/>
          <w:szCs w:val="22"/>
        </w:rPr>
      </w:pPr>
    </w:p>
    <w:p w14:paraId="17C2AD41" w14:textId="77777777" w:rsidR="0044490C" w:rsidRDefault="0044490C" w:rsidP="002B3656">
      <w:pPr>
        <w:spacing w:before="240" w:after="0" w:line="276" w:lineRule="auto"/>
        <w:jc w:val="lowKashida"/>
        <w:rPr>
          <w:rFonts w:asciiTheme="minorBidi" w:hAnsiTheme="minorBidi"/>
          <w:b/>
          <w:bCs/>
          <w:sz w:val="22"/>
          <w:szCs w:val="22"/>
        </w:rPr>
      </w:pPr>
    </w:p>
    <w:p w14:paraId="3F8F77FD" w14:textId="77777777" w:rsidR="0044490C" w:rsidRDefault="0044490C" w:rsidP="002B3656">
      <w:pPr>
        <w:spacing w:before="240" w:after="0" w:line="276" w:lineRule="auto"/>
        <w:jc w:val="lowKashida"/>
        <w:rPr>
          <w:rFonts w:asciiTheme="minorBidi" w:hAnsiTheme="minorBidi"/>
          <w:b/>
          <w:bCs/>
          <w:sz w:val="22"/>
          <w:szCs w:val="22"/>
        </w:rPr>
      </w:pPr>
    </w:p>
    <w:p w14:paraId="18F1C1E8" w14:textId="227D64C4" w:rsidR="00C629EC" w:rsidRPr="00E01BB2" w:rsidRDefault="00AF66D8" w:rsidP="002B3656">
      <w:pPr>
        <w:spacing w:before="240" w:after="0" w:line="276" w:lineRule="auto"/>
        <w:jc w:val="lowKashida"/>
        <w:rPr>
          <w:rFonts w:asciiTheme="minorBidi" w:hAnsiTheme="minorBidi"/>
          <w:b/>
          <w:bCs/>
          <w:sz w:val="22"/>
          <w:szCs w:val="22"/>
        </w:rPr>
      </w:pPr>
      <w:r w:rsidRPr="00E01BB2">
        <w:rPr>
          <w:rFonts w:asciiTheme="minorBidi" w:hAnsiTheme="minorBidi"/>
          <w:b/>
          <w:bCs/>
          <w:sz w:val="22"/>
          <w:szCs w:val="22"/>
        </w:rPr>
        <w:lastRenderedPageBreak/>
        <w:t>REFERENCES</w:t>
      </w:r>
    </w:p>
    <w:p w14:paraId="55022677" w14:textId="77777777" w:rsidR="00855DC4" w:rsidRPr="00855DC4" w:rsidRDefault="00C629EC" w:rsidP="00855DC4">
      <w:pPr>
        <w:pStyle w:val="EndNoteBibliography"/>
        <w:spacing w:after="0"/>
        <w:ind w:left="720" w:hanging="720"/>
      </w:pPr>
      <w:r w:rsidRPr="002B3656">
        <w:rPr>
          <w:rFonts w:asciiTheme="minorBidi" w:hAnsiTheme="minorBidi"/>
          <w:sz w:val="18"/>
          <w:szCs w:val="18"/>
        </w:rPr>
        <w:fldChar w:fldCharType="begin"/>
      </w:r>
      <w:r w:rsidRPr="002B3656">
        <w:rPr>
          <w:rFonts w:asciiTheme="minorBidi" w:hAnsiTheme="minorBidi"/>
          <w:sz w:val="18"/>
          <w:szCs w:val="18"/>
        </w:rPr>
        <w:instrText xml:space="preserve"> ADDIN EN.REFLIST </w:instrText>
      </w:r>
      <w:r w:rsidRPr="002B3656">
        <w:rPr>
          <w:rFonts w:asciiTheme="minorBidi" w:hAnsiTheme="minorBidi"/>
          <w:sz w:val="18"/>
          <w:szCs w:val="18"/>
        </w:rPr>
        <w:fldChar w:fldCharType="separate"/>
      </w:r>
      <w:r w:rsidR="00855DC4" w:rsidRPr="00855DC4">
        <w:t>Al</w:t>
      </w:r>
      <w:r w:rsidR="00855DC4" w:rsidRPr="00855DC4">
        <w:rPr>
          <w:rFonts w:ascii="Cambria Math" w:hAnsi="Cambria Math" w:cs="Cambria Math"/>
        </w:rPr>
        <w:t>‐</w:t>
      </w:r>
      <w:r w:rsidR="00855DC4" w:rsidRPr="00855DC4">
        <w:t>Omiri, M. K., Al</w:t>
      </w:r>
      <w:r w:rsidR="00855DC4" w:rsidRPr="00855DC4">
        <w:rPr>
          <w:rFonts w:ascii="Cambria Math" w:hAnsi="Cambria Math" w:cs="Cambria Math"/>
        </w:rPr>
        <w:t>‐</w:t>
      </w:r>
      <w:r w:rsidR="00855DC4" w:rsidRPr="00855DC4">
        <w:t xml:space="preserve">Wahadni, A. M., &amp; Saeed, K. N. (2006). Oral health attitudes, knowledge, and behavior among school children in North Jordan. </w:t>
      </w:r>
      <w:r w:rsidR="00855DC4" w:rsidRPr="00855DC4">
        <w:rPr>
          <w:i/>
        </w:rPr>
        <w:t>Journal of dental education</w:t>
      </w:r>
      <w:r w:rsidR="00855DC4" w:rsidRPr="00855DC4">
        <w:t>,</w:t>
      </w:r>
      <w:r w:rsidR="00855DC4" w:rsidRPr="00855DC4">
        <w:rPr>
          <w:i/>
        </w:rPr>
        <w:t xml:space="preserve"> 70</w:t>
      </w:r>
      <w:r w:rsidR="00855DC4" w:rsidRPr="00855DC4">
        <w:t xml:space="preserve">(2), 179-187. </w:t>
      </w:r>
    </w:p>
    <w:p w14:paraId="3DAABC00" w14:textId="77777777" w:rsidR="00855DC4" w:rsidRPr="00855DC4" w:rsidRDefault="00855DC4" w:rsidP="00855DC4">
      <w:pPr>
        <w:pStyle w:val="EndNoteBibliography"/>
        <w:spacing w:after="0"/>
        <w:ind w:left="720" w:hanging="720"/>
      </w:pPr>
      <w:r w:rsidRPr="00855DC4">
        <w:t xml:space="preserve">ALBashtawy, M. (2012). Oral health patterns among schoolchildren in Mafraq Governorate, Jordan. </w:t>
      </w:r>
      <w:r w:rsidRPr="00855DC4">
        <w:rPr>
          <w:i/>
        </w:rPr>
        <w:t>The Journal of School Nursing</w:t>
      </w:r>
      <w:r w:rsidRPr="00855DC4">
        <w:t>,</w:t>
      </w:r>
      <w:r w:rsidRPr="00855DC4">
        <w:rPr>
          <w:i/>
        </w:rPr>
        <w:t xml:space="preserve"> 28</w:t>
      </w:r>
      <w:r w:rsidRPr="00855DC4">
        <w:t xml:space="preserve">(2), 124-129. </w:t>
      </w:r>
    </w:p>
    <w:p w14:paraId="1CC0CA8D" w14:textId="77777777" w:rsidR="00855DC4" w:rsidRPr="00855DC4" w:rsidRDefault="00855DC4" w:rsidP="00855DC4">
      <w:pPr>
        <w:pStyle w:val="EndNoteBibliography"/>
        <w:spacing w:after="0"/>
        <w:ind w:left="720" w:hanging="720"/>
      </w:pPr>
      <w:r w:rsidRPr="00855DC4">
        <w:t xml:space="preserve">Ehsan, H., Ahmadzai, N., Orfani, Z., Rezayee, B. M., Wally, M., &amp; Daftani, S. (2023). Oral health knowledge, attitude, and behavior among health professions’ students at Kabul University of medical sciences. </w:t>
      </w:r>
      <w:r w:rsidRPr="00855DC4">
        <w:rPr>
          <w:i/>
        </w:rPr>
        <w:t>Clinical, Cosmetic and Investigational Dentistry</w:t>
      </w:r>
      <w:r w:rsidRPr="00855DC4">
        <w:t xml:space="preserve">, 349-358. </w:t>
      </w:r>
    </w:p>
    <w:p w14:paraId="4054E1BF" w14:textId="77777777" w:rsidR="00855DC4" w:rsidRPr="00855DC4" w:rsidRDefault="00855DC4" w:rsidP="00855DC4">
      <w:pPr>
        <w:pStyle w:val="EndNoteBibliography"/>
        <w:spacing w:after="0"/>
        <w:ind w:left="720" w:hanging="720"/>
      </w:pPr>
      <w:r w:rsidRPr="00855DC4">
        <w:t xml:space="preserve">Hashimi, S. Z., Kamran, A., Niazi, S., &amp; Rahemi, M. H. (2024). A Descriptive Study of Depressive Disorders among Medical Students in Jalalabad City. </w:t>
      </w:r>
      <w:r w:rsidRPr="00855DC4">
        <w:rPr>
          <w:i/>
        </w:rPr>
        <w:t>Nangarhar University International Journal of Biosciences</w:t>
      </w:r>
      <w:r w:rsidRPr="00855DC4">
        <w:t>,</w:t>
      </w:r>
      <w:r w:rsidRPr="00855DC4">
        <w:rPr>
          <w:i/>
        </w:rPr>
        <w:t xml:space="preserve"> 3</w:t>
      </w:r>
      <w:r w:rsidRPr="00855DC4">
        <w:t xml:space="preserve">(01), 33-44. </w:t>
      </w:r>
    </w:p>
    <w:p w14:paraId="7DDCFE02" w14:textId="122696AD" w:rsidR="00855DC4" w:rsidRPr="00855DC4" w:rsidRDefault="00855DC4" w:rsidP="00855DC4">
      <w:pPr>
        <w:pStyle w:val="EndNoteBibliography"/>
        <w:spacing w:after="0"/>
        <w:ind w:left="720" w:hanging="720"/>
      </w:pPr>
      <w:r w:rsidRPr="00855DC4">
        <w:t xml:space="preserve">Hwwidi, M. S., Swaid, A. I., Kallel, I., Alrashah, S. M., &amp; Benzahya, M. M. (2025). Evaluation Of Attitude, Knowledge And Practice Towards Oral Hygiene Among School Children. </w:t>
      </w:r>
      <w:r w:rsidR="00C556E7" w:rsidRPr="00C556E7">
        <w:rPr>
          <w:i/>
        </w:rPr>
        <w:t>Afro-Asian Journal of Scientific Research (AAJSR),</w:t>
      </w:r>
      <w:r w:rsidRPr="00855DC4">
        <w:t xml:space="preserve">151-158. </w:t>
      </w:r>
    </w:p>
    <w:p w14:paraId="273EB469" w14:textId="77777777" w:rsidR="00855DC4" w:rsidRPr="00855DC4" w:rsidRDefault="00855DC4" w:rsidP="00855DC4">
      <w:pPr>
        <w:pStyle w:val="EndNoteBibliography"/>
        <w:spacing w:after="0"/>
        <w:ind w:left="720" w:hanging="720"/>
      </w:pPr>
      <w:r w:rsidRPr="00855DC4">
        <w:t xml:space="preserve">Igbinedion, H. U., Akaji, E. A., Chukwuneke, F. N., Ezeoke, U. E., &amp; Igbinedion, E. B. (2023). Oral Health Knowledge Attitude and Behaviour among Secondary School Children–a quasi-experimental study.: Oral Health KAB of Secondary school Students. </w:t>
      </w:r>
      <w:r w:rsidRPr="00855DC4">
        <w:rPr>
          <w:i/>
        </w:rPr>
        <w:t>Nigerian Journal of Dental Research</w:t>
      </w:r>
      <w:r w:rsidRPr="00855DC4">
        <w:t>,</w:t>
      </w:r>
      <w:r w:rsidRPr="00855DC4">
        <w:rPr>
          <w:i/>
        </w:rPr>
        <w:t xml:space="preserve"> 8</w:t>
      </w:r>
      <w:r w:rsidRPr="00855DC4">
        <w:t xml:space="preserve">(1), 20-29. </w:t>
      </w:r>
    </w:p>
    <w:p w14:paraId="3A4D2350" w14:textId="77777777" w:rsidR="00855DC4" w:rsidRPr="00855DC4" w:rsidRDefault="00855DC4" w:rsidP="00855DC4">
      <w:pPr>
        <w:pStyle w:val="EndNoteBibliography"/>
        <w:spacing w:after="0"/>
        <w:ind w:left="720" w:hanging="720"/>
      </w:pPr>
      <w:r w:rsidRPr="00855DC4">
        <w:t>Jain, N., Dutt, U., Radenkov, I., &amp; Jain, S. (2024). WHO's global oral health status report 2022: Actions, discussion and implementation. In (Vol. 30, pp. 73-79): Wiley Online Library.</w:t>
      </w:r>
    </w:p>
    <w:p w14:paraId="7A4F3DDA" w14:textId="7653601F" w:rsidR="00855DC4" w:rsidRPr="00855DC4" w:rsidRDefault="00855DC4" w:rsidP="00855DC4">
      <w:pPr>
        <w:pStyle w:val="EndNoteBibliography"/>
        <w:spacing w:after="0"/>
        <w:ind w:left="720" w:hanging="720"/>
      </w:pPr>
      <w:r w:rsidRPr="00855DC4">
        <w:t xml:space="preserve">Khamaiseh, A., &amp; Albashtawy, M. (2013). Oral health knowledge, attitudes, and practices among secondary school students. </w:t>
      </w:r>
      <w:r w:rsidRPr="00855DC4">
        <w:rPr>
          <w:i/>
        </w:rPr>
        <w:t>British Journal of School Nursing</w:t>
      </w:r>
      <w:r w:rsidRPr="00855DC4">
        <w:t>,</w:t>
      </w:r>
      <w:r w:rsidRPr="00855DC4">
        <w:rPr>
          <w:i/>
        </w:rPr>
        <w:t xml:space="preserve"> 8</w:t>
      </w:r>
      <w:r w:rsidRPr="00855DC4">
        <w:t xml:space="preserve">, 194-199. </w:t>
      </w:r>
      <w:hyperlink r:id="rId9" w:history="1">
        <w:r w:rsidRPr="00855DC4">
          <w:rPr>
            <w:rStyle w:val="Hyperlink"/>
          </w:rPr>
          <w:t>https://doi.org/10.12968/bjsn.2013.8.4.194</w:t>
        </w:r>
      </w:hyperlink>
      <w:r w:rsidRPr="00855DC4">
        <w:t xml:space="preserve"> </w:t>
      </w:r>
    </w:p>
    <w:p w14:paraId="45B5ECEA" w14:textId="0FAB71BB" w:rsidR="00855DC4" w:rsidRPr="00855DC4" w:rsidRDefault="00855DC4" w:rsidP="00855DC4">
      <w:pPr>
        <w:pStyle w:val="EndNoteBibliography"/>
        <w:spacing w:after="0"/>
        <w:ind w:left="720" w:hanging="720"/>
      </w:pPr>
      <w:r w:rsidRPr="00855DC4">
        <w:t xml:space="preserve">Mahore, R., Gupta, V., &amp; Panika, R. (2021). Assessment of Knowledge, Attitude, and Practices Regarding Oral and Dental Hygiene among Dental Outpatients in Central India: A Cross-sectional Study. </w:t>
      </w:r>
      <w:r w:rsidRPr="00855DC4">
        <w:rPr>
          <w:i/>
        </w:rPr>
        <w:t>Journal of the Scientific Society</w:t>
      </w:r>
      <w:r w:rsidRPr="00855DC4">
        <w:t>,</w:t>
      </w:r>
      <w:r w:rsidRPr="00855DC4">
        <w:rPr>
          <w:i/>
        </w:rPr>
        <w:t xml:space="preserve"> 48</w:t>
      </w:r>
      <w:r w:rsidRPr="00855DC4">
        <w:t xml:space="preserve">, 73. </w:t>
      </w:r>
      <w:hyperlink r:id="rId10" w:history="1">
        <w:r w:rsidRPr="00855DC4">
          <w:rPr>
            <w:rStyle w:val="Hyperlink"/>
          </w:rPr>
          <w:t>https://doi.org/10.4103/jss.jss_101_20</w:t>
        </w:r>
      </w:hyperlink>
      <w:r w:rsidRPr="00855DC4">
        <w:t xml:space="preserve"> </w:t>
      </w:r>
    </w:p>
    <w:p w14:paraId="70EB2AF8" w14:textId="77777777" w:rsidR="00855DC4" w:rsidRPr="00855DC4" w:rsidRDefault="00855DC4" w:rsidP="00855DC4">
      <w:pPr>
        <w:pStyle w:val="EndNoteBibliography"/>
        <w:spacing w:after="0"/>
        <w:ind w:left="720" w:hanging="720"/>
      </w:pPr>
      <w:r w:rsidRPr="00855DC4">
        <w:t xml:space="preserve">Mukanga, B., Sakala, K., Nyirenda, T., Daka, V., &amp; Mulenga, D. (2022). Oral Health knowledge, attitude and practices among adolescents in Choma District of Zambia. </w:t>
      </w:r>
      <w:r w:rsidRPr="00855DC4">
        <w:rPr>
          <w:i/>
        </w:rPr>
        <w:t>Medical Journal of Zambia</w:t>
      </w:r>
      <w:r w:rsidRPr="00855DC4">
        <w:t>,</w:t>
      </w:r>
      <w:r w:rsidRPr="00855DC4">
        <w:rPr>
          <w:i/>
        </w:rPr>
        <w:t xml:space="preserve"> 49</w:t>
      </w:r>
      <w:r w:rsidRPr="00855DC4">
        <w:t xml:space="preserve">(2), 118-127. </w:t>
      </w:r>
    </w:p>
    <w:p w14:paraId="28335ED6" w14:textId="77777777" w:rsidR="00855DC4" w:rsidRPr="00855DC4" w:rsidRDefault="00855DC4" w:rsidP="00855DC4">
      <w:pPr>
        <w:pStyle w:val="EndNoteBibliography"/>
        <w:spacing w:after="0"/>
        <w:ind w:left="720" w:hanging="720"/>
      </w:pPr>
      <w:r w:rsidRPr="00855DC4">
        <w:t xml:space="preserve">Okello, H., &amp; Kalungi, V. C. (2022). Knowledge, Attitude and Practices towards Oral Hygiene among Adults (18-45yrs) in Lira Regional Referral Hospital, Lira City. A Cross-sectional Study. </w:t>
      </w:r>
      <w:r w:rsidRPr="00855DC4">
        <w:rPr>
          <w:i/>
        </w:rPr>
        <w:t>Student's Journal of Health Research Africa</w:t>
      </w:r>
      <w:r w:rsidRPr="00855DC4">
        <w:t>,</w:t>
      </w:r>
      <w:r w:rsidRPr="00855DC4">
        <w:rPr>
          <w:i/>
        </w:rPr>
        <w:t xml:space="preserve"> 3</w:t>
      </w:r>
      <w:r w:rsidRPr="00855DC4">
        <w:t xml:space="preserve">(6), 15-15. </w:t>
      </w:r>
    </w:p>
    <w:p w14:paraId="7BDE6791" w14:textId="77777777" w:rsidR="00855DC4" w:rsidRPr="00855DC4" w:rsidRDefault="00855DC4" w:rsidP="00855DC4">
      <w:pPr>
        <w:pStyle w:val="EndNoteBibliography"/>
        <w:spacing w:after="0"/>
        <w:ind w:left="720" w:hanging="720"/>
      </w:pPr>
      <w:r w:rsidRPr="00855DC4">
        <w:t xml:space="preserve">Organization, W. H. (2022a). </w:t>
      </w:r>
      <w:r w:rsidRPr="00855DC4">
        <w:rPr>
          <w:i/>
        </w:rPr>
        <w:t>Global oral health status report: towards universal health coverage for oral health by 2030</w:t>
      </w:r>
      <w:r w:rsidRPr="00855DC4">
        <w:t xml:space="preserve">. World Health Organization. </w:t>
      </w:r>
    </w:p>
    <w:p w14:paraId="6A4BA37B" w14:textId="77777777" w:rsidR="00855DC4" w:rsidRPr="00855DC4" w:rsidRDefault="00855DC4" w:rsidP="00855DC4">
      <w:pPr>
        <w:pStyle w:val="EndNoteBibliography"/>
        <w:spacing w:after="0"/>
        <w:ind w:left="720" w:hanging="720"/>
      </w:pPr>
      <w:r w:rsidRPr="00855DC4">
        <w:t xml:space="preserve">Organization, W. H. (2022b). </w:t>
      </w:r>
      <w:r w:rsidRPr="00855DC4">
        <w:rPr>
          <w:i/>
        </w:rPr>
        <w:t>Global oral health status report: Towards universal health coverage for oral health by 2030. Executive Summary</w:t>
      </w:r>
      <w:r w:rsidRPr="00855DC4">
        <w:t xml:space="preserve">. World Health Organization. </w:t>
      </w:r>
    </w:p>
    <w:p w14:paraId="65475668" w14:textId="77777777" w:rsidR="00855DC4" w:rsidRPr="00855DC4" w:rsidRDefault="00855DC4" w:rsidP="00855DC4">
      <w:pPr>
        <w:pStyle w:val="EndNoteBibliography"/>
        <w:spacing w:after="0"/>
        <w:ind w:left="720" w:hanging="720"/>
      </w:pPr>
      <w:r w:rsidRPr="00855DC4">
        <w:t xml:space="preserve">Petersen, P. E., Aleksejuniene, J., Christensen, L. B., Eriksen, H. M., &amp; Kalo, I. (2000). Oral health behavior and attitudes of adults in Lithuania. </w:t>
      </w:r>
      <w:r w:rsidRPr="00855DC4">
        <w:rPr>
          <w:i/>
        </w:rPr>
        <w:t>Acta Odontologica Scandinavica</w:t>
      </w:r>
      <w:r w:rsidRPr="00855DC4">
        <w:t>,</w:t>
      </w:r>
      <w:r w:rsidRPr="00855DC4">
        <w:rPr>
          <w:i/>
        </w:rPr>
        <w:t xml:space="preserve"> 58</w:t>
      </w:r>
      <w:r w:rsidRPr="00855DC4">
        <w:t xml:space="preserve">(6), 243-248. </w:t>
      </w:r>
    </w:p>
    <w:p w14:paraId="5FF7ECC1" w14:textId="77777777" w:rsidR="00855DC4" w:rsidRPr="00855DC4" w:rsidRDefault="00855DC4" w:rsidP="00855DC4">
      <w:pPr>
        <w:pStyle w:val="EndNoteBibliography"/>
        <w:spacing w:after="0"/>
        <w:ind w:left="720" w:hanging="720"/>
      </w:pPr>
      <w:r w:rsidRPr="00855DC4">
        <w:t xml:space="preserve">Pourhoseingholi, M. A., Vahedi, M., &amp; Rahimzadeh, M. (2013). Sample size calculation in medical studies. </w:t>
      </w:r>
      <w:r w:rsidRPr="00855DC4">
        <w:rPr>
          <w:i/>
        </w:rPr>
        <w:t>Gastroenterology and Hepatology from bed to bench</w:t>
      </w:r>
      <w:r w:rsidRPr="00855DC4">
        <w:t>,</w:t>
      </w:r>
      <w:r w:rsidRPr="00855DC4">
        <w:rPr>
          <w:i/>
        </w:rPr>
        <w:t xml:space="preserve"> 6</w:t>
      </w:r>
      <w:r w:rsidRPr="00855DC4">
        <w:t xml:space="preserve">(1), 14. </w:t>
      </w:r>
    </w:p>
    <w:p w14:paraId="17791302" w14:textId="77777777" w:rsidR="00855DC4" w:rsidRPr="00855DC4" w:rsidRDefault="00855DC4" w:rsidP="00855DC4">
      <w:pPr>
        <w:pStyle w:val="EndNoteBibliography"/>
        <w:spacing w:after="0"/>
        <w:ind w:left="720" w:hanging="720"/>
      </w:pPr>
      <w:r w:rsidRPr="00855DC4">
        <w:lastRenderedPageBreak/>
        <w:t xml:space="preserve">Rajbhandari, A., &amp; Aryal, N. (2024). Assessment of knowledge, attitude and practice (KAP) on oral health among secondary-level students: a cross-sectional study in Kathmandu, Nepal. </w:t>
      </w:r>
      <w:r w:rsidRPr="00855DC4">
        <w:rPr>
          <w:i/>
        </w:rPr>
        <w:t>BMJ Public Health</w:t>
      </w:r>
      <w:r w:rsidRPr="00855DC4">
        <w:t>,</w:t>
      </w:r>
      <w:r w:rsidRPr="00855DC4">
        <w:rPr>
          <w:i/>
        </w:rPr>
        <w:t xml:space="preserve"> 2</w:t>
      </w:r>
      <w:r w:rsidRPr="00855DC4">
        <w:t xml:space="preserve">(1). </w:t>
      </w:r>
    </w:p>
    <w:p w14:paraId="7DE85365" w14:textId="77777777" w:rsidR="00855DC4" w:rsidRPr="00855DC4" w:rsidRDefault="00855DC4" w:rsidP="00855DC4">
      <w:pPr>
        <w:pStyle w:val="EndNoteBibliography"/>
        <w:ind w:left="720" w:hanging="720"/>
      </w:pPr>
      <w:r w:rsidRPr="00855DC4">
        <w:t xml:space="preserve">Stenberg, P., Håkansson, J., &amp; Åkerman, S. (2000). Attitudes to dental health and care among 20 to 25-year-old Swedes: results from a questionnaire. </w:t>
      </w:r>
      <w:r w:rsidRPr="00855DC4">
        <w:rPr>
          <w:i/>
        </w:rPr>
        <w:t>Acta Odontologica Scandinavica</w:t>
      </w:r>
      <w:r w:rsidRPr="00855DC4">
        <w:t>,</w:t>
      </w:r>
      <w:r w:rsidRPr="00855DC4">
        <w:rPr>
          <w:i/>
        </w:rPr>
        <w:t xml:space="preserve"> 58</w:t>
      </w:r>
      <w:r w:rsidRPr="00855DC4">
        <w:t xml:space="preserve">(3), 102-106. </w:t>
      </w:r>
    </w:p>
    <w:p w14:paraId="58174CC5" w14:textId="5DE6E4E7" w:rsidR="007F0F5F" w:rsidRPr="002B3656" w:rsidRDefault="00C629EC" w:rsidP="00855DC4">
      <w:pPr>
        <w:spacing w:after="0" w:line="276" w:lineRule="auto"/>
        <w:rPr>
          <w:rFonts w:asciiTheme="minorBidi" w:hAnsiTheme="minorBidi"/>
          <w:sz w:val="18"/>
          <w:szCs w:val="18"/>
        </w:rPr>
      </w:pPr>
      <w:r w:rsidRPr="002B3656">
        <w:rPr>
          <w:rFonts w:asciiTheme="minorBidi" w:hAnsiTheme="minorBidi"/>
          <w:sz w:val="18"/>
          <w:szCs w:val="18"/>
        </w:rPr>
        <w:fldChar w:fldCharType="end"/>
      </w:r>
    </w:p>
    <w:sectPr w:rsidR="007F0F5F" w:rsidRPr="002B3656" w:rsidSect="004449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8F842" w14:textId="77777777" w:rsidR="007C5BB1" w:rsidRDefault="007C5BB1" w:rsidP="00772E99">
      <w:pPr>
        <w:spacing w:after="0" w:line="240" w:lineRule="auto"/>
      </w:pPr>
      <w:r>
        <w:separator/>
      </w:r>
    </w:p>
  </w:endnote>
  <w:endnote w:type="continuationSeparator" w:id="0">
    <w:p w14:paraId="4DC77D62" w14:textId="77777777" w:rsidR="007C5BB1" w:rsidRDefault="007C5BB1" w:rsidP="0077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D6C9F" w14:textId="77777777" w:rsidR="00772E99" w:rsidRDefault="00772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2F59" w14:textId="77777777" w:rsidR="00772E99" w:rsidRDefault="00772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1726" w14:textId="77777777" w:rsidR="00772E99" w:rsidRDefault="00772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4A70" w14:textId="77777777" w:rsidR="007C5BB1" w:rsidRDefault="007C5BB1" w:rsidP="00772E99">
      <w:pPr>
        <w:spacing w:after="0" w:line="240" w:lineRule="auto"/>
      </w:pPr>
      <w:r>
        <w:separator/>
      </w:r>
    </w:p>
  </w:footnote>
  <w:footnote w:type="continuationSeparator" w:id="0">
    <w:p w14:paraId="1D41D557" w14:textId="77777777" w:rsidR="007C5BB1" w:rsidRDefault="007C5BB1" w:rsidP="0077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1F9" w14:textId="0898E2B1" w:rsidR="00772E99" w:rsidRDefault="00772E99">
    <w:pPr>
      <w:pStyle w:val="Header"/>
    </w:pPr>
    <w:r>
      <w:rPr>
        <w:noProof/>
      </w:rPr>
      <w:pict w14:anchorId="44839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0176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8CB3" w14:textId="2A1BABB6" w:rsidR="00772E99" w:rsidRDefault="00772E99">
    <w:pPr>
      <w:pStyle w:val="Header"/>
    </w:pPr>
    <w:r>
      <w:rPr>
        <w:noProof/>
      </w:rPr>
      <w:pict w14:anchorId="372BE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0176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2207" w14:textId="10FC98DC" w:rsidR="00772E99" w:rsidRDefault="00772E99">
    <w:pPr>
      <w:pStyle w:val="Header"/>
    </w:pPr>
    <w:r>
      <w:rPr>
        <w:noProof/>
      </w:rPr>
      <w:pict w14:anchorId="2DA0E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0176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5dp5wzi5axzte2ed7p9z9bxe0twptxdafr&quot;&gt;Knowledge, attitude and practice towards oral health among high school students in jalalabad city&lt;record-ids&gt;&lt;item&gt;8&lt;/item&gt;&lt;item&gt;10&lt;/item&gt;&lt;item&gt;13&lt;/item&gt;&lt;item&gt;14&lt;/item&gt;&lt;item&gt;15&lt;/item&gt;&lt;item&gt;16&lt;/item&gt;&lt;item&gt;17&lt;/item&gt;&lt;item&gt;18&lt;/item&gt;&lt;item&gt;19&lt;/item&gt;&lt;item&gt;23&lt;/item&gt;&lt;item&gt;25&lt;/item&gt;&lt;item&gt;28&lt;/item&gt;&lt;item&gt;29&lt;/item&gt;&lt;item&gt;30&lt;/item&gt;&lt;item&gt;31&lt;/item&gt;&lt;item&gt;32&lt;/item&gt;&lt;/record-ids&gt;&lt;/item&gt;&lt;/Libraries&gt;"/>
  </w:docVars>
  <w:rsids>
    <w:rsidRoot w:val="00305367"/>
    <w:rsid w:val="00036D88"/>
    <w:rsid w:val="00042AC0"/>
    <w:rsid w:val="0008624C"/>
    <w:rsid w:val="00092B69"/>
    <w:rsid w:val="000943BB"/>
    <w:rsid w:val="000973B9"/>
    <w:rsid w:val="000D534D"/>
    <w:rsid w:val="000E52CD"/>
    <w:rsid w:val="000E58AF"/>
    <w:rsid w:val="001009BB"/>
    <w:rsid w:val="001009EF"/>
    <w:rsid w:val="00127586"/>
    <w:rsid w:val="00141485"/>
    <w:rsid w:val="0016367C"/>
    <w:rsid w:val="001B22E1"/>
    <w:rsid w:val="001E53E6"/>
    <w:rsid w:val="001F6A30"/>
    <w:rsid w:val="00261705"/>
    <w:rsid w:val="00281E43"/>
    <w:rsid w:val="002B3162"/>
    <w:rsid w:val="002B3656"/>
    <w:rsid w:val="00305367"/>
    <w:rsid w:val="00311632"/>
    <w:rsid w:val="00320206"/>
    <w:rsid w:val="00325AB4"/>
    <w:rsid w:val="00383129"/>
    <w:rsid w:val="003E679C"/>
    <w:rsid w:val="0040074F"/>
    <w:rsid w:val="0044490C"/>
    <w:rsid w:val="004814F0"/>
    <w:rsid w:val="004B222C"/>
    <w:rsid w:val="004D41E2"/>
    <w:rsid w:val="004F44A4"/>
    <w:rsid w:val="00504003"/>
    <w:rsid w:val="00515A9E"/>
    <w:rsid w:val="00516445"/>
    <w:rsid w:val="00533FEB"/>
    <w:rsid w:val="00537BB3"/>
    <w:rsid w:val="005631D6"/>
    <w:rsid w:val="005A508C"/>
    <w:rsid w:val="005B25A0"/>
    <w:rsid w:val="005B2F86"/>
    <w:rsid w:val="005F66DF"/>
    <w:rsid w:val="005F68ED"/>
    <w:rsid w:val="0061643F"/>
    <w:rsid w:val="00640758"/>
    <w:rsid w:val="006B6C91"/>
    <w:rsid w:val="006D7AC5"/>
    <w:rsid w:val="006E7785"/>
    <w:rsid w:val="0071399A"/>
    <w:rsid w:val="00725C44"/>
    <w:rsid w:val="00735B53"/>
    <w:rsid w:val="00766935"/>
    <w:rsid w:val="00772E99"/>
    <w:rsid w:val="00791640"/>
    <w:rsid w:val="007B6870"/>
    <w:rsid w:val="007C5BB1"/>
    <w:rsid w:val="007D2458"/>
    <w:rsid w:val="007F0F5F"/>
    <w:rsid w:val="008221AD"/>
    <w:rsid w:val="00855DC4"/>
    <w:rsid w:val="008607FE"/>
    <w:rsid w:val="00873F50"/>
    <w:rsid w:val="0087615B"/>
    <w:rsid w:val="008C6B13"/>
    <w:rsid w:val="008D53FA"/>
    <w:rsid w:val="009021BE"/>
    <w:rsid w:val="00906AC0"/>
    <w:rsid w:val="0093044F"/>
    <w:rsid w:val="00953E7F"/>
    <w:rsid w:val="00962664"/>
    <w:rsid w:val="00977931"/>
    <w:rsid w:val="009B2830"/>
    <w:rsid w:val="009D5225"/>
    <w:rsid w:val="00A01ECD"/>
    <w:rsid w:val="00A47123"/>
    <w:rsid w:val="00A57714"/>
    <w:rsid w:val="00A64D9F"/>
    <w:rsid w:val="00A9502B"/>
    <w:rsid w:val="00AB1C38"/>
    <w:rsid w:val="00AD2EBD"/>
    <w:rsid w:val="00AF66D8"/>
    <w:rsid w:val="00B11332"/>
    <w:rsid w:val="00B50525"/>
    <w:rsid w:val="00BB41E8"/>
    <w:rsid w:val="00BD52B0"/>
    <w:rsid w:val="00C228FB"/>
    <w:rsid w:val="00C259C9"/>
    <w:rsid w:val="00C556E7"/>
    <w:rsid w:val="00C57086"/>
    <w:rsid w:val="00C629EC"/>
    <w:rsid w:val="00CD2DDF"/>
    <w:rsid w:val="00D161B6"/>
    <w:rsid w:val="00D466BA"/>
    <w:rsid w:val="00D70530"/>
    <w:rsid w:val="00D96579"/>
    <w:rsid w:val="00DB445A"/>
    <w:rsid w:val="00DC75FC"/>
    <w:rsid w:val="00DD6771"/>
    <w:rsid w:val="00E01BB2"/>
    <w:rsid w:val="00E11FE4"/>
    <w:rsid w:val="00EB1E1C"/>
    <w:rsid w:val="00EC0C2E"/>
    <w:rsid w:val="00EC0D97"/>
    <w:rsid w:val="00EF1DD5"/>
    <w:rsid w:val="00F6290C"/>
    <w:rsid w:val="00FA3735"/>
    <w:rsid w:val="00FB021B"/>
    <w:rsid w:val="00FE3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838491"/>
  <w15:chartTrackingRefBased/>
  <w15:docId w15:val="{604D4AED-CABF-41DB-99E4-99EC2D94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367"/>
    <w:rPr>
      <w:rFonts w:eastAsiaTheme="majorEastAsia" w:cstheme="majorBidi"/>
      <w:color w:val="272727" w:themeColor="text1" w:themeTint="D8"/>
    </w:rPr>
  </w:style>
  <w:style w:type="paragraph" w:styleId="Title">
    <w:name w:val="Title"/>
    <w:basedOn w:val="Normal"/>
    <w:next w:val="Normal"/>
    <w:link w:val="TitleChar"/>
    <w:uiPriority w:val="10"/>
    <w:qFormat/>
    <w:rsid w:val="0030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367"/>
    <w:pPr>
      <w:spacing w:before="160"/>
      <w:jc w:val="center"/>
    </w:pPr>
    <w:rPr>
      <w:i/>
      <w:iCs/>
      <w:color w:val="404040" w:themeColor="text1" w:themeTint="BF"/>
    </w:rPr>
  </w:style>
  <w:style w:type="character" w:customStyle="1" w:styleId="QuoteChar">
    <w:name w:val="Quote Char"/>
    <w:basedOn w:val="DefaultParagraphFont"/>
    <w:link w:val="Quote"/>
    <w:uiPriority w:val="29"/>
    <w:rsid w:val="00305367"/>
    <w:rPr>
      <w:i/>
      <w:iCs/>
      <w:color w:val="404040" w:themeColor="text1" w:themeTint="BF"/>
    </w:rPr>
  </w:style>
  <w:style w:type="paragraph" w:styleId="ListParagraph">
    <w:name w:val="List Paragraph"/>
    <w:basedOn w:val="Normal"/>
    <w:uiPriority w:val="34"/>
    <w:qFormat/>
    <w:rsid w:val="00305367"/>
    <w:pPr>
      <w:ind w:left="720"/>
      <w:contextualSpacing/>
    </w:pPr>
  </w:style>
  <w:style w:type="character" w:styleId="IntenseEmphasis">
    <w:name w:val="Intense Emphasis"/>
    <w:basedOn w:val="DefaultParagraphFont"/>
    <w:uiPriority w:val="21"/>
    <w:qFormat/>
    <w:rsid w:val="00305367"/>
    <w:rPr>
      <w:i/>
      <w:iCs/>
      <w:color w:val="0F4761" w:themeColor="accent1" w:themeShade="BF"/>
    </w:rPr>
  </w:style>
  <w:style w:type="paragraph" w:styleId="IntenseQuote">
    <w:name w:val="Intense Quote"/>
    <w:basedOn w:val="Normal"/>
    <w:next w:val="Normal"/>
    <w:link w:val="IntenseQuoteChar"/>
    <w:uiPriority w:val="30"/>
    <w:qFormat/>
    <w:rsid w:val="0030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367"/>
    <w:rPr>
      <w:i/>
      <w:iCs/>
      <w:color w:val="0F4761" w:themeColor="accent1" w:themeShade="BF"/>
    </w:rPr>
  </w:style>
  <w:style w:type="character" w:styleId="IntenseReference">
    <w:name w:val="Intense Reference"/>
    <w:basedOn w:val="DefaultParagraphFont"/>
    <w:uiPriority w:val="32"/>
    <w:qFormat/>
    <w:rsid w:val="00305367"/>
    <w:rPr>
      <w:b/>
      <w:bCs/>
      <w:smallCaps/>
      <w:color w:val="0F4761" w:themeColor="accent1" w:themeShade="BF"/>
      <w:spacing w:val="5"/>
    </w:rPr>
  </w:style>
  <w:style w:type="character" w:styleId="Hyperlink">
    <w:name w:val="Hyperlink"/>
    <w:uiPriority w:val="99"/>
    <w:unhideWhenUsed/>
    <w:rsid w:val="00305367"/>
    <w:rPr>
      <w:color w:val="0563C1"/>
      <w:u w:val="single"/>
    </w:rPr>
  </w:style>
  <w:style w:type="character" w:styleId="UnresolvedMention">
    <w:name w:val="Unresolved Mention"/>
    <w:basedOn w:val="DefaultParagraphFont"/>
    <w:uiPriority w:val="99"/>
    <w:semiHidden/>
    <w:unhideWhenUsed/>
    <w:rsid w:val="007F0F5F"/>
    <w:rPr>
      <w:color w:val="605E5C"/>
      <w:shd w:val="clear" w:color="auto" w:fill="E1DFDD"/>
    </w:rPr>
  </w:style>
  <w:style w:type="paragraph" w:customStyle="1" w:styleId="EndNoteBibliographyTitle">
    <w:name w:val="EndNote Bibliography Title"/>
    <w:basedOn w:val="Normal"/>
    <w:link w:val="EndNoteBibliographyTitleChar"/>
    <w:rsid w:val="00C629EC"/>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C629EC"/>
    <w:rPr>
      <w:rFonts w:ascii="Aptos" w:hAnsi="Aptos"/>
      <w:noProof/>
    </w:rPr>
  </w:style>
  <w:style w:type="paragraph" w:customStyle="1" w:styleId="EndNoteBibliography">
    <w:name w:val="EndNote Bibliography"/>
    <w:basedOn w:val="Normal"/>
    <w:link w:val="EndNoteBibliographyChar"/>
    <w:rsid w:val="00C629EC"/>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C629EC"/>
    <w:rPr>
      <w:rFonts w:ascii="Aptos" w:hAnsi="Aptos"/>
      <w:noProof/>
    </w:rPr>
  </w:style>
  <w:style w:type="paragraph" w:styleId="NormalWeb">
    <w:name w:val="Normal (Web)"/>
    <w:basedOn w:val="Normal"/>
    <w:uiPriority w:val="99"/>
    <w:semiHidden/>
    <w:unhideWhenUsed/>
    <w:rsid w:val="00873F50"/>
    <w:rPr>
      <w:rFonts w:ascii="Times New Roman" w:hAnsi="Times New Roman" w:cs="Times New Roman"/>
    </w:rPr>
  </w:style>
  <w:style w:type="character" w:styleId="LineNumber">
    <w:name w:val="line number"/>
    <w:basedOn w:val="DefaultParagraphFont"/>
    <w:uiPriority w:val="99"/>
    <w:semiHidden/>
    <w:unhideWhenUsed/>
    <w:rsid w:val="00E01BB2"/>
  </w:style>
  <w:style w:type="paragraph" w:styleId="Header">
    <w:name w:val="header"/>
    <w:basedOn w:val="Normal"/>
    <w:link w:val="HeaderChar"/>
    <w:uiPriority w:val="99"/>
    <w:unhideWhenUsed/>
    <w:rsid w:val="00772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E99"/>
  </w:style>
  <w:style w:type="paragraph" w:styleId="Footer">
    <w:name w:val="footer"/>
    <w:basedOn w:val="Normal"/>
    <w:link w:val="FooterChar"/>
    <w:uiPriority w:val="99"/>
    <w:unhideWhenUsed/>
    <w:rsid w:val="00772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876">
      <w:bodyDiv w:val="1"/>
      <w:marLeft w:val="0"/>
      <w:marRight w:val="0"/>
      <w:marTop w:val="0"/>
      <w:marBottom w:val="0"/>
      <w:divBdr>
        <w:top w:val="none" w:sz="0" w:space="0" w:color="auto"/>
        <w:left w:val="none" w:sz="0" w:space="0" w:color="auto"/>
        <w:bottom w:val="none" w:sz="0" w:space="0" w:color="auto"/>
        <w:right w:val="none" w:sz="0" w:space="0" w:color="auto"/>
      </w:divBdr>
    </w:div>
    <w:div w:id="23870551">
      <w:bodyDiv w:val="1"/>
      <w:marLeft w:val="0"/>
      <w:marRight w:val="0"/>
      <w:marTop w:val="0"/>
      <w:marBottom w:val="0"/>
      <w:divBdr>
        <w:top w:val="none" w:sz="0" w:space="0" w:color="auto"/>
        <w:left w:val="none" w:sz="0" w:space="0" w:color="auto"/>
        <w:bottom w:val="none" w:sz="0" w:space="0" w:color="auto"/>
        <w:right w:val="none" w:sz="0" w:space="0" w:color="auto"/>
      </w:divBdr>
    </w:div>
    <w:div w:id="156506934">
      <w:bodyDiv w:val="1"/>
      <w:marLeft w:val="0"/>
      <w:marRight w:val="0"/>
      <w:marTop w:val="0"/>
      <w:marBottom w:val="0"/>
      <w:divBdr>
        <w:top w:val="none" w:sz="0" w:space="0" w:color="auto"/>
        <w:left w:val="none" w:sz="0" w:space="0" w:color="auto"/>
        <w:bottom w:val="none" w:sz="0" w:space="0" w:color="auto"/>
        <w:right w:val="none" w:sz="0" w:space="0" w:color="auto"/>
      </w:divBdr>
    </w:div>
    <w:div w:id="172381586">
      <w:bodyDiv w:val="1"/>
      <w:marLeft w:val="0"/>
      <w:marRight w:val="0"/>
      <w:marTop w:val="0"/>
      <w:marBottom w:val="0"/>
      <w:divBdr>
        <w:top w:val="none" w:sz="0" w:space="0" w:color="auto"/>
        <w:left w:val="none" w:sz="0" w:space="0" w:color="auto"/>
        <w:bottom w:val="none" w:sz="0" w:space="0" w:color="auto"/>
        <w:right w:val="none" w:sz="0" w:space="0" w:color="auto"/>
      </w:divBdr>
    </w:div>
    <w:div w:id="276255157">
      <w:bodyDiv w:val="1"/>
      <w:marLeft w:val="0"/>
      <w:marRight w:val="0"/>
      <w:marTop w:val="0"/>
      <w:marBottom w:val="0"/>
      <w:divBdr>
        <w:top w:val="none" w:sz="0" w:space="0" w:color="auto"/>
        <w:left w:val="none" w:sz="0" w:space="0" w:color="auto"/>
        <w:bottom w:val="none" w:sz="0" w:space="0" w:color="auto"/>
        <w:right w:val="none" w:sz="0" w:space="0" w:color="auto"/>
      </w:divBdr>
    </w:div>
    <w:div w:id="296492316">
      <w:bodyDiv w:val="1"/>
      <w:marLeft w:val="0"/>
      <w:marRight w:val="0"/>
      <w:marTop w:val="0"/>
      <w:marBottom w:val="0"/>
      <w:divBdr>
        <w:top w:val="none" w:sz="0" w:space="0" w:color="auto"/>
        <w:left w:val="none" w:sz="0" w:space="0" w:color="auto"/>
        <w:bottom w:val="none" w:sz="0" w:space="0" w:color="auto"/>
        <w:right w:val="none" w:sz="0" w:space="0" w:color="auto"/>
      </w:divBdr>
    </w:div>
    <w:div w:id="324551059">
      <w:bodyDiv w:val="1"/>
      <w:marLeft w:val="0"/>
      <w:marRight w:val="0"/>
      <w:marTop w:val="0"/>
      <w:marBottom w:val="0"/>
      <w:divBdr>
        <w:top w:val="none" w:sz="0" w:space="0" w:color="auto"/>
        <w:left w:val="none" w:sz="0" w:space="0" w:color="auto"/>
        <w:bottom w:val="none" w:sz="0" w:space="0" w:color="auto"/>
        <w:right w:val="none" w:sz="0" w:space="0" w:color="auto"/>
      </w:divBdr>
    </w:div>
    <w:div w:id="336661718">
      <w:bodyDiv w:val="1"/>
      <w:marLeft w:val="0"/>
      <w:marRight w:val="0"/>
      <w:marTop w:val="0"/>
      <w:marBottom w:val="0"/>
      <w:divBdr>
        <w:top w:val="none" w:sz="0" w:space="0" w:color="auto"/>
        <w:left w:val="none" w:sz="0" w:space="0" w:color="auto"/>
        <w:bottom w:val="none" w:sz="0" w:space="0" w:color="auto"/>
        <w:right w:val="none" w:sz="0" w:space="0" w:color="auto"/>
      </w:divBdr>
    </w:div>
    <w:div w:id="377902582">
      <w:bodyDiv w:val="1"/>
      <w:marLeft w:val="0"/>
      <w:marRight w:val="0"/>
      <w:marTop w:val="0"/>
      <w:marBottom w:val="0"/>
      <w:divBdr>
        <w:top w:val="none" w:sz="0" w:space="0" w:color="auto"/>
        <w:left w:val="none" w:sz="0" w:space="0" w:color="auto"/>
        <w:bottom w:val="none" w:sz="0" w:space="0" w:color="auto"/>
        <w:right w:val="none" w:sz="0" w:space="0" w:color="auto"/>
      </w:divBdr>
    </w:div>
    <w:div w:id="465005906">
      <w:bodyDiv w:val="1"/>
      <w:marLeft w:val="0"/>
      <w:marRight w:val="0"/>
      <w:marTop w:val="0"/>
      <w:marBottom w:val="0"/>
      <w:divBdr>
        <w:top w:val="none" w:sz="0" w:space="0" w:color="auto"/>
        <w:left w:val="none" w:sz="0" w:space="0" w:color="auto"/>
        <w:bottom w:val="none" w:sz="0" w:space="0" w:color="auto"/>
        <w:right w:val="none" w:sz="0" w:space="0" w:color="auto"/>
      </w:divBdr>
    </w:div>
    <w:div w:id="501117963">
      <w:bodyDiv w:val="1"/>
      <w:marLeft w:val="0"/>
      <w:marRight w:val="0"/>
      <w:marTop w:val="0"/>
      <w:marBottom w:val="0"/>
      <w:divBdr>
        <w:top w:val="none" w:sz="0" w:space="0" w:color="auto"/>
        <w:left w:val="none" w:sz="0" w:space="0" w:color="auto"/>
        <w:bottom w:val="none" w:sz="0" w:space="0" w:color="auto"/>
        <w:right w:val="none" w:sz="0" w:space="0" w:color="auto"/>
      </w:divBdr>
    </w:div>
    <w:div w:id="751313346">
      <w:bodyDiv w:val="1"/>
      <w:marLeft w:val="0"/>
      <w:marRight w:val="0"/>
      <w:marTop w:val="0"/>
      <w:marBottom w:val="0"/>
      <w:divBdr>
        <w:top w:val="none" w:sz="0" w:space="0" w:color="auto"/>
        <w:left w:val="none" w:sz="0" w:space="0" w:color="auto"/>
        <w:bottom w:val="none" w:sz="0" w:space="0" w:color="auto"/>
        <w:right w:val="none" w:sz="0" w:space="0" w:color="auto"/>
      </w:divBdr>
    </w:div>
    <w:div w:id="812213499">
      <w:bodyDiv w:val="1"/>
      <w:marLeft w:val="0"/>
      <w:marRight w:val="0"/>
      <w:marTop w:val="0"/>
      <w:marBottom w:val="0"/>
      <w:divBdr>
        <w:top w:val="none" w:sz="0" w:space="0" w:color="auto"/>
        <w:left w:val="none" w:sz="0" w:space="0" w:color="auto"/>
        <w:bottom w:val="none" w:sz="0" w:space="0" w:color="auto"/>
        <w:right w:val="none" w:sz="0" w:space="0" w:color="auto"/>
      </w:divBdr>
    </w:div>
    <w:div w:id="1368410629">
      <w:bodyDiv w:val="1"/>
      <w:marLeft w:val="0"/>
      <w:marRight w:val="0"/>
      <w:marTop w:val="0"/>
      <w:marBottom w:val="0"/>
      <w:divBdr>
        <w:top w:val="none" w:sz="0" w:space="0" w:color="auto"/>
        <w:left w:val="none" w:sz="0" w:space="0" w:color="auto"/>
        <w:bottom w:val="none" w:sz="0" w:space="0" w:color="auto"/>
        <w:right w:val="none" w:sz="0" w:space="0" w:color="auto"/>
      </w:divBdr>
    </w:div>
    <w:div w:id="1408380966">
      <w:bodyDiv w:val="1"/>
      <w:marLeft w:val="0"/>
      <w:marRight w:val="0"/>
      <w:marTop w:val="0"/>
      <w:marBottom w:val="0"/>
      <w:divBdr>
        <w:top w:val="none" w:sz="0" w:space="0" w:color="auto"/>
        <w:left w:val="none" w:sz="0" w:space="0" w:color="auto"/>
        <w:bottom w:val="none" w:sz="0" w:space="0" w:color="auto"/>
        <w:right w:val="none" w:sz="0" w:space="0" w:color="auto"/>
      </w:divBdr>
    </w:div>
    <w:div w:id="1448819784">
      <w:bodyDiv w:val="1"/>
      <w:marLeft w:val="0"/>
      <w:marRight w:val="0"/>
      <w:marTop w:val="0"/>
      <w:marBottom w:val="0"/>
      <w:divBdr>
        <w:top w:val="none" w:sz="0" w:space="0" w:color="auto"/>
        <w:left w:val="none" w:sz="0" w:space="0" w:color="auto"/>
        <w:bottom w:val="none" w:sz="0" w:space="0" w:color="auto"/>
        <w:right w:val="none" w:sz="0" w:space="0" w:color="auto"/>
      </w:divBdr>
    </w:div>
    <w:div w:id="1449200443">
      <w:bodyDiv w:val="1"/>
      <w:marLeft w:val="0"/>
      <w:marRight w:val="0"/>
      <w:marTop w:val="0"/>
      <w:marBottom w:val="0"/>
      <w:divBdr>
        <w:top w:val="none" w:sz="0" w:space="0" w:color="auto"/>
        <w:left w:val="none" w:sz="0" w:space="0" w:color="auto"/>
        <w:bottom w:val="none" w:sz="0" w:space="0" w:color="auto"/>
        <w:right w:val="none" w:sz="0" w:space="0" w:color="auto"/>
      </w:divBdr>
    </w:div>
    <w:div w:id="1489246069">
      <w:bodyDiv w:val="1"/>
      <w:marLeft w:val="0"/>
      <w:marRight w:val="0"/>
      <w:marTop w:val="0"/>
      <w:marBottom w:val="0"/>
      <w:divBdr>
        <w:top w:val="none" w:sz="0" w:space="0" w:color="auto"/>
        <w:left w:val="none" w:sz="0" w:space="0" w:color="auto"/>
        <w:bottom w:val="none" w:sz="0" w:space="0" w:color="auto"/>
        <w:right w:val="none" w:sz="0" w:space="0" w:color="auto"/>
      </w:divBdr>
    </w:div>
    <w:div w:id="1617179064">
      <w:bodyDiv w:val="1"/>
      <w:marLeft w:val="0"/>
      <w:marRight w:val="0"/>
      <w:marTop w:val="0"/>
      <w:marBottom w:val="0"/>
      <w:divBdr>
        <w:top w:val="none" w:sz="0" w:space="0" w:color="auto"/>
        <w:left w:val="none" w:sz="0" w:space="0" w:color="auto"/>
        <w:bottom w:val="none" w:sz="0" w:space="0" w:color="auto"/>
        <w:right w:val="none" w:sz="0" w:space="0" w:color="auto"/>
      </w:divBdr>
    </w:div>
    <w:div w:id="1622147126">
      <w:bodyDiv w:val="1"/>
      <w:marLeft w:val="0"/>
      <w:marRight w:val="0"/>
      <w:marTop w:val="0"/>
      <w:marBottom w:val="0"/>
      <w:divBdr>
        <w:top w:val="none" w:sz="0" w:space="0" w:color="auto"/>
        <w:left w:val="none" w:sz="0" w:space="0" w:color="auto"/>
        <w:bottom w:val="none" w:sz="0" w:space="0" w:color="auto"/>
        <w:right w:val="none" w:sz="0" w:space="0" w:color="auto"/>
      </w:divBdr>
    </w:div>
    <w:div w:id="1723216833">
      <w:bodyDiv w:val="1"/>
      <w:marLeft w:val="0"/>
      <w:marRight w:val="0"/>
      <w:marTop w:val="0"/>
      <w:marBottom w:val="0"/>
      <w:divBdr>
        <w:top w:val="none" w:sz="0" w:space="0" w:color="auto"/>
        <w:left w:val="none" w:sz="0" w:space="0" w:color="auto"/>
        <w:bottom w:val="none" w:sz="0" w:space="0" w:color="auto"/>
        <w:right w:val="none" w:sz="0" w:space="0" w:color="auto"/>
      </w:divBdr>
    </w:div>
    <w:div w:id="1808161760">
      <w:bodyDiv w:val="1"/>
      <w:marLeft w:val="0"/>
      <w:marRight w:val="0"/>
      <w:marTop w:val="0"/>
      <w:marBottom w:val="0"/>
      <w:divBdr>
        <w:top w:val="none" w:sz="0" w:space="0" w:color="auto"/>
        <w:left w:val="none" w:sz="0" w:space="0" w:color="auto"/>
        <w:bottom w:val="none" w:sz="0" w:space="0" w:color="auto"/>
        <w:right w:val="none" w:sz="0" w:space="0" w:color="auto"/>
      </w:divBdr>
    </w:div>
    <w:div w:id="1942569287">
      <w:bodyDiv w:val="1"/>
      <w:marLeft w:val="0"/>
      <w:marRight w:val="0"/>
      <w:marTop w:val="0"/>
      <w:marBottom w:val="0"/>
      <w:divBdr>
        <w:top w:val="none" w:sz="0" w:space="0" w:color="auto"/>
        <w:left w:val="none" w:sz="0" w:space="0" w:color="auto"/>
        <w:bottom w:val="none" w:sz="0" w:space="0" w:color="auto"/>
        <w:right w:val="none" w:sz="0" w:space="0" w:color="auto"/>
      </w:divBdr>
    </w:div>
    <w:div w:id="21283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4103/jss.jss_101_20" TargetMode="External"/><Relationship Id="rId4" Type="http://schemas.openxmlformats.org/officeDocument/2006/relationships/webSettings" Target="webSettings.xml"/><Relationship Id="rId9" Type="http://schemas.openxmlformats.org/officeDocument/2006/relationships/hyperlink" Target="https://doi.org/10.12968/bjsn.2013.8.4.194"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arif%20Oral%20health%20research\Oral%20Health%20KAP%20Excel%20Fi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rif%20Oral%20health%20research\Oral%20Health%20KAP%20Excel%20Fi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Number of Students</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Sheet4!$A$1:$A$10</c:f>
              <c:strCache>
                <c:ptCount val="10"/>
                <c:pt idx="0">
                  <c:v>Nangarhar</c:v>
                </c:pt>
                <c:pt idx="1">
                  <c:v>Tajrobawi</c:v>
                </c:pt>
                <c:pt idx="2">
                  <c:v>Abdul Wakil</c:v>
                </c:pt>
                <c:pt idx="3">
                  <c:v>Isteqlal</c:v>
                </c:pt>
                <c:pt idx="4">
                  <c:v>Shaheed Mohammad Arif</c:v>
                </c:pt>
                <c:pt idx="5">
                  <c:v>Heela</c:v>
                </c:pt>
                <c:pt idx="6">
                  <c:v>Farhan</c:v>
                </c:pt>
                <c:pt idx="7">
                  <c:v>Ahmad Shah Durani</c:v>
                </c:pt>
                <c:pt idx="8">
                  <c:v>Shersha sori</c:v>
                </c:pt>
                <c:pt idx="9">
                  <c:v>Spoogmai</c:v>
                </c:pt>
              </c:strCache>
            </c:strRef>
          </c:cat>
          <c:val>
            <c:numRef>
              <c:f>Sheet4!$B$1:$B$10</c:f>
              <c:numCache>
                <c:formatCode>General</c:formatCode>
                <c:ptCount val="10"/>
                <c:pt idx="0">
                  <c:v>43</c:v>
                </c:pt>
                <c:pt idx="1">
                  <c:v>47</c:v>
                </c:pt>
                <c:pt idx="2">
                  <c:v>42</c:v>
                </c:pt>
                <c:pt idx="3">
                  <c:v>48</c:v>
                </c:pt>
                <c:pt idx="4">
                  <c:v>43</c:v>
                </c:pt>
                <c:pt idx="5">
                  <c:v>47</c:v>
                </c:pt>
                <c:pt idx="6">
                  <c:v>48</c:v>
                </c:pt>
                <c:pt idx="7">
                  <c:v>43</c:v>
                </c:pt>
                <c:pt idx="8">
                  <c:v>46</c:v>
                </c:pt>
                <c:pt idx="9">
                  <c:v>43</c:v>
                </c:pt>
              </c:numCache>
            </c:numRef>
          </c:val>
          <c:extLst>
            <c:ext xmlns:c16="http://schemas.microsoft.com/office/drawing/2014/chart" uri="{C3380CC4-5D6E-409C-BE32-E72D297353CC}">
              <c16:uniqueId val="{00000000-131B-45B9-871F-C48845014D12}"/>
            </c:ext>
          </c:extLst>
        </c:ser>
        <c:dLbls>
          <c:dLblPos val="outEnd"/>
          <c:showLegendKey val="0"/>
          <c:showVal val="1"/>
          <c:showCatName val="0"/>
          <c:showSerName val="0"/>
          <c:showPercent val="0"/>
          <c:showBubbleSize val="0"/>
        </c:dLbls>
        <c:gapWidth val="100"/>
        <c:overlap val="-24"/>
        <c:axId val="7878304"/>
        <c:axId val="58362928"/>
      </c:barChart>
      <c:catAx>
        <c:axId val="78783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62928"/>
        <c:crosses val="autoZero"/>
        <c:auto val="1"/>
        <c:lblAlgn val="ctr"/>
        <c:lblOffset val="100"/>
        <c:noMultiLvlLbl val="0"/>
      </c:catAx>
      <c:valAx>
        <c:axId val="5836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8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239-4E27-A0E3-E3812F581B6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239-4E27-A0E3-E3812F581B6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239-4E27-A0E3-E3812F581B6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3239-4E27-A0E3-E3812F581B6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Knowledge!$O$10:$O$13</c:f>
              <c:strCache>
                <c:ptCount val="4"/>
                <c:pt idx="0">
                  <c:v>Very Good </c:v>
                </c:pt>
                <c:pt idx="1">
                  <c:v>Good</c:v>
                </c:pt>
                <c:pt idx="2">
                  <c:v>Poor</c:v>
                </c:pt>
                <c:pt idx="3">
                  <c:v>Very Poor</c:v>
                </c:pt>
              </c:strCache>
            </c:strRef>
          </c:cat>
          <c:val>
            <c:numRef>
              <c:f>Knowledge!$P$10:$P$13</c:f>
              <c:numCache>
                <c:formatCode>General</c:formatCode>
                <c:ptCount val="4"/>
                <c:pt idx="0">
                  <c:v>318</c:v>
                </c:pt>
                <c:pt idx="1">
                  <c:v>92</c:v>
                </c:pt>
                <c:pt idx="2">
                  <c:v>17</c:v>
                </c:pt>
                <c:pt idx="3">
                  <c:v>23</c:v>
                </c:pt>
              </c:numCache>
            </c:numRef>
          </c:val>
          <c:extLst>
            <c:ext xmlns:c16="http://schemas.microsoft.com/office/drawing/2014/chart" uri="{C3380CC4-5D6E-409C-BE32-E72D297353CC}">
              <c16:uniqueId val="{00000008-3239-4E27-A0E3-E3812F581B62}"/>
            </c:ext>
          </c:extLst>
        </c:ser>
        <c:ser>
          <c:idx val="1"/>
          <c:order val="1"/>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A-3239-4E27-A0E3-E3812F581B6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C-3239-4E27-A0E3-E3812F581B6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E-3239-4E27-A0E3-E3812F581B6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0-3239-4E27-A0E3-E3812F581B6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Knowledge!$O$10:$O$13</c:f>
              <c:strCache>
                <c:ptCount val="4"/>
                <c:pt idx="0">
                  <c:v>Very Good </c:v>
                </c:pt>
                <c:pt idx="1">
                  <c:v>Good</c:v>
                </c:pt>
                <c:pt idx="2">
                  <c:v>Poor</c:v>
                </c:pt>
                <c:pt idx="3">
                  <c:v>Very Poor</c:v>
                </c:pt>
              </c:strCache>
            </c:strRef>
          </c:cat>
          <c:val>
            <c:numRef>
              <c:f>Knowledge!$Q$10:$Q$13</c:f>
              <c:numCache>
                <c:formatCode>General</c:formatCode>
                <c:ptCount val="4"/>
                <c:pt idx="0">
                  <c:v>70.666666666666671</c:v>
                </c:pt>
                <c:pt idx="1">
                  <c:v>20.444444444444443</c:v>
                </c:pt>
                <c:pt idx="2">
                  <c:v>3.7777777777777777</c:v>
                </c:pt>
                <c:pt idx="3">
                  <c:v>5.1111111111111107</c:v>
                </c:pt>
              </c:numCache>
            </c:numRef>
          </c:val>
          <c:extLst>
            <c:ext xmlns:c16="http://schemas.microsoft.com/office/drawing/2014/chart" uri="{C3380CC4-5D6E-409C-BE32-E72D297353CC}">
              <c16:uniqueId val="{00000011-3239-4E27-A0E3-E3812F581B6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00AB-EC84-40A7-81D1-3FF1A9AB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7106</Words>
  <Characters>40510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Zekria Hashmi</dc:creator>
  <cp:keywords/>
  <dc:description/>
  <cp:lastModifiedBy>SDI 1084</cp:lastModifiedBy>
  <cp:revision>13</cp:revision>
  <dcterms:created xsi:type="dcterms:W3CDTF">2025-04-29T10:48:00Z</dcterms:created>
  <dcterms:modified xsi:type="dcterms:W3CDTF">2025-05-05T09:32:00Z</dcterms:modified>
</cp:coreProperties>
</file>