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0C0F95" w14:textId="77777777" w:rsidR="00C26B9C" w:rsidRPr="00C26B9C" w:rsidRDefault="00C26B9C" w:rsidP="00C26B9C">
      <w:pPr>
        <w:pStyle w:val="Title"/>
        <w:jc w:val="both"/>
        <w:rPr>
          <w:rFonts w:ascii="Arial" w:hAnsi="Arial" w:cs="Arial"/>
          <w:bCs/>
          <w:i/>
          <w:iCs/>
          <w:u w:val="single"/>
        </w:rPr>
      </w:pPr>
      <w:bookmarkStart w:id="0" w:name="_GoBack"/>
      <w:bookmarkEnd w:id="0"/>
      <w:r w:rsidRPr="00C26B9C">
        <w:rPr>
          <w:rFonts w:ascii="Arial" w:hAnsi="Arial" w:cs="Arial"/>
          <w:bCs/>
          <w:i/>
          <w:iCs/>
          <w:u w:val="single"/>
        </w:rPr>
        <w:t xml:space="preserve">Case report </w:t>
      </w:r>
    </w:p>
    <w:p w14:paraId="351A17C7" w14:textId="77777777" w:rsidR="00754C9A" w:rsidRDefault="00754C9A" w:rsidP="00441B6F">
      <w:pPr>
        <w:pStyle w:val="Title"/>
        <w:spacing w:after="0"/>
        <w:jc w:val="both"/>
        <w:rPr>
          <w:rFonts w:ascii="Arial" w:hAnsi="Arial" w:cs="Arial"/>
        </w:rPr>
      </w:pPr>
    </w:p>
    <w:p w14:paraId="450F07F5" w14:textId="77777777" w:rsidR="002E103A" w:rsidRPr="009D2307" w:rsidRDefault="002E103A" w:rsidP="002E103A">
      <w:pPr>
        <w:spacing w:line="480" w:lineRule="auto"/>
        <w:jc w:val="center"/>
        <w:rPr>
          <w:rStyle w:val="y2iqfc"/>
          <w:rFonts w:ascii="Times New Roman" w:hAnsi="Times New Roman"/>
          <w:color w:val="000000" w:themeColor="text1"/>
          <w:sz w:val="18"/>
          <w:szCs w:val="18"/>
          <w:lang w:val="en"/>
        </w:rPr>
      </w:pPr>
      <w:r w:rsidRPr="009D2307">
        <w:rPr>
          <w:rFonts w:ascii="Times New Roman" w:hAnsi="Times New Roman"/>
          <w:b/>
          <w:bCs/>
          <w:color w:val="212121"/>
          <w:kern w:val="36"/>
          <w:sz w:val="18"/>
          <w:szCs w:val="18"/>
        </w:rPr>
        <w:t>EFFECTIVENESS OF VACUUM-SUPPORTED AND LARVAL THERAPY ON PERSISTENT PRESSURE INJURIES IN DEBILITATED BED-BOUND PATIENT</w:t>
      </w:r>
    </w:p>
    <w:p w14:paraId="576D8E1B" w14:textId="77777777" w:rsidR="00C26B9C" w:rsidRDefault="00C26B9C" w:rsidP="00441B6F">
      <w:pPr>
        <w:pStyle w:val="Affiliation"/>
        <w:spacing w:after="0" w:line="240" w:lineRule="auto"/>
        <w:jc w:val="both"/>
        <w:rPr>
          <w:rFonts w:ascii="Arial" w:hAnsi="Arial" w:cs="Arial"/>
        </w:rPr>
      </w:pPr>
    </w:p>
    <w:p w14:paraId="35748178" w14:textId="77777777" w:rsidR="00C26B9C" w:rsidRDefault="00C26B9C" w:rsidP="00441B6F">
      <w:pPr>
        <w:pStyle w:val="Affiliation"/>
        <w:spacing w:after="0" w:line="240" w:lineRule="auto"/>
        <w:jc w:val="both"/>
        <w:rPr>
          <w:rFonts w:ascii="Arial" w:hAnsi="Arial" w:cs="Arial"/>
        </w:rPr>
      </w:pPr>
    </w:p>
    <w:p w14:paraId="203A495A" w14:textId="77777777" w:rsidR="00C26B9C" w:rsidRDefault="00C26B9C" w:rsidP="00441B6F">
      <w:pPr>
        <w:pStyle w:val="Affiliation"/>
        <w:spacing w:after="0" w:line="240" w:lineRule="auto"/>
        <w:jc w:val="both"/>
        <w:rPr>
          <w:rFonts w:ascii="Arial" w:hAnsi="Arial" w:cs="Arial"/>
        </w:rPr>
      </w:pPr>
    </w:p>
    <w:p w14:paraId="33E12400" w14:textId="77777777" w:rsidR="00C26B9C" w:rsidRPr="00FB3A86" w:rsidRDefault="00C26B9C" w:rsidP="00441B6F">
      <w:pPr>
        <w:pStyle w:val="Affiliation"/>
        <w:spacing w:after="0" w:line="240" w:lineRule="auto"/>
        <w:jc w:val="both"/>
        <w:rPr>
          <w:rFonts w:ascii="Arial" w:hAnsi="Arial" w:cs="Arial"/>
        </w:rPr>
      </w:pPr>
    </w:p>
    <w:p w14:paraId="10DDF3BC"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2DDC2A1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8147678" w14:textId="77777777" w:rsidTr="001E44FE">
        <w:tc>
          <w:tcPr>
            <w:tcW w:w="9576" w:type="dxa"/>
            <w:shd w:val="clear" w:color="auto" w:fill="F2F2F2"/>
          </w:tcPr>
          <w:p w14:paraId="7246C5E9" w14:textId="77777777" w:rsidR="002E103A" w:rsidRPr="00147EF2" w:rsidRDefault="002E103A" w:rsidP="002E103A">
            <w:pPr>
              <w:jc w:val="both"/>
              <w:rPr>
                <w:rFonts w:asciiTheme="minorBidi" w:hAnsiTheme="minorBidi" w:cstheme="minorBidi"/>
                <w:sz w:val="22"/>
                <w:szCs w:val="22"/>
              </w:rPr>
            </w:pPr>
            <w:r w:rsidRPr="00147EF2">
              <w:rPr>
                <w:rFonts w:asciiTheme="minorBidi" w:hAnsiTheme="minorBidi" w:cstheme="minorBidi"/>
                <w:b/>
                <w:bCs/>
                <w:sz w:val="22"/>
                <w:szCs w:val="22"/>
                <w:lang w:eastAsia="tr-TR"/>
              </w:rPr>
              <w:t>Introduction:</w:t>
            </w:r>
            <w:r w:rsidRPr="00147EF2">
              <w:rPr>
                <w:rFonts w:asciiTheme="minorBidi" w:hAnsiTheme="minorBidi" w:cstheme="minorBidi"/>
                <w:sz w:val="22"/>
                <w:szCs w:val="22"/>
                <w:lang w:eastAsia="tr-TR"/>
              </w:rPr>
              <w:t xml:space="preserve"> The management of pressure injuries (PIs) and immobility-related wounds poses significant clinical challenges, often necessitating multimodal therapeutic interventions</w:t>
            </w:r>
            <w:r w:rsidRPr="00147EF2">
              <w:rPr>
                <w:rFonts w:asciiTheme="minorBidi" w:hAnsiTheme="minorBidi" w:cstheme="minorBidi"/>
                <w:sz w:val="22"/>
                <w:szCs w:val="22"/>
              </w:rPr>
              <w:t xml:space="preserve">. </w:t>
            </w:r>
            <w:r w:rsidRPr="00147EF2">
              <w:rPr>
                <w:rFonts w:asciiTheme="minorBidi" w:hAnsiTheme="minorBidi" w:cstheme="minorBidi"/>
                <w:sz w:val="22"/>
                <w:szCs w:val="22"/>
                <w:lang w:eastAsia="tr-TR"/>
              </w:rPr>
              <w:t xml:space="preserve">This case report evaluates the integration of vacuum-assisted closure (VAC) therapy and larval debridement therapy (LDT) alongside systemic antibiotics and supportive care in a high-risk patient. </w:t>
            </w:r>
            <w:r w:rsidRPr="00147EF2">
              <w:rPr>
                <w:rFonts w:asciiTheme="minorBidi" w:hAnsiTheme="minorBidi" w:cstheme="minorBidi"/>
                <w:b/>
                <w:bCs/>
                <w:sz w:val="22"/>
                <w:szCs w:val="22"/>
                <w:lang w:eastAsia="tr-TR"/>
              </w:rPr>
              <w:t xml:space="preserve">Case: </w:t>
            </w:r>
            <w:r w:rsidRPr="00147EF2">
              <w:rPr>
                <w:rFonts w:asciiTheme="minorBidi" w:hAnsiTheme="minorBidi" w:cstheme="minorBidi"/>
                <w:sz w:val="22"/>
                <w:szCs w:val="22"/>
                <w:lang w:eastAsia="tr-TR"/>
              </w:rPr>
              <w:t xml:space="preserve">A 79-year-old bedridden male with advanced dementia, type II diabetes mellitus, and hypertension presented with a necrotic, infected sacral pressure injury. </w:t>
            </w:r>
            <w:r w:rsidRPr="00147EF2">
              <w:rPr>
                <w:rFonts w:asciiTheme="minorBidi" w:hAnsiTheme="minorBidi" w:cstheme="minorBidi"/>
                <w:b/>
                <w:bCs/>
                <w:sz w:val="22"/>
                <w:szCs w:val="22"/>
                <w:lang w:eastAsia="tr-TR"/>
              </w:rPr>
              <w:t>Conclusion:</w:t>
            </w:r>
            <w:r w:rsidRPr="00147EF2">
              <w:rPr>
                <w:rFonts w:asciiTheme="minorBidi" w:hAnsiTheme="minorBidi" w:cstheme="minorBidi"/>
                <w:sz w:val="22"/>
                <w:szCs w:val="22"/>
                <w:lang w:eastAsia="tr-TR"/>
              </w:rPr>
              <w:t xml:space="preserve"> Following initial wound care and antibiotic therapy, sequential VAC and then LDT using (</w:t>
            </w:r>
            <w:proofErr w:type="spellStart"/>
            <w:r w:rsidRPr="00147EF2">
              <w:rPr>
                <w:rFonts w:asciiTheme="minorBidi" w:hAnsiTheme="minorBidi" w:cstheme="minorBidi"/>
                <w:i/>
                <w:iCs/>
                <w:sz w:val="22"/>
                <w:szCs w:val="22"/>
                <w:lang w:eastAsia="tr-TR"/>
              </w:rPr>
              <w:t>Lucilia</w:t>
            </w:r>
            <w:proofErr w:type="spellEnd"/>
            <w:r w:rsidRPr="00147EF2">
              <w:rPr>
                <w:rFonts w:asciiTheme="minorBidi" w:hAnsiTheme="minorBidi" w:cstheme="minorBidi"/>
                <w:i/>
                <w:iCs/>
                <w:sz w:val="22"/>
                <w:szCs w:val="22"/>
                <w:lang w:eastAsia="tr-TR"/>
              </w:rPr>
              <w:t xml:space="preserve"> </w:t>
            </w:r>
            <w:proofErr w:type="spellStart"/>
            <w:proofErr w:type="gramStart"/>
            <w:r w:rsidRPr="00147EF2">
              <w:rPr>
                <w:rFonts w:asciiTheme="minorBidi" w:hAnsiTheme="minorBidi" w:cstheme="minorBidi"/>
                <w:i/>
                <w:iCs/>
                <w:sz w:val="22"/>
                <w:szCs w:val="22"/>
                <w:lang w:eastAsia="tr-TR"/>
              </w:rPr>
              <w:t>sericata</w:t>
            </w:r>
            <w:proofErr w:type="spellEnd"/>
            <w:r w:rsidRPr="00147EF2">
              <w:rPr>
                <w:rFonts w:asciiTheme="minorBidi" w:hAnsiTheme="minorBidi" w:cstheme="minorBidi"/>
                <w:i/>
                <w:iCs/>
                <w:sz w:val="22"/>
                <w:szCs w:val="22"/>
                <w:lang w:eastAsia="tr-TR"/>
              </w:rPr>
              <w:t>)</w:t>
            </w:r>
            <w:r w:rsidRPr="00147EF2">
              <w:rPr>
                <w:rFonts w:asciiTheme="minorBidi" w:hAnsiTheme="minorBidi" w:cstheme="minorBidi"/>
                <w:sz w:val="22"/>
                <w:szCs w:val="22"/>
                <w:lang w:eastAsia="tr-TR"/>
              </w:rPr>
              <w:t>  were</w:t>
            </w:r>
            <w:proofErr w:type="gramEnd"/>
            <w:r w:rsidRPr="00147EF2">
              <w:rPr>
                <w:rFonts w:asciiTheme="minorBidi" w:hAnsiTheme="minorBidi" w:cstheme="minorBidi"/>
                <w:sz w:val="22"/>
                <w:szCs w:val="22"/>
                <w:lang w:eastAsia="tr-TR"/>
              </w:rPr>
              <w:t xml:space="preserve"> implemented, resulting in marked tissue granulation and infection resolution without complications</w:t>
            </w:r>
            <w:r w:rsidRPr="00147EF2">
              <w:rPr>
                <w:rFonts w:asciiTheme="minorBidi" w:hAnsiTheme="minorBidi" w:cstheme="minorBidi"/>
                <w:sz w:val="22"/>
                <w:szCs w:val="22"/>
              </w:rPr>
              <w:t>. A multidisciplinary approach is crucial in managing complicated pressure wounds.</w:t>
            </w:r>
          </w:p>
          <w:p w14:paraId="20235F87" w14:textId="77777777" w:rsidR="00505F06" w:rsidRPr="00BA1B01" w:rsidRDefault="00505F06" w:rsidP="00441B6F">
            <w:pPr>
              <w:pStyle w:val="Body"/>
              <w:spacing w:after="0"/>
              <w:rPr>
                <w:rFonts w:ascii="Arial" w:eastAsia="Calibri" w:hAnsi="Arial" w:cs="Arial"/>
                <w:szCs w:val="22"/>
              </w:rPr>
            </w:pPr>
          </w:p>
        </w:tc>
      </w:tr>
    </w:tbl>
    <w:p w14:paraId="14118475" w14:textId="77777777" w:rsidR="00636EB2" w:rsidRDefault="00636EB2" w:rsidP="00441B6F">
      <w:pPr>
        <w:pStyle w:val="Body"/>
        <w:spacing w:after="0"/>
        <w:rPr>
          <w:rFonts w:ascii="Arial" w:hAnsi="Arial" w:cs="Arial"/>
          <w:i/>
        </w:rPr>
      </w:pPr>
    </w:p>
    <w:p w14:paraId="7F132C14" w14:textId="77777777" w:rsidR="00A24E7E" w:rsidRDefault="002E103A" w:rsidP="002E103A">
      <w:pPr>
        <w:pStyle w:val="Body"/>
        <w:spacing w:after="0"/>
        <w:rPr>
          <w:rFonts w:ascii="Arial" w:hAnsi="Arial" w:cs="Arial"/>
          <w:i/>
        </w:rPr>
      </w:pPr>
      <w:r>
        <w:rPr>
          <w:rFonts w:ascii="Arial" w:hAnsi="Arial" w:cs="Arial"/>
          <w:i/>
        </w:rPr>
        <w:t xml:space="preserve">Keywords: </w:t>
      </w:r>
      <w:r w:rsidRPr="0080578C">
        <w:rPr>
          <w:rFonts w:asciiTheme="majorBidi" w:hAnsiTheme="majorBidi" w:cstheme="majorBidi"/>
          <w:i/>
          <w:iCs/>
          <w:kern w:val="36"/>
          <w:sz w:val="24"/>
          <w:szCs w:val="24"/>
        </w:rPr>
        <w:t xml:space="preserve">vacuum therapy, larval therapy, pressure </w:t>
      </w:r>
      <w:r w:rsidRPr="0080578C">
        <w:rPr>
          <w:rFonts w:asciiTheme="majorBidi" w:hAnsiTheme="majorBidi" w:cstheme="majorBidi"/>
          <w:i/>
          <w:iCs/>
          <w:sz w:val="24"/>
          <w:szCs w:val="24"/>
          <w:shd w:val="clear" w:color="auto" w:fill="FFFFFF"/>
        </w:rPr>
        <w:t>injuries</w:t>
      </w:r>
      <w:r w:rsidRPr="0080578C">
        <w:rPr>
          <w:rFonts w:asciiTheme="majorBidi" w:hAnsiTheme="majorBidi" w:cstheme="majorBidi"/>
          <w:i/>
          <w:iCs/>
          <w:kern w:val="36"/>
          <w:sz w:val="24"/>
          <w:szCs w:val="24"/>
        </w:rPr>
        <w:t>, debilitated patients</w:t>
      </w:r>
      <w:r w:rsidRPr="0080578C">
        <w:rPr>
          <w:rFonts w:asciiTheme="majorBidi" w:hAnsiTheme="majorBidi" w:cstheme="majorBidi"/>
          <w:i/>
          <w:iCs/>
          <w:sz w:val="24"/>
          <w:szCs w:val="24"/>
        </w:rPr>
        <w:t xml:space="preserve">, </w:t>
      </w:r>
      <w:proofErr w:type="spellStart"/>
      <w:r w:rsidRPr="0080578C">
        <w:rPr>
          <w:rFonts w:asciiTheme="majorBidi" w:hAnsiTheme="majorBidi" w:cstheme="majorBidi"/>
          <w:i/>
          <w:iCs/>
          <w:sz w:val="24"/>
          <w:szCs w:val="24"/>
          <w:lang w:eastAsia="tr-TR"/>
        </w:rPr>
        <w:t>Lucilia</w:t>
      </w:r>
      <w:proofErr w:type="spellEnd"/>
      <w:r w:rsidRPr="0080578C">
        <w:rPr>
          <w:rFonts w:asciiTheme="majorBidi" w:hAnsiTheme="majorBidi" w:cstheme="majorBidi"/>
          <w:i/>
          <w:iCs/>
          <w:sz w:val="24"/>
          <w:szCs w:val="24"/>
          <w:lang w:eastAsia="tr-TR"/>
        </w:rPr>
        <w:t xml:space="preserve"> </w:t>
      </w:r>
      <w:proofErr w:type="spellStart"/>
      <w:r w:rsidRPr="0080578C">
        <w:rPr>
          <w:rFonts w:asciiTheme="majorBidi" w:hAnsiTheme="majorBidi" w:cstheme="majorBidi"/>
          <w:i/>
          <w:iCs/>
          <w:sz w:val="24"/>
          <w:szCs w:val="24"/>
          <w:lang w:eastAsia="tr-TR"/>
        </w:rPr>
        <w:t>sericata</w:t>
      </w:r>
      <w:proofErr w:type="spellEnd"/>
      <w:r>
        <w:rPr>
          <w:rFonts w:asciiTheme="majorBidi" w:hAnsiTheme="majorBidi" w:cstheme="majorBidi"/>
          <w:i/>
          <w:iCs/>
          <w:sz w:val="24"/>
          <w:szCs w:val="24"/>
          <w:lang w:eastAsia="tr-TR"/>
        </w:rPr>
        <w:t>.</w:t>
      </w:r>
    </w:p>
    <w:p w14:paraId="1D8F0895" w14:textId="77777777" w:rsidR="00790ADA" w:rsidRDefault="00790ADA" w:rsidP="00441B6F">
      <w:pPr>
        <w:pStyle w:val="Body"/>
        <w:spacing w:after="0"/>
        <w:rPr>
          <w:rFonts w:ascii="Arial" w:hAnsi="Arial" w:cs="Arial"/>
          <w:i/>
        </w:rPr>
      </w:pPr>
    </w:p>
    <w:p w14:paraId="134905C9" w14:textId="77777777" w:rsidR="007F7B32" w:rsidRPr="00147EF2" w:rsidRDefault="00902823" w:rsidP="00147EF2">
      <w:pPr>
        <w:pStyle w:val="AbstHead"/>
        <w:spacing w:after="0"/>
        <w:jc w:val="both"/>
        <w:rPr>
          <w:rFonts w:ascii="Arial" w:hAnsi="Arial" w:cs="Arial"/>
          <w:szCs w:val="22"/>
        </w:rPr>
      </w:pPr>
      <w:r w:rsidRPr="00147EF2">
        <w:rPr>
          <w:rFonts w:ascii="Arial" w:hAnsi="Arial" w:cs="Arial"/>
          <w:szCs w:val="22"/>
        </w:rPr>
        <w:t xml:space="preserve">1. </w:t>
      </w:r>
      <w:r w:rsidR="00B01FCD" w:rsidRPr="00147EF2">
        <w:rPr>
          <w:rFonts w:ascii="Arial" w:hAnsi="Arial" w:cs="Arial"/>
          <w:szCs w:val="22"/>
        </w:rPr>
        <w:t>INTRODUCTION</w:t>
      </w:r>
      <w:r w:rsidR="00147EF2" w:rsidRPr="00147EF2">
        <w:rPr>
          <w:rFonts w:ascii="Arial" w:hAnsi="Arial" w:cs="Arial"/>
          <w:szCs w:val="22"/>
        </w:rPr>
        <w:t>:</w:t>
      </w:r>
    </w:p>
    <w:p w14:paraId="736FB8B2" w14:textId="77777777" w:rsidR="00790ADA" w:rsidRPr="00147EF2" w:rsidRDefault="00790ADA" w:rsidP="00147EF2">
      <w:pPr>
        <w:pStyle w:val="AbstHead"/>
        <w:spacing w:after="0"/>
        <w:jc w:val="both"/>
        <w:rPr>
          <w:rFonts w:ascii="Arial" w:hAnsi="Arial" w:cs="Arial"/>
          <w:szCs w:val="22"/>
        </w:rPr>
      </w:pPr>
    </w:p>
    <w:p w14:paraId="200D8C36" w14:textId="77777777" w:rsidR="00790ADA" w:rsidRPr="00147EF2" w:rsidRDefault="002E103A" w:rsidP="00147EF2">
      <w:pPr>
        <w:pStyle w:val="Body"/>
        <w:spacing w:after="0"/>
        <w:rPr>
          <w:rFonts w:ascii="Arial" w:hAnsi="Arial" w:cs="Arial"/>
          <w:sz w:val="22"/>
          <w:szCs w:val="22"/>
        </w:rPr>
      </w:pPr>
      <w:r w:rsidRPr="00147EF2">
        <w:rPr>
          <w:rFonts w:ascii="Arial" w:hAnsi="Arial" w:cs="Arial"/>
          <w:sz w:val="22"/>
          <w:szCs w:val="22"/>
          <w:lang w:eastAsia="tr-TR"/>
        </w:rPr>
        <w:t xml:space="preserve">Decubitus ulcers and hospital-acquired pressure injuries (HAPIs) represent persistent complications among bedridden patients, particularly those with multimorbidity and immunocompromised states </w:t>
      </w:r>
      <w:r w:rsidRPr="00147EF2">
        <w:rPr>
          <w:rFonts w:ascii="Arial" w:hAnsi="Arial" w:cs="Arial"/>
          <w:sz w:val="22"/>
          <w:szCs w:val="22"/>
        </w:rPr>
        <w:t xml:space="preserve">[1]. The development of infectious pathogens and hospital infections is very common in such cases [2]. In addition to morbid diseases, extensive tissue loss, necrosis, and the growth of resistant pathogens make the situation more serious [3]. We have seen positive effects of vacuum (VAC) and larval therapy (LDT) on wound healing time, along with basic support and antibiotic therapy. In this case, we thought that a single method would not be sufficient [4,5]. </w:t>
      </w:r>
      <w:r w:rsidRPr="00147EF2">
        <w:rPr>
          <w:rFonts w:ascii="Arial" w:hAnsi="Arial" w:cs="Arial"/>
          <w:sz w:val="22"/>
          <w:szCs w:val="22"/>
          <w:lang w:eastAsia="tr-TR"/>
        </w:rPr>
        <w:t>This report details the successful application of a combined VAC-LDT protocol in a high-risk patient, emphasizing the synergistic potential of these interventions.</w:t>
      </w:r>
    </w:p>
    <w:p w14:paraId="42C8BDB9" w14:textId="2C12DB1B" w:rsidR="00147EF2" w:rsidRPr="00147EF2" w:rsidRDefault="00902823" w:rsidP="00147EF2">
      <w:pPr>
        <w:shd w:val="clear" w:color="auto" w:fill="FFFFFF"/>
        <w:spacing w:before="100" w:beforeAutospacing="1" w:after="100" w:afterAutospacing="1"/>
        <w:jc w:val="both"/>
        <w:outlineLvl w:val="0"/>
        <w:rPr>
          <w:rFonts w:ascii="Arial" w:hAnsi="Arial" w:cs="Arial"/>
          <w:b/>
          <w:bCs/>
          <w:kern w:val="36"/>
          <w:sz w:val="22"/>
          <w:szCs w:val="22"/>
        </w:rPr>
      </w:pPr>
      <w:r w:rsidRPr="00147EF2">
        <w:rPr>
          <w:rFonts w:ascii="Arial" w:hAnsi="Arial" w:cs="Arial"/>
          <w:b/>
          <w:bCs/>
          <w:sz w:val="22"/>
          <w:szCs w:val="22"/>
        </w:rPr>
        <w:t>2.</w:t>
      </w:r>
      <w:r w:rsidR="00147EF2" w:rsidRPr="00147EF2">
        <w:rPr>
          <w:rFonts w:ascii="Arial" w:hAnsi="Arial" w:cs="Arial"/>
          <w:b/>
          <w:bCs/>
          <w:kern w:val="36"/>
          <w:sz w:val="22"/>
          <w:szCs w:val="22"/>
        </w:rPr>
        <w:t xml:space="preserve"> CASE</w:t>
      </w:r>
      <w:r w:rsidR="00C26B9C">
        <w:rPr>
          <w:rFonts w:ascii="Arial" w:hAnsi="Arial" w:cs="Arial"/>
          <w:b/>
          <w:bCs/>
          <w:kern w:val="36"/>
          <w:sz w:val="22"/>
          <w:szCs w:val="22"/>
        </w:rPr>
        <w:t xml:space="preserve"> PRESENTATION</w:t>
      </w:r>
      <w:r w:rsidR="00147EF2" w:rsidRPr="00147EF2">
        <w:rPr>
          <w:rFonts w:ascii="Arial" w:hAnsi="Arial" w:cs="Arial"/>
          <w:b/>
          <w:bCs/>
          <w:kern w:val="36"/>
          <w:sz w:val="22"/>
          <w:szCs w:val="22"/>
        </w:rPr>
        <w:t>:</w:t>
      </w:r>
    </w:p>
    <w:p w14:paraId="2A232E56" w14:textId="77777777" w:rsidR="00147EF2" w:rsidRPr="00147EF2" w:rsidRDefault="00147EF2" w:rsidP="00147EF2">
      <w:pPr>
        <w:shd w:val="clear" w:color="auto" w:fill="FFFFFF"/>
        <w:spacing w:before="100" w:beforeAutospacing="1" w:after="100" w:afterAutospacing="1"/>
        <w:jc w:val="both"/>
        <w:outlineLvl w:val="0"/>
        <w:rPr>
          <w:rFonts w:ascii="Arial" w:hAnsi="Arial" w:cs="Arial"/>
          <w:sz w:val="22"/>
          <w:szCs w:val="22"/>
          <w:lang w:eastAsia="tr-TR"/>
        </w:rPr>
      </w:pPr>
      <w:r w:rsidRPr="00147EF2">
        <w:rPr>
          <w:rFonts w:ascii="Arial" w:hAnsi="Arial" w:cs="Arial"/>
          <w:sz w:val="22"/>
          <w:szCs w:val="22"/>
          <w:lang w:eastAsia="tr-TR"/>
        </w:rPr>
        <w:t>A 79-year-old male with advanced dementia, hypertension, and type II diabetes mellitus was admitted following a severe pneumonia episode. The bedridden patient who has urinary and fecal incontinence, dependent on percutaneous endoscopic gastrostomy (PEG) feeding, exhibited non-cooperative behavior and cognitive disorientation.</w:t>
      </w:r>
    </w:p>
    <w:p w14:paraId="22B561B3" w14:textId="77777777" w:rsidR="00147EF2" w:rsidRPr="00147EF2" w:rsidRDefault="00147EF2" w:rsidP="00147EF2">
      <w:pPr>
        <w:shd w:val="clear" w:color="auto" w:fill="FFFFFF"/>
        <w:spacing w:before="100" w:beforeAutospacing="1" w:after="100" w:afterAutospacing="1"/>
        <w:jc w:val="both"/>
        <w:outlineLvl w:val="0"/>
        <w:rPr>
          <w:rFonts w:ascii="Arial" w:hAnsi="Arial" w:cs="Arial"/>
          <w:sz w:val="22"/>
          <w:szCs w:val="22"/>
          <w:lang w:eastAsia="tr-TR"/>
        </w:rPr>
      </w:pPr>
      <w:r w:rsidRPr="00147EF2">
        <w:rPr>
          <w:rFonts w:ascii="Arial" w:hAnsi="Arial" w:cs="Arial"/>
          <w:sz w:val="22"/>
          <w:szCs w:val="22"/>
          <w:lang w:eastAsia="tr-TR"/>
        </w:rPr>
        <w:t>During a 14-day intensive care unit (ICU) stay for pneumonia management, a Stage IV sacral pressure injury developed [</w:t>
      </w:r>
      <w:r w:rsidRPr="00C26B9C">
        <w:rPr>
          <w:rFonts w:ascii="Arial" w:hAnsi="Arial" w:cs="Arial"/>
          <w:sz w:val="22"/>
          <w:szCs w:val="22"/>
          <w:lang w:eastAsia="tr-TR"/>
        </w:rPr>
        <w:t>Fig</w:t>
      </w:r>
      <w:r w:rsidRPr="00147EF2">
        <w:rPr>
          <w:rFonts w:ascii="Arial" w:hAnsi="Arial" w:cs="Arial"/>
          <w:sz w:val="22"/>
          <w:szCs w:val="22"/>
          <w:lang w:eastAsia="tr-TR"/>
        </w:rPr>
        <w:t>ure 1a-c]. Initial treatment included daily wound cleansing with topical epithelizing agents, systemic piperacillin-tazobactam, and repositioning protocols. Despite these measures, progressive necrosis and cavitation were observed at palliative care transfer [</w:t>
      </w:r>
      <w:r w:rsidRPr="00C26B9C">
        <w:rPr>
          <w:rFonts w:ascii="Arial" w:hAnsi="Arial" w:cs="Arial"/>
          <w:sz w:val="22"/>
          <w:szCs w:val="22"/>
          <w:lang w:eastAsia="tr-TR"/>
        </w:rPr>
        <w:t>Fig</w:t>
      </w:r>
      <w:r w:rsidRPr="00147EF2">
        <w:rPr>
          <w:rFonts w:ascii="Arial" w:hAnsi="Arial" w:cs="Arial"/>
          <w:sz w:val="22"/>
          <w:szCs w:val="22"/>
          <w:lang w:eastAsia="tr-TR"/>
        </w:rPr>
        <w:t>ure 1c].</w:t>
      </w:r>
    </w:p>
    <w:p w14:paraId="2371DC4E" w14:textId="77777777" w:rsidR="00147EF2" w:rsidRPr="00147EF2" w:rsidRDefault="00147EF2" w:rsidP="00147EF2">
      <w:pPr>
        <w:shd w:val="clear" w:color="auto" w:fill="FFFFFF"/>
        <w:spacing w:before="100" w:beforeAutospacing="1" w:after="100" w:afterAutospacing="1"/>
        <w:jc w:val="both"/>
        <w:outlineLvl w:val="0"/>
        <w:rPr>
          <w:rFonts w:ascii="Arial" w:hAnsi="Arial" w:cs="Arial"/>
          <w:sz w:val="22"/>
          <w:szCs w:val="22"/>
          <w:shd w:val="clear" w:color="auto" w:fill="FFFFFF"/>
        </w:rPr>
      </w:pPr>
      <w:r w:rsidRPr="00147EF2">
        <w:rPr>
          <w:rFonts w:ascii="Arial" w:hAnsi="Arial" w:cs="Arial"/>
          <w:sz w:val="22"/>
          <w:szCs w:val="22"/>
          <w:lang w:eastAsia="tr-TR"/>
        </w:rPr>
        <w:t>On admission to palliative care, inflammatory markers included leukocytosis (WBC: 7,600/</w:t>
      </w:r>
      <w:proofErr w:type="spellStart"/>
      <w:r w:rsidRPr="00147EF2">
        <w:rPr>
          <w:rFonts w:ascii="Arial" w:hAnsi="Arial" w:cs="Arial"/>
          <w:sz w:val="22"/>
          <w:szCs w:val="22"/>
          <w:lang w:eastAsia="tr-TR"/>
        </w:rPr>
        <w:t>μL</w:t>
      </w:r>
      <w:proofErr w:type="spellEnd"/>
      <w:r w:rsidRPr="00147EF2">
        <w:rPr>
          <w:rFonts w:ascii="Arial" w:hAnsi="Arial" w:cs="Arial"/>
          <w:sz w:val="22"/>
          <w:szCs w:val="22"/>
          <w:lang w:eastAsia="tr-TR"/>
        </w:rPr>
        <w:t>) and elevated C-reactive protein (CRP: 209 mg/L). Wound cultures identified ESBL-producing </w:t>
      </w:r>
      <w:proofErr w:type="spellStart"/>
      <w:r w:rsidRPr="00147EF2">
        <w:rPr>
          <w:rFonts w:ascii="Arial" w:hAnsi="Arial" w:cs="Arial"/>
          <w:i/>
          <w:iCs/>
          <w:sz w:val="22"/>
          <w:szCs w:val="22"/>
          <w:lang w:eastAsia="tr-TR"/>
        </w:rPr>
        <w:t>Enterobacterales</w:t>
      </w:r>
      <w:proofErr w:type="spellEnd"/>
      <w:r w:rsidRPr="00147EF2">
        <w:rPr>
          <w:rFonts w:ascii="Arial" w:hAnsi="Arial" w:cs="Arial"/>
          <w:sz w:val="22"/>
          <w:szCs w:val="22"/>
          <w:lang w:eastAsia="tr-TR"/>
        </w:rPr>
        <w:t xml:space="preserve">, prompting escalation to intravenous </w:t>
      </w:r>
      <w:proofErr w:type="spellStart"/>
      <w:r w:rsidRPr="00147EF2">
        <w:rPr>
          <w:rFonts w:ascii="Arial" w:hAnsi="Arial" w:cs="Arial"/>
          <w:sz w:val="22"/>
          <w:szCs w:val="22"/>
          <w:lang w:eastAsia="tr-TR"/>
        </w:rPr>
        <w:t>tazocin</w:t>
      </w:r>
      <w:proofErr w:type="spellEnd"/>
      <w:r w:rsidRPr="00147EF2">
        <w:rPr>
          <w:rFonts w:ascii="Arial" w:hAnsi="Arial" w:cs="Arial"/>
          <w:sz w:val="22"/>
          <w:szCs w:val="22"/>
          <w:lang w:eastAsia="tr-TR"/>
        </w:rPr>
        <w:t xml:space="preserve">/sulbactam. </w:t>
      </w:r>
      <w:r w:rsidRPr="00147EF2">
        <w:rPr>
          <w:rFonts w:ascii="Arial" w:hAnsi="Arial" w:cs="Arial"/>
          <w:sz w:val="22"/>
          <w:szCs w:val="22"/>
        </w:rPr>
        <w:t xml:space="preserve">Accordingly, </w:t>
      </w:r>
      <w:r w:rsidRPr="00147EF2">
        <w:rPr>
          <w:rFonts w:ascii="Arial" w:hAnsi="Arial" w:cs="Arial"/>
          <w:b/>
          <w:bCs/>
          <w:i/>
          <w:iCs/>
          <w:sz w:val="22"/>
          <w:szCs w:val="22"/>
        </w:rPr>
        <w:t>the diagnosis of c</w:t>
      </w:r>
      <w:r w:rsidRPr="00147EF2">
        <w:rPr>
          <w:rFonts w:ascii="Arial" w:hAnsi="Arial" w:cs="Arial"/>
          <w:b/>
          <w:bCs/>
          <w:i/>
          <w:iCs/>
          <w:sz w:val="22"/>
          <w:szCs w:val="22"/>
          <w:shd w:val="clear" w:color="auto" w:fill="FFFFFF"/>
        </w:rPr>
        <w:t>avitated, infected, necrotic sacral defect</w:t>
      </w:r>
      <w:r w:rsidRPr="00147EF2">
        <w:rPr>
          <w:rFonts w:ascii="Arial" w:hAnsi="Arial" w:cs="Arial"/>
          <w:sz w:val="22"/>
          <w:szCs w:val="22"/>
          <w:shd w:val="clear" w:color="auto" w:fill="FFFFFF"/>
        </w:rPr>
        <w:t xml:space="preserve"> was made.</w:t>
      </w:r>
    </w:p>
    <w:p w14:paraId="621D72BA" w14:textId="77777777" w:rsidR="00147EF2" w:rsidRPr="00147EF2" w:rsidRDefault="00147EF2" w:rsidP="00147EF2">
      <w:pPr>
        <w:shd w:val="clear" w:color="auto" w:fill="FFFFFF"/>
        <w:spacing w:before="100" w:beforeAutospacing="1" w:after="100" w:afterAutospacing="1"/>
        <w:jc w:val="both"/>
        <w:outlineLvl w:val="0"/>
        <w:rPr>
          <w:rFonts w:ascii="Arial" w:hAnsi="Arial" w:cs="Arial"/>
          <w:sz w:val="22"/>
          <w:szCs w:val="22"/>
          <w:shd w:val="clear" w:color="auto" w:fill="FFFFFF"/>
        </w:rPr>
      </w:pPr>
      <w:r w:rsidRPr="00147EF2">
        <w:rPr>
          <w:rFonts w:ascii="Arial" w:hAnsi="Arial" w:cs="Arial"/>
          <w:sz w:val="22"/>
          <w:szCs w:val="22"/>
          <w:shd w:val="clear" w:color="auto" w:fill="FFFFFF"/>
        </w:rPr>
        <w:lastRenderedPageBreak/>
        <w:t>The wound was debrided and necrotic tissues were removed [</w:t>
      </w:r>
      <w:r w:rsidRPr="00C26B9C">
        <w:rPr>
          <w:rFonts w:ascii="Arial" w:hAnsi="Arial" w:cs="Arial"/>
          <w:sz w:val="22"/>
          <w:szCs w:val="22"/>
          <w:shd w:val="clear" w:color="auto" w:fill="FFFFFF"/>
        </w:rPr>
        <w:t>Fig</w:t>
      </w:r>
      <w:r w:rsidRPr="00147EF2">
        <w:rPr>
          <w:rFonts w:ascii="Arial" w:hAnsi="Arial" w:cs="Arial"/>
          <w:sz w:val="22"/>
          <w:szCs w:val="22"/>
          <w:shd w:val="clear" w:color="auto" w:fill="FFFFFF"/>
        </w:rPr>
        <w:t>ure 1d].</w:t>
      </w:r>
      <w:r w:rsidRPr="00147EF2">
        <w:rPr>
          <w:rFonts w:ascii="Arial" w:hAnsi="Arial" w:cs="Arial"/>
          <w:sz w:val="22"/>
          <w:szCs w:val="22"/>
        </w:rPr>
        <w:t xml:space="preserve"> </w:t>
      </w:r>
      <w:r w:rsidRPr="00147EF2">
        <w:rPr>
          <w:rFonts w:ascii="Arial" w:hAnsi="Arial" w:cs="Arial"/>
          <w:sz w:val="22"/>
          <w:szCs w:val="22"/>
          <w:shd w:val="clear" w:color="auto" w:fill="FFFFFF"/>
        </w:rPr>
        <w:t>Then, VAC with washing was applied 3 times by 3-day intervals. Debridement was performed again between every two sessions [</w:t>
      </w:r>
      <w:r w:rsidRPr="00C26B9C">
        <w:rPr>
          <w:rFonts w:ascii="Arial" w:hAnsi="Arial" w:cs="Arial"/>
          <w:sz w:val="22"/>
          <w:szCs w:val="22"/>
          <w:shd w:val="clear" w:color="auto" w:fill="FFFFFF"/>
        </w:rPr>
        <w:t>Fig</w:t>
      </w:r>
      <w:r w:rsidRPr="00147EF2">
        <w:rPr>
          <w:rFonts w:ascii="Arial" w:hAnsi="Arial" w:cs="Arial"/>
          <w:sz w:val="22"/>
          <w:szCs w:val="22"/>
          <w:shd w:val="clear" w:color="auto" w:fill="FFFFFF"/>
        </w:rPr>
        <w:t>ure 2a-c].</w:t>
      </w:r>
      <w:r w:rsidRPr="00147EF2">
        <w:rPr>
          <w:rFonts w:ascii="Arial" w:hAnsi="Arial" w:cs="Arial"/>
          <w:sz w:val="22"/>
          <w:szCs w:val="22"/>
        </w:rPr>
        <w:t xml:space="preserve"> </w:t>
      </w:r>
      <w:r w:rsidRPr="00147EF2">
        <w:rPr>
          <w:rFonts w:ascii="Arial" w:hAnsi="Arial" w:cs="Arial"/>
          <w:sz w:val="22"/>
          <w:szCs w:val="22"/>
          <w:shd w:val="clear" w:color="auto" w:fill="FFFFFF"/>
        </w:rPr>
        <w:t xml:space="preserve">Continuous VAC was used and gradually increased from 80 to 120 mmHg. We thought that VAC with </w:t>
      </w:r>
      <w:proofErr w:type="spellStart"/>
      <w:r w:rsidRPr="00147EF2">
        <w:rPr>
          <w:rFonts w:ascii="Arial" w:hAnsi="Arial" w:cs="Arial"/>
          <w:sz w:val="22"/>
          <w:szCs w:val="22"/>
          <w:shd w:val="clear" w:color="auto" w:fill="FFFFFF"/>
        </w:rPr>
        <w:t>debridments</w:t>
      </w:r>
      <w:proofErr w:type="spellEnd"/>
      <w:r w:rsidRPr="00147EF2">
        <w:rPr>
          <w:rFonts w:ascii="Arial" w:hAnsi="Arial" w:cs="Arial"/>
          <w:sz w:val="22"/>
          <w:szCs w:val="22"/>
          <w:shd w:val="clear" w:color="auto" w:fill="FFFFFF"/>
        </w:rPr>
        <w:t xml:space="preserve"> would not be sufficient and started LDT by using </w:t>
      </w:r>
      <w:r w:rsidRPr="00147EF2">
        <w:rPr>
          <w:rFonts w:ascii="Arial" w:hAnsi="Arial" w:cs="Arial"/>
          <w:i/>
          <w:iCs/>
          <w:sz w:val="22"/>
          <w:szCs w:val="22"/>
          <w:shd w:val="clear" w:color="auto" w:fill="FFFFFF"/>
        </w:rPr>
        <w:t>(</w:t>
      </w:r>
      <w:proofErr w:type="spellStart"/>
      <w:r w:rsidRPr="00147EF2">
        <w:rPr>
          <w:rFonts w:ascii="Arial" w:hAnsi="Arial" w:cs="Arial"/>
          <w:b/>
          <w:bCs/>
          <w:i/>
          <w:iCs/>
          <w:sz w:val="22"/>
          <w:szCs w:val="22"/>
          <w:shd w:val="clear" w:color="auto" w:fill="FFFFFF"/>
        </w:rPr>
        <w:t>Lucilia</w:t>
      </w:r>
      <w:proofErr w:type="spellEnd"/>
      <w:r w:rsidRPr="00147EF2">
        <w:rPr>
          <w:rFonts w:ascii="Arial" w:hAnsi="Arial" w:cs="Arial"/>
          <w:b/>
          <w:bCs/>
          <w:i/>
          <w:iCs/>
          <w:sz w:val="22"/>
          <w:szCs w:val="22"/>
          <w:shd w:val="clear" w:color="auto" w:fill="FFFFFF"/>
        </w:rPr>
        <w:t xml:space="preserve"> </w:t>
      </w:r>
      <w:proofErr w:type="spellStart"/>
      <w:r w:rsidRPr="00147EF2">
        <w:rPr>
          <w:rFonts w:ascii="Arial" w:hAnsi="Arial" w:cs="Arial"/>
          <w:b/>
          <w:bCs/>
          <w:i/>
          <w:iCs/>
          <w:sz w:val="22"/>
          <w:szCs w:val="22"/>
          <w:shd w:val="clear" w:color="auto" w:fill="FFFFFF"/>
        </w:rPr>
        <w:t>sericata</w:t>
      </w:r>
      <w:proofErr w:type="spellEnd"/>
      <w:r w:rsidRPr="00147EF2">
        <w:rPr>
          <w:rFonts w:ascii="Arial" w:hAnsi="Arial" w:cs="Arial"/>
          <w:i/>
          <w:iCs/>
          <w:sz w:val="22"/>
          <w:szCs w:val="22"/>
          <w:shd w:val="clear" w:color="auto" w:fill="FFFFFF"/>
        </w:rPr>
        <w:t>).</w:t>
      </w:r>
      <w:r w:rsidRPr="00147EF2">
        <w:rPr>
          <w:rFonts w:ascii="Arial" w:hAnsi="Arial" w:cs="Arial"/>
          <w:sz w:val="22"/>
          <w:szCs w:val="22"/>
          <w:shd w:val="clear" w:color="auto" w:fill="FFFFFF"/>
        </w:rPr>
        <w:t xml:space="preserve"> The results we obtained within one month were quite satisfactory [</w:t>
      </w:r>
      <w:r w:rsidRPr="00C26B9C">
        <w:rPr>
          <w:rFonts w:ascii="Arial" w:hAnsi="Arial" w:cs="Arial"/>
          <w:sz w:val="22"/>
          <w:szCs w:val="22"/>
          <w:shd w:val="clear" w:color="auto" w:fill="FFFFFF"/>
        </w:rPr>
        <w:t>Fig</w:t>
      </w:r>
      <w:r w:rsidRPr="00147EF2">
        <w:rPr>
          <w:rFonts w:ascii="Arial" w:hAnsi="Arial" w:cs="Arial"/>
          <w:sz w:val="22"/>
          <w:szCs w:val="22"/>
          <w:shd w:val="clear" w:color="auto" w:fill="FFFFFF"/>
        </w:rPr>
        <w:t>ure 3a-d]. Systemic antibiotics were stopped and enteral (by PEG) ciprofloxacin was started on the 15th day. By the day 30, the patient was able to be dressed with</w:t>
      </w:r>
      <w:r w:rsidRPr="00147EF2">
        <w:rPr>
          <w:rFonts w:ascii="Arial" w:hAnsi="Arial" w:cs="Arial"/>
          <w:sz w:val="22"/>
          <w:szCs w:val="22"/>
          <w:lang w:eastAsia="tr-TR"/>
        </w:rPr>
        <w:t xml:space="preserve"> granulation tissue covered &gt;90% of the wound surface</w:t>
      </w:r>
      <w:r w:rsidRPr="00147EF2">
        <w:rPr>
          <w:rFonts w:ascii="Arial" w:hAnsi="Arial" w:cs="Arial"/>
          <w:sz w:val="22"/>
          <w:szCs w:val="22"/>
          <w:shd w:val="clear" w:color="auto" w:fill="FFFFFF"/>
        </w:rPr>
        <w:t xml:space="preserve"> [</w:t>
      </w:r>
      <w:r w:rsidRPr="00C26B9C">
        <w:rPr>
          <w:rFonts w:ascii="Arial" w:hAnsi="Arial" w:cs="Arial"/>
          <w:sz w:val="22"/>
          <w:szCs w:val="22"/>
          <w:shd w:val="clear" w:color="auto" w:fill="FFFFFF"/>
        </w:rPr>
        <w:t>Fig</w:t>
      </w:r>
      <w:r w:rsidRPr="00147EF2">
        <w:rPr>
          <w:rFonts w:ascii="Arial" w:hAnsi="Arial" w:cs="Arial"/>
          <w:sz w:val="22"/>
          <w:szCs w:val="22"/>
          <w:shd w:val="clear" w:color="auto" w:fill="FFFFFF"/>
        </w:rPr>
        <w:t>ure 4]. He was sent home under the control of periodic home care service.</w:t>
      </w:r>
    </w:p>
    <w:p w14:paraId="1EC733F9" w14:textId="77777777" w:rsidR="00147EF2" w:rsidRPr="00147EF2" w:rsidRDefault="00147EF2" w:rsidP="00147EF2">
      <w:pPr>
        <w:pStyle w:val="HTMLPreformatted"/>
        <w:shd w:val="clear" w:color="auto" w:fill="FFFFFF" w:themeFill="background1"/>
        <w:spacing w:line="360" w:lineRule="auto"/>
        <w:rPr>
          <w:rFonts w:ascii="Arial" w:hAnsi="Arial" w:cs="Arial"/>
          <w:sz w:val="22"/>
          <w:szCs w:val="22"/>
          <w:shd w:val="clear" w:color="auto" w:fill="FFFFFF"/>
        </w:rPr>
      </w:pPr>
      <w:r w:rsidRPr="00147EF2">
        <w:rPr>
          <w:rFonts w:ascii="Arial" w:hAnsi="Arial" w:cs="Arial"/>
          <w:kern w:val="36"/>
          <w:sz w:val="22"/>
          <w:szCs w:val="22"/>
        </w:rPr>
        <w:t xml:space="preserve">The patient was not notified of any complications or adverse events during routine visits from our home care team. </w:t>
      </w:r>
    </w:p>
    <w:p w14:paraId="5B21883C" w14:textId="77777777" w:rsidR="00147EF2" w:rsidRPr="00147EF2" w:rsidRDefault="00147EF2" w:rsidP="00147EF2">
      <w:pPr>
        <w:shd w:val="clear" w:color="auto" w:fill="FFFFFF" w:themeFill="background1"/>
        <w:jc w:val="both"/>
        <w:rPr>
          <w:rFonts w:ascii="Arial" w:hAnsi="Arial" w:cs="Arial"/>
          <w:b/>
          <w:bCs/>
          <w:sz w:val="22"/>
          <w:szCs w:val="22"/>
        </w:rPr>
      </w:pPr>
    </w:p>
    <w:p w14:paraId="30744927" w14:textId="77777777" w:rsidR="00147EF2" w:rsidRPr="00147EF2" w:rsidRDefault="00206BD6" w:rsidP="00147EF2">
      <w:pPr>
        <w:shd w:val="clear" w:color="auto" w:fill="FFFFFF" w:themeFill="background1"/>
        <w:jc w:val="both"/>
        <w:rPr>
          <w:rFonts w:ascii="Arial" w:hAnsi="Arial" w:cs="Arial"/>
          <w:b/>
          <w:bCs/>
          <w:sz w:val="22"/>
          <w:szCs w:val="22"/>
        </w:rPr>
      </w:pPr>
      <w:r>
        <w:rPr>
          <w:rFonts w:ascii="Arial" w:hAnsi="Arial" w:cs="Arial"/>
          <w:b/>
          <w:bCs/>
          <w:sz w:val="22"/>
          <w:szCs w:val="22"/>
        </w:rPr>
        <w:t xml:space="preserve">3. </w:t>
      </w:r>
      <w:r w:rsidR="00147EF2" w:rsidRPr="00147EF2">
        <w:rPr>
          <w:rFonts w:ascii="Arial" w:hAnsi="Arial" w:cs="Arial"/>
          <w:b/>
          <w:bCs/>
          <w:sz w:val="22"/>
          <w:szCs w:val="22"/>
        </w:rPr>
        <w:t>DISCUSSION:</w:t>
      </w:r>
    </w:p>
    <w:p w14:paraId="78273176" w14:textId="77777777" w:rsidR="00147EF2" w:rsidRPr="00147EF2" w:rsidRDefault="00147EF2" w:rsidP="00147EF2">
      <w:pPr>
        <w:shd w:val="clear" w:color="auto" w:fill="FFFFFF"/>
        <w:spacing w:before="206" w:after="206"/>
        <w:jc w:val="both"/>
        <w:rPr>
          <w:rFonts w:ascii="Arial" w:hAnsi="Arial" w:cs="Arial"/>
          <w:sz w:val="22"/>
          <w:szCs w:val="22"/>
          <w:lang w:eastAsia="tr-TR"/>
        </w:rPr>
      </w:pPr>
      <w:r w:rsidRPr="00147EF2">
        <w:rPr>
          <w:rFonts w:ascii="Arial" w:hAnsi="Arial" w:cs="Arial"/>
          <w:sz w:val="22"/>
          <w:szCs w:val="22"/>
        </w:rPr>
        <w:t xml:space="preserve">A multidisciplinary approach is required to combat decubitus and pressure injuries [6]. In such cases, the situation is even more severe in comorbid, bedridden patients. The growth of stubborn microorganisms complicates the situation [6,7]. </w:t>
      </w:r>
      <w:r w:rsidRPr="00147EF2">
        <w:rPr>
          <w:rFonts w:ascii="Arial" w:hAnsi="Arial" w:cs="Arial"/>
          <w:sz w:val="22"/>
          <w:szCs w:val="22"/>
          <w:lang w:eastAsia="tr-TR"/>
        </w:rPr>
        <w:t xml:space="preserve">This case illustrates the critical role of staged biophysical therapies in managing complex PIs. While VAC therapy enhances angiogenesis and reduces edema, its efficacy is limited in biofilm-dominated infections [7,8]. </w:t>
      </w:r>
      <w:r w:rsidRPr="00147EF2">
        <w:rPr>
          <w:rFonts w:ascii="Arial" w:hAnsi="Arial" w:cs="Arial"/>
          <w:sz w:val="22"/>
          <w:szCs w:val="22"/>
        </w:rPr>
        <w:t xml:space="preserve">In some studies, VAC therapy was applied for a long time and was insufficient in some cases [8,9]. </w:t>
      </w:r>
      <w:r w:rsidRPr="00147EF2">
        <w:rPr>
          <w:rFonts w:ascii="Arial" w:hAnsi="Arial" w:cs="Arial"/>
          <w:sz w:val="22"/>
          <w:szCs w:val="22"/>
          <w:lang w:eastAsia="tr-TR"/>
        </w:rPr>
        <w:t xml:space="preserve">LDT complements mechanical debridement via proteolytic enzymes that target necrotic tissue while sparing viable matrix [10]. </w:t>
      </w:r>
      <w:r w:rsidRPr="00147EF2">
        <w:rPr>
          <w:rFonts w:ascii="Arial" w:hAnsi="Arial" w:cs="Arial"/>
          <w:sz w:val="22"/>
          <w:szCs w:val="22"/>
        </w:rPr>
        <w:t xml:space="preserve"> LDT was applied alone or in combination. In some studies, the protocol was applied and partial success was achieved [10,11].</w:t>
      </w:r>
      <w:r w:rsidRPr="00147EF2">
        <w:rPr>
          <w:rFonts w:ascii="Arial" w:hAnsi="Arial" w:cs="Arial"/>
          <w:sz w:val="22"/>
          <w:szCs w:val="22"/>
          <w:lang w:eastAsia="tr-TR"/>
        </w:rPr>
        <w:t xml:space="preserve"> The sequential protocol here aligns with findings by </w:t>
      </w:r>
      <w:proofErr w:type="spellStart"/>
      <w:r w:rsidRPr="00147EF2">
        <w:rPr>
          <w:rFonts w:ascii="Arial" w:hAnsi="Arial" w:cs="Arial"/>
          <w:sz w:val="22"/>
          <w:szCs w:val="22"/>
          <w:lang w:eastAsia="tr-TR"/>
        </w:rPr>
        <w:t>Steenvoorde</w:t>
      </w:r>
      <w:proofErr w:type="spellEnd"/>
      <w:r w:rsidRPr="00147EF2">
        <w:rPr>
          <w:rFonts w:ascii="Arial" w:hAnsi="Arial" w:cs="Arial"/>
          <w:sz w:val="22"/>
          <w:szCs w:val="22"/>
          <w:lang w:eastAsia="tr-TR"/>
        </w:rPr>
        <w:t xml:space="preserve"> who reported a 40% reduction in healing time with combined VAC-LDT approaches [12]. W</w:t>
      </w:r>
      <w:r w:rsidRPr="00147EF2">
        <w:rPr>
          <w:rFonts w:ascii="Arial" w:hAnsi="Arial" w:cs="Arial"/>
          <w:sz w:val="22"/>
          <w:szCs w:val="22"/>
        </w:rPr>
        <w:t>e applied both VAC and then LDT in order to accelerate the treatment with in the guidance of literature before the general condition deteriorated further.</w:t>
      </w:r>
      <w:r w:rsidRPr="00147EF2">
        <w:rPr>
          <w:rFonts w:ascii="Arial" w:hAnsi="Arial" w:cs="Arial"/>
          <w:sz w:val="22"/>
          <w:szCs w:val="22"/>
          <w:lang w:eastAsia="tr-TR"/>
        </w:rPr>
        <w:t xml:space="preserve"> </w:t>
      </w:r>
      <w:r w:rsidRPr="00147EF2">
        <w:rPr>
          <w:rFonts w:ascii="Arial" w:hAnsi="Arial" w:cs="Arial"/>
          <w:sz w:val="22"/>
          <w:szCs w:val="22"/>
        </w:rPr>
        <w:t xml:space="preserve"> We believe that we have given a good direction in the treatment of our patient by looking at his clinical course and general condition. </w:t>
      </w:r>
      <w:r w:rsidRPr="00147EF2">
        <w:rPr>
          <w:rFonts w:ascii="Arial" w:hAnsi="Arial" w:cs="Arial"/>
          <w:sz w:val="22"/>
          <w:szCs w:val="22"/>
          <w:lang w:eastAsia="tr-TR"/>
        </w:rPr>
        <w:t>However, the absence of randomized controls limits causal inference, a limitation common to single-case designs.</w:t>
      </w:r>
    </w:p>
    <w:p w14:paraId="12A162F9" w14:textId="77777777" w:rsidR="00147EF2" w:rsidRPr="00147EF2" w:rsidRDefault="00206BD6" w:rsidP="00147EF2">
      <w:pPr>
        <w:shd w:val="clear" w:color="auto" w:fill="FFFFFF" w:themeFill="background1"/>
        <w:jc w:val="both"/>
        <w:rPr>
          <w:rFonts w:ascii="Arial" w:hAnsi="Arial" w:cs="Arial"/>
          <w:b/>
          <w:bCs/>
          <w:sz w:val="22"/>
          <w:szCs w:val="22"/>
        </w:rPr>
      </w:pPr>
      <w:r>
        <w:rPr>
          <w:rFonts w:ascii="Arial" w:hAnsi="Arial" w:cs="Arial"/>
          <w:b/>
          <w:bCs/>
          <w:sz w:val="22"/>
          <w:szCs w:val="22"/>
        </w:rPr>
        <w:t xml:space="preserve">4. </w:t>
      </w:r>
      <w:r w:rsidR="00147EF2" w:rsidRPr="00147EF2">
        <w:rPr>
          <w:rFonts w:ascii="Arial" w:hAnsi="Arial" w:cs="Arial"/>
          <w:b/>
          <w:bCs/>
          <w:sz w:val="22"/>
          <w:szCs w:val="22"/>
        </w:rPr>
        <w:t>CONCLUSION:</w:t>
      </w:r>
    </w:p>
    <w:p w14:paraId="545E9B89" w14:textId="77777777" w:rsidR="00147EF2" w:rsidRPr="00147EF2" w:rsidRDefault="00147EF2" w:rsidP="00147EF2">
      <w:pPr>
        <w:shd w:val="clear" w:color="auto" w:fill="FFFFFF" w:themeFill="background1"/>
        <w:jc w:val="both"/>
        <w:rPr>
          <w:rFonts w:ascii="Arial" w:hAnsi="Arial" w:cs="Arial"/>
          <w:sz w:val="22"/>
          <w:szCs w:val="22"/>
        </w:rPr>
      </w:pPr>
      <w:r w:rsidRPr="00147EF2">
        <w:rPr>
          <w:rFonts w:ascii="Arial" w:hAnsi="Arial" w:cs="Arial"/>
          <w:sz w:val="22"/>
          <w:szCs w:val="22"/>
          <w:lang w:eastAsia="tr-TR"/>
        </w:rPr>
        <w:t xml:space="preserve">Complex pressure injuries in comorbid patients demand integrative strategies addressing microbial resistance, tissue perfusion, and biofilm persistence. </w:t>
      </w:r>
      <w:r w:rsidRPr="00147EF2">
        <w:rPr>
          <w:rFonts w:ascii="Arial" w:hAnsi="Arial" w:cs="Arial"/>
          <w:sz w:val="22"/>
          <w:szCs w:val="22"/>
        </w:rPr>
        <w:t>A multidisciplinary approach is very important in complicated pressure ulcers. In such cases, it would be appropriate to apply various and simultaneous treatments. We believe that simultaneous debridement and vacuum therapy followed by larval therapy, along with appropriate antibiotics and care support, will further increase success.</w:t>
      </w:r>
    </w:p>
    <w:p w14:paraId="4C81AFA2" w14:textId="77777777" w:rsidR="00B01FCD" w:rsidRDefault="00902823" w:rsidP="00147EF2">
      <w:pPr>
        <w:pStyle w:val="AbstHead"/>
        <w:spacing w:after="0"/>
        <w:jc w:val="both"/>
        <w:rPr>
          <w:rFonts w:ascii="Arial" w:hAnsi="Arial" w:cs="Arial"/>
        </w:rPr>
      </w:pPr>
      <w:r>
        <w:rPr>
          <w:rFonts w:ascii="Arial" w:hAnsi="Arial" w:cs="Arial"/>
        </w:rPr>
        <w:t xml:space="preserve"> </w:t>
      </w:r>
    </w:p>
    <w:p w14:paraId="7650730C" w14:textId="77777777" w:rsidR="0041027F" w:rsidRPr="00F469F0" w:rsidRDefault="0041027F" w:rsidP="00441B6F">
      <w:pPr>
        <w:pStyle w:val="ReferHead"/>
        <w:spacing w:after="0"/>
        <w:jc w:val="both"/>
        <w:rPr>
          <w:rFonts w:ascii="Arial" w:hAnsi="Arial" w:cs="Arial"/>
          <w:b w:val="0"/>
          <w:caps w:val="0"/>
          <w:sz w:val="20"/>
          <w:u w:val="single"/>
        </w:rPr>
      </w:pPr>
    </w:p>
    <w:p w14:paraId="075A8A0D" w14:textId="77777777" w:rsidR="00860000" w:rsidRDefault="00860000" w:rsidP="00441B6F">
      <w:pPr>
        <w:pStyle w:val="ReferHead"/>
        <w:spacing w:after="0"/>
        <w:jc w:val="both"/>
        <w:rPr>
          <w:rFonts w:ascii="Arial" w:hAnsi="Arial" w:cs="Arial"/>
        </w:rPr>
      </w:pPr>
    </w:p>
    <w:p w14:paraId="376EBD6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E6530D3" w14:textId="77777777" w:rsidR="00790ADA" w:rsidRPr="00FB3A86" w:rsidRDefault="00790ADA" w:rsidP="00441B6F">
      <w:pPr>
        <w:pStyle w:val="ReferHead"/>
        <w:spacing w:after="0"/>
        <w:jc w:val="both"/>
        <w:rPr>
          <w:rFonts w:ascii="Arial" w:hAnsi="Arial" w:cs="Arial"/>
        </w:rPr>
      </w:pPr>
    </w:p>
    <w:p w14:paraId="7B0ED3A8" w14:textId="77777777" w:rsidR="00995B51" w:rsidRPr="00995B51" w:rsidRDefault="00995B51" w:rsidP="00A13FBC">
      <w:pPr>
        <w:pStyle w:val="HTMLPreformatted"/>
        <w:numPr>
          <w:ilvl w:val="0"/>
          <w:numId w:val="31"/>
        </w:numPr>
        <w:shd w:val="clear" w:color="auto" w:fill="FFFFFF" w:themeFill="background1"/>
        <w:spacing w:line="360" w:lineRule="auto"/>
        <w:rPr>
          <w:rFonts w:ascii="Arial" w:hAnsi="Arial" w:cs="Arial"/>
          <w:sz w:val="22"/>
          <w:szCs w:val="22"/>
        </w:rPr>
      </w:pPr>
      <w:r w:rsidRPr="00995B51">
        <w:rPr>
          <w:rFonts w:ascii="Arial" w:hAnsi="Arial" w:cs="Arial"/>
          <w:sz w:val="22"/>
          <w:szCs w:val="22"/>
        </w:rPr>
        <w:t>Klein TM, Andrees V, Kirsten N, Protz K, Augustin M, Blome C</w:t>
      </w:r>
      <w:r w:rsidR="00A13FBC">
        <w:rPr>
          <w:rFonts w:ascii="Arial" w:hAnsi="Arial" w:cs="Arial"/>
          <w:sz w:val="22"/>
          <w:szCs w:val="22"/>
        </w:rPr>
        <w:t>. (</w:t>
      </w:r>
      <w:r w:rsidR="00A13FBC" w:rsidRPr="00995B51">
        <w:rPr>
          <w:rFonts w:ascii="Arial" w:hAnsi="Arial" w:cs="Arial"/>
          <w:sz w:val="22"/>
          <w:szCs w:val="22"/>
        </w:rPr>
        <w:t>2021</w:t>
      </w:r>
      <w:r w:rsidR="00A13FBC">
        <w:rPr>
          <w:rFonts w:ascii="Arial" w:hAnsi="Arial" w:cs="Arial"/>
          <w:sz w:val="22"/>
          <w:szCs w:val="22"/>
        </w:rPr>
        <w:t>)</w:t>
      </w:r>
      <w:r w:rsidRPr="00995B51">
        <w:rPr>
          <w:rFonts w:ascii="Arial" w:hAnsi="Arial" w:cs="Arial"/>
          <w:sz w:val="22"/>
          <w:szCs w:val="22"/>
        </w:rPr>
        <w:t xml:space="preserve"> Social participation of people with chronic wounds: A systematic review. Int Wound J.</w:t>
      </w:r>
      <w:r w:rsidR="00A13FBC">
        <w:rPr>
          <w:rFonts w:ascii="Arial" w:hAnsi="Arial" w:cs="Arial"/>
          <w:sz w:val="22"/>
          <w:szCs w:val="22"/>
        </w:rPr>
        <w:t xml:space="preserve"> </w:t>
      </w:r>
      <w:r w:rsidRPr="00995B51">
        <w:rPr>
          <w:rFonts w:ascii="Arial" w:hAnsi="Arial" w:cs="Arial"/>
          <w:sz w:val="22"/>
          <w:szCs w:val="22"/>
        </w:rPr>
        <w:t xml:space="preserve">18(3):287-311. </w:t>
      </w:r>
      <w:hyperlink r:id="rId8" w:history="1">
        <w:r w:rsidRPr="00995B51">
          <w:rPr>
            <w:rStyle w:val="Hyperlink"/>
            <w:rFonts w:ascii="Arial" w:hAnsi="Arial" w:cs="Arial"/>
            <w:sz w:val="22"/>
            <w:szCs w:val="22"/>
          </w:rPr>
          <w:t>https://doi.org/10.1111/iwj.13533</w:t>
        </w:r>
      </w:hyperlink>
      <w:r>
        <w:rPr>
          <w:rFonts w:ascii="Arial" w:hAnsi="Arial" w:cs="Arial"/>
          <w:sz w:val="22"/>
          <w:szCs w:val="22"/>
        </w:rPr>
        <w:t xml:space="preserve"> </w:t>
      </w:r>
    </w:p>
    <w:p w14:paraId="02DADF67" w14:textId="77777777" w:rsidR="00995B51" w:rsidRPr="00995B51" w:rsidRDefault="00995B51" w:rsidP="00A13FBC">
      <w:pPr>
        <w:pStyle w:val="HTMLPreformatted"/>
        <w:numPr>
          <w:ilvl w:val="0"/>
          <w:numId w:val="31"/>
        </w:numPr>
        <w:shd w:val="clear" w:color="auto" w:fill="FFFFFF" w:themeFill="background1"/>
        <w:spacing w:line="360" w:lineRule="auto"/>
        <w:rPr>
          <w:rFonts w:ascii="Arial" w:hAnsi="Arial" w:cs="Arial"/>
          <w:sz w:val="22"/>
          <w:szCs w:val="22"/>
        </w:rPr>
      </w:pPr>
      <w:r w:rsidRPr="00995B51">
        <w:rPr>
          <w:rFonts w:ascii="Arial" w:hAnsi="Arial" w:cs="Arial"/>
          <w:sz w:val="22"/>
          <w:szCs w:val="22"/>
        </w:rPr>
        <w:t>Sydnor ER, Perl TM</w:t>
      </w:r>
      <w:r w:rsidR="00A13FBC">
        <w:rPr>
          <w:rFonts w:ascii="Arial" w:hAnsi="Arial" w:cs="Arial"/>
          <w:sz w:val="22"/>
          <w:szCs w:val="22"/>
        </w:rPr>
        <w:t>.</w:t>
      </w:r>
      <w:r w:rsidRPr="00995B51">
        <w:rPr>
          <w:rFonts w:ascii="Arial" w:hAnsi="Arial" w:cs="Arial"/>
          <w:sz w:val="22"/>
          <w:szCs w:val="22"/>
        </w:rPr>
        <w:t xml:space="preserve"> </w:t>
      </w:r>
      <w:r w:rsidR="00A13FBC">
        <w:rPr>
          <w:rFonts w:ascii="Arial" w:hAnsi="Arial" w:cs="Arial"/>
          <w:sz w:val="22"/>
          <w:szCs w:val="22"/>
        </w:rPr>
        <w:t>(</w:t>
      </w:r>
      <w:r w:rsidR="00A13FBC" w:rsidRPr="00995B51">
        <w:rPr>
          <w:rFonts w:ascii="Arial" w:hAnsi="Arial" w:cs="Arial"/>
          <w:sz w:val="22"/>
          <w:szCs w:val="22"/>
        </w:rPr>
        <w:t>2011</w:t>
      </w:r>
      <w:r w:rsidR="00A13FBC">
        <w:rPr>
          <w:rFonts w:ascii="Arial" w:hAnsi="Arial" w:cs="Arial"/>
          <w:sz w:val="22"/>
          <w:szCs w:val="22"/>
        </w:rPr>
        <w:t xml:space="preserve">) </w:t>
      </w:r>
      <w:r w:rsidRPr="00995B51">
        <w:rPr>
          <w:rFonts w:ascii="Arial" w:hAnsi="Arial" w:cs="Arial"/>
          <w:sz w:val="22"/>
          <w:szCs w:val="22"/>
        </w:rPr>
        <w:t>Hospital epidemiology and infection control in acute-care settings. Clin Microbiol Rev.</w:t>
      </w:r>
      <w:r w:rsidR="003473EC">
        <w:rPr>
          <w:rFonts w:ascii="Arial" w:hAnsi="Arial" w:cs="Arial"/>
          <w:sz w:val="22"/>
          <w:szCs w:val="22"/>
        </w:rPr>
        <w:t xml:space="preserve"> </w:t>
      </w:r>
      <w:r w:rsidRPr="00995B51">
        <w:rPr>
          <w:rFonts w:ascii="Arial" w:hAnsi="Arial" w:cs="Arial"/>
          <w:sz w:val="22"/>
          <w:szCs w:val="22"/>
        </w:rPr>
        <w:t xml:space="preserve">24(1):141-173. </w:t>
      </w:r>
      <w:hyperlink r:id="rId9" w:history="1">
        <w:r w:rsidRPr="00995B51">
          <w:rPr>
            <w:rStyle w:val="Hyperlink"/>
            <w:rFonts w:ascii="Arial" w:hAnsi="Arial" w:cs="Arial"/>
            <w:sz w:val="22"/>
            <w:szCs w:val="22"/>
          </w:rPr>
          <w:t>https://doi.org/10.1128/CMR.00027-10</w:t>
        </w:r>
      </w:hyperlink>
      <w:r w:rsidRPr="00995B51">
        <w:rPr>
          <w:rFonts w:ascii="Arial" w:hAnsi="Arial" w:cs="Arial"/>
          <w:sz w:val="22"/>
          <w:szCs w:val="22"/>
        </w:rPr>
        <w:t xml:space="preserve"> </w:t>
      </w:r>
    </w:p>
    <w:p w14:paraId="21B92034" w14:textId="77777777" w:rsidR="00995B51" w:rsidRPr="00995B51" w:rsidRDefault="00995B51" w:rsidP="003473EC">
      <w:pPr>
        <w:pStyle w:val="HTMLPreformatted"/>
        <w:numPr>
          <w:ilvl w:val="0"/>
          <w:numId w:val="31"/>
        </w:numPr>
        <w:shd w:val="clear" w:color="auto" w:fill="FFFFFF" w:themeFill="background1"/>
        <w:spacing w:line="360" w:lineRule="auto"/>
        <w:rPr>
          <w:rFonts w:ascii="Arial" w:hAnsi="Arial" w:cs="Arial"/>
          <w:sz w:val="22"/>
          <w:szCs w:val="22"/>
        </w:rPr>
      </w:pPr>
      <w:proofErr w:type="spellStart"/>
      <w:r w:rsidRPr="00995B51">
        <w:rPr>
          <w:rFonts w:ascii="Arial" w:hAnsi="Arial" w:cs="Arial"/>
          <w:sz w:val="22"/>
          <w:szCs w:val="22"/>
        </w:rPr>
        <w:t>Hakkarainen</w:t>
      </w:r>
      <w:proofErr w:type="spellEnd"/>
      <w:r w:rsidRPr="00995B51">
        <w:rPr>
          <w:rFonts w:ascii="Arial" w:hAnsi="Arial" w:cs="Arial"/>
          <w:sz w:val="22"/>
          <w:szCs w:val="22"/>
        </w:rPr>
        <w:t xml:space="preserve"> TW, </w:t>
      </w:r>
      <w:proofErr w:type="spellStart"/>
      <w:r w:rsidRPr="00995B51">
        <w:rPr>
          <w:rFonts w:ascii="Arial" w:hAnsi="Arial" w:cs="Arial"/>
          <w:sz w:val="22"/>
          <w:szCs w:val="22"/>
        </w:rPr>
        <w:t>Kopari</w:t>
      </w:r>
      <w:proofErr w:type="spellEnd"/>
      <w:r w:rsidRPr="00995B51">
        <w:rPr>
          <w:rFonts w:ascii="Arial" w:hAnsi="Arial" w:cs="Arial"/>
          <w:sz w:val="22"/>
          <w:szCs w:val="22"/>
        </w:rPr>
        <w:t xml:space="preserve"> NM, Pham TN, Evans HL. </w:t>
      </w:r>
      <w:r w:rsidR="003473EC">
        <w:rPr>
          <w:rFonts w:ascii="Arial" w:hAnsi="Arial" w:cs="Arial"/>
          <w:sz w:val="22"/>
          <w:szCs w:val="22"/>
        </w:rPr>
        <w:t>(</w:t>
      </w:r>
      <w:r w:rsidR="003473EC" w:rsidRPr="00995B51">
        <w:rPr>
          <w:rFonts w:ascii="Arial" w:hAnsi="Arial" w:cs="Arial"/>
          <w:sz w:val="22"/>
          <w:szCs w:val="22"/>
        </w:rPr>
        <w:t>2014</w:t>
      </w:r>
      <w:r w:rsidR="003473EC">
        <w:rPr>
          <w:rFonts w:ascii="Arial" w:hAnsi="Arial" w:cs="Arial"/>
          <w:sz w:val="22"/>
          <w:szCs w:val="22"/>
        </w:rPr>
        <w:t xml:space="preserve">) </w:t>
      </w:r>
      <w:r w:rsidRPr="00995B51">
        <w:rPr>
          <w:rFonts w:ascii="Arial" w:hAnsi="Arial" w:cs="Arial"/>
          <w:sz w:val="22"/>
          <w:szCs w:val="22"/>
        </w:rPr>
        <w:t xml:space="preserve">Necrotizing soft tissue infections: review and current concepts in treatment, systems of care, and outcomes. </w:t>
      </w:r>
      <w:proofErr w:type="spellStart"/>
      <w:r w:rsidRPr="00995B51">
        <w:rPr>
          <w:rFonts w:ascii="Arial" w:hAnsi="Arial" w:cs="Arial"/>
          <w:sz w:val="22"/>
          <w:szCs w:val="22"/>
        </w:rPr>
        <w:t>Curr</w:t>
      </w:r>
      <w:proofErr w:type="spellEnd"/>
      <w:r w:rsidRPr="00995B51">
        <w:rPr>
          <w:rFonts w:ascii="Arial" w:hAnsi="Arial" w:cs="Arial"/>
          <w:sz w:val="22"/>
          <w:szCs w:val="22"/>
        </w:rPr>
        <w:t xml:space="preserve"> </w:t>
      </w:r>
      <w:proofErr w:type="spellStart"/>
      <w:r w:rsidRPr="00995B51">
        <w:rPr>
          <w:rFonts w:ascii="Arial" w:hAnsi="Arial" w:cs="Arial"/>
          <w:sz w:val="22"/>
          <w:szCs w:val="22"/>
        </w:rPr>
        <w:t>Probl</w:t>
      </w:r>
      <w:proofErr w:type="spellEnd"/>
      <w:r w:rsidRPr="00995B51">
        <w:rPr>
          <w:rFonts w:ascii="Arial" w:hAnsi="Arial" w:cs="Arial"/>
          <w:sz w:val="22"/>
          <w:szCs w:val="22"/>
        </w:rPr>
        <w:t xml:space="preserve"> Surg.</w:t>
      </w:r>
      <w:r w:rsidR="003473EC" w:rsidRPr="00995B51">
        <w:rPr>
          <w:rFonts w:ascii="Arial" w:hAnsi="Arial" w:cs="Arial"/>
          <w:sz w:val="22"/>
          <w:szCs w:val="22"/>
        </w:rPr>
        <w:t xml:space="preserve"> </w:t>
      </w:r>
      <w:r w:rsidRPr="00995B51">
        <w:rPr>
          <w:rFonts w:ascii="Arial" w:hAnsi="Arial" w:cs="Arial"/>
          <w:sz w:val="22"/>
          <w:szCs w:val="22"/>
        </w:rPr>
        <w:t xml:space="preserve">51(8):344-362. </w:t>
      </w:r>
      <w:hyperlink r:id="rId10" w:history="1">
        <w:r w:rsidRPr="00995B51">
          <w:rPr>
            <w:rStyle w:val="Hyperlink"/>
            <w:rFonts w:ascii="Arial" w:hAnsi="Arial" w:cs="Arial"/>
            <w:sz w:val="22"/>
            <w:szCs w:val="22"/>
          </w:rPr>
          <w:t>https://doi.org:10.1067/j.cpsurg.2014.06.001</w:t>
        </w:r>
      </w:hyperlink>
      <w:r w:rsidRPr="00995B51">
        <w:rPr>
          <w:rFonts w:ascii="Arial" w:hAnsi="Arial" w:cs="Arial"/>
          <w:sz w:val="22"/>
          <w:szCs w:val="22"/>
        </w:rPr>
        <w:t xml:space="preserve"> </w:t>
      </w:r>
    </w:p>
    <w:p w14:paraId="56151DB1" w14:textId="77777777" w:rsidR="00995B51" w:rsidRPr="00995B51" w:rsidRDefault="00995B51" w:rsidP="00197C1C">
      <w:pPr>
        <w:pStyle w:val="HTMLPreformatted"/>
        <w:numPr>
          <w:ilvl w:val="0"/>
          <w:numId w:val="31"/>
        </w:numPr>
        <w:shd w:val="clear" w:color="auto" w:fill="FFFFFF" w:themeFill="background1"/>
        <w:spacing w:line="360" w:lineRule="auto"/>
        <w:rPr>
          <w:rFonts w:ascii="Arial" w:hAnsi="Arial" w:cs="Arial"/>
          <w:sz w:val="22"/>
          <w:szCs w:val="22"/>
        </w:rPr>
      </w:pPr>
      <w:proofErr w:type="spellStart"/>
      <w:r w:rsidRPr="00995B51">
        <w:rPr>
          <w:rFonts w:ascii="Arial" w:hAnsi="Arial" w:cs="Arial"/>
          <w:sz w:val="22"/>
          <w:szCs w:val="22"/>
        </w:rPr>
        <w:t>Cangel</w:t>
      </w:r>
      <w:proofErr w:type="spellEnd"/>
      <w:r w:rsidRPr="00995B51">
        <w:rPr>
          <w:rFonts w:ascii="Arial" w:hAnsi="Arial" w:cs="Arial"/>
          <w:sz w:val="22"/>
          <w:szCs w:val="22"/>
        </w:rPr>
        <w:t xml:space="preserve"> U, </w:t>
      </w:r>
      <w:proofErr w:type="spellStart"/>
      <w:r w:rsidRPr="00995B51">
        <w:rPr>
          <w:rFonts w:ascii="Arial" w:hAnsi="Arial" w:cs="Arial"/>
          <w:sz w:val="22"/>
          <w:szCs w:val="22"/>
        </w:rPr>
        <w:t>Sirekbasan</w:t>
      </w:r>
      <w:proofErr w:type="spellEnd"/>
      <w:r w:rsidRPr="00995B51">
        <w:rPr>
          <w:rFonts w:ascii="Arial" w:hAnsi="Arial" w:cs="Arial"/>
          <w:sz w:val="22"/>
          <w:szCs w:val="22"/>
        </w:rPr>
        <w:t xml:space="preserve"> S, Polat E. </w:t>
      </w:r>
      <w:r w:rsidR="00197C1C">
        <w:rPr>
          <w:rFonts w:ascii="Arial" w:hAnsi="Arial" w:cs="Arial"/>
          <w:sz w:val="22"/>
          <w:szCs w:val="22"/>
        </w:rPr>
        <w:t>(</w:t>
      </w:r>
      <w:r w:rsidR="00197C1C" w:rsidRPr="00995B51">
        <w:rPr>
          <w:rFonts w:ascii="Arial" w:hAnsi="Arial" w:cs="Arial"/>
          <w:sz w:val="22"/>
          <w:szCs w:val="22"/>
        </w:rPr>
        <w:t>2022</w:t>
      </w:r>
      <w:r w:rsidR="00197C1C">
        <w:rPr>
          <w:rFonts w:ascii="Arial" w:hAnsi="Arial" w:cs="Arial"/>
          <w:sz w:val="22"/>
          <w:szCs w:val="22"/>
        </w:rPr>
        <w:t xml:space="preserve">) </w:t>
      </w:r>
      <w:r w:rsidRPr="00995B51">
        <w:rPr>
          <w:rFonts w:ascii="Arial" w:hAnsi="Arial" w:cs="Arial"/>
          <w:sz w:val="22"/>
          <w:szCs w:val="22"/>
        </w:rPr>
        <w:t xml:space="preserve">Comparison of Larval Therapy and Vacuum-Assisted Closure Therapy after Revascularization in Peripheral Artery Disease Patients with Ischemic Wounds. Evid </w:t>
      </w:r>
      <w:r w:rsidRPr="00995B51">
        <w:rPr>
          <w:rFonts w:ascii="Arial" w:hAnsi="Arial" w:cs="Arial"/>
          <w:sz w:val="22"/>
          <w:szCs w:val="22"/>
        </w:rPr>
        <w:lastRenderedPageBreak/>
        <w:t>Based Complement Alternat Med.</w:t>
      </w:r>
      <w:r w:rsidR="00197C1C">
        <w:rPr>
          <w:rFonts w:ascii="Arial" w:hAnsi="Arial" w:cs="Arial"/>
          <w:sz w:val="22"/>
          <w:szCs w:val="22"/>
        </w:rPr>
        <w:t xml:space="preserve"> </w:t>
      </w:r>
      <w:r w:rsidRPr="00995B51">
        <w:rPr>
          <w:rFonts w:ascii="Arial" w:hAnsi="Arial" w:cs="Arial"/>
          <w:sz w:val="22"/>
          <w:szCs w:val="22"/>
        </w:rPr>
        <w:t xml:space="preserve">2022:8148298. Published 2022 Mar 29. </w:t>
      </w:r>
      <w:hyperlink r:id="rId11" w:history="1">
        <w:r w:rsidRPr="00995B51">
          <w:rPr>
            <w:rStyle w:val="Hyperlink"/>
            <w:rFonts w:ascii="Arial" w:hAnsi="Arial" w:cs="Arial"/>
            <w:sz w:val="22"/>
            <w:szCs w:val="22"/>
          </w:rPr>
          <w:t>https://doi.org/10.1155/2022/8148298</w:t>
        </w:r>
      </w:hyperlink>
      <w:r w:rsidRPr="00995B51">
        <w:rPr>
          <w:rFonts w:ascii="Arial" w:hAnsi="Arial" w:cs="Arial"/>
          <w:sz w:val="22"/>
          <w:szCs w:val="22"/>
        </w:rPr>
        <w:t xml:space="preserve"> </w:t>
      </w:r>
    </w:p>
    <w:p w14:paraId="032105FE" w14:textId="77777777" w:rsidR="00995B51" w:rsidRPr="00995B51" w:rsidRDefault="00995B51" w:rsidP="00197C1C">
      <w:pPr>
        <w:pStyle w:val="HTMLPreformatted"/>
        <w:numPr>
          <w:ilvl w:val="0"/>
          <w:numId w:val="31"/>
        </w:numPr>
        <w:shd w:val="clear" w:color="auto" w:fill="FFFFFF" w:themeFill="background1"/>
        <w:spacing w:line="360" w:lineRule="auto"/>
        <w:rPr>
          <w:rFonts w:ascii="Arial" w:hAnsi="Arial" w:cs="Arial"/>
          <w:sz w:val="22"/>
          <w:szCs w:val="22"/>
        </w:rPr>
      </w:pPr>
      <w:proofErr w:type="spellStart"/>
      <w:r w:rsidRPr="00995B51">
        <w:rPr>
          <w:rFonts w:ascii="Arial" w:hAnsi="Arial" w:cs="Arial"/>
          <w:sz w:val="22"/>
          <w:szCs w:val="22"/>
        </w:rPr>
        <w:t>Parizad</w:t>
      </w:r>
      <w:proofErr w:type="spellEnd"/>
      <w:r w:rsidRPr="00995B51">
        <w:rPr>
          <w:rFonts w:ascii="Arial" w:hAnsi="Arial" w:cs="Arial"/>
          <w:sz w:val="22"/>
          <w:szCs w:val="22"/>
        </w:rPr>
        <w:t xml:space="preserve"> N, </w:t>
      </w:r>
      <w:proofErr w:type="spellStart"/>
      <w:r w:rsidRPr="00995B51">
        <w:rPr>
          <w:rFonts w:ascii="Arial" w:hAnsi="Arial" w:cs="Arial"/>
          <w:sz w:val="22"/>
          <w:szCs w:val="22"/>
        </w:rPr>
        <w:t>Hajimohammadi</w:t>
      </w:r>
      <w:proofErr w:type="spellEnd"/>
      <w:r w:rsidRPr="00995B51">
        <w:rPr>
          <w:rFonts w:ascii="Arial" w:hAnsi="Arial" w:cs="Arial"/>
          <w:sz w:val="22"/>
          <w:szCs w:val="22"/>
        </w:rPr>
        <w:t xml:space="preserve"> K, </w:t>
      </w:r>
      <w:proofErr w:type="spellStart"/>
      <w:r w:rsidRPr="00995B51">
        <w:rPr>
          <w:rFonts w:ascii="Arial" w:hAnsi="Arial" w:cs="Arial"/>
          <w:sz w:val="22"/>
          <w:szCs w:val="22"/>
        </w:rPr>
        <w:t>Goli</w:t>
      </w:r>
      <w:proofErr w:type="spellEnd"/>
      <w:r w:rsidRPr="00995B51">
        <w:rPr>
          <w:rFonts w:ascii="Arial" w:hAnsi="Arial" w:cs="Arial"/>
          <w:sz w:val="22"/>
          <w:szCs w:val="22"/>
        </w:rPr>
        <w:t xml:space="preserve"> R. </w:t>
      </w:r>
      <w:r w:rsidR="00197C1C">
        <w:rPr>
          <w:rFonts w:ascii="Arial" w:hAnsi="Arial" w:cs="Arial"/>
          <w:sz w:val="22"/>
          <w:szCs w:val="22"/>
        </w:rPr>
        <w:t>(</w:t>
      </w:r>
      <w:r w:rsidR="00197C1C" w:rsidRPr="00995B51">
        <w:rPr>
          <w:rFonts w:ascii="Arial" w:hAnsi="Arial" w:cs="Arial"/>
          <w:sz w:val="22"/>
          <w:szCs w:val="22"/>
        </w:rPr>
        <w:t>2021</w:t>
      </w:r>
      <w:r w:rsidR="00197C1C">
        <w:rPr>
          <w:rFonts w:ascii="Arial" w:hAnsi="Arial" w:cs="Arial"/>
          <w:sz w:val="22"/>
          <w:szCs w:val="22"/>
        </w:rPr>
        <w:t xml:space="preserve">) </w:t>
      </w:r>
      <w:r w:rsidRPr="00995B51">
        <w:rPr>
          <w:rFonts w:ascii="Arial" w:hAnsi="Arial" w:cs="Arial"/>
          <w:sz w:val="22"/>
          <w:szCs w:val="22"/>
        </w:rPr>
        <w:t>Surgical debridement, maggot therapy, negative pressure wound therapy, and silver foam dressing revive hope for patients with diabetic foot ulcer: A case report. Int J Surg Case Rep.</w:t>
      </w:r>
      <w:r w:rsidR="00197C1C">
        <w:rPr>
          <w:rFonts w:ascii="Arial" w:hAnsi="Arial" w:cs="Arial"/>
          <w:sz w:val="22"/>
          <w:szCs w:val="22"/>
        </w:rPr>
        <w:t xml:space="preserve"> </w:t>
      </w:r>
      <w:r w:rsidRPr="00995B51">
        <w:rPr>
          <w:rFonts w:ascii="Arial" w:hAnsi="Arial" w:cs="Arial"/>
          <w:sz w:val="22"/>
          <w:szCs w:val="22"/>
        </w:rPr>
        <w:t xml:space="preserve">82:105931. </w:t>
      </w:r>
      <w:hyperlink r:id="rId12" w:history="1">
        <w:r w:rsidRPr="00995B51">
          <w:rPr>
            <w:rStyle w:val="Hyperlink"/>
            <w:rFonts w:ascii="Arial" w:hAnsi="Arial" w:cs="Arial"/>
            <w:sz w:val="22"/>
            <w:szCs w:val="22"/>
          </w:rPr>
          <w:t>https://doi.org/10.1016/j.ijscr.2021.105931</w:t>
        </w:r>
      </w:hyperlink>
      <w:r w:rsidRPr="00995B51">
        <w:rPr>
          <w:rFonts w:ascii="Arial" w:hAnsi="Arial" w:cs="Arial"/>
          <w:sz w:val="22"/>
          <w:szCs w:val="22"/>
        </w:rPr>
        <w:t xml:space="preserve"> </w:t>
      </w:r>
    </w:p>
    <w:p w14:paraId="24EF89F6" w14:textId="77777777" w:rsidR="00995B51" w:rsidRPr="00995B51" w:rsidRDefault="00995B51" w:rsidP="00947E99">
      <w:pPr>
        <w:pStyle w:val="HTMLPreformatted"/>
        <w:numPr>
          <w:ilvl w:val="0"/>
          <w:numId w:val="31"/>
        </w:numPr>
        <w:shd w:val="clear" w:color="auto" w:fill="FFFFFF" w:themeFill="background1"/>
        <w:spacing w:line="360" w:lineRule="auto"/>
        <w:rPr>
          <w:rFonts w:ascii="Arial" w:hAnsi="Arial" w:cs="Arial"/>
          <w:sz w:val="22"/>
          <w:szCs w:val="22"/>
        </w:rPr>
      </w:pPr>
      <w:r w:rsidRPr="00995B51">
        <w:rPr>
          <w:rFonts w:ascii="Arial" w:hAnsi="Arial" w:cs="Arial"/>
          <w:sz w:val="22"/>
          <w:szCs w:val="22"/>
        </w:rPr>
        <w:t xml:space="preserve">Samuriwo R. </w:t>
      </w:r>
      <w:r w:rsidR="00947E99">
        <w:rPr>
          <w:rFonts w:ascii="Arial" w:hAnsi="Arial" w:cs="Arial"/>
          <w:sz w:val="22"/>
          <w:szCs w:val="22"/>
        </w:rPr>
        <w:t>(</w:t>
      </w:r>
      <w:r w:rsidR="00947E99" w:rsidRPr="00995B51">
        <w:rPr>
          <w:rFonts w:ascii="Arial" w:hAnsi="Arial" w:cs="Arial"/>
          <w:sz w:val="22"/>
          <w:szCs w:val="22"/>
        </w:rPr>
        <w:t>2012</w:t>
      </w:r>
      <w:r w:rsidR="00947E99">
        <w:rPr>
          <w:rFonts w:ascii="Arial" w:hAnsi="Arial" w:cs="Arial"/>
          <w:sz w:val="22"/>
          <w:szCs w:val="22"/>
        </w:rPr>
        <w:t xml:space="preserve">) </w:t>
      </w:r>
      <w:r w:rsidRPr="00995B51">
        <w:rPr>
          <w:rFonts w:ascii="Arial" w:hAnsi="Arial" w:cs="Arial"/>
          <w:sz w:val="22"/>
          <w:szCs w:val="22"/>
        </w:rPr>
        <w:t xml:space="preserve">Pressure ulcer prevention: the role of the multidisciplinary team. Br J </w:t>
      </w:r>
      <w:proofErr w:type="spellStart"/>
      <w:r w:rsidRPr="00995B51">
        <w:rPr>
          <w:rFonts w:ascii="Arial" w:hAnsi="Arial" w:cs="Arial"/>
          <w:sz w:val="22"/>
          <w:szCs w:val="22"/>
        </w:rPr>
        <w:t>Nurs</w:t>
      </w:r>
      <w:proofErr w:type="spellEnd"/>
      <w:r w:rsidRPr="00995B51">
        <w:rPr>
          <w:rFonts w:ascii="Arial" w:hAnsi="Arial" w:cs="Arial"/>
          <w:sz w:val="22"/>
          <w:szCs w:val="22"/>
        </w:rPr>
        <w:t>.</w:t>
      </w:r>
      <w:r w:rsidR="00947E99">
        <w:rPr>
          <w:rFonts w:ascii="Arial" w:hAnsi="Arial" w:cs="Arial"/>
          <w:sz w:val="22"/>
          <w:szCs w:val="22"/>
        </w:rPr>
        <w:t xml:space="preserve"> </w:t>
      </w:r>
      <w:r w:rsidRPr="00995B51">
        <w:rPr>
          <w:rFonts w:ascii="Arial" w:hAnsi="Arial" w:cs="Arial"/>
          <w:sz w:val="22"/>
          <w:szCs w:val="22"/>
        </w:rPr>
        <w:t xml:space="preserve">21(5). </w:t>
      </w:r>
      <w:hyperlink r:id="rId13" w:history="1">
        <w:r w:rsidRPr="00995B51">
          <w:rPr>
            <w:rStyle w:val="Hyperlink"/>
            <w:rFonts w:ascii="Arial" w:hAnsi="Arial" w:cs="Arial"/>
            <w:sz w:val="22"/>
            <w:szCs w:val="22"/>
          </w:rPr>
          <w:t>https://doi.org/10.12968/bjon.2012.21.Sup5.S4</w:t>
        </w:r>
      </w:hyperlink>
      <w:r w:rsidRPr="00995B51">
        <w:rPr>
          <w:rFonts w:ascii="Arial" w:hAnsi="Arial" w:cs="Arial"/>
          <w:sz w:val="22"/>
          <w:szCs w:val="22"/>
        </w:rPr>
        <w:t xml:space="preserve"> </w:t>
      </w:r>
    </w:p>
    <w:p w14:paraId="148C6E0D" w14:textId="77777777" w:rsidR="00995B51" w:rsidRPr="00995B51" w:rsidRDefault="00995B51" w:rsidP="00265B26">
      <w:pPr>
        <w:pStyle w:val="HTMLPreformatted"/>
        <w:numPr>
          <w:ilvl w:val="0"/>
          <w:numId w:val="31"/>
        </w:numPr>
        <w:shd w:val="clear" w:color="auto" w:fill="FFFFFF" w:themeFill="background1"/>
        <w:spacing w:line="360" w:lineRule="auto"/>
        <w:rPr>
          <w:rFonts w:ascii="Arial" w:hAnsi="Arial" w:cs="Arial"/>
          <w:sz w:val="22"/>
          <w:szCs w:val="22"/>
        </w:rPr>
      </w:pPr>
      <w:r w:rsidRPr="00995B51">
        <w:rPr>
          <w:rFonts w:ascii="Arial" w:hAnsi="Arial" w:cs="Arial"/>
          <w:sz w:val="22"/>
          <w:szCs w:val="22"/>
        </w:rPr>
        <w:t xml:space="preserve">Gomes F, Furtado GE, Henriques M, Sousa LB, Santos-Costa P, </w:t>
      </w:r>
      <w:proofErr w:type="spellStart"/>
      <w:r w:rsidRPr="00995B51">
        <w:rPr>
          <w:rFonts w:ascii="Arial" w:hAnsi="Arial" w:cs="Arial"/>
          <w:sz w:val="22"/>
          <w:szCs w:val="22"/>
        </w:rPr>
        <w:t>Bernardes</w:t>
      </w:r>
      <w:proofErr w:type="spellEnd"/>
      <w:r w:rsidRPr="00995B51">
        <w:rPr>
          <w:rFonts w:ascii="Arial" w:hAnsi="Arial" w:cs="Arial"/>
          <w:sz w:val="22"/>
          <w:szCs w:val="22"/>
        </w:rPr>
        <w:t xml:space="preserve"> R, </w:t>
      </w:r>
      <w:proofErr w:type="spellStart"/>
      <w:r w:rsidRPr="00995B51">
        <w:rPr>
          <w:rFonts w:ascii="Arial" w:hAnsi="Arial" w:cs="Arial"/>
          <w:sz w:val="22"/>
          <w:szCs w:val="22"/>
        </w:rPr>
        <w:t>Apóstolo</w:t>
      </w:r>
      <w:proofErr w:type="spellEnd"/>
      <w:r w:rsidRPr="00995B51">
        <w:rPr>
          <w:rFonts w:ascii="Arial" w:hAnsi="Arial" w:cs="Arial"/>
          <w:sz w:val="22"/>
          <w:szCs w:val="22"/>
        </w:rPr>
        <w:t xml:space="preserve"> J</w:t>
      </w:r>
      <w:r w:rsidR="00265B26">
        <w:rPr>
          <w:rFonts w:ascii="Arial" w:hAnsi="Arial" w:cs="Arial"/>
          <w:sz w:val="22"/>
          <w:szCs w:val="22"/>
        </w:rPr>
        <w:t>, Parreira P, Salgueiro O.</w:t>
      </w:r>
      <w:r w:rsidRPr="00995B51">
        <w:rPr>
          <w:rFonts w:ascii="Arial" w:hAnsi="Arial" w:cs="Arial"/>
          <w:sz w:val="22"/>
          <w:szCs w:val="22"/>
        </w:rPr>
        <w:t xml:space="preserve"> </w:t>
      </w:r>
      <w:r w:rsidR="00265B26">
        <w:rPr>
          <w:rFonts w:ascii="Arial" w:hAnsi="Arial" w:cs="Arial"/>
          <w:sz w:val="22"/>
          <w:szCs w:val="22"/>
        </w:rPr>
        <w:t>(</w:t>
      </w:r>
      <w:r w:rsidR="00265B26" w:rsidRPr="00995B51">
        <w:rPr>
          <w:rFonts w:ascii="Arial" w:hAnsi="Arial" w:cs="Arial"/>
          <w:sz w:val="22"/>
          <w:szCs w:val="22"/>
        </w:rPr>
        <w:t>2022</w:t>
      </w:r>
      <w:r w:rsidR="00265B26">
        <w:rPr>
          <w:rFonts w:ascii="Arial" w:hAnsi="Arial" w:cs="Arial"/>
          <w:sz w:val="22"/>
          <w:szCs w:val="22"/>
        </w:rPr>
        <w:t xml:space="preserve">) </w:t>
      </w:r>
      <w:r w:rsidRPr="00995B51">
        <w:rPr>
          <w:rFonts w:ascii="Arial" w:hAnsi="Arial" w:cs="Arial"/>
          <w:sz w:val="22"/>
          <w:szCs w:val="22"/>
        </w:rPr>
        <w:t xml:space="preserve">A. The skin microbiome of infected pressure ulcers: A review and implications for health professionals. Eur J Clin Invest. </w:t>
      </w:r>
      <w:r w:rsidR="00265B26">
        <w:rPr>
          <w:rFonts w:ascii="Arial" w:hAnsi="Arial" w:cs="Arial"/>
          <w:sz w:val="22"/>
          <w:szCs w:val="22"/>
        </w:rPr>
        <w:t xml:space="preserve">Jan. </w:t>
      </w:r>
      <w:r w:rsidRPr="00995B51">
        <w:rPr>
          <w:rFonts w:ascii="Arial" w:hAnsi="Arial" w:cs="Arial"/>
          <w:sz w:val="22"/>
          <w:szCs w:val="22"/>
        </w:rPr>
        <w:t xml:space="preserve">52(1):e13688. </w:t>
      </w:r>
      <w:hyperlink r:id="rId14" w:history="1">
        <w:r w:rsidRPr="00995B51">
          <w:rPr>
            <w:rStyle w:val="Hyperlink"/>
            <w:rFonts w:ascii="Arial" w:hAnsi="Arial" w:cs="Arial"/>
            <w:sz w:val="22"/>
            <w:szCs w:val="22"/>
          </w:rPr>
          <w:t>https://doi.org/10.1111/eci.13688</w:t>
        </w:r>
      </w:hyperlink>
      <w:r w:rsidRPr="00995B51">
        <w:rPr>
          <w:rFonts w:ascii="Arial" w:hAnsi="Arial" w:cs="Arial"/>
          <w:sz w:val="22"/>
          <w:szCs w:val="22"/>
        </w:rPr>
        <w:t xml:space="preserve"> </w:t>
      </w:r>
    </w:p>
    <w:p w14:paraId="6A669E5E" w14:textId="77777777" w:rsidR="00995B51" w:rsidRPr="00584068" w:rsidRDefault="00995B51" w:rsidP="00584068">
      <w:pPr>
        <w:pStyle w:val="HTMLPreformatted"/>
        <w:numPr>
          <w:ilvl w:val="0"/>
          <w:numId w:val="31"/>
        </w:numPr>
        <w:shd w:val="clear" w:color="auto" w:fill="FFFFFF" w:themeFill="background1"/>
        <w:spacing w:line="360" w:lineRule="auto"/>
        <w:rPr>
          <w:rFonts w:ascii="Arial" w:hAnsi="Arial" w:cs="Arial"/>
          <w:sz w:val="22"/>
          <w:szCs w:val="22"/>
        </w:rPr>
      </w:pPr>
      <w:r w:rsidRPr="00584068">
        <w:rPr>
          <w:rFonts w:ascii="Arial" w:hAnsi="Arial" w:cs="Arial"/>
          <w:sz w:val="22"/>
          <w:szCs w:val="22"/>
          <w:shd w:val="clear" w:color="auto" w:fill="FFFFFF"/>
        </w:rPr>
        <w:t xml:space="preserve">Gabriel A, Shores J, Bernstein B, </w:t>
      </w:r>
      <w:r w:rsidR="00584068" w:rsidRPr="00584068">
        <w:rPr>
          <w:rFonts w:ascii="Arial" w:hAnsi="Arial" w:cs="Arial"/>
          <w:color w:val="212121"/>
          <w:sz w:val="22"/>
          <w:szCs w:val="22"/>
          <w:shd w:val="clear" w:color="auto" w:fill="FFFFFF"/>
        </w:rPr>
        <w:t xml:space="preserve">de Leon J, </w:t>
      </w:r>
      <w:proofErr w:type="spellStart"/>
      <w:r w:rsidR="00584068" w:rsidRPr="00584068">
        <w:rPr>
          <w:rFonts w:ascii="Arial" w:hAnsi="Arial" w:cs="Arial"/>
          <w:color w:val="212121"/>
          <w:sz w:val="22"/>
          <w:szCs w:val="22"/>
          <w:shd w:val="clear" w:color="auto" w:fill="FFFFFF"/>
        </w:rPr>
        <w:t>Kamepalli</w:t>
      </w:r>
      <w:proofErr w:type="spellEnd"/>
      <w:r w:rsidR="00584068" w:rsidRPr="00584068">
        <w:rPr>
          <w:rFonts w:ascii="Arial" w:hAnsi="Arial" w:cs="Arial"/>
          <w:color w:val="212121"/>
          <w:sz w:val="22"/>
          <w:szCs w:val="22"/>
          <w:shd w:val="clear" w:color="auto" w:fill="FFFFFF"/>
        </w:rPr>
        <w:t xml:space="preserve"> R, </w:t>
      </w:r>
      <w:proofErr w:type="spellStart"/>
      <w:r w:rsidR="00584068" w:rsidRPr="00584068">
        <w:rPr>
          <w:rFonts w:ascii="Arial" w:hAnsi="Arial" w:cs="Arial"/>
          <w:color w:val="212121"/>
          <w:sz w:val="22"/>
          <w:szCs w:val="22"/>
          <w:shd w:val="clear" w:color="auto" w:fill="FFFFFF"/>
        </w:rPr>
        <w:t>Wolvos</w:t>
      </w:r>
      <w:proofErr w:type="spellEnd"/>
      <w:r w:rsidR="00584068" w:rsidRPr="00584068">
        <w:rPr>
          <w:rFonts w:ascii="Arial" w:hAnsi="Arial" w:cs="Arial"/>
          <w:color w:val="212121"/>
          <w:sz w:val="22"/>
          <w:szCs w:val="22"/>
          <w:shd w:val="clear" w:color="auto" w:fill="FFFFFF"/>
        </w:rPr>
        <w:t xml:space="preserve"> T, </w:t>
      </w:r>
      <w:proofErr w:type="spellStart"/>
      <w:r w:rsidR="00584068" w:rsidRPr="00584068">
        <w:rPr>
          <w:rFonts w:ascii="Arial" w:hAnsi="Arial" w:cs="Arial"/>
          <w:color w:val="212121"/>
          <w:sz w:val="22"/>
          <w:szCs w:val="22"/>
          <w:shd w:val="clear" w:color="auto" w:fill="FFFFFF"/>
        </w:rPr>
        <w:t>Baharestani</w:t>
      </w:r>
      <w:proofErr w:type="spellEnd"/>
      <w:r w:rsidR="00584068" w:rsidRPr="00584068">
        <w:rPr>
          <w:rFonts w:ascii="Arial" w:hAnsi="Arial" w:cs="Arial"/>
          <w:color w:val="212121"/>
          <w:sz w:val="22"/>
          <w:szCs w:val="22"/>
          <w:shd w:val="clear" w:color="auto" w:fill="FFFFFF"/>
        </w:rPr>
        <w:t xml:space="preserve"> MM, Gupta S. </w:t>
      </w:r>
      <w:r w:rsidR="008266B2" w:rsidRPr="00584068">
        <w:rPr>
          <w:rFonts w:ascii="Arial" w:hAnsi="Arial" w:cs="Arial"/>
          <w:sz w:val="22"/>
          <w:szCs w:val="22"/>
          <w:shd w:val="clear" w:color="auto" w:fill="FFFFFF"/>
        </w:rPr>
        <w:t xml:space="preserve">(2009) </w:t>
      </w:r>
      <w:r w:rsidRPr="00584068">
        <w:rPr>
          <w:rFonts w:ascii="Arial" w:hAnsi="Arial" w:cs="Arial"/>
          <w:sz w:val="22"/>
          <w:szCs w:val="22"/>
          <w:shd w:val="clear" w:color="auto" w:fill="FFFFFF"/>
        </w:rPr>
        <w:t>A clinical review of infected wound treatment with Vacuum Assisted Closure (V.A.C.) therapy: experience and case series. Int Wound J.</w:t>
      </w:r>
      <w:r w:rsidR="00584068">
        <w:rPr>
          <w:rFonts w:ascii="Arial" w:hAnsi="Arial" w:cs="Arial"/>
          <w:sz w:val="22"/>
          <w:szCs w:val="22"/>
          <w:shd w:val="clear" w:color="auto" w:fill="FFFFFF"/>
        </w:rPr>
        <w:t xml:space="preserve"> </w:t>
      </w:r>
      <w:r w:rsidRPr="00584068">
        <w:rPr>
          <w:rFonts w:ascii="Arial" w:hAnsi="Arial" w:cs="Arial"/>
          <w:sz w:val="22"/>
          <w:szCs w:val="22"/>
          <w:shd w:val="clear" w:color="auto" w:fill="FFFFFF"/>
        </w:rPr>
        <w:t xml:space="preserve">6 Suppl 2(Suppl 2):1-25. </w:t>
      </w:r>
      <w:hyperlink r:id="rId15" w:history="1">
        <w:r w:rsidRPr="00584068">
          <w:rPr>
            <w:rStyle w:val="Hyperlink"/>
            <w:rFonts w:ascii="Arial" w:hAnsi="Arial" w:cs="Arial"/>
            <w:sz w:val="22"/>
            <w:szCs w:val="22"/>
            <w:shd w:val="clear" w:color="auto" w:fill="FFFFFF"/>
          </w:rPr>
          <w:t>https://doi.org/10.1111/j.1742-481X.2009.00628.x</w:t>
        </w:r>
      </w:hyperlink>
      <w:r w:rsidRPr="00584068">
        <w:rPr>
          <w:rFonts w:ascii="Arial" w:hAnsi="Arial" w:cs="Arial"/>
          <w:sz w:val="22"/>
          <w:szCs w:val="22"/>
          <w:shd w:val="clear" w:color="auto" w:fill="FFFFFF"/>
        </w:rPr>
        <w:t xml:space="preserve"> </w:t>
      </w:r>
    </w:p>
    <w:p w14:paraId="7DD67E72" w14:textId="77777777" w:rsidR="00995B51" w:rsidRPr="00995B51" w:rsidRDefault="00995B51" w:rsidP="008214F6">
      <w:pPr>
        <w:pStyle w:val="HTMLPreformatted"/>
        <w:numPr>
          <w:ilvl w:val="0"/>
          <w:numId w:val="31"/>
        </w:numPr>
        <w:shd w:val="clear" w:color="auto" w:fill="FFFFFF" w:themeFill="background1"/>
        <w:spacing w:line="360" w:lineRule="auto"/>
        <w:rPr>
          <w:rFonts w:ascii="Arial" w:hAnsi="Arial" w:cs="Arial"/>
          <w:sz w:val="22"/>
          <w:szCs w:val="22"/>
        </w:rPr>
      </w:pPr>
      <w:proofErr w:type="spellStart"/>
      <w:r w:rsidRPr="00995B51">
        <w:rPr>
          <w:rFonts w:ascii="Arial" w:hAnsi="Arial" w:cs="Arial"/>
          <w:sz w:val="22"/>
          <w:szCs w:val="22"/>
        </w:rPr>
        <w:t>Plikaitis</w:t>
      </w:r>
      <w:proofErr w:type="spellEnd"/>
      <w:r w:rsidRPr="00995B51">
        <w:rPr>
          <w:rFonts w:ascii="Arial" w:hAnsi="Arial" w:cs="Arial"/>
          <w:sz w:val="22"/>
          <w:szCs w:val="22"/>
        </w:rPr>
        <w:t xml:space="preserve"> CM, Molnar JA. </w:t>
      </w:r>
      <w:r w:rsidR="008214F6">
        <w:rPr>
          <w:rFonts w:ascii="Arial" w:hAnsi="Arial" w:cs="Arial"/>
          <w:sz w:val="22"/>
          <w:szCs w:val="22"/>
        </w:rPr>
        <w:t>(</w:t>
      </w:r>
      <w:r w:rsidR="008214F6" w:rsidRPr="00995B51">
        <w:rPr>
          <w:rFonts w:ascii="Arial" w:hAnsi="Arial" w:cs="Arial"/>
          <w:sz w:val="22"/>
          <w:szCs w:val="22"/>
        </w:rPr>
        <w:t>2006</w:t>
      </w:r>
      <w:r w:rsidR="008214F6">
        <w:rPr>
          <w:rFonts w:ascii="Arial" w:hAnsi="Arial" w:cs="Arial"/>
          <w:sz w:val="22"/>
          <w:szCs w:val="22"/>
        </w:rPr>
        <w:t xml:space="preserve">) </w:t>
      </w:r>
      <w:proofErr w:type="spellStart"/>
      <w:r w:rsidRPr="00995B51">
        <w:rPr>
          <w:rFonts w:ascii="Arial" w:hAnsi="Arial" w:cs="Arial"/>
          <w:sz w:val="22"/>
          <w:szCs w:val="22"/>
        </w:rPr>
        <w:t>Subatmospheric</w:t>
      </w:r>
      <w:proofErr w:type="spellEnd"/>
      <w:r w:rsidRPr="00995B51">
        <w:rPr>
          <w:rFonts w:ascii="Arial" w:hAnsi="Arial" w:cs="Arial"/>
          <w:sz w:val="22"/>
          <w:szCs w:val="22"/>
        </w:rPr>
        <w:t xml:space="preserve"> pressure wound therapy and the vacuum-assisted closure device: basic science and current clinical successes. Expert Rev Med Devices.</w:t>
      </w:r>
      <w:r w:rsidR="008214F6">
        <w:rPr>
          <w:rFonts w:ascii="Arial" w:hAnsi="Arial" w:cs="Arial"/>
          <w:sz w:val="22"/>
          <w:szCs w:val="22"/>
        </w:rPr>
        <w:t xml:space="preserve"> </w:t>
      </w:r>
      <w:r w:rsidRPr="00995B51">
        <w:rPr>
          <w:rFonts w:ascii="Arial" w:hAnsi="Arial" w:cs="Arial"/>
          <w:sz w:val="22"/>
          <w:szCs w:val="22"/>
        </w:rPr>
        <w:t xml:space="preserve">3(2):175-184. </w:t>
      </w:r>
      <w:hyperlink r:id="rId16" w:history="1">
        <w:r w:rsidRPr="00995B51">
          <w:rPr>
            <w:rStyle w:val="Hyperlink"/>
            <w:rFonts w:ascii="Arial" w:hAnsi="Arial" w:cs="Arial"/>
            <w:sz w:val="22"/>
            <w:szCs w:val="22"/>
          </w:rPr>
          <w:t>https://doi.org/10.1586/17434440.3.2.175</w:t>
        </w:r>
      </w:hyperlink>
      <w:r w:rsidRPr="00995B51">
        <w:rPr>
          <w:rFonts w:ascii="Arial" w:hAnsi="Arial" w:cs="Arial"/>
          <w:sz w:val="22"/>
          <w:szCs w:val="22"/>
        </w:rPr>
        <w:t xml:space="preserve"> </w:t>
      </w:r>
    </w:p>
    <w:p w14:paraId="28BDD6BF" w14:textId="77777777" w:rsidR="00995B51" w:rsidRPr="00995B51" w:rsidRDefault="00995B51" w:rsidP="000C328E">
      <w:pPr>
        <w:pStyle w:val="HTMLPreformatted"/>
        <w:numPr>
          <w:ilvl w:val="0"/>
          <w:numId w:val="31"/>
        </w:numPr>
        <w:shd w:val="clear" w:color="auto" w:fill="FFFFFF" w:themeFill="background1"/>
        <w:spacing w:line="360" w:lineRule="auto"/>
        <w:rPr>
          <w:rFonts w:ascii="Arial" w:hAnsi="Arial" w:cs="Arial"/>
          <w:sz w:val="22"/>
          <w:szCs w:val="22"/>
        </w:rPr>
      </w:pPr>
      <w:r w:rsidRPr="00995B51">
        <w:rPr>
          <w:rFonts w:ascii="Arial" w:hAnsi="Arial" w:cs="Arial"/>
          <w:sz w:val="22"/>
          <w:szCs w:val="22"/>
        </w:rPr>
        <w:t xml:space="preserve">Whitaker IS, Twine C, Whitaker MJ, Welck M, Brown CS, </w:t>
      </w:r>
      <w:proofErr w:type="spellStart"/>
      <w:r w:rsidRPr="00995B51">
        <w:rPr>
          <w:rFonts w:ascii="Arial" w:hAnsi="Arial" w:cs="Arial"/>
          <w:sz w:val="22"/>
          <w:szCs w:val="22"/>
        </w:rPr>
        <w:t>Shandall</w:t>
      </w:r>
      <w:proofErr w:type="spellEnd"/>
      <w:r w:rsidRPr="00995B51">
        <w:rPr>
          <w:rFonts w:ascii="Arial" w:hAnsi="Arial" w:cs="Arial"/>
          <w:sz w:val="22"/>
          <w:szCs w:val="22"/>
        </w:rPr>
        <w:t xml:space="preserve"> A. </w:t>
      </w:r>
      <w:r w:rsidR="000C328E">
        <w:rPr>
          <w:rFonts w:ascii="Arial" w:hAnsi="Arial" w:cs="Arial"/>
          <w:sz w:val="22"/>
          <w:szCs w:val="22"/>
        </w:rPr>
        <w:t>(</w:t>
      </w:r>
      <w:r w:rsidR="000C328E" w:rsidRPr="00995B51">
        <w:rPr>
          <w:rFonts w:ascii="Arial" w:hAnsi="Arial" w:cs="Arial"/>
          <w:sz w:val="22"/>
          <w:szCs w:val="22"/>
        </w:rPr>
        <w:t>2007</w:t>
      </w:r>
      <w:r w:rsidR="000C328E">
        <w:rPr>
          <w:rFonts w:ascii="Arial" w:hAnsi="Arial" w:cs="Arial"/>
          <w:sz w:val="22"/>
          <w:szCs w:val="22"/>
        </w:rPr>
        <w:t xml:space="preserve">) </w:t>
      </w:r>
      <w:r w:rsidRPr="00995B51">
        <w:rPr>
          <w:rFonts w:ascii="Arial" w:hAnsi="Arial" w:cs="Arial"/>
          <w:sz w:val="22"/>
          <w:szCs w:val="22"/>
        </w:rPr>
        <w:t>Larval therapy from antiquity to the present day: mechanisms of action, clinical applications and future potential. Postgrad Med J.</w:t>
      </w:r>
      <w:r w:rsidR="000C328E">
        <w:rPr>
          <w:rFonts w:ascii="Arial" w:hAnsi="Arial" w:cs="Arial"/>
          <w:sz w:val="22"/>
          <w:szCs w:val="22"/>
        </w:rPr>
        <w:t xml:space="preserve"> </w:t>
      </w:r>
      <w:r w:rsidRPr="00995B51">
        <w:rPr>
          <w:rFonts w:ascii="Arial" w:hAnsi="Arial" w:cs="Arial"/>
          <w:sz w:val="22"/>
          <w:szCs w:val="22"/>
        </w:rPr>
        <w:t xml:space="preserve">83(980):409-413. </w:t>
      </w:r>
      <w:hyperlink r:id="rId17" w:history="1">
        <w:r w:rsidRPr="00995B51">
          <w:rPr>
            <w:rStyle w:val="Hyperlink"/>
            <w:rFonts w:ascii="Arial" w:hAnsi="Arial" w:cs="Arial"/>
            <w:sz w:val="22"/>
            <w:szCs w:val="22"/>
          </w:rPr>
          <w:t>https://doi.org/10.1136/pgmj.2006.055905</w:t>
        </w:r>
      </w:hyperlink>
      <w:r w:rsidRPr="00995B51">
        <w:rPr>
          <w:rFonts w:ascii="Arial" w:hAnsi="Arial" w:cs="Arial"/>
          <w:sz w:val="22"/>
          <w:szCs w:val="22"/>
        </w:rPr>
        <w:t xml:space="preserve"> </w:t>
      </w:r>
    </w:p>
    <w:p w14:paraId="15E436A1" w14:textId="77777777" w:rsidR="00995B51" w:rsidRPr="00995B51" w:rsidRDefault="00995B51" w:rsidP="000C328E">
      <w:pPr>
        <w:pStyle w:val="HTMLPreformatted"/>
        <w:numPr>
          <w:ilvl w:val="0"/>
          <w:numId w:val="31"/>
        </w:numPr>
        <w:shd w:val="clear" w:color="auto" w:fill="FFFFFF" w:themeFill="background1"/>
        <w:spacing w:line="360" w:lineRule="auto"/>
        <w:rPr>
          <w:rFonts w:ascii="Arial" w:hAnsi="Arial" w:cs="Arial"/>
          <w:sz w:val="22"/>
          <w:szCs w:val="22"/>
        </w:rPr>
      </w:pPr>
      <w:proofErr w:type="spellStart"/>
      <w:r w:rsidRPr="00995B51">
        <w:rPr>
          <w:rFonts w:ascii="Arial" w:hAnsi="Arial" w:cs="Arial"/>
          <w:sz w:val="22"/>
          <w:szCs w:val="22"/>
        </w:rPr>
        <w:t>Babamiri</w:t>
      </w:r>
      <w:proofErr w:type="spellEnd"/>
      <w:r w:rsidRPr="00995B51">
        <w:rPr>
          <w:rFonts w:ascii="Arial" w:hAnsi="Arial" w:cs="Arial"/>
          <w:sz w:val="22"/>
          <w:szCs w:val="22"/>
        </w:rPr>
        <w:t xml:space="preserve"> B, </w:t>
      </w:r>
      <w:proofErr w:type="spellStart"/>
      <w:r w:rsidRPr="00995B51">
        <w:rPr>
          <w:rFonts w:ascii="Arial" w:hAnsi="Arial" w:cs="Arial"/>
          <w:sz w:val="22"/>
          <w:szCs w:val="22"/>
        </w:rPr>
        <w:t>Nikkhah</w:t>
      </w:r>
      <w:proofErr w:type="spellEnd"/>
      <w:r w:rsidRPr="00995B51">
        <w:rPr>
          <w:rFonts w:ascii="Arial" w:hAnsi="Arial" w:cs="Arial"/>
          <w:sz w:val="22"/>
          <w:szCs w:val="22"/>
        </w:rPr>
        <w:t xml:space="preserve"> F, Faraji N, Goli R, Moghaddam NV, Rahimi K. </w:t>
      </w:r>
      <w:r w:rsidR="000C328E">
        <w:rPr>
          <w:rFonts w:ascii="Arial" w:hAnsi="Arial" w:cs="Arial"/>
          <w:sz w:val="22"/>
          <w:szCs w:val="22"/>
        </w:rPr>
        <w:t>(</w:t>
      </w:r>
      <w:r w:rsidR="000C328E" w:rsidRPr="00995B51">
        <w:rPr>
          <w:rFonts w:ascii="Arial" w:hAnsi="Arial" w:cs="Arial"/>
          <w:sz w:val="22"/>
          <w:szCs w:val="22"/>
        </w:rPr>
        <w:t>2023</w:t>
      </w:r>
      <w:r w:rsidR="000C328E">
        <w:rPr>
          <w:rFonts w:ascii="Arial" w:hAnsi="Arial" w:cs="Arial"/>
          <w:sz w:val="22"/>
          <w:szCs w:val="22"/>
        </w:rPr>
        <w:t xml:space="preserve">) </w:t>
      </w:r>
      <w:r w:rsidRPr="00995B51">
        <w:rPr>
          <w:rFonts w:ascii="Arial" w:hAnsi="Arial" w:cs="Arial"/>
          <w:sz w:val="22"/>
          <w:szCs w:val="22"/>
        </w:rPr>
        <w:t>Diabetic foot ulcer: Successful healing with combination therapy, including surgical debridement, maggot therapy, and negative pressure wound therapy. Int J Surg Case Rep.</w:t>
      </w:r>
      <w:r w:rsidR="000C328E">
        <w:rPr>
          <w:rFonts w:ascii="Arial" w:hAnsi="Arial" w:cs="Arial"/>
          <w:sz w:val="22"/>
          <w:szCs w:val="22"/>
        </w:rPr>
        <w:t xml:space="preserve"> </w:t>
      </w:r>
      <w:r w:rsidRPr="00995B51">
        <w:rPr>
          <w:rFonts w:ascii="Arial" w:hAnsi="Arial" w:cs="Arial"/>
          <w:sz w:val="22"/>
          <w:szCs w:val="22"/>
        </w:rPr>
        <w:t xml:space="preserve">110:108695. </w:t>
      </w:r>
      <w:hyperlink r:id="rId18" w:history="1">
        <w:r w:rsidRPr="00995B51">
          <w:rPr>
            <w:rStyle w:val="Hyperlink"/>
            <w:rFonts w:ascii="Arial" w:hAnsi="Arial" w:cs="Arial"/>
            <w:sz w:val="22"/>
            <w:szCs w:val="22"/>
          </w:rPr>
          <w:t>https://doi.org/10.1016/j.ijscr.2023.108695</w:t>
        </w:r>
      </w:hyperlink>
      <w:r w:rsidRPr="00995B51">
        <w:rPr>
          <w:rFonts w:ascii="Arial" w:hAnsi="Arial" w:cs="Arial"/>
          <w:sz w:val="22"/>
          <w:szCs w:val="22"/>
        </w:rPr>
        <w:t xml:space="preserve"> </w:t>
      </w:r>
    </w:p>
    <w:p w14:paraId="6F107EC6" w14:textId="77777777" w:rsidR="00995B51" w:rsidRPr="00995B51" w:rsidRDefault="00995B51" w:rsidP="000C328E">
      <w:pPr>
        <w:pStyle w:val="HTMLPreformatted"/>
        <w:numPr>
          <w:ilvl w:val="0"/>
          <w:numId w:val="31"/>
        </w:numPr>
        <w:shd w:val="clear" w:color="auto" w:fill="FFFFFF"/>
        <w:spacing w:before="206" w:after="206" w:line="360" w:lineRule="auto"/>
        <w:rPr>
          <w:rFonts w:ascii="Arial" w:hAnsi="Arial" w:cs="Arial"/>
          <w:sz w:val="22"/>
          <w:szCs w:val="22"/>
          <w:lang w:eastAsia="tr-TR"/>
        </w:rPr>
      </w:pPr>
      <w:proofErr w:type="spellStart"/>
      <w:r w:rsidRPr="00995B51">
        <w:rPr>
          <w:rFonts w:ascii="Arial" w:hAnsi="Arial" w:cs="Arial"/>
          <w:sz w:val="22"/>
          <w:szCs w:val="22"/>
        </w:rPr>
        <w:t>Steenvoorde</w:t>
      </w:r>
      <w:proofErr w:type="spellEnd"/>
      <w:r w:rsidRPr="00995B51">
        <w:rPr>
          <w:rFonts w:ascii="Arial" w:hAnsi="Arial" w:cs="Arial"/>
          <w:sz w:val="22"/>
          <w:szCs w:val="22"/>
        </w:rPr>
        <w:t xml:space="preserve"> P. </w:t>
      </w:r>
      <w:r w:rsidR="000C328E" w:rsidRPr="00995B51">
        <w:rPr>
          <w:rFonts w:ascii="Arial" w:hAnsi="Arial" w:cs="Arial"/>
          <w:sz w:val="22"/>
          <w:szCs w:val="22"/>
        </w:rPr>
        <w:t xml:space="preserve">(2008, January 9). </w:t>
      </w:r>
      <w:r w:rsidRPr="00995B51">
        <w:rPr>
          <w:rFonts w:ascii="Arial" w:hAnsi="Arial" w:cs="Arial"/>
          <w:sz w:val="22"/>
          <w:szCs w:val="22"/>
          <w:shd w:val="clear" w:color="auto" w:fill="FFFFFF"/>
        </w:rPr>
        <w:t>Maggot Debridement Therapy in Surgery.</w:t>
      </w:r>
      <w:r w:rsidRPr="00995B51">
        <w:rPr>
          <w:rFonts w:ascii="Arial" w:hAnsi="Arial" w:cs="Arial"/>
          <w:sz w:val="22"/>
          <w:szCs w:val="22"/>
        </w:rPr>
        <w:t xml:space="preserve"> Retrieved from </w:t>
      </w:r>
      <w:hyperlink r:id="rId19" w:history="1">
        <w:r w:rsidRPr="00995B51">
          <w:rPr>
            <w:rStyle w:val="Hyperlink"/>
            <w:rFonts w:ascii="Arial" w:hAnsi="Arial" w:cs="Arial"/>
            <w:sz w:val="22"/>
            <w:szCs w:val="22"/>
          </w:rPr>
          <w:t>https://hdl.handle.net/1887/12552</w:t>
        </w:r>
      </w:hyperlink>
    </w:p>
    <w:p w14:paraId="66DC6C49" w14:textId="77777777" w:rsidR="00995B51" w:rsidRPr="00995B51" w:rsidRDefault="00995B51" w:rsidP="00995B51">
      <w:pPr>
        <w:pStyle w:val="HTMLPreformatted"/>
        <w:shd w:val="clear" w:color="auto" w:fill="FFFFFF" w:themeFill="background1"/>
        <w:spacing w:line="360" w:lineRule="auto"/>
        <w:ind w:left="360"/>
        <w:rPr>
          <w:rFonts w:ascii="Arial" w:hAnsi="Arial" w:cs="Arial"/>
          <w:b/>
          <w:bCs/>
          <w:sz w:val="22"/>
          <w:szCs w:val="22"/>
        </w:rPr>
      </w:pPr>
    </w:p>
    <w:p w14:paraId="31331E30" w14:textId="77777777" w:rsidR="00995B51" w:rsidRPr="00995B51" w:rsidRDefault="00995B51" w:rsidP="00995B51">
      <w:pPr>
        <w:pStyle w:val="HTMLPreformatted"/>
        <w:shd w:val="clear" w:color="auto" w:fill="FFFFFF" w:themeFill="background1"/>
        <w:spacing w:line="360" w:lineRule="auto"/>
        <w:ind w:left="360"/>
        <w:rPr>
          <w:rFonts w:ascii="Arial" w:hAnsi="Arial" w:cs="Arial"/>
          <w:b/>
          <w:bCs/>
          <w:sz w:val="22"/>
          <w:szCs w:val="22"/>
        </w:rPr>
      </w:pPr>
      <w:r w:rsidRPr="00C26B9C">
        <w:rPr>
          <w:rFonts w:ascii="Arial" w:hAnsi="Arial" w:cs="Arial"/>
          <w:b/>
          <w:bCs/>
          <w:sz w:val="22"/>
          <w:szCs w:val="22"/>
        </w:rPr>
        <w:t>FIG</w:t>
      </w:r>
      <w:r w:rsidRPr="00995B51">
        <w:rPr>
          <w:rFonts w:ascii="Arial" w:hAnsi="Arial" w:cs="Arial"/>
          <w:b/>
          <w:bCs/>
          <w:sz w:val="22"/>
          <w:szCs w:val="22"/>
        </w:rPr>
        <w:t>URES:</w:t>
      </w:r>
    </w:p>
    <w:p w14:paraId="1119DFF9" w14:textId="77777777" w:rsidR="000A725D" w:rsidRPr="00AD346C" w:rsidRDefault="000A725D" w:rsidP="000A725D">
      <w:pPr>
        <w:pStyle w:val="HTMLPreformatted"/>
        <w:shd w:val="clear" w:color="auto" w:fill="FFFFFF" w:themeFill="background1"/>
        <w:spacing w:line="360" w:lineRule="auto"/>
        <w:rPr>
          <w:rFonts w:asciiTheme="majorBidi" w:hAnsiTheme="majorBidi" w:cstheme="majorBidi"/>
          <w:sz w:val="24"/>
          <w:szCs w:val="24"/>
        </w:rPr>
      </w:pPr>
      <w:r w:rsidRPr="00C26B9C">
        <w:rPr>
          <w:rFonts w:asciiTheme="majorBidi" w:hAnsiTheme="majorBidi" w:cstheme="majorBidi"/>
          <w:sz w:val="24"/>
          <w:szCs w:val="24"/>
        </w:rPr>
        <w:t>Fig</w:t>
      </w:r>
      <w:r>
        <w:rPr>
          <w:rFonts w:asciiTheme="majorBidi" w:hAnsiTheme="majorBidi" w:cstheme="majorBidi"/>
          <w:sz w:val="24"/>
          <w:szCs w:val="24"/>
        </w:rPr>
        <w:t xml:space="preserve">ure 1a, 1b, 1c, 1d: </w:t>
      </w:r>
      <w:r w:rsidRPr="00D97376">
        <w:rPr>
          <w:rFonts w:asciiTheme="majorBidi" w:hAnsiTheme="majorBidi" w:cstheme="majorBidi"/>
          <w:sz w:val="24"/>
          <w:szCs w:val="24"/>
        </w:rPr>
        <w:t>The condition of the patient in the intensive care unit and cavity formation</w:t>
      </w:r>
      <w:r w:rsidR="00E14ABE">
        <w:rPr>
          <w:rFonts w:asciiTheme="majorBidi" w:hAnsiTheme="majorBidi" w:cstheme="majorBidi"/>
          <w:sz w:val="24"/>
          <w:szCs w:val="24"/>
        </w:rPr>
        <w:t>.</w:t>
      </w:r>
    </w:p>
    <w:p w14:paraId="28B20057"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noProof/>
          <w:sz w:val="24"/>
          <w:szCs w:val="24"/>
          <w:lang w:val="tr-TR" w:eastAsia="tr-TR"/>
        </w:rPr>
        <w:lastRenderedPageBreak/>
        <w:drawing>
          <wp:inline distT="0" distB="0" distL="0" distR="0" wp14:anchorId="448B7EE3" wp14:editId="368F9312">
            <wp:extent cx="2910840" cy="2948305"/>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0840" cy="2948305"/>
                    </a:xfrm>
                    <a:prstGeom prst="rect">
                      <a:avLst/>
                    </a:prstGeom>
                  </pic:spPr>
                </pic:pic>
              </a:graphicData>
            </a:graphic>
          </wp:inline>
        </w:drawing>
      </w:r>
      <w:r>
        <w:rPr>
          <w:rFonts w:asciiTheme="majorBidi" w:hAnsiTheme="majorBidi" w:cstheme="majorBidi"/>
          <w:noProof/>
          <w:sz w:val="24"/>
          <w:szCs w:val="24"/>
          <w:lang w:val="tr-TR" w:eastAsia="tr-TR"/>
        </w:rPr>
        <w:drawing>
          <wp:inline distT="0" distB="0" distL="0" distR="0" wp14:anchorId="3D09F3C1" wp14:editId="41D90144">
            <wp:extent cx="2986405" cy="2963988"/>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9085" cy="2966647"/>
                    </a:xfrm>
                    <a:prstGeom prst="rect">
                      <a:avLst/>
                    </a:prstGeom>
                  </pic:spPr>
                </pic:pic>
              </a:graphicData>
            </a:graphic>
          </wp:inline>
        </w:drawing>
      </w:r>
    </w:p>
    <w:p w14:paraId="4FC3DBE0"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noProof/>
          <w:sz w:val="24"/>
          <w:szCs w:val="24"/>
          <w:lang w:val="tr-TR" w:eastAsia="tr-TR"/>
        </w:rPr>
        <w:drawing>
          <wp:inline distT="0" distB="0" distL="0" distR="0" wp14:anchorId="3D12527D" wp14:editId="02F35583">
            <wp:extent cx="2933700" cy="289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3700" cy="2895600"/>
                    </a:xfrm>
                    <a:prstGeom prst="rect">
                      <a:avLst/>
                    </a:prstGeom>
                  </pic:spPr>
                </pic:pic>
              </a:graphicData>
            </a:graphic>
          </wp:inline>
        </w:drawing>
      </w:r>
      <w:r>
        <w:rPr>
          <w:rFonts w:asciiTheme="majorBidi" w:hAnsiTheme="majorBidi" w:cstheme="majorBidi"/>
          <w:noProof/>
          <w:sz w:val="24"/>
          <w:szCs w:val="24"/>
          <w:lang w:val="tr-TR" w:eastAsia="tr-TR"/>
        </w:rPr>
        <w:drawing>
          <wp:inline distT="0" distB="0" distL="0" distR="0" wp14:anchorId="4C243CBC" wp14:editId="52CE1C45">
            <wp:extent cx="2903220" cy="2880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3220" cy="2880360"/>
                    </a:xfrm>
                    <a:prstGeom prst="rect">
                      <a:avLst/>
                    </a:prstGeom>
                  </pic:spPr>
                </pic:pic>
              </a:graphicData>
            </a:graphic>
          </wp:inline>
        </w:drawing>
      </w:r>
    </w:p>
    <w:p w14:paraId="27D70B26"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sz w:val="24"/>
          <w:szCs w:val="24"/>
        </w:rPr>
        <w:t>_______________________________________</w:t>
      </w:r>
    </w:p>
    <w:p w14:paraId="7FD3846C"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sidRPr="00C26B9C">
        <w:rPr>
          <w:rFonts w:asciiTheme="majorBidi" w:hAnsiTheme="majorBidi" w:cstheme="majorBidi"/>
          <w:sz w:val="24"/>
          <w:szCs w:val="24"/>
        </w:rPr>
        <w:t>Fig</w:t>
      </w:r>
      <w:r>
        <w:rPr>
          <w:rFonts w:asciiTheme="majorBidi" w:hAnsiTheme="majorBidi" w:cstheme="majorBidi"/>
          <w:sz w:val="24"/>
          <w:szCs w:val="24"/>
        </w:rPr>
        <w:t>ure 2a, 2b, 2c: V</w:t>
      </w:r>
      <w:r w:rsidRPr="00907D83">
        <w:rPr>
          <w:rFonts w:asciiTheme="majorBidi" w:hAnsiTheme="majorBidi" w:cstheme="majorBidi"/>
          <w:sz w:val="24"/>
          <w:szCs w:val="24"/>
        </w:rPr>
        <w:t>acuum therapy</w:t>
      </w:r>
      <w:r w:rsidR="00E14ABE">
        <w:rPr>
          <w:rFonts w:asciiTheme="majorBidi" w:hAnsiTheme="majorBidi" w:cstheme="majorBidi"/>
          <w:sz w:val="24"/>
          <w:szCs w:val="24"/>
        </w:rPr>
        <w:t>.</w:t>
      </w:r>
    </w:p>
    <w:p w14:paraId="708C1858"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p>
    <w:p w14:paraId="498EE493"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noProof/>
          <w:sz w:val="24"/>
          <w:szCs w:val="24"/>
          <w:lang w:val="tr-TR" w:eastAsia="tr-TR"/>
        </w:rPr>
        <w:lastRenderedPageBreak/>
        <w:drawing>
          <wp:inline distT="0" distB="0" distL="0" distR="0" wp14:anchorId="5C57747E" wp14:editId="221CEC47">
            <wp:extent cx="2834640" cy="2522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4640" cy="2522220"/>
                    </a:xfrm>
                    <a:prstGeom prst="rect">
                      <a:avLst/>
                    </a:prstGeom>
                  </pic:spPr>
                </pic:pic>
              </a:graphicData>
            </a:graphic>
          </wp:inline>
        </w:drawing>
      </w:r>
      <w:r>
        <w:rPr>
          <w:rFonts w:asciiTheme="majorBidi" w:hAnsiTheme="majorBidi" w:cstheme="majorBidi"/>
          <w:noProof/>
          <w:sz w:val="24"/>
          <w:szCs w:val="24"/>
          <w:lang w:val="tr-TR" w:eastAsia="tr-TR"/>
        </w:rPr>
        <w:drawing>
          <wp:inline distT="0" distB="0" distL="0" distR="0" wp14:anchorId="4AA125DA" wp14:editId="2335EFAB">
            <wp:extent cx="2539030" cy="2795905"/>
            <wp:effectExtent l="133350" t="0" r="1092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567151" cy="2826871"/>
                    </a:xfrm>
                    <a:prstGeom prst="rect">
                      <a:avLst/>
                    </a:prstGeom>
                  </pic:spPr>
                </pic:pic>
              </a:graphicData>
            </a:graphic>
          </wp:inline>
        </w:drawing>
      </w:r>
    </w:p>
    <w:p w14:paraId="09E3B7F1"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noProof/>
          <w:sz w:val="24"/>
          <w:szCs w:val="24"/>
          <w:lang w:val="tr-TR" w:eastAsia="tr-TR"/>
        </w:rPr>
        <w:drawing>
          <wp:inline distT="0" distB="0" distL="0" distR="0" wp14:anchorId="673833EF" wp14:editId="722D363B">
            <wp:extent cx="2849880" cy="24079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9880" cy="2407920"/>
                    </a:xfrm>
                    <a:prstGeom prst="rect">
                      <a:avLst/>
                    </a:prstGeom>
                  </pic:spPr>
                </pic:pic>
              </a:graphicData>
            </a:graphic>
          </wp:inline>
        </w:drawing>
      </w:r>
    </w:p>
    <w:p w14:paraId="0014588B"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sz w:val="24"/>
          <w:szCs w:val="24"/>
        </w:rPr>
        <w:t>______________________________________</w:t>
      </w:r>
    </w:p>
    <w:p w14:paraId="2795849F" w14:textId="1136DBFC"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sidRPr="00C26B9C">
        <w:rPr>
          <w:rFonts w:asciiTheme="majorBidi" w:hAnsiTheme="majorBidi" w:cstheme="majorBidi"/>
          <w:sz w:val="24"/>
          <w:szCs w:val="24"/>
        </w:rPr>
        <w:t>Fig</w:t>
      </w:r>
      <w:r>
        <w:rPr>
          <w:rFonts w:asciiTheme="majorBidi" w:hAnsiTheme="majorBidi" w:cstheme="majorBidi"/>
          <w:sz w:val="24"/>
          <w:szCs w:val="24"/>
        </w:rPr>
        <w:t xml:space="preserve">ure </w:t>
      </w:r>
      <w:r w:rsidR="00C26B9C">
        <w:rPr>
          <w:rFonts w:asciiTheme="majorBidi" w:hAnsiTheme="majorBidi" w:cstheme="majorBidi"/>
          <w:sz w:val="24"/>
          <w:szCs w:val="24"/>
        </w:rPr>
        <w:t>3(a-d)</w:t>
      </w:r>
      <w:r>
        <w:rPr>
          <w:rFonts w:asciiTheme="majorBidi" w:hAnsiTheme="majorBidi" w:cstheme="majorBidi"/>
          <w:sz w:val="24"/>
          <w:szCs w:val="24"/>
        </w:rPr>
        <w:t>: L</w:t>
      </w:r>
      <w:r w:rsidRPr="00CF2F0C">
        <w:rPr>
          <w:rFonts w:asciiTheme="majorBidi" w:hAnsiTheme="majorBidi" w:cstheme="majorBidi"/>
          <w:sz w:val="24"/>
          <w:szCs w:val="24"/>
        </w:rPr>
        <w:t>arval treatment</w:t>
      </w:r>
      <w:r w:rsidR="00E836E7">
        <w:rPr>
          <w:rFonts w:asciiTheme="majorBidi" w:hAnsiTheme="majorBidi" w:cstheme="majorBidi"/>
          <w:sz w:val="24"/>
          <w:szCs w:val="24"/>
        </w:rPr>
        <w:t>.</w:t>
      </w:r>
    </w:p>
    <w:p w14:paraId="2E0D7D1D"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noProof/>
          <w:sz w:val="24"/>
          <w:szCs w:val="24"/>
          <w:lang w:val="tr-TR" w:eastAsia="tr-TR"/>
        </w:rPr>
        <w:lastRenderedPageBreak/>
        <w:drawing>
          <wp:inline distT="0" distB="0" distL="0" distR="0" wp14:anchorId="4B86708A" wp14:editId="7F9848C1">
            <wp:extent cx="2842260" cy="2674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2260" cy="2674620"/>
                    </a:xfrm>
                    <a:prstGeom prst="rect">
                      <a:avLst/>
                    </a:prstGeom>
                  </pic:spPr>
                </pic:pic>
              </a:graphicData>
            </a:graphic>
          </wp:inline>
        </w:drawing>
      </w:r>
      <w:r>
        <w:rPr>
          <w:rFonts w:asciiTheme="majorBidi" w:hAnsiTheme="majorBidi" w:cstheme="majorBidi"/>
          <w:noProof/>
          <w:sz w:val="24"/>
          <w:szCs w:val="24"/>
          <w:lang w:val="tr-TR" w:eastAsia="tr-TR"/>
        </w:rPr>
        <w:drawing>
          <wp:inline distT="0" distB="0" distL="0" distR="0" wp14:anchorId="102C002A" wp14:editId="030EFC0A">
            <wp:extent cx="2673188" cy="3016487"/>
            <wp:effectExtent l="171450" t="0" r="1466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693740" cy="3039678"/>
                    </a:xfrm>
                    <a:prstGeom prst="rect">
                      <a:avLst/>
                    </a:prstGeom>
                  </pic:spPr>
                </pic:pic>
              </a:graphicData>
            </a:graphic>
          </wp:inline>
        </w:drawing>
      </w:r>
    </w:p>
    <w:p w14:paraId="56858F3C"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noProof/>
          <w:sz w:val="24"/>
          <w:szCs w:val="24"/>
          <w:lang w:val="tr-TR" w:eastAsia="tr-TR"/>
        </w:rPr>
        <w:drawing>
          <wp:inline distT="0" distB="0" distL="0" distR="0" wp14:anchorId="70E7C89F" wp14:editId="0664599A">
            <wp:extent cx="2834640" cy="25222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4640" cy="2522220"/>
                    </a:xfrm>
                    <a:prstGeom prst="rect">
                      <a:avLst/>
                    </a:prstGeom>
                  </pic:spPr>
                </pic:pic>
              </a:graphicData>
            </a:graphic>
          </wp:inline>
        </w:drawing>
      </w:r>
      <w:r>
        <w:rPr>
          <w:rFonts w:asciiTheme="majorBidi" w:hAnsiTheme="majorBidi" w:cstheme="majorBidi"/>
          <w:noProof/>
          <w:sz w:val="24"/>
          <w:szCs w:val="24"/>
          <w:lang w:val="tr-TR" w:eastAsia="tr-TR"/>
        </w:rPr>
        <w:drawing>
          <wp:inline distT="0" distB="0" distL="0" distR="0" wp14:anchorId="6AB3E4F9" wp14:editId="2611728D">
            <wp:extent cx="3032760" cy="25126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2760" cy="2512695"/>
                    </a:xfrm>
                    <a:prstGeom prst="rect">
                      <a:avLst/>
                    </a:prstGeom>
                  </pic:spPr>
                </pic:pic>
              </a:graphicData>
            </a:graphic>
          </wp:inline>
        </w:drawing>
      </w:r>
    </w:p>
    <w:p w14:paraId="5CD4D87F"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sz w:val="24"/>
          <w:szCs w:val="24"/>
        </w:rPr>
        <w:t>_____________________________________</w:t>
      </w:r>
    </w:p>
    <w:p w14:paraId="6C8268F6"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sidRPr="00C26B9C">
        <w:rPr>
          <w:rFonts w:asciiTheme="majorBidi" w:hAnsiTheme="majorBidi" w:cstheme="majorBidi"/>
          <w:sz w:val="24"/>
          <w:szCs w:val="24"/>
        </w:rPr>
        <w:t>Fig</w:t>
      </w:r>
      <w:r>
        <w:rPr>
          <w:rFonts w:asciiTheme="majorBidi" w:hAnsiTheme="majorBidi" w:cstheme="majorBidi"/>
          <w:sz w:val="24"/>
          <w:szCs w:val="24"/>
        </w:rPr>
        <w:t xml:space="preserve">ure 4: </w:t>
      </w:r>
      <w:r w:rsidRPr="00A8207A">
        <w:rPr>
          <w:rFonts w:asciiTheme="majorBidi" w:hAnsiTheme="majorBidi" w:cstheme="majorBidi"/>
          <w:sz w:val="24"/>
          <w:szCs w:val="24"/>
        </w:rPr>
        <w:t>The patient's current condition</w:t>
      </w:r>
      <w:r w:rsidR="00DF4547">
        <w:rPr>
          <w:rFonts w:asciiTheme="majorBidi" w:hAnsiTheme="majorBidi" w:cstheme="majorBidi"/>
          <w:sz w:val="24"/>
          <w:szCs w:val="24"/>
        </w:rPr>
        <w:t>.</w:t>
      </w:r>
    </w:p>
    <w:p w14:paraId="620183A0" w14:textId="77777777" w:rsidR="000A725D" w:rsidRPr="00AD346C"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noProof/>
          <w:sz w:val="24"/>
          <w:szCs w:val="24"/>
          <w:lang w:val="tr-TR" w:eastAsia="tr-TR"/>
        </w:rPr>
        <w:lastRenderedPageBreak/>
        <w:drawing>
          <wp:inline distT="0" distB="0" distL="0" distR="0" wp14:anchorId="25276CDB" wp14:editId="7487D14A">
            <wp:extent cx="5943600" cy="4983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983480"/>
                    </a:xfrm>
                    <a:prstGeom prst="rect">
                      <a:avLst/>
                    </a:prstGeom>
                  </pic:spPr>
                </pic:pic>
              </a:graphicData>
            </a:graphic>
          </wp:inline>
        </w:drawing>
      </w:r>
    </w:p>
    <w:p w14:paraId="6F237E71" w14:textId="77777777" w:rsidR="00B01FCD" w:rsidRPr="00FB3A86" w:rsidRDefault="00B01FCD" w:rsidP="00441B6F">
      <w:pPr>
        <w:pStyle w:val="Appendix"/>
        <w:spacing w:after="0"/>
        <w:jc w:val="both"/>
        <w:rPr>
          <w:rFonts w:ascii="Arial" w:hAnsi="Arial" w:cs="Arial"/>
          <w:b w:val="0"/>
        </w:rPr>
      </w:pPr>
    </w:p>
    <w:sectPr w:rsidR="00B01FCD" w:rsidRPr="00FB3A86" w:rsidSect="003A2200">
      <w:headerReference w:type="even" r:id="rId32"/>
      <w:headerReference w:type="default" r:id="rId33"/>
      <w:footerReference w:type="even" r:id="rId34"/>
      <w:footerReference w:type="default" r:id="rId35"/>
      <w:headerReference w:type="first" r:id="rId36"/>
      <w:footerReference w:type="first" r:id="rId3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9EABB" w14:textId="77777777" w:rsidR="00481805" w:rsidRDefault="00481805" w:rsidP="00C37E61">
      <w:r>
        <w:separator/>
      </w:r>
    </w:p>
  </w:endnote>
  <w:endnote w:type="continuationSeparator" w:id="0">
    <w:p w14:paraId="0EFAF51E" w14:textId="77777777" w:rsidR="00481805" w:rsidRDefault="0048180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D159F" w14:textId="77777777" w:rsidR="00AB5D5F" w:rsidRDefault="00AB5D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707A0"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F93D2" w14:textId="77777777" w:rsidR="00AB5D5F" w:rsidRDefault="00AB5D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D9D0D" w14:textId="77777777" w:rsidR="00481805" w:rsidRDefault="00481805" w:rsidP="00C37E61">
      <w:r>
        <w:separator/>
      </w:r>
    </w:p>
  </w:footnote>
  <w:footnote w:type="continuationSeparator" w:id="0">
    <w:p w14:paraId="491AA097" w14:textId="77777777" w:rsidR="00481805" w:rsidRDefault="0048180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66E66" w14:textId="34C96C70" w:rsidR="00AB5D5F" w:rsidRDefault="00AB5D5F">
    <w:pPr>
      <w:pStyle w:val="Header"/>
    </w:pPr>
    <w:r>
      <w:rPr>
        <w:noProof/>
      </w:rPr>
      <w:pict w14:anchorId="44BD7F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06107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FCE82" w14:textId="15A8E82F" w:rsidR="00AB5D5F" w:rsidRDefault="00AB5D5F">
    <w:pPr>
      <w:pStyle w:val="Header"/>
    </w:pPr>
    <w:r>
      <w:rPr>
        <w:noProof/>
      </w:rPr>
      <w:pict w14:anchorId="618A6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06108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2D1EB" w14:textId="77EE9067" w:rsidR="00AB5D5F" w:rsidRDefault="00AB5D5F">
    <w:pPr>
      <w:pStyle w:val="Header"/>
    </w:pPr>
    <w:r>
      <w:rPr>
        <w:noProof/>
      </w:rPr>
      <w:pict w14:anchorId="4C65C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061078"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B176AB1"/>
    <w:multiLevelType w:val="hybridMultilevel"/>
    <w:tmpl w:val="63B204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A725D"/>
    <w:rsid w:val="000B1E33"/>
    <w:rsid w:val="000C328E"/>
    <w:rsid w:val="000D689F"/>
    <w:rsid w:val="000E7B7B"/>
    <w:rsid w:val="000E7D62"/>
    <w:rsid w:val="00103357"/>
    <w:rsid w:val="00123C9F"/>
    <w:rsid w:val="00126190"/>
    <w:rsid w:val="00130F17"/>
    <w:rsid w:val="001320BF"/>
    <w:rsid w:val="00147EF2"/>
    <w:rsid w:val="00163BC4"/>
    <w:rsid w:val="00191062"/>
    <w:rsid w:val="00192B72"/>
    <w:rsid w:val="00197C1C"/>
    <w:rsid w:val="001A29D8"/>
    <w:rsid w:val="001A5CAA"/>
    <w:rsid w:val="001B0427"/>
    <w:rsid w:val="001D3A51"/>
    <w:rsid w:val="001E10D2"/>
    <w:rsid w:val="001E25B4"/>
    <w:rsid w:val="001E44FE"/>
    <w:rsid w:val="00200595"/>
    <w:rsid w:val="00204835"/>
    <w:rsid w:val="00206BD6"/>
    <w:rsid w:val="00231920"/>
    <w:rsid w:val="0023195C"/>
    <w:rsid w:val="0024282C"/>
    <w:rsid w:val="002460DC"/>
    <w:rsid w:val="00250985"/>
    <w:rsid w:val="002556F6"/>
    <w:rsid w:val="00265B26"/>
    <w:rsid w:val="00283105"/>
    <w:rsid w:val="00284C4C"/>
    <w:rsid w:val="00287E68"/>
    <w:rsid w:val="00296529"/>
    <w:rsid w:val="002B27FB"/>
    <w:rsid w:val="002B685A"/>
    <w:rsid w:val="002C57D2"/>
    <w:rsid w:val="002E0D56"/>
    <w:rsid w:val="002E103A"/>
    <w:rsid w:val="00307F44"/>
    <w:rsid w:val="00315186"/>
    <w:rsid w:val="0033343E"/>
    <w:rsid w:val="003473EC"/>
    <w:rsid w:val="003512C2"/>
    <w:rsid w:val="00371FB6"/>
    <w:rsid w:val="003763C1"/>
    <w:rsid w:val="00376BBE"/>
    <w:rsid w:val="0039224F"/>
    <w:rsid w:val="003A2200"/>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1805"/>
    <w:rsid w:val="004D305E"/>
    <w:rsid w:val="004D4277"/>
    <w:rsid w:val="00502516"/>
    <w:rsid w:val="00505F06"/>
    <w:rsid w:val="00506828"/>
    <w:rsid w:val="0053056E"/>
    <w:rsid w:val="00554FDA"/>
    <w:rsid w:val="00584068"/>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473"/>
    <w:rsid w:val="00804BC2"/>
    <w:rsid w:val="0081431A"/>
    <w:rsid w:val="008214F6"/>
    <w:rsid w:val="008266B2"/>
    <w:rsid w:val="008306D5"/>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47E99"/>
    <w:rsid w:val="009500A6"/>
    <w:rsid w:val="00957C18"/>
    <w:rsid w:val="00961D12"/>
    <w:rsid w:val="009659BA"/>
    <w:rsid w:val="00983040"/>
    <w:rsid w:val="00995B51"/>
    <w:rsid w:val="009B3FB9"/>
    <w:rsid w:val="009C2465"/>
    <w:rsid w:val="009D2307"/>
    <w:rsid w:val="009D35A0"/>
    <w:rsid w:val="009D7EB7"/>
    <w:rsid w:val="009E048A"/>
    <w:rsid w:val="009E08E9"/>
    <w:rsid w:val="009E3DB9"/>
    <w:rsid w:val="009E6E35"/>
    <w:rsid w:val="009F0EDA"/>
    <w:rsid w:val="00A03B96"/>
    <w:rsid w:val="00A05B19"/>
    <w:rsid w:val="00A1134E"/>
    <w:rsid w:val="00A13FBC"/>
    <w:rsid w:val="00A24E7E"/>
    <w:rsid w:val="00A258C3"/>
    <w:rsid w:val="00A347C0"/>
    <w:rsid w:val="00A51431"/>
    <w:rsid w:val="00A539AD"/>
    <w:rsid w:val="00A94063"/>
    <w:rsid w:val="00AA6219"/>
    <w:rsid w:val="00AA74E0"/>
    <w:rsid w:val="00AB5D5F"/>
    <w:rsid w:val="00AB703F"/>
    <w:rsid w:val="00AC6BB8"/>
    <w:rsid w:val="00AE008F"/>
    <w:rsid w:val="00B01FCD"/>
    <w:rsid w:val="00B1776C"/>
    <w:rsid w:val="00B52583"/>
    <w:rsid w:val="00B52896"/>
    <w:rsid w:val="00B95236"/>
    <w:rsid w:val="00B96BD9"/>
    <w:rsid w:val="00BA1B01"/>
    <w:rsid w:val="00BA2641"/>
    <w:rsid w:val="00BB37AA"/>
    <w:rsid w:val="00BC53A0"/>
    <w:rsid w:val="00BD633D"/>
    <w:rsid w:val="00BE62AD"/>
    <w:rsid w:val="00BF121F"/>
    <w:rsid w:val="00BF1F80"/>
    <w:rsid w:val="00C00E28"/>
    <w:rsid w:val="00C166EF"/>
    <w:rsid w:val="00C17EB0"/>
    <w:rsid w:val="00C26B9C"/>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DF4547"/>
    <w:rsid w:val="00E053D0"/>
    <w:rsid w:val="00E12A85"/>
    <w:rsid w:val="00E14ABE"/>
    <w:rsid w:val="00E15994"/>
    <w:rsid w:val="00E3114E"/>
    <w:rsid w:val="00E31A70"/>
    <w:rsid w:val="00E35B02"/>
    <w:rsid w:val="00E66496"/>
    <w:rsid w:val="00E66B35"/>
    <w:rsid w:val="00E66E10"/>
    <w:rsid w:val="00E769F6"/>
    <w:rsid w:val="00E836E7"/>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C5A2E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y2iqfc">
    <w:name w:val="y2iqfc"/>
    <w:basedOn w:val="DefaultParagraphFont"/>
    <w:rsid w:val="002E103A"/>
  </w:style>
  <w:style w:type="paragraph" w:styleId="ListParagraph">
    <w:name w:val="List Paragraph"/>
    <w:basedOn w:val="Normal"/>
    <w:uiPriority w:val="34"/>
    <w:qFormat/>
    <w:rsid w:val="002E103A"/>
    <w:pPr>
      <w:spacing w:after="160" w:line="360" w:lineRule="auto"/>
      <w:ind w:left="720"/>
      <w:contextualSpacing/>
      <w:jc w:val="both"/>
    </w:pPr>
    <w:rPr>
      <w:rFonts w:asciiTheme="minorHAnsi" w:eastAsiaTheme="minorHAnsi" w:hAnsiTheme="minorHAnsi" w:cstheme="minorBidi"/>
      <w:sz w:val="22"/>
      <w:szCs w:val="22"/>
      <w:lang w:val="tr-TR"/>
    </w:rPr>
  </w:style>
  <w:style w:type="paragraph" w:styleId="HTMLPreformatted">
    <w:name w:val="HTML Preformatted"/>
    <w:basedOn w:val="Normal"/>
    <w:link w:val="HTMLPreformattedChar"/>
    <w:uiPriority w:val="99"/>
    <w:unhideWhenUsed/>
    <w:rsid w:val="00147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rPr>
  </w:style>
  <w:style w:type="character" w:customStyle="1" w:styleId="HTMLPreformattedChar">
    <w:name w:val="HTML Preformatted Char"/>
    <w:basedOn w:val="DefaultParagraphFont"/>
    <w:link w:val="HTMLPreformatted"/>
    <w:uiPriority w:val="99"/>
    <w:rsid w:val="00147EF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2968/bjon.2012.21.Sup5.S4" TargetMode="External"/><Relationship Id="rId18" Type="http://schemas.openxmlformats.org/officeDocument/2006/relationships/hyperlink" Target="https://doi.org/10.1016/j.ijscr.2023.108695" TargetMode="External"/><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016/j.ijscr.2021.105931" TargetMode="External"/><Relationship Id="rId17" Type="http://schemas.openxmlformats.org/officeDocument/2006/relationships/hyperlink" Target="https://doi.org/10.1136/pgmj.2006.055905" TargetMode="External"/><Relationship Id="rId25" Type="http://schemas.openxmlformats.org/officeDocument/2006/relationships/image" Target="media/image6.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586/17434440.3.2.175" TargetMode="External"/><Relationship Id="rId20" Type="http://schemas.openxmlformats.org/officeDocument/2006/relationships/image" Target="media/image1.jpe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55/2022/8148298" TargetMode="External"/><Relationship Id="rId24" Type="http://schemas.openxmlformats.org/officeDocument/2006/relationships/image" Target="media/image5.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111/j.1742-481X.2009.00628.x" TargetMode="External"/><Relationship Id="rId23" Type="http://schemas.openxmlformats.org/officeDocument/2006/relationships/image" Target="media/image4.jpg"/><Relationship Id="rId28" Type="http://schemas.openxmlformats.org/officeDocument/2006/relationships/image" Target="media/image9.jpeg"/><Relationship Id="rId36" Type="http://schemas.openxmlformats.org/officeDocument/2006/relationships/header" Target="header3.xml"/><Relationship Id="rId10" Type="http://schemas.openxmlformats.org/officeDocument/2006/relationships/hyperlink" Target="https://doi.org:10.1067/j.cpsurg.2014.06.001" TargetMode="External"/><Relationship Id="rId19" Type="http://schemas.openxmlformats.org/officeDocument/2006/relationships/hyperlink" Target="https://hdl.handle.net/1887/12552" TargetMode="Externa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yperlink" Target="https://doi.org/10.1128/CMR.00027-10" TargetMode="External"/><Relationship Id="rId14" Type="http://schemas.openxmlformats.org/officeDocument/2006/relationships/hyperlink" Target="https://doi.org/10.1111/eci.13688"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g"/><Relationship Id="rId35" Type="http://schemas.openxmlformats.org/officeDocument/2006/relationships/footer" Target="footer2.xml"/><Relationship Id="rId8" Type="http://schemas.openxmlformats.org/officeDocument/2006/relationships/hyperlink" Target="https://doi.10.1111/iwj.13533"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E4A3B-74EC-4308-9C12-226C2C3B8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72</TotalTime>
  <Pages>7</Pages>
  <Words>1446</Words>
  <Characters>8243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9670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24</cp:revision>
  <cp:lastPrinted>1999-07-06T11:00:00Z</cp:lastPrinted>
  <dcterms:created xsi:type="dcterms:W3CDTF">2014-10-25T14:34:00Z</dcterms:created>
  <dcterms:modified xsi:type="dcterms:W3CDTF">2025-05-12T10:44:00Z</dcterms:modified>
</cp:coreProperties>
</file>