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0963E" w14:textId="77777777" w:rsidR="00596D86" w:rsidRPr="00596D86" w:rsidRDefault="00596D86" w:rsidP="00596D86">
      <w:pPr>
        <w:jc w:val="center"/>
        <w:rPr>
          <w:rFonts w:ascii="Arial" w:hAnsi="Arial" w:cs="Arial"/>
          <w:b/>
          <w:bCs/>
          <w:i/>
          <w:iCs/>
          <w:color w:val="222222"/>
          <w:sz w:val="32"/>
          <w:szCs w:val="32"/>
          <w:u w:val="single"/>
          <w:shd w:val="clear" w:color="auto" w:fill="FFFFFF"/>
          <w:lang w:val="en-US"/>
        </w:rPr>
      </w:pPr>
      <w:r w:rsidRPr="00596D86">
        <w:rPr>
          <w:rFonts w:ascii="Arial" w:hAnsi="Arial" w:cs="Arial"/>
          <w:b/>
          <w:bCs/>
          <w:i/>
          <w:iCs/>
          <w:color w:val="222222"/>
          <w:sz w:val="32"/>
          <w:szCs w:val="32"/>
          <w:u w:val="single"/>
          <w:shd w:val="clear" w:color="auto" w:fill="FFFFFF"/>
          <w:lang w:val="en-US"/>
        </w:rPr>
        <w:t xml:space="preserve">Case report </w:t>
      </w:r>
    </w:p>
    <w:p w14:paraId="38C663F2" w14:textId="77777777" w:rsidR="00596D86" w:rsidRDefault="00596D86" w:rsidP="007840FF">
      <w:pPr>
        <w:jc w:val="center"/>
        <w:rPr>
          <w:rFonts w:ascii="Arial" w:hAnsi="Arial" w:cs="Arial"/>
          <w:b/>
          <w:bCs/>
          <w:color w:val="222222"/>
          <w:sz w:val="32"/>
          <w:szCs w:val="32"/>
          <w:shd w:val="clear" w:color="auto" w:fill="FFFFFF"/>
          <w:lang w:val="en-US"/>
        </w:rPr>
      </w:pPr>
    </w:p>
    <w:p w14:paraId="276136BC" w14:textId="2DA1F1CF" w:rsidR="007840FF" w:rsidRDefault="007840FF" w:rsidP="007840FF">
      <w:pPr>
        <w:jc w:val="center"/>
        <w:rPr>
          <w:rFonts w:ascii="Arial" w:hAnsi="Arial" w:cs="Arial"/>
          <w:b/>
          <w:bCs/>
          <w:color w:val="222222"/>
          <w:sz w:val="32"/>
          <w:szCs w:val="32"/>
          <w:shd w:val="clear" w:color="auto" w:fill="FFFFFF"/>
          <w:lang w:val="en-US"/>
        </w:rPr>
      </w:pPr>
      <w:r w:rsidRPr="008E0584">
        <w:rPr>
          <w:rFonts w:ascii="Arial" w:hAnsi="Arial" w:cs="Arial"/>
          <w:b/>
          <w:bCs/>
          <w:color w:val="222222"/>
          <w:sz w:val="32"/>
          <w:szCs w:val="32"/>
          <w:shd w:val="clear" w:color="auto" w:fill="FFFFFF"/>
          <w:lang w:val="en-US"/>
        </w:rPr>
        <w:t>Golimumab-Triggered Palmoplantar Pustular Psoriasis in Ankylosing Spondylitis: Case Study and Evidence Review</w:t>
      </w:r>
    </w:p>
    <w:p w14:paraId="691235C4" w14:textId="77777777" w:rsidR="002421AD" w:rsidRPr="008E0584" w:rsidRDefault="002421AD" w:rsidP="007840FF">
      <w:pPr>
        <w:jc w:val="center"/>
        <w:rPr>
          <w:rFonts w:ascii="Arial" w:hAnsi="Arial" w:cs="Arial"/>
          <w:b/>
          <w:bCs/>
          <w:color w:val="222222"/>
          <w:sz w:val="32"/>
          <w:szCs w:val="32"/>
          <w:shd w:val="clear" w:color="auto" w:fill="FFFFFF"/>
          <w:lang w:val="en-US"/>
        </w:rPr>
      </w:pPr>
    </w:p>
    <w:p w14:paraId="275A7780" w14:textId="40FCAB42" w:rsidR="008E0584" w:rsidRDefault="007840FF" w:rsidP="00256A30">
      <w:pPr>
        <w:jc w:val="center"/>
      </w:pPr>
      <w:r w:rsidRPr="007840FF">
        <w:rPr>
          <w:rFonts w:ascii="Arial" w:hAnsi="Arial" w:cs="Arial"/>
          <w:color w:val="222222"/>
          <w:lang w:val="en-US"/>
        </w:rPr>
        <w:br/>
      </w:r>
    </w:p>
    <w:p w14:paraId="54A73759" w14:textId="77777777" w:rsidR="008E0584" w:rsidRDefault="008E0584" w:rsidP="007840FF"/>
    <w:p w14:paraId="2E0346F9" w14:textId="77777777" w:rsidR="008E0584" w:rsidRDefault="007840FF" w:rsidP="007840FF">
      <w:pPr>
        <w:rPr>
          <w:rFonts w:ascii="Arial" w:hAnsi="Arial" w:cs="Arial"/>
          <w:color w:val="222222"/>
          <w:lang w:val="en-US"/>
        </w:rPr>
      </w:pPr>
      <w:r w:rsidRPr="008E0584">
        <w:rPr>
          <w:rFonts w:ascii="Arial" w:hAnsi="Arial" w:cs="Arial"/>
          <w:b/>
          <w:bCs/>
          <w:color w:val="222222"/>
          <w:lang w:val="en-US"/>
        </w:rPr>
        <w:br/>
      </w:r>
      <w:r w:rsidRPr="008E0584">
        <w:rPr>
          <w:rFonts w:ascii="Arial" w:hAnsi="Arial" w:cs="Arial"/>
          <w:b/>
          <w:bCs/>
          <w:color w:val="222222"/>
          <w:shd w:val="clear" w:color="auto" w:fill="FFFFFF"/>
          <w:lang w:val="en-US"/>
        </w:rPr>
        <w:t>Abstract</w:t>
      </w:r>
    </w:p>
    <w:p w14:paraId="4EC678AD" w14:textId="77777777" w:rsidR="008E0584" w:rsidRDefault="007840FF" w:rsidP="007840FF">
      <w:pPr>
        <w:rPr>
          <w:rFonts w:ascii="Arial" w:hAnsi="Arial" w:cs="Arial"/>
          <w:color w:val="222222"/>
          <w:shd w:val="clear" w:color="auto" w:fill="FFFFFF"/>
          <w:lang w:val="en-US"/>
        </w:rPr>
      </w:pPr>
      <w:r w:rsidRPr="008E0584">
        <w:rPr>
          <w:rFonts w:ascii="Arial" w:hAnsi="Arial" w:cs="Arial"/>
          <w:color w:val="222222"/>
          <w:u w:val="single"/>
          <w:lang w:val="en-US"/>
        </w:rPr>
        <w:br/>
      </w:r>
      <w:r w:rsidRPr="008E0584">
        <w:rPr>
          <w:rFonts w:ascii="Arial" w:hAnsi="Arial" w:cs="Arial"/>
          <w:color w:val="222222"/>
          <w:u w:val="single"/>
          <w:shd w:val="clear" w:color="auto" w:fill="FFFFFF"/>
          <w:lang w:val="en-US"/>
        </w:rPr>
        <w:t>Background:</w:t>
      </w:r>
      <w:r w:rsidRPr="007840FF">
        <w:rPr>
          <w:rFonts w:ascii="Arial" w:hAnsi="Arial" w:cs="Arial"/>
          <w:color w:val="222222"/>
          <w:shd w:val="clear" w:color="auto" w:fill="FFFFFF"/>
          <w:lang w:val="en-US"/>
        </w:rPr>
        <w:t xml:space="preserve"> Golimumab, a human monoclonal antibody targeting tumor necrosis factor-alpha (TNF-</w:t>
      </w:r>
      <w:r>
        <w:rPr>
          <w:rFonts w:ascii="Arial" w:hAnsi="Arial" w:cs="Arial"/>
          <w:color w:val="222222"/>
          <w:shd w:val="clear" w:color="auto" w:fill="FFFFFF"/>
        </w:rPr>
        <w:t>α</w:t>
      </w:r>
      <w:r w:rsidRPr="007840FF">
        <w:rPr>
          <w:rFonts w:ascii="Arial" w:hAnsi="Arial" w:cs="Arial"/>
          <w:color w:val="222222"/>
          <w:shd w:val="clear" w:color="auto" w:fill="FFFFFF"/>
          <w:lang w:val="en-US"/>
        </w:rPr>
        <w:t>), is widely used to treat ankylosing spondylitis (AS). However, it can paradoxically trigger dermatological conditions, including psoriasis. This report details a rare instance of palmoplantar pustular psoriasis (PPP) induced by golimumab in an AS patient.</w:t>
      </w:r>
    </w:p>
    <w:p w14:paraId="2F1063DC" w14:textId="77777777" w:rsidR="008E0584" w:rsidRDefault="007840FF" w:rsidP="007840FF">
      <w:pPr>
        <w:rPr>
          <w:rFonts w:ascii="Arial" w:hAnsi="Arial" w:cs="Arial"/>
          <w:color w:val="222222"/>
          <w:shd w:val="clear" w:color="auto" w:fill="FFFFFF"/>
          <w:lang w:val="en-US"/>
        </w:rPr>
      </w:pPr>
      <w:r w:rsidRPr="007840FF">
        <w:rPr>
          <w:rFonts w:ascii="Arial" w:hAnsi="Arial" w:cs="Arial"/>
          <w:color w:val="222222"/>
          <w:lang w:val="en-US"/>
        </w:rPr>
        <w:br/>
      </w:r>
      <w:r w:rsidRPr="008E0584">
        <w:rPr>
          <w:rFonts w:ascii="Arial" w:hAnsi="Arial" w:cs="Arial"/>
          <w:color w:val="222222"/>
          <w:u w:val="single"/>
          <w:shd w:val="clear" w:color="auto" w:fill="FFFFFF"/>
          <w:lang w:val="en-US"/>
        </w:rPr>
        <w:t>Case Presentation:</w:t>
      </w:r>
      <w:r w:rsidRPr="007840FF">
        <w:rPr>
          <w:rFonts w:ascii="Arial" w:hAnsi="Arial" w:cs="Arial"/>
          <w:color w:val="222222"/>
          <w:shd w:val="clear" w:color="auto" w:fill="FFFFFF"/>
          <w:lang w:val="en-US"/>
        </w:rPr>
        <w:t xml:space="preserve"> A 39-year-old male smoker with HLA-B27-positive axial AS (BASDAI 4.6, BASFI 5.6) began golimumab (50 mg monthly) in October 2022 after inadequate NSAID response. Ten months later, he developed PPP with pustules on the palms and soles, plus psoriatic plaques on the thighs and legs. Golimumab was stopped, and treatment shifted to </w:t>
      </w:r>
      <w:proofErr w:type="spellStart"/>
      <w:r w:rsidRPr="007840FF">
        <w:rPr>
          <w:rFonts w:ascii="Arial" w:hAnsi="Arial" w:cs="Arial"/>
          <w:color w:val="222222"/>
          <w:shd w:val="clear" w:color="auto" w:fill="FFFFFF"/>
          <w:lang w:val="en-US"/>
        </w:rPr>
        <w:t>secukinumab</w:t>
      </w:r>
      <w:proofErr w:type="spellEnd"/>
      <w:r w:rsidRPr="007840FF">
        <w:rPr>
          <w:rFonts w:ascii="Arial" w:hAnsi="Arial" w:cs="Arial"/>
          <w:color w:val="222222"/>
          <w:shd w:val="clear" w:color="auto" w:fill="FFFFFF"/>
          <w:lang w:val="en-US"/>
        </w:rPr>
        <w:t xml:space="preserve"> (an anti-IL-17 agent) with topical corticosteroids, resulting in significant lesion improvement within weeks and ongoing AS control.</w:t>
      </w:r>
    </w:p>
    <w:p w14:paraId="22D3AEB0" w14:textId="77777777" w:rsidR="008E0584" w:rsidRDefault="007840FF" w:rsidP="007840FF">
      <w:pPr>
        <w:rPr>
          <w:rFonts w:ascii="Arial" w:hAnsi="Arial" w:cs="Arial"/>
          <w:color w:val="222222"/>
          <w:shd w:val="clear" w:color="auto" w:fill="FFFFFF"/>
          <w:lang w:val="en-US"/>
        </w:rPr>
      </w:pPr>
      <w:r w:rsidRPr="007840FF">
        <w:rPr>
          <w:rFonts w:ascii="Arial" w:hAnsi="Arial" w:cs="Arial"/>
          <w:color w:val="222222"/>
          <w:lang w:val="en-US"/>
        </w:rPr>
        <w:br/>
      </w:r>
      <w:r w:rsidRPr="008E0584">
        <w:rPr>
          <w:rFonts w:ascii="Arial" w:hAnsi="Arial" w:cs="Arial"/>
          <w:color w:val="222222"/>
          <w:u w:val="single"/>
          <w:shd w:val="clear" w:color="auto" w:fill="FFFFFF"/>
          <w:lang w:val="en-US"/>
        </w:rPr>
        <w:t>Conclusion:</w:t>
      </w:r>
      <w:r w:rsidRPr="007840FF">
        <w:rPr>
          <w:rFonts w:ascii="Arial" w:hAnsi="Arial" w:cs="Arial"/>
          <w:color w:val="222222"/>
          <w:shd w:val="clear" w:color="auto" w:fill="FFFFFF"/>
          <w:lang w:val="en-US"/>
        </w:rPr>
        <w:t xml:space="preserve"> This case illustrates a rare paradoxical effect of golimumab, likely driven by altered immune regulation involving interferon-alpha (IFN-</w:t>
      </w:r>
      <w:r>
        <w:rPr>
          <w:rFonts w:ascii="Arial" w:hAnsi="Arial" w:cs="Arial"/>
          <w:color w:val="222222"/>
          <w:shd w:val="clear" w:color="auto" w:fill="FFFFFF"/>
        </w:rPr>
        <w:t>α</w:t>
      </w:r>
      <w:r w:rsidRPr="007840FF">
        <w:rPr>
          <w:rFonts w:ascii="Arial" w:hAnsi="Arial" w:cs="Arial"/>
          <w:color w:val="222222"/>
          <w:shd w:val="clear" w:color="auto" w:fill="FFFFFF"/>
          <w:lang w:val="en-US"/>
        </w:rPr>
        <w:t>) and IL-17 pathways. Discontinuing golimumab and initiating anti-IL-17 therapy was effective. Clinicians should monitor for skin-related side effects in AS patients on anti-TNF drugs, especially those with smoking history, and consider tailored therapeutic approaches. Further studies are needed to explore this phenomenon.</w:t>
      </w:r>
    </w:p>
    <w:p w14:paraId="2DE15F85" w14:textId="77777777" w:rsidR="008E0584" w:rsidRDefault="007840FF" w:rsidP="007840FF">
      <w:pPr>
        <w:rPr>
          <w:rFonts w:ascii="Arial" w:hAnsi="Arial" w:cs="Arial"/>
          <w:color w:val="222222"/>
          <w:shd w:val="clear" w:color="auto" w:fill="FFFFFF"/>
          <w:lang w:val="en-US"/>
        </w:rPr>
      </w:pPr>
      <w:r w:rsidRPr="007840FF">
        <w:rPr>
          <w:rFonts w:ascii="Arial" w:hAnsi="Arial" w:cs="Arial"/>
          <w:color w:val="222222"/>
          <w:lang w:val="en-US"/>
        </w:rPr>
        <w:br/>
      </w:r>
      <w:r w:rsidRPr="008E0584">
        <w:rPr>
          <w:rFonts w:ascii="Arial" w:hAnsi="Arial" w:cs="Arial"/>
          <w:color w:val="222222"/>
          <w:u w:val="single"/>
          <w:shd w:val="clear" w:color="auto" w:fill="FFFFFF"/>
          <w:lang w:val="en-US"/>
        </w:rPr>
        <w:t>Keywords:</w:t>
      </w:r>
      <w:r w:rsidRPr="007840FF">
        <w:rPr>
          <w:rFonts w:ascii="Arial" w:hAnsi="Arial" w:cs="Arial"/>
          <w:color w:val="222222"/>
          <w:shd w:val="clear" w:color="auto" w:fill="FFFFFF"/>
          <w:lang w:val="en-US"/>
        </w:rPr>
        <w:t xml:space="preserve"> Golimumab, ankylosing spondylitis, palmoplantar pustular psoriasis, anti-TNF therapy, paradoxical reaction, IL-17 inhibitor.</w:t>
      </w:r>
    </w:p>
    <w:p w14:paraId="3A1A3307" w14:textId="77777777" w:rsidR="008E0584" w:rsidRDefault="008E0584" w:rsidP="007840FF">
      <w:pPr>
        <w:rPr>
          <w:rFonts w:ascii="Arial" w:hAnsi="Arial" w:cs="Arial"/>
          <w:color w:val="222222"/>
          <w:shd w:val="clear" w:color="auto" w:fill="FFFFFF"/>
          <w:lang w:val="en-US"/>
        </w:rPr>
      </w:pPr>
    </w:p>
    <w:p w14:paraId="1A2478D9" w14:textId="77777777" w:rsidR="008E0584" w:rsidRDefault="008E0584" w:rsidP="007840FF">
      <w:pPr>
        <w:rPr>
          <w:rFonts w:ascii="Arial" w:hAnsi="Arial" w:cs="Arial"/>
          <w:color w:val="222222"/>
          <w:shd w:val="clear" w:color="auto" w:fill="FFFFFF"/>
          <w:lang w:val="en-US"/>
        </w:rPr>
      </w:pPr>
    </w:p>
    <w:p w14:paraId="043CE67E" w14:textId="77777777" w:rsidR="00DA5D91" w:rsidRDefault="00DA5D91" w:rsidP="007840FF">
      <w:pPr>
        <w:rPr>
          <w:rFonts w:ascii="Arial" w:hAnsi="Arial" w:cs="Arial"/>
          <w:color w:val="222222"/>
          <w:shd w:val="clear" w:color="auto" w:fill="FFFFFF"/>
          <w:lang w:val="en-US"/>
        </w:rPr>
      </w:pPr>
    </w:p>
    <w:p w14:paraId="2F631218" w14:textId="77777777" w:rsidR="008E0584" w:rsidRPr="008E0584" w:rsidRDefault="007840FF" w:rsidP="007840FF">
      <w:pPr>
        <w:rPr>
          <w:rFonts w:ascii="Arial" w:hAnsi="Arial" w:cs="Arial"/>
          <w:b/>
          <w:bCs/>
          <w:color w:val="222222"/>
          <w:sz w:val="28"/>
          <w:szCs w:val="28"/>
          <w:shd w:val="clear" w:color="auto" w:fill="FFFFFF"/>
          <w:lang w:val="en-US"/>
        </w:rPr>
      </w:pPr>
      <w:r w:rsidRPr="008E0584">
        <w:rPr>
          <w:rFonts w:ascii="Arial" w:hAnsi="Arial" w:cs="Arial"/>
          <w:color w:val="222222"/>
          <w:sz w:val="28"/>
          <w:szCs w:val="28"/>
          <w:lang w:val="en-US"/>
        </w:rPr>
        <w:br/>
      </w:r>
      <w:r w:rsidRPr="008E0584">
        <w:rPr>
          <w:rFonts w:ascii="Arial" w:hAnsi="Arial" w:cs="Arial"/>
          <w:b/>
          <w:bCs/>
          <w:color w:val="222222"/>
          <w:sz w:val="28"/>
          <w:szCs w:val="28"/>
          <w:shd w:val="clear" w:color="auto" w:fill="FFFFFF"/>
          <w:lang w:val="en-US"/>
        </w:rPr>
        <w:t>Introduction</w:t>
      </w:r>
    </w:p>
    <w:p w14:paraId="06B9DD8B" w14:textId="77777777" w:rsidR="008E0584" w:rsidRDefault="007840FF" w:rsidP="007840FF">
      <w:pPr>
        <w:rPr>
          <w:rFonts w:ascii="Arial" w:hAnsi="Arial" w:cs="Arial"/>
          <w:color w:val="222222"/>
          <w:shd w:val="clear" w:color="auto" w:fill="FFFFFF"/>
          <w:lang w:val="en-US"/>
        </w:rPr>
      </w:pPr>
      <w:r w:rsidRPr="007840FF">
        <w:rPr>
          <w:rFonts w:ascii="Arial" w:hAnsi="Arial" w:cs="Arial"/>
          <w:color w:val="222222"/>
          <w:lang w:val="en-US"/>
        </w:rPr>
        <w:br/>
      </w:r>
      <w:r w:rsidRPr="007840FF">
        <w:rPr>
          <w:rFonts w:ascii="Arial" w:hAnsi="Arial" w:cs="Arial"/>
          <w:color w:val="222222"/>
          <w:shd w:val="clear" w:color="auto" w:fill="FFFFFF"/>
          <w:lang w:val="en-US"/>
        </w:rPr>
        <w:t>Ankylosing spondylitis (AS) is a chronic inflammatory disorder primarily affecting the spine and sacroiliac joints, leading to pain and reduced mobility. The advent of biologic therapies, notably anti-TNF-</w:t>
      </w:r>
      <w:r>
        <w:rPr>
          <w:rFonts w:ascii="Arial" w:hAnsi="Arial" w:cs="Arial"/>
          <w:color w:val="222222"/>
          <w:shd w:val="clear" w:color="auto" w:fill="FFFFFF"/>
        </w:rPr>
        <w:t>α</w:t>
      </w:r>
      <w:r w:rsidRPr="007840FF">
        <w:rPr>
          <w:rFonts w:ascii="Arial" w:hAnsi="Arial" w:cs="Arial"/>
          <w:color w:val="222222"/>
          <w:shd w:val="clear" w:color="auto" w:fill="FFFFFF"/>
          <w:lang w:val="en-US"/>
        </w:rPr>
        <w:t xml:space="preserve"> agents, has transformed AS management for patients unresponsive to traditional treatments like NSAIDs. Golimumab, a fully human anti-TNF-</w:t>
      </w:r>
      <w:r>
        <w:rPr>
          <w:rFonts w:ascii="Arial" w:hAnsi="Arial" w:cs="Arial"/>
          <w:color w:val="222222"/>
          <w:shd w:val="clear" w:color="auto" w:fill="FFFFFF"/>
        </w:rPr>
        <w:t>α</w:t>
      </w:r>
      <w:r w:rsidRPr="007840FF">
        <w:rPr>
          <w:rFonts w:ascii="Arial" w:hAnsi="Arial" w:cs="Arial"/>
          <w:color w:val="222222"/>
          <w:shd w:val="clear" w:color="auto" w:fill="FFFFFF"/>
          <w:lang w:val="en-US"/>
        </w:rPr>
        <w:t xml:space="preserve"> antibody, has proven effective in controlling AS symptoms, as demonstrated in clinical studies. Yet, these therapies carry risks, including paradoxical adverse effects where conditions typically alleviated by TNF-</w:t>
      </w:r>
      <w:r>
        <w:rPr>
          <w:rFonts w:ascii="Arial" w:hAnsi="Arial" w:cs="Arial"/>
          <w:color w:val="222222"/>
          <w:shd w:val="clear" w:color="auto" w:fill="FFFFFF"/>
        </w:rPr>
        <w:t>α</w:t>
      </w:r>
      <w:r w:rsidRPr="007840FF">
        <w:rPr>
          <w:rFonts w:ascii="Arial" w:hAnsi="Arial" w:cs="Arial"/>
          <w:color w:val="222222"/>
          <w:shd w:val="clear" w:color="auto" w:fill="FFFFFF"/>
          <w:lang w:val="en-US"/>
        </w:rPr>
        <w:t xml:space="preserve"> inhibition, such as psoriasis, emerge instead.</w:t>
      </w:r>
      <w:r w:rsidRPr="007840FF">
        <w:rPr>
          <w:rFonts w:ascii="Arial" w:hAnsi="Arial" w:cs="Arial"/>
          <w:color w:val="222222"/>
          <w:lang w:val="en-US"/>
        </w:rPr>
        <w:br/>
      </w:r>
      <w:r w:rsidRPr="007840FF">
        <w:rPr>
          <w:rFonts w:ascii="Arial" w:hAnsi="Arial" w:cs="Arial"/>
          <w:color w:val="222222"/>
          <w:shd w:val="clear" w:color="auto" w:fill="FFFFFF"/>
          <w:lang w:val="en-US"/>
        </w:rPr>
        <w:lastRenderedPageBreak/>
        <w:t>Psoriasis, an immune-mediated skin disorder, occurs in 1–5% of patients on anti-TNF drugs, with palmoplantar pustular psoriasis (PPP)—marked by sterile pustules on the palms and soles—being a less common but debilitating variant. The underlying mechanism may involve disrupted cytokine balance, potentially linked to plasmacytoid dendritic cell (</w:t>
      </w:r>
      <w:proofErr w:type="spellStart"/>
      <w:r w:rsidRPr="007840FF">
        <w:rPr>
          <w:rFonts w:ascii="Arial" w:hAnsi="Arial" w:cs="Arial"/>
          <w:color w:val="222222"/>
          <w:shd w:val="clear" w:color="auto" w:fill="FFFFFF"/>
          <w:lang w:val="en-US"/>
        </w:rPr>
        <w:t>pDC</w:t>
      </w:r>
      <w:proofErr w:type="spellEnd"/>
      <w:r w:rsidRPr="007840FF">
        <w:rPr>
          <w:rFonts w:ascii="Arial" w:hAnsi="Arial" w:cs="Arial"/>
          <w:color w:val="222222"/>
          <w:shd w:val="clear" w:color="auto" w:fill="FFFFFF"/>
          <w:lang w:val="en-US"/>
        </w:rPr>
        <w:t>) activity and excessive IFN-</w:t>
      </w:r>
      <w:r>
        <w:rPr>
          <w:rFonts w:ascii="Arial" w:hAnsi="Arial" w:cs="Arial"/>
          <w:color w:val="222222"/>
          <w:shd w:val="clear" w:color="auto" w:fill="FFFFFF"/>
        </w:rPr>
        <w:t>α</w:t>
      </w:r>
      <w:r w:rsidRPr="007840FF">
        <w:rPr>
          <w:rFonts w:ascii="Arial" w:hAnsi="Arial" w:cs="Arial"/>
          <w:color w:val="222222"/>
          <w:shd w:val="clear" w:color="auto" w:fill="FFFFFF"/>
          <w:lang w:val="en-US"/>
        </w:rPr>
        <w:t xml:space="preserve"> production. Risk factors like smoking may heighten susceptibility. Managing such complications often requires switching to alternative biologics, such as anti-IL-17 agents, which target different inflammatory pathways.</w:t>
      </w:r>
      <w:r w:rsidRPr="007840FF">
        <w:rPr>
          <w:rFonts w:ascii="Arial" w:hAnsi="Arial" w:cs="Arial"/>
          <w:color w:val="222222"/>
          <w:lang w:val="en-US"/>
        </w:rPr>
        <w:br/>
      </w:r>
      <w:r w:rsidRPr="007840FF">
        <w:rPr>
          <w:rFonts w:ascii="Arial" w:hAnsi="Arial" w:cs="Arial"/>
          <w:color w:val="222222"/>
          <w:shd w:val="clear" w:color="auto" w:fill="FFFFFF"/>
          <w:lang w:val="en-US"/>
        </w:rPr>
        <w:t>We report a case of golimumab-induced PPP in a 39-year-old male with AS, emphasizing the need for vigilance and personalized treatment. This report, supported by a review of recent literature, explores the clinical presentation, potential mechanisms, and management strategies for this rare adverse effect.</w:t>
      </w:r>
    </w:p>
    <w:p w14:paraId="2374C12A" w14:textId="20F65E5A" w:rsidR="008E0584" w:rsidRPr="008E0584" w:rsidRDefault="007840FF" w:rsidP="007840FF">
      <w:pPr>
        <w:rPr>
          <w:rFonts w:ascii="Arial" w:hAnsi="Arial" w:cs="Arial"/>
          <w:color w:val="222222"/>
          <w:sz w:val="28"/>
          <w:szCs w:val="28"/>
          <w:lang w:val="en-US"/>
        </w:rPr>
      </w:pPr>
      <w:r w:rsidRPr="008E0584">
        <w:rPr>
          <w:rFonts w:ascii="Arial" w:hAnsi="Arial" w:cs="Arial"/>
          <w:color w:val="222222"/>
          <w:sz w:val="28"/>
          <w:szCs w:val="28"/>
          <w:lang w:val="en-US"/>
        </w:rPr>
        <w:br/>
      </w:r>
      <w:r w:rsidRPr="008E0584">
        <w:rPr>
          <w:rFonts w:ascii="Arial" w:hAnsi="Arial" w:cs="Arial"/>
          <w:b/>
          <w:bCs/>
          <w:color w:val="222222"/>
          <w:sz w:val="28"/>
          <w:szCs w:val="28"/>
          <w:shd w:val="clear" w:color="auto" w:fill="FFFFFF"/>
          <w:lang w:val="en-US"/>
        </w:rPr>
        <w:t xml:space="preserve">Case </w:t>
      </w:r>
      <w:r w:rsidR="007A6C9E">
        <w:rPr>
          <w:rFonts w:ascii="Arial" w:hAnsi="Arial" w:cs="Arial"/>
          <w:b/>
          <w:bCs/>
          <w:color w:val="222222"/>
          <w:sz w:val="28"/>
          <w:szCs w:val="28"/>
          <w:shd w:val="clear" w:color="auto" w:fill="FFFFFF"/>
          <w:lang w:val="en-US"/>
        </w:rPr>
        <w:t xml:space="preserve">Presentation </w:t>
      </w:r>
    </w:p>
    <w:p w14:paraId="51232D6A" w14:textId="77777777" w:rsidR="00B4236A" w:rsidRDefault="007840FF" w:rsidP="007840FF">
      <w:pPr>
        <w:rPr>
          <w:rFonts w:ascii="Arial" w:hAnsi="Arial" w:cs="Arial"/>
          <w:color w:val="222222"/>
          <w:shd w:val="clear" w:color="auto" w:fill="FFFFFF"/>
          <w:lang w:val="en-US"/>
        </w:rPr>
      </w:pPr>
      <w:r w:rsidRPr="007840FF">
        <w:rPr>
          <w:rFonts w:ascii="Arial" w:hAnsi="Arial" w:cs="Arial"/>
          <w:color w:val="222222"/>
          <w:lang w:val="en-US"/>
        </w:rPr>
        <w:br/>
      </w:r>
      <w:r w:rsidRPr="007840FF">
        <w:rPr>
          <w:rFonts w:ascii="Arial" w:hAnsi="Arial" w:cs="Arial"/>
          <w:color w:val="222222"/>
          <w:shd w:val="clear" w:color="auto" w:fill="FFFFFF"/>
          <w:lang w:val="en-US"/>
        </w:rPr>
        <w:t>A 39-year-old male with a 15-year history of smoking was diagnosed with axial AS in 2018, confirmed by bilateral grade 4 sacroiliitis and HLA-B27 positivity. His disease was active, with a Bath Ankylosing Spondylitis Disease Activity Index (BASDAI) of 4.6 and Bath Ankylosing Spondylitis Functional Index (BASFI) of 5.6, indicating substantial functional limitation. He had no prior personal or family history of psoriasis or extra-articular manifestations. After failing multiple NSAIDs, golimumab (50 mg subcutaneous injection monthly) was initiated in October 2022, initially lowering his BASDAI to 3.2 after six months.</w:t>
      </w:r>
      <w:r w:rsidRPr="007840FF">
        <w:rPr>
          <w:rFonts w:ascii="Arial" w:hAnsi="Arial" w:cs="Arial"/>
          <w:color w:val="222222"/>
          <w:lang w:val="en-US"/>
        </w:rPr>
        <w:br/>
      </w:r>
      <w:r w:rsidRPr="007840FF">
        <w:rPr>
          <w:rFonts w:ascii="Arial" w:hAnsi="Arial" w:cs="Arial"/>
          <w:color w:val="222222"/>
          <w:shd w:val="clear" w:color="auto" w:fill="FFFFFF"/>
          <w:lang w:val="en-US"/>
        </w:rPr>
        <w:t>In August 2023, ten months into golimumab therapy, the patient presented with new skin lesions. Physical examination revealed sterile pustules on the palms and soles, consistent with PPP, alongside erythematous, scaly plaques on the anterior thighs and legs. A dermatological consultation confirmed anti-TNF-induced psoriasis based on clinical features and the temporal association with golimumab initiation</w:t>
      </w:r>
      <w:r w:rsidR="00B4236A">
        <w:rPr>
          <w:rFonts w:ascii="Arial" w:hAnsi="Arial" w:cs="Arial"/>
          <w:color w:val="222222"/>
          <w:shd w:val="clear" w:color="auto" w:fill="FFFFFF"/>
          <w:lang w:val="en-US"/>
        </w:rPr>
        <w:t xml:space="preserve"> </w:t>
      </w:r>
      <w:r w:rsidRPr="007840FF">
        <w:rPr>
          <w:rFonts w:ascii="Arial" w:hAnsi="Arial" w:cs="Arial"/>
          <w:color w:val="222222"/>
          <w:shd w:val="clear" w:color="auto" w:fill="FFFFFF"/>
          <w:lang w:val="en-US"/>
        </w:rPr>
        <w:t>(Figure 1</w:t>
      </w:r>
      <w:r w:rsidR="00B4236A">
        <w:rPr>
          <w:rFonts w:ascii="Arial" w:hAnsi="Arial" w:cs="Arial"/>
          <w:color w:val="222222"/>
          <w:shd w:val="clear" w:color="auto" w:fill="FFFFFF"/>
          <w:lang w:val="en-US"/>
        </w:rPr>
        <w:t>).</w:t>
      </w:r>
    </w:p>
    <w:p w14:paraId="4D922E73" w14:textId="77777777" w:rsidR="00B4236A" w:rsidRDefault="00B4236A" w:rsidP="007840FF">
      <w:pPr>
        <w:rPr>
          <w:rFonts w:ascii="Arial" w:hAnsi="Arial" w:cs="Arial"/>
          <w:color w:val="222222"/>
          <w:shd w:val="clear" w:color="auto" w:fill="FFFFFF"/>
          <w:lang w:val="en-US"/>
        </w:rPr>
      </w:pPr>
    </w:p>
    <w:p w14:paraId="7C0CBDAD" w14:textId="77777777" w:rsidR="00B4236A" w:rsidRDefault="00B4236A" w:rsidP="007840FF">
      <w:pPr>
        <w:rPr>
          <w:rFonts w:ascii="Arial" w:hAnsi="Arial" w:cs="Arial"/>
          <w:color w:val="222222"/>
          <w:shd w:val="clear" w:color="auto" w:fill="FFFFFF"/>
          <w:lang w:val="en-US"/>
        </w:rPr>
      </w:pPr>
    </w:p>
    <w:p w14:paraId="0FD59621" w14:textId="77777777" w:rsidR="00B4236A" w:rsidRDefault="00B4236A" w:rsidP="007840FF">
      <w:pPr>
        <w:rPr>
          <w:rFonts w:ascii="Arial" w:hAnsi="Arial" w:cs="Arial"/>
          <w:color w:val="222222"/>
          <w:shd w:val="clear" w:color="auto" w:fill="FFFFFF"/>
          <w:lang w:val="en-US"/>
        </w:rPr>
      </w:pPr>
      <w:r>
        <w:rPr>
          <w:rFonts w:ascii="Times New Roman" w:eastAsia="Times New Roman" w:hAnsi="Times New Roman" w:cs="Times New Roman"/>
          <w:noProof/>
          <w:sz w:val="28"/>
          <w:szCs w:val="28"/>
          <w:lang w:val="en-US" w:eastAsia="fr-FR"/>
        </w:rPr>
        <w:drawing>
          <wp:inline distT="0" distB="0" distL="0" distR="0" wp14:anchorId="2FB41169" wp14:editId="147A862C">
            <wp:extent cx="5412207" cy="2682240"/>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12207" cy="2682240"/>
                    </a:xfrm>
                    <a:prstGeom prst="rect">
                      <a:avLst/>
                    </a:prstGeom>
                  </pic:spPr>
                </pic:pic>
              </a:graphicData>
            </a:graphic>
          </wp:inline>
        </w:drawing>
      </w:r>
    </w:p>
    <w:p w14:paraId="0FED2245" w14:textId="77777777" w:rsidR="00B4236A" w:rsidRPr="002C4A22" w:rsidRDefault="00B4236A" w:rsidP="00B4236A">
      <w:pPr>
        <w:pStyle w:val="HTMLPreformatted"/>
        <w:spacing w:line="540" w:lineRule="atLeast"/>
        <w:jc w:val="center"/>
        <w:rPr>
          <w:rFonts w:asciiTheme="majorBidi" w:hAnsiTheme="majorBidi" w:cstheme="majorBidi"/>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4A22">
        <w:rPr>
          <w:rFonts w:asciiTheme="majorBidi" w:hAnsiTheme="majorBidi" w:cstheme="majorBidi"/>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1: </w:t>
      </w:r>
      <w:r w:rsidRPr="002C4A22">
        <w:rPr>
          <w:rFonts w:asciiTheme="majorBidi" w:hAnsiTheme="majorBidi" w:cstheme="majorBidi"/>
          <w:color w:val="000000" w:themeColor="text1"/>
          <w:sz w:val="28"/>
          <w:szCs w:val="28"/>
          <w:u w:val="single"/>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Golimumab-induced palmoplantar pustular psoriasis lesions in our patient</w:t>
      </w:r>
    </w:p>
    <w:p w14:paraId="17485FF9" w14:textId="77777777" w:rsidR="00B4236A" w:rsidRDefault="00B4236A" w:rsidP="00B4236A">
      <w:pPr>
        <w:jc w:val="center"/>
        <w:rPr>
          <w:rFonts w:ascii="Arial" w:hAnsi="Arial" w:cs="Arial"/>
          <w:color w:val="222222"/>
          <w:shd w:val="clear" w:color="auto" w:fill="FFFFFF"/>
          <w:lang w:val="en-US"/>
        </w:rPr>
      </w:pPr>
    </w:p>
    <w:p w14:paraId="4E96A20E" w14:textId="77777777" w:rsidR="008E0584" w:rsidRDefault="007840FF" w:rsidP="007840FF">
      <w:pPr>
        <w:rPr>
          <w:rFonts w:ascii="Arial" w:hAnsi="Arial" w:cs="Arial"/>
          <w:color w:val="222222"/>
          <w:shd w:val="clear" w:color="auto" w:fill="FFFFFF"/>
          <w:lang w:val="en-US"/>
        </w:rPr>
      </w:pPr>
      <w:r w:rsidRPr="007840FF">
        <w:rPr>
          <w:rFonts w:ascii="Arial" w:hAnsi="Arial" w:cs="Arial"/>
          <w:color w:val="222222"/>
          <w:lang w:val="en-US"/>
        </w:rPr>
        <w:lastRenderedPageBreak/>
        <w:br/>
      </w:r>
      <w:r w:rsidRPr="007840FF">
        <w:rPr>
          <w:rFonts w:ascii="Arial" w:hAnsi="Arial" w:cs="Arial"/>
          <w:color w:val="222222"/>
          <w:shd w:val="clear" w:color="auto" w:fill="FFFFFF"/>
          <w:lang w:val="en-US"/>
        </w:rPr>
        <w:t xml:space="preserve">Golimumab was discontinued, and the patient started </w:t>
      </w:r>
      <w:proofErr w:type="spellStart"/>
      <w:r w:rsidRPr="007840FF">
        <w:rPr>
          <w:rFonts w:ascii="Arial" w:hAnsi="Arial" w:cs="Arial"/>
          <w:color w:val="222222"/>
          <w:shd w:val="clear" w:color="auto" w:fill="FFFFFF"/>
          <w:lang w:val="en-US"/>
        </w:rPr>
        <w:t>secukinumab</w:t>
      </w:r>
      <w:proofErr w:type="spellEnd"/>
      <w:r w:rsidRPr="007840FF">
        <w:rPr>
          <w:rFonts w:ascii="Arial" w:hAnsi="Arial" w:cs="Arial"/>
          <w:color w:val="222222"/>
          <w:shd w:val="clear" w:color="auto" w:fill="FFFFFF"/>
          <w:lang w:val="en-US"/>
        </w:rPr>
        <w:t xml:space="preserve"> (150 mg weekly for five weeks, then monthly) alongside topical clobetasol propionate (0.05%). Within four weeks, the palmoplantar pustules had nearly resolved, and the thigh/leg plaques showed gradual improvement. At the three-month follow-up, AS remained controlled (BASDAI 2.8), with no psoriasis recurrence. (Figure </w:t>
      </w:r>
      <w:r w:rsidR="00D142D5">
        <w:rPr>
          <w:rFonts w:ascii="Arial" w:hAnsi="Arial" w:cs="Arial"/>
          <w:color w:val="222222"/>
          <w:shd w:val="clear" w:color="auto" w:fill="FFFFFF"/>
          <w:lang w:val="en-US"/>
        </w:rPr>
        <w:t>2</w:t>
      </w:r>
      <w:r w:rsidRPr="007840FF">
        <w:rPr>
          <w:rFonts w:ascii="Arial" w:hAnsi="Arial" w:cs="Arial"/>
          <w:color w:val="222222"/>
          <w:shd w:val="clear" w:color="auto" w:fill="FFFFFF"/>
          <w:lang w:val="en-US"/>
        </w:rPr>
        <w:t>)</w:t>
      </w:r>
    </w:p>
    <w:p w14:paraId="03D3E1AF" w14:textId="77777777" w:rsidR="00D142D5" w:rsidRDefault="00D142D5" w:rsidP="007840FF">
      <w:pPr>
        <w:rPr>
          <w:rFonts w:ascii="Arial" w:hAnsi="Arial" w:cs="Arial"/>
          <w:color w:val="222222"/>
          <w:shd w:val="clear" w:color="auto" w:fill="FFFFFF"/>
          <w:lang w:val="en-US"/>
        </w:rPr>
      </w:pPr>
    </w:p>
    <w:p w14:paraId="7285ADF2" w14:textId="77777777" w:rsidR="00D142D5" w:rsidRDefault="00D142D5" w:rsidP="007840FF">
      <w:pPr>
        <w:rPr>
          <w:rFonts w:ascii="Arial" w:hAnsi="Arial" w:cs="Arial"/>
          <w:color w:val="222222"/>
          <w:shd w:val="clear" w:color="auto" w:fill="FFFFFF"/>
          <w:lang w:val="en-US"/>
        </w:rPr>
      </w:pPr>
      <w:r>
        <w:rPr>
          <w:rFonts w:ascii="Times New Roman" w:eastAsia="Times New Roman" w:hAnsi="Times New Roman" w:cs="Times New Roman"/>
          <w:noProof/>
          <w:lang w:val="en-US" w:eastAsia="fr-FR"/>
        </w:rPr>
        <w:drawing>
          <wp:inline distT="0" distB="0" distL="0" distR="0" wp14:anchorId="42B2FC7C" wp14:editId="678CEB00">
            <wp:extent cx="4975860" cy="2942076"/>
            <wp:effectExtent l="0" t="0" r="254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12327" cy="2963638"/>
                    </a:xfrm>
                    <a:prstGeom prst="rect">
                      <a:avLst/>
                    </a:prstGeom>
                  </pic:spPr>
                </pic:pic>
              </a:graphicData>
            </a:graphic>
          </wp:inline>
        </w:drawing>
      </w:r>
    </w:p>
    <w:p w14:paraId="0D6EFFAC" w14:textId="77777777" w:rsidR="008E0584" w:rsidRDefault="008E0584" w:rsidP="00D142D5">
      <w:pPr>
        <w:jc w:val="center"/>
        <w:rPr>
          <w:rFonts w:ascii="Arial" w:hAnsi="Arial" w:cs="Arial"/>
          <w:color w:val="222222"/>
          <w:shd w:val="clear" w:color="auto" w:fill="FFFFFF"/>
          <w:lang w:val="en-US"/>
        </w:rPr>
      </w:pPr>
    </w:p>
    <w:p w14:paraId="76532C8B" w14:textId="77777777" w:rsidR="00D142D5" w:rsidRPr="00E94E89" w:rsidRDefault="00D142D5" w:rsidP="00D142D5">
      <w:pPr>
        <w:pStyle w:val="HTMLPreformatted"/>
        <w:spacing w:line="540" w:lineRule="atLeast"/>
        <w:jc w:val="center"/>
        <w:rPr>
          <w:rFonts w:asciiTheme="majorBidi" w:hAnsiTheme="majorBidi" w:cstheme="majorBidi"/>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4E89">
        <w:rPr>
          <w:rFonts w:asciiTheme="majorBidi" w:hAnsiTheme="majorBidi" w:cstheme="majorBidi"/>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2: </w:t>
      </w:r>
      <w:r w:rsidRPr="00E94E89">
        <w:rPr>
          <w:rStyle w:val="y2iqfc"/>
          <w:rFonts w:asciiTheme="majorBidi" w:hAnsiTheme="majorBidi" w:cstheme="majorBidi"/>
          <w:color w:val="000000" w:themeColor="text1"/>
          <w:sz w:val="28"/>
          <w:szCs w:val="28"/>
          <w:u w:val="single"/>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Blanching of pustular psoriasis lesions after discontinuation of golimumab</w:t>
      </w:r>
    </w:p>
    <w:p w14:paraId="6FE0C023" w14:textId="77777777" w:rsidR="00D142D5" w:rsidRDefault="00D142D5" w:rsidP="007840FF">
      <w:pPr>
        <w:rPr>
          <w:rFonts w:ascii="Arial" w:hAnsi="Arial" w:cs="Arial"/>
          <w:color w:val="222222"/>
          <w:lang w:val="en-US"/>
        </w:rPr>
      </w:pPr>
    </w:p>
    <w:p w14:paraId="1C37F16F" w14:textId="77777777" w:rsidR="008E0584" w:rsidRPr="008E0584" w:rsidRDefault="007840FF" w:rsidP="007840FF">
      <w:pPr>
        <w:rPr>
          <w:rFonts w:ascii="Arial" w:hAnsi="Arial" w:cs="Arial"/>
          <w:b/>
          <w:bCs/>
          <w:color w:val="222222"/>
          <w:shd w:val="clear" w:color="auto" w:fill="FFFFFF"/>
          <w:lang w:val="en-US"/>
        </w:rPr>
      </w:pPr>
      <w:r w:rsidRPr="007840FF">
        <w:rPr>
          <w:rFonts w:ascii="Arial" w:hAnsi="Arial" w:cs="Arial"/>
          <w:color w:val="222222"/>
          <w:lang w:val="en-US"/>
        </w:rPr>
        <w:br/>
      </w:r>
      <w:r w:rsidRPr="008E0584">
        <w:rPr>
          <w:rFonts w:ascii="Arial" w:hAnsi="Arial" w:cs="Arial"/>
          <w:b/>
          <w:bCs/>
          <w:color w:val="222222"/>
          <w:sz w:val="28"/>
          <w:szCs w:val="28"/>
          <w:shd w:val="clear" w:color="auto" w:fill="FFFFFF"/>
          <w:lang w:val="en-US"/>
        </w:rPr>
        <w:t>Discussion</w:t>
      </w:r>
    </w:p>
    <w:p w14:paraId="2935E666" w14:textId="77777777" w:rsidR="008E0584" w:rsidRDefault="007840FF" w:rsidP="007840FF">
      <w:pPr>
        <w:rPr>
          <w:rFonts w:ascii="Arial" w:hAnsi="Arial" w:cs="Arial"/>
          <w:color w:val="222222"/>
          <w:shd w:val="clear" w:color="auto" w:fill="FFFFFF"/>
          <w:lang w:val="en-US"/>
        </w:rPr>
      </w:pPr>
      <w:r w:rsidRPr="007840FF">
        <w:rPr>
          <w:rFonts w:ascii="Arial" w:hAnsi="Arial" w:cs="Arial"/>
          <w:color w:val="222222"/>
          <w:lang w:val="en-US"/>
        </w:rPr>
        <w:br/>
      </w:r>
      <w:r w:rsidRPr="007840FF">
        <w:rPr>
          <w:rFonts w:ascii="Arial" w:hAnsi="Arial" w:cs="Arial"/>
          <w:color w:val="222222"/>
          <w:shd w:val="clear" w:color="auto" w:fill="FFFFFF"/>
          <w:lang w:val="en-US"/>
        </w:rPr>
        <w:t>The use of anti-TNF-</w:t>
      </w:r>
      <w:r>
        <w:rPr>
          <w:rFonts w:ascii="Arial" w:hAnsi="Arial" w:cs="Arial"/>
          <w:color w:val="222222"/>
          <w:shd w:val="clear" w:color="auto" w:fill="FFFFFF"/>
        </w:rPr>
        <w:t>α</w:t>
      </w:r>
      <w:r w:rsidRPr="007840FF">
        <w:rPr>
          <w:rFonts w:ascii="Arial" w:hAnsi="Arial" w:cs="Arial"/>
          <w:color w:val="222222"/>
          <w:shd w:val="clear" w:color="auto" w:fill="FFFFFF"/>
          <w:lang w:val="en-US"/>
        </w:rPr>
        <w:t xml:space="preserve"> agents like golimumab has significantly improved outcomes for AS patients, yet paradoxical reactions, including psoriasis induction, remain a challenge. This case of golimumab-triggered PPP underscores a rare but clinically significant complication.</w:t>
      </w:r>
    </w:p>
    <w:p w14:paraId="13D49DF1" w14:textId="77777777" w:rsidR="008E0584" w:rsidRDefault="007840FF" w:rsidP="007840FF">
      <w:pPr>
        <w:rPr>
          <w:rFonts w:ascii="Arial" w:hAnsi="Arial" w:cs="Arial"/>
          <w:color w:val="222222"/>
          <w:u w:val="single"/>
          <w:shd w:val="clear" w:color="auto" w:fill="FFFFFF"/>
          <w:lang w:val="en-US"/>
        </w:rPr>
      </w:pPr>
      <w:r w:rsidRPr="008E0584">
        <w:rPr>
          <w:rFonts w:ascii="Arial" w:hAnsi="Arial" w:cs="Arial"/>
          <w:color w:val="222222"/>
          <w:u w:val="single"/>
          <w:lang w:val="en-US"/>
        </w:rPr>
        <w:br/>
      </w:r>
      <w:r w:rsidRPr="008E0584">
        <w:rPr>
          <w:rFonts w:ascii="Arial" w:hAnsi="Arial" w:cs="Arial"/>
          <w:color w:val="222222"/>
          <w:u w:val="single"/>
          <w:shd w:val="clear" w:color="auto" w:fill="FFFFFF"/>
          <w:lang w:val="en-US"/>
        </w:rPr>
        <w:t>Epidemiology and Clinical Features</w:t>
      </w:r>
    </w:p>
    <w:p w14:paraId="5EBBD395" w14:textId="77777777" w:rsidR="008E0584" w:rsidRDefault="007840FF" w:rsidP="007840FF">
      <w:pPr>
        <w:rPr>
          <w:rFonts w:ascii="Arial" w:hAnsi="Arial" w:cs="Arial"/>
          <w:color w:val="222222"/>
          <w:shd w:val="clear" w:color="auto" w:fill="FFFFFF"/>
          <w:lang w:val="en-US"/>
        </w:rPr>
      </w:pPr>
      <w:r w:rsidRPr="007840FF">
        <w:rPr>
          <w:rFonts w:ascii="Arial" w:hAnsi="Arial" w:cs="Arial"/>
          <w:color w:val="222222"/>
          <w:lang w:val="en-US"/>
        </w:rPr>
        <w:br/>
      </w:r>
      <w:r w:rsidRPr="007840FF">
        <w:rPr>
          <w:rFonts w:ascii="Arial" w:hAnsi="Arial" w:cs="Arial"/>
          <w:color w:val="222222"/>
          <w:shd w:val="clear" w:color="auto" w:fill="FFFFFF"/>
          <w:lang w:val="en-US"/>
        </w:rPr>
        <w:t>Paradoxical psoriasis linked to anti-TNF therapy affects approximately 1–5% of treated patients, with higher incidence in inflammatory bowel disease than rheumatologic conditions. PPP, characterized by sterile pustules, erythema, and scaling on the palms and soles, is less frequent but can severely impair quality of life. In this patient, PPP and psoriatic plaques emerged ten months after golimumab initiation, consistent with the typical latency of 3–24 months reported for anti-TNF-induced psoriasis. The absence of a prior psoriatic history and resolution after drug withdrawal support a drug-induced etiology.</w:t>
      </w:r>
    </w:p>
    <w:p w14:paraId="66B0DB56" w14:textId="77777777" w:rsidR="008E0584" w:rsidRPr="008E0584" w:rsidRDefault="007840FF" w:rsidP="007840FF">
      <w:pPr>
        <w:rPr>
          <w:rFonts w:ascii="Arial" w:hAnsi="Arial" w:cs="Arial"/>
          <w:color w:val="222222"/>
          <w:u w:val="single"/>
          <w:shd w:val="clear" w:color="auto" w:fill="FFFFFF"/>
          <w:lang w:val="en-US"/>
        </w:rPr>
      </w:pPr>
      <w:r w:rsidRPr="007840FF">
        <w:rPr>
          <w:rFonts w:ascii="Arial" w:hAnsi="Arial" w:cs="Arial"/>
          <w:color w:val="222222"/>
          <w:lang w:val="en-US"/>
        </w:rPr>
        <w:br/>
      </w:r>
      <w:r w:rsidRPr="008E0584">
        <w:rPr>
          <w:rFonts w:ascii="Arial" w:hAnsi="Arial" w:cs="Arial"/>
          <w:color w:val="222222"/>
          <w:u w:val="single"/>
          <w:shd w:val="clear" w:color="auto" w:fill="FFFFFF"/>
          <w:lang w:val="en-US"/>
        </w:rPr>
        <w:t>Pathogenesis</w:t>
      </w:r>
    </w:p>
    <w:p w14:paraId="29DB54C6" w14:textId="77777777" w:rsidR="008E0584" w:rsidRDefault="007840FF" w:rsidP="007840FF">
      <w:pPr>
        <w:rPr>
          <w:rFonts w:ascii="Arial" w:hAnsi="Arial" w:cs="Arial"/>
          <w:color w:val="222222"/>
          <w:shd w:val="clear" w:color="auto" w:fill="FFFFFF"/>
          <w:lang w:val="en-US"/>
        </w:rPr>
      </w:pPr>
      <w:r w:rsidRPr="007840FF">
        <w:rPr>
          <w:rFonts w:ascii="Arial" w:hAnsi="Arial" w:cs="Arial"/>
          <w:color w:val="222222"/>
          <w:lang w:val="en-US"/>
        </w:rPr>
        <w:lastRenderedPageBreak/>
        <w:br/>
      </w:r>
      <w:r w:rsidRPr="007840FF">
        <w:rPr>
          <w:rFonts w:ascii="Arial" w:hAnsi="Arial" w:cs="Arial"/>
          <w:color w:val="222222"/>
          <w:shd w:val="clear" w:color="auto" w:fill="FFFFFF"/>
          <w:lang w:val="en-US"/>
        </w:rPr>
        <w:t>The paradoxical induction of psoriasis by anti-TNF agents is not fully elucidated. TNF-</w:t>
      </w:r>
      <w:r>
        <w:rPr>
          <w:rFonts w:ascii="Arial" w:hAnsi="Arial" w:cs="Arial"/>
          <w:color w:val="222222"/>
          <w:shd w:val="clear" w:color="auto" w:fill="FFFFFF"/>
        </w:rPr>
        <w:t>α</w:t>
      </w:r>
      <w:r w:rsidRPr="007840FF">
        <w:rPr>
          <w:rFonts w:ascii="Arial" w:hAnsi="Arial" w:cs="Arial"/>
          <w:color w:val="222222"/>
          <w:shd w:val="clear" w:color="auto" w:fill="FFFFFF"/>
          <w:lang w:val="en-US"/>
        </w:rPr>
        <w:t xml:space="preserve"> normally suppresses </w:t>
      </w:r>
      <w:proofErr w:type="spellStart"/>
      <w:r w:rsidRPr="007840FF">
        <w:rPr>
          <w:rFonts w:ascii="Arial" w:hAnsi="Arial" w:cs="Arial"/>
          <w:color w:val="222222"/>
          <w:shd w:val="clear" w:color="auto" w:fill="FFFFFF"/>
          <w:lang w:val="en-US"/>
        </w:rPr>
        <w:t>pDC</w:t>
      </w:r>
      <w:proofErr w:type="spellEnd"/>
      <w:r w:rsidRPr="007840FF">
        <w:rPr>
          <w:rFonts w:ascii="Arial" w:hAnsi="Arial" w:cs="Arial"/>
          <w:color w:val="222222"/>
          <w:shd w:val="clear" w:color="auto" w:fill="FFFFFF"/>
          <w:lang w:val="en-US"/>
        </w:rPr>
        <w:t xml:space="preserve"> activity, which produces IFN-</w:t>
      </w:r>
      <w:r>
        <w:rPr>
          <w:rFonts w:ascii="Arial" w:hAnsi="Arial" w:cs="Arial"/>
          <w:color w:val="222222"/>
          <w:shd w:val="clear" w:color="auto" w:fill="FFFFFF"/>
        </w:rPr>
        <w:t>α</w:t>
      </w:r>
      <w:r w:rsidRPr="007840FF">
        <w:rPr>
          <w:rFonts w:ascii="Arial" w:hAnsi="Arial" w:cs="Arial"/>
          <w:color w:val="222222"/>
          <w:shd w:val="clear" w:color="auto" w:fill="FFFFFF"/>
          <w:lang w:val="en-US"/>
        </w:rPr>
        <w:t>, a cytokine implicated in psoriatic inflammation. Anti-TNF drugs may disrupt this suppression, leading to elevated IFN-</w:t>
      </w:r>
      <w:r>
        <w:rPr>
          <w:rFonts w:ascii="Arial" w:hAnsi="Arial" w:cs="Arial"/>
          <w:color w:val="222222"/>
          <w:shd w:val="clear" w:color="auto" w:fill="FFFFFF"/>
        </w:rPr>
        <w:t>α</w:t>
      </w:r>
      <w:r w:rsidRPr="007840FF">
        <w:rPr>
          <w:rFonts w:ascii="Arial" w:hAnsi="Arial" w:cs="Arial"/>
          <w:color w:val="222222"/>
          <w:shd w:val="clear" w:color="auto" w:fill="FFFFFF"/>
          <w:lang w:val="en-US"/>
        </w:rPr>
        <w:t xml:space="preserve"> and subsequent T-cell activation. Additionally, TNF-</w:t>
      </w:r>
      <w:r>
        <w:rPr>
          <w:rFonts w:ascii="Arial" w:hAnsi="Arial" w:cs="Arial"/>
          <w:color w:val="222222"/>
          <w:shd w:val="clear" w:color="auto" w:fill="FFFFFF"/>
        </w:rPr>
        <w:t>α</w:t>
      </w:r>
      <w:r w:rsidRPr="007840FF">
        <w:rPr>
          <w:rFonts w:ascii="Arial" w:hAnsi="Arial" w:cs="Arial"/>
          <w:color w:val="222222"/>
          <w:shd w:val="clear" w:color="auto" w:fill="FFFFFF"/>
          <w:lang w:val="en-US"/>
        </w:rPr>
        <w:t xml:space="preserve"> inhibition may enhance the IL-17/IL-23 axis, a key driver of psoriasis. Studies suggest increased Th17 cell activity in patients on anti-TNF therapy, contributing to lesion formation. The patient’s smoking history likely amplified this risk, as nicotine is known to upregulate pro-inflammatory cytokines, including IL-17. Genetic predispositions, such as variations in IL-23 receptor genes, may also play a role, though specific data on anti-TNF-induced cases are limited.</w:t>
      </w:r>
    </w:p>
    <w:p w14:paraId="5E50044C" w14:textId="77777777" w:rsidR="008E0584" w:rsidRDefault="007840FF" w:rsidP="007840FF">
      <w:pPr>
        <w:rPr>
          <w:rFonts w:ascii="Arial" w:hAnsi="Arial" w:cs="Arial"/>
          <w:color w:val="222222"/>
          <w:u w:val="single"/>
          <w:shd w:val="clear" w:color="auto" w:fill="FFFFFF"/>
          <w:lang w:val="en-US"/>
        </w:rPr>
      </w:pPr>
      <w:r w:rsidRPr="007840FF">
        <w:rPr>
          <w:rFonts w:ascii="Arial" w:hAnsi="Arial" w:cs="Arial"/>
          <w:color w:val="222222"/>
          <w:lang w:val="en-US"/>
        </w:rPr>
        <w:br/>
      </w:r>
      <w:r w:rsidRPr="008E0584">
        <w:rPr>
          <w:rFonts w:ascii="Arial" w:hAnsi="Arial" w:cs="Arial"/>
          <w:color w:val="222222"/>
          <w:u w:val="single"/>
          <w:shd w:val="clear" w:color="auto" w:fill="FFFFFF"/>
          <w:lang w:val="en-US"/>
        </w:rPr>
        <w:t>Management Strategies</w:t>
      </w:r>
    </w:p>
    <w:p w14:paraId="3EC1C5AE" w14:textId="77777777" w:rsidR="008E0584" w:rsidRDefault="007840FF" w:rsidP="007840FF">
      <w:pPr>
        <w:rPr>
          <w:rFonts w:ascii="Arial" w:hAnsi="Arial" w:cs="Arial"/>
          <w:color w:val="222222"/>
          <w:shd w:val="clear" w:color="auto" w:fill="FFFFFF"/>
          <w:lang w:val="en-US"/>
        </w:rPr>
      </w:pPr>
      <w:r w:rsidRPr="007840FF">
        <w:rPr>
          <w:rFonts w:ascii="Arial" w:hAnsi="Arial" w:cs="Arial"/>
          <w:color w:val="222222"/>
          <w:lang w:val="en-US"/>
        </w:rPr>
        <w:br/>
      </w:r>
      <w:r w:rsidRPr="007840FF">
        <w:rPr>
          <w:rFonts w:ascii="Arial" w:hAnsi="Arial" w:cs="Arial"/>
          <w:color w:val="222222"/>
          <w:shd w:val="clear" w:color="auto" w:fill="FFFFFF"/>
          <w:lang w:val="en-US"/>
        </w:rPr>
        <w:t xml:space="preserve">Treatment of anti-TNF-induced psoriasis varies by severity. Mild cases may respond to topical steroids or calcineurin inhibitors without stopping the biologic. However, severe PPP, as seen here, typically necessitates drug discontinuation. Switching to another anti-TNF agent is discouraged due to a high risk of recurrence. Anti-IL-17 therapies, such as </w:t>
      </w:r>
      <w:proofErr w:type="spellStart"/>
      <w:r w:rsidRPr="007840FF">
        <w:rPr>
          <w:rFonts w:ascii="Arial" w:hAnsi="Arial" w:cs="Arial"/>
          <w:color w:val="222222"/>
          <w:shd w:val="clear" w:color="auto" w:fill="FFFFFF"/>
          <w:lang w:val="en-US"/>
        </w:rPr>
        <w:t>secukinumab</w:t>
      </w:r>
      <w:proofErr w:type="spellEnd"/>
      <w:r w:rsidRPr="007840FF">
        <w:rPr>
          <w:rFonts w:ascii="Arial" w:hAnsi="Arial" w:cs="Arial"/>
          <w:color w:val="222222"/>
          <w:shd w:val="clear" w:color="auto" w:fill="FFFFFF"/>
          <w:lang w:val="en-US"/>
        </w:rPr>
        <w:t xml:space="preserve">, offer a promising alternative, effectively targeting both psoriasis and AS [54]. In this case, </w:t>
      </w:r>
      <w:proofErr w:type="spellStart"/>
      <w:r w:rsidRPr="007840FF">
        <w:rPr>
          <w:rFonts w:ascii="Arial" w:hAnsi="Arial" w:cs="Arial"/>
          <w:color w:val="222222"/>
          <w:shd w:val="clear" w:color="auto" w:fill="FFFFFF"/>
          <w:lang w:val="en-US"/>
        </w:rPr>
        <w:t>secukinumab</w:t>
      </w:r>
      <w:proofErr w:type="spellEnd"/>
      <w:r w:rsidRPr="007840FF">
        <w:rPr>
          <w:rFonts w:ascii="Arial" w:hAnsi="Arial" w:cs="Arial"/>
          <w:color w:val="222222"/>
          <w:shd w:val="clear" w:color="auto" w:fill="FFFFFF"/>
          <w:lang w:val="en-US"/>
        </w:rPr>
        <w:t xml:space="preserve"> led to rapid lesion improvement, supporting its efficacy. Emerging options include anti-IL-23 agents (e.g., </w:t>
      </w:r>
      <w:proofErr w:type="spellStart"/>
      <w:r w:rsidRPr="007840FF">
        <w:rPr>
          <w:rFonts w:ascii="Arial" w:hAnsi="Arial" w:cs="Arial"/>
          <w:color w:val="222222"/>
          <w:shd w:val="clear" w:color="auto" w:fill="FFFFFF"/>
          <w:lang w:val="en-US"/>
        </w:rPr>
        <w:t>risankizumab</w:t>
      </w:r>
      <w:proofErr w:type="spellEnd"/>
      <w:r w:rsidRPr="007840FF">
        <w:rPr>
          <w:rFonts w:ascii="Arial" w:hAnsi="Arial" w:cs="Arial"/>
          <w:color w:val="222222"/>
          <w:shd w:val="clear" w:color="auto" w:fill="FFFFFF"/>
          <w:lang w:val="en-US"/>
        </w:rPr>
        <w:t xml:space="preserve">) and JAK inhibitors (e.g., </w:t>
      </w:r>
      <w:proofErr w:type="spellStart"/>
      <w:r w:rsidRPr="007840FF">
        <w:rPr>
          <w:rFonts w:ascii="Arial" w:hAnsi="Arial" w:cs="Arial"/>
          <w:color w:val="222222"/>
          <w:shd w:val="clear" w:color="auto" w:fill="FFFFFF"/>
          <w:lang w:val="en-US"/>
        </w:rPr>
        <w:t>upadacitinib</w:t>
      </w:r>
      <w:proofErr w:type="spellEnd"/>
      <w:r w:rsidRPr="007840FF">
        <w:rPr>
          <w:rFonts w:ascii="Arial" w:hAnsi="Arial" w:cs="Arial"/>
          <w:color w:val="222222"/>
          <w:shd w:val="clear" w:color="auto" w:fill="FFFFFF"/>
          <w:lang w:val="en-US"/>
        </w:rPr>
        <w:t>), which show potential in managing paradoxical psoriasis. Phototherapy or systemic agents like acitretin may be considered for refractory cases. Collaboration between rheumatologists and dermatologists is essential for optimal care.</w:t>
      </w:r>
    </w:p>
    <w:p w14:paraId="2AC97788" w14:textId="77777777" w:rsidR="008E0584" w:rsidRDefault="007840FF" w:rsidP="007840FF">
      <w:pPr>
        <w:rPr>
          <w:rFonts w:ascii="Arial" w:hAnsi="Arial" w:cs="Arial"/>
          <w:color w:val="222222"/>
          <w:u w:val="single"/>
          <w:shd w:val="clear" w:color="auto" w:fill="FFFFFF"/>
          <w:lang w:val="en-US"/>
        </w:rPr>
      </w:pPr>
      <w:r w:rsidRPr="007840FF">
        <w:rPr>
          <w:rFonts w:ascii="Arial" w:hAnsi="Arial" w:cs="Arial"/>
          <w:color w:val="222222"/>
          <w:lang w:val="en-US"/>
        </w:rPr>
        <w:br/>
      </w:r>
      <w:r w:rsidRPr="008E0584">
        <w:rPr>
          <w:rFonts w:ascii="Arial" w:hAnsi="Arial" w:cs="Arial"/>
          <w:color w:val="222222"/>
          <w:u w:val="single"/>
          <w:shd w:val="clear" w:color="auto" w:fill="FFFFFF"/>
          <w:lang w:val="en-US"/>
        </w:rPr>
        <w:t>Comparison with Other Anti-TNF Agents</w:t>
      </w:r>
    </w:p>
    <w:p w14:paraId="0DFB75A6" w14:textId="77777777" w:rsidR="008E0584" w:rsidRDefault="007840FF" w:rsidP="007840FF">
      <w:pPr>
        <w:rPr>
          <w:rFonts w:ascii="Arial" w:hAnsi="Arial" w:cs="Arial"/>
          <w:color w:val="222222"/>
          <w:shd w:val="clear" w:color="auto" w:fill="FFFFFF"/>
          <w:lang w:val="en-US"/>
        </w:rPr>
      </w:pPr>
      <w:r w:rsidRPr="007840FF">
        <w:rPr>
          <w:rFonts w:ascii="Arial" w:hAnsi="Arial" w:cs="Arial"/>
          <w:color w:val="222222"/>
          <w:lang w:val="en-US"/>
        </w:rPr>
        <w:br/>
      </w:r>
      <w:r w:rsidRPr="007840FF">
        <w:rPr>
          <w:rFonts w:ascii="Arial" w:hAnsi="Arial" w:cs="Arial"/>
          <w:color w:val="222222"/>
          <w:shd w:val="clear" w:color="auto" w:fill="FFFFFF"/>
          <w:lang w:val="en-US"/>
        </w:rPr>
        <w:t>All anti-TNF drugs, including infliximab, etanercept, adalimumab, and golimumab, can induce psoriasis, with adalimumab and infliximab more commonly reported due to longer clinical use. Golimumab-related cases are less documented, possibly reflecting its later market entry. A recent analysis found no significant difference in psoriasis risk across anti-TNF classes, suggesting a shared mechanism. The rarity of golimumab-induced PPP highlights the need for ongoing surveillance, even with newer agents.</w:t>
      </w:r>
    </w:p>
    <w:p w14:paraId="02DD2199" w14:textId="77777777" w:rsidR="008E0584" w:rsidRDefault="007840FF" w:rsidP="007840FF">
      <w:pPr>
        <w:rPr>
          <w:rFonts w:ascii="Arial" w:hAnsi="Arial" w:cs="Arial"/>
          <w:color w:val="222222"/>
          <w:u w:val="single"/>
          <w:shd w:val="clear" w:color="auto" w:fill="FFFFFF"/>
          <w:lang w:val="en-US"/>
        </w:rPr>
      </w:pPr>
      <w:r w:rsidRPr="007840FF">
        <w:rPr>
          <w:rFonts w:ascii="Arial" w:hAnsi="Arial" w:cs="Arial"/>
          <w:color w:val="222222"/>
          <w:lang w:val="en-US"/>
        </w:rPr>
        <w:br/>
      </w:r>
      <w:r w:rsidRPr="008E0584">
        <w:rPr>
          <w:rFonts w:ascii="Arial" w:hAnsi="Arial" w:cs="Arial"/>
          <w:color w:val="222222"/>
          <w:u w:val="single"/>
          <w:shd w:val="clear" w:color="auto" w:fill="FFFFFF"/>
          <w:lang w:val="en-US"/>
        </w:rPr>
        <w:t>Future Directions</w:t>
      </w:r>
    </w:p>
    <w:p w14:paraId="785E9836" w14:textId="77777777" w:rsidR="008E0584" w:rsidRDefault="007840FF" w:rsidP="007840FF">
      <w:pPr>
        <w:rPr>
          <w:rFonts w:ascii="Arial" w:hAnsi="Arial" w:cs="Arial"/>
          <w:color w:val="222222"/>
          <w:shd w:val="clear" w:color="auto" w:fill="FFFFFF"/>
          <w:lang w:val="en-US"/>
        </w:rPr>
      </w:pPr>
      <w:r w:rsidRPr="007840FF">
        <w:rPr>
          <w:rFonts w:ascii="Arial" w:hAnsi="Arial" w:cs="Arial"/>
          <w:color w:val="222222"/>
          <w:lang w:val="en-US"/>
        </w:rPr>
        <w:br/>
      </w:r>
      <w:r w:rsidRPr="007840FF">
        <w:rPr>
          <w:rFonts w:ascii="Arial" w:hAnsi="Arial" w:cs="Arial"/>
          <w:color w:val="222222"/>
          <w:shd w:val="clear" w:color="auto" w:fill="FFFFFF"/>
          <w:lang w:val="en-US"/>
        </w:rPr>
        <w:t>The scarcity of anti-TNF-induced PPP cases limits large-scale research. Identifying predictive biomarkers, such as serum IL-17 or IFN-</w:t>
      </w:r>
      <w:r>
        <w:rPr>
          <w:rFonts w:ascii="Arial" w:hAnsi="Arial" w:cs="Arial"/>
          <w:color w:val="222222"/>
          <w:shd w:val="clear" w:color="auto" w:fill="FFFFFF"/>
        </w:rPr>
        <w:t>α</w:t>
      </w:r>
      <w:r w:rsidRPr="007840FF">
        <w:rPr>
          <w:rFonts w:ascii="Arial" w:hAnsi="Arial" w:cs="Arial"/>
          <w:color w:val="222222"/>
          <w:shd w:val="clear" w:color="auto" w:fill="FFFFFF"/>
          <w:lang w:val="en-US"/>
        </w:rPr>
        <w:t xml:space="preserve"> levels, could guide preemptive strategies. Genetic studies exploring HLA-Cw6 or IL-23R polymorphisms may clarify susceptibility. Novel approaches, like dual TNF-</w:t>
      </w:r>
      <w:r>
        <w:rPr>
          <w:rFonts w:ascii="Arial" w:hAnsi="Arial" w:cs="Arial"/>
          <w:color w:val="222222"/>
          <w:shd w:val="clear" w:color="auto" w:fill="FFFFFF"/>
        </w:rPr>
        <w:t>α</w:t>
      </w:r>
      <w:r w:rsidRPr="007840FF">
        <w:rPr>
          <w:rFonts w:ascii="Arial" w:hAnsi="Arial" w:cs="Arial"/>
          <w:color w:val="222222"/>
          <w:shd w:val="clear" w:color="auto" w:fill="FFFFFF"/>
          <w:lang w:val="en-US"/>
        </w:rPr>
        <w:t>/IL-17 inhibitors, could mitigate paradoxical effects while preserving AS control. Long-term data on anti-IL-17 and anti-IL-23 therapies are needed to refine treatment protocols.</w:t>
      </w:r>
    </w:p>
    <w:p w14:paraId="60024136" w14:textId="77777777" w:rsidR="008E0584" w:rsidRDefault="007840FF" w:rsidP="007840FF">
      <w:pPr>
        <w:rPr>
          <w:rFonts w:ascii="Arial" w:hAnsi="Arial" w:cs="Arial"/>
          <w:b/>
          <w:bCs/>
          <w:color w:val="222222"/>
          <w:sz w:val="28"/>
          <w:szCs w:val="28"/>
          <w:shd w:val="clear" w:color="auto" w:fill="FFFFFF"/>
          <w:lang w:val="en-US"/>
        </w:rPr>
      </w:pPr>
      <w:r w:rsidRPr="007840FF">
        <w:rPr>
          <w:rFonts w:ascii="Arial" w:hAnsi="Arial" w:cs="Arial"/>
          <w:color w:val="222222"/>
          <w:lang w:val="en-US"/>
        </w:rPr>
        <w:br/>
      </w:r>
      <w:r w:rsidRPr="008E0584">
        <w:rPr>
          <w:rFonts w:ascii="Arial" w:hAnsi="Arial" w:cs="Arial"/>
          <w:b/>
          <w:bCs/>
          <w:color w:val="222222"/>
          <w:sz w:val="28"/>
          <w:szCs w:val="28"/>
          <w:shd w:val="clear" w:color="auto" w:fill="FFFFFF"/>
          <w:lang w:val="en-US"/>
        </w:rPr>
        <w:t>Conclusion</w:t>
      </w:r>
    </w:p>
    <w:p w14:paraId="518C8D42" w14:textId="77777777" w:rsidR="008E0584" w:rsidRDefault="007840FF" w:rsidP="007840FF">
      <w:pPr>
        <w:rPr>
          <w:rFonts w:ascii="Arial" w:hAnsi="Arial" w:cs="Arial"/>
          <w:color w:val="222222"/>
          <w:shd w:val="clear" w:color="auto" w:fill="FFFFFF"/>
          <w:lang w:val="en-US"/>
        </w:rPr>
      </w:pPr>
      <w:r w:rsidRPr="007840FF">
        <w:rPr>
          <w:rFonts w:ascii="Arial" w:hAnsi="Arial" w:cs="Arial"/>
          <w:color w:val="222222"/>
          <w:lang w:val="en-US"/>
        </w:rPr>
        <w:br/>
      </w:r>
      <w:r w:rsidRPr="007840FF">
        <w:rPr>
          <w:rFonts w:ascii="Arial" w:hAnsi="Arial" w:cs="Arial"/>
          <w:color w:val="222222"/>
          <w:shd w:val="clear" w:color="auto" w:fill="FFFFFF"/>
          <w:lang w:val="en-US"/>
        </w:rPr>
        <w:t xml:space="preserve">This case of golimumab-triggered palmoplantar pustular psoriasis in a patient with ankylosing spondylitis illustrates a rare paradoxical adverse effect of anti-TNF therapy. The likely mechanism involves </w:t>
      </w:r>
      <w:proofErr w:type="spellStart"/>
      <w:r w:rsidRPr="007840FF">
        <w:rPr>
          <w:rFonts w:ascii="Arial" w:hAnsi="Arial" w:cs="Arial"/>
          <w:color w:val="222222"/>
          <w:shd w:val="clear" w:color="auto" w:fill="FFFFFF"/>
          <w:lang w:val="en-US"/>
        </w:rPr>
        <w:t>pDC</w:t>
      </w:r>
      <w:proofErr w:type="spellEnd"/>
      <w:r w:rsidRPr="007840FF">
        <w:rPr>
          <w:rFonts w:ascii="Arial" w:hAnsi="Arial" w:cs="Arial"/>
          <w:color w:val="222222"/>
          <w:shd w:val="clear" w:color="auto" w:fill="FFFFFF"/>
          <w:lang w:val="en-US"/>
        </w:rPr>
        <w:t xml:space="preserve"> activation, IFN-</w:t>
      </w:r>
      <w:r>
        <w:rPr>
          <w:rFonts w:ascii="Arial" w:hAnsi="Arial" w:cs="Arial"/>
          <w:color w:val="222222"/>
          <w:shd w:val="clear" w:color="auto" w:fill="FFFFFF"/>
        </w:rPr>
        <w:t>α</w:t>
      </w:r>
      <w:r w:rsidRPr="007840FF">
        <w:rPr>
          <w:rFonts w:ascii="Arial" w:hAnsi="Arial" w:cs="Arial"/>
          <w:color w:val="222222"/>
          <w:shd w:val="clear" w:color="auto" w:fill="FFFFFF"/>
          <w:lang w:val="en-US"/>
        </w:rPr>
        <w:t xml:space="preserve"> dysregulation, and IL-</w:t>
      </w:r>
      <w:r w:rsidRPr="007840FF">
        <w:rPr>
          <w:rFonts w:ascii="Arial" w:hAnsi="Arial" w:cs="Arial"/>
          <w:color w:val="222222"/>
          <w:shd w:val="clear" w:color="auto" w:fill="FFFFFF"/>
          <w:lang w:val="en-US"/>
        </w:rPr>
        <w:lastRenderedPageBreak/>
        <w:t xml:space="preserve">17 pathway enhancement, with smoking as a contributing factor. Discontinuing golimumab and initiating </w:t>
      </w:r>
      <w:proofErr w:type="spellStart"/>
      <w:r w:rsidRPr="007840FF">
        <w:rPr>
          <w:rFonts w:ascii="Arial" w:hAnsi="Arial" w:cs="Arial"/>
          <w:color w:val="222222"/>
          <w:shd w:val="clear" w:color="auto" w:fill="FFFFFF"/>
          <w:lang w:val="en-US"/>
        </w:rPr>
        <w:t>secukinumab</w:t>
      </w:r>
      <w:proofErr w:type="spellEnd"/>
      <w:r w:rsidRPr="007840FF">
        <w:rPr>
          <w:rFonts w:ascii="Arial" w:hAnsi="Arial" w:cs="Arial"/>
          <w:color w:val="222222"/>
          <w:shd w:val="clear" w:color="auto" w:fill="FFFFFF"/>
          <w:lang w:val="en-US"/>
        </w:rPr>
        <w:t xml:space="preserve"> resulted in rapid PPP resolution and sustained AS management, validating this therapeutic shift. Clinicians should remain alert to cutaneous side effects, particularly in at-risk patients, and adopt individualized strategies. Future research should focus on biomarkers, genetic markers, and innovative therapies to prevent and manage such reactions. This report adds to the growing body of evidence on anti-TNF-induced psoriasis and underscores the value of multidisciplinary care.</w:t>
      </w:r>
    </w:p>
    <w:p w14:paraId="1813F23F" w14:textId="77777777" w:rsidR="008E0584" w:rsidRDefault="007840FF" w:rsidP="007840FF">
      <w:pPr>
        <w:rPr>
          <w:rFonts w:ascii="Arial" w:hAnsi="Arial" w:cs="Arial"/>
          <w:color w:val="222222"/>
          <w:lang w:val="en-US"/>
        </w:rPr>
      </w:pPr>
      <w:r w:rsidRPr="007840FF">
        <w:rPr>
          <w:rFonts w:ascii="Arial" w:hAnsi="Arial" w:cs="Arial"/>
          <w:color w:val="222222"/>
          <w:lang w:val="en-US"/>
        </w:rPr>
        <w:br/>
      </w:r>
      <w:r w:rsidRPr="008E0584">
        <w:rPr>
          <w:rFonts w:ascii="Arial" w:hAnsi="Arial" w:cs="Arial"/>
          <w:b/>
          <w:bCs/>
          <w:color w:val="222222"/>
          <w:sz w:val="28"/>
          <w:szCs w:val="28"/>
          <w:shd w:val="clear" w:color="auto" w:fill="FFFFFF"/>
          <w:lang w:val="en-US"/>
        </w:rPr>
        <w:t>Limitations</w:t>
      </w:r>
    </w:p>
    <w:p w14:paraId="5041297C" w14:textId="77777777" w:rsidR="007840FF" w:rsidRDefault="007840FF" w:rsidP="007840FF">
      <w:pPr>
        <w:rPr>
          <w:rFonts w:ascii="Arial" w:hAnsi="Arial" w:cs="Arial"/>
          <w:color w:val="222222"/>
          <w:shd w:val="clear" w:color="auto" w:fill="FFFFFF"/>
        </w:rPr>
      </w:pPr>
      <w:r w:rsidRPr="007840FF">
        <w:rPr>
          <w:rFonts w:ascii="Arial" w:hAnsi="Arial" w:cs="Arial"/>
          <w:color w:val="222222"/>
          <w:lang w:val="en-US"/>
        </w:rPr>
        <w:br/>
      </w:r>
      <w:r w:rsidRPr="007840FF">
        <w:rPr>
          <w:rFonts w:ascii="Arial" w:hAnsi="Arial" w:cs="Arial"/>
          <w:color w:val="222222"/>
          <w:shd w:val="clear" w:color="auto" w:fill="FFFFFF"/>
          <w:lang w:val="en-US"/>
        </w:rPr>
        <w:t xml:space="preserve">This report is constrained by its single-patient design and absence of histopathological confirmation, though the clinical diagnosis was robust. The three-month follow-up period is insufficient to assess long-term outcomes or recurrence risk. </w:t>
      </w:r>
      <w:proofErr w:type="spellStart"/>
      <w:r>
        <w:rPr>
          <w:rFonts w:ascii="Arial" w:hAnsi="Arial" w:cs="Arial"/>
          <w:color w:val="222222"/>
          <w:shd w:val="clear" w:color="auto" w:fill="FFFFFF"/>
        </w:rPr>
        <w:t>These</w:t>
      </w:r>
      <w:proofErr w:type="spellEnd"/>
      <w:r>
        <w:rPr>
          <w:rFonts w:ascii="Arial" w:hAnsi="Arial" w:cs="Arial"/>
          <w:color w:val="222222"/>
          <w:shd w:val="clear" w:color="auto" w:fill="FFFFFF"/>
        </w:rPr>
        <w:t xml:space="preserve"> gaps </w:t>
      </w:r>
      <w:proofErr w:type="spellStart"/>
      <w:r>
        <w:rPr>
          <w:rFonts w:ascii="Arial" w:hAnsi="Arial" w:cs="Arial"/>
          <w:color w:val="222222"/>
          <w:shd w:val="clear" w:color="auto" w:fill="FFFFFF"/>
        </w:rPr>
        <w:t>suggest</w:t>
      </w:r>
      <w:proofErr w:type="spellEnd"/>
      <w:r>
        <w:rPr>
          <w:rFonts w:ascii="Arial" w:hAnsi="Arial" w:cs="Arial"/>
          <w:color w:val="222222"/>
          <w:shd w:val="clear" w:color="auto" w:fill="FFFFFF"/>
        </w:rPr>
        <w:t xml:space="preserve"> caution in </w:t>
      </w:r>
      <w:proofErr w:type="spellStart"/>
      <w:r>
        <w:rPr>
          <w:rFonts w:ascii="Arial" w:hAnsi="Arial" w:cs="Arial"/>
          <w:color w:val="222222"/>
          <w:shd w:val="clear" w:color="auto" w:fill="FFFFFF"/>
        </w:rPr>
        <w:t>generalizing</w:t>
      </w:r>
      <w:proofErr w:type="spellEnd"/>
      <w:r>
        <w:rPr>
          <w:rFonts w:ascii="Arial" w:hAnsi="Arial" w:cs="Arial"/>
          <w:color w:val="222222"/>
          <w:shd w:val="clear" w:color="auto" w:fill="FFFFFF"/>
        </w:rPr>
        <w:t xml:space="preserve"> the </w:t>
      </w:r>
      <w:proofErr w:type="spellStart"/>
      <w:r>
        <w:rPr>
          <w:rFonts w:ascii="Arial" w:hAnsi="Arial" w:cs="Arial"/>
          <w:color w:val="222222"/>
          <w:shd w:val="clear" w:color="auto" w:fill="FFFFFF"/>
        </w:rPr>
        <w:t>findings</w:t>
      </w:r>
      <w:proofErr w:type="spellEnd"/>
    </w:p>
    <w:p w14:paraId="6EE168A3" w14:textId="77777777" w:rsidR="007840FF" w:rsidRDefault="007840FF">
      <w:pPr>
        <w:rPr>
          <w:rFonts w:ascii="Arial" w:hAnsi="Arial" w:cs="Arial"/>
          <w:color w:val="222222"/>
          <w:shd w:val="clear" w:color="auto" w:fill="FFFFFF"/>
        </w:rPr>
      </w:pPr>
    </w:p>
    <w:p w14:paraId="58783950" w14:textId="77777777" w:rsidR="008E0584" w:rsidRDefault="008E0584">
      <w:pPr>
        <w:rPr>
          <w:rFonts w:ascii="Arial" w:hAnsi="Arial" w:cs="Arial"/>
          <w:color w:val="222222"/>
          <w:shd w:val="clear" w:color="auto" w:fill="FFFFFF"/>
        </w:rPr>
      </w:pPr>
    </w:p>
    <w:p w14:paraId="173B94E5" w14:textId="77777777" w:rsidR="008E0584" w:rsidRDefault="008E0584">
      <w:pPr>
        <w:rPr>
          <w:rFonts w:ascii="Arial" w:hAnsi="Arial" w:cs="Arial"/>
          <w:b/>
          <w:bCs/>
          <w:color w:val="222222"/>
          <w:sz w:val="28"/>
          <w:szCs w:val="28"/>
          <w:shd w:val="clear" w:color="auto" w:fill="FFFFFF"/>
        </w:rPr>
      </w:pPr>
      <w:proofErr w:type="spellStart"/>
      <w:r w:rsidRPr="008E0584">
        <w:rPr>
          <w:rFonts w:ascii="Arial" w:hAnsi="Arial" w:cs="Arial"/>
          <w:b/>
          <w:bCs/>
          <w:color w:val="222222"/>
          <w:sz w:val="28"/>
          <w:szCs w:val="28"/>
          <w:shd w:val="clear" w:color="auto" w:fill="FFFFFF"/>
        </w:rPr>
        <w:t>References</w:t>
      </w:r>
      <w:proofErr w:type="spellEnd"/>
    </w:p>
    <w:p w14:paraId="63CBDF12" w14:textId="77777777" w:rsidR="008E0584" w:rsidRDefault="008E0584">
      <w:pPr>
        <w:rPr>
          <w:rFonts w:ascii="Arial" w:hAnsi="Arial" w:cs="Arial"/>
          <w:b/>
          <w:bCs/>
          <w:color w:val="222222"/>
          <w:sz w:val="28"/>
          <w:szCs w:val="28"/>
          <w:shd w:val="clear" w:color="auto" w:fill="FFFFFF"/>
        </w:rPr>
      </w:pPr>
    </w:p>
    <w:p w14:paraId="1F399320" w14:textId="77777777" w:rsidR="008E0584" w:rsidRPr="008E0584" w:rsidRDefault="008E0584" w:rsidP="008E0584">
      <w:pPr>
        <w:pStyle w:val="NormalWeb"/>
        <w:rPr>
          <w:rFonts w:asciiTheme="minorBidi" w:hAnsiTheme="minorBidi" w:cstheme="minorBidi"/>
          <w:color w:val="222222"/>
          <w:lang w:val="en-US"/>
        </w:rPr>
      </w:pPr>
      <w:r w:rsidRPr="008E0584">
        <w:rPr>
          <w:rFonts w:asciiTheme="minorBidi" w:hAnsiTheme="minorBidi" w:cstheme="minorBidi"/>
          <w:color w:val="222222"/>
          <w:lang w:val="en-US"/>
        </w:rPr>
        <w:t>1 -</w:t>
      </w:r>
      <w:r w:rsidRPr="008E0584">
        <w:rPr>
          <w:rStyle w:val="apple-converted-space"/>
          <w:rFonts w:asciiTheme="minorBidi" w:hAnsiTheme="minorBidi" w:cstheme="minorBidi"/>
          <w:color w:val="222222"/>
          <w:lang w:val="en-US"/>
        </w:rPr>
        <w:t> </w:t>
      </w:r>
      <w:hyperlink r:id="rId8" w:tgtFrame="_blank" w:history="1">
        <w:r w:rsidRPr="008E0584">
          <w:rPr>
            <w:rStyle w:val="Hyperlink"/>
            <w:rFonts w:asciiTheme="minorBidi" w:hAnsiTheme="minorBidi" w:cstheme="minorBidi"/>
            <w:color w:val="1155CC"/>
            <w:lang w:val="en-US"/>
          </w:rPr>
          <w:t>Shikha Singla</w:t>
        </w:r>
      </w:hyperlink>
      <w:r w:rsidRPr="008E0584">
        <w:rPr>
          <w:rStyle w:val="apple-converted-space"/>
          <w:rFonts w:asciiTheme="minorBidi" w:hAnsiTheme="minorBidi" w:cstheme="minorBidi"/>
          <w:color w:val="222222"/>
          <w:lang w:val="en-US"/>
        </w:rPr>
        <w:t> </w:t>
      </w:r>
      <w:r w:rsidRPr="008E0584">
        <w:rPr>
          <w:rFonts w:asciiTheme="minorBidi" w:hAnsiTheme="minorBidi" w:cstheme="minorBidi"/>
          <w:color w:val="222222"/>
          <w:lang w:val="en-US"/>
        </w:rPr>
        <w:t xml:space="preserve">et  al, Paradoxical psoriasis with IL-17 inhibitors. </w:t>
      </w:r>
      <w:proofErr w:type="spellStart"/>
      <w:r w:rsidRPr="008E0584">
        <w:rPr>
          <w:rFonts w:asciiTheme="minorBidi" w:hAnsiTheme="minorBidi" w:cstheme="minorBidi"/>
          <w:color w:val="222222"/>
          <w:lang w:val="en-US"/>
        </w:rPr>
        <w:t>Rheumatol</w:t>
      </w:r>
      <w:proofErr w:type="spellEnd"/>
      <w:r w:rsidRPr="008E0584">
        <w:rPr>
          <w:rFonts w:asciiTheme="minorBidi" w:hAnsiTheme="minorBidi" w:cstheme="minorBidi"/>
          <w:color w:val="222222"/>
          <w:lang w:val="en-US"/>
        </w:rPr>
        <w:t xml:space="preserve"> Adv </w:t>
      </w:r>
      <w:proofErr w:type="spellStart"/>
      <w:r w:rsidRPr="008E0584">
        <w:rPr>
          <w:rFonts w:asciiTheme="minorBidi" w:hAnsiTheme="minorBidi" w:cstheme="minorBidi"/>
          <w:color w:val="222222"/>
          <w:lang w:val="en-US"/>
        </w:rPr>
        <w:t>Pract</w:t>
      </w:r>
      <w:proofErr w:type="spellEnd"/>
      <w:r w:rsidRPr="008E0584">
        <w:rPr>
          <w:rFonts w:asciiTheme="minorBidi" w:hAnsiTheme="minorBidi" w:cstheme="minorBidi"/>
          <w:color w:val="222222"/>
          <w:lang w:val="en-US"/>
        </w:rPr>
        <w:t xml:space="preserve">. 2024 Jul 9;8(3):rkae082. </w:t>
      </w:r>
      <w:proofErr w:type="spellStart"/>
      <w:r w:rsidRPr="008E0584">
        <w:rPr>
          <w:rFonts w:asciiTheme="minorBidi" w:hAnsiTheme="minorBidi" w:cstheme="minorBidi"/>
          <w:color w:val="222222"/>
          <w:lang w:val="en-US"/>
        </w:rPr>
        <w:t>doi</w:t>
      </w:r>
      <w:proofErr w:type="spellEnd"/>
      <w:r w:rsidRPr="008E0584">
        <w:rPr>
          <w:rFonts w:asciiTheme="minorBidi" w:hAnsiTheme="minorBidi" w:cstheme="minorBidi"/>
          <w:color w:val="222222"/>
          <w:lang w:val="en-US"/>
        </w:rPr>
        <w:t>:</w:t>
      </w:r>
      <w:r w:rsidRPr="008E0584">
        <w:rPr>
          <w:rStyle w:val="apple-converted-space"/>
          <w:rFonts w:asciiTheme="minorBidi" w:hAnsiTheme="minorBidi" w:cstheme="minorBidi"/>
          <w:color w:val="222222"/>
          <w:lang w:val="en-US"/>
        </w:rPr>
        <w:t> </w:t>
      </w:r>
      <w:hyperlink r:id="rId9" w:tgtFrame="_blank" w:history="1">
        <w:r w:rsidRPr="008E0584">
          <w:rPr>
            <w:rStyle w:val="Hyperlink"/>
            <w:rFonts w:asciiTheme="minorBidi" w:hAnsiTheme="minorBidi" w:cstheme="minorBidi"/>
            <w:color w:val="1155CC"/>
            <w:lang w:val="en-US"/>
          </w:rPr>
          <w:t>10.1093/rap/rkae082</w:t>
        </w:r>
      </w:hyperlink>
    </w:p>
    <w:p w14:paraId="7ECE0771" w14:textId="77777777" w:rsidR="008E0584" w:rsidRPr="008E0584" w:rsidRDefault="008E0584" w:rsidP="008E0584">
      <w:pPr>
        <w:pStyle w:val="NormalWeb"/>
        <w:rPr>
          <w:rFonts w:asciiTheme="minorBidi" w:hAnsiTheme="minorBidi" w:cstheme="minorBidi"/>
          <w:color w:val="222222"/>
          <w:lang w:val="en-US"/>
        </w:rPr>
      </w:pPr>
    </w:p>
    <w:p w14:paraId="41006B91" w14:textId="77777777" w:rsidR="008E0584" w:rsidRPr="008E0584" w:rsidRDefault="008E0584" w:rsidP="008E0584">
      <w:pPr>
        <w:pStyle w:val="NormalWeb"/>
        <w:rPr>
          <w:rFonts w:asciiTheme="minorBidi" w:hAnsiTheme="minorBidi" w:cstheme="minorBidi"/>
          <w:color w:val="222222"/>
          <w:lang w:val="en-US"/>
        </w:rPr>
      </w:pPr>
      <w:r w:rsidRPr="008E0584">
        <w:rPr>
          <w:rFonts w:asciiTheme="minorBidi" w:hAnsiTheme="minorBidi" w:cstheme="minorBidi"/>
          <w:color w:val="222222"/>
          <w:lang w:val="en-US"/>
        </w:rPr>
        <w:t>2-</w:t>
      </w:r>
      <w:r w:rsidRPr="008E0584">
        <w:rPr>
          <w:rStyle w:val="apple-converted-space"/>
          <w:rFonts w:asciiTheme="minorBidi" w:hAnsiTheme="minorBidi" w:cstheme="minorBidi"/>
          <w:color w:val="222222"/>
          <w:lang w:val="en-US"/>
        </w:rPr>
        <w:t> </w:t>
      </w:r>
      <w:hyperlink r:id="rId10" w:tgtFrame="_blank" w:history="1">
        <w:r w:rsidRPr="008E0584">
          <w:rPr>
            <w:rStyle w:val="Hyperlink"/>
            <w:rFonts w:asciiTheme="minorBidi" w:hAnsiTheme="minorBidi" w:cstheme="minorBidi"/>
            <w:color w:val="1155CC"/>
            <w:lang w:val="en-US"/>
          </w:rPr>
          <w:t xml:space="preserve">Zuzana </w:t>
        </w:r>
        <w:proofErr w:type="spellStart"/>
        <w:r w:rsidRPr="008E0584">
          <w:rPr>
            <w:rStyle w:val="Hyperlink"/>
            <w:rFonts w:asciiTheme="minorBidi" w:hAnsiTheme="minorBidi" w:cstheme="minorBidi"/>
            <w:color w:val="1155CC"/>
            <w:lang w:val="en-US"/>
          </w:rPr>
          <w:t>Jiraskova</w:t>
        </w:r>
        <w:proofErr w:type="spellEnd"/>
        <w:r w:rsidRPr="008E0584">
          <w:rPr>
            <w:rStyle w:val="Hyperlink"/>
            <w:rFonts w:asciiTheme="minorBidi" w:hAnsiTheme="minorBidi" w:cstheme="minorBidi"/>
            <w:color w:val="1155CC"/>
            <w:lang w:val="en-US"/>
          </w:rPr>
          <w:t xml:space="preserve"> </w:t>
        </w:r>
        <w:proofErr w:type="spellStart"/>
        <w:r w:rsidRPr="008E0584">
          <w:rPr>
            <w:rStyle w:val="Hyperlink"/>
            <w:rFonts w:asciiTheme="minorBidi" w:hAnsiTheme="minorBidi" w:cstheme="minorBidi"/>
            <w:color w:val="1155CC"/>
            <w:lang w:val="en-US"/>
          </w:rPr>
          <w:t>Zakostelska</w:t>
        </w:r>
        <w:proofErr w:type="spellEnd"/>
      </w:hyperlink>
      <w:r w:rsidRPr="008E0584">
        <w:rPr>
          <w:rStyle w:val="apple-converted-space"/>
          <w:rFonts w:asciiTheme="minorBidi" w:hAnsiTheme="minorBidi" w:cstheme="minorBidi"/>
          <w:color w:val="222222"/>
          <w:lang w:val="en-US"/>
        </w:rPr>
        <w:t> </w:t>
      </w:r>
      <w:r w:rsidRPr="008E0584">
        <w:rPr>
          <w:rFonts w:asciiTheme="minorBidi" w:hAnsiTheme="minorBidi" w:cstheme="minorBidi"/>
          <w:color w:val="222222"/>
          <w:lang w:val="en-US"/>
        </w:rPr>
        <w:t>et al , Paradoxical Reactions to Anti-TNF</w:t>
      </w:r>
      <w:r w:rsidRPr="008E0584">
        <w:rPr>
          <w:rFonts w:asciiTheme="minorBidi" w:hAnsiTheme="minorBidi" w:cstheme="minorBidi"/>
          <w:color w:val="222222"/>
        </w:rPr>
        <w:t>α</w:t>
      </w:r>
      <w:r w:rsidRPr="008E0584">
        <w:rPr>
          <w:rFonts w:asciiTheme="minorBidi" w:hAnsiTheme="minorBidi" w:cstheme="minorBidi"/>
          <w:color w:val="222222"/>
          <w:lang w:val="en-US"/>
        </w:rPr>
        <w:t xml:space="preserve"> and Anti-IL-17 Treatment in Psoriasis Patients: Are Skin and/or Gut Microbiota Involved? Dermatol Ther (</w:t>
      </w:r>
      <w:proofErr w:type="spellStart"/>
      <w:r w:rsidRPr="008E0584">
        <w:rPr>
          <w:rFonts w:asciiTheme="minorBidi" w:hAnsiTheme="minorBidi" w:cstheme="minorBidi"/>
          <w:color w:val="222222"/>
          <w:lang w:val="en-US"/>
        </w:rPr>
        <w:t>Heidelb</w:t>
      </w:r>
      <w:proofErr w:type="spellEnd"/>
      <w:r w:rsidRPr="008E0584">
        <w:rPr>
          <w:rFonts w:asciiTheme="minorBidi" w:hAnsiTheme="minorBidi" w:cstheme="minorBidi"/>
          <w:color w:val="222222"/>
          <w:lang w:val="en-US"/>
        </w:rPr>
        <w:t xml:space="preserve">). 2023 Mar 15;13(4):911–933. </w:t>
      </w:r>
      <w:proofErr w:type="spellStart"/>
      <w:r w:rsidRPr="008E0584">
        <w:rPr>
          <w:rFonts w:asciiTheme="minorBidi" w:hAnsiTheme="minorBidi" w:cstheme="minorBidi"/>
          <w:color w:val="222222"/>
          <w:lang w:val="en-US"/>
        </w:rPr>
        <w:t>doi</w:t>
      </w:r>
      <w:proofErr w:type="spellEnd"/>
      <w:r w:rsidRPr="008E0584">
        <w:rPr>
          <w:rFonts w:asciiTheme="minorBidi" w:hAnsiTheme="minorBidi" w:cstheme="minorBidi"/>
          <w:color w:val="222222"/>
          <w:lang w:val="en-US"/>
        </w:rPr>
        <w:t>:</w:t>
      </w:r>
      <w:r w:rsidRPr="008E0584">
        <w:rPr>
          <w:rStyle w:val="apple-converted-space"/>
          <w:rFonts w:asciiTheme="minorBidi" w:hAnsiTheme="minorBidi" w:cstheme="minorBidi"/>
          <w:color w:val="222222"/>
          <w:lang w:val="en-US"/>
        </w:rPr>
        <w:t> </w:t>
      </w:r>
      <w:hyperlink r:id="rId11" w:tgtFrame="_blank" w:history="1">
        <w:r w:rsidRPr="008E0584">
          <w:rPr>
            <w:rStyle w:val="Hyperlink"/>
            <w:rFonts w:asciiTheme="minorBidi" w:hAnsiTheme="minorBidi" w:cstheme="minorBidi"/>
            <w:color w:val="1155CC"/>
            <w:lang w:val="en-US"/>
          </w:rPr>
          <w:t>10.1007/s13555-023-00904-4</w:t>
        </w:r>
      </w:hyperlink>
    </w:p>
    <w:p w14:paraId="482B7AB5" w14:textId="77777777" w:rsidR="008E0584" w:rsidRPr="008E0584" w:rsidRDefault="008E0584" w:rsidP="008E0584">
      <w:pPr>
        <w:pStyle w:val="NormalWeb"/>
        <w:rPr>
          <w:rFonts w:asciiTheme="minorBidi" w:hAnsiTheme="minorBidi" w:cstheme="minorBidi"/>
          <w:color w:val="222222"/>
          <w:lang w:val="en-US"/>
        </w:rPr>
      </w:pPr>
    </w:p>
    <w:p w14:paraId="470F5436" w14:textId="77777777" w:rsidR="008E0584" w:rsidRPr="008E0584" w:rsidRDefault="008E0584" w:rsidP="008E0584">
      <w:pPr>
        <w:pStyle w:val="NormalWeb"/>
        <w:rPr>
          <w:rFonts w:asciiTheme="minorBidi" w:hAnsiTheme="minorBidi" w:cstheme="minorBidi"/>
          <w:color w:val="222222"/>
          <w:lang w:val="en-US"/>
        </w:rPr>
      </w:pPr>
      <w:r w:rsidRPr="008E0584">
        <w:rPr>
          <w:rFonts w:asciiTheme="minorBidi" w:hAnsiTheme="minorBidi" w:cstheme="minorBidi"/>
          <w:color w:val="222222"/>
          <w:lang w:val="en-US"/>
        </w:rPr>
        <w:t>3-</w:t>
      </w:r>
      <w:r w:rsidRPr="008E0584">
        <w:rPr>
          <w:rStyle w:val="apple-converted-space"/>
          <w:rFonts w:asciiTheme="minorBidi" w:hAnsiTheme="minorBidi" w:cstheme="minorBidi"/>
          <w:color w:val="222222"/>
          <w:lang w:val="en-US"/>
        </w:rPr>
        <w:t> </w:t>
      </w:r>
      <w:hyperlink r:id="rId12" w:tgtFrame="_blank" w:history="1">
        <w:r w:rsidRPr="008E0584">
          <w:rPr>
            <w:rStyle w:val="Hyperlink"/>
            <w:rFonts w:asciiTheme="minorBidi" w:hAnsiTheme="minorBidi" w:cstheme="minorBidi"/>
            <w:color w:val="1155CC"/>
            <w:lang w:val="en-US"/>
          </w:rPr>
          <w:t>Anna Gawdzik</w:t>
        </w:r>
      </w:hyperlink>
      <w:r w:rsidRPr="008E0584">
        <w:rPr>
          <w:rStyle w:val="apple-converted-space"/>
          <w:rFonts w:asciiTheme="minorBidi" w:hAnsiTheme="minorBidi" w:cstheme="minorBidi"/>
          <w:color w:val="222222"/>
          <w:lang w:val="en-US"/>
        </w:rPr>
        <w:t> </w:t>
      </w:r>
      <w:r w:rsidRPr="008E0584">
        <w:rPr>
          <w:rFonts w:asciiTheme="minorBidi" w:hAnsiTheme="minorBidi" w:cstheme="minorBidi"/>
          <w:color w:val="222222"/>
          <w:lang w:val="en-US"/>
        </w:rPr>
        <w:t>et al, Paradoxical Skin Reaction to Certolizumab, an Overlap of Pyoderma Gangrenosum and Psoriasis in a Young Woman Treated for Ankylosing Spondylitis: Case Report with Literature Review. Dermatol Ther (</w:t>
      </w:r>
      <w:proofErr w:type="spellStart"/>
      <w:r w:rsidRPr="008E0584">
        <w:rPr>
          <w:rFonts w:asciiTheme="minorBidi" w:hAnsiTheme="minorBidi" w:cstheme="minorBidi"/>
          <w:color w:val="222222"/>
          <w:lang w:val="en-US"/>
        </w:rPr>
        <w:t>Heidelb</w:t>
      </w:r>
      <w:proofErr w:type="spellEnd"/>
      <w:r w:rsidRPr="008E0584">
        <w:rPr>
          <w:rFonts w:asciiTheme="minorBidi" w:hAnsiTheme="minorBidi" w:cstheme="minorBidi"/>
          <w:color w:val="222222"/>
          <w:lang w:val="en-US"/>
        </w:rPr>
        <w:t>) (2020) 10:869–879</w:t>
      </w:r>
      <w:r>
        <w:rPr>
          <w:rFonts w:asciiTheme="minorBidi" w:hAnsiTheme="minorBidi" w:cstheme="minorBidi"/>
          <w:color w:val="222222"/>
          <w:lang w:val="en-US"/>
        </w:rPr>
        <w:t xml:space="preserve"> </w:t>
      </w:r>
      <w:hyperlink r:id="rId13" w:history="1">
        <w:r w:rsidRPr="00062233">
          <w:rPr>
            <w:rStyle w:val="Hyperlink"/>
            <w:rFonts w:asciiTheme="minorBidi" w:hAnsiTheme="minorBidi" w:cstheme="minorBidi"/>
            <w:lang w:val="en-US"/>
          </w:rPr>
          <w:t>https://doi.org/10.1007/s13555-020-00398-4</w:t>
        </w:r>
      </w:hyperlink>
    </w:p>
    <w:p w14:paraId="321E6905" w14:textId="77777777" w:rsidR="008E0584" w:rsidRPr="008E0584" w:rsidRDefault="008E0584" w:rsidP="008E0584">
      <w:pPr>
        <w:pStyle w:val="NormalWeb"/>
        <w:rPr>
          <w:rFonts w:asciiTheme="minorBidi" w:hAnsiTheme="minorBidi" w:cstheme="minorBidi"/>
          <w:color w:val="222222"/>
          <w:lang w:val="en-US"/>
        </w:rPr>
      </w:pPr>
    </w:p>
    <w:p w14:paraId="53AFB0A5" w14:textId="77777777" w:rsidR="008E0584" w:rsidRPr="008E0584" w:rsidRDefault="008E0584" w:rsidP="008E0584">
      <w:pPr>
        <w:pStyle w:val="NormalWeb"/>
        <w:rPr>
          <w:rFonts w:asciiTheme="minorBidi" w:hAnsiTheme="minorBidi" w:cstheme="minorBidi"/>
          <w:color w:val="222222"/>
          <w:lang w:val="en-US"/>
        </w:rPr>
      </w:pPr>
      <w:r w:rsidRPr="008E0584">
        <w:rPr>
          <w:rFonts w:asciiTheme="minorBidi" w:hAnsiTheme="minorBidi" w:cstheme="minorBidi"/>
          <w:color w:val="222222"/>
          <w:lang w:val="en-US"/>
        </w:rPr>
        <w:t>4- Xin-Yi Shao et al , A Patient with Adalimumab-Induced Refractory</w:t>
      </w:r>
      <w:r>
        <w:rPr>
          <w:rFonts w:asciiTheme="minorBidi" w:hAnsiTheme="minorBidi" w:cstheme="minorBidi"/>
          <w:color w:val="222222"/>
          <w:lang w:val="en-US"/>
        </w:rPr>
        <w:t xml:space="preserve"> </w:t>
      </w:r>
      <w:r w:rsidRPr="008E0584">
        <w:rPr>
          <w:rFonts w:asciiTheme="minorBidi" w:hAnsiTheme="minorBidi" w:cstheme="minorBidi"/>
          <w:color w:val="222222"/>
          <w:lang w:val="en-US"/>
        </w:rPr>
        <w:t xml:space="preserve">Paradoxical </w:t>
      </w:r>
      <w:r>
        <w:rPr>
          <w:rFonts w:asciiTheme="minorBidi" w:hAnsiTheme="minorBidi" w:cstheme="minorBidi"/>
          <w:color w:val="222222"/>
          <w:lang w:val="en-US"/>
        </w:rPr>
        <w:t xml:space="preserve"> </w:t>
      </w:r>
      <w:r w:rsidRPr="008E0584">
        <w:rPr>
          <w:rFonts w:asciiTheme="minorBidi" w:hAnsiTheme="minorBidi" w:cstheme="minorBidi"/>
          <w:color w:val="222222"/>
          <w:lang w:val="en-US"/>
        </w:rPr>
        <w:t>Palmoplantar Pustulosis Was</w:t>
      </w:r>
      <w:r>
        <w:rPr>
          <w:rFonts w:asciiTheme="minorBidi" w:hAnsiTheme="minorBidi" w:cstheme="minorBidi"/>
          <w:color w:val="222222"/>
          <w:lang w:val="en-US"/>
        </w:rPr>
        <w:t xml:space="preserve"> </w:t>
      </w:r>
      <w:r w:rsidRPr="008E0584">
        <w:rPr>
          <w:rFonts w:asciiTheme="minorBidi" w:hAnsiTheme="minorBidi" w:cstheme="minorBidi"/>
          <w:color w:val="222222"/>
          <w:lang w:val="en-US"/>
        </w:rPr>
        <w:t xml:space="preserve">Successfully Treated by </w:t>
      </w:r>
      <w:proofErr w:type="spellStart"/>
      <w:r w:rsidRPr="008E0584">
        <w:rPr>
          <w:rFonts w:asciiTheme="minorBidi" w:hAnsiTheme="minorBidi" w:cstheme="minorBidi"/>
          <w:color w:val="222222"/>
          <w:lang w:val="en-US"/>
        </w:rPr>
        <w:t>Ixekizumab</w:t>
      </w:r>
      <w:proofErr w:type="spellEnd"/>
      <w:r w:rsidRPr="008E0584">
        <w:rPr>
          <w:rFonts w:asciiTheme="minorBidi" w:hAnsiTheme="minorBidi" w:cstheme="minorBidi"/>
          <w:color w:val="222222"/>
          <w:lang w:val="en-US"/>
        </w:rPr>
        <w:t>: A Case Report. Clinical, Cosmetic and Investigational Dermatology 2023:16 879–881.</w:t>
      </w:r>
      <w:hyperlink r:id="rId14" w:tgtFrame="_blank" w:history="1">
        <w:r w:rsidRPr="008E0584">
          <w:rPr>
            <w:rStyle w:val="Hyperlink"/>
            <w:rFonts w:asciiTheme="minorBidi" w:hAnsiTheme="minorBidi" w:cstheme="minorBidi"/>
            <w:color w:val="1155CC"/>
            <w:lang w:val="en-US"/>
          </w:rPr>
          <w:t>https://doi.org/10.2147/CCID.S406164</w:t>
        </w:r>
      </w:hyperlink>
    </w:p>
    <w:p w14:paraId="16187CE4" w14:textId="77777777" w:rsidR="008E0584" w:rsidRPr="008E0584" w:rsidRDefault="008E0584" w:rsidP="008E0584">
      <w:pPr>
        <w:pStyle w:val="NormalWeb"/>
        <w:rPr>
          <w:rFonts w:asciiTheme="minorBidi" w:hAnsiTheme="minorBidi" w:cstheme="minorBidi"/>
          <w:color w:val="222222"/>
          <w:lang w:val="en-US"/>
        </w:rPr>
      </w:pPr>
    </w:p>
    <w:p w14:paraId="447BED3A" w14:textId="77777777" w:rsidR="008E0584" w:rsidRPr="008E0584" w:rsidRDefault="008E0584" w:rsidP="008E0584">
      <w:pPr>
        <w:pStyle w:val="NormalWeb"/>
        <w:rPr>
          <w:rFonts w:asciiTheme="minorBidi" w:hAnsiTheme="minorBidi" w:cstheme="minorBidi"/>
          <w:color w:val="222222"/>
          <w:lang w:val="en-US"/>
        </w:rPr>
      </w:pPr>
      <w:r w:rsidRPr="008E0584">
        <w:rPr>
          <w:rFonts w:asciiTheme="minorBidi" w:hAnsiTheme="minorBidi" w:cstheme="minorBidi"/>
          <w:color w:val="222222"/>
          <w:lang w:val="en-US"/>
        </w:rPr>
        <w:t>5-</w:t>
      </w:r>
      <w:r w:rsidRPr="008E0584">
        <w:rPr>
          <w:rStyle w:val="apple-converted-space"/>
          <w:rFonts w:asciiTheme="minorBidi" w:hAnsiTheme="minorBidi" w:cstheme="minorBidi"/>
          <w:color w:val="222222"/>
          <w:lang w:val="en-US"/>
        </w:rPr>
        <w:t> </w:t>
      </w:r>
      <w:hyperlink r:id="rId15" w:tgtFrame="_blank" w:history="1">
        <w:r w:rsidRPr="008E0584">
          <w:rPr>
            <w:rStyle w:val="Hyperlink"/>
            <w:rFonts w:asciiTheme="minorBidi" w:hAnsiTheme="minorBidi" w:cstheme="minorBidi"/>
            <w:color w:val="1155CC"/>
            <w:lang w:val="en-US"/>
          </w:rPr>
          <w:t>Marien Siqueira Soto Lopes</w:t>
        </w:r>
      </w:hyperlink>
      <w:r w:rsidRPr="008E0584">
        <w:rPr>
          <w:rStyle w:val="apple-converted-space"/>
          <w:rFonts w:asciiTheme="minorBidi" w:hAnsiTheme="minorBidi" w:cstheme="minorBidi"/>
          <w:color w:val="222222"/>
          <w:lang w:val="en-US"/>
        </w:rPr>
        <w:t> </w:t>
      </w:r>
      <w:r w:rsidRPr="008E0584">
        <w:rPr>
          <w:rFonts w:asciiTheme="minorBidi" w:hAnsiTheme="minorBidi" w:cstheme="minorBidi"/>
          <w:color w:val="222222"/>
          <w:lang w:val="en-US"/>
        </w:rPr>
        <w:t xml:space="preserve">et al , Paradoxical Reaction to Golimumab: Tumor Necrosis Factor </w:t>
      </w:r>
      <w:r w:rsidRPr="008E0584">
        <w:rPr>
          <w:rFonts w:asciiTheme="minorBidi" w:hAnsiTheme="minorBidi" w:cstheme="minorBidi"/>
          <w:color w:val="222222"/>
        </w:rPr>
        <w:t>α</w:t>
      </w:r>
      <w:r w:rsidRPr="008E0584">
        <w:rPr>
          <w:rFonts w:asciiTheme="minorBidi" w:hAnsiTheme="minorBidi" w:cstheme="minorBidi"/>
          <w:color w:val="222222"/>
          <w:lang w:val="en-US"/>
        </w:rPr>
        <w:t xml:space="preserve"> Inhibitor Inducing Psoriasis Pustulosa. Case Rep Dermatol. 2013 Nov 7;5(3):326–331. </w:t>
      </w:r>
      <w:proofErr w:type="spellStart"/>
      <w:r w:rsidRPr="008E0584">
        <w:rPr>
          <w:rFonts w:asciiTheme="minorBidi" w:hAnsiTheme="minorBidi" w:cstheme="minorBidi"/>
          <w:color w:val="222222"/>
          <w:lang w:val="en-US"/>
        </w:rPr>
        <w:t>doi</w:t>
      </w:r>
      <w:proofErr w:type="spellEnd"/>
      <w:r w:rsidRPr="008E0584">
        <w:rPr>
          <w:rFonts w:asciiTheme="minorBidi" w:hAnsiTheme="minorBidi" w:cstheme="minorBidi"/>
          <w:color w:val="222222"/>
          <w:lang w:val="en-US"/>
        </w:rPr>
        <w:t>:</w:t>
      </w:r>
      <w:r w:rsidRPr="008E0584">
        <w:rPr>
          <w:rStyle w:val="apple-converted-space"/>
          <w:rFonts w:asciiTheme="minorBidi" w:hAnsiTheme="minorBidi" w:cstheme="minorBidi"/>
          <w:color w:val="222222"/>
          <w:lang w:val="en-US"/>
        </w:rPr>
        <w:t> </w:t>
      </w:r>
      <w:hyperlink r:id="rId16" w:tgtFrame="_blank" w:history="1">
        <w:r w:rsidRPr="008E0584">
          <w:rPr>
            <w:rStyle w:val="Hyperlink"/>
            <w:rFonts w:asciiTheme="minorBidi" w:hAnsiTheme="minorBidi" w:cstheme="minorBidi"/>
            <w:color w:val="1155CC"/>
            <w:lang w:val="en-US"/>
          </w:rPr>
          <w:t>10.1159/000350930</w:t>
        </w:r>
      </w:hyperlink>
    </w:p>
    <w:p w14:paraId="61489EF6" w14:textId="77777777" w:rsidR="008E0584" w:rsidRPr="008E0584" w:rsidRDefault="008E0584" w:rsidP="008E0584">
      <w:pPr>
        <w:pStyle w:val="NormalWeb"/>
        <w:rPr>
          <w:rFonts w:asciiTheme="minorBidi" w:hAnsiTheme="minorBidi" w:cstheme="minorBidi"/>
          <w:color w:val="222222"/>
          <w:lang w:val="en-US"/>
        </w:rPr>
      </w:pPr>
    </w:p>
    <w:p w14:paraId="3A073BDA" w14:textId="77777777" w:rsidR="008E0584" w:rsidRPr="008E0584" w:rsidRDefault="008E0584" w:rsidP="00684525">
      <w:pPr>
        <w:pStyle w:val="NormalWeb"/>
        <w:rPr>
          <w:rFonts w:asciiTheme="minorBidi" w:hAnsiTheme="minorBidi" w:cstheme="minorBidi"/>
          <w:color w:val="222222"/>
          <w:lang w:val="en-US"/>
        </w:rPr>
      </w:pPr>
      <w:r w:rsidRPr="008E0584">
        <w:rPr>
          <w:rFonts w:asciiTheme="minorBidi" w:hAnsiTheme="minorBidi" w:cstheme="minorBidi"/>
          <w:color w:val="222222"/>
          <w:lang w:val="en-US"/>
        </w:rPr>
        <w:t>6- Yufeng Yin et al ,Efficacy and safety of IL-17 inhibitors for the treatment of ankylosing spondylitis: a systematic review and meta-analysis. Arthritis Research &amp; Therapy</w:t>
      </w:r>
      <w:r w:rsidRPr="008E0584">
        <w:rPr>
          <w:rStyle w:val="apple-converted-space"/>
          <w:rFonts w:asciiTheme="minorBidi" w:hAnsiTheme="minorBidi" w:cstheme="minorBidi"/>
          <w:color w:val="222222"/>
          <w:lang w:val="en-US"/>
        </w:rPr>
        <w:t> </w:t>
      </w:r>
      <w:r w:rsidR="00684525" w:rsidRPr="008E0584">
        <w:rPr>
          <w:rFonts w:asciiTheme="minorBidi" w:hAnsiTheme="minorBidi" w:cstheme="minorBidi"/>
          <w:color w:val="222222"/>
          <w:lang w:val="en-US"/>
        </w:rPr>
        <w:t>(2020) 22:111</w:t>
      </w:r>
      <w:r w:rsidR="00684525">
        <w:rPr>
          <w:rFonts w:asciiTheme="minorBidi" w:hAnsiTheme="minorBidi" w:cstheme="minorBidi"/>
          <w:color w:val="222222"/>
          <w:lang w:val="en-US"/>
        </w:rPr>
        <w:t xml:space="preserve"> </w:t>
      </w:r>
      <w:hyperlink r:id="rId17" w:history="1">
        <w:r w:rsidR="00684525" w:rsidRPr="00062233">
          <w:rPr>
            <w:rStyle w:val="Hyperlink"/>
            <w:rFonts w:asciiTheme="minorBidi" w:hAnsiTheme="minorBidi" w:cstheme="minorBidi"/>
            <w:lang w:val="en-US"/>
          </w:rPr>
          <w:t>https://doi.org/10.1186/s13075-020-02208-w</w:t>
        </w:r>
      </w:hyperlink>
    </w:p>
    <w:p w14:paraId="428FF708" w14:textId="77777777" w:rsidR="008E0584" w:rsidRPr="008E0584" w:rsidRDefault="008E0584" w:rsidP="008E0584">
      <w:pPr>
        <w:pStyle w:val="NormalWeb"/>
        <w:rPr>
          <w:rFonts w:asciiTheme="minorBidi" w:hAnsiTheme="minorBidi" w:cstheme="minorBidi"/>
          <w:color w:val="222222"/>
          <w:lang w:val="en-US"/>
        </w:rPr>
      </w:pPr>
    </w:p>
    <w:p w14:paraId="2804C9C5" w14:textId="77777777" w:rsidR="008E0584" w:rsidRPr="008E0584" w:rsidRDefault="008E0584" w:rsidP="008E0584">
      <w:pPr>
        <w:pStyle w:val="NormalWeb"/>
        <w:rPr>
          <w:rFonts w:asciiTheme="minorBidi" w:hAnsiTheme="minorBidi" w:cstheme="minorBidi"/>
          <w:color w:val="222222"/>
          <w:lang w:val="en-US"/>
        </w:rPr>
      </w:pPr>
      <w:r w:rsidRPr="008E0584">
        <w:rPr>
          <w:rFonts w:asciiTheme="minorBidi" w:hAnsiTheme="minorBidi" w:cstheme="minorBidi"/>
          <w:color w:val="222222"/>
          <w:lang w:val="en-US"/>
        </w:rPr>
        <w:t>7-</w:t>
      </w:r>
      <w:r w:rsidRPr="008E0584">
        <w:rPr>
          <w:rStyle w:val="apple-converted-space"/>
          <w:rFonts w:asciiTheme="minorBidi" w:hAnsiTheme="minorBidi" w:cstheme="minorBidi"/>
          <w:color w:val="222222"/>
          <w:lang w:val="en-US"/>
        </w:rPr>
        <w:t> </w:t>
      </w:r>
      <w:hyperlink r:id="rId18" w:tgtFrame="_blank" w:history="1">
        <w:r w:rsidRPr="008E0584">
          <w:rPr>
            <w:rStyle w:val="Hyperlink"/>
            <w:rFonts w:asciiTheme="minorBidi" w:hAnsiTheme="minorBidi" w:cstheme="minorBidi"/>
            <w:color w:val="1155CC"/>
            <w:lang w:val="en-US"/>
          </w:rPr>
          <w:t xml:space="preserve">Khalid A. </w:t>
        </w:r>
        <w:proofErr w:type="spellStart"/>
        <w:r w:rsidRPr="008E0584">
          <w:rPr>
            <w:rStyle w:val="Hyperlink"/>
            <w:rFonts w:asciiTheme="minorBidi" w:hAnsiTheme="minorBidi" w:cstheme="minorBidi"/>
            <w:color w:val="1155CC"/>
            <w:lang w:val="en-US"/>
          </w:rPr>
          <w:t>Alnaqbi</w:t>
        </w:r>
        <w:proofErr w:type="spellEnd"/>
      </w:hyperlink>
      <w:r w:rsidRPr="008E0584">
        <w:rPr>
          <w:rStyle w:val="apple-converted-space"/>
          <w:rFonts w:asciiTheme="minorBidi" w:hAnsiTheme="minorBidi" w:cstheme="minorBidi"/>
          <w:color w:val="222222"/>
          <w:lang w:val="en-US"/>
        </w:rPr>
        <w:t> </w:t>
      </w:r>
      <w:r w:rsidRPr="008E0584">
        <w:rPr>
          <w:rFonts w:asciiTheme="minorBidi" w:hAnsiTheme="minorBidi" w:cstheme="minorBidi"/>
          <w:color w:val="222222"/>
          <w:lang w:val="en-US"/>
        </w:rPr>
        <w:t xml:space="preserve">et al , Paradoxical Inflammatory Bowel Disease Induced by Golimumab in a Patient With Ankylosing Spondylitis: A Case Report and Systematic Review. </w:t>
      </w:r>
      <w:proofErr w:type="spellStart"/>
      <w:r w:rsidRPr="008E0584">
        <w:rPr>
          <w:rFonts w:asciiTheme="minorBidi" w:hAnsiTheme="minorBidi" w:cstheme="minorBidi"/>
          <w:color w:val="222222"/>
          <w:lang w:val="en-US"/>
        </w:rPr>
        <w:t>Cureus</w:t>
      </w:r>
      <w:proofErr w:type="spellEnd"/>
      <w:r w:rsidRPr="008E0584">
        <w:rPr>
          <w:rFonts w:asciiTheme="minorBidi" w:hAnsiTheme="minorBidi" w:cstheme="minorBidi"/>
          <w:color w:val="222222"/>
          <w:lang w:val="en-US"/>
        </w:rPr>
        <w:t xml:space="preserve">. 2025 Jan 13;17(1):e77363. </w:t>
      </w:r>
      <w:proofErr w:type="spellStart"/>
      <w:r w:rsidRPr="008E0584">
        <w:rPr>
          <w:rFonts w:asciiTheme="minorBidi" w:hAnsiTheme="minorBidi" w:cstheme="minorBidi"/>
          <w:color w:val="222222"/>
          <w:lang w:val="en-US"/>
        </w:rPr>
        <w:t>doi</w:t>
      </w:r>
      <w:proofErr w:type="spellEnd"/>
      <w:r w:rsidRPr="008E0584">
        <w:rPr>
          <w:rFonts w:asciiTheme="minorBidi" w:hAnsiTheme="minorBidi" w:cstheme="minorBidi"/>
          <w:color w:val="222222"/>
          <w:lang w:val="en-US"/>
        </w:rPr>
        <w:t>:</w:t>
      </w:r>
      <w:r w:rsidRPr="008E0584">
        <w:rPr>
          <w:rStyle w:val="apple-converted-space"/>
          <w:rFonts w:asciiTheme="minorBidi" w:hAnsiTheme="minorBidi" w:cstheme="minorBidi"/>
          <w:color w:val="222222"/>
          <w:lang w:val="en-US"/>
        </w:rPr>
        <w:t> </w:t>
      </w:r>
      <w:hyperlink r:id="rId19" w:tgtFrame="_blank" w:history="1">
        <w:r w:rsidRPr="008E0584">
          <w:rPr>
            <w:rStyle w:val="Hyperlink"/>
            <w:rFonts w:asciiTheme="minorBidi" w:hAnsiTheme="minorBidi" w:cstheme="minorBidi"/>
            <w:color w:val="1155CC"/>
            <w:lang w:val="en-US"/>
          </w:rPr>
          <w:t>10.7759/cureus.77363</w:t>
        </w:r>
      </w:hyperlink>
    </w:p>
    <w:p w14:paraId="5ABD5891" w14:textId="77777777" w:rsidR="008E0584" w:rsidRPr="008E0584" w:rsidRDefault="008E0584" w:rsidP="008E0584">
      <w:pPr>
        <w:pStyle w:val="NormalWeb"/>
        <w:rPr>
          <w:rFonts w:asciiTheme="minorBidi" w:hAnsiTheme="minorBidi" w:cstheme="minorBidi"/>
          <w:color w:val="222222"/>
          <w:lang w:val="en-US"/>
        </w:rPr>
      </w:pPr>
    </w:p>
    <w:p w14:paraId="2CFB8FE3" w14:textId="77777777" w:rsidR="008E0584" w:rsidRPr="008E0584" w:rsidRDefault="008E0584" w:rsidP="008E0584">
      <w:pPr>
        <w:pStyle w:val="NormalWeb"/>
        <w:rPr>
          <w:rFonts w:asciiTheme="minorBidi" w:hAnsiTheme="minorBidi" w:cstheme="minorBidi"/>
          <w:color w:val="222222"/>
          <w:lang w:val="en-US"/>
        </w:rPr>
      </w:pPr>
      <w:r w:rsidRPr="008E0584">
        <w:rPr>
          <w:rFonts w:asciiTheme="minorBidi" w:hAnsiTheme="minorBidi" w:cstheme="minorBidi"/>
          <w:color w:val="222222"/>
          <w:lang w:val="en-US"/>
        </w:rPr>
        <w:t>8-</w:t>
      </w:r>
      <w:r w:rsidRPr="008E0584">
        <w:rPr>
          <w:rStyle w:val="apple-converted-space"/>
          <w:rFonts w:asciiTheme="minorBidi" w:hAnsiTheme="minorBidi" w:cstheme="minorBidi"/>
          <w:color w:val="222222"/>
          <w:lang w:val="en-US"/>
        </w:rPr>
        <w:t> </w:t>
      </w:r>
      <w:hyperlink r:id="rId20" w:tgtFrame="_blank" w:history="1">
        <w:r w:rsidRPr="008E0584">
          <w:rPr>
            <w:rStyle w:val="Hyperlink"/>
            <w:rFonts w:asciiTheme="minorBidi" w:hAnsiTheme="minorBidi" w:cstheme="minorBidi"/>
            <w:color w:val="1155CC"/>
            <w:lang w:val="en-US"/>
          </w:rPr>
          <w:t>Giovanni Damiani</w:t>
        </w:r>
      </w:hyperlink>
      <w:r w:rsidRPr="008E0584">
        <w:rPr>
          <w:rStyle w:val="apple-converted-space"/>
          <w:rFonts w:asciiTheme="minorBidi" w:hAnsiTheme="minorBidi" w:cstheme="minorBidi"/>
          <w:color w:val="222222"/>
          <w:lang w:val="en-US"/>
        </w:rPr>
        <w:t> </w:t>
      </w:r>
      <w:r w:rsidRPr="008E0584">
        <w:rPr>
          <w:rFonts w:asciiTheme="minorBidi" w:hAnsiTheme="minorBidi" w:cstheme="minorBidi"/>
          <w:color w:val="222222"/>
          <w:lang w:val="en-US"/>
        </w:rPr>
        <w:t xml:space="preserve">et al, When IL-17 inhibitors fail: Real-life evidence to switch from </w:t>
      </w:r>
      <w:proofErr w:type="spellStart"/>
      <w:r w:rsidRPr="008E0584">
        <w:rPr>
          <w:rFonts w:asciiTheme="minorBidi" w:hAnsiTheme="minorBidi" w:cstheme="minorBidi"/>
          <w:color w:val="222222"/>
          <w:lang w:val="en-US"/>
        </w:rPr>
        <w:t>secukinumab</w:t>
      </w:r>
      <w:proofErr w:type="spellEnd"/>
      <w:r w:rsidRPr="008E0584">
        <w:rPr>
          <w:rFonts w:asciiTheme="minorBidi" w:hAnsiTheme="minorBidi" w:cstheme="minorBidi"/>
          <w:color w:val="222222"/>
          <w:lang w:val="en-US"/>
        </w:rPr>
        <w:t xml:space="preserve"> to adalimumab or </w:t>
      </w:r>
      <w:proofErr w:type="spellStart"/>
      <w:r w:rsidRPr="008E0584">
        <w:rPr>
          <w:rFonts w:asciiTheme="minorBidi" w:hAnsiTheme="minorBidi" w:cstheme="minorBidi"/>
          <w:color w:val="222222"/>
          <w:lang w:val="en-US"/>
        </w:rPr>
        <w:t>ustekinumab</w:t>
      </w:r>
      <w:proofErr w:type="spellEnd"/>
      <w:r w:rsidRPr="008E0584">
        <w:rPr>
          <w:rFonts w:asciiTheme="minorBidi" w:hAnsiTheme="minorBidi" w:cstheme="minorBidi"/>
          <w:color w:val="222222"/>
          <w:lang w:val="en-US"/>
        </w:rPr>
        <w:t>.</w:t>
      </w:r>
    </w:p>
    <w:p w14:paraId="49CBCFCE" w14:textId="77777777" w:rsidR="008E0584" w:rsidRPr="008E0584" w:rsidRDefault="008E0584" w:rsidP="008E0584">
      <w:pPr>
        <w:pStyle w:val="NormalWeb"/>
        <w:rPr>
          <w:rFonts w:asciiTheme="minorBidi" w:hAnsiTheme="minorBidi" w:cstheme="minorBidi"/>
          <w:color w:val="222222"/>
          <w:lang w:val="en-US"/>
        </w:rPr>
      </w:pPr>
      <w:hyperlink r:id="rId21" w:tgtFrame="_blank" w:history="1">
        <w:r w:rsidRPr="008E0584">
          <w:rPr>
            <w:rStyle w:val="Hyperlink"/>
            <w:rFonts w:asciiTheme="minorBidi" w:hAnsiTheme="minorBidi" w:cstheme="minorBidi"/>
            <w:color w:val="1155CC"/>
            <w:lang w:val="en-US"/>
          </w:rPr>
          <w:t>Dermatologic Therapy</w:t>
        </w:r>
      </w:hyperlink>
      <w:hyperlink r:id="rId22" w:tgtFrame="_blank" w:history="1">
        <w:r w:rsidRPr="008E0584">
          <w:rPr>
            <w:rStyle w:val="Hyperlink"/>
            <w:rFonts w:asciiTheme="minorBidi" w:hAnsiTheme="minorBidi" w:cstheme="minorBidi"/>
            <w:color w:val="1155CC"/>
            <w:lang w:val="en-US"/>
          </w:rPr>
          <w:t>Volume 32, Issue 2</w:t>
        </w:r>
      </w:hyperlink>
      <w:r w:rsidRPr="008E0584">
        <w:rPr>
          <w:rStyle w:val="apple-converted-space"/>
          <w:rFonts w:asciiTheme="minorBidi" w:hAnsiTheme="minorBidi" w:cstheme="minorBidi"/>
          <w:color w:val="222222"/>
          <w:lang w:val="en-US"/>
        </w:rPr>
        <w:t> </w:t>
      </w:r>
      <w:r w:rsidRPr="008E0584">
        <w:rPr>
          <w:rFonts w:asciiTheme="minorBidi" w:hAnsiTheme="minorBidi" w:cstheme="minorBidi"/>
          <w:color w:val="222222"/>
          <w:lang w:val="en-US"/>
        </w:rPr>
        <w:t>e12793.</w:t>
      </w:r>
      <w:r w:rsidRPr="008E0584">
        <w:rPr>
          <w:rStyle w:val="apple-converted-space"/>
          <w:rFonts w:asciiTheme="minorBidi" w:hAnsiTheme="minorBidi" w:cstheme="minorBidi"/>
          <w:color w:val="222222"/>
          <w:lang w:val="en-US"/>
        </w:rPr>
        <w:t> </w:t>
      </w:r>
      <w:hyperlink r:id="rId23" w:tgtFrame="_blank" w:history="1">
        <w:r w:rsidRPr="008E0584">
          <w:rPr>
            <w:rStyle w:val="Hyperlink"/>
            <w:rFonts w:asciiTheme="minorBidi" w:hAnsiTheme="minorBidi" w:cstheme="minorBidi"/>
            <w:color w:val="1155CC"/>
            <w:lang w:val="en-US"/>
          </w:rPr>
          <w:t>https://doi.org/10.1111/dth.12793</w:t>
        </w:r>
      </w:hyperlink>
    </w:p>
    <w:p w14:paraId="2AEFF199" w14:textId="77777777" w:rsidR="008E0584" w:rsidRPr="008E0584" w:rsidRDefault="008E0584" w:rsidP="008E0584">
      <w:pPr>
        <w:pStyle w:val="NormalWeb"/>
        <w:rPr>
          <w:rFonts w:asciiTheme="minorBidi" w:hAnsiTheme="minorBidi" w:cstheme="minorBidi"/>
          <w:color w:val="222222"/>
          <w:lang w:val="en-US"/>
        </w:rPr>
      </w:pPr>
    </w:p>
    <w:p w14:paraId="5214334D" w14:textId="77777777" w:rsidR="008E0584" w:rsidRPr="008E0584" w:rsidRDefault="008E0584" w:rsidP="00684525">
      <w:pPr>
        <w:pStyle w:val="NormalWeb"/>
        <w:rPr>
          <w:rFonts w:asciiTheme="minorBidi" w:hAnsiTheme="minorBidi" w:cstheme="minorBidi"/>
          <w:color w:val="222222"/>
          <w:lang w:val="en-US"/>
        </w:rPr>
      </w:pPr>
      <w:r w:rsidRPr="008E0584">
        <w:rPr>
          <w:rFonts w:asciiTheme="minorBidi" w:hAnsiTheme="minorBidi" w:cstheme="minorBidi"/>
          <w:color w:val="222222"/>
          <w:lang w:val="en-US"/>
        </w:rPr>
        <w:t>9- Nikolai Loft MD et al, Efficacy of a second interleukin 17 inhibitor in patients with psoriasis: A systematic review and meta-analysis. </w:t>
      </w:r>
      <w:hyperlink r:id="rId24" w:tgtFrame="_blank" w:history="1">
        <w:r w:rsidRPr="008E0584">
          <w:rPr>
            <w:rStyle w:val="Hyperlink"/>
            <w:rFonts w:asciiTheme="minorBidi" w:hAnsiTheme="minorBidi" w:cstheme="minorBidi"/>
            <w:color w:val="1155CC"/>
            <w:lang w:val="en-US"/>
          </w:rPr>
          <w:t>Journal of the American Academy of Dermatology</w:t>
        </w:r>
      </w:hyperlink>
      <w:r w:rsidRPr="008E0584">
        <w:rPr>
          <w:rStyle w:val="apple-converted-space"/>
          <w:rFonts w:asciiTheme="minorBidi" w:hAnsiTheme="minorBidi" w:cstheme="minorBidi"/>
          <w:color w:val="222222"/>
          <w:lang w:val="en-US"/>
        </w:rPr>
        <w:t> </w:t>
      </w:r>
      <w:hyperlink r:id="rId25" w:tgtFrame="_blank" w:history="1">
        <w:r w:rsidRPr="008E0584">
          <w:rPr>
            <w:rStyle w:val="Hyperlink"/>
            <w:rFonts w:asciiTheme="minorBidi" w:hAnsiTheme="minorBidi" w:cstheme="minorBidi"/>
            <w:color w:val="1155CC"/>
            <w:lang w:val="en-US"/>
          </w:rPr>
          <w:t>Volume 84, Issue 1</w:t>
        </w:r>
      </w:hyperlink>
      <w:r w:rsidRPr="008E0584">
        <w:rPr>
          <w:rFonts w:asciiTheme="minorBidi" w:hAnsiTheme="minorBidi" w:cstheme="minorBidi"/>
          <w:color w:val="222222"/>
          <w:lang w:val="en-US"/>
        </w:rPr>
        <w:t>, January 2021, Pages 130-138.</w:t>
      </w:r>
      <w:r w:rsidRPr="008E0584">
        <w:rPr>
          <w:rStyle w:val="apple-converted-space"/>
          <w:rFonts w:asciiTheme="minorBidi" w:hAnsiTheme="minorBidi" w:cstheme="minorBidi"/>
          <w:color w:val="222222"/>
          <w:lang w:val="en-US"/>
        </w:rPr>
        <w:t> </w:t>
      </w:r>
      <w:hyperlink r:id="rId26" w:tgtFrame="_blank" w:history="1">
        <w:r w:rsidRPr="008E0584">
          <w:rPr>
            <w:rStyle w:val="Hyperlink"/>
            <w:rFonts w:asciiTheme="minorBidi" w:hAnsiTheme="minorBidi" w:cstheme="minorBidi"/>
            <w:color w:val="1155CC"/>
            <w:lang w:val="en-US"/>
          </w:rPr>
          <w:t>https://doi.org/10.1016/j.jaad.2020.07.085</w:t>
        </w:r>
      </w:hyperlink>
    </w:p>
    <w:p w14:paraId="6C00FE11" w14:textId="77777777" w:rsidR="008E0584" w:rsidRPr="008E0584" w:rsidRDefault="008E0584" w:rsidP="008E0584">
      <w:pPr>
        <w:pStyle w:val="NormalWeb"/>
        <w:rPr>
          <w:rFonts w:asciiTheme="minorBidi" w:hAnsiTheme="minorBidi" w:cstheme="minorBidi"/>
          <w:color w:val="222222"/>
          <w:lang w:val="en-US"/>
        </w:rPr>
      </w:pPr>
    </w:p>
    <w:p w14:paraId="7D1FBDFF" w14:textId="77777777" w:rsidR="008E0584" w:rsidRPr="008E0584" w:rsidRDefault="008E0584" w:rsidP="00684525">
      <w:pPr>
        <w:pStyle w:val="NormalWeb"/>
        <w:rPr>
          <w:rFonts w:asciiTheme="minorBidi" w:hAnsiTheme="minorBidi" w:cstheme="minorBidi"/>
          <w:color w:val="222222"/>
          <w:lang w:val="en-US"/>
        </w:rPr>
      </w:pPr>
      <w:r w:rsidRPr="008E0584">
        <w:rPr>
          <w:rFonts w:asciiTheme="minorBidi" w:hAnsiTheme="minorBidi" w:cstheme="minorBidi"/>
          <w:color w:val="222222"/>
          <w:lang w:val="en-US"/>
        </w:rPr>
        <w:t xml:space="preserve">10 - </w:t>
      </w:r>
      <w:proofErr w:type="spellStart"/>
      <w:r w:rsidRPr="008E0584">
        <w:rPr>
          <w:rFonts w:asciiTheme="minorBidi" w:hAnsiTheme="minorBidi" w:cstheme="minorBidi"/>
          <w:color w:val="222222"/>
          <w:lang w:val="en-US"/>
        </w:rPr>
        <w:t>Rotraut</w:t>
      </w:r>
      <w:proofErr w:type="spellEnd"/>
      <w:r w:rsidRPr="008E0584">
        <w:rPr>
          <w:rFonts w:asciiTheme="minorBidi" w:hAnsiTheme="minorBidi" w:cstheme="minorBidi"/>
          <w:color w:val="222222"/>
          <w:lang w:val="en-US"/>
        </w:rPr>
        <w:t xml:space="preserve"> Mössner et al, Manifestation of palmoplantar pustulosis during or after infliximab therapy for plaque-type psoriasis: report on five cases. Arch Dermatol Res (2008) 300:101–105</w:t>
      </w:r>
      <w:r w:rsidR="00684525">
        <w:rPr>
          <w:rFonts w:asciiTheme="minorBidi" w:hAnsiTheme="minorBidi" w:cstheme="minorBidi"/>
          <w:color w:val="222222"/>
          <w:lang w:val="en-US"/>
        </w:rPr>
        <w:t xml:space="preserve"> .</w:t>
      </w:r>
      <w:r w:rsidRPr="008E0584">
        <w:rPr>
          <w:rFonts w:asciiTheme="minorBidi" w:hAnsiTheme="minorBidi" w:cstheme="minorBidi"/>
          <w:color w:val="222222"/>
          <w:lang w:val="en-US"/>
        </w:rPr>
        <w:t>DOI 10.1007/s00403-008-0831-8</w:t>
      </w:r>
    </w:p>
    <w:p w14:paraId="45C8C829" w14:textId="77777777" w:rsidR="008E0584" w:rsidRPr="008E0584" w:rsidRDefault="00684525" w:rsidP="008E0584">
      <w:pPr>
        <w:pStyle w:val="NormalWeb"/>
        <w:rPr>
          <w:rFonts w:asciiTheme="minorBidi" w:hAnsiTheme="minorBidi" w:cstheme="minorBidi"/>
          <w:color w:val="222222"/>
          <w:lang w:val="en-US"/>
        </w:rPr>
      </w:pPr>
      <w:r>
        <w:rPr>
          <w:rFonts w:asciiTheme="minorBidi" w:hAnsiTheme="minorBidi" w:cstheme="minorBidi"/>
          <w:color w:val="222222"/>
          <w:lang w:val="en-US"/>
        </w:rPr>
        <w:t xml:space="preserve"> </w:t>
      </w:r>
    </w:p>
    <w:p w14:paraId="42B3B5B8" w14:textId="77777777" w:rsidR="008E0584" w:rsidRPr="008E0584" w:rsidRDefault="008E0584" w:rsidP="00684525">
      <w:pPr>
        <w:pStyle w:val="NormalWeb"/>
        <w:rPr>
          <w:rFonts w:asciiTheme="minorBidi" w:hAnsiTheme="minorBidi" w:cstheme="minorBidi"/>
          <w:color w:val="222222"/>
          <w:lang w:val="en-US"/>
        </w:rPr>
      </w:pPr>
      <w:r w:rsidRPr="008E0584">
        <w:rPr>
          <w:rFonts w:asciiTheme="minorBidi" w:hAnsiTheme="minorBidi" w:cstheme="minorBidi"/>
          <w:color w:val="222222"/>
          <w:lang w:val="en-US"/>
        </w:rPr>
        <w:t>11-</w:t>
      </w:r>
      <w:r w:rsidRPr="008E0584">
        <w:rPr>
          <w:rStyle w:val="apple-converted-space"/>
          <w:rFonts w:asciiTheme="minorBidi" w:hAnsiTheme="minorBidi" w:cstheme="minorBidi"/>
          <w:color w:val="222222"/>
          <w:lang w:val="en-US"/>
        </w:rPr>
        <w:t> </w:t>
      </w:r>
      <w:hyperlink r:id="rId27" w:tgtFrame="_blank" w:history="1">
        <w:r w:rsidRPr="008E0584">
          <w:rPr>
            <w:rStyle w:val="Hyperlink"/>
            <w:rFonts w:asciiTheme="minorBidi" w:hAnsiTheme="minorBidi" w:cstheme="minorBidi"/>
            <w:color w:val="1155CC"/>
            <w:lang w:val="en-US"/>
          </w:rPr>
          <w:t>Daniela Anghel</w:t>
        </w:r>
      </w:hyperlink>
      <w:r w:rsidRPr="008E0584">
        <w:rPr>
          <w:rStyle w:val="apple-converted-space"/>
          <w:rFonts w:asciiTheme="minorBidi" w:hAnsiTheme="minorBidi" w:cstheme="minorBidi"/>
          <w:color w:val="222222"/>
          <w:lang w:val="en-US"/>
        </w:rPr>
        <w:t> </w:t>
      </w:r>
      <w:r w:rsidRPr="008E0584">
        <w:rPr>
          <w:rFonts w:asciiTheme="minorBidi" w:hAnsiTheme="minorBidi" w:cstheme="minorBidi"/>
          <w:color w:val="222222"/>
          <w:lang w:val="en-US"/>
        </w:rPr>
        <w:t xml:space="preserve">et al , Paradoxical pustular psoriasis in a patient with </w:t>
      </w:r>
      <w:proofErr w:type="spellStart"/>
      <w:r w:rsidRPr="008E0584">
        <w:rPr>
          <w:rFonts w:asciiTheme="minorBidi" w:hAnsiTheme="minorBidi" w:cstheme="minorBidi"/>
          <w:color w:val="222222"/>
          <w:lang w:val="en-US"/>
        </w:rPr>
        <w:t>spondyloarthritis</w:t>
      </w:r>
      <w:proofErr w:type="spellEnd"/>
      <w:r w:rsidRPr="008E0584">
        <w:rPr>
          <w:rFonts w:asciiTheme="minorBidi" w:hAnsiTheme="minorBidi" w:cstheme="minorBidi"/>
          <w:color w:val="222222"/>
          <w:lang w:val="en-US"/>
        </w:rPr>
        <w:t xml:space="preserve"> treated with </w:t>
      </w:r>
      <w:proofErr w:type="spellStart"/>
      <w:r w:rsidRPr="008E0584">
        <w:rPr>
          <w:rFonts w:asciiTheme="minorBidi" w:hAnsiTheme="minorBidi" w:cstheme="minorBidi"/>
          <w:color w:val="222222"/>
          <w:lang w:val="en-US"/>
        </w:rPr>
        <w:t>secukinumab</w:t>
      </w:r>
      <w:proofErr w:type="spellEnd"/>
      <w:r w:rsidRPr="008E0584">
        <w:rPr>
          <w:rFonts w:asciiTheme="minorBidi" w:hAnsiTheme="minorBidi" w:cstheme="minorBidi"/>
          <w:color w:val="222222"/>
          <w:lang w:val="en-US"/>
        </w:rPr>
        <w:t>.</w:t>
      </w:r>
      <w:r w:rsidRPr="008E0584">
        <w:rPr>
          <w:rStyle w:val="apple-converted-space"/>
          <w:rFonts w:asciiTheme="minorBidi" w:hAnsiTheme="minorBidi" w:cstheme="minorBidi"/>
          <w:color w:val="222222"/>
          <w:lang w:val="en-US"/>
        </w:rPr>
        <w:t> </w:t>
      </w:r>
      <w:hyperlink r:id="rId28" w:tgtFrame="_blank" w:history="1">
        <w:r w:rsidRPr="008E0584">
          <w:rPr>
            <w:rStyle w:val="Hyperlink"/>
            <w:rFonts w:asciiTheme="minorBidi" w:hAnsiTheme="minorBidi" w:cstheme="minorBidi"/>
            <w:color w:val="1155CC"/>
            <w:lang w:val="en-US"/>
          </w:rPr>
          <w:t>JEADV Clinical Practice</w:t>
        </w:r>
      </w:hyperlink>
      <w:hyperlink r:id="rId29" w:tgtFrame="_blank" w:history="1">
        <w:r w:rsidRPr="008E0584">
          <w:rPr>
            <w:rStyle w:val="Hyperlink"/>
            <w:rFonts w:asciiTheme="minorBidi" w:hAnsiTheme="minorBidi" w:cstheme="minorBidi"/>
            <w:color w:val="1155CC"/>
            <w:lang w:val="en-US"/>
          </w:rPr>
          <w:t>Volume 2, Issue 4</w:t>
        </w:r>
      </w:hyperlink>
      <w:r w:rsidRPr="008E0584">
        <w:rPr>
          <w:rStyle w:val="apple-converted-space"/>
          <w:rFonts w:asciiTheme="minorBidi" w:hAnsiTheme="minorBidi" w:cstheme="minorBidi"/>
          <w:color w:val="222222"/>
          <w:lang w:val="en-US"/>
        </w:rPr>
        <w:t> </w:t>
      </w:r>
      <w:r w:rsidRPr="008E0584">
        <w:rPr>
          <w:rFonts w:asciiTheme="minorBidi" w:hAnsiTheme="minorBidi" w:cstheme="minorBidi"/>
          <w:color w:val="222222"/>
          <w:lang w:val="en-US"/>
        </w:rPr>
        <w:t>p. 951-954.</w:t>
      </w:r>
      <w:r w:rsidR="00684525">
        <w:rPr>
          <w:rFonts w:asciiTheme="minorBidi" w:hAnsiTheme="minorBidi" w:cstheme="minorBidi"/>
          <w:color w:val="222222"/>
          <w:lang w:val="en-US"/>
        </w:rPr>
        <w:t xml:space="preserve"> </w:t>
      </w:r>
      <w:hyperlink r:id="rId30" w:history="1">
        <w:r w:rsidR="00684525" w:rsidRPr="00062233">
          <w:rPr>
            <w:rStyle w:val="Hyperlink"/>
            <w:rFonts w:asciiTheme="minorBidi" w:hAnsiTheme="minorBidi" w:cstheme="minorBidi"/>
            <w:lang w:val="en-US"/>
          </w:rPr>
          <w:t>https://doi.org/10.1002/jvc2.253</w:t>
        </w:r>
      </w:hyperlink>
    </w:p>
    <w:p w14:paraId="034F321C" w14:textId="77777777" w:rsidR="008E0584" w:rsidRPr="008E0584" w:rsidRDefault="008E0584" w:rsidP="008E0584">
      <w:pPr>
        <w:pStyle w:val="NormalWeb"/>
        <w:rPr>
          <w:rFonts w:asciiTheme="minorBidi" w:hAnsiTheme="minorBidi" w:cstheme="minorBidi"/>
          <w:color w:val="222222"/>
          <w:lang w:val="en-US"/>
        </w:rPr>
      </w:pPr>
    </w:p>
    <w:p w14:paraId="1041FC9E" w14:textId="77777777" w:rsidR="008E0584" w:rsidRPr="008E0584" w:rsidRDefault="008E0584" w:rsidP="00684525">
      <w:pPr>
        <w:pStyle w:val="NormalWeb"/>
        <w:rPr>
          <w:rFonts w:asciiTheme="minorBidi" w:hAnsiTheme="minorBidi" w:cstheme="minorBidi"/>
          <w:color w:val="222222"/>
          <w:lang w:val="en-US"/>
        </w:rPr>
      </w:pPr>
      <w:r w:rsidRPr="008E0584">
        <w:rPr>
          <w:rFonts w:asciiTheme="minorBidi" w:hAnsiTheme="minorBidi" w:cstheme="minorBidi"/>
          <w:color w:val="222222"/>
          <w:lang w:val="en-US"/>
        </w:rPr>
        <w:t>12-</w:t>
      </w:r>
      <w:r w:rsidRPr="008E0584">
        <w:rPr>
          <w:rStyle w:val="apple-converted-space"/>
          <w:rFonts w:asciiTheme="minorBidi" w:hAnsiTheme="minorBidi" w:cstheme="minorBidi"/>
          <w:color w:val="222222"/>
          <w:lang w:val="en-US"/>
        </w:rPr>
        <w:t> </w:t>
      </w:r>
      <w:hyperlink r:id="rId31" w:tgtFrame="_blank" w:history="1">
        <w:r w:rsidRPr="008E0584">
          <w:rPr>
            <w:rStyle w:val="Hyperlink"/>
            <w:rFonts w:asciiTheme="minorBidi" w:hAnsiTheme="minorBidi" w:cstheme="minorBidi"/>
            <w:color w:val="1155CC"/>
            <w:lang w:val="en-US"/>
          </w:rPr>
          <w:t>Jingyu Ren</w:t>
        </w:r>
      </w:hyperlink>
      <w:r w:rsidRPr="008E0584">
        <w:rPr>
          <w:rStyle w:val="apple-converted-space"/>
          <w:rFonts w:asciiTheme="minorBidi" w:hAnsiTheme="minorBidi" w:cstheme="minorBidi"/>
          <w:color w:val="222222"/>
          <w:lang w:val="en-US"/>
        </w:rPr>
        <w:t> </w:t>
      </w:r>
      <w:r w:rsidRPr="008E0584">
        <w:rPr>
          <w:rFonts w:asciiTheme="minorBidi" w:hAnsiTheme="minorBidi" w:cstheme="minorBidi"/>
          <w:color w:val="222222"/>
          <w:lang w:val="en-US"/>
        </w:rPr>
        <w:t xml:space="preserve">et </w:t>
      </w:r>
      <w:proofErr w:type="gramStart"/>
      <w:r w:rsidRPr="008E0584">
        <w:rPr>
          <w:rFonts w:asciiTheme="minorBidi" w:hAnsiTheme="minorBidi" w:cstheme="minorBidi"/>
          <w:color w:val="222222"/>
          <w:lang w:val="en-US"/>
        </w:rPr>
        <w:t>al ,</w:t>
      </w:r>
      <w:proofErr w:type="gramEnd"/>
      <w:r w:rsidRPr="008E0584">
        <w:rPr>
          <w:rFonts w:asciiTheme="minorBidi" w:hAnsiTheme="minorBidi" w:cstheme="minorBidi"/>
          <w:color w:val="222222"/>
          <w:lang w:val="en-US"/>
        </w:rPr>
        <w:t xml:space="preserve"> Paradoxical reaction to IL-17A inhibitor: a case report and literature review. Sec. Dermatology</w:t>
      </w:r>
      <w:r w:rsidR="00684525">
        <w:rPr>
          <w:rFonts w:asciiTheme="minorBidi" w:hAnsiTheme="minorBidi" w:cstheme="minorBidi"/>
          <w:color w:val="222222"/>
          <w:lang w:val="en-US"/>
        </w:rPr>
        <w:t xml:space="preserve"> </w:t>
      </w:r>
      <w:r w:rsidRPr="008E0584">
        <w:rPr>
          <w:rFonts w:asciiTheme="minorBidi" w:hAnsiTheme="minorBidi" w:cstheme="minorBidi"/>
          <w:color w:val="222222"/>
          <w:lang w:val="en-US"/>
        </w:rPr>
        <w:t>Volume 11 - 2024 |</w:t>
      </w:r>
      <w:r w:rsidRPr="008E0584">
        <w:rPr>
          <w:rStyle w:val="apple-converted-space"/>
          <w:rFonts w:asciiTheme="minorBidi" w:hAnsiTheme="minorBidi" w:cstheme="minorBidi"/>
          <w:color w:val="222222"/>
          <w:lang w:val="en-US"/>
        </w:rPr>
        <w:t> </w:t>
      </w:r>
      <w:hyperlink r:id="rId32" w:tgtFrame="_blank" w:history="1">
        <w:r w:rsidRPr="008E0584">
          <w:rPr>
            <w:rStyle w:val="Hyperlink"/>
            <w:rFonts w:asciiTheme="minorBidi" w:hAnsiTheme="minorBidi" w:cstheme="minorBidi"/>
            <w:color w:val="1155CC"/>
            <w:lang w:val="en-US"/>
          </w:rPr>
          <w:t>https://doi.org/10.3389/fmed.2024.1364127</w:t>
        </w:r>
      </w:hyperlink>
    </w:p>
    <w:p w14:paraId="4E8505D4" w14:textId="77777777" w:rsidR="008E0584" w:rsidRPr="008E0584" w:rsidRDefault="008E0584" w:rsidP="008E0584">
      <w:pPr>
        <w:pStyle w:val="NormalWeb"/>
        <w:rPr>
          <w:rFonts w:asciiTheme="minorBidi" w:hAnsiTheme="minorBidi" w:cstheme="minorBidi"/>
          <w:color w:val="222222"/>
          <w:lang w:val="en-US"/>
        </w:rPr>
      </w:pPr>
    </w:p>
    <w:p w14:paraId="603D6AFC" w14:textId="77777777" w:rsidR="008E0584" w:rsidRPr="008E0584" w:rsidRDefault="008E0584" w:rsidP="008E0584">
      <w:pPr>
        <w:pStyle w:val="NormalWeb"/>
        <w:rPr>
          <w:rFonts w:asciiTheme="minorBidi" w:hAnsiTheme="minorBidi" w:cstheme="minorBidi"/>
          <w:color w:val="222222"/>
          <w:lang w:val="en-US"/>
        </w:rPr>
      </w:pPr>
      <w:r w:rsidRPr="008E0584">
        <w:rPr>
          <w:rFonts w:asciiTheme="minorBidi" w:hAnsiTheme="minorBidi" w:cstheme="minorBidi"/>
          <w:color w:val="222222"/>
          <w:lang w:val="en-US"/>
        </w:rPr>
        <w:t>13 -</w:t>
      </w:r>
      <w:r w:rsidRPr="008E0584">
        <w:rPr>
          <w:rStyle w:val="apple-converted-space"/>
          <w:rFonts w:asciiTheme="minorBidi" w:hAnsiTheme="minorBidi" w:cstheme="minorBidi"/>
          <w:color w:val="222222"/>
          <w:lang w:val="en-US"/>
        </w:rPr>
        <w:t> </w:t>
      </w:r>
      <w:hyperlink r:id="rId33" w:tgtFrame="_blank" w:history="1">
        <w:r w:rsidRPr="008E0584">
          <w:rPr>
            <w:rStyle w:val="Hyperlink"/>
            <w:rFonts w:asciiTheme="minorBidi" w:hAnsiTheme="minorBidi" w:cstheme="minorBidi"/>
            <w:color w:val="1155CC"/>
            <w:lang w:val="en-US"/>
          </w:rPr>
          <w:t>Jae-Jeong Park</w:t>
        </w:r>
      </w:hyperlink>
      <w:r w:rsidRPr="008E0584">
        <w:rPr>
          <w:rStyle w:val="apple-converted-space"/>
          <w:rFonts w:asciiTheme="minorBidi" w:hAnsiTheme="minorBidi" w:cstheme="minorBidi"/>
          <w:color w:val="222222"/>
          <w:lang w:val="en-US"/>
        </w:rPr>
        <w:t> </w:t>
      </w:r>
      <w:r w:rsidRPr="008E0584">
        <w:rPr>
          <w:rFonts w:asciiTheme="minorBidi" w:hAnsiTheme="minorBidi" w:cstheme="minorBidi"/>
          <w:color w:val="222222"/>
          <w:lang w:val="en-US"/>
        </w:rPr>
        <w:t>et al , A Case of Tumor Necrosis Factor-</w:t>
      </w:r>
      <w:r w:rsidRPr="008E0584">
        <w:rPr>
          <w:rFonts w:asciiTheme="minorBidi" w:hAnsiTheme="minorBidi" w:cstheme="minorBidi"/>
          <w:color w:val="222222"/>
        </w:rPr>
        <w:t>α</w:t>
      </w:r>
      <w:r w:rsidRPr="008E0584">
        <w:rPr>
          <w:rFonts w:asciiTheme="minorBidi" w:hAnsiTheme="minorBidi" w:cstheme="minorBidi"/>
          <w:color w:val="222222"/>
          <w:lang w:val="en-US"/>
        </w:rPr>
        <w:t xml:space="preserve"> Inhibitors-induced Pustular Psoriasis. Ann Dermatol. 2010 May 18;22(2):212–215. </w:t>
      </w:r>
      <w:proofErr w:type="spellStart"/>
      <w:r w:rsidRPr="008E0584">
        <w:rPr>
          <w:rFonts w:asciiTheme="minorBidi" w:hAnsiTheme="minorBidi" w:cstheme="minorBidi"/>
          <w:color w:val="222222"/>
          <w:lang w:val="en-US"/>
        </w:rPr>
        <w:t>doi</w:t>
      </w:r>
      <w:proofErr w:type="spellEnd"/>
      <w:r w:rsidRPr="008E0584">
        <w:rPr>
          <w:rFonts w:asciiTheme="minorBidi" w:hAnsiTheme="minorBidi" w:cstheme="minorBidi"/>
          <w:color w:val="222222"/>
          <w:lang w:val="en-US"/>
        </w:rPr>
        <w:t>:</w:t>
      </w:r>
      <w:r w:rsidRPr="008E0584">
        <w:rPr>
          <w:rStyle w:val="apple-converted-space"/>
          <w:rFonts w:asciiTheme="minorBidi" w:hAnsiTheme="minorBidi" w:cstheme="minorBidi"/>
          <w:color w:val="222222"/>
          <w:lang w:val="en-US"/>
        </w:rPr>
        <w:t> </w:t>
      </w:r>
      <w:hyperlink r:id="rId34" w:tgtFrame="_blank" w:history="1">
        <w:r w:rsidRPr="008E0584">
          <w:rPr>
            <w:rStyle w:val="Hyperlink"/>
            <w:rFonts w:asciiTheme="minorBidi" w:hAnsiTheme="minorBidi" w:cstheme="minorBidi"/>
            <w:color w:val="1155CC"/>
            <w:lang w:val="en-US"/>
          </w:rPr>
          <w:t>10.5021/ad.2010.22.2.212</w:t>
        </w:r>
      </w:hyperlink>
    </w:p>
    <w:p w14:paraId="2F3E1EA3" w14:textId="77777777" w:rsidR="008E0584" w:rsidRPr="008E0584" w:rsidRDefault="008E0584" w:rsidP="008E0584">
      <w:pPr>
        <w:pStyle w:val="NormalWeb"/>
        <w:rPr>
          <w:rFonts w:asciiTheme="minorBidi" w:hAnsiTheme="minorBidi" w:cstheme="minorBidi"/>
          <w:color w:val="222222"/>
          <w:lang w:val="en-US"/>
        </w:rPr>
      </w:pPr>
    </w:p>
    <w:p w14:paraId="7D2A2BED" w14:textId="77777777" w:rsidR="008E0584" w:rsidRPr="008E0584" w:rsidRDefault="008E0584" w:rsidP="008E0584">
      <w:pPr>
        <w:pStyle w:val="NormalWeb"/>
        <w:rPr>
          <w:rFonts w:asciiTheme="minorBidi" w:hAnsiTheme="minorBidi" w:cstheme="minorBidi"/>
          <w:color w:val="222222"/>
          <w:lang w:val="en-US"/>
        </w:rPr>
      </w:pPr>
      <w:r w:rsidRPr="008E0584">
        <w:rPr>
          <w:rFonts w:asciiTheme="minorBidi" w:hAnsiTheme="minorBidi" w:cstheme="minorBidi"/>
          <w:color w:val="222222"/>
          <w:lang w:val="en-US"/>
        </w:rPr>
        <w:t>14 - Marine Fauny et al , Paradoxical gastrointestinal effects of interleukin-17 blockers. Ann Rheum Dis 2020;79:1132–1138. doi:10.1136/annrheumdis-2020-217927</w:t>
      </w:r>
    </w:p>
    <w:p w14:paraId="55E425B2" w14:textId="77777777" w:rsidR="008E0584" w:rsidRPr="008E0584" w:rsidRDefault="008E0584" w:rsidP="008E0584">
      <w:pPr>
        <w:pStyle w:val="NormalWeb"/>
        <w:rPr>
          <w:rFonts w:asciiTheme="minorBidi" w:hAnsiTheme="minorBidi" w:cstheme="minorBidi"/>
          <w:color w:val="222222"/>
          <w:lang w:val="en-US"/>
        </w:rPr>
      </w:pPr>
    </w:p>
    <w:p w14:paraId="2C870E95" w14:textId="77777777" w:rsidR="008E0584" w:rsidRPr="008E0584" w:rsidRDefault="008E0584" w:rsidP="00684525">
      <w:pPr>
        <w:pStyle w:val="NormalWeb"/>
        <w:rPr>
          <w:rFonts w:asciiTheme="minorBidi" w:hAnsiTheme="minorBidi" w:cstheme="minorBidi"/>
          <w:color w:val="222222"/>
          <w:lang w:val="en-US"/>
        </w:rPr>
      </w:pPr>
      <w:r w:rsidRPr="008E0584">
        <w:rPr>
          <w:rFonts w:asciiTheme="minorBidi" w:hAnsiTheme="minorBidi" w:cstheme="minorBidi"/>
          <w:color w:val="222222"/>
          <w:lang w:val="en-US"/>
        </w:rPr>
        <w:t xml:space="preserve">15- Qing-Yang Li et al ,Successful treatment of adalimumab-resistant palmoplantar pustulosis with </w:t>
      </w:r>
      <w:proofErr w:type="spellStart"/>
      <w:r w:rsidRPr="008E0584">
        <w:rPr>
          <w:rFonts w:asciiTheme="minorBidi" w:hAnsiTheme="minorBidi" w:cstheme="minorBidi"/>
          <w:color w:val="222222"/>
          <w:lang w:val="en-US"/>
        </w:rPr>
        <w:t>secukinumab</w:t>
      </w:r>
      <w:proofErr w:type="spellEnd"/>
      <w:r w:rsidRPr="008E0584">
        <w:rPr>
          <w:rFonts w:asciiTheme="minorBidi" w:hAnsiTheme="minorBidi" w:cstheme="minorBidi"/>
          <w:color w:val="222222"/>
          <w:lang w:val="en-US"/>
        </w:rPr>
        <w:t>: a case report. Chinese Medical Journal 2020;133(24). </w:t>
      </w:r>
      <w:r w:rsidR="00684525">
        <w:rPr>
          <w:rFonts w:asciiTheme="minorBidi" w:hAnsiTheme="minorBidi" w:cstheme="minorBidi"/>
          <w:color w:val="222222"/>
          <w:lang w:val="en-US"/>
        </w:rPr>
        <w:t xml:space="preserve"> </w:t>
      </w:r>
      <w:proofErr w:type="spellStart"/>
      <w:r w:rsidRPr="008E0584">
        <w:rPr>
          <w:rFonts w:asciiTheme="minorBidi" w:hAnsiTheme="minorBidi" w:cstheme="minorBidi"/>
          <w:color w:val="222222"/>
          <w:lang w:val="en-US"/>
        </w:rPr>
        <w:t>doi</w:t>
      </w:r>
      <w:proofErr w:type="spellEnd"/>
      <w:r w:rsidRPr="008E0584">
        <w:rPr>
          <w:rFonts w:asciiTheme="minorBidi" w:hAnsiTheme="minorBidi" w:cstheme="minorBidi"/>
          <w:color w:val="222222"/>
          <w:lang w:val="en-US"/>
        </w:rPr>
        <w:t>: 10.1097/CM9.0000000000001246</w:t>
      </w:r>
    </w:p>
    <w:p w14:paraId="544739B4" w14:textId="77777777" w:rsidR="008E0584" w:rsidRPr="008E0584" w:rsidRDefault="008E0584" w:rsidP="008E0584">
      <w:pPr>
        <w:pStyle w:val="NormalWeb"/>
        <w:rPr>
          <w:rFonts w:asciiTheme="minorBidi" w:hAnsiTheme="minorBidi" w:cstheme="minorBidi"/>
          <w:color w:val="222222"/>
          <w:lang w:val="en-US"/>
        </w:rPr>
      </w:pPr>
    </w:p>
    <w:p w14:paraId="4B7D847C" w14:textId="77777777" w:rsidR="008E0584" w:rsidRPr="008E0584" w:rsidRDefault="008E0584" w:rsidP="008E0584">
      <w:pPr>
        <w:pStyle w:val="NormalWeb"/>
        <w:rPr>
          <w:rFonts w:asciiTheme="minorBidi" w:hAnsiTheme="minorBidi" w:cstheme="minorBidi"/>
          <w:color w:val="222222"/>
          <w:lang w:val="en-US"/>
        </w:rPr>
      </w:pPr>
      <w:r w:rsidRPr="008E0584">
        <w:rPr>
          <w:rFonts w:asciiTheme="minorBidi" w:hAnsiTheme="minorBidi" w:cstheme="minorBidi"/>
          <w:color w:val="222222"/>
          <w:lang w:val="en-US"/>
        </w:rPr>
        <w:t>16-</w:t>
      </w:r>
      <w:r w:rsidRPr="008E0584">
        <w:rPr>
          <w:rStyle w:val="apple-converted-space"/>
          <w:rFonts w:asciiTheme="minorBidi" w:hAnsiTheme="minorBidi" w:cstheme="minorBidi"/>
          <w:color w:val="222222"/>
          <w:lang w:val="en-US"/>
        </w:rPr>
        <w:t> </w:t>
      </w:r>
      <w:hyperlink r:id="rId35" w:tgtFrame="_blank" w:history="1">
        <w:r w:rsidRPr="008E0584">
          <w:rPr>
            <w:rStyle w:val="Hyperlink"/>
            <w:rFonts w:asciiTheme="minorBidi" w:hAnsiTheme="minorBidi" w:cstheme="minorBidi"/>
            <w:color w:val="1155CC"/>
            <w:lang w:val="en-US"/>
          </w:rPr>
          <w:t xml:space="preserve">Laura </w:t>
        </w:r>
        <w:proofErr w:type="spellStart"/>
        <w:r w:rsidRPr="008E0584">
          <w:rPr>
            <w:rStyle w:val="Hyperlink"/>
            <w:rFonts w:asciiTheme="minorBidi" w:hAnsiTheme="minorBidi" w:cstheme="minorBidi"/>
            <w:color w:val="1155CC"/>
            <w:lang w:val="en-US"/>
          </w:rPr>
          <w:t>Țiburcă</w:t>
        </w:r>
        <w:proofErr w:type="spellEnd"/>
      </w:hyperlink>
      <w:r w:rsidRPr="008E0584">
        <w:rPr>
          <w:rStyle w:val="apple-converted-space"/>
          <w:rFonts w:asciiTheme="minorBidi" w:hAnsiTheme="minorBidi" w:cstheme="minorBidi"/>
          <w:color w:val="222222"/>
          <w:lang w:val="en-US"/>
        </w:rPr>
        <w:t> </w:t>
      </w:r>
      <w:r w:rsidRPr="008E0584">
        <w:rPr>
          <w:rFonts w:asciiTheme="minorBidi" w:hAnsiTheme="minorBidi" w:cstheme="minorBidi"/>
          <w:color w:val="222222"/>
          <w:lang w:val="en-US"/>
        </w:rPr>
        <w:t xml:space="preserve">et al , The Treatment with Interleukin 17 Inhibitors and Immune-Mediated Inflammatory Diseases. Curr Issues Mol Biol. 2022 Apr 26;44(5):1851–1866. </w:t>
      </w:r>
      <w:proofErr w:type="spellStart"/>
      <w:r w:rsidRPr="008E0584">
        <w:rPr>
          <w:rFonts w:asciiTheme="minorBidi" w:hAnsiTheme="minorBidi" w:cstheme="minorBidi"/>
          <w:color w:val="222222"/>
          <w:lang w:val="en-US"/>
        </w:rPr>
        <w:t>doi</w:t>
      </w:r>
      <w:proofErr w:type="spellEnd"/>
      <w:r w:rsidRPr="008E0584">
        <w:rPr>
          <w:rFonts w:asciiTheme="minorBidi" w:hAnsiTheme="minorBidi" w:cstheme="minorBidi"/>
          <w:color w:val="222222"/>
          <w:lang w:val="en-US"/>
        </w:rPr>
        <w:t>:</w:t>
      </w:r>
      <w:r w:rsidRPr="008E0584">
        <w:rPr>
          <w:rStyle w:val="apple-converted-space"/>
          <w:rFonts w:asciiTheme="minorBidi" w:hAnsiTheme="minorBidi" w:cstheme="minorBidi"/>
          <w:color w:val="222222"/>
          <w:lang w:val="en-US"/>
        </w:rPr>
        <w:t> </w:t>
      </w:r>
      <w:hyperlink r:id="rId36" w:tgtFrame="_blank" w:history="1">
        <w:r w:rsidRPr="008E0584">
          <w:rPr>
            <w:rStyle w:val="Hyperlink"/>
            <w:rFonts w:asciiTheme="minorBidi" w:hAnsiTheme="minorBidi" w:cstheme="minorBidi"/>
            <w:color w:val="1155CC"/>
            <w:lang w:val="en-US"/>
          </w:rPr>
          <w:t>10.3390/cimb44050127</w:t>
        </w:r>
      </w:hyperlink>
    </w:p>
    <w:p w14:paraId="29505793" w14:textId="77777777" w:rsidR="008E0584" w:rsidRPr="008E0584" w:rsidRDefault="008E0584" w:rsidP="00684525">
      <w:pPr>
        <w:pStyle w:val="NormalWeb"/>
        <w:rPr>
          <w:rFonts w:asciiTheme="minorBidi" w:hAnsiTheme="minorBidi" w:cstheme="minorBidi"/>
          <w:color w:val="222222"/>
          <w:lang w:val="en-US"/>
        </w:rPr>
      </w:pPr>
      <w:r w:rsidRPr="008E0584">
        <w:rPr>
          <w:rFonts w:asciiTheme="minorBidi" w:hAnsiTheme="minorBidi" w:cstheme="minorBidi"/>
          <w:color w:val="222222"/>
          <w:lang w:val="en-US"/>
        </w:rPr>
        <w:t> 17- Alan Menter et al , Pustular Psoriasis: A Narrative Review of Recent Developments in Pathophysiology and Therapeutic Options</w:t>
      </w:r>
      <w:r w:rsidR="00684525">
        <w:rPr>
          <w:rFonts w:asciiTheme="minorBidi" w:hAnsiTheme="minorBidi" w:cstheme="minorBidi"/>
          <w:color w:val="222222"/>
          <w:lang w:val="en-US"/>
        </w:rPr>
        <w:t xml:space="preserve">. </w:t>
      </w:r>
      <w:r w:rsidRPr="008E0584">
        <w:rPr>
          <w:rFonts w:asciiTheme="minorBidi" w:hAnsiTheme="minorBidi" w:cstheme="minorBidi"/>
          <w:color w:val="222222"/>
          <w:lang w:val="en-US"/>
        </w:rPr>
        <w:t>Dermatol Ther (</w:t>
      </w:r>
      <w:proofErr w:type="spellStart"/>
      <w:r w:rsidRPr="008E0584">
        <w:rPr>
          <w:rFonts w:asciiTheme="minorBidi" w:hAnsiTheme="minorBidi" w:cstheme="minorBidi"/>
          <w:color w:val="222222"/>
          <w:lang w:val="en-US"/>
        </w:rPr>
        <w:t>Heidelb</w:t>
      </w:r>
      <w:proofErr w:type="spellEnd"/>
      <w:r w:rsidRPr="008E0584">
        <w:rPr>
          <w:rFonts w:asciiTheme="minorBidi" w:hAnsiTheme="minorBidi" w:cstheme="minorBidi"/>
          <w:color w:val="222222"/>
          <w:lang w:val="en-US"/>
        </w:rPr>
        <w:t>) (2021) 11:1917–1929</w:t>
      </w:r>
      <w:r w:rsidR="00684525">
        <w:rPr>
          <w:rFonts w:asciiTheme="minorBidi" w:hAnsiTheme="minorBidi" w:cstheme="minorBidi"/>
          <w:color w:val="222222"/>
          <w:lang w:val="en-US"/>
        </w:rPr>
        <w:t xml:space="preserve"> </w:t>
      </w:r>
      <w:hyperlink r:id="rId37" w:history="1">
        <w:r w:rsidR="00684525" w:rsidRPr="00062233">
          <w:rPr>
            <w:rStyle w:val="Hyperlink"/>
            <w:rFonts w:asciiTheme="minorBidi" w:hAnsiTheme="minorBidi" w:cstheme="minorBidi"/>
            <w:lang w:val="en-US"/>
          </w:rPr>
          <w:t>https://doi.org/10.1007/s13555-021-00612-x</w:t>
        </w:r>
      </w:hyperlink>
    </w:p>
    <w:p w14:paraId="0A3C63AB" w14:textId="77777777" w:rsidR="008E0584" w:rsidRPr="008E0584" w:rsidRDefault="008E0584" w:rsidP="008E0584">
      <w:pPr>
        <w:pStyle w:val="NormalWeb"/>
        <w:rPr>
          <w:rFonts w:asciiTheme="minorBidi" w:hAnsiTheme="minorBidi" w:cstheme="minorBidi"/>
          <w:color w:val="222222"/>
          <w:lang w:val="en-US"/>
        </w:rPr>
      </w:pPr>
    </w:p>
    <w:p w14:paraId="49C8529D" w14:textId="77777777" w:rsidR="008E0584" w:rsidRPr="008E0584" w:rsidRDefault="008E0584" w:rsidP="00684525">
      <w:pPr>
        <w:pStyle w:val="NormalWeb"/>
        <w:rPr>
          <w:rFonts w:asciiTheme="minorBidi" w:hAnsiTheme="minorBidi" w:cstheme="minorBidi"/>
          <w:color w:val="222222"/>
          <w:lang w:val="en-US"/>
        </w:rPr>
      </w:pPr>
      <w:r w:rsidRPr="008E0584">
        <w:rPr>
          <w:rFonts w:asciiTheme="minorBidi" w:hAnsiTheme="minorBidi" w:cstheme="minorBidi"/>
          <w:color w:val="222222"/>
          <w:lang w:val="en-US"/>
        </w:rPr>
        <w:t xml:space="preserve">18- James G. Krueger et al , IL-17A inhibition by </w:t>
      </w:r>
      <w:proofErr w:type="spellStart"/>
      <w:r w:rsidRPr="008E0584">
        <w:rPr>
          <w:rFonts w:asciiTheme="minorBidi" w:hAnsiTheme="minorBidi" w:cstheme="minorBidi"/>
          <w:color w:val="222222"/>
          <w:lang w:val="en-US"/>
        </w:rPr>
        <w:t>secukinumab</w:t>
      </w:r>
      <w:proofErr w:type="spellEnd"/>
      <w:r w:rsidRPr="008E0584">
        <w:rPr>
          <w:rFonts w:asciiTheme="minorBidi" w:hAnsiTheme="minorBidi" w:cstheme="minorBidi"/>
          <w:color w:val="222222"/>
          <w:lang w:val="en-US"/>
        </w:rPr>
        <w:t xml:space="preserve"> induces early clinical, histopathologic, and molecular</w:t>
      </w:r>
      <w:r w:rsidR="00684525">
        <w:rPr>
          <w:rFonts w:asciiTheme="minorBidi" w:hAnsiTheme="minorBidi" w:cstheme="minorBidi"/>
          <w:color w:val="222222"/>
          <w:lang w:val="en-US"/>
        </w:rPr>
        <w:t xml:space="preserve"> </w:t>
      </w:r>
      <w:r w:rsidRPr="008E0584">
        <w:rPr>
          <w:rFonts w:asciiTheme="minorBidi" w:hAnsiTheme="minorBidi" w:cstheme="minorBidi"/>
          <w:color w:val="222222"/>
          <w:lang w:val="en-US"/>
        </w:rPr>
        <w:t>resolution of psoriasis.</w:t>
      </w:r>
      <w:r w:rsidRPr="008E0584">
        <w:rPr>
          <w:rStyle w:val="apple-converted-space"/>
          <w:rFonts w:asciiTheme="minorBidi" w:hAnsiTheme="minorBidi" w:cstheme="minorBidi"/>
          <w:color w:val="222222"/>
          <w:lang w:val="en-US"/>
        </w:rPr>
        <w:t> </w:t>
      </w:r>
      <w:hyperlink r:id="rId38" w:tgtFrame="_blank" w:history="1">
        <w:r w:rsidRPr="008E0584">
          <w:rPr>
            <w:rStyle w:val="Hyperlink"/>
            <w:rFonts w:asciiTheme="minorBidi" w:hAnsiTheme="minorBidi" w:cstheme="minorBidi"/>
            <w:color w:val="1155CC"/>
            <w:lang w:val="en-US"/>
          </w:rPr>
          <w:t>Journal of Allergy and Clinical Immunology</w:t>
        </w:r>
      </w:hyperlink>
      <w:r w:rsidRPr="008E0584">
        <w:rPr>
          <w:rStyle w:val="apple-converted-space"/>
          <w:rFonts w:asciiTheme="minorBidi" w:hAnsiTheme="minorBidi" w:cstheme="minorBidi"/>
          <w:color w:val="222222"/>
          <w:lang w:val="en-US"/>
        </w:rPr>
        <w:t> </w:t>
      </w:r>
      <w:hyperlink r:id="rId39" w:tgtFrame="_blank" w:history="1">
        <w:r w:rsidRPr="008E0584">
          <w:rPr>
            <w:rStyle w:val="Hyperlink"/>
            <w:rFonts w:asciiTheme="minorBidi" w:hAnsiTheme="minorBidi" w:cstheme="minorBidi"/>
            <w:color w:val="1155CC"/>
            <w:lang w:val="en-US"/>
          </w:rPr>
          <w:t>Volume 144, Issue 3</w:t>
        </w:r>
      </w:hyperlink>
      <w:r w:rsidRPr="008E0584">
        <w:rPr>
          <w:rFonts w:asciiTheme="minorBidi" w:hAnsiTheme="minorBidi" w:cstheme="minorBidi"/>
          <w:color w:val="222222"/>
          <w:lang w:val="en-US"/>
        </w:rPr>
        <w:t>, September 2019, Pages 750-763. </w:t>
      </w:r>
      <w:hyperlink r:id="rId40" w:history="1">
        <w:r w:rsidR="00684525" w:rsidRPr="00062233">
          <w:rPr>
            <w:rStyle w:val="Hyperlink"/>
            <w:rFonts w:asciiTheme="minorBidi" w:hAnsiTheme="minorBidi" w:cstheme="minorBidi"/>
            <w:lang w:val="en-US"/>
          </w:rPr>
          <w:t>https://doi.org/10.1016/j.jaci.2019.04.029</w:t>
        </w:r>
      </w:hyperlink>
    </w:p>
    <w:p w14:paraId="2516336B" w14:textId="77777777" w:rsidR="008E0584" w:rsidRPr="008E0584" w:rsidRDefault="008E0584" w:rsidP="008E0584">
      <w:pPr>
        <w:pStyle w:val="NormalWeb"/>
        <w:rPr>
          <w:rFonts w:asciiTheme="minorBidi" w:hAnsiTheme="minorBidi" w:cstheme="minorBidi"/>
          <w:color w:val="222222"/>
          <w:lang w:val="en-US"/>
        </w:rPr>
      </w:pPr>
    </w:p>
    <w:p w14:paraId="5FBF564D" w14:textId="77777777" w:rsidR="008E0584" w:rsidRPr="008E0584" w:rsidRDefault="008E0584" w:rsidP="00684525">
      <w:pPr>
        <w:pStyle w:val="NormalWeb"/>
        <w:rPr>
          <w:rFonts w:asciiTheme="minorBidi" w:hAnsiTheme="minorBidi" w:cstheme="minorBidi"/>
          <w:color w:val="222222"/>
          <w:lang w:val="en-US"/>
        </w:rPr>
      </w:pPr>
      <w:r w:rsidRPr="008E0584">
        <w:rPr>
          <w:rFonts w:asciiTheme="minorBidi" w:hAnsiTheme="minorBidi" w:cstheme="minorBidi"/>
          <w:color w:val="222222"/>
          <w:lang w:val="en-US"/>
        </w:rPr>
        <w:t xml:space="preserve">19 - Özgür AKGÜL et al , New-Onset Palmoplantar Psoriasis During Treatment of Active Ankylosing Spondylitis with TNF-alpha Blocking Agent Adalimumab. Turk J </w:t>
      </w:r>
      <w:proofErr w:type="spellStart"/>
      <w:r w:rsidRPr="008E0584">
        <w:rPr>
          <w:rFonts w:asciiTheme="minorBidi" w:hAnsiTheme="minorBidi" w:cstheme="minorBidi"/>
          <w:color w:val="222222"/>
          <w:lang w:val="en-US"/>
        </w:rPr>
        <w:t>Rheumatol</w:t>
      </w:r>
      <w:proofErr w:type="spellEnd"/>
      <w:r w:rsidRPr="008E0584">
        <w:rPr>
          <w:rFonts w:asciiTheme="minorBidi" w:hAnsiTheme="minorBidi" w:cstheme="minorBidi"/>
          <w:color w:val="222222"/>
          <w:lang w:val="en-US"/>
        </w:rPr>
        <w:t xml:space="preserve"> 2011;26(3):269-270</w:t>
      </w:r>
      <w:r w:rsidR="00684525">
        <w:rPr>
          <w:rFonts w:asciiTheme="minorBidi" w:hAnsiTheme="minorBidi" w:cstheme="minorBidi"/>
          <w:color w:val="222222"/>
          <w:lang w:val="en-US"/>
        </w:rPr>
        <w:t xml:space="preserve">. </w:t>
      </w:r>
      <w:proofErr w:type="spellStart"/>
      <w:r w:rsidRPr="008E0584">
        <w:rPr>
          <w:rFonts w:asciiTheme="minorBidi" w:hAnsiTheme="minorBidi" w:cstheme="minorBidi"/>
          <w:color w:val="222222"/>
          <w:lang w:val="en-US"/>
        </w:rPr>
        <w:t>doi</w:t>
      </w:r>
      <w:proofErr w:type="spellEnd"/>
      <w:r w:rsidRPr="008E0584">
        <w:rPr>
          <w:rFonts w:asciiTheme="minorBidi" w:hAnsiTheme="minorBidi" w:cstheme="minorBidi"/>
          <w:color w:val="222222"/>
          <w:lang w:val="en-US"/>
        </w:rPr>
        <w:t>: 10.5152/tjr.2011.044</w:t>
      </w:r>
    </w:p>
    <w:p w14:paraId="4A5EBE49" w14:textId="77777777" w:rsidR="008E0584" w:rsidRPr="008E0584" w:rsidRDefault="008E0584" w:rsidP="008E0584">
      <w:pPr>
        <w:pStyle w:val="NormalWeb"/>
        <w:rPr>
          <w:rFonts w:asciiTheme="minorBidi" w:hAnsiTheme="minorBidi" w:cstheme="minorBidi"/>
          <w:color w:val="222222"/>
          <w:lang w:val="en-US"/>
        </w:rPr>
      </w:pPr>
    </w:p>
    <w:p w14:paraId="2FB6C918" w14:textId="77777777" w:rsidR="008E0584" w:rsidRPr="008E0584" w:rsidRDefault="008E0584" w:rsidP="008E0584">
      <w:pPr>
        <w:pStyle w:val="NormalWeb"/>
        <w:rPr>
          <w:rFonts w:asciiTheme="minorBidi" w:hAnsiTheme="minorBidi" w:cstheme="minorBidi"/>
          <w:color w:val="222222"/>
          <w:lang w:val="en-US"/>
        </w:rPr>
      </w:pPr>
      <w:r w:rsidRPr="008E0584">
        <w:rPr>
          <w:rFonts w:asciiTheme="minorBidi" w:hAnsiTheme="minorBidi" w:cstheme="minorBidi"/>
          <w:color w:val="222222"/>
          <w:lang w:val="en-US"/>
        </w:rPr>
        <w:t>20 -</w:t>
      </w:r>
      <w:r w:rsidRPr="008E0584">
        <w:rPr>
          <w:rStyle w:val="apple-converted-space"/>
          <w:rFonts w:asciiTheme="minorBidi" w:hAnsiTheme="minorBidi" w:cstheme="minorBidi"/>
          <w:color w:val="222222"/>
          <w:lang w:val="en-US"/>
        </w:rPr>
        <w:t> </w:t>
      </w:r>
      <w:hyperlink r:id="rId41" w:tgtFrame="_blank" w:history="1">
        <w:r w:rsidRPr="008E0584">
          <w:rPr>
            <w:rStyle w:val="Hyperlink"/>
            <w:rFonts w:asciiTheme="minorBidi" w:hAnsiTheme="minorBidi" w:cstheme="minorBidi"/>
            <w:color w:val="1155CC"/>
            <w:lang w:val="en-US"/>
          </w:rPr>
          <w:t>Jillian Frieder</w:t>
        </w:r>
      </w:hyperlink>
      <w:r w:rsidRPr="008E0584">
        <w:rPr>
          <w:rStyle w:val="apple-converted-space"/>
          <w:rFonts w:asciiTheme="minorBidi" w:hAnsiTheme="minorBidi" w:cstheme="minorBidi"/>
          <w:color w:val="222222"/>
          <w:lang w:val="en-US"/>
        </w:rPr>
        <w:t> </w:t>
      </w:r>
      <w:r w:rsidRPr="008E0584">
        <w:rPr>
          <w:rFonts w:asciiTheme="minorBidi" w:hAnsiTheme="minorBidi" w:cstheme="minorBidi"/>
          <w:color w:val="222222"/>
          <w:lang w:val="en-US"/>
        </w:rPr>
        <w:t xml:space="preserve">et al,  </w:t>
      </w:r>
      <w:proofErr w:type="spellStart"/>
      <w:r w:rsidRPr="008E0584">
        <w:rPr>
          <w:rFonts w:asciiTheme="minorBidi" w:hAnsiTheme="minorBidi" w:cstheme="minorBidi"/>
          <w:color w:val="222222"/>
          <w:lang w:val="en-US"/>
        </w:rPr>
        <w:t>Secukinumab</w:t>
      </w:r>
      <w:proofErr w:type="spellEnd"/>
      <w:r w:rsidRPr="008E0584">
        <w:rPr>
          <w:rFonts w:asciiTheme="minorBidi" w:hAnsiTheme="minorBidi" w:cstheme="minorBidi"/>
          <w:color w:val="222222"/>
          <w:lang w:val="en-US"/>
        </w:rPr>
        <w:t xml:space="preserve">: a review of the anti-IL-17A biologic for the treatment of psoriasis. Ther Adv Chronic Dis. 2017 Nov 16;9(1):5–21. </w:t>
      </w:r>
      <w:proofErr w:type="spellStart"/>
      <w:r w:rsidRPr="008E0584">
        <w:rPr>
          <w:rFonts w:asciiTheme="minorBidi" w:hAnsiTheme="minorBidi" w:cstheme="minorBidi"/>
          <w:color w:val="222222"/>
          <w:lang w:val="en-US"/>
        </w:rPr>
        <w:t>doi</w:t>
      </w:r>
      <w:proofErr w:type="spellEnd"/>
      <w:r w:rsidRPr="008E0584">
        <w:rPr>
          <w:rFonts w:asciiTheme="minorBidi" w:hAnsiTheme="minorBidi" w:cstheme="minorBidi"/>
          <w:color w:val="222222"/>
          <w:lang w:val="en-US"/>
        </w:rPr>
        <w:t>:</w:t>
      </w:r>
      <w:r w:rsidRPr="008E0584">
        <w:rPr>
          <w:rStyle w:val="apple-converted-space"/>
          <w:rFonts w:asciiTheme="minorBidi" w:hAnsiTheme="minorBidi" w:cstheme="minorBidi"/>
          <w:color w:val="222222"/>
          <w:lang w:val="en-US"/>
        </w:rPr>
        <w:t> </w:t>
      </w:r>
      <w:hyperlink r:id="rId42" w:tgtFrame="_blank" w:history="1">
        <w:r w:rsidRPr="008E0584">
          <w:rPr>
            <w:rStyle w:val="Hyperlink"/>
            <w:rFonts w:asciiTheme="minorBidi" w:hAnsiTheme="minorBidi" w:cstheme="minorBidi"/>
            <w:color w:val="1155CC"/>
            <w:lang w:val="en-US"/>
          </w:rPr>
          <w:t>10.1177/2040622317738910</w:t>
        </w:r>
      </w:hyperlink>
    </w:p>
    <w:p w14:paraId="124D57A4" w14:textId="77777777" w:rsidR="008E0584" w:rsidRPr="008E0584" w:rsidRDefault="008E0584" w:rsidP="008E0584">
      <w:pPr>
        <w:pStyle w:val="NormalWeb"/>
        <w:rPr>
          <w:rFonts w:asciiTheme="minorBidi" w:hAnsiTheme="minorBidi" w:cstheme="minorBidi"/>
          <w:color w:val="222222"/>
          <w:lang w:val="en-US"/>
        </w:rPr>
      </w:pPr>
    </w:p>
    <w:p w14:paraId="3C27F1B7" w14:textId="77777777" w:rsidR="008E0584" w:rsidRPr="008E0584" w:rsidRDefault="008E0584" w:rsidP="008E0584">
      <w:pPr>
        <w:pStyle w:val="NormalWeb"/>
        <w:rPr>
          <w:rFonts w:asciiTheme="minorBidi" w:hAnsiTheme="minorBidi" w:cstheme="minorBidi"/>
          <w:color w:val="222222"/>
          <w:lang w:val="en-US"/>
        </w:rPr>
      </w:pPr>
      <w:r w:rsidRPr="008E0584">
        <w:rPr>
          <w:rFonts w:asciiTheme="minorBidi" w:hAnsiTheme="minorBidi" w:cstheme="minorBidi"/>
          <w:color w:val="222222"/>
          <w:lang w:val="en-US"/>
        </w:rPr>
        <w:t>21 -</w:t>
      </w:r>
      <w:r w:rsidRPr="008E0584">
        <w:rPr>
          <w:rStyle w:val="apple-converted-space"/>
          <w:rFonts w:asciiTheme="minorBidi" w:hAnsiTheme="minorBidi" w:cstheme="minorBidi"/>
          <w:color w:val="222222"/>
          <w:lang w:val="en-US"/>
        </w:rPr>
        <w:t> </w:t>
      </w:r>
      <w:hyperlink r:id="rId43" w:tgtFrame="_blank" w:history="1">
        <w:r w:rsidRPr="008E0584">
          <w:rPr>
            <w:rStyle w:val="Hyperlink"/>
            <w:rFonts w:asciiTheme="minorBidi" w:hAnsiTheme="minorBidi" w:cstheme="minorBidi"/>
            <w:color w:val="1155CC"/>
            <w:lang w:val="en-US"/>
          </w:rPr>
          <w:t>Gillian C. de Gannes</w:t>
        </w:r>
      </w:hyperlink>
      <w:r w:rsidRPr="008E0584">
        <w:rPr>
          <w:rStyle w:val="apple-converted-space"/>
          <w:rFonts w:asciiTheme="minorBidi" w:hAnsiTheme="minorBidi" w:cstheme="minorBidi"/>
          <w:color w:val="222222"/>
          <w:lang w:val="en-US"/>
        </w:rPr>
        <w:t> </w:t>
      </w:r>
      <w:r w:rsidRPr="008E0584">
        <w:rPr>
          <w:rFonts w:asciiTheme="minorBidi" w:hAnsiTheme="minorBidi" w:cstheme="minorBidi"/>
          <w:color w:val="222222"/>
          <w:lang w:val="en-US"/>
        </w:rPr>
        <w:t>et al ,Psoriasis and Pustular Dermatitis Triggered by TNF-</w:t>
      </w:r>
      <w:r w:rsidRPr="008E0584">
        <w:rPr>
          <w:rFonts w:asciiTheme="minorBidi" w:hAnsiTheme="minorBidi" w:cstheme="minorBidi"/>
          <w:color w:val="222222"/>
        </w:rPr>
        <w:t>α</w:t>
      </w:r>
      <w:r w:rsidRPr="008E0584">
        <w:rPr>
          <w:rFonts w:asciiTheme="minorBidi" w:hAnsiTheme="minorBidi" w:cstheme="minorBidi"/>
          <w:color w:val="222222"/>
          <w:lang w:val="en-US"/>
        </w:rPr>
        <w:t xml:space="preserve"> Inhibitors in Patients With Rheumatologic Conditions . Arch Dermatol. 2007;143(2):223-231. doi:10.1001/archderm.143.2.223</w:t>
      </w:r>
    </w:p>
    <w:p w14:paraId="6370C9BA" w14:textId="77777777" w:rsidR="008E0584" w:rsidRPr="008E0584" w:rsidRDefault="008E0584" w:rsidP="008E0584">
      <w:pPr>
        <w:pStyle w:val="NormalWeb"/>
        <w:rPr>
          <w:rFonts w:asciiTheme="minorBidi" w:hAnsiTheme="minorBidi" w:cstheme="minorBidi"/>
          <w:color w:val="222222"/>
          <w:lang w:val="en-US"/>
        </w:rPr>
      </w:pPr>
    </w:p>
    <w:p w14:paraId="78F7D303" w14:textId="77777777" w:rsidR="008E0584" w:rsidRPr="008E0584" w:rsidRDefault="008E0584" w:rsidP="00684525">
      <w:pPr>
        <w:pStyle w:val="NormalWeb"/>
        <w:rPr>
          <w:rFonts w:asciiTheme="minorBidi" w:hAnsiTheme="minorBidi" w:cstheme="minorBidi"/>
          <w:color w:val="222222"/>
          <w:lang w:val="en-US"/>
        </w:rPr>
      </w:pPr>
      <w:r w:rsidRPr="008E0584">
        <w:rPr>
          <w:rFonts w:asciiTheme="minorBidi" w:hAnsiTheme="minorBidi" w:cstheme="minorBidi"/>
          <w:color w:val="222222"/>
          <w:lang w:val="en-US"/>
        </w:rPr>
        <w:lastRenderedPageBreak/>
        <w:t xml:space="preserve">22- Kamran </w:t>
      </w:r>
      <w:proofErr w:type="spellStart"/>
      <w:r w:rsidRPr="008E0584">
        <w:rPr>
          <w:rFonts w:asciiTheme="minorBidi" w:hAnsiTheme="minorBidi" w:cstheme="minorBidi"/>
          <w:color w:val="222222"/>
          <w:lang w:val="en-US"/>
        </w:rPr>
        <w:t>Ghoreschi</w:t>
      </w:r>
      <w:proofErr w:type="spellEnd"/>
      <w:r w:rsidRPr="008E0584">
        <w:rPr>
          <w:rFonts w:asciiTheme="minorBidi" w:hAnsiTheme="minorBidi" w:cstheme="minorBidi"/>
          <w:color w:val="222222"/>
          <w:lang w:val="en-US"/>
        </w:rPr>
        <w:t xml:space="preserve"> et al ,  Therapeutics targeting the IL-23 and IL-17 pathway in psoriasis .</w:t>
      </w:r>
      <w:r w:rsidRPr="008E0584">
        <w:rPr>
          <w:rStyle w:val="apple-converted-space"/>
          <w:rFonts w:asciiTheme="minorBidi" w:hAnsiTheme="minorBidi" w:cstheme="minorBidi"/>
          <w:color w:val="222222"/>
          <w:lang w:val="en-US"/>
        </w:rPr>
        <w:t> </w:t>
      </w:r>
      <w:hyperlink r:id="rId44" w:tgtFrame="_blank" w:history="1">
        <w:r w:rsidRPr="008E0584">
          <w:rPr>
            <w:rStyle w:val="Hyperlink"/>
            <w:rFonts w:asciiTheme="minorBidi" w:hAnsiTheme="minorBidi" w:cstheme="minorBidi"/>
            <w:color w:val="1155CC"/>
            <w:lang w:val="en-US"/>
          </w:rPr>
          <w:t>The Lancet</w:t>
        </w:r>
      </w:hyperlink>
      <w:r w:rsidRPr="008E0584">
        <w:rPr>
          <w:rStyle w:val="apple-converted-space"/>
          <w:rFonts w:asciiTheme="minorBidi" w:hAnsiTheme="minorBidi" w:cstheme="minorBidi"/>
          <w:color w:val="222222"/>
          <w:lang w:val="en-US"/>
        </w:rPr>
        <w:t> </w:t>
      </w:r>
      <w:hyperlink r:id="rId45" w:tgtFrame="_blank" w:history="1">
        <w:r w:rsidRPr="008E0584">
          <w:rPr>
            <w:rStyle w:val="Hyperlink"/>
            <w:rFonts w:asciiTheme="minorBidi" w:hAnsiTheme="minorBidi" w:cstheme="minorBidi"/>
            <w:color w:val="1155CC"/>
            <w:lang w:val="en-US"/>
          </w:rPr>
          <w:t>Volume 397, Issue 10275</w:t>
        </w:r>
      </w:hyperlink>
      <w:r w:rsidRPr="008E0584">
        <w:rPr>
          <w:rFonts w:asciiTheme="minorBidi" w:hAnsiTheme="minorBidi" w:cstheme="minorBidi"/>
          <w:color w:val="222222"/>
          <w:lang w:val="en-US"/>
        </w:rPr>
        <w:t>, 20–26 February 2021, Pages 754-766</w:t>
      </w:r>
      <w:r w:rsidR="00684525">
        <w:rPr>
          <w:rFonts w:asciiTheme="minorBidi" w:hAnsiTheme="minorBidi" w:cstheme="minorBidi"/>
          <w:color w:val="222222"/>
          <w:lang w:val="en-US"/>
        </w:rPr>
        <w:t xml:space="preserve"> .</w:t>
      </w:r>
      <w:hyperlink r:id="rId46" w:history="1">
        <w:r w:rsidR="00684525" w:rsidRPr="00062233">
          <w:rPr>
            <w:rStyle w:val="Hyperlink"/>
            <w:rFonts w:asciiTheme="minorBidi" w:hAnsiTheme="minorBidi" w:cstheme="minorBidi"/>
            <w:lang w:val="en-US"/>
          </w:rPr>
          <w:t>https://doi.org/10.1016/S0140-6736(21)00184-7</w:t>
        </w:r>
      </w:hyperlink>
    </w:p>
    <w:p w14:paraId="56671040" w14:textId="77777777" w:rsidR="008E0584" w:rsidRPr="008E0584" w:rsidRDefault="008E0584" w:rsidP="008E0584">
      <w:pPr>
        <w:pStyle w:val="NormalWeb"/>
        <w:rPr>
          <w:rFonts w:asciiTheme="minorBidi" w:hAnsiTheme="minorBidi" w:cstheme="minorBidi"/>
          <w:color w:val="222222"/>
          <w:lang w:val="en-US"/>
        </w:rPr>
      </w:pPr>
    </w:p>
    <w:p w14:paraId="4AE75252" w14:textId="77777777" w:rsidR="008E0584" w:rsidRPr="008E0584" w:rsidRDefault="008E0584" w:rsidP="00684525">
      <w:pPr>
        <w:pStyle w:val="NormalWeb"/>
        <w:rPr>
          <w:rFonts w:asciiTheme="minorBidi" w:hAnsiTheme="minorBidi" w:cstheme="minorBidi"/>
          <w:color w:val="222222"/>
          <w:lang w:val="en-US"/>
        </w:rPr>
      </w:pPr>
      <w:r w:rsidRPr="008E0584">
        <w:rPr>
          <w:rFonts w:asciiTheme="minorBidi" w:hAnsiTheme="minorBidi" w:cstheme="minorBidi"/>
          <w:color w:val="222222"/>
          <w:lang w:val="en-US"/>
        </w:rPr>
        <w:t xml:space="preserve">23 - </w:t>
      </w:r>
      <w:proofErr w:type="spellStart"/>
      <w:r w:rsidRPr="008E0584">
        <w:rPr>
          <w:rFonts w:asciiTheme="minorBidi" w:hAnsiTheme="minorBidi" w:cstheme="minorBidi"/>
          <w:color w:val="222222"/>
          <w:lang w:val="en-US"/>
        </w:rPr>
        <w:t>Rotraut</w:t>
      </w:r>
      <w:proofErr w:type="spellEnd"/>
      <w:r w:rsidRPr="008E0584">
        <w:rPr>
          <w:rFonts w:asciiTheme="minorBidi" w:hAnsiTheme="minorBidi" w:cstheme="minorBidi"/>
          <w:color w:val="222222"/>
          <w:lang w:val="en-US"/>
        </w:rPr>
        <w:t xml:space="preserve"> Mössner et al, Manifestation of palmoplantar pustulosis during or after infliximab therapy for plaque-type psoriasis: report on five cases.</w:t>
      </w:r>
      <w:r w:rsidR="00684525">
        <w:rPr>
          <w:rFonts w:asciiTheme="minorBidi" w:hAnsiTheme="minorBidi" w:cstheme="minorBidi"/>
          <w:color w:val="222222"/>
          <w:lang w:val="en-US"/>
        </w:rPr>
        <w:t xml:space="preserve"> </w:t>
      </w:r>
      <w:r w:rsidRPr="008E0584">
        <w:rPr>
          <w:rFonts w:asciiTheme="minorBidi" w:hAnsiTheme="minorBidi" w:cstheme="minorBidi"/>
          <w:color w:val="222222"/>
          <w:lang w:val="en-US"/>
        </w:rPr>
        <w:t>Arch Dermatol Res (2008) 300:101–105</w:t>
      </w:r>
      <w:r w:rsidR="00684525">
        <w:rPr>
          <w:rFonts w:asciiTheme="minorBidi" w:hAnsiTheme="minorBidi" w:cstheme="minorBidi"/>
          <w:color w:val="222222"/>
          <w:lang w:val="en-US"/>
        </w:rPr>
        <w:t xml:space="preserve">. </w:t>
      </w:r>
      <w:r w:rsidRPr="008E0584">
        <w:rPr>
          <w:rFonts w:asciiTheme="minorBidi" w:hAnsiTheme="minorBidi" w:cstheme="minorBidi"/>
          <w:color w:val="222222"/>
          <w:lang w:val="en-US"/>
        </w:rPr>
        <w:t>DOI 10.1007/s00403-008-0831-8.</w:t>
      </w:r>
    </w:p>
    <w:p w14:paraId="274E0349" w14:textId="77777777" w:rsidR="008E0584" w:rsidRPr="008E0584" w:rsidRDefault="008E0584" w:rsidP="008E0584">
      <w:pPr>
        <w:pStyle w:val="NormalWeb"/>
        <w:rPr>
          <w:rFonts w:asciiTheme="minorBidi" w:hAnsiTheme="minorBidi" w:cstheme="minorBidi"/>
          <w:color w:val="222222"/>
          <w:lang w:val="en-US"/>
        </w:rPr>
      </w:pPr>
    </w:p>
    <w:p w14:paraId="76E0C5C8" w14:textId="77777777" w:rsidR="008E0584" w:rsidRPr="008E0584" w:rsidRDefault="008E0584" w:rsidP="008E0584">
      <w:pPr>
        <w:pStyle w:val="NormalWeb"/>
        <w:rPr>
          <w:rFonts w:asciiTheme="minorBidi" w:hAnsiTheme="minorBidi" w:cstheme="minorBidi"/>
          <w:color w:val="222222"/>
        </w:rPr>
      </w:pPr>
      <w:r w:rsidRPr="008E0584">
        <w:rPr>
          <w:rFonts w:asciiTheme="minorBidi" w:hAnsiTheme="minorBidi" w:cstheme="minorBidi"/>
          <w:color w:val="222222"/>
          <w:lang w:val="en-US"/>
        </w:rPr>
        <w:t xml:space="preserve">24 - Wang J, Wang C, Liu L, Hong S, Ru Y, Sun X, Chen J, Zhang M, Lin N, Li B and Li X (2023) Adverse events associated with anti-IL-17 agents for psoriasis and psoriatic arthritis: a systematic scoping review. </w:t>
      </w:r>
      <w:r w:rsidRPr="008E0584">
        <w:rPr>
          <w:rFonts w:asciiTheme="minorBidi" w:hAnsiTheme="minorBidi" w:cstheme="minorBidi"/>
          <w:color w:val="222222"/>
        </w:rPr>
        <w:t xml:space="preserve">Front. </w:t>
      </w:r>
      <w:proofErr w:type="spellStart"/>
      <w:r w:rsidRPr="008E0584">
        <w:rPr>
          <w:rFonts w:asciiTheme="minorBidi" w:hAnsiTheme="minorBidi" w:cstheme="minorBidi"/>
          <w:color w:val="222222"/>
        </w:rPr>
        <w:t>Immunol</w:t>
      </w:r>
      <w:proofErr w:type="spellEnd"/>
      <w:r w:rsidRPr="008E0584">
        <w:rPr>
          <w:rFonts w:asciiTheme="minorBidi" w:hAnsiTheme="minorBidi" w:cstheme="minorBidi"/>
          <w:color w:val="222222"/>
        </w:rPr>
        <w:t xml:space="preserve">. 14:993057. </w:t>
      </w:r>
      <w:proofErr w:type="spellStart"/>
      <w:r w:rsidRPr="008E0584">
        <w:rPr>
          <w:rFonts w:asciiTheme="minorBidi" w:hAnsiTheme="minorBidi" w:cstheme="minorBidi"/>
          <w:color w:val="222222"/>
        </w:rPr>
        <w:t>doi</w:t>
      </w:r>
      <w:proofErr w:type="spellEnd"/>
      <w:r w:rsidRPr="008E0584">
        <w:rPr>
          <w:rFonts w:asciiTheme="minorBidi" w:hAnsiTheme="minorBidi" w:cstheme="minorBidi"/>
          <w:color w:val="222222"/>
        </w:rPr>
        <w:t>: 10.3389/fimmu.2023.993057</w:t>
      </w:r>
    </w:p>
    <w:p w14:paraId="281087B0" w14:textId="77777777" w:rsidR="008E0584" w:rsidRPr="008E0584" w:rsidRDefault="008E0584">
      <w:pPr>
        <w:rPr>
          <w:rFonts w:ascii="Arial" w:hAnsi="Arial" w:cs="Arial"/>
          <w:b/>
          <w:bCs/>
          <w:color w:val="222222"/>
          <w:sz w:val="28"/>
          <w:szCs w:val="28"/>
          <w:shd w:val="clear" w:color="auto" w:fill="FFFFFF"/>
        </w:rPr>
      </w:pPr>
    </w:p>
    <w:p w14:paraId="1D32327F" w14:textId="77777777" w:rsidR="007840FF" w:rsidRDefault="007840FF">
      <w:pPr>
        <w:rPr>
          <w:rFonts w:ascii="Arial" w:hAnsi="Arial" w:cs="Arial"/>
          <w:color w:val="222222"/>
          <w:shd w:val="clear" w:color="auto" w:fill="FFFFFF"/>
        </w:rPr>
      </w:pPr>
    </w:p>
    <w:p w14:paraId="29C7F786" w14:textId="77777777" w:rsidR="007840FF" w:rsidRDefault="007840FF">
      <w:pPr>
        <w:rPr>
          <w:rFonts w:ascii="Arial" w:hAnsi="Arial" w:cs="Arial"/>
          <w:color w:val="222222"/>
          <w:shd w:val="clear" w:color="auto" w:fill="FFFFFF"/>
        </w:rPr>
      </w:pPr>
    </w:p>
    <w:p w14:paraId="776F8ACC" w14:textId="77777777" w:rsidR="007840FF" w:rsidRDefault="007840FF">
      <w:pPr>
        <w:rPr>
          <w:rFonts w:ascii="Arial" w:hAnsi="Arial" w:cs="Arial"/>
          <w:color w:val="222222"/>
          <w:shd w:val="clear" w:color="auto" w:fill="FFFFFF"/>
        </w:rPr>
      </w:pPr>
    </w:p>
    <w:p w14:paraId="0D2C9A04" w14:textId="77777777" w:rsidR="007840FF" w:rsidRDefault="007840FF">
      <w:pPr>
        <w:rPr>
          <w:rFonts w:ascii="Arial" w:hAnsi="Arial" w:cs="Arial"/>
          <w:color w:val="222222"/>
          <w:shd w:val="clear" w:color="auto" w:fill="FFFFFF"/>
        </w:rPr>
      </w:pPr>
    </w:p>
    <w:sectPr w:rsidR="007840FF">
      <w:headerReference w:type="even" r:id="rId47"/>
      <w:headerReference w:type="default" r:id="rId48"/>
      <w:footerReference w:type="even" r:id="rId49"/>
      <w:footerReference w:type="default" r:id="rId50"/>
      <w:headerReference w:type="first" r:id="rId51"/>
      <w:footerReference w:type="first" r:id="rId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48A91" w14:textId="77777777" w:rsidR="00CA215A" w:rsidRDefault="00CA215A" w:rsidP="00256A30">
      <w:r>
        <w:separator/>
      </w:r>
    </w:p>
  </w:endnote>
  <w:endnote w:type="continuationSeparator" w:id="0">
    <w:p w14:paraId="43D6F9F4" w14:textId="77777777" w:rsidR="00CA215A" w:rsidRDefault="00CA215A" w:rsidP="00256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3B742" w14:textId="77777777" w:rsidR="00256A30" w:rsidRDefault="00256A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0439E" w14:textId="77777777" w:rsidR="00256A30" w:rsidRDefault="00256A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5D64C" w14:textId="77777777" w:rsidR="00256A30" w:rsidRDefault="00256A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B4879" w14:textId="77777777" w:rsidR="00CA215A" w:rsidRDefault="00CA215A" w:rsidP="00256A30">
      <w:r>
        <w:separator/>
      </w:r>
    </w:p>
  </w:footnote>
  <w:footnote w:type="continuationSeparator" w:id="0">
    <w:p w14:paraId="5BBEC8EF" w14:textId="77777777" w:rsidR="00CA215A" w:rsidRDefault="00CA215A" w:rsidP="00256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30CB7" w14:textId="3E774EBB" w:rsidR="00256A30" w:rsidRDefault="00256A30">
    <w:pPr>
      <w:pStyle w:val="Header"/>
    </w:pPr>
    <w:r>
      <w:rPr>
        <w:noProof/>
      </w:rPr>
      <w:pict w14:anchorId="2C511A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739438"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836D0" w14:textId="367AAD8D" w:rsidR="00256A30" w:rsidRDefault="00256A30">
    <w:pPr>
      <w:pStyle w:val="Header"/>
    </w:pPr>
    <w:r>
      <w:rPr>
        <w:noProof/>
      </w:rPr>
      <w:pict w14:anchorId="2E98C9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739439"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B331C" w14:textId="6FF32715" w:rsidR="00256A30" w:rsidRDefault="00256A30">
    <w:pPr>
      <w:pStyle w:val="Header"/>
    </w:pPr>
    <w:r>
      <w:rPr>
        <w:noProof/>
      </w:rPr>
      <w:pict w14:anchorId="289B7C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739437"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0FF"/>
    <w:rsid w:val="002421AD"/>
    <w:rsid w:val="00256A30"/>
    <w:rsid w:val="002C713A"/>
    <w:rsid w:val="00437894"/>
    <w:rsid w:val="00546358"/>
    <w:rsid w:val="00596D86"/>
    <w:rsid w:val="00684525"/>
    <w:rsid w:val="007840FF"/>
    <w:rsid w:val="007A6C9E"/>
    <w:rsid w:val="008E0584"/>
    <w:rsid w:val="00B4236A"/>
    <w:rsid w:val="00CA215A"/>
    <w:rsid w:val="00D142D5"/>
    <w:rsid w:val="00DA5D91"/>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D60F0C"/>
  <w15:chartTrackingRefBased/>
  <w15:docId w15:val="{CA9F78B7-8A0C-E14C-A434-042658F15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M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840FF"/>
  </w:style>
  <w:style w:type="character" w:styleId="Hyperlink">
    <w:name w:val="Hyperlink"/>
    <w:basedOn w:val="DefaultParagraphFont"/>
    <w:uiPriority w:val="99"/>
    <w:unhideWhenUsed/>
    <w:rsid w:val="007840FF"/>
    <w:rPr>
      <w:color w:val="0000FF"/>
      <w:u w:val="single"/>
    </w:rPr>
  </w:style>
  <w:style w:type="paragraph" w:styleId="NormalWeb">
    <w:name w:val="Normal (Web)"/>
    <w:basedOn w:val="Normal"/>
    <w:uiPriority w:val="99"/>
    <w:semiHidden/>
    <w:unhideWhenUsed/>
    <w:rsid w:val="008E0584"/>
    <w:pPr>
      <w:spacing w:before="100" w:beforeAutospacing="1" w:after="100" w:afterAutospacing="1"/>
    </w:pPr>
    <w:rPr>
      <w:rFonts w:ascii="Times New Roman" w:eastAsia="Times New Roman" w:hAnsi="Times New Roman" w:cs="Times New Roman"/>
      <w:kern w:val="0"/>
      <w:lang w:eastAsia="fr-FR"/>
      <w14:ligatures w14:val="none"/>
    </w:rPr>
  </w:style>
  <w:style w:type="character" w:styleId="FollowedHyperlink">
    <w:name w:val="FollowedHyperlink"/>
    <w:basedOn w:val="DefaultParagraphFont"/>
    <w:uiPriority w:val="99"/>
    <w:semiHidden/>
    <w:unhideWhenUsed/>
    <w:rsid w:val="008E0584"/>
    <w:rPr>
      <w:color w:val="954F72" w:themeColor="followedHyperlink"/>
      <w:u w:val="single"/>
    </w:rPr>
  </w:style>
  <w:style w:type="character" w:styleId="UnresolvedMention">
    <w:name w:val="Unresolved Mention"/>
    <w:basedOn w:val="DefaultParagraphFont"/>
    <w:uiPriority w:val="99"/>
    <w:semiHidden/>
    <w:unhideWhenUsed/>
    <w:rsid w:val="008E0584"/>
    <w:rPr>
      <w:color w:val="605E5C"/>
      <w:shd w:val="clear" w:color="auto" w:fill="E1DFDD"/>
    </w:rPr>
  </w:style>
  <w:style w:type="paragraph" w:styleId="HTMLPreformatted">
    <w:name w:val="HTML Preformatted"/>
    <w:basedOn w:val="Normal"/>
    <w:link w:val="HTMLPreformattedChar"/>
    <w:uiPriority w:val="99"/>
    <w:semiHidden/>
    <w:unhideWhenUsed/>
    <w:rsid w:val="00B42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fr-FR"/>
      <w14:ligatures w14:val="none"/>
    </w:rPr>
  </w:style>
  <w:style w:type="character" w:customStyle="1" w:styleId="HTMLPreformattedChar">
    <w:name w:val="HTML Preformatted Char"/>
    <w:basedOn w:val="DefaultParagraphFont"/>
    <w:link w:val="HTMLPreformatted"/>
    <w:uiPriority w:val="99"/>
    <w:semiHidden/>
    <w:rsid w:val="00B4236A"/>
    <w:rPr>
      <w:rFonts w:ascii="Courier New" w:eastAsia="Times New Roman" w:hAnsi="Courier New" w:cs="Courier New"/>
      <w:kern w:val="0"/>
      <w:sz w:val="20"/>
      <w:szCs w:val="20"/>
      <w:lang w:eastAsia="fr-FR"/>
      <w14:ligatures w14:val="none"/>
    </w:rPr>
  </w:style>
  <w:style w:type="character" w:customStyle="1" w:styleId="y2iqfc">
    <w:name w:val="y2iqfc"/>
    <w:basedOn w:val="DefaultParagraphFont"/>
    <w:rsid w:val="00D142D5"/>
  </w:style>
  <w:style w:type="paragraph" w:styleId="Header">
    <w:name w:val="header"/>
    <w:basedOn w:val="Normal"/>
    <w:link w:val="HeaderChar"/>
    <w:uiPriority w:val="99"/>
    <w:unhideWhenUsed/>
    <w:rsid w:val="00256A30"/>
    <w:pPr>
      <w:tabs>
        <w:tab w:val="center" w:pos="4680"/>
        <w:tab w:val="right" w:pos="9360"/>
      </w:tabs>
    </w:pPr>
  </w:style>
  <w:style w:type="character" w:customStyle="1" w:styleId="HeaderChar">
    <w:name w:val="Header Char"/>
    <w:basedOn w:val="DefaultParagraphFont"/>
    <w:link w:val="Header"/>
    <w:uiPriority w:val="99"/>
    <w:rsid w:val="00256A30"/>
  </w:style>
  <w:style w:type="paragraph" w:styleId="Footer">
    <w:name w:val="footer"/>
    <w:basedOn w:val="Normal"/>
    <w:link w:val="FooterChar"/>
    <w:uiPriority w:val="99"/>
    <w:unhideWhenUsed/>
    <w:rsid w:val="00256A30"/>
    <w:pPr>
      <w:tabs>
        <w:tab w:val="center" w:pos="4680"/>
        <w:tab w:val="right" w:pos="9360"/>
      </w:tabs>
    </w:pPr>
  </w:style>
  <w:style w:type="character" w:customStyle="1" w:styleId="FooterChar">
    <w:name w:val="Footer Char"/>
    <w:basedOn w:val="DefaultParagraphFont"/>
    <w:link w:val="Footer"/>
    <w:uiPriority w:val="99"/>
    <w:rsid w:val="00256A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9160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3555-020-00398-4" TargetMode="External"/><Relationship Id="rId18" Type="http://schemas.openxmlformats.org/officeDocument/2006/relationships/hyperlink" Target="https://www.cureus.com/users/552529-khalid-a-alnaqbi" TargetMode="External"/><Relationship Id="rId26" Type="http://schemas.openxmlformats.org/officeDocument/2006/relationships/hyperlink" Target="https://doi.org/10.1016/j.jaad.2020.07.085" TargetMode="External"/><Relationship Id="rId39" Type="http://schemas.openxmlformats.org/officeDocument/2006/relationships/hyperlink" Target="https://www.sciencedirect.com/journal/journal-of-allergy-and-clinical-immunology/vol/144/issue/3" TargetMode="External"/><Relationship Id="rId3" Type="http://schemas.openxmlformats.org/officeDocument/2006/relationships/webSettings" Target="webSettings.xml"/><Relationship Id="rId21" Type="http://schemas.openxmlformats.org/officeDocument/2006/relationships/hyperlink" Target="https://onlinelibrary.wiley.com/journal/15298019" TargetMode="External"/><Relationship Id="rId34" Type="http://schemas.openxmlformats.org/officeDocument/2006/relationships/hyperlink" Target="https://doi.org/10.5021/ad.2010.22.2.212" TargetMode="External"/><Relationship Id="rId42" Type="http://schemas.openxmlformats.org/officeDocument/2006/relationships/hyperlink" Target="https://doi.org/10.1177/2040622317738910"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hyperlink" Target="https://www.semanticscholar.org/author/Anna-Gawdzik/1416338708" TargetMode="External"/><Relationship Id="rId17" Type="http://schemas.openxmlformats.org/officeDocument/2006/relationships/hyperlink" Target="https://doi.org/10.1186/s13075-020-02208-w" TargetMode="External"/><Relationship Id="rId25" Type="http://schemas.openxmlformats.org/officeDocument/2006/relationships/hyperlink" Target="https://www.sciencedirect.com/journal/journal-of-the-american-academy-of-dermatology/vol/84/issue/1" TargetMode="External"/><Relationship Id="rId33" Type="http://schemas.openxmlformats.org/officeDocument/2006/relationships/hyperlink" Target="https://pubmed.ncbi.nlm.nih.gov/?term=%22Park%20JJ%22%5BAuthor%5D" TargetMode="External"/><Relationship Id="rId38" Type="http://schemas.openxmlformats.org/officeDocument/2006/relationships/hyperlink" Target="https://www.sciencedirect.com/journal/journal-of-allergy-and-clinical-immunology" TargetMode="External"/><Relationship Id="rId46" Type="http://schemas.openxmlformats.org/officeDocument/2006/relationships/hyperlink" Target="https://doi.org/10.1016/S0140-6736(21)00184-7" TargetMode="External"/><Relationship Id="rId2" Type="http://schemas.openxmlformats.org/officeDocument/2006/relationships/settings" Target="settings.xml"/><Relationship Id="rId16" Type="http://schemas.openxmlformats.org/officeDocument/2006/relationships/hyperlink" Target="https://doi.org/10.1159/000350930" TargetMode="External"/><Relationship Id="rId20" Type="http://schemas.openxmlformats.org/officeDocument/2006/relationships/hyperlink" Target="https://onlinelibrary.wiley.com/authored-by/Damiani/Giovanni" TargetMode="External"/><Relationship Id="rId29" Type="http://schemas.openxmlformats.org/officeDocument/2006/relationships/hyperlink" Target="https://onlinelibrary.wiley.com/toc/27686566/2023/2/4" TargetMode="External"/><Relationship Id="rId41" Type="http://schemas.openxmlformats.org/officeDocument/2006/relationships/hyperlink" Target="https://pubmed.ncbi.nlm.nih.gov/?term=%22Frieder%20J%22%5BAuthor%5D"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oi.org/10.1007/s13555-023-00904-4" TargetMode="External"/><Relationship Id="rId24" Type="http://schemas.openxmlformats.org/officeDocument/2006/relationships/hyperlink" Target="https://www.sciencedirect.com/journal/journal-of-the-american-academy-of-dermatology" TargetMode="External"/><Relationship Id="rId32" Type="http://schemas.openxmlformats.org/officeDocument/2006/relationships/hyperlink" Target="https://doi.org/10.3389/fmed.2024.1364127" TargetMode="External"/><Relationship Id="rId37" Type="http://schemas.openxmlformats.org/officeDocument/2006/relationships/hyperlink" Target="https://doi.org/10.1007/s13555-021-00612-x" TargetMode="External"/><Relationship Id="rId40" Type="http://schemas.openxmlformats.org/officeDocument/2006/relationships/hyperlink" Target="https://doi.org/10.1016/j.jaci.2019.04.029" TargetMode="External"/><Relationship Id="rId45" Type="http://schemas.openxmlformats.org/officeDocument/2006/relationships/hyperlink" Target="https://www.sciencedirect.com/journal/the-lancet/vol/397/issue/10275" TargetMode="External"/><Relationship Id="rId53"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pubmed.ncbi.nlm.nih.gov/?term=%22Soto%20Lopes%20MS%22%5BAuthor%5D" TargetMode="External"/><Relationship Id="rId23" Type="http://schemas.openxmlformats.org/officeDocument/2006/relationships/hyperlink" Target="https://doi.org/10.1111/dth.12793" TargetMode="External"/><Relationship Id="rId28" Type="http://schemas.openxmlformats.org/officeDocument/2006/relationships/hyperlink" Target="https://onlinelibrary.wiley.com/journal/27686566" TargetMode="External"/><Relationship Id="rId36" Type="http://schemas.openxmlformats.org/officeDocument/2006/relationships/hyperlink" Target="https://doi.org/10.3390/cimb44050127" TargetMode="External"/><Relationship Id="rId49" Type="http://schemas.openxmlformats.org/officeDocument/2006/relationships/footer" Target="footer1.xml"/><Relationship Id="rId10" Type="http://schemas.openxmlformats.org/officeDocument/2006/relationships/hyperlink" Target="https://pubmed.ncbi.nlm.nih.gov/?term=%22Jiraskova%20Zakostelska%20Z%22%5BAuthor%5D" TargetMode="External"/><Relationship Id="rId19" Type="http://schemas.openxmlformats.org/officeDocument/2006/relationships/hyperlink" Target="https://doi.org/10.7759/cureus.77363" TargetMode="External"/><Relationship Id="rId31" Type="http://schemas.openxmlformats.org/officeDocument/2006/relationships/hyperlink" Target="https://loop.frontiersin.org/people/2549413" TargetMode="External"/><Relationship Id="rId44" Type="http://schemas.openxmlformats.org/officeDocument/2006/relationships/hyperlink" Target="https://www.sciencedirect.com/journal/the-lancet" TargetMode="External"/><Relationship Id="rId52"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yperlink" Target="https://doi.org/10.1093/rap/rkae082" TargetMode="External"/><Relationship Id="rId14" Type="http://schemas.openxmlformats.org/officeDocument/2006/relationships/hyperlink" Target="https://doi.org/10.2147/CCID.S406164" TargetMode="External"/><Relationship Id="rId22" Type="http://schemas.openxmlformats.org/officeDocument/2006/relationships/hyperlink" Target="https://onlinelibrary.wiley.com/toc/15298019/2019/32/2" TargetMode="External"/><Relationship Id="rId27" Type="http://schemas.openxmlformats.org/officeDocument/2006/relationships/hyperlink" Target="https://onlinelibrary.wiley.com/authored-by/Anghel/Daniela" TargetMode="External"/><Relationship Id="rId30" Type="http://schemas.openxmlformats.org/officeDocument/2006/relationships/hyperlink" Target="https://doi.org/10.1002/jvc2.253" TargetMode="External"/><Relationship Id="rId35" Type="http://schemas.openxmlformats.org/officeDocument/2006/relationships/hyperlink" Target="https://pubmed.ncbi.nlm.nih.gov/?term=%22%C8%9Aiburc%C4%83%20L%22%5BAuthor%5D" TargetMode="External"/><Relationship Id="rId43" Type="http://schemas.openxmlformats.org/officeDocument/2006/relationships/hyperlink" Target="https://jamanetwork.com/searchresults?author=Gillian+C.+de+Gannes&amp;q=Gillian+C.+de+Gannes" TargetMode="External"/><Relationship Id="rId48" Type="http://schemas.openxmlformats.org/officeDocument/2006/relationships/header" Target="header2.xml"/><Relationship Id="rId8" Type="http://schemas.openxmlformats.org/officeDocument/2006/relationships/hyperlink" Target="https://pubmed.ncbi.nlm.nih.gov/?term=%22Singla%20S%22%5BAuthor%5D" TargetMode="External"/><Relationship Id="rId51"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8</Pages>
  <Words>2692</Words>
  <Characters>15346</Characters>
  <Application>Microsoft Office Word</Application>
  <DocSecurity>0</DocSecurity>
  <Lines>127</Lines>
  <Paragraphs>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Editor-22</cp:lastModifiedBy>
  <cp:revision>9</cp:revision>
  <dcterms:created xsi:type="dcterms:W3CDTF">2025-05-08T21:58:00Z</dcterms:created>
  <dcterms:modified xsi:type="dcterms:W3CDTF">2025-05-09T08:44:00Z</dcterms:modified>
</cp:coreProperties>
</file>