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9FDC" w14:textId="77777777" w:rsidR="00754C9A" w:rsidRDefault="00754C9A" w:rsidP="00441B6F">
      <w:pPr>
        <w:pStyle w:val="Title"/>
        <w:spacing w:after="0"/>
        <w:jc w:val="both"/>
        <w:rPr>
          <w:rFonts w:ascii="Arial" w:hAnsi="Arial" w:cs="Arial"/>
        </w:rPr>
      </w:pPr>
    </w:p>
    <w:p w14:paraId="052EBB94" w14:textId="4E1F0C6A" w:rsidR="00163BC4" w:rsidRPr="00163BC4" w:rsidRDefault="00BD50B4" w:rsidP="00441B6F">
      <w:pPr>
        <w:pStyle w:val="Author"/>
        <w:spacing w:line="240" w:lineRule="auto"/>
        <w:rPr>
          <w:rFonts w:ascii="Arial" w:hAnsi="Arial" w:cs="Arial"/>
          <w:bCs/>
          <w:iCs/>
          <w:kern w:val="28"/>
          <w:sz w:val="36"/>
        </w:rPr>
      </w:pPr>
      <w:r w:rsidRPr="00BD50B4">
        <w:rPr>
          <w:rFonts w:ascii="Arial" w:hAnsi="Arial" w:cs="Arial"/>
          <w:bCs/>
          <w:iCs/>
          <w:kern w:val="28"/>
          <w:sz w:val="36"/>
        </w:rPr>
        <w:t>Exposure, Language Learning and Reading Strategies: A Structural Model</w:t>
      </w:r>
      <w:r w:rsidR="00045CC5">
        <w:rPr>
          <w:rFonts w:ascii="Arial" w:hAnsi="Arial" w:cs="Arial"/>
          <w:bCs/>
          <w:iCs/>
          <w:kern w:val="28"/>
          <w:sz w:val="36"/>
        </w:rPr>
        <w:t xml:space="preserve"> for</w:t>
      </w:r>
      <w:r w:rsidRPr="00BD50B4">
        <w:rPr>
          <w:rFonts w:ascii="Arial" w:hAnsi="Arial" w:cs="Arial"/>
          <w:bCs/>
          <w:iCs/>
          <w:kern w:val="28"/>
          <w:sz w:val="36"/>
        </w:rPr>
        <w:t xml:space="preserve"> Grammatical Competence</w:t>
      </w:r>
    </w:p>
    <w:p w14:paraId="6CDECB98" w14:textId="77777777" w:rsidR="00A258C3" w:rsidRPr="00790ADA" w:rsidRDefault="00A258C3" w:rsidP="00441B6F">
      <w:pPr>
        <w:pStyle w:val="Author"/>
        <w:spacing w:line="240" w:lineRule="auto"/>
        <w:jc w:val="both"/>
        <w:rPr>
          <w:rFonts w:ascii="Arial" w:hAnsi="Arial" w:cs="Arial"/>
          <w:sz w:val="36"/>
        </w:rPr>
      </w:pPr>
    </w:p>
    <w:p w14:paraId="66EE63F3" w14:textId="3C7EDEA9" w:rsidR="00B01FCD" w:rsidRPr="00FB3A86" w:rsidRDefault="00BD50B4" w:rsidP="00441B6F">
      <w:pPr>
        <w:pStyle w:val="Copyright"/>
        <w:spacing w:after="0" w:line="240" w:lineRule="auto"/>
        <w:jc w:val="both"/>
        <w:rPr>
          <w:rFonts w:ascii="Arial" w:hAnsi="Arial" w:cs="Arial"/>
        </w:rPr>
        <w:sectPr w:rsidR="00B01FCD" w:rsidRPr="00FB3A86" w:rsidSect="000A4F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65B25B" wp14:editId="256205A2">
                <wp:extent cx="5303520" cy="635"/>
                <wp:effectExtent l="13335" t="13335" r="17145" b="15240"/>
                <wp:docPr id="5385040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47EC2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27D4D79" w14:textId="5FE7CD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11FF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8B6868" w14:textId="77777777" w:rsidTr="001E44FE">
        <w:tc>
          <w:tcPr>
            <w:tcW w:w="9576" w:type="dxa"/>
            <w:shd w:val="clear" w:color="auto" w:fill="F2F2F2"/>
          </w:tcPr>
          <w:p w14:paraId="54BC08B6" w14:textId="77777777" w:rsidR="00992125" w:rsidRPr="00992125" w:rsidRDefault="00992125" w:rsidP="00992125">
            <w:pPr>
              <w:pStyle w:val="Body"/>
              <w:rPr>
                <w:rFonts w:ascii="Arial" w:eastAsia="Calibri" w:hAnsi="Arial" w:cs="Arial"/>
                <w:szCs w:val="22"/>
              </w:rPr>
            </w:pPr>
            <w:r w:rsidRPr="00992125">
              <w:rPr>
                <w:rFonts w:ascii="Arial" w:eastAsia="Calibri" w:hAnsi="Arial" w:cs="Arial"/>
                <w:szCs w:val="22"/>
              </w:rPr>
              <w:t>This study explored how language exposure, language learning, and reading strategies are connected to students’ grammatical competence. It involved 400 Grade 9 students from public schools in Region XI and used a non-experimental quantitative approach, specifically Structural Equation Modeling (SEM).</w:t>
            </w:r>
          </w:p>
          <w:p w14:paraId="3E67B97F" w14:textId="77777777" w:rsidR="00992125" w:rsidRPr="00992125" w:rsidRDefault="00992125" w:rsidP="00992125">
            <w:pPr>
              <w:pStyle w:val="Body"/>
              <w:rPr>
                <w:rFonts w:ascii="Arial" w:eastAsia="Calibri" w:hAnsi="Arial" w:cs="Arial"/>
                <w:szCs w:val="22"/>
              </w:rPr>
            </w:pPr>
            <w:r w:rsidRPr="00992125">
              <w:rPr>
                <w:rFonts w:ascii="Arial" w:eastAsia="Calibri" w:hAnsi="Arial" w:cs="Arial"/>
                <w:szCs w:val="22"/>
              </w:rPr>
              <w:t>The researcher first secured approval to conduct the study, then distributed the validated and reliable questionnaire to the students. After collecting the responses, the data were analyzed statistically and interpreted for discussion.</w:t>
            </w:r>
          </w:p>
          <w:p w14:paraId="4A2CB243" w14:textId="5BB0A591" w:rsidR="00992125" w:rsidRPr="00992125" w:rsidRDefault="00992125" w:rsidP="00992125">
            <w:pPr>
              <w:pStyle w:val="Body"/>
              <w:rPr>
                <w:rFonts w:ascii="Arial" w:eastAsia="Calibri" w:hAnsi="Arial" w:cs="Arial"/>
                <w:szCs w:val="22"/>
              </w:rPr>
            </w:pPr>
            <w:r w:rsidRPr="00992125">
              <w:rPr>
                <w:rFonts w:ascii="Arial" w:eastAsia="Calibri" w:hAnsi="Arial" w:cs="Arial"/>
                <w:szCs w:val="22"/>
              </w:rPr>
              <w:t xml:space="preserve">Findings showed that schools provide the highest level of language exposure, while the home offers the least. </w:t>
            </w:r>
            <w:r w:rsidR="00B83C11" w:rsidRPr="00B83C11">
              <w:rPr>
                <w:rFonts w:ascii="Arial" w:eastAsia="Calibri" w:hAnsi="Arial" w:cs="Arial"/>
                <w:szCs w:val="22"/>
              </w:rPr>
              <w:t>Their language learning levels were also high, especially in reading and speaking.</w:t>
            </w:r>
            <w:r w:rsidR="00B83C11">
              <w:rPr>
                <w:rFonts w:ascii="Arial" w:eastAsia="Calibri" w:hAnsi="Arial" w:cs="Arial"/>
                <w:szCs w:val="22"/>
              </w:rPr>
              <w:t xml:space="preserve"> </w:t>
            </w:r>
            <w:r w:rsidRPr="00992125">
              <w:rPr>
                <w:rFonts w:ascii="Arial" w:eastAsia="Calibri" w:hAnsi="Arial" w:cs="Arial"/>
                <w:szCs w:val="22"/>
              </w:rPr>
              <w:t xml:space="preserve">When it comes to reading strategies, students showed strong use of both cognitive and metacognitive strategies, an indicator of effective reading comprehension. </w:t>
            </w:r>
          </w:p>
          <w:p w14:paraId="1A3D1839" w14:textId="22DD37F4" w:rsidR="00992125" w:rsidRPr="00992125" w:rsidRDefault="00992125" w:rsidP="00992125">
            <w:pPr>
              <w:pStyle w:val="Body"/>
              <w:rPr>
                <w:rFonts w:ascii="Arial" w:eastAsia="Calibri" w:hAnsi="Arial" w:cs="Arial"/>
                <w:szCs w:val="22"/>
              </w:rPr>
            </w:pPr>
            <w:r w:rsidRPr="00992125">
              <w:rPr>
                <w:rFonts w:ascii="Arial" w:eastAsia="Calibri" w:hAnsi="Arial" w:cs="Arial"/>
                <w:szCs w:val="22"/>
              </w:rPr>
              <w:t xml:space="preserve">Overall, the results revealed a meaningful and positive relationship between language exposure, language learning, reading strategies and grammatical competence. Among the three models tested, Model 3 stood out as the most suitable, clearly illustrating how external factors influence grammatical </w:t>
            </w:r>
            <w:r w:rsidR="00850243">
              <w:rPr>
                <w:rFonts w:ascii="Arial" w:eastAsia="Calibri" w:hAnsi="Arial" w:cs="Arial"/>
                <w:szCs w:val="22"/>
              </w:rPr>
              <w:t>competence</w:t>
            </w:r>
            <w:r w:rsidRPr="00992125">
              <w:rPr>
                <w:rFonts w:ascii="Arial" w:eastAsia="Calibri" w:hAnsi="Arial" w:cs="Arial"/>
                <w:szCs w:val="22"/>
              </w:rPr>
              <w:t>.</w:t>
            </w:r>
          </w:p>
          <w:p w14:paraId="62919503" w14:textId="6AC917AB" w:rsidR="00A03B96" w:rsidRDefault="00992125" w:rsidP="00441B6F">
            <w:pPr>
              <w:pStyle w:val="Body"/>
              <w:spacing w:after="0"/>
              <w:rPr>
                <w:rFonts w:ascii="Arial" w:eastAsia="Calibri" w:hAnsi="Arial" w:cs="Arial"/>
                <w:szCs w:val="22"/>
              </w:rPr>
            </w:pPr>
            <w:r w:rsidRPr="00992125">
              <w:rPr>
                <w:rFonts w:ascii="Arial" w:eastAsia="Calibri" w:hAnsi="Arial" w:cs="Arial"/>
                <w:szCs w:val="22"/>
              </w:rPr>
              <w:t xml:space="preserve">This research highlights the importance of improving language education, especially in Filipino. It points to the need for teacher training on effective reading strategies and the integration of modern technology in the classroom. It also emphasizes the vital role of parents and communities in supporting students’ language development. By working together—teachers, students, and the community—we can strengthen grammatical </w:t>
            </w:r>
            <w:r w:rsidR="00B83C11">
              <w:rPr>
                <w:rFonts w:ascii="Arial" w:eastAsia="Calibri" w:hAnsi="Arial" w:cs="Arial"/>
                <w:szCs w:val="22"/>
              </w:rPr>
              <w:t>competence</w:t>
            </w:r>
            <w:r w:rsidRPr="00992125">
              <w:rPr>
                <w:rFonts w:ascii="Arial" w:eastAsia="Calibri" w:hAnsi="Arial" w:cs="Arial"/>
                <w:szCs w:val="22"/>
              </w:rPr>
              <w:t>, which are essential for academic success.</w:t>
            </w:r>
          </w:p>
          <w:p w14:paraId="060E8157" w14:textId="77777777" w:rsidR="00E3114E" w:rsidRDefault="00E3114E" w:rsidP="00441B6F">
            <w:pPr>
              <w:pStyle w:val="Body"/>
              <w:spacing w:after="0"/>
              <w:rPr>
                <w:rFonts w:ascii="Arial" w:eastAsia="Calibri" w:hAnsi="Arial" w:cs="Arial"/>
                <w:szCs w:val="22"/>
              </w:rPr>
            </w:pPr>
          </w:p>
          <w:p w14:paraId="5C35DDD0" w14:textId="6C30B522" w:rsidR="00505F06" w:rsidRPr="00BA1B01" w:rsidRDefault="00505F06" w:rsidP="00441B6F">
            <w:pPr>
              <w:pStyle w:val="Body"/>
              <w:spacing w:after="0"/>
              <w:rPr>
                <w:rFonts w:ascii="Arial" w:eastAsia="Calibri" w:hAnsi="Arial" w:cs="Arial"/>
                <w:szCs w:val="22"/>
              </w:rPr>
            </w:pPr>
          </w:p>
        </w:tc>
      </w:tr>
    </w:tbl>
    <w:p w14:paraId="14310A37" w14:textId="77777777" w:rsidR="00636EB2" w:rsidRDefault="00636EB2" w:rsidP="00441B6F">
      <w:pPr>
        <w:pStyle w:val="Body"/>
        <w:spacing w:after="0"/>
        <w:rPr>
          <w:rFonts w:ascii="Arial" w:hAnsi="Arial" w:cs="Arial"/>
          <w:i/>
        </w:rPr>
      </w:pPr>
    </w:p>
    <w:p w14:paraId="3861AECE" w14:textId="480BD1F6" w:rsidR="00A24E7E" w:rsidRDefault="00A24E7E" w:rsidP="00850243">
      <w:pPr>
        <w:pStyle w:val="Body"/>
        <w:spacing w:after="0"/>
        <w:rPr>
          <w:rFonts w:ascii="Arial" w:hAnsi="Arial" w:cs="Arial"/>
          <w:i/>
        </w:rPr>
      </w:pPr>
      <w:r>
        <w:rPr>
          <w:rFonts w:ascii="Arial" w:hAnsi="Arial" w:cs="Arial"/>
          <w:i/>
        </w:rPr>
        <w:t xml:space="preserve">Keywords: </w:t>
      </w:r>
      <w:r w:rsidR="00984E8F">
        <w:rPr>
          <w:rFonts w:ascii="Arial" w:hAnsi="Arial" w:cs="Arial"/>
          <w:i/>
        </w:rPr>
        <w:t>Education, Student-Learner, Language Exposure, Language Learning, Reading Strategies, Grammatical Competence, Structural Model</w:t>
      </w:r>
    </w:p>
    <w:p w14:paraId="167BF1FA" w14:textId="77777777" w:rsidR="00790ADA" w:rsidRDefault="00790ADA" w:rsidP="00441B6F">
      <w:pPr>
        <w:pStyle w:val="Body"/>
        <w:spacing w:after="0"/>
        <w:rPr>
          <w:rFonts w:ascii="Arial" w:hAnsi="Arial" w:cs="Arial"/>
          <w:i/>
        </w:rPr>
      </w:pPr>
    </w:p>
    <w:p w14:paraId="4988771F" w14:textId="77777777" w:rsidR="00505F06" w:rsidRPr="00A24E7E" w:rsidRDefault="00505F06" w:rsidP="00441B6F">
      <w:pPr>
        <w:pStyle w:val="Body"/>
        <w:spacing w:after="0"/>
        <w:rPr>
          <w:rFonts w:ascii="Arial" w:hAnsi="Arial" w:cs="Arial"/>
          <w:i/>
        </w:rPr>
      </w:pPr>
    </w:p>
    <w:p w14:paraId="134ECDCF" w14:textId="606750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3A471B" w14:textId="77777777" w:rsidR="00790ADA" w:rsidRPr="00FB3A86" w:rsidRDefault="00790ADA" w:rsidP="00441B6F">
      <w:pPr>
        <w:pStyle w:val="AbstHead"/>
        <w:spacing w:after="0"/>
        <w:jc w:val="both"/>
        <w:rPr>
          <w:rFonts w:ascii="Arial" w:hAnsi="Arial" w:cs="Arial"/>
        </w:rPr>
      </w:pPr>
    </w:p>
    <w:p w14:paraId="381FF8F3" w14:textId="22A1492B" w:rsidR="00612565" w:rsidRPr="00612565" w:rsidRDefault="00612565" w:rsidP="00612565">
      <w:pPr>
        <w:pStyle w:val="Body"/>
        <w:rPr>
          <w:rFonts w:ascii="Arial" w:hAnsi="Arial" w:cs="Arial"/>
        </w:rPr>
      </w:pPr>
      <w:r w:rsidRPr="00612565">
        <w:rPr>
          <w:rFonts w:ascii="Arial" w:hAnsi="Arial" w:cs="Arial"/>
        </w:rPr>
        <w:t xml:space="preserve">Grammatical competence is an important part of effective communication. It helps people express their thoughts clearly and correctly, whether they are speaking or writing. In school, having good grammar skills is especially important because students need to explain complex ideas clearly to do well. Even though grammar is so important, many students still find it difficult. This affects their confidence and their performance in tasks that require language. Research shows that understanding grammar helps not only with using language correctly but </w:t>
      </w:r>
      <w:r w:rsidRPr="00612565">
        <w:rPr>
          <w:rFonts w:ascii="Arial" w:hAnsi="Arial" w:cs="Arial"/>
        </w:rPr>
        <w:lastRenderedPageBreak/>
        <w:t>also with becoming more fluent and understanding different types of communication (</w:t>
      </w:r>
      <w:proofErr w:type="spellStart"/>
      <w:r w:rsidRPr="00612565">
        <w:rPr>
          <w:rFonts w:ascii="Arial" w:hAnsi="Arial" w:cs="Arial"/>
        </w:rPr>
        <w:t>Amroune</w:t>
      </w:r>
      <w:proofErr w:type="spellEnd"/>
      <w:r w:rsidRPr="00612565">
        <w:rPr>
          <w:rFonts w:ascii="Arial" w:hAnsi="Arial" w:cs="Arial"/>
        </w:rPr>
        <w:t xml:space="preserve"> &amp; </w:t>
      </w:r>
      <w:proofErr w:type="spellStart"/>
      <w:r w:rsidRPr="00612565">
        <w:rPr>
          <w:rFonts w:ascii="Arial" w:hAnsi="Arial" w:cs="Arial"/>
        </w:rPr>
        <w:t>Charik</w:t>
      </w:r>
      <w:proofErr w:type="spellEnd"/>
      <w:r w:rsidRPr="00612565">
        <w:rPr>
          <w:rFonts w:ascii="Arial" w:hAnsi="Arial" w:cs="Arial"/>
        </w:rPr>
        <w:t>, 2020; Ismail &amp; Dedi, 2021).</w:t>
      </w:r>
    </w:p>
    <w:p w14:paraId="7E384877" w14:textId="537FAB0C" w:rsidR="00612565" w:rsidRPr="00612565" w:rsidRDefault="00612565" w:rsidP="00612565">
      <w:pPr>
        <w:pStyle w:val="Body"/>
        <w:rPr>
          <w:rFonts w:ascii="Arial" w:hAnsi="Arial" w:cs="Arial"/>
        </w:rPr>
      </w:pPr>
      <w:r w:rsidRPr="00612565">
        <w:rPr>
          <w:rFonts w:ascii="Arial" w:hAnsi="Arial" w:cs="Arial"/>
        </w:rPr>
        <w:t xml:space="preserve">Still, a large number of students show low grammar skills. Studies by Bentsen (2021) and </w:t>
      </w:r>
      <w:proofErr w:type="spellStart"/>
      <w:r w:rsidRPr="00612565">
        <w:rPr>
          <w:rFonts w:ascii="Arial" w:hAnsi="Arial" w:cs="Arial"/>
        </w:rPr>
        <w:t>Alsied</w:t>
      </w:r>
      <w:proofErr w:type="spellEnd"/>
      <w:r w:rsidRPr="00612565">
        <w:rPr>
          <w:rFonts w:ascii="Arial" w:hAnsi="Arial" w:cs="Arial"/>
        </w:rPr>
        <w:t xml:space="preserve"> et al. (2018) found that many students do not get enough or proper grammar instruction. Because of this, they often make the same mistakes and struggle to express themselves. This can make them afraid to speak or write, especially in school or social situations. As a result, their language skills and academic success are affected.</w:t>
      </w:r>
    </w:p>
    <w:p w14:paraId="6789A59B" w14:textId="63BE7CD3" w:rsidR="00612565" w:rsidRPr="00612565" w:rsidRDefault="00612565" w:rsidP="00612565">
      <w:pPr>
        <w:pStyle w:val="Body"/>
        <w:rPr>
          <w:rFonts w:ascii="Arial" w:hAnsi="Arial" w:cs="Arial"/>
        </w:rPr>
      </w:pPr>
      <w:r w:rsidRPr="00612565">
        <w:rPr>
          <w:rFonts w:ascii="Arial" w:hAnsi="Arial" w:cs="Arial"/>
        </w:rPr>
        <w:t xml:space="preserve">To help solve this problem, this study suggests a new approach that combines language exposure, </w:t>
      </w:r>
      <w:r w:rsidR="009C3BE6">
        <w:rPr>
          <w:rFonts w:ascii="Arial" w:hAnsi="Arial" w:cs="Arial"/>
        </w:rPr>
        <w:t xml:space="preserve">language learning and </w:t>
      </w:r>
      <w:r w:rsidRPr="00612565">
        <w:rPr>
          <w:rFonts w:ascii="Arial" w:hAnsi="Arial" w:cs="Arial"/>
        </w:rPr>
        <w:t>reading strategies</w:t>
      </w:r>
      <w:r w:rsidR="009C3BE6">
        <w:rPr>
          <w:rFonts w:ascii="Arial" w:hAnsi="Arial" w:cs="Arial"/>
        </w:rPr>
        <w:t xml:space="preserve"> </w:t>
      </w:r>
      <w:r w:rsidRPr="00612565">
        <w:rPr>
          <w:rFonts w:ascii="Arial" w:hAnsi="Arial" w:cs="Arial"/>
        </w:rPr>
        <w:t xml:space="preserve">to improve students’ grammatical competence. It aims to understand how </w:t>
      </w:r>
      <w:r w:rsidR="009C3BE6" w:rsidRPr="00612565">
        <w:rPr>
          <w:rFonts w:ascii="Arial" w:hAnsi="Arial" w:cs="Arial"/>
        </w:rPr>
        <w:t>these three parts works</w:t>
      </w:r>
      <w:r w:rsidRPr="00612565">
        <w:rPr>
          <w:rFonts w:ascii="Arial" w:hAnsi="Arial" w:cs="Arial"/>
        </w:rPr>
        <w:t xml:space="preserve"> together and how they can be used to help students improve their grammar and communication. The goal is to create a teaching method that works well for students in public secondary schools.</w:t>
      </w:r>
    </w:p>
    <w:p w14:paraId="5887A346" w14:textId="39481ED5" w:rsidR="00612565" w:rsidRPr="00612565" w:rsidRDefault="00612565" w:rsidP="00612565">
      <w:pPr>
        <w:pStyle w:val="Body"/>
        <w:rPr>
          <w:rFonts w:ascii="Arial" w:hAnsi="Arial" w:cs="Arial"/>
        </w:rPr>
      </w:pPr>
      <w:r w:rsidRPr="00612565">
        <w:rPr>
          <w:rFonts w:ascii="Arial" w:hAnsi="Arial" w:cs="Arial"/>
        </w:rPr>
        <w:t>Many studies support the idea that grammar is best learned when students use the language actively. Swain’s (200</w:t>
      </w:r>
      <w:r w:rsidR="006C4E02">
        <w:rPr>
          <w:rFonts w:ascii="Arial" w:hAnsi="Arial" w:cs="Arial"/>
        </w:rPr>
        <w:t>8</w:t>
      </w:r>
      <w:r w:rsidRPr="00612565">
        <w:rPr>
          <w:rFonts w:ascii="Arial" w:hAnsi="Arial" w:cs="Arial"/>
        </w:rPr>
        <w:t>) Output Hypothesis shows that speaking and writing help students learn grammar better. Ellis (200</w:t>
      </w:r>
      <w:r w:rsidR="006C4E02">
        <w:rPr>
          <w:rFonts w:ascii="Arial" w:hAnsi="Arial" w:cs="Arial"/>
        </w:rPr>
        <w:t>9</w:t>
      </w:r>
      <w:r w:rsidRPr="00612565">
        <w:rPr>
          <w:rFonts w:ascii="Arial" w:hAnsi="Arial" w:cs="Arial"/>
        </w:rPr>
        <w:t>) also believes that grammar is learned best when both direct teaching and natural use of language are combined. Theories from Vygotsky, Chomsky, Piaget, and Flavell also explain how grammar learning is supported by social interaction, natural ability and thinking skills. In addition, research by Zhang and Wu (201</w:t>
      </w:r>
      <w:r w:rsidR="006C4E02">
        <w:rPr>
          <w:rFonts w:ascii="Arial" w:hAnsi="Arial" w:cs="Arial"/>
        </w:rPr>
        <w:t>9</w:t>
      </w:r>
      <w:r w:rsidRPr="00612565">
        <w:rPr>
          <w:rFonts w:ascii="Arial" w:hAnsi="Arial" w:cs="Arial"/>
        </w:rPr>
        <w:t xml:space="preserve">) and </w:t>
      </w:r>
      <w:proofErr w:type="spellStart"/>
      <w:r w:rsidRPr="00612565">
        <w:rPr>
          <w:rFonts w:ascii="Arial" w:hAnsi="Arial" w:cs="Arial"/>
        </w:rPr>
        <w:t>Bardovi-Harlig</w:t>
      </w:r>
      <w:proofErr w:type="spellEnd"/>
      <w:r w:rsidRPr="00612565">
        <w:rPr>
          <w:rFonts w:ascii="Arial" w:hAnsi="Arial" w:cs="Arial"/>
        </w:rPr>
        <w:t xml:space="preserve"> (</w:t>
      </w:r>
      <w:r w:rsidR="006C4E02">
        <w:rPr>
          <w:rFonts w:ascii="Arial" w:hAnsi="Arial" w:cs="Arial"/>
        </w:rPr>
        <w:t>1999</w:t>
      </w:r>
      <w:r w:rsidRPr="00612565">
        <w:rPr>
          <w:rFonts w:ascii="Arial" w:hAnsi="Arial" w:cs="Arial"/>
        </w:rPr>
        <w:t>) shows that reading and real-life language exposure help students learn grammar more effectively.</w:t>
      </w:r>
    </w:p>
    <w:p w14:paraId="353DDBB6" w14:textId="668FA92A" w:rsidR="00B75C75" w:rsidRDefault="00612565" w:rsidP="00612565">
      <w:pPr>
        <w:pStyle w:val="Body"/>
        <w:spacing w:after="0"/>
        <w:rPr>
          <w:rFonts w:ascii="Arial" w:hAnsi="Arial" w:cs="Arial"/>
        </w:rPr>
      </w:pPr>
      <w:bookmarkStart w:id="0" w:name="_Hlk197476794"/>
      <w:r w:rsidRPr="00612565">
        <w:rPr>
          <w:rFonts w:ascii="Arial" w:hAnsi="Arial" w:cs="Arial"/>
        </w:rPr>
        <w:t xml:space="preserve">This study is important because most local research has focused on college </w:t>
      </w:r>
      <w:bookmarkEnd w:id="0"/>
      <w:r w:rsidRPr="00612565">
        <w:rPr>
          <w:rFonts w:ascii="Arial" w:hAnsi="Arial" w:cs="Arial"/>
        </w:rPr>
        <w:t>students or those in private schools. Public high school students, who often have fewer resources and support, are not as well studied. By focusing on this group, the study hopes to close this gap and improve grammar teaching in public schools. The results will help teachers, school leaders, and program planners create better ways to teach grammar. This supports the goal of Sustainable Development Goal (SDG) #4: providing quality education for all.</w:t>
      </w:r>
    </w:p>
    <w:p w14:paraId="4DE87DF3" w14:textId="26940C6D" w:rsidR="003167C3" w:rsidRPr="003167C3" w:rsidRDefault="003167C3" w:rsidP="00612565">
      <w:pPr>
        <w:pStyle w:val="Body"/>
        <w:spacing w:after="0"/>
        <w:rPr>
          <w:rFonts w:ascii="Arial" w:hAnsi="Arial" w:cs="Arial"/>
          <w:sz w:val="22"/>
          <w:szCs w:val="22"/>
        </w:rPr>
      </w:pPr>
    </w:p>
    <w:p w14:paraId="7F6974BB" w14:textId="406D99BC" w:rsidR="003167C3" w:rsidRDefault="003167C3" w:rsidP="003167C3">
      <w:pPr>
        <w:pStyle w:val="Body"/>
        <w:numPr>
          <w:ilvl w:val="1"/>
          <w:numId w:val="31"/>
        </w:numPr>
        <w:spacing w:after="0"/>
        <w:rPr>
          <w:rFonts w:ascii="Arial" w:hAnsi="Arial" w:cs="Arial"/>
          <w:b/>
          <w:bCs/>
          <w:sz w:val="22"/>
          <w:szCs w:val="22"/>
        </w:rPr>
      </w:pPr>
      <w:r w:rsidRPr="003167C3">
        <w:rPr>
          <w:rFonts w:ascii="Arial" w:hAnsi="Arial" w:cs="Arial"/>
          <w:b/>
          <w:bCs/>
          <w:sz w:val="22"/>
          <w:szCs w:val="22"/>
        </w:rPr>
        <w:t>RESEARCH OBJETIVES</w:t>
      </w:r>
    </w:p>
    <w:p w14:paraId="127E22B9" w14:textId="77777777" w:rsidR="00B75924" w:rsidRDefault="00B75924" w:rsidP="00B75924">
      <w:pPr>
        <w:pStyle w:val="Body"/>
        <w:spacing w:after="0"/>
        <w:ind w:left="372"/>
        <w:rPr>
          <w:rFonts w:ascii="Arial" w:hAnsi="Arial" w:cs="Arial"/>
          <w:b/>
          <w:bCs/>
          <w:sz w:val="22"/>
          <w:szCs w:val="22"/>
        </w:rPr>
      </w:pPr>
    </w:p>
    <w:p w14:paraId="50E98844" w14:textId="77777777" w:rsidR="003167C3" w:rsidRPr="003167C3" w:rsidRDefault="003167C3" w:rsidP="003167C3">
      <w:pPr>
        <w:pStyle w:val="Body"/>
        <w:rPr>
          <w:rFonts w:ascii="Arial" w:hAnsi="Arial" w:cs="Arial"/>
          <w:sz w:val="22"/>
          <w:szCs w:val="22"/>
        </w:rPr>
      </w:pPr>
      <w:r w:rsidRPr="003167C3">
        <w:rPr>
          <w:rFonts w:ascii="Arial" w:hAnsi="Arial" w:cs="Arial"/>
          <w:sz w:val="22"/>
          <w:szCs w:val="22"/>
        </w:rPr>
        <w:t>Objectives of the Study</w:t>
      </w:r>
    </w:p>
    <w:p w14:paraId="2A1D7D8F" w14:textId="77777777" w:rsidR="003167C3" w:rsidRPr="003167C3" w:rsidRDefault="003167C3" w:rsidP="003167C3">
      <w:pPr>
        <w:pStyle w:val="Body"/>
        <w:rPr>
          <w:rFonts w:ascii="Arial" w:hAnsi="Arial" w:cs="Arial"/>
        </w:rPr>
      </w:pPr>
      <w:r w:rsidRPr="003167C3">
        <w:rPr>
          <w:rFonts w:ascii="Arial" w:hAnsi="Arial" w:cs="Arial"/>
        </w:rPr>
        <w:t>This study aims to identify the most appropriate model for students’ grammatical competence. Specifically, it seeks to:</w:t>
      </w:r>
    </w:p>
    <w:p w14:paraId="48669D28" w14:textId="10471502" w:rsidR="003167C3" w:rsidRPr="003167C3" w:rsidRDefault="003167C3" w:rsidP="003167C3">
      <w:pPr>
        <w:pStyle w:val="Body"/>
        <w:rPr>
          <w:rFonts w:ascii="Arial" w:hAnsi="Arial" w:cs="Arial"/>
        </w:rPr>
      </w:pPr>
      <w:r w:rsidRPr="003167C3">
        <w:rPr>
          <w:rFonts w:ascii="Arial" w:hAnsi="Arial" w:cs="Arial"/>
        </w:rPr>
        <w:t>1.</w:t>
      </w:r>
      <w:r>
        <w:rPr>
          <w:rFonts w:ascii="Arial" w:hAnsi="Arial" w:cs="Arial"/>
        </w:rPr>
        <w:t xml:space="preserve"> </w:t>
      </w:r>
      <w:r w:rsidRPr="003167C3">
        <w:rPr>
          <w:rFonts w:ascii="Arial" w:hAnsi="Arial" w:cs="Arial"/>
        </w:rPr>
        <w:t xml:space="preserve">Assess students’ level of language exposure in terms of home, </w:t>
      </w:r>
      <w:r>
        <w:rPr>
          <w:rFonts w:ascii="Arial" w:hAnsi="Arial" w:cs="Arial"/>
        </w:rPr>
        <w:t>friends</w:t>
      </w:r>
      <w:r w:rsidRPr="003167C3">
        <w:rPr>
          <w:rFonts w:ascii="Arial" w:hAnsi="Arial" w:cs="Arial"/>
        </w:rPr>
        <w:t>, school, and media.</w:t>
      </w:r>
    </w:p>
    <w:p w14:paraId="23A7E8F1" w14:textId="3BB1EF64" w:rsidR="003167C3" w:rsidRPr="003167C3" w:rsidRDefault="003167C3" w:rsidP="003167C3">
      <w:pPr>
        <w:pStyle w:val="Body"/>
        <w:rPr>
          <w:rFonts w:ascii="Arial" w:hAnsi="Arial" w:cs="Arial"/>
        </w:rPr>
      </w:pPr>
      <w:r w:rsidRPr="003167C3">
        <w:rPr>
          <w:rFonts w:ascii="Arial" w:hAnsi="Arial" w:cs="Arial"/>
        </w:rPr>
        <w:t>2.</w:t>
      </w:r>
      <w:r>
        <w:rPr>
          <w:rFonts w:ascii="Arial" w:hAnsi="Arial" w:cs="Arial"/>
        </w:rPr>
        <w:t xml:space="preserve"> </w:t>
      </w:r>
      <w:r w:rsidR="00017D60" w:rsidRPr="00017D60">
        <w:rPr>
          <w:rFonts w:ascii="Arial" w:hAnsi="Arial" w:cs="Arial"/>
        </w:rPr>
        <w:t>Evaluate students’ language learning abilities in speaking, listening, reading, and writing.</w:t>
      </w:r>
    </w:p>
    <w:p w14:paraId="7BA01E1E" w14:textId="13742710" w:rsidR="003167C3" w:rsidRPr="003167C3" w:rsidRDefault="003167C3" w:rsidP="003167C3">
      <w:pPr>
        <w:pStyle w:val="Body"/>
        <w:rPr>
          <w:rFonts w:ascii="Arial" w:hAnsi="Arial" w:cs="Arial"/>
        </w:rPr>
      </w:pPr>
      <w:r w:rsidRPr="003167C3">
        <w:rPr>
          <w:rFonts w:ascii="Arial" w:hAnsi="Arial" w:cs="Arial"/>
        </w:rPr>
        <w:t>3.</w:t>
      </w:r>
      <w:r>
        <w:rPr>
          <w:rFonts w:ascii="Arial" w:hAnsi="Arial" w:cs="Arial"/>
        </w:rPr>
        <w:t xml:space="preserve"> </w:t>
      </w:r>
      <w:r w:rsidR="00017D60" w:rsidRPr="00017D60">
        <w:rPr>
          <w:rFonts w:ascii="Arial" w:hAnsi="Arial" w:cs="Arial"/>
        </w:rPr>
        <w:t xml:space="preserve">Determine students’ proficiency in reading strategies, focusing on cognitive and </w:t>
      </w:r>
      <w:r w:rsidR="00017D60">
        <w:rPr>
          <w:rFonts w:ascii="Arial" w:hAnsi="Arial" w:cs="Arial"/>
        </w:rPr>
        <w:t xml:space="preserve">   </w:t>
      </w:r>
      <w:r w:rsidR="00017D60" w:rsidRPr="00017D60">
        <w:rPr>
          <w:rFonts w:ascii="Arial" w:hAnsi="Arial" w:cs="Arial"/>
        </w:rPr>
        <w:t>metacognitive strategies.</w:t>
      </w:r>
    </w:p>
    <w:p w14:paraId="48B06A6C" w14:textId="3A2C3BF3" w:rsidR="003167C3" w:rsidRPr="003167C3" w:rsidRDefault="003167C3" w:rsidP="003167C3">
      <w:pPr>
        <w:pStyle w:val="Body"/>
        <w:rPr>
          <w:rFonts w:ascii="Arial" w:hAnsi="Arial" w:cs="Arial"/>
        </w:rPr>
      </w:pPr>
      <w:r w:rsidRPr="003167C3">
        <w:rPr>
          <w:rFonts w:ascii="Arial" w:hAnsi="Arial" w:cs="Arial"/>
        </w:rPr>
        <w:t>4.</w:t>
      </w:r>
      <w:r>
        <w:rPr>
          <w:rFonts w:ascii="Arial" w:hAnsi="Arial" w:cs="Arial"/>
        </w:rPr>
        <w:t xml:space="preserve"> </w:t>
      </w:r>
      <w:r w:rsidRPr="003167C3">
        <w:rPr>
          <w:rFonts w:ascii="Arial" w:hAnsi="Arial" w:cs="Arial"/>
        </w:rPr>
        <w:t>Measure students’ grammatical competence in subject-verb agreement, prepositions, verb aspects, and modals.</w:t>
      </w:r>
    </w:p>
    <w:p w14:paraId="32EF7F16" w14:textId="31FD624B" w:rsidR="003167C3" w:rsidRPr="003167C3" w:rsidRDefault="003167C3" w:rsidP="003167C3">
      <w:pPr>
        <w:pStyle w:val="Body"/>
        <w:rPr>
          <w:rFonts w:ascii="Arial" w:hAnsi="Arial" w:cs="Arial"/>
        </w:rPr>
      </w:pPr>
      <w:r w:rsidRPr="003167C3">
        <w:rPr>
          <w:rFonts w:ascii="Arial" w:hAnsi="Arial" w:cs="Arial"/>
        </w:rPr>
        <w:t>5.</w:t>
      </w:r>
      <w:r>
        <w:rPr>
          <w:rFonts w:ascii="Arial" w:hAnsi="Arial" w:cs="Arial"/>
        </w:rPr>
        <w:t xml:space="preserve"> </w:t>
      </w:r>
      <w:r w:rsidRPr="003167C3">
        <w:rPr>
          <w:rFonts w:ascii="Arial" w:hAnsi="Arial" w:cs="Arial"/>
        </w:rPr>
        <w:t xml:space="preserve">Establish significant relationships among language exposure, </w:t>
      </w:r>
      <w:r w:rsidR="00E300A7" w:rsidRPr="00E300A7">
        <w:rPr>
          <w:rFonts w:ascii="Arial" w:hAnsi="Arial" w:cs="Arial"/>
        </w:rPr>
        <w:t>language learning</w:t>
      </w:r>
      <w:r w:rsidR="00E300A7">
        <w:rPr>
          <w:rFonts w:ascii="Arial" w:hAnsi="Arial" w:cs="Arial"/>
        </w:rPr>
        <w:t>,</w:t>
      </w:r>
      <w:r w:rsidR="00017D60">
        <w:rPr>
          <w:rFonts w:ascii="Arial" w:hAnsi="Arial" w:cs="Arial"/>
        </w:rPr>
        <w:t xml:space="preserve"> </w:t>
      </w:r>
      <w:r w:rsidRPr="003167C3">
        <w:rPr>
          <w:rFonts w:ascii="Arial" w:hAnsi="Arial" w:cs="Arial"/>
        </w:rPr>
        <w:t>reading strategies and grammatical competence.</w:t>
      </w:r>
    </w:p>
    <w:p w14:paraId="0F2A1E71" w14:textId="61E69C7D" w:rsidR="00B75C75" w:rsidRPr="003167C3" w:rsidRDefault="003167C3" w:rsidP="003167C3">
      <w:pPr>
        <w:pStyle w:val="Body"/>
        <w:rPr>
          <w:rFonts w:ascii="Arial" w:hAnsi="Arial" w:cs="Arial"/>
        </w:rPr>
      </w:pPr>
      <w:r w:rsidRPr="003167C3">
        <w:rPr>
          <w:rFonts w:ascii="Arial" w:hAnsi="Arial" w:cs="Arial"/>
        </w:rPr>
        <w:t>6.</w:t>
      </w:r>
      <w:r w:rsidRPr="003167C3">
        <w:t xml:space="preserve"> </w:t>
      </w:r>
      <w:r w:rsidRPr="003167C3">
        <w:rPr>
          <w:rFonts w:ascii="Arial" w:hAnsi="Arial" w:cs="Arial"/>
        </w:rPr>
        <w:t>Identify the most suitable model for students' grammatical competence.</w:t>
      </w:r>
      <w:r w:rsidRPr="003167C3">
        <w:rPr>
          <w:rFonts w:ascii="Arial" w:hAnsi="Arial" w:cs="Arial"/>
        </w:rPr>
        <w:tab/>
      </w:r>
    </w:p>
    <w:p w14:paraId="5F8BBD68" w14:textId="2D84F178" w:rsidR="007F7B32" w:rsidRDefault="00902823" w:rsidP="00441B6F">
      <w:pPr>
        <w:pStyle w:val="AbstHead"/>
        <w:spacing w:after="0"/>
        <w:jc w:val="both"/>
        <w:rPr>
          <w:rFonts w:ascii="Arial" w:hAnsi="Arial" w:cs="Arial"/>
        </w:rPr>
      </w:pPr>
      <w:r>
        <w:rPr>
          <w:rFonts w:ascii="Arial" w:hAnsi="Arial" w:cs="Arial"/>
        </w:rPr>
        <w:lastRenderedPageBreak/>
        <w:t>2</w:t>
      </w:r>
      <w:r w:rsidR="002E2700">
        <w:rPr>
          <w:rFonts w:ascii="Arial" w:hAnsi="Arial" w:cs="Arial"/>
        </w:rPr>
        <w:t>. METHODOLOGY</w:t>
      </w:r>
      <w:r w:rsidR="007F7B32">
        <w:rPr>
          <w:rFonts w:ascii="Arial" w:hAnsi="Arial" w:cs="Arial"/>
        </w:rPr>
        <w:t xml:space="preserve"> </w:t>
      </w:r>
    </w:p>
    <w:p w14:paraId="0EEE1E51" w14:textId="77777777" w:rsidR="00790ADA" w:rsidRPr="00FB3A86" w:rsidRDefault="00790ADA" w:rsidP="00441B6F">
      <w:pPr>
        <w:pStyle w:val="AbstHead"/>
        <w:spacing w:after="0"/>
        <w:jc w:val="both"/>
        <w:rPr>
          <w:rFonts w:ascii="Arial" w:hAnsi="Arial" w:cs="Arial"/>
        </w:rPr>
      </w:pPr>
    </w:p>
    <w:p w14:paraId="42CC52B9" w14:textId="015003DD" w:rsidR="005C6AAC" w:rsidRDefault="005C6AAC" w:rsidP="00441B6F">
      <w:pPr>
        <w:pStyle w:val="Body"/>
        <w:spacing w:after="0"/>
        <w:rPr>
          <w:rFonts w:ascii="Arial" w:hAnsi="Arial" w:cs="Arial"/>
          <w:b/>
          <w:bCs/>
          <w:sz w:val="22"/>
          <w:szCs w:val="22"/>
        </w:rPr>
      </w:pPr>
      <w:r w:rsidRPr="005806A4">
        <w:rPr>
          <w:rFonts w:ascii="Arial" w:hAnsi="Arial" w:cs="Arial"/>
          <w:b/>
          <w:bCs/>
          <w:sz w:val="22"/>
          <w:szCs w:val="22"/>
        </w:rPr>
        <w:t>2.1 Participants</w:t>
      </w:r>
    </w:p>
    <w:p w14:paraId="5C827DF0" w14:textId="77777777" w:rsidR="00B75924" w:rsidRPr="005806A4" w:rsidRDefault="00B75924" w:rsidP="00441B6F">
      <w:pPr>
        <w:pStyle w:val="Body"/>
        <w:spacing w:after="0"/>
        <w:rPr>
          <w:rFonts w:ascii="Arial" w:hAnsi="Arial" w:cs="Arial"/>
          <w:b/>
          <w:bCs/>
          <w:sz w:val="22"/>
          <w:szCs w:val="22"/>
        </w:rPr>
      </w:pPr>
    </w:p>
    <w:p w14:paraId="09C0E048" w14:textId="77777777" w:rsidR="00D37116" w:rsidRDefault="00D37116" w:rsidP="00D37116">
      <w:pPr>
        <w:pStyle w:val="Body"/>
        <w:rPr>
          <w:rFonts w:ascii="Arial" w:hAnsi="Arial" w:cs="Arial"/>
        </w:rPr>
      </w:pPr>
      <w:r w:rsidRPr="00D37116">
        <w:rPr>
          <w:rFonts w:ascii="Arial" w:hAnsi="Arial" w:cs="Arial"/>
        </w:rPr>
        <w:t>The total population of Grade 9 students for the school year 2024–2025 in Region XI is 3,512. The respondents were selected from public schools across various divisions within Region XI, specifically: 93 from Davao del Norte, 72 from Davao del Sur, 83 from Mati City, 72 from Davao Occidental, and 80 from Davao City. Using the RAOSOFT Sample Size Calculator, a total of 400 respondents voluntarily participated in this study. Students from other grade levels—such as Grades 7, 8, 10, 11, and 12—as well as those enrolled in private schools were excluded from the research.</w:t>
      </w:r>
    </w:p>
    <w:p w14:paraId="47298C29" w14:textId="3F3906A6" w:rsidR="00D37116" w:rsidRPr="00D37116" w:rsidRDefault="00D37116" w:rsidP="00D37116">
      <w:pPr>
        <w:pStyle w:val="Body"/>
        <w:rPr>
          <w:rFonts w:ascii="Arial" w:hAnsi="Arial" w:cs="Arial"/>
        </w:rPr>
      </w:pPr>
      <w:r w:rsidRPr="00D37116">
        <w:rPr>
          <w:rFonts w:ascii="Arial" w:hAnsi="Arial" w:cs="Arial"/>
        </w:rPr>
        <w:t>Grade 9 students were chosen as respondents because, according to Lopez (2021), this stage represents a critical period in their academic development as they face the challenges of high school. Moreover, the researcher is currently a public-school teacher who teaches Grade 9, which further justifies the focus on this level.</w:t>
      </w:r>
    </w:p>
    <w:p w14:paraId="1FF2E4DA" w14:textId="77777777" w:rsidR="00D37116" w:rsidRPr="00D37116" w:rsidRDefault="00D37116" w:rsidP="00D37116">
      <w:pPr>
        <w:pStyle w:val="Body"/>
        <w:rPr>
          <w:rFonts w:ascii="Arial" w:hAnsi="Arial" w:cs="Arial"/>
        </w:rPr>
      </w:pPr>
      <w:r w:rsidRPr="00D37116">
        <w:rPr>
          <w:rFonts w:ascii="Arial" w:hAnsi="Arial" w:cs="Arial"/>
        </w:rPr>
        <w:t>All participants in the study participated voluntarily and were not coerced in any way into answering the questionnaire. They willingly gave their time and effort to complete the research tool without any threats or intimidation. The researcher fully respected any participant’s decision not to take part in the study. It was clearly explained that there would be no penalties for those who chose not to participate, and that no legal rights or freedoms would be taken away due to their decision regarding participation in the research.</w:t>
      </w:r>
    </w:p>
    <w:p w14:paraId="44423E83" w14:textId="4C6EE85C" w:rsidR="00D37116" w:rsidRPr="00D37116" w:rsidRDefault="00D37116" w:rsidP="00D37116">
      <w:pPr>
        <w:pStyle w:val="Body"/>
        <w:rPr>
          <w:rFonts w:ascii="Arial" w:hAnsi="Arial" w:cs="Arial"/>
        </w:rPr>
      </w:pPr>
      <w:r w:rsidRPr="00D37116">
        <w:rPr>
          <w:rFonts w:ascii="Arial" w:hAnsi="Arial" w:cs="Arial"/>
        </w:rPr>
        <w:t>Stratified random sampling involves dividing the population into specific subgroups or strata based on characteristics such as age, gender, or income level</w:t>
      </w:r>
      <w:r w:rsidR="00E300A7">
        <w:rPr>
          <w:rFonts w:ascii="Arial" w:hAnsi="Arial" w:cs="Arial"/>
        </w:rPr>
        <w:t xml:space="preserve"> </w:t>
      </w:r>
      <w:r w:rsidRPr="00D37116">
        <w:rPr>
          <w:rFonts w:ascii="Arial" w:hAnsi="Arial" w:cs="Arial"/>
        </w:rPr>
        <w:t>and then randomly selecting samples from each subgroup. This method allows for a more accurate representation of the overall population because it ensures each subgroup is included in the sample. By reducing potential bias and ensuring proportional representation across different strata, researchers can draw more valid conclusions about the entire population (Cooper &amp; Schindler, 201</w:t>
      </w:r>
      <w:r w:rsidR="006C4E02">
        <w:rPr>
          <w:rFonts w:ascii="Arial" w:hAnsi="Arial" w:cs="Arial"/>
        </w:rPr>
        <w:t>9</w:t>
      </w:r>
      <w:r w:rsidRPr="00D37116">
        <w:rPr>
          <w:rFonts w:ascii="Arial" w:hAnsi="Arial" w:cs="Arial"/>
        </w:rPr>
        <w:t>).</w:t>
      </w:r>
    </w:p>
    <w:p w14:paraId="794918F4" w14:textId="5177F288" w:rsidR="00D37116" w:rsidRDefault="002E2700" w:rsidP="00441B6F">
      <w:pPr>
        <w:pStyle w:val="Body"/>
        <w:spacing w:after="0"/>
        <w:rPr>
          <w:rFonts w:ascii="Arial" w:hAnsi="Arial" w:cs="Arial"/>
          <w:b/>
          <w:bCs/>
          <w:sz w:val="22"/>
          <w:szCs w:val="22"/>
        </w:rPr>
      </w:pPr>
      <w:r w:rsidRPr="005806A4">
        <w:rPr>
          <w:rFonts w:ascii="Arial" w:hAnsi="Arial" w:cs="Arial"/>
          <w:b/>
          <w:bCs/>
          <w:sz w:val="22"/>
          <w:szCs w:val="22"/>
        </w:rPr>
        <w:t>2.2 Instrument</w:t>
      </w:r>
    </w:p>
    <w:p w14:paraId="0F9A5A08" w14:textId="77777777" w:rsidR="00B75924" w:rsidRPr="005806A4" w:rsidRDefault="00B75924" w:rsidP="00441B6F">
      <w:pPr>
        <w:pStyle w:val="Body"/>
        <w:spacing w:after="0"/>
        <w:rPr>
          <w:rFonts w:ascii="Arial" w:hAnsi="Arial" w:cs="Arial"/>
          <w:b/>
          <w:bCs/>
          <w:sz w:val="22"/>
          <w:szCs w:val="22"/>
        </w:rPr>
      </w:pPr>
    </w:p>
    <w:p w14:paraId="601F07B1" w14:textId="536EEA35" w:rsidR="00B8364C" w:rsidRPr="00B8364C" w:rsidRDefault="00B8364C" w:rsidP="00B8364C">
      <w:pPr>
        <w:pStyle w:val="Body"/>
        <w:rPr>
          <w:rFonts w:ascii="Arial" w:hAnsi="Arial" w:cs="Arial"/>
        </w:rPr>
      </w:pPr>
      <w:r w:rsidRPr="00B8364C">
        <w:rPr>
          <w:rFonts w:ascii="Arial" w:hAnsi="Arial" w:cs="Arial"/>
        </w:rPr>
        <w:t xml:space="preserve">The researcher developed a questionnaire based on online references, which was translated and reviewed by the research adviser. To ensure reliability, the instrument was validated by six experts. It aimed to measure students’ language exposure, </w:t>
      </w:r>
      <w:r w:rsidR="00E300A7" w:rsidRPr="00E300A7">
        <w:rPr>
          <w:rFonts w:ascii="Arial" w:hAnsi="Arial" w:cs="Arial"/>
        </w:rPr>
        <w:t>language learning</w:t>
      </w:r>
      <w:r w:rsidR="00E300A7">
        <w:rPr>
          <w:rFonts w:ascii="Arial" w:hAnsi="Arial" w:cs="Arial"/>
        </w:rPr>
        <w:t>,</w:t>
      </w:r>
      <w:r w:rsidR="00813AFF">
        <w:rPr>
          <w:rFonts w:ascii="Arial" w:hAnsi="Arial" w:cs="Arial"/>
        </w:rPr>
        <w:t xml:space="preserve"> </w:t>
      </w:r>
      <w:r w:rsidRPr="00B8364C">
        <w:rPr>
          <w:rFonts w:ascii="Arial" w:hAnsi="Arial" w:cs="Arial"/>
        </w:rPr>
        <w:t>reading strategies</w:t>
      </w:r>
      <w:r w:rsidR="00E300A7">
        <w:rPr>
          <w:rFonts w:ascii="Arial" w:hAnsi="Arial" w:cs="Arial"/>
        </w:rPr>
        <w:t xml:space="preserve"> </w:t>
      </w:r>
      <w:r w:rsidRPr="00B8364C">
        <w:rPr>
          <w:rFonts w:ascii="Arial" w:hAnsi="Arial" w:cs="Arial"/>
        </w:rPr>
        <w:t>and grammatical competence, and was divided into four parts.</w:t>
      </w:r>
    </w:p>
    <w:p w14:paraId="6D802F35" w14:textId="524EB320" w:rsidR="00B8364C" w:rsidRPr="00B8364C" w:rsidRDefault="00B8364C" w:rsidP="00B8364C">
      <w:pPr>
        <w:pStyle w:val="Body"/>
        <w:rPr>
          <w:rFonts w:ascii="Arial" w:hAnsi="Arial" w:cs="Arial"/>
        </w:rPr>
      </w:pPr>
      <w:r w:rsidRPr="00B8364C">
        <w:rPr>
          <w:rFonts w:ascii="Arial" w:hAnsi="Arial" w:cs="Arial"/>
        </w:rPr>
        <w:t xml:space="preserve">The first part, Language Exposure, consisted of 23 items across four indicators: home, friends, school, and media (Magno et al., 2009). The second part, </w:t>
      </w:r>
      <w:r w:rsidR="002C2DFA" w:rsidRPr="002C2DFA">
        <w:rPr>
          <w:rFonts w:ascii="Arial" w:hAnsi="Arial" w:cs="Arial"/>
        </w:rPr>
        <w:t>Language Learning, had 80 items covering speaking, listening, reading, and writing skills (</w:t>
      </w:r>
      <w:proofErr w:type="spellStart"/>
      <w:r w:rsidR="002C2DFA" w:rsidRPr="002C2DFA">
        <w:rPr>
          <w:rFonts w:ascii="Arial" w:hAnsi="Arial" w:cs="Arial"/>
        </w:rPr>
        <w:t>Setiyadi</w:t>
      </w:r>
      <w:proofErr w:type="spellEnd"/>
      <w:r w:rsidR="002C2DFA" w:rsidRPr="002C2DFA">
        <w:rPr>
          <w:rFonts w:ascii="Arial" w:hAnsi="Arial" w:cs="Arial"/>
        </w:rPr>
        <w:t>, 2006)</w:t>
      </w:r>
      <w:r w:rsidR="002C2DFA">
        <w:rPr>
          <w:rFonts w:ascii="Arial" w:hAnsi="Arial" w:cs="Arial"/>
        </w:rPr>
        <w:t xml:space="preserve">. The third part, </w:t>
      </w:r>
      <w:r w:rsidRPr="00B8364C">
        <w:rPr>
          <w:rFonts w:ascii="Arial" w:hAnsi="Arial" w:cs="Arial"/>
        </w:rPr>
        <w:t>Reading Strategies, included 20 items addressing cognitive and metacognitive strategies (</w:t>
      </w:r>
      <w:proofErr w:type="spellStart"/>
      <w:r w:rsidRPr="00B8364C">
        <w:rPr>
          <w:rFonts w:ascii="Arial" w:hAnsi="Arial" w:cs="Arial"/>
        </w:rPr>
        <w:t>Semtin</w:t>
      </w:r>
      <w:proofErr w:type="spellEnd"/>
      <w:r w:rsidRPr="00B8364C">
        <w:rPr>
          <w:rFonts w:ascii="Arial" w:hAnsi="Arial" w:cs="Arial"/>
        </w:rPr>
        <w:t xml:space="preserve">, 2011; </w:t>
      </w:r>
      <w:proofErr w:type="spellStart"/>
      <w:r w:rsidRPr="00B8364C">
        <w:rPr>
          <w:rFonts w:ascii="Arial" w:hAnsi="Arial" w:cs="Arial"/>
        </w:rPr>
        <w:t>Maniam</w:t>
      </w:r>
      <w:proofErr w:type="spellEnd"/>
      <w:r w:rsidRPr="00B8364C">
        <w:rPr>
          <w:rFonts w:ascii="Arial" w:hAnsi="Arial" w:cs="Arial"/>
        </w:rPr>
        <w:t>, 2010). The fourth part, Grammatical Competence, included 100 items on prepositions, subject-verb agreement, verb aspects, modals, and voice (</w:t>
      </w:r>
      <w:proofErr w:type="spellStart"/>
      <w:r w:rsidRPr="00B8364C">
        <w:rPr>
          <w:rFonts w:ascii="Arial" w:hAnsi="Arial" w:cs="Arial"/>
        </w:rPr>
        <w:t>Balones</w:t>
      </w:r>
      <w:proofErr w:type="spellEnd"/>
      <w:r w:rsidRPr="00B8364C">
        <w:rPr>
          <w:rFonts w:ascii="Arial" w:hAnsi="Arial" w:cs="Arial"/>
        </w:rPr>
        <w:t xml:space="preserve"> &amp; </w:t>
      </w:r>
      <w:proofErr w:type="spellStart"/>
      <w:r w:rsidRPr="00B8364C">
        <w:rPr>
          <w:rFonts w:ascii="Arial" w:hAnsi="Arial" w:cs="Arial"/>
        </w:rPr>
        <w:t>Gempes</w:t>
      </w:r>
      <w:proofErr w:type="spellEnd"/>
      <w:r w:rsidRPr="00B8364C">
        <w:rPr>
          <w:rFonts w:ascii="Arial" w:hAnsi="Arial" w:cs="Arial"/>
        </w:rPr>
        <w:t>, 2022).</w:t>
      </w:r>
    </w:p>
    <w:p w14:paraId="10E1E555" w14:textId="3AB54FCE" w:rsidR="002E2700" w:rsidRDefault="00B8364C" w:rsidP="00B8364C">
      <w:pPr>
        <w:pStyle w:val="Body"/>
        <w:spacing w:after="0"/>
        <w:rPr>
          <w:rFonts w:ascii="Arial" w:hAnsi="Arial" w:cs="Arial"/>
        </w:rPr>
      </w:pPr>
      <w:r w:rsidRPr="00B8364C">
        <w:rPr>
          <w:rFonts w:ascii="Arial" w:hAnsi="Arial" w:cs="Arial"/>
        </w:rPr>
        <w:t xml:space="preserve">Items were rated on a five-point Likert scale: 4.20–5.00 (Very High), 3.40–4.19 (High), 2.60–3.39 (Moderate), 1.80–2.59 (Low), and 1.00–1.79 (Very Low). After validation, the instrument received an overall mean score of 4.50, indicating excellent validity. A pilot test with 30 students showed strong reliability, with Cronbach's alpha scores of .962 for the entire instrument, .927 for reading strategies, .953 for language learning, and .950 for grammatical competence. Revisions were made based on expert suggestions, and a statistician confirmed </w:t>
      </w:r>
      <w:r w:rsidRPr="00B8364C">
        <w:rPr>
          <w:rFonts w:ascii="Arial" w:hAnsi="Arial" w:cs="Arial"/>
        </w:rPr>
        <w:lastRenderedPageBreak/>
        <w:t>item reliability using Cronbach’s Alpha. The researcher then obtained approval from the Dean of the Professional Department to begin data collection.</w:t>
      </w:r>
    </w:p>
    <w:p w14:paraId="33571F0F" w14:textId="77777777" w:rsidR="00B8364C" w:rsidRDefault="00B8364C" w:rsidP="002E2700">
      <w:pPr>
        <w:pStyle w:val="Body"/>
        <w:spacing w:after="0"/>
        <w:rPr>
          <w:rFonts w:ascii="Arial" w:hAnsi="Arial" w:cs="Arial"/>
          <w:b/>
          <w:bCs/>
          <w:sz w:val="22"/>
          <w:szCs w:val="22"/>
        </w:rPr>
      </w:pPr>
    </w:p>
    <w:p w14:paraId="1F027870" w14:textId="1A9A7A6B" w:rsidR="002E2700" w:rsidRDefault="002E2700" w:rsidP="002E2700">
      <w:pPr>
        <w:pStyle w:val="Body"/>
        <w:spacing w:after="0"/>
        <w:rPr>
          <w:rFonts w:ascii="Arial" w:hAnsi="Arial" w:cs="Arial"/>
          <w:b/>
          <w:bCs/>
          <w:sz w:val="22"/>
          <w:szCs w:val="22"/>
        </w:rPr>
      </w:pPr>
      <w:r w:rsidRPr="005806A4">
        <w:rPr>
          <w:rFonts w:ascii="Arial" w:hAnsi="Arial" w:cs="Arial"/>
          <w:b/>
          <w:bCs/>
          <w:sz w:val="22"/>
          <w:szCs w:val="22"/>
        </w:rPr>
        <w:t>2.3 Procedure and Design</w:t>
      </w:r>
    </w:p>
    <w:p w14:paraId="48E0F092" w14:textId="77777777" w:rsidR="00B75924" w:rsidRPr="005806A4" w:rsidRDefault="00B75924" w:rsidP="002E2700">
      <w:pPr>
        <w:pStyle w:val="Body"/>
        <w:spacing w:after="0"/>
        <w:rPr>
          <w:rFonts w:ascii="Arial" w:hAnsi="Arial" w:cs="Arial"/>
          <w:b/>
          <w:bCs/>
          <w:sz w:val="22"/>
          <w:szCs w:val="22"/>
        </w:rPr>
      </w:pPr>
    </w:p>
    <w:p w14:paraId="7AD23C39" w14:textId="4DE6D4C1" w:rsidR="00B8364C" w:rsidRPr="00B8364C" w:rsidRDefault="00B8364C" w:rsidP="00B8364C">
      <w:pPr>
        <w:pStyle w:val="Body"/>
        <w:rPr>
          <w:rFonts w:ascii="Arial" w:hAnsi="Arial" w:cs="Arial"/>
        </w:rPr>
      </w:pPr>
      <w:r w:rsidRPr="00B8364C">
        <w:rPr>
          <w:rFonts w:ascii="Arial" w:hAnsi="Arial" w:cs="Arial"/>
        </w:rPr>
        <w:t xml:space="preserve">This study utilized a non-experimental quantitative research design, employing Structural Equation Modeling (SEM) to examine the relationships among language exposure, </w:t>
      </w:r>
      <w:r w:rsidR="00E300A7" w:rsidRPr="00E300A7">
        <w:rPr>
          <w:rFonts w:ascii="Arial" w:hAnsi="Arial" w:cs="Arial"/>
        </w:rPr>
        <w:t>language learning</w:t>
      </w:r>
      <w:r w:rsidR="00E300A7">
        <w:rPr>
          <w:rFonts w:ascii="Arial" w:hAnsi="Arial" w:cs="Arial"/>
        </w:rPr>
        <w:t>,</w:t>
      </w:r>
      <w:r w:rsidR="002A2F19">
        <w:rPr>
          <w:rFonts w:ascii="Arial" w:hAnsi="Arial" w:cs="Arial"/>
        </w:rPr>
        <w:t xml:space="preserve"> </w:t>
      </w:r>
      <w:r w:rsidRPr="00B8364C">
        <w:rPr>
          <w:rFonts w:ascii="Arial" w:hAnsi="Arial" w:cs="Arial"/>
        </w:rPr>
        <w:t xml:space="preserve">reading strategies and grammatical competence. SEM was selected for its strength in analyzing complex interactions between exogenous variables, those that are directly measurable—and endogenous variables, which are identified based on their relationship with observed variables. According to Civelek (2018), SEM is more systematic and theoretically grounded compared to other statistical methods, making it suitable for testing hypotheses and theoretical models (Bollen &amp; Long, 1993; Hoyle &amp; Smith, 1994; Kline, 2016; Weston &amp; Gore, 2006). It not only relies on data but also integrates theoretical concepts to explore the underlying processes among variables. The SEM process followed five essential steps: model specification, identification, parameter estimation, model evaluation, and model modification (Kline, 2016; Hoyle, 1995; Byrne, 2013; Fan, 2003; Chen, 2007; </w:t>
      </w:r>
      <w:proofErr w:type="spellStart"/>
      <w:r w:rsidRPr="00B8364C">
        <w:rPr>
          <w:rFonts w:ascii="Arial" w:hAnsi="Arial" w:cs="Arial"/>
        </w:rPr>
        <w:t>Sherkey</w:t>
      </w:r>
      <w:proofErr w:type="spellEnd"/>
      <w:r w:rsidRPr="00B8364C">
        <w:rPr>
          <w:rFonts w:ascii="Arial" w:hAnsi="Arial" w:cs="Arial"/>
        </w:rPr>
        <w:t>, 2010; John, 2010; Wu, 2010; Park &amp; Shao, 2010).</w:t>
      </w:r>
    </w:p>
    <w:p w14:paraId="0CC806CF" w14:textId="77777777" w:rsidR="00B8364C" w:rsidRPr="00B8364C" w:rsidRDefault="00B8364C" w:rsidP="00B8364C">
      <w:pPr>
        <w:pStyle w:val="Body"/>
        <w:rPr>
          <w:rFonts w:ascii="Arial" w:hAnsi="Arial" w:cs="Arial"/>
        </w:rPr>
      </w:pPr>
      <w:r w:rsidRPr="00B8364C">
        <w:rPr>
          <w:rFonts w:ascii="Arial" w:hAnsi="Arial" w:cs="Arial"/>
        </w:rPr>
        <w:t>The data collection procedure began with the acquisition of permission to conduct the study. The researcher submitted formal letters requesting approval to the Senior Vice President for Academic Affairs of UM Main to carry out the study in Region XI. Upon approval, the validated questionnaire was administered and distributed to the target respondents. Following this, the completed instruments were collected, tabulated, and analyzed. The confidentiality of participants' responses was strictly observed, and data storage adhered to the five-year retention policy for future publication and research use.</w:t>
      </w:r>
    </w:p>
    <w:p w14:paraId="6761F8BD" w14:textId="3C3FDDE9" w:rsidR="00B8364C" w:rsidRPr="00B8364C" w:rsidRDefault="00B8364C" w:rsidP="00B8364C">
      <w:pPr>
        <w:pStyle w:val="Body"/>
        <w:rPr>
          <w:rFonts w:ascii="Arial" w:hAnsi="Arial" w:cs="Arial"/>
        </w:rPr>
      </w:pPr>
      <w:r w:rsidRPr="00B8364C">
        <w:rPr>
          <w:rFonts w:ascii="Arial" w:hAnsi="Arial" w:cs="Arial"/>
        </w:rPr>
        <w:t>The analysis and interpretation of data were conducted by a statistician using SEM, after which the researcher interpreted and discussed the findings. Various statistical tools were applied to analyze the data: the mean was used to describe students’ language exposure,</w:t>
      </w:r>
      <w:r w:rsidR="00E300A7" w:rsidRPr="00E300A7">
        <w:t xml:space="preserve"> </w:t>
      </w:r>
      <w:r w:rsidR="00E300A7" w:rsidRPr="00E300A7">
        <w:rPr>
          <w:rFonts w:ascii="Arial" w:hAnsi="Arial" w:cs="Arial"/>
        </w:rPr>
        <w:t>language learning</w:t>
      </w:r>
      <w:r w:rsidR="00E300A7">
        <w:rPr>
          <w:rFonts w:ascii="Arial" w:hAnsi="Arial" w:cs="Arial"/>
        </w:rPr>
        <w:t xml:space="preserve"> and </w:t>
      </w:r>
      <w:r w:rsidRPr="00B8364C">
        <w:rPr>
          <w:rFonts w:ascii="Arial" w:hAnsi="Arial" w:cs="Arial"/>
        </w:rPr>
        <w:t xml:space="preserve">reading strategies; standard deviation measured the dispersion of responses; Pearson r determined the strength and direction of relationships among the variables; and simple linear regression analysis evaluated the predictive influence of language exposure, </w:t>
      </w:r>
      <w:r w:rsidR="00E300A7" w:rsidRPr="00E300A7">
        <w:rPr>
          <w:rFonts w:ascii="Arial" w:hAnsi="Arial" w:cs="Arial"/>
        </w:rPr>
        <w:t xml:space="preserve">language learning </w:t>
      </w:r>
      <w:r w:rsidR="00E300A7">
        <w:rPr>
          <w:rFonts w:ascii="Arial" w:hAnsi="Arial" w:cs="Arial"/>
        </w:rPr>
        <w:t xml:space="preserve">and </w:t>
      </w:r>
      <w:r w:rsidRPr="00B8364C">
        <w:rPr>
          <w:rFonts w:ascii="Arial" w:hAnsi="Arial" w:cs="Arial"/>
        </w:rPr>
        <w:t>reading strategies</w:t>
      </w:r>
      <w:r w:rsidR="00E300A7">
        <w:rPr>
          <w:rFonts w:ascii="Arial" w:hAnsi="Arial" w:cs="Arial"/>
        </w:rPr>
        <w:t xml:space="preserve"> </w:t>
      </w:r>
      <w:r w:rsidRPr="00B8364C">
        <w:rPr>
          <w:rFonts w:ascii="Arial" w:hAnsi="Arial" w:cs="Arial"/>
        </w:rPr>
        <w:t>on grammatical competence.</w:t>
      </w:r>
    </w:p>
    <w:p w14:paraId="78421B17" w14:textId="34905702" w:rsidR="005806A4" w:rsidRDefault="00B8364C" w:rsidP="00B8364C">
      <w:pPr>
        <w:pStyle w:val="Body"/>
        <w:spacing w:after="0"/>
        <w:rPr>
          <w:rFonts w:ascii="Arial" w:hAnsi="Arial" w:cs="Arial"/>
        </w:rPr>
      </w:pPr>
      <w:r w:rsidRPr="00B8364C">
        <w:rPr>
          <w:rFonts w:ascii="Arial" w:hAnsi="Arial" w:cs="Arial"/>
        </w:rPr>
        <w:t>Throughout the entire research process, the researcher complied with ethical research standards and institutional protocols, especially concerning the management and protection of participant data. The study underwent review by the University of Mindanao Ethics Review Committee (UMERC), where all necessary documents—including the questionnaire and ethical forms—were submitted. Based on UMERC's feedback, Form 2.2 was revised once. The study received ethical clearance on April 15, 2024, with the reference number UMERC–2024-098. Ethical considerations such as participant consent, data confidentiality, and participant protection were strictly upheld.</w:t>
      </w:r>
    </w:p>
    <w:p w14:paraId="019A63E2" w14:textId="77777777" w:rsidR="00B8364C" w:rsidRDefault="00B8364C" w:rsidP="00B8364C">
      <w:pPr>
        <w:pStyle w:val="Body"/>
        <w:spacing w:after="0"/>
        <w:rPr>
          <w:rFonts w:ascii="Arial" w:hAnsi="Arial" w:cs="Arial"/>
        </w:rPr>
      </w:pPr>
    </w:p>
    <w:p w14:paraId="0D40C80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477C0F" w14:textId="77777777" w:rsidR="00790ADA" w:rsidRPr="00FB3A86" w:rsidRDefault="00790ADA" w:rsidP="00441B6F">
      <w:pPr>
        <w:pStyle w:val="Head1"/>
        <w:spacing w:after="0"/>
        <w:jc w:val="both"/>
        <w:rPr>
          <w:rFonts w:ascii="Arial" w:hAnsi="Arial" w:cs="Arial"/>
        </w:rPr>
      </w:pPr>
    </w:p>
    <w:p w14:paraId="7FFE0495" w14:textId="77777777" w:rsidR="007F3E8F" w:rsidRDefault="007F3E8F" w:rsidP="00441B6F">
      <w:pPr>
        <w:pStyle w:val="Body"/>
        <w:spacing w:after="0"/>
        <w:rPr>
          <w:rFonts w:ascii="Arial" w:hAnsi="Arial" w:cs="Arial"/>
        </w:rPr>
      </w:pPr>
      <w:r w:rsidRPr="007F3E8F">
        <w:rPr>
          <w:rFonts w:ascii="Arial" w:hAnsi="Arial" w:cs="Arial"/>
        </w:rPr>
        <w:t xml:space="preserve">Table 1 presents the level of language exposure among students in public schools in Region XI. The overall mean score is 3.82, with a descriptive level of "high" and a standard deviation of 0.62. </w:t>
      </w:r>
    </w:p>
    <w:p w14:paraId="731129DC" w14:textId="54B3F752" w:rsidR="000442F5" w:rsidRDefault="000442F5" w:rsidP="000442F5">
      <w:pPr>
        <w:pStyle w:val="Body"/>
        <w:rPr>
          <w:rFonts w:ascii="Arial" w:hAnsi="Arial" w:cs="Arial"/>
        </w:rPr>
      </w:pPr>
      <w:r w:rsidRPr="000442F5">
        <w:rPr>
          <w:rFonts w:ascii="Arial" w:hAnsi="Arial" w:cs="Arial"/>
        </w:rPr>
        <w:t xml:space="preserve">Among the four indicators, school had the highest mean score of 4.01, with a descriptive level of high, and a standard deviation of 0.68, while the indicator home had the lowest mean score of 3.65, also with a descriptive level of high, and a standard deviation of 0.97. The results </w:t>
      </w:r>
      <w:r w:rsidRPr="000442F5">
        <w:rPr>
          <w:rFonts w:ascii="Arial" w:hAnsi="Arial" w:cs="Arial"/>
        </w:rPr>
        <w:lastRenderedPageBreak/>
        <w:t>indicate that respondents frequently engage in Filipino language activities, and their classmates and teachers often speak in Filipino.</w:t>
      </w:r>
    </w:p>
    <w:p w14:paraId="59AE959A" w14:textId="77777777" w:rsidR="00366730" w:rsidRPr="00366730" w:rsidRDefault="00366730" w:rsidP="00366730">
      <w:pPr>
        <w:spacing w:before="100" w:beforeAutospacing="1" w:after="100" w:afterAutospacing="1"/>
        <w:contextualSpacing/>
        <w:jc w:val="both"/>
        <w:rPr>
          <w:rFonts w:ascii="Arial" w:hAnsi="Arial" w:cs="Arial"/>
          <w:b/>
          <w:bCs/>
          <w:lang w:val="en-PH" w:eastAsia="en-PH"/>
        </w:rPr>
      </w:pPr>
      <w:r w:rsidRPr="00366730">
        <w:rPr>
          <w:rFonts w:ascii="Arial" w:hAnsi="Arial" w:cs="Arial"/>
          <w:b/>
          <w:bCs/>
          <w:lang w:val="en-PH" w:eastAsia="en-PH"/>
        </w:rPr>
        <w:t>Table 1</w:t>
      </w:r>
    </w:p>
    <w:p w14:paraId="19AE0FC3" w14:textId="77777777" w:rsidR="00366730" w:rsidRPr="00366730" w:rsidRDefault="00366730" w:rsidP="00366730">
      <w:pPr>
        <w:spacing w:before="100" w:beforeAutospacing="1" w:after="100" w:afterAutospacing="1"/>
        <w:contextualSpacing/>
        <w:jc w:val="both"/>
        <w:rPr>
          <w:rFonts w:ascii="Arial" w:hAnsi="Arial" w:cs="Arial"/>
          <w:i/>
          <w:iCs/>
          <w:lang w:val="en-PH" w:eastAsia="en-PH"/>
        </w:rPr>
      </w:pPr>
      <w:r w:rsidRPr="00366730">
        <w:rPr>
          <w:rFonts w:ascii="Arial" w:hAnsi="Arial" w:cs="Arial"/>
          <w:i/>
          <w:iCs/>
          <w:lang w:val="en-PH" w:eastAsia="en-PH"/>
        </w:rPr>
        <w:t>Level of Language Exposure of Students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1048"/>
        <w:gridCol w:w="1076"/>
        <w:gridCol w:w="2139"/>
      </w:tblGrid>
      <w:tr w:rsidR="00366730" w:rsidRPr="00366730" w14:paraId="392AA6DF" w14:textId="77777777" w:rsidTr="00C42D78">
        <w:trPr>
          <w:trHeight w:val="300"/>
        </w:trPr>
        <w:tc>
          <w:tcPr>
            <w:tcW w:w="4497" w:type="dxa"/>
            <w:tcBorders>
              <w:top w:val="single" w:sz="4" w:space="0" w:color="auto"/>
              <w:bottom w:val="single" w:sz="4" w:space="0" w:color="auto"/>
            </w:tcBorders>
            <w:vAlign w:val="center"/>
          </w:tcPr>
          <w:p w14:paraId="459F6503"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Indicator</w:t>
            </w:r>
          </w:p>
        </w:tc>
        <w:tc>
          <w:tcPr>
            <w:tcW w:w="1133" w:type="dxa"/>
            <w:tcBorders>
              <w:top w:val="single" w:sz="4" w:space="0" w:color="auto"/>
              <w:bottom w:val="single" w:sz="4" w:space="0" w:color="auto"/>
            </w:tcBorders>
            <w:vAlign w:val="center"/>
          </w:tcPr>
          <w:p w14:paraId="0EF2EE46"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SD</w:t>
            </w:r>
          </w:p>
        </w:tc>
        <w:tc>
          <w:tcPr>
            <w:tcW w:w="1142" w:type="dxa"/>
            <w:tcBorders>
              <w:top w:val="single" w:sz="4" w:space="0" w:color="auto"/>
              <w:bottom w:val="single" w:sz="4" w:space="0" w:color="auto"/>
            </w:tcBorders>
            <w:vAlign w:val="center"/>
          </w:tcPr>
          <w:p w14:paraId="18ABA02A"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Mean</w:t>
            </w:r>
          </w:p>
        </w:tc>
        <w:tc>
          <w:tcPr>
            <w:tcW w:w="2300" w:type="dxa"/>
            <w:tcBorders>
              <w:top w:val="single" w:sz="4" w:space="0" w:color="auto"/>
              <w:bottom w:val="single" w:sz="4" w:space="0" w:color="auto"/>
            </w:tcBorders>
            <w:vAlign w:val="center"/>
          </w:tcPr>
          <w:p w14:paraId="0B2C2F99"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Descriptive Level</w:t>
            </w:r>
          </w:p>
        </w:tc>
      </w:tr>
      <w:tr w:rsidR="00366730" w:rsidRPr="00366730" w14:paraId="1103AB5C" w14:textId="77777777" w:rsidTr="00C42D78">
        <w:trPr>
          <w:trHeight w:val="300"/>
        </w:trPr>
        <w:tc>
          <w:tcPr>
            <w:tcW w:w="4497" w:type="dxa"/>
            <w:tcBorders>
              <w:top w:val="single" w:sz="4" w:space="0" w:color="auto"/>
            </w:tcBorders>
            <w:vAlign w:val="center"/>
          </w:tcPr>
          <w:p w14:paraId="34508BE2"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Home</w:t>
            </w:r>
          </w:p>
        </w:tc>
        <w:tc>
          <w:tcPr>
            <w:tcW w:w="1133" w:type="dxa"/>
            <w:tcBorders>
              <w:top w:val="single" w:sz="4" w:space="0" w:color="auto"/>
            </w:tcBorders>
            <w:vAlign w:val="center"/>
          </w:tcPr>
          <w:p w14:paraId="111332E6"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0.97</w:t>
            </w:r>
          </w:p>
        </w:tc>
        <w:tc>
          <w:tcPr>
            <w:tcW w:w="1142" w:type="dxa"/>
            <w:tcBorders>
              <w:top w:val="single" w:sz="4" w:space="0" w:color="auto"/>
            </w:tcBorders>
            <w:vAlign w:val="center"/>
          </w:tcPr>
          <w:p w14:paraId="28945435"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3.65</w:t>
            </w:r>
          </w:p>
        </w:tc>
        <w:tc>
          <w:tcPr>
            <w:tcW w:w="2300" w:type="dxa"/>
            <w:tcBorders>
              <w:top w:val="single" w:sz="4" w:space="0" w:color="auto"/>
            </w:tcBorders>
            <w:vAlign w:val="center"/>
          </w:tcPr>
          <w:p w14:paraId="5D6F4700"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06AC30E9" w14:textId="77777777" w:rsidTr="00C42D78">
        <w:trPr>
          <w:trHeight w:val="300"/>
        </w:trPr>
        <w:tc>
          <w:tcPr>
            <w:tcW w:w="4497" w:type="dxa"/>
            <w:vAlign w:val="center"/>
          </w:tcPr>
          <w:p w14:paraId="54D1B286"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Friends</w:t>
            </w:r>
          </w:p>
        </w:tc>
        <w:tc>
          <w:tcPr>
            <w:tcW w:w="1133" w:type="dxa"/>
            <w:vAlign w:val="center"/>
          </w:tcPr>
          <w:p w14:paraId="0BBAB12C"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0.96</w:t>
            </w:r>
          </w:p>
        </w:tc>
        <w:tc>
          <w:tcPr>
            <w:tcW w:w="1142" w:type="dxa"/>
            <w:vAlign w:val="center"/>
          </w:tcPr>
          <w:p w14:paraId="142BAD71"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3.66</w:t>
            </w:r>
          </w:p>
        </w:tc>
        <w:tc>
          <w:tcPr>
            <w:tcW w:w="2300" w:type="dxa"/>
            <w:vAlign w:val="center"/>
          </w:tcPr>
          <w:p w14:paraId="6AA99453"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2FB53B8E" w14:textId="77777777" w:rsidTr="00C42D78">
        <w:trPr>
          <w:trHeight w:val="300"/>
        </w:trPr>
        <w:tc>
          <w:tcPr>
            <w:tcW w:w="4497" w:type="dxa"/>
            <w:vAlign w:val="center"/>
          </w:tcPr>
          <w:p w14:paraId="16DD1EAF"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School</w:t>
            </w:r>
          </w:p>
        </w:tc>
        <w:tc>
          <w:tcPr>
            <w:tcW w:w="1133" w:type="dxa"/>
            <w:vAlign w:val="center"/>
          </w:tcPr>
          <w:p w14:paraId="3BEED05A"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0.68</w:t>
            </w:r>
          </w:p>
        </w:tc>
        <w:tc>
          <w:tcPr>
            <w:tcW w:w="1142" w:type="dxa"/>
            <w:vAlign w:val="center"/>
          </w:tcPr>
          <w:p w14:paraId="53BBF00D"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4.01</w:t>
            </w:r>
          </w:p>
        </w:tc>
        <w:tc>
          <w:tcPr>
            <w:tcW w:w="2300" w:type="dxa"/>
            <w:vAlign w:val="center"/>
          </w:tcPr>
          <w:p w14:paraId="6BF4F704"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26C526E1" w14:textId="77777777" w:rsidTr="00C42D78">
        <w:trPr>
          <w:trHeight w:val="300"/>
        </w:trPr>
        <w:tc>
          <w:tcPr>
            <w:tcW w:w="4497" w:type="dxa"/>
            <w:vAlign w:val="center"/>
          </w:tcPr>
          <w:p w14:paraId="56BA8E07"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Media</w:t>
            </w:r>
          </w:p>
        </w:tc>
        <w:tc>
          <w:tcPr>
            <w:tcW w:w="1133" w:type="dxa"/>
            <w:vAlign w:val="center"/>
          </w:tcPr>
          <w:p w14:paraId="4DE77B68"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0.63</w:t>
            </w:r>
          </w:p>
        </w:tc>
        <w:tc>
          <w:tcPr>
            <w:tcW w:w="1142" w:type="dxa"/>
            <w:vAlign w:val="center"/>
          </w:tcPr>
          <w:p w14:paraId="44762EF4"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3.95</w:t>
            </w:r>
          </w:p>
        </w:tc>
        <w:tc>
          <w:tcPr>
            <w:tcW w:w="2300" w:type="dxa"/>
            <w:vAlign w:val="center"/>
          </w:tcPr>
          <w:p w14:paraId="04F42F3F"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0B336C94" w14:textId="77777777" w:rsidTr="00C42D78">
        <w:trPr>
          <w:trHeight w:val="300"/>
        </w:trPr>
        <w:tc>
          <w:tcPr>
            <w:tcW w:w="4497" w:type="dxa"/>
            <w:tcBorders>
              <w:bottom w:val="single" w:sz="4" w:space="0" w:color="auto"/>
            </w:tcBorders>
            <w:vAlign w:val="center"/>
          </w:tcPr>
          <w:p w14:paraId="747158E8"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Overall</w:t>
            </w:r>
          </w:p>
        </w:tc>
        <w:tc>
          <w:tcPr>
            <w:tcW w:w="1133" w:type="dxa"/>
            <w:tcBorders>
              <w:bottom w:val="single" w:sz="4" w:space="0" w:color="auto"/>
            </w:tcBorders>
            <w:vAlign w:val="center"/>
          </w:tcPr>
          <w:p w14:paraId="3B6CADF3"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0.62</w:t>
            </w:r>
          </w:p>
        </w:tc>
        <w:tc>
          <w:tcPr>
            <w:tcW w:w="1142" w:type="dxa"/>
            <w:tcBorders>
              <w:bottom w:val="single" w:sz="4" w:space="0" w:color="auto"/>
            </w:tcBorders>
            <w:vAlign w:val="center"/>
          </w:tcPr>
          <w:p w14:paraId="535A0BE2"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3.82</w:t>
            </w:r>
          </w:p>
        </w:tc>
        <w:tc>
          <w:tcPr>
            <w:tcW w:w="2300" w:type="dxa"/>
            <w:tcBorders>
              <w:bottom w:val="single" w:sz="4" w:space="0" w:color="auto"/>
            </w:tcBorders>
            <w:vAlign w:val="center"/>
          </w:tcPr>
          <w:p w14:paraId="4086B751"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High</w:t>
            </w:r>
          </w:p>
        </w:tc>
      </w:tr>
    </w:tbl>
    <w:p w14:paraId="71255CA4" w14:textId="77777777" w:rsidR="00366730" w:rsidRPr="000442F5" w:rsidRDefault="00366730" w:rsidP="000442F5">
      <w:pPr>
        <w:pStyle w:val="Body"/>
        <w:rPr>
          <w:rFonts w:ascii="Arial" w:hAnsi="Arial" w:cs="Arial"/>
        </w:rPr>
      </w:pPr>
    </w:p>
    <w:p w14:paraId="3049E84C" w14:textId="6AD449AA" w:rsidR="00B8364C" w:rsidRPr="00B8364C" w:rsidRDefault="00B8364C" w:rsidP="00B8364C">
      <w:pPr>
        <w:pStyle w:val="Body"/>
        <w:rPr>
          <w:rFonts w:ascii="Arial" w:hAnsi="Arial" w:cs="Arial"/>
        </w:rPr>
      </w:pPr>
      <w:r w:rsidRPr="00B8364C">
        <w:rPr>
          <w:rFonts w:ascii="Arial" w:hAnsi="Arial" w:cs="Arial"/>
        </w:rPr>
        <w:t>The results indicate that students’ language exposure significantly influences their communicative competence across different contexts. However, communicative competence involves more than just knowing the language—it also requires the ability to use it appropriately in various social settings, both formal and informal. Language development extends beyond the classroom and is shaped by interactions in social and digital environments, which play a crucial role in enhancing students’ language and communication skills.</w:t>
      </w:r>
    </w:p>
    <w:p w14:paraId="280F7C55" w14:textId="1E618A52" w:rsidR="00A14259" w:rsidRDefault="00B8364C" w:rsidP="00B8364C">
      <w:pPr>
        <w:pStyle w:val="Body"/>
        <w:spacing w:after="0"/>
        <w:rPr>
          <w:rFonts w:ascii="Arial" w:hAnsi="Arial" w:cs="Arial"/>
        </w:rPr>
      </w:pPr>
      <w:r w:rsidRPr="00B8364C">
        <w:rPr>
          <w:rFonts w:ascii="Arial" w:hAnsi="Arial" w:cs="Arial"/>
        </w:rPr>
        <w:t>This finding aligns with Hart and Risley’s (1995) study, which emphasized that students perform better in language development when they engage in activities that strengthen their reading, writing, and speaking skills. However, without a language-rich home environment, such as regular reading or conversations, students struggle to reinforce and build upon what they learn in school. Similarly, Scheele et al. (2010) highlighted that home language exposure is vital for sustaining and improving the language skills gained at school. Cummins (2000) further supported this by asserting that consistent support at home, in addition to school, is essential for establishing a solid foundation for language learning.</w:t>
      </w:r>
    </w:p>
    <w:p w14:paraId="082F7665" w14:textId="77777777" w:rsidR="00B75924" w:rsidRDefault="00B75924" w:rsidP="00441B6F">
      <w:pPr>
        <w:pStyle w:val="Body"/>
        <w:spacing w:after="0"/>
        <w:rPr>
          <w:rFonts w:ascii="Arial" w:hAnsi="Arial" w:cs="Arial"/>
        </w:rPr>
      </w:pPr>
    </w:p>
    <w:p w14:paraId="71063ABF" w14:textId="67488A94"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 xml:space="preserve">Table </w:t>
      </w:r>
      <w:r>
        <w:rPr>
          <w:rFonts w:ascii="Arial" w:hAnsi="Arial" w:cs="Arial"/>
          <w:b/>
          <w:bCs/>
          <w:lang w:val="en-PH"/>
        </w:rPr>
        <w:t>2</w:t>
      </w:r>
    </w:p>
    <w:p w14:paraId="1708B56A" w14:textId="49514B25" w:rsidR="00917A8F" w:rsidRPr="00917A8F" w:rsidRDefault="00917A8F" w:rsidP="00917A8F">
      <w:pPr>
        <w:pStyle w:val="Body"/>
        <w:spacing w:after="0"/>
        <w:rPr>
          <w:rFonts w:ascii="Arial" w:hAnsi="Arial" w:cs="Arial"/>
          <w:i/>
          <w:iCs/>
          <w:lang w:val="en-PH"/>
        </w:rPr>
      </w:pPr>
      <w:r w:rsidRPr="00917A8F">
        <w:rPr>
          <w:rFonts w:ascii="Arial" w:hAnsi="Arial" w:cs="Arial"/>
          <w:i/>
          <w:iCs/>
          <w:lang w:val="en-PH"/>
        </w:rPr>
        <w:t xml:space="preserve">Level of Students' Language Learning </w:t>
      </w:r>
      <w:bookmarkStart w:id="1" w:name="_Hlk189770395"/>
    </w:p>
    <w:tbl>
      <w:tblPr>
        <w:tblW w:w="0" w:type="auto"/>
        <w:tblLook w:val="04A0" w:firstRow="1" w:lastRow="0" w:firstColumn="1" w:lastColumn="0" w:noHBand="0" w:noVBand="1"/>
      </w:tblPr>
      <w:tblGrid>
        <w:gridCol w:w="3945"/>
        <w:gridCol w:w="1048"/>
        <w:gridCol w:w="1076"/>
        <w:gridCol w:w="2139"/>
      </w:tblGrid>
      <w:tr w:rsidR="00917A8F" w:rsidRPr="00917A8F" w14:paraId="181644C4" w14:textId="77777777" w:rsidTr="00C42D78">
        <w:trPr>
          <w:trHeight w:val="300"/>
        </w:trPr>
        <w:tc>
          <w:tcPr>
            <w:tcW w:w="4497" w:type="dxa"/>
            <w:tcBorders>
              <w:top w:val="single" w:sz="4" w:space="0" w:color="auto"/>
              <w:bottom w:val="single" w:sz="4" w:space="0" w:color="auto"/>
            </w:tcBorders>
            <w:vAlign w:val="center"/>
          </w:tcPr>
          <w:p w14:paraId="44245915"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Indicator</w:t>
            </w:r>
          </w:p>
        </w:tc>
        <w:tc>
          <w:tcPr>
            <w:tcW w:w="1133" w:type="dxa"/>
            <w:tcBorders>
              <w:top w:val="single" w:sz="4" w:space="0" w:color="auto"/>
              <w:bottom w:val="single" w:sz="4" w:space="0" w:color="auto"/>
            </w:tcBorders>
            <w:vAlign w:val="center"/>
          </w:tcPr>
          <w:p w14:paraId="417A4F99"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SD</w:t>
            </w:r>
          </w:p>
        </w:tc>
        <w:tc>
          <w:tcPr>
            <w:tcW w:w="1142" w:type="dxa"/>
            <w:tcBorders>
              <w:top w:val="single" w:sz="4" w:space="0" w:color="auto"/>
              <w:bottom w:val="single" w:sz="4" w:space="0" w:color="auto"/>
            </w:tcBorders>
            <w:vAlign w:val="center"/>
          </w:tcPr>
          <w:p w14:paraId="0C4C79AD"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Mean</w:t>
            </w:r>
          </w:p>
        </w:tc>
        <w:tc>
          <w:tcPr>
            <w:tcW w:w="2300" w:type="dxa"/>
            <w:tcBorders>
              <w:top w:val="single" w:sz="4" w:space="0" w:color="auto"/>
              <w:bottom w:val="single" w:sz="4" w:space="0" w:color="auto"/>
            </w:tcBorders>
            <w:vAlign w:val="center"/>
          </w:tcPr>
          <w:p w14:paraId="6CE49432"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Descriptive Level</w:t>
            </w:r>
          </w:p>
        </w:tc>
      </w:tr>
      <w:tr w:rsidR="00917A8F" w:rsidRPr="00917A8F" w14:paraId="1001A268" w14:textId="77777777" w:rsidTr="00C42D78">
        <w:trPr>
          <w:trHeight w:val="300"/>
        </w:trPr>
        <w:tc>
          <w:tcPr>
            <w:tcW w:w="4497" w:type="dxa"/>
            <w:tcBorders>
              <w:top w:val="single" w:sz="4" w:space="0" w:color="auto"/>
            </w:tcBorders>
            <w:vAlign w:val="center"/>
          </w:tcPr>
          <w:p w14:paraId="2958DDC2"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Speaking</w:t>
            </w:r>
          </w:p>
        </w:tc>
        <w:tc>
          <w:tcPr>
            <w:tcW w:w="1133" w:type="dxa"/>
            <w:tcBorders>
              <w:top w:val="single" w:sz="4" w:space="0" w:color="auto"/>
            </w:tcBorders>
            <w:vAlign w:val="center"/>
          </w:tcPr>
          <w:p w14:paraId="51402B0D"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0.57</w:t>
            </w:r>
          </w:p>
        </w:tc>
        <w:tc>
          <w:tcPr>
            <w:tcW w:w="1142" w:type="dxa"/>
            <w:tcBorders>
              <w:top w:val="single" w:sz="4" w:space="0" w:color="auto"/>
            </w:tcBorders>
            <w:vAlign w:val="center"/>
          </w:tcPr>
          <w:p w14:paraId="25C067D1"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3.99</w:t>
            </w:r>
          </w:p>
        </w:tc>
        <w:tc>
          <w:tcPr>
            <w:tcW w:w="2300" w:type="dxa"/>
            <w:tcBorders>
              <w:top w:val="single" w:sz="4" w:space="0" w:color="auto"/>
            </w:tcBorders>
            <w:vAlign w:val="center"/>
          </w:tcPr>
          <w:p w14:paraId="615B8B73"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02DAAA11" w14:textId="77777777" w:rsidTr="00C42D78">
        <w:trPr>
          <w:trHeight w:val="300"/>
        </w:trPr>
        <w:tc>
          <w:tcPr>
            <w:tcW w:w="4497" w:type="dxa"/>
            <w:vAlign w:val="center"/>
          </w:tcPr>
          <w:p w14:paraId="29C02B47"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Listening</w:t>
            </w:r>
          </w:p>
        </w:tc>
        <w:tc>
          <w:tcPr>
            <w:tcW w:w="1133" w:type="dxa"/>
            <w:vAlign w:val="center"/>
          </w:tcPr>
          <w:p w14:paraId="4C48FECF"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0.60</w:t>
            </w:r>
          </w:p>
        </w:tc>
        <w:tc>
          <w:tcPr>
            <w:tcW w:w="1142" w:type="dxa"/>
            <w:vAlign w:val="center"/>
          </w:tcPr>
          <w:p w14:paraId="276437FF"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3.92</w:t>
            </w:r>
          </w:p>
        </w:tc>
        <w:tc>
          <w:tcPr>
            <w:tcW w:w="2300" w:type="dxa"/>
            <w:vAlign w:val="center"/>
          </w:tcPr>
          <w:p w14:paraId="4AC50196"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08842F35" w14:textId="77777777" w:rsidTr="00C42D78">
        <w:trPr>
          <w:trHeight w:val="300"/>
        </w:trPr>
        <w:tc>
          <w:tcPr>
            <w:tcW w:w="4497" w:type="dxa"/>
            <w:vAlign w:val="center"/>
          </w:tcPr>
          <w:p w14:paraId="19BB081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Reading</w:t>
            </w:r>
          </w:p>
        </w:tc>
        <w:tc>
          <w:tcPr>
            <w:tcW w:w="1133" w:type="dxa"/>
            <w:vAlign w:val="center"/>
          </w:tcPr>
          <w:p w14:paraId="37326A3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0.55</w:t>
            </w:r>
          </w:p>
        </w:tc>
        <w:tc>
          <w:tcPr>
            <w:tcW w:w="1142" w:type="dxa"/>
            <w:vAlign w:val="center"/>
          </w:tcPr>
          <w:p w14:paraId="2421CD9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4.01</w:t>
            </w:r>
          </w:p>
        </w:tc>
        <w:tc>
          <w:tcPr>
            <w:tcW w:w="2300" w:type="dxa"/>
            <w:vAlign w:val="center"/>
          </w:tcPr>
          <w:p w14:paraId="3FD9259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55795B7F" w14:textId="77777777" w:rsidTr="00C42D78">
        <w:trPr>
          <w:trHeight w:val="300"/>
        </w:trPr>
        <w:tc>
          <w:tcPr>
            <w:tcW w:w="4497" w:type="dxa"/>
            <w:vAlign w:val="center"/>
          </w:tcPr>
          <w:p w14:paraId="5213C8D0" w14:textId="77777777" w:rsidR="00917A8F" w:rsidRPr="00917A8F" w:rsidRDefault="00917A8F" w:rsidP="00917A8F">
            <w:pPr>
              <w:pStyle w:val="Body"/>
              <w:spacing w:after="0"/>
              <w:rPr>
                <w:rFonts w:ascii="Arial" w:hAnsi="Arial" w:cs="Arial"/>
                <w:lang w:val="en-PH"/>
              </w:rPr>
            </w:pPr>
            <w:proofErr w:type="spellStart"/>
            <w:r w:rsidRPr="00917A8F">
              <w:rPr>
                <w:rFonts w:ascii="Arial" w:hAnsi="Arial" w:cs="Arial"/>
                <w:lang w:val="en-PH"/>
              </w:rPr>
              <w:t>Writting</w:t>
            </w:r>
            <w:proofErr w:type="spellEnd"/>
          </w:p>
        </w:tc>
        <w:tc>
          <w:tcPr>
            <w:tcW w:w="1133" w:type="dxa"/>
            <w:vAlign w:val="center"/>
          </w:tcPr>
          <w:p w14:paraId="5C0BB51E"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0.55</w:t>
            </w:r>
          </w:p>
        </w:tc>
        <w:tc>
          <w:tcPr>
            <w:tcW w:w="1142" w:type="dxa"/>
            <w:vAlign w:val="center"/>
          </w:tcPr>
          <w:p w14:paraId="48302CC5"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3.93</w:t>
            </w:r>
          </w:p>
        </w:tc>
        <w:tc>
          <w:tcPr>
            <w:tcW w:w="2300" w:type="dxa"/>
            <w:vAlign w:val="center"/>
          </w:tcPr>
          <w:p w14:paraId="7B32587B"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418206BF" w14:textId="77777777" w:rsidTr="00C42D78">
        <w:trPr>
          <w:trHeight w:val="300"/>
        </w:trPr>
        <w:tc>
          <w:tcPr>
            <w:tcW w:w="4497" w:type="dxa"/>
            <w:tcBorders>
              <w:bottom w:val="single" w:sz="4" w:space="0" w:color="auto"/>
            </w:tcBorders>
            <w:vAlign w:val="center"/>
          </w:tcPr>
          <w:p w14:paraId="2BB7F7DF"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Overall</w:t>
            </w:r>
          </w:p>
        </w:tc>
        <w:tc>
          <w:tcPr>
            <w:tcW w:w="1133" w:type="dxa"/>
            <w:tcBorders>
              <w:bottom w:val="single" w:sz="4" w:space="0" w:color="auto"/>
            </w:tcBorders>
            <w:vAlign w:val="center"/>
          </w:tcPr>
          <w:p w14:paraId="4BACEC98"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0.52</w:t>
            </w:r>
          </w:p>
        </w:tc>
        <w:tc>
          <w:tcPr>
            <w:tcW w:w="1142" w:type="dxa"/>
            <w:tcBorders>
              <w:bottom w:val="single" w:sz="4" w:space="0" w:color="auto"/>
            </w:tcBorders>
            <w:vAlign w:val="center"/>
          </w:tcPr>
          <w:p w14:paraId="43FD611B"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3.96</w:t>
            </w:r>
          </w:p>
        </w:tc>
        <w:tc>
          <w:tcPr>
            <w:tcW w:w="2300" w:type="dxa"/>
            <w:tcBorders>
              <w:bottom w:val="single" w:sz="4" w:space="0" w:color="auto"/>
            </w:tcBorders>
            <w:vAlign w:val="center"/>
          </w:tcPr>
          <w:p w14:paraId="6A831323"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High</w:t>
            </w:r>
          </w:p>
        </w:tc>
      </w:tr>
      <w:bookmarkEnd w:id="1"/>
    </w:tbl>
    <w:p w14:paraId="6638CF49" w14:textId="77777777" w:rsidR="00366730" w:rsidRDefault="00366730" w:rsidP="00441B6F">
      <w:pPr>
        <w:pStyle w:val="Body"/>
        <w:spacing w:after="0"/>
        <w:rPr>
          <w:rFonts w:ascii="Arial" w:hAnsi="Arial" w:cs="Arial"/>
        </w:rPr>
      </w:pPr>
    </w:p>
    <w:p w14:paraId="683735F1" w14:textId="10339559" w:rsidR="00A14259" w:rsidRDefault="00B75924" w:rsidP="00441B6F">
      <w:pPr>
        <w:pStyle w:val="Body"/>
        <w:spacing w:after="0"/>
        <w:rPr>
          <w:rFonts w:ascii="Arial" w:hAnsi="Arial" w:cs="Arial"/>
        </w:rPr>
      </w:pPr>
      <w:r w:rsidRPr="00B75924">
        <w:rPr>
          <w:rFonts w:ascii="Arial" w:hAnsi="Arial" w:cs="Arial"/>
        </w:rPr>
        <w:t>Table 2 presents the level of language learning among students in public schools in Region XI. The overall mean score was 3.96 with a descriptive level of high and a standard deviation of 0.52. On the other hand, the indicator with the highest mean score was reading, with a mean of 4.01 and a standard deviation of 0.55. In contrast, the indicator listening had the lowest mean score of 3.92 and a standard deviation of 0.60. Both indicators had a descriptive level of high, indicating that the items being measured were frequently demonstrated by the students.</w:t>
      </w:r>
    </w:p>
    <w:p w14:paraId="506BC221" w14:textId="278042FA" w:rsidR="000442F5" w:rsidRPr="000442F5" w:rsidRDefault="000442F5" w:rsidP="000442F5">
      <w:pPr>
        <w:pStyle w:val="Body"/>
        <w:rPr>
          <w:rFonts w:ascii="Arial" w:hAnsi="Arial" w:cs="Arial"/>
        </w:rPr>
      </w:pPr>
      <w:r w:rsidRPr="000442F5">
        <w:rPr>
          <w:rFonts w:ascii="Arial" w:hAnsi="Arial" w:cs="Arial"/>
        </w:rPr>
        <w:t xml:space="preserve">The high level of language learning in reading is attributed to students’ recognition and repetition of key words, consulting a dictionary to understand word meanings, and practicing conversations with friends or teachers. Students with strong reading skills have an advantage </w:t>
      </w:r>
      <w:r w:rsidRPr="000442F5">
        <w:rPr>
          <w:rFonts w:ascii="Arial" w:hAnsi="Arial" w:cs="Arial"/>
        </w:rPr>
        <w:lastRenderedPageBreak/>
        <w:t>in academic performance (Bashir and Mattoo, 2012; Bibi et al., 20</w:t>
      </w:r>
      <w:r w:rsidR="008B451A">
        <w:rPr>
          <w:rFonts w:ascii="Arial" w:hAnsi="Arial" w:cs="Arial"/>
        </w:rPr>
        <w:t>20</w:t>
      </w:r>
      <w:r w:rsidRPr="000442F5">
        <w:rPr>
          <w:rFonts w:ascii="Arial" w:hAnsi="Arial" w:cs="Arial"/>
        </w:rPr>
        <w:t>; Ehsan and Sultana, 2020).</w:t>
      </w:r>
    </w:p>
    <w:p w14:paraId="04C8D122" w14:textId="77777777" w:rsidR="000442F5" w:rsidRPr="000442F5" w:rsidRDefault="000442F5" w:rsidP="000442F5">
      <w:pPr>
        <w:pStyle w:val="Body"/>
        <w:rPr>
          <w:rFonts w:ascii="Arial" w:hAnsi="Arial" w:cs="Arial"/>
        </w:rPr>
      </w:pPr>
      <w:r w:rsidRPr="000442F5">
        <w:rPr>
          <w:rFonts w:ascii="Arial" w:hAnsi="Arial" w:cs="Arial"/>
        </w:rPr>
        <w:t>Meanwhile, listening scored the lowest among all the indicators, a skill often overlooked in traditional teaching methods. However, it is crucial in the learning process, as strong listening skills enable students to effectively process information from various sources of knowledge.</w:t>
      </w:r>
    </w:p>
    <w:p w14:paraId="35BB32D7" w14:textId="21449FF9" w:rsidR="000442F5" w:rsidRPr="000442F5" w:rsidRDefault="000442F5" w:rsidP="000442F5">
      <w:pPr>
        <w:pStyle w:val="Body"/>
        <w:rPr>
          <w:rFonts w:ascii="Arial" w:hAnsi="Arial" w:cs="Arial"/>
        </w:rPr>
      </w:pPr>
      <w:r w:rsidRPr="000442F5">
        <w:rPr>
          <w:rFonts w:ascii="Arial" w:hAnsi="Arial" w:cs="Arial"/>
        </w:rPr>
        <w:t xml:space="preserve">The results are supported by </w:t>
      </w:r>
      <w:proofErr w:type="spellStart"/>
      <w:r w:rsidRPr="000442F5">
        <w:rPr>
          <w:rFonts w:ascii="Arial" w:hAnsi="Arial" w:cs="Arial"/>
        </w:rPr>
        <w:t>Napi</w:t>
      </w:r>
      <w:r w:rsidR="00214C22">
        <w:rPr>
          <w:rFonts w:ascii="Arial" w:hAnsi="Arial" w:cs="Arial"/>
        </w:rPr>
        <w:t>l</w:t>
      </w:r>
      <w:proofErr w:type="spellEnd"/>
      <w:r w:rsidR="00214C22">
        <w:rPr>
          <w:rFonts w:ascii="Arial" w:hAnsi="Arial" w:cs="Arial"/>
        </w:rPr>
        <w:t xml:space="preserve"> </w:t>
      </w:r>
      <w:r w:rsidRPr="000442F5">
        <w:rPr>
          <w:rFonts w:ascii="Arial" w:hAnsi="Arial" w:cs="Arial"/>
        </w:rPr>
        <w:t>and San Jose (2022), who affirm that students exhibit a high level of language learning, particularly in their confidence in their ability to learn and their recognition of the importance of language for success in higher education and their contribution to community development. This reflects the successful implementation of language teaching methods and demonstrates a high level of language learning among students, indicating an effective teaching system and successful learning outcomes (Dewi et al., 20</w:t>
      </w:r>
      <w:r w:rsidR="008B451A">
        <w:rPr>
          <w:rFonts w:ascii="Arial" w:hAnsi="Arial" w:cs="Arial"/>
        </w:rPr>
        <w:t>12</w:t>
      </w:r>
      <w:r w:rsidRPr="000442F5">
        <w:rPr>
          <w:rFonts w:ascii="Arial" w:hAnsi="Arial" w:cs="Arial"/>
        </w:rPr>
        <w:t xml:space="preserve">; Vodopija-Krstanović and </w:t>
      </w:r>
      <w:proofErr w:type="spellStart"/>
      <w:r w:rsidRPr="000442F5">
        <w:rPr>
          <w:rFonts w:ascii="Arial" w:hAnsi="Arial" w:cs="Arial"/>
        </w:rPr>
        <w:t>Marinac</w:t>
      </w:r>
      <w:proofErr w:type="spellEnd"/>
      <w:r w:rsidRPr="000442F5">
        <w:rPr>
          <w:rFonts w:ascii="Arial" w:hAnsi="Arial" w:cs="Arial"/>
        </w:rPr>
        <w:t>, 20</w:t>
      </w:r>
      <w:r w:rsidR="008B451A">
        <w:rPr>
          <w:rFonts w:ascii="Arial" w:hAnsi="Arial" w:cs="Arial"/>
        </w:rPr>
        <w:t>19</w:t>
      </w:r>
      <w:r w:rsidRPr="000442F5">
        <w:rPr>
          <w:rFonts w:ascii="Arial" w:hAnsi="Arial" w:cs="Arial"/>
        </w:rPr>
        <w:t>).</w:t>
      </w:r>
    </w:p>
    <w:p w14:paraId="5D7A06A7" w14:textId="699A3619" w:rsidR="00A14259" w:rsidRDefault="000442F5" w:rsidP="000442F5">
      <w:pPr>
        <w:pStyle w:val="Body"/>
        <w:spacing w:after="0"/>
        <w:rPr>
          <w:rFonts w:ascii="Arial" w:hAnsi="Arial" w:cs="Arial"/>
        </w:rPr>
      </w:pPr>
      <w:r w:rsidRPr="000442F5">
        <w:rPr>
          <w:rFonts w:ascii="Arial" w:hAnsi="Arial" w:cs="Arial"/>
        </w:rPr>
        <w:t>Although the results are high, it remains essential to continue efforts to improve listening and other aspects of language learning. The integration of additional activities and interventions can help students continuously enhance their language skills.</w:t>
      </w:r>
    </w:p>
    <w:p w14:paraId="5E2F938F" w14:textId="77777777" w:rsidR="00A14259" w:rsidRDefault="00A14259" w:rsidP="00441B6F">
      <w:pPr>
        <w:pStyle w:val="Body"/>
        <w:spacing w:after="0"/>
        <w:rPr>
          <w:rFonts w:ascii="Arial" w:hAnsi="Arial" w:cs="Arial"/>
        </w:rPr>
      </w:pPr>
    </w:p>
    <w:p w14:paraId="35891B8E" w14:textId="3B1EE3F1" w:rsidR="00B75924" w:rsidRDefault="000442F5" w:rsidP="00B75924">
      <w:pPr>
        <w:pStyle w:val="Body"/>
        <w:rPr>
          <w:rFonts w:ascii="Arial" w:hAnsi="Arial" w:cs="Arial"/>
        </w:rPr>
      </w:pPr>
      <w:r w:rsidRPr="000442F5">
        <w:rPr>
          <w:rFonts w:ascii="Arial" w:hAnsi="Arial" w:cs="Arial"/>
        </w:rPr>
        <w:t>Table 3 presents the level of reading strategies among students in public schools in Region XI. The overall mean score was 4.01 with a descriptive level of high, and a standard deviation of 0.51.</w:t>
      </w:r>
    </w:p>
    <w:p w14:paraId="5B769033" w14:textId="45A5354A" w:rsidR="00AF4489" w:rsidRPr="00AF4489" w:rsidRDefault="00AF4489" w:rsidP="00AF4489">
      <w:pPr>
        <w:spacing w:before="100" w:beforeAutospacing="1" w:after="100" w:afterAutospacing="1"/>
        <w:contextualSpacing/>
        <w:jc w:val="both"/>
        <w:rPr>
          <w:rFonts w:ascii="Arial" w:hAnsi="Arial" w:cs="Arial"/>
          <w:b/>
          <w:bCs/>
          <w:lang w:val="en-PH" w:eastAsia="en-PH"/>
        </w:rPr>
      </w:pPr>
      <w:bookmarkStart w:id="2" w:name="_Hlk197476044"/>
      <w:r w:rsidRPr="00AF4489">
        <w:rPr>
          <w:rFonts w:ascii="Arial" w:hAnsi="Arial" w:cs="Arial"/>
          <w:b/>
          <w:bCs/>
          <w:lang w:val="en-PH" w:eastAsia="en-PH"/>
        </w:rPr>
        <w:t xml:space="preserve">Table </w:t>
      </w:r>
      <w:r>
        <w:rPr>
          <w:rFonts w:ascii="Arial" w:hAnsi="Arial" w:cs="Arial"/>
          <w:b/>
          <w:bCs/>
          <w:lang w:val="en-PH" w:eastAsia="en-PH"/>
        </w:rPr>
        <w:t>3</w:t>
      </w:r>
    </w:p>
    <w:p w14:paraId="6E86E584" w14:textId="23A9CC9C" w:rsidR="00AF4489" w:rsidRPr="00AF4489" w:rsidRDefault="00AF4489" w:rsidP="00AF4489">
      <w:pPr>
        <w:spacing w:before="100" w:beforeAutospacing="1" w:after="100" w:afterAutospacing="1"/>
        <w:contextualSpacing/>
        <w:jc w:val="both"/>
        <w:rPr>
          <w:rFonts w:ascii="Arial" w:hAnsi="Arial" w:cs="Arial"/>
          <w:i/>
          <w:iCs/>
          <w:lang w:val="en-PH" w:eastAsia="en-PH"/>
        </w:rPr>
      </w:pPr>
      <w:r w:rsidRPr="00AF4489">
        <w:rPr>
          <w:rFonts w:ascii="Arial" w:hAnsi="Arial" w:cs="Arial"/>
          <w:i/>
          <w:iCs/>
          <w:lang w:val="en-PH" w:eastAsia="en-PH"/>
        </w:rPr>
        <w:t xml:space="preserve">Level of </w:t>
      </w:r>
      <w:r w:rsidR="00E8703F">
        <w:rPr>
          <w:rFonts w:ascii="Arial" w:hAnsi="Arial" w:cs="Arial"/>
          <w:i/>
          <w:iCs/>
          <w:lang w:val="en-PH" w:eastAsia="en-PH"/>
        </w:rPr>
        <w:t xml:space="preserve">Student’s </w:t>
      </w:r>
      <w:r w:rsidRPr="00AF4489">
        <w:rPr>
          <w:rFonts w:ascii="Arial" w:hAnsi="Arial" w:cs="Arial"/>
          <w:i/>
          <w:iCs/>
          <w:lang w:val="en-PH" w:eastAsia="en-PH"/>
        </w:rPr>
        <w:t>Reading Strategies</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1048"/>
        <w:gridCol w:w="1072"/>
        <w:gridCol w:w="2112"/>
      </w:tblGrid>
      <w:tr w:rsidR="00AF4489" w:rsidRPr="00AF4489" w14:paraId="38551C52" w14:textId="77777777" w:rsidTr="00C42D78">
        <w:trPr>
          <w:trHeight w:val="332"/>
        </w:trPr>
        <w:tc>
          <w:tcPr>
            <w:tcW w:w="4675" w:type="dxa"/>
            <w:tcBorders>
              <w:top w:val="single" w:sz="4" w:space="0" w:color="auto"/>
              <w:bottom w:val="single" w:sz="4" w:space="0" w:color="auto"/>
            </w:tcBorders>
            <w:vAlign w:val="center"/>
          </w:tcPr>
          <w:p w14:paraId="481FF5DC"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Indicator</w:t>
            </w:r>
          </w:p>
        </w:tc>
        <w:tc>
          <w:tcPr>
            <w:tcW w:w="1170" w:type="dxa"/>
            <w:tcBorders>
              <w:top w:val="single" w:sz="4" w:space="0" w:color="auto"/>
              <w:bottom w:val="single" w:sz="4" w:space="0" w:color="auto"/>
            </w:tcBorders>
            <w:vAlign w:val="center"/>
          </w:tcPr>
          <w:p w14:paraId="0D27CAF9"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SD</w:t>
            </w:r>
          </w:p>
        </w:tc>
        <w:tc>
          <w:tcPr>
            <w:tcW w:w="1167" w:type="dxa"/>
            <w:tcBorders>
              <w:top w:val="single" w:sz="4" w:space="0" w:color="auto"/>
              <w:bottom w:val="single" w:sz="4" w:space="0" w:color="auto"/>
            </w:tcBorders>
            <w:vAlign w:val="center"/>
          </w:tcPr>
          <w:p w14:paraId="4AA261F6"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Mean</w:t>
            </w:r>
          </w:p>
        </w:tc>
        <w:tc>
          <w:tcPr>
            <w:tcW w:w="2338" w:type="dxa"/>
            <w:tcBorders>
              <w:top w:val="single" w:sz="4" w:space="0" w:color="auto"/>
              <w:bottom w:val="single" w:sz="4" w:space="0" w:color="auto"/>
            </w:tcBorders>
            <w:vAlign w:val="center"/>
          </w:tcPr>
          <w:p w14:paraId="5294FA59"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Descriptive Level</w:t>
            </w:r>
          </w:p>
        </w:tc>
      </w:tr>
      <w:tr w:rsidR="00AF4489" w:rsidRPr="00AF4489" w14:paraId="4AF87E16" w14:textId="77777777" w:rsidTr="00C42D78">
        <w:trPr>
          <w:trHeight w:val="576"/>
        </w:trPr>
        <w:tc>
          <w:tcPr>
            <w:tcW w:w="4675" w:type="dxa"/>
            <w:tcBorders>
              <w:top w:val="single" w:sz="4" w:space="0" w:color="auto"/>
            </w:tcBorders>
            <w:vAlign w:val="center"/>
          </w:tcPr>
          <w:p w14:paraId="342C5686" w14:textId="77777777" w:rsidR="00AF4489" w:rsidRPr="00AF4489" w:rsidRDefault="00AF4489" w:rsidP="00AF4489">
            <w:pPr>
              <w:spacing w:after="160" w:line="259" w:lineRule="auto"/>
              <w:jc w:val="both"/>
              <w:rPr>
                <w:rFonts w:ascii="Arial" w:hAnsi="Arial" w:cs="Arial"/>
                <w:sz w:val="20"/>
                <w:szCs w:val="20"/>
              </w:rPr>
            </w:pPr>
            <w:r w:rsidRPr="00AF4489">
              <w:rPr>
                <w:rFonts w:ascii="Arial" w:hAnsi="Arial" w:cs="Arial"/>
                <w:sz w:val="20"/>
                <w:szCs w:val="20"/>
              </w:rPr>
              <w:t>Cognitive</w:t>
            </w:r>
          </w:p>
        </w:tc>
        <w:tc>
          <w:tcPr>
            <w:tcW w:w="1170" w:type="dxa"/>
            <w:tcBorders>
              <w:top w:val="single" w:sz="4" w:space="0" w:color="auto"/>
            </w:tcBorders>
            <w:vAlign w:val="center"/>
          </w:tcPr>
          <w:p w14:paraId="24001944"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0.52</w:t>
            </w:r>
          </w:p>
        </w:tc>
        <w:tc>
          <w:tcPr>
            <w:tcW w:w="1167" w:type="dxa"/>
            <w:tcBorders>
              <w:top w:val="single" w:sz="4" w:space="0" w:color="auto"/>
            </w:tcBorders>
            <w:vAlign w:val="center"/>
          </w:tcPr>
          <w:p w14:paraId="32D5FD3A"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4.02</w:t>
            </w:r>
          </w:p>
        </w:tc>
        <w:tc>
          <w:tcPr>
            <w:tcW w:w="2338" w:type="dxa"/>
            <w:tcBorders>
              <w:top w:val="single" w:sz="4" w:space="0" w:color="auto"/>
            </w:tcBorders>
            <w:vAlign w:val="center"/>
          </w:tcPr>
          <w:p w14:paraId="56606466"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High</w:t>
            </w:r>
          </w:p>
        </w:tc>
      </w:tr>
      <w:tr w:rsidR="00AF4489" w:rsidRPr="00AF4489" w14:paraId="57B14A07" w14:textId="77777777" w:rsidTr="00C42D78">
        <w:trPr>
          <w:trHeight w:val="576"/>
        </w:trPr>
        <w:tc>
          <w:tcPr>
            <w:tcW w:w="4675" w:type="dxa"/>
            <w:vAlign w:val="center"/>
          </w:tcPr>
          <w:p w14:paraId="3A09F473" w14:textId="77777777" w:rsidR="00AF4489" w:rsidRPr="00AF4489" w:rsidRDefault="00AF4489" w:rsidP="00AF4489">
            <w:pPr>
              <w:spacing w:after="160" w:line="259" w:lineRule="auto"/>
              <w:jc w:val="both"/>
              <w:rPr>
                <w:rFonts w:ascii="Arial" w:hAnsi="Arial" w:cs="Arial"/>
                <w:sz w:val="20"/>
                <w:szCs w:val="20"/>
              </w:rPr>
            </w:pPr>
            <w:r w:rsidRPr="00AF4489">
              <w:rPr>
                <w:rFonts w:ascii="Arial" w:hAnsi="Arial" w:cs="Arial"/>
                <w:sz w:val="20"/>
                <w:szCs w:val="20"/>
              </w:rPr>
              <w:t>Metacognitive</w:t>
            </w:r>
          </w:p>
        </w:tc>
        <w:tc>
          <w:tcPr>
            <w:tcW w:w="1170" w:type="dxa"/>
            <w:vAlign w:val="center"/>
          </w:tcPr>
          <w:p w14:paraId="2AF3AD2E"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0.58</w:t>
            </w:r>
          </w:p>
        </w:tc>
        <w:tc>
          <w:tcPr>
            <w:tcW w:w="1167" w:type="dxa"/>
            <w:vAlign w:val="center"/>
          </w:tcPr>
          <w:p w14:paraId="61478989"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4.00</w:t>
            </w:r>
          </w:p>
        </w:tc>
        <w:tc>
          <w:tcPr>
            <w:tcW w:w="2338" w:type="dxa"/>
            <w:vAlign w:val="center"/>
          </w:tcPr>
          <w:p w14:paraId="10744615"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High</w:t>
            </w:r>
          </w:p>
        </w:tc>
      </w:tr>
      <w:tr w:rsidR="00AF4489" w:rsidRPr="00AF4489" w14:paraId="73A3AE4B" w14:textId="77777777" w:rsidTr="00C42D78">
        <w:trPr>
          <w:trHeight w:val="576"/>
        </w:trPr>
        <w:tc>
          <w:tcPr>
            <w:tcW w:w="4675" w:type="dxa"/>
            <w:tcBorders>
              <w:bottom w:val="single" w:sz="4" w:space="0" w:color="auto"/>
            </w:tcBorders>
            <w:vAlign w:val="center"/>
          </w:tcPr>
          <w:p w14:paraId="4771C370"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Overall</w:t>
            </w:r>
          </w:p>
        </w:tc>
        <w:tc>
          <w:tcPr>
            <w:tcW w:w="1170" w:type="dxa"/>
            <w:tcBorders>
              <w:bottom w:val="single" w:sz="4" w:space="0" w:color="auto"/>
            </w:tcBorders>
            <w:vAlign w:val="center"/>
          </w:tcPr>
          <w:p w14:paraId="726371CE"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0.51</w:t>
            </w:r>
          </w:p>
        </w:tc>
        <w:tc>
          <w:tcPr>
            <w:tcW w:w="1167" w:type="dxa"/>
            <w:tcBorders>
              <w:bottom w:val="single" w:sz="4" w:space="0" w:color="auto"/>
            </w:tcBorders>
            <w:vAlign w:val="center"/>
          </w:tcPr>
          <w:p w14:paraId="6C11EF08"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4.01</w:t>
            </w:r>
          </w:p>
        </w:tc>
        <w:tc>
          <w:tcPr>
            <w:tcW w:w="2338" w:type="dxa"/>
            <w:tcBorders>
              <w:bottom w:val="single" w:sz="4" w:space="0" w:color="auto"/>
            </w:tcBorders>
            <w:vAlign w:val="center"/>
          </w:tcPr>
          <w:p w14:paraId="070C0836"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High</w:t>
            </w:r>
          </w:p>
        </w:tc>
      </w:tr>
      <w:bookmarkEnd w:id="2"/>
    </w:tbl>
    <w:p w14:paraId="310B10D5" w14:textId="77777777" w:rsidR="000442F5" w:rsidRDefault="000442F5" w:rsidP="000442F5">
      <w:pPr>
        <w:pStyle w:val="Body"/>
        <w:spacing w:after="0"/>
        <w:rPr>
          <w:rFonts w:ascii="Arial" w:hAnsi="Arial" w:cs="Arial"/>
        </w:rPr>
      </w:pPr>
    </w:p>
    <w:p w14:paraId="2B8B64ED" w14:textId="3BB2CDA6" w:rsidR="00B75924" w:rsidRDefault="00B75924" w:rsidP="000442F5">
      <w:pPr>
        <w:pStyle w:val="Body"/>
        <w:rPr>
          <w:rFonts w:ascii="Arial" w:hAnsi="Arial" w:cs="Arial"/>
        </w:rPr>
      </w:pPr>
      <w:r w:rsidRPr="00B75924">
        <w:rPr>
          <w:rFonts w:ascii="Arial" w:hAnsi="Arial" w:cs="Arial"/>
        </w:rPr>
        <w:t>On the other hand, the cognitive strategy indicator had a slightly higher mean score of 4.02 and a standard deviation of 0.52, compared to the metacognitive strategy indicator, which had a mean score of 4.0 and a standard deviation of 0.58. Both indicators had a descriptive level of high, indicating that the respondents agreed that they reread texts when they found them difficult to understand, tried to identify their weaknesses in reading tasks and evaluated how they could improve their reading proficiency.</w:t>
      </w:r>
    </w:p>
    <w:p w14:paraId="38BC8367" w14:textId="4200961B" w:rsidR="000442F5" w:rsidRPr="000442F5" w:rsidRDefault="000442F5" w:rsidP="000442F5">
      <w:pPr>
        <w:pStyle w:val="Body"/>
        <w:rPr>
          <w:rFonts w:ascii="Arial" w:hAnsi="Arial" w:cs="Arial"/>
        </w:rPr>
      </w:pPr>
      <w:r w:rsidRPr="000442F5">
        <w:rPr>
          <w:rFonts w:ascii="Arial" w:hAnsi="Arial" w:cs="Arial"/>
        </w:rPr>
        <w:t>Additionally, the level of strategy indicates that the respondents summarized key information and main ideas of the text and analyzed the relationships between the given reading texts. In fact, reading is not merely a mechanical process of recognizing words but a complex activity involving deep comprehension, analysis, and evaluation of texts.</w:t>
      </w:r>
    </w:p>
    <w:p w14:paraId="6B35AB59" w14:textId="53173061" w:rsidR="00E21DE7" w:rsidRDefault="00E21DE7" w:rsidP="000442F5">
      <w:pPr>
        <w:pStyle w:val="Body"/>
        <w:spacing w:after="0"/>
        <w:rPr>
          <w:rFonts w:ascii="Arial" w:hAnsi="Arial" w:cs="Arial"/>
        </w:rPr>
      </w:pPr>
      <w:r w:rsidRPr="00E21DE7">
        <w:rPr>
          <w:rFonts w:ascii="Arial" w:hAnsi="Arial" w:cs="Arial"/>
        </w:rPr>
        <w:t xml:space="preserve">The results are consistent with the findings of </w:t>
      </w:r>
      <w:r w:rsidR="0012252C">
        <w:rPr>
          <w:rFonts w:ascii="Arial" w:hAnsi="Arial" w:cs="Arial"/>
        </w:rPr>
        <w:t xml:space="preserve">Villaruz </w:t>
      </w:r>
      <w:r w:rsidRPr="00E21DE7">
        <w:rPr>
          <w:rFonts w:ascii="Arial" w:hAnsi="Arial" w:cs="Arial"/>
        </w:rPr>
        <w:t xml:space="preserve">and </w:t>
      </w:r>
      <w:proofErr w:type="spellStart"/>
      <w:r w:rsidR="0012252C">
        <w:rPr>
          <w:rFonts w:ascii="Arial" w:hAnsi="Arial" w:cs="Arial"/>
        </w:rPr>
        <w:t>Napil</w:t>
      </w:r>
      <w:proofErr w:type="spellEnd"/>
      <w:r>
        <w:rPr>
          <w:rFonts w:ascii="Arial" w:hAnsi="Arial" w:cs="Arial"/>
        </w:rPr>
        <w:t xml:space="preserve"> </w:t>
      </w:r>
      <w:r w:rsidRPr="00E21DE7">
        <w:rPr>
          <w:rFonts w:ascii="Arial" w:hAnsi="Arial" w:cs="Arial"/>
        </w:rPr>
        <w:t>(2022), which indicate that each reading strategy, including problem-solving, global</w:t>
      </w:r>
      <w:r w:rsidR="00EC5C48">
        <w:rPr>
          <w:rFonts w:ascii="Arial" w:hAnsi="Arial" w:cs="Arial"/>
        </w:rPr>
        <w:t xml:space="preserve"> </w:t>
      </w:r>
      <w:r w:rsidRPr="00E21DE7">
        <w:rPr>
          <w:rFonts w:ascii="Arial" w:hAnsi="Arial" w:cs="Arial"/>
        </w:rPr>
        <w:t xml:space="preserve">and reading support strategies, has a notable influence on students' overall motivation to read in the Filipino language. Additionally, these strategies show significant connections with various personality traits, such as openness to new experiences, conscientiousness, extroversion, agreeableness, and </w:t>
      </w:r>
      <w:r w:rsidRPr="00E21DE7">
        <w:rPr>
          <w:rFonts w:ascii="Arial" w:hAnsi="Arial" w:cs="Arial"/>
        </w:rPr>
        <w:lastRenderedPageBreak/>
        <w:t>neuroticism. Furthermore, these personality traits themselves are closely associated with the overall motivation of students to engage in Filipino language reading.</w:t>
      </w:r>
    </w:p>
    <w:p w14:paraId="3F5B4C30" w14:textId="77777777" w:rsidR="00E21DE7" w:rsidRDefault="00E21DE7" w:rsidP="000442F5">
      <w:pPr>
        <w:pStyle w:val="Body"/>
        <w:spacing w:after="0"/>
        <w:rPr>
          <w:rFonts w:ascii="Arial" w:hAnsi="Arial" w:cs="Arial"/>
        </w:rPr>
      </w:pPr>
    </w:p>
    <w:p w14:paraId="30A93FDB" w14:textId="5BD3E644" w:rsidR="000442F5" w:rsidRDefault="000442F5" w:rsidP="000442F5">
      <w:pPr>
        <w:pStyle w:val="Body"/>
        <w:spacing w:after="0"/>
        <w:rPr>
          <w:rFonts w:ascii="Arial" w:hAnsi="Arial" w:cs="Arial"/>
        </w:rPr>
      </w:pPr>
      <w:r w:rsidRPr="000442F5">
        <w:rPr>
          <w:rFonts w:ascii="Arial" w:hAnsi="Arial" w:cs="Arial"/>
        </w:rPr>
        <w:t>Furthermore, the overall mean score of 4.01 indicates that students possess a strong ability to integrate both strategies in their reading, which improves their comprehension and analysis. Students with high proficiency in both cognitive and metacognitive strategies have a more solid foundation in reading and thus exhibit better academic performance (Eser, 20</w:t>
      </w:r>
      <w:r w:rsidR="005A6644">
        <w:rPr>
          <w:rFonts w:ascii="Arial" w:hAnsi="Arial" w:cs="Arial"/>
        </w:rPr>
        <w:t>21</w:t>
      </w:r>
      <w:r w:rsidRPr="000442F5">
        <w:rPr>
          <w:rFonts w:ascii="Arial" w:hAnsi="Arial" w:cs="Arial"/>
        </w:rPr>
        <w:t xml:space="preserve">; </w:t>
      </w:r>
      <w:proofErr w:type="spellStart"/>
      <w:r w:rsidRPr="000442F5">
        <w:rPr>
          <w:rFonts w:ascii="Arial" w:hAnsi="Arial" w:cs="Arial"/>
        </w:rPr>
        <w:t>Mesrabadi</w:t>
      </w:r>
      <w:proofErr w:type="spellEnd"/>
      <w:r w:rsidRPr="000442F5">
        <w:rPr>
          <w:rFonts w:ascii="Arial" w:hAnsi="Arial" w:cs="Arial"/>
        </w:rPr>
        <w:t>, Erfani, &amp; Adab, 20</w:t>
      </w:r>
      <w:r w:rsidR="005A6644">
        <w:rPr>
          <w:rFonts w:ascii="Arial" w:hAnsi="Arial" w:cs="Arial"/>
        </w:rPr>
        <w:t>21</w:t>
      </w:r>
      <w:r w:rsidRPr="000442F5">
        <w:rPr>
          <w:rFonts w:ascii="Arial" w:hAnsi="Arial" w:cs="Arial"/>
        </w:rPr>
        <w:t>). Training in both cognitive and metacognitive strategies provides a deeper and more comprehensive approach to learning how to read.</w:t>
      </w:r>
    </w:p>
    <w:p w14:paraId="126C8680" w14:textId="77777777" w:rsidR="000442F5" w:rsidRDefault="000442F5" w:rsidP="000442F5">
      <w:pPr>
        <w:pStyle w:val="Body"/>
        <w:spacing w:after="0"/>
        <w:rPr>
          <w:rFonts w:ascii="Arial" w:hAnsi="Arial" w:cs="Arial"/>
        </w:rPr>
      </w:pPr>
    </w:p>
    <w:p w14:paraId="600711EC" w14:textId="77777777" w:rsidR="00B751D7" w:rsidRPr="00B751D7" w:rsidRDefault="00B751D7" w:rsidP="00B751D7">
      <w:pPr>
        <w:pStyle w:val="Body"/>
        <w:rPr>
          <w:rFonts w:ascii="Arial" w:hAnsi="Arial" w:cs="Arial"/>
        </w:rPr>
      </w:pPr>
      <w:r w:rsidRPr="00B751D7">
        <w:rPr>
          <w:rFonts w:ascii="Arial" w:hAnsi="Arial" w:cs="Arial"/>
        </w:rPr>
        <w:t>Table 4 presents the grammatical competence of students in public schools in Region XI. The overall mean score was 4.29 with a descriptive level of very high and a standard deviation of 0.46.</w:t>
      </w:r>
    </w:p>
    <w:p w14:paraId="729C0E09" w14:textId="77777777" w:rsidR="00B751D7" w:rsidRDefault="00B751D7" w:rsidP="00B751D7">
      <w:pPr>
        <w:pStyle w:val="Body"/>
        <w:rPr>
          <w:rFonts w:ascii="Arial" w:hAnsi="Arial" w:cs="Arial"/>
        </w:rPr>
      </w:pPr>
      <w:r w:rsidRPr="00B751D7">
        <w:rPr>
          <w:rFonts w:ascii="Arial" w:hAnsi="Arial" w:cs="Arial"/>
        </w:rPr>
        <w:t>Among the four indicators, subject-verb agreement ranked the highest, with a mean score of 4.52 and a standard deviation of 0.45, described as highest, indicating that the skill is consistently demonstrated by the students. On the other hand, the aspect of the verb ranked lowest, with a mean score of 4.19 and a standard deviation of 0.61, and a descriptive level of high, meaning it is frequently demonstrated.</w:t>
      </w:r>
    </w:p>
    <w:p w14:paraId="21907A1C" w14:textId="77777777" w:rsidR="00AF4489" w:rsidRPr="00AF4489" w:rsidRDefault="00AF4489" w:rsidP="00AF4489">
      <w:pPr>
        <w:spacing w:before="100" w:beforeAutospacing="1" w:after="100" w:afterAutospacing="1"/>
        <w:contextualSpacing/>
        <w:jc w:val="both"/>
        <w:rPr>
          <w:rFonts w:ascii="Arial" w:hAnsi="Arial" w:cs="Arial"/>
          <w:b/>
          <w:bCs/>
          <w:lang w:val="en-PH" w:eastAsia="en-PH"/>
        </w:rPr>
      </w:pPr>
      <w:r w:rsidRPr="00AF4489">
        <w:rPr>
          <w:rFonts w:ascii="Arial" w:hAnsi="Arial" w:cs="Arial"/>
          <w:b/>
          <w:bCs/>
          <w:lang w:val="en-PH" w:eastAsia="en-PH"/>
        </w:rPr>
        <w:t>Table 4</w:t>
      </w:r>
    </w:p>
    <w:p w14:paraId="3EA947AF" w14:textId="77777777" w:rsidR="00AF4489" w:rsidRPr="00AF4489" w:rsidRDefault="00AF4489" w:rsidP="00AF4489">
      <w:pPr>
        <w:spacing w:before="100" w:beforeAutospacing="1" w:after="100" w:afterAutospacing="1"/>
        <w:contextualSpacing/>
        <w:jc w:val="both"/>
        <w:rPr>
          <w:rFonts w:ascii="Arial" w:hAnsi="Arial" w:cs="Arial"/>
          <w:i/>
          <w:iCs/>
          <w:lang w:val="en-PH" w:eastAsia="en-PH"/>
        </w:rPr>
      </w:pPr>
      <w:r w:rsidRPr="00AF4489">
        <w:rPr>
          <w:rFonts w:ascii="Arial" w:hAnsi="Arial" w:cs="Arial"/>
          <w:i/>
          <w:iCs/>
          <w:lang w:val="en-PH" w:eastAsia="en-PH"/>
        </w:rPr>
        <w:t>Level of Students' Grammatical Competence</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044"/>
        <w:gridCol w:w="1072"/>
        <w:gridCol w:w="2131"/>
      </w:tblGrid>
      <w:tr w:rsidR="00AF4489" w:rsidRPr="00AF4489" w14:paraId="1178B98E" w14:textId="77777777" w:rsidTr="00C42D78">
        <w:trPr>
          <w:trHeight w:val="300"/>
        </w:trPr>
        <w:tc>
          <w:tcPr>
            <w:tcW w:w="4497" w:type="dxa"/>
            <w:tcBorders>
              <w:top w:val="single" w:sz="4" w:space="0" w:color="auto"/>
              <w:bottom w:val="single" w:sz="4" w:space="0" w:color="auto"/>
            </w:tcBorders>
            <w:vAlign w:val="center"/>
          </w:tcPr>
          <w:p w14:paraId="7F2FD14C" w14:textId="77777777" w:rsidR="00AF4489" w:rsidRPr="00AF4489" w:rsidRDefault="00AF4489" w:rsidP="00AF4489">
            <w:pPr>
              <w:spacing w:before="100" w:beforeAutospacing="1" w:after="100"/>
              <w:jc w:val="both"/>
              <w:rPr>
                <w:rFonts w:ascii="Arial" w:hAnsi="Arial" w:cs="Arial"/>
                <w:b/>
                <w:bCs/>
                <w:sz w:val="20"/>
                <w:szCs w:val="20"/>
                <w:lang w:eastAsia="en-PH"/>
              </w:rPr>
            </w:pPr>
            <w:bookmarkStart w:id="3" w:name="_Hlk193150720"/>
            <w:r w:rsidRPr="00AF4489">
              <w:rPr>
                <w:rFonts w:ascii="Arial" w:hAnsi="Arial" w:cs="Arial"/>
                <w:b/>
                <w:bCs/>
                <w:sz w:val="20"/>
                <w:szCs w:val="20"/>
                <w:lang w:eastAsia="en-PH"/>
              </w:rPr>
              <w:t>Indicator</w:t>
            </w:r>
          </w:p>
        </w:tc>
        <w:tc>
          <w:tcPr>
            <w:tcW w:w="1133" w:type="dxa"/>
            <w:tcBorders>
              <w:top w:val="single" w:sz="4" w:space="0" w:color="auto"/>
              <w:bottom w:val="single" w:sz="4" w:space="0" w:color="auto"/>
            </w:tcBorders>
            <w:vAlign w:val="center"/>
          </w:tcPr>
          <w:p w14:paraId="687D50CF"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SD</w:t>
            </w:r>
          </w:p>
        </w:tc>
        <w:tc>
          <w:tcPr>
            <w:tcW w:w="1142" w:type="dxa"/>
            <w:tcBorders>
              <w:top w:val="single" w:sz="4" w:space="0" w:color="auto"/>
              <w:bottom w:val="single" w:sz="4" w:space="0" w:color="auto"/>
            </w:tcBorders>
            <w:vAlign w:val="center"/>
          </w:tcPr>
          <w:p w14:paraId="2A920D50"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Mean</w:t>
            </w:r>
          </w:p>
        </w:tc>
        <w:tc>
          <w:tcPr>
            <w:tcW w:w="2300" w:type="dxa"/>
            <w:tcBorders>
              <w:top w:val="single" w:sz="4" w:space="0" w:color="auto"/>
              <w:bottom w:val="single" w:sz="4" w:space="0" w:color="auto"/>
            </w:tcBorders>
            <w:vAlign w:val="center"/>
          </w:tcPr>
          <w:p w14:paraId="4015700F"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Descriptive Level</w:t>
            </w:r>
          </w:p>
        </w:tc>
      </w:tr>
      <w:tr w:rsidR="00AF4489" w:rsidRPr="00AF4489" w14:paraId="7469C428" w14:textId="77777777" w:rsidTr="00C42D78">
        <w:trPr>
          <w:trHeight w:val="300"/>
        </w:trPr>
        <w:tc>
          <w:tcPr>
            <w:tcW w:w="4497" w:type="dxa"/>
            <w:tcBorders>
              <w:top w:val="single" w:sz="4" w:space="0" w:color="auto"/>
            </w:tcBorders>
            <w:vAlign w:val="center"/>
          </w:tcPr>
          <w:p w14:paraId="5F7348B6"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Prepositions</w:t>
            </w:r>
          </w:p>
        </w:tc>
        <w:tc>
          <w:tcPr>
            <w:tcW w:w="1133" w:type="dxa"/>
            <w:tcBorders>
              <w:top w:val="single" w:sz="4" w:space="0" w:color="auto"/>
            </w:tcBorders>
            <w:vAlign w:val="center"/>
          </w:tcPr>
          <w:p w14:paraId="64B95CEF"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0.55</w:t>
            </w:r>
          </w:p>
        </w:tc>
        <w:tc>
          <w:tcPr>
            <w:tcW w:w="1142" w:type="dxa"/>
            <w:tcBorders>
              <w:top w:val="single" w:sz="4" w:space="0" w:color="auto"/>
            </w:tcBorders>
            <w:vAlign w:val="center"/>
          </w:tcPr>
          <w:p w14:paraId="362F2F77"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4.30</w:t>
            </w:r>
          </w:p>
        </w:tc>
        <w:tc>
          <w:tcPr>
            <w:tcW w:w="2300" w:type="dxa"/>
            <w:tcBorders>
              <w:top w:val="single" w:sz="4" w:space="0" w:color="auto"/>
            </w:tcBorders>
            <w:vAlign w:val="center"/>
          </w:tcPr>
          <w:p w14:paraId="4B3CBE9F"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736224D7" w14:textId="77777777" w:rsidTr="00C42D78">
        <w:trPr>
          <w:trHeight w:val="300"/>
        </w:trPr>
        <w:tc>
          <w:tcPr>
            <w:tcW w:w="4497" w:type="dxa"/>
            <w:vAlign w:val="center"/>
          </w:tcPr>
          <w:p w14:paraId="1897300A"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Subject Verb-Agreement</w:t>
            </w:r>
          </w:p>
        </w:tc>
        <w:tc>
          <w:tcPr>
            <w:tcW w:w="1133" w:type="dxa"/>
            <w:vAlign w:val="center"/>
          </w:tcPr>
          <w:p w14:paraId="7B1AACB2"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0.45</w:t>
            </w:r>
          </w:p>
        </w:tc>
        <w:tc>
          <w:tcPr>
            <w:tcW w:w="1142" w:type="dxa"/>
            <w:vAlign w:val="center"/>
          </w:tcPr>
          <w:p w14:paraId="49602A4A"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4.52</w:t>
            </w:r>
          </w:p>
        </w:tc>
        <w:tc>
          <w:tcPr>
            <w:tcW w:w="2300" w:type="dxa"/>
            <w:vAlign w:val="center"/>
          </w:tcPr>
          <w:p w14:paraId="09433C04"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140FAFBF" w14:textId="77777777" w:rsidTr="00C42D78">
        <w:trPr>
          <w:trHeight w:val="300"/>
        </w:trPr>
        <w:tc>
          <w:tcPr>
            <w:tcW w:w="4497" w:type="dxa"/>
            <w:vAlign w:val="center"/>
          </w:tcPr>
          <w:p w14:paraId="172C3F93"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Verb Aspects</w:t>
            </w:r>
          </w:p>
        </w:tc>
        <w:tc>
          <w:tcPr>
            <w:tcW w:w="1133" w:type="dxa"/>
            <w:vAlign w:val="center"/>
          </w:tcPr>
          <w:p w14:paraId="178F9A6F"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0.61</w:t>
            </w:r>
          </w:p>
        </w:tc>
        <w:tc>
          <w:tcPr>
            <w:tcW w:w="1142" w:type="dxa"/>
            <w:vAlign w:val="center"/>
          </w:tcPr>
          <w:p w14:paraId="7B24585B"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4.19</w:t>
            </w:r>
          </w:p>
        </w:tc>
        <w:tc>
          <w:tcPr>
            <w:tcW w:w="2300" w:type="dxa"/>
            <w:vAlign w:val="center"/>
          </w:tcPr>
          <w:p w14:paraId="3C5E9890"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High</w:t>
            </w:r>
          </w:p>
        </w:tc>
      </w:tr>
      <w:tr w:rsidR="00AF4489" w:rsidRPr="00AF4489" w14:paraId="7680EA98" w14:textId="77777777" w:rsidTr="00C42D78">
        <w:trPr>
          <w:trHeight w:val="300"/>
        </w:trPr>
        <w:tc>
          <w:tcPr>
            <w:tcW w:w="4497" w:type="dxa"/>
            <w:vAlign w:val="center"/>
          </w:tcPr>
          <w:p w14:paraId="38D5E749"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 xml:space="preserve">Modal </w:t>
            </w:r>
          </w:p>
        </w:tc>
        <w:tc>
          <w:tcPr>
            <w:tcW w:w="1133" w:type="dxa"/>
            <w:vAlign w:val="center"/>
          </w:tcPr>
          <w:p w14:paraId="0116BE81"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0.64</w:t>
            </w:r>
          </w:p>
        </w:tc>
        <w:tc>
          <w:tcPr>
            <w:tcW w:w="1142" w:type="dxa"/>
            <w:vAlign w:val="center"/>
          </w:tcPr>
          <w:p w14:paraId="60970C50"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4.22</w:t>
            </w:r>
          </w:p>
        </w:tc>
        <w:tc>
          <w:tcPr>
            <w:tcW w:w="2300" w:type="dxa"/>
            <w:vAlign w:val="center"/>
          </w:tcPr>
          <w:p w14:paraId="1DC054C6"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5F5093B5" w14:textId="77777777" w:rsidTr="00C42D78">
        <w:trPr>
          <w:trHeight w:val="300"/>
        </w:trPr>
        <w:tc>
          <w:tcPr>
            <w:tcW w:w="4497" w:type="dxa"/>
            <w:vAlign w:val="center"/>
          </w:tcPr>
          <w:p w14:paraId="4AB4D20A"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Passive Voice</w:t>
            </w:r>
          </w:p>
        </w:tc>
        <w:tc>
          <w:tcPr>
            <w:tcW w:w="1133" w:type="dxa"/>
            <w:vAlign w:val="center"/>
          </w:tcPr>
          <w:p w14:paraId="15EA9730"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0.60</w:t>
            </w:r>
          </w:p>
        </w:tc>
        <w:tc>
          <w:tcPr>
            <w:tcW w:w="1142" w:type="dxa"/>
            <w:vAlign w:val="center"/>
          </w:tcPr>
          <w:p w14:paraId="63B6BFD6"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4.21</w:t>
            </w:r>
          </w:p>
        </w:tc>
        <w:tc>
          <w:tcPr>
            <w:tcW w:w="2300" w:type="dxa"/>
            <w:vAlign w:val="center"/>
          </w:tcPr>
          <w:p w14:paraId="74EA65CE"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111A54A0" w14:textId="77777777" w:rsidTr="00C42D78">
        <w:trPr>
          <w:trHeight w:val="300"/>
        </w:trPr>
        <w:tc>
          <w:tcPr>
            <w:tcW w:w="4497" w:type="dxa"/>
            <w:tcBorders>
              <w:bottom w:val="single" w:sz="4" w:space="0" w:color="auto"/>
            </w:tcBorders>
            <w:vAlign w:val="center"/>
          </w:tcPr>
          <w:p w14:paraId="313F7AF8"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Overall</w:t>
            </w:r>
          </w:p>
        </w:tc>
        <w:tc>
          <w:tcPr>
            <w:tcW w:w="1133" w:type="dxa"/>
            <w:tcBorders>
              <w:bottom w:val="single" w:sz="4" w:space="0" w:color="auto"/>
            </w:tcBorders>
            <w:vAlign w:val="center"/>
          </w:tcPr>
          <w:p w14:paraId="6B5D4B5E"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0.46</w:t>
            </w:r>
          </w:p>
        </w:tc>
        <w:tc>
          <w:tcPr>
            <w:tcW w:w="1142" w:type="dxa"/>
            <w:tcBorders>
              <w:bottom w:val="single" w:sz="4" w:space="0" w:color="auto"/>
            </w:tcBorders>
            <w:vAlign w:val="center"/>
          </w:tcPr>
          <w:p w14:paraId="752135BA"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4.29</w:t>
            </w:r>
          </w:p>
        </w:tc>
        <w:tc>
          <w:tcPr>
            <w:tcW w:w="2300" w:type="dxa"/>
            <w:tcBorders>
              <w:bottom w:val="single" w:sz="4" w:space="0" w:color="auto"/>
            </w:tcBorders>
            <w:vAlign w:val="center"/>
          </w:tcPr>
          <w:p w14:paraId="16172605"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sz w:val="20"/>
                <w:szCs w:val="20"/>
                <w:lang w:eastAsia="en-PH"/>
              </w:rPr>
              <w:t xml:space="preserve">Very High </w:t>
            </w:r>
          </w:p>
        </w:tc>
      </w:tr>
      <w:bookmarkEnd w:id="3"/>
    </w:tbl>
    <w:p w14:paraId="7BDFE677" w14:textId="77777777" w:rsidR="00AF4489" w:rsidRPr="00B751D7" w:rsidRDefault="00AF4489" w:rsidP="00B751D7">
      <w:pPr>
        <w:pStyle w:val="Body"/>
        <w:rPr>
          <w:rFonts w:ascii="Arial" w:hAnsi="Arial" w:cs="Arial"/>
        </w:rPr>
      </w:pPr>
    </w:p>
    <w:p w14:paraId="18C15824" w14:textId="5796E8B1" w:rsidR="00B751D7" w:rsidRPr="00B751D7" w:rsidRDefault="00B751D7" w:rsidP="00B751D7">
      <w:pPr>
        <w:pStyle w:val="Body"/>
        <w:rPr>
          <w:rFonts w:ascii="Arial" w:hAnsi="Arial" w:cs="Arial"/>
        </w:rPr>
      </w:pPr>
      <w:r w:rsidRPr="00B751D7">
        <w:rPr>
          <w:rFonts w:ascii="Arial" w:hAnsi="Arial" w:cs="Arial"/>
        </w:rPr>
        <w:t xml:space="preserve">The high level of grammatical competence among the students clearly indicates that they possess sufficient understanding of basic grammatical rules and are capable of applying them in constructing more complex sentences. </w:t>
      </w:r>
      <w:proofErr w:type="spellStart"/>
      <w:r w:rsidRPr="00B751D7">
        <w:rPr>
          <w:rFonts w:ascii="Arial" w:hAnsi="Arial" w:cs="Arial"/>
        </w:rPr>
        <w:t>Bardovi-Harlig</w:t>
      </w:r>
      <w:proofErr w:type="spellEnd"/>
      <w:r w:rsidRPr="00B751D7">
        <w:rPr>
          <w:rFonts w:ascii="Arial" w:hAnsi="Arial" w:cs="Arial"/>
        </w:rPr>
        <w:t xml:space="preserve"> (</w:t>
      </w:r>
      <w:r>
        <w:rPr>
          <w:rFonts w:ascii="Arial" w:hAnsi="Arial" w:cs="Arial"/>
        </w:rPr>
        <w:t>1999</w:t>
      </w:r>
      <w:r w:rsidRPr="00B751D7">
        <w:rPr>
          <w:rFonts w:ascii="Arial" w:hAnsi="Arial" w:cs="Arial"/>
        </w:rPr>
        <w:t>) affirmed that students learn grammar more effectively when exposed to comprehensible materials that are relevant to their lives, and that well-taught grammar can serve as a foundation that enhances the overall learning experience. It provides clear guidance on correct language usage, boosts confidence, and opens up more opportunities for deeper understanding and effective communication.</w:t>
      </w:r>
    </w:p>
    <w:p w14:paraId="79A2BFDF" w14:textId="717EA59F" w:rsidR="00B751D7" w:rsidRPr="00B751D7" w:rsidRDefault="00B751D7" w:rsidP="00B751D7">
      <w:pPr>
        <w:pStyle w:val="Body"/>
        <w:rPr>
          <w:rFonts w:ascii="Arial" w:hAnsi="Arial" w:cs="Arial"/>
        </w:rPr>
      </w:pPr>
      <w:r w:rsidRPr="00B751D7">
        <w:rPr>
          <w:rFonts w:ascii="Arial" w:hAnsi="Arial" w:cs="Arial"/>
        </w:rPr>
        <w:t xml:space="preserve">Subject-verb agreement emerged as the highest among the indicators, which was supported by </w:t>
      </w:r>
      <w:proofErr w:type="spellStart"/>
      <w:r w:rsidRPr="00B751D7">
        <w:rPr>
          <w:rFonts w:ascii="Arial" w:hAnsi="Arial" w:cs="Arial"/>
        </w:rPr>
        <w:t>Balones</w:t>
      </w:r>
      <w:proofErr w:type="spellEnd"/>
      <w:r w:rsidRPr="00B751D7">
        <w:rPr>
          <w:rFonts w:ascii="Arial" w:hAnsi="Arial" w:cs="Arial"/>
        </w:rPr>
        <w:t xml:space="preserve"> and </w:t>
      </w:r>
      <w:proofErr w:type="spellStart"/>
      <w:r w:rsidRPr="00B751D7">
        <w:rPr>
          <w:rFonts w:ascii="Arial" w:hAnsi="Arial" w:cs="Arial"/>
        </w:rPr>
        <w:t>Gempes</w:t>
      </w:r>
      <w:proofErr w:type="spellEnd"/>
      <w:r w:rsidRPr="00B751D7">
        <w:rPr>
          <w:rFonts w:ascii="Arial" w:hAnsi="Arial" w:cs="Arial"/>
        </w:rPr>
        <w:t xml:space="preserve"> (20</w:t>
      </w:r>
      <w:r>
        <w:rPr>
          <w:rFonts w:ascii="Arial" w:hAnsi="Arial" w:cs="Arial"/>
        </w:rPr>
        <w:t>22</w:t>
      </w:r>
      <w:r w:rsidRPr="00B751D7">
        <w:rPr>
          <w:rFonts w:ascii="Arial" w:hAnsi="Arial" w:cs="Arial"/>
        </w:rPr>
        <w:t>). This finding aligns with Chomsky’s Transformational-Generative Grammar theory of language acquisition, which posits that humans possess an innate ability to comprehend and use language in a flexible manner—an attribute that highlights the uniqueness of human communication skills.</w:t>
      </w:r>
    </w:p>
    <w:p w14:paraId="27708291" w14:textId="2EE361B0" w:rsidR="000442F5" w:rsidRDefault="00B751D7" w:rsidP="00B751D7">
      <w:pPr>
        <w:pStyle w:val="Body"/>
        <w:spacing w:after="0"/>
        <w:rPr>
          <w:rFonts w:ascii="Arial" w:hAnsi="Arial" w:cs="Arial"/>
        </w:rPr>
      </w:pPr>
      <w:r w:rsidRPr="00B751D7">
        <w:rPr>
          <w:rFonts w:ascii="Arial" w:hAnsi="Arial" w:cs="Arial"/>
        </w:rPr>
        <w:t xml:space="preserve">This was further supported by </w:t>
      </w:r>
      <w:proofErr w:type="spellStart"/>
      <w:r w:rsidRPr="00B751D7">
        <w:rPr>
          <w:rFonts w:ascii="Arial" w:hAnsi="Arial" w:cs="Arial"/>
        </w:rPr>
        <w:t>Lutviana</w:t>
      </w:r>
      <w:proofErr w:type="spellEnd"/>
      <w:r w:rsidRPr="00B751D7">
        <w:rPr>
          <w:rFonts w:ascii="Arial" w:hAnsi="Arial" w:cs="Arial"/>
        </w:rPr>
        <w:t xml:space="preserve"> (20</w:t>
      </w:r>
      <w:r>
        <w:rPr>
          <w:rFonts w:ascii="Arial" w:hAnsi="Arial" w:cs="Arial"/>
        </w:rPr>
        <w:t>20</w:t>
      </w:r>
      <w:r w:rsidRPr="00B751D7">
        <w:rPr>
          <w:rFonts w:ascii="Arial" w:hAnsi="Arial" w:cs="Arial"/>
        </w:rPr>
        <w:t>), who emphasized that improving grammatical competence significantly contributes to higher scores in writing, as grammar forms the foundation of effective communication. Students with weak gramma</w:t>
      </w:r>
      <w:r w:rsidR="00EC5C48">
        <w:rPr>
          <w:rFonts w:ascii="Arial" w:hAnsi="Arial" w:cs="Arial"/>
        </w:rPr>
        <w:t>tical competence</w:t>
      </w:r>
      <w:r w:rsidRPr="00B751D7">
        <w:rPr>
          <w:rFonts w:ascii="Arial" w:hAnsi="Arial" w:cs="Arial"/>
        </w:rPr>
        <w:t xml:space="preserve"> often struggle to express their ideas clearly and coherently, which can negatively impact the quality of their writing. Conversely, those with strong gramma</w:t>
      </w:r>
      <w:r w:rsidR="00EC5C48">
        <w:rPr>
          <w:rFonts w:ascii="Arial" w:hAnsi="Arial" w:cs="Arial"/>
        </w:rPr>
        <w:t>tical competence</w:t>
      </w:r>
      <w:r w:rsidRPr="00B751D7">
        <w:rPr>
          <w:rFonts w:ascii="Arial" w:hAnsi="Arial" w:cs="Arial"/>
        </w:rPr>
        <w:t xml:space="preserve"> are better able to organize their thoughts, utilize various sentence structures, and convey their messages </w:t>
      </w:r>
      <w:r w:rsidRPr="00B751D7">
        <w:rPr>
          <w:rFonts w:ascii="Arial" w:hAnsi="Arial" w:cs="Arial"/>
        </w:rPr>
        <w:lastRenderedPageBreak/>
        <w:t>clearly. This competence not only improves their writing but also increases their confidence and capability as writers. Thus, mastering grammar is a crucial step toward writing excellence and academic success.</w:t>
      </w:r>
    </w:p>
    <w:p w14:paraId="3B28CD15" w14:textId="77777777" w:rsidR="000442F5" w:rsidRDefault="000442F5" w:rsidP="000442F5">
      <w:pPr>
        <w:pStyle w:val="Body"/>
        <w:spacing w:after="0"/>
        <w:rPr>
          <w:rFonts w:ascii="Arial" w:hAnsi="Arial" w:cs="Arial"/>
        </w:rPr>
      </w:pPr>
    </w:p>
    <w:p w14:paraId="7D358EB8" w14:textId="4B65AE1A" w:rsidR="00B751D7" w:rsidRDefault="00EB4521" w:rsidP="00441B6F">
      <w:pPr>
        <w:pStyle w:val="Body"/>
        <w:spacing w:after="0"/>
        <w:rPr>
          <w:rFonts w:ascii="Arial" w:hAnsi="Arial" w:cs="Arial"/>
        </w:rPr>
      </w:pPr>
      <w:r w:rsidRPr="00EB4521">
        <w:rPr>
          <w:rFonts w:ascii="Arial" w:hAnsi="Arial" w:cs="Arial"/>
        </w:rPr>
        <w:t xml:space="preserve">The significant relationship between language exposure and the grammatical competence of students is shown in Table 5, with a total </w:t>
      </w:r>
      <w:proofErr w:type="spellStart"/>
      <w:r w:rsidRPr="00EB4521">
        <w:rPr>
          <w:rFonts w:ascii="Arial" w:hAnsi="Arial" w:cs="Arial"/>
        </w:rPr>
        <w:t>r-value</w:t>
      </w:r>
      <w:proofErr w:type="spellEnd"/>
      <w:r w:rsidRPr="00EB4521">
        <w:rPr>
          <w:rFonts w:ascii="Arial" w:hAnsi="Arial" w:cs="Arial"/>
        </w:rPr>
        <w:t xml:space="preserve"> of .018 and a p-value lower than the .05 level of significance set in this study. Therefore, the null hypothesis—which states that there is no significant relationship between language exposure and the grammatical competence of students—is rejected.</w:t>
      </w:r>
    </w:p>
    <w:p w14:paraId="260020EB" w14:textId="77777777" w:rsidR="007E5514" w:rsidRDefault="007E5514" w:rsidP="00441B6F">
      <w:pPr>
        <w:pStyle w:val="Body"/>
        <w:spacing w:after="0"/>
        <w:rPr>
          <w:rFonts w:ascii="Arial" w:hAnsi="Arial" w:cs="Arial"/>
        </w:rPr>
      </w:pPr>
    </w:p>
    <w:p w14:paraId="2DD15CDF" w14:textId="5DCED0E4" w:rsidR="007E5514" w:rsidRDefault="007E5514" w:rsidP="00441B6F">
      <w:pPr>
        <w:pStyle w:val="Body"/>
        <w:spacing w:after="0"/>
        <w:rPr>
          <w:rFonts w:ascii="Arial" w:hAnsi="Arial" w:cs="Arial"/>
        </w:rPr>
      </w:pPr>
      <w:r w:rsidRPr="007E5514">
        <w:rPr>
          <w:rFonts w:ascii="Arial" w:hAnsi="Arial" w:cs="Arial"/>
        </w:rPr>
        <w:t>It can be inferred that there is a weak and negative relationship between the first exogenous variable and the endogenous variable, which means that excessive language exposure at home does not always contribute positively to language learning</w:t>
      </w:r>
      <w:r>
        <w:rPr>
          <w:rFonts w:ascii="Arial" w:hAnsi="Arial" w:cs="Arial"/>
        </w:rPr>
        <w:t>.</w:t>
      </w:r>
      <w:r w:rsidR="00F456B3">
        <w:rPr>
          <w:rFonts w:ascii="Arial" w:hAnsi="Arial" w:cs="Arial"/>
        </w:rPr>
        <w:t xml:space="preserve"> </w:t>
      </w:r>
      <w:r w:rsidR="00F456B3" w:rsidRPr="00F456B3">
        <w:rPr>
          <w:rFonts w:ascii="Arial" w:hAnsi="Arial" w:cs="Arial"/>
        </w:rPr>
        <w:t>The use of informal language at home (such as slang or non-standard expressions) results in limited opportunities to develop formal gramma</w:t>
      </w:r>
      <w:r w:rsidR="00EC5C48">
        <w:rPr>
          <w:rFonts w:ascii="Arial" w:hAnsi="Arial" w:cs="Arial"/>
        </w:rPr>
        <w:t>tical competence</w:t>
      </w:r>
      <w:r w:rsidR="00F456B3" w:rsidRPr="00F456B3">
        <w:rPr>
          <w:rFonts w:ascii="Arial" w:hAnsi="Arial" w:cs="Arial"/>
        </w:rPr>
        <w:t>. If language exposure at home showed a negative correlation with grammatical competence, this suggests that higher exposure to language in the home may be associated with a lower level of grammatical competence. The resulting p-value of .018 is lower than the tabular value of .05; therefore, the relationship is significant, and the hypothesis is rejected.</w:t>
      </w:r>
    </w:p>
    <w:p w14:paraId="2941F779" w14:textId="77777777" w:rsidR="00F456B3" w:rsidRDefault="00F456B3" w:rsidP="00441B6F">
      <w:pPr>
        <w:pStyle w:val="Body"/>
        <w:spacing w:after="0"/>
        <w:rPr>
          <w:rFonts w:ascii="Arial" w:hAnsi="Arial" w:cs="Arial"/>
        </w:rPr>
      </w:pPr>
    </w:p>
    <w:p w14:paraId="7A81BDA4" w14:textId="77777777" w:rsidR="008D08C6" w:rsidRPr="008D08C6" w:rsidRDefault="008D08C6" w:rsidP="008D08C6">
      <w:pPr>
        <w:pStyle w:val="Body"/>
        <w:spacing w:after="0"/>
        <w:rPr>
          <w:rFonts w:ascii="Arial" w:hAnsi="Arial" w:cs="Arial"/>
          <w:b/>
          <w:bCs/>
          <w:lang w:val="en-PH"/>
        </w:rPr>
      </w:pPr>
      <w:r w:rsidRPr="008D08C6">
        <w:rPr>
          <w:rFonts w:ascii="Arial" w:hAnsi="Arial" w:cs="Arial"/>
          <w:b/>
          <w:bCs/>
          <w:lang w:val="en-PH"/>
        </w:rPr>
        <w:t>Table 5</w:t>
      </w:r>
    </w:p>
    <w:p w14:paraId="5E5529BF" w14:textId="77777777" w:rsidR="008D08C6" w:rsidRPr="008D08C6" w:rsidRDefault="008D08C6" w:rsidP="008D08C6">
      <w:pPr>
        <w:pStyle w:val="Body"/>
        <w:spacing w:after="0"/>
        <w:rPr>
          <w:rFonts w:ascii="Arial" w:hAnsi="Arial" w:cs="Arial"/>
          <w:i/>
          <w:iCs/>
          <w:lang w:val="en-PH"/>
        </w:rPr>
      </w:pPr>
      <w:r w:rsidRPr="008D08C6">
        <w:rPr>
          <w:rFonts w:ascii="Arial" w:hAnsi="Arial" w:cs="Arial"/>
          <w:i/>
          <w:iCs/>
          <w:lang w:val="en-PH"/>
        </w:rPr>
        <w:t>Correlation Between Language Exposure and Grammatical Competence</w:t>
      </w:r>
      <w:bookmarkStart w:id="4" w:name="_Hlk183203170"/>
      <w:r w:rsidRPr="008D08C6">
        <w:rPr>
          <w:rFonts w:ascii="Arial" w:hAnsi="Arial" w:cs="Arial"/>
          <w:i/>
          <w:iCs/>
          <w:lang w:val="en-PH"/>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17"/>
        <w:gridCol w:w="1338"/>
        <w:gridCol w:w="1135"/>
        <w:gridCol w:w="1026"/>
        <w:gridCol w:w="1115"/>
        <w:gridCol w:w="1143"/>
      </w:tblGrid>
      <w:tr w:rsidR="008D08C6" w:rsidRPr="008D08C6" w14:paraId="66BA81E4" w14:textId="77777777" w:rsidTr="00C42D78">
        <w:trPr>
          <w:trHeight w:val="432"/>
        </w:trPr>
        <w:tc>
          <w:tcPr>
            <w:tcW w:w="1282" w:type="dxa"/>
            <w:vMerge w:val="restart"/>
            <w:tcBorders>
              <w:top w:val="single" w:sz="4" w:space="0" w:color="auto"/>
            </w:tcBorders>
            <w:vAlign w:val="center"/>
          </w:tcPr>
          <w:p w14:paraId="042F774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 xml:space="preserve">Language Exposure </w:t>
            </w:r>
          </w:p>
        </w:tc>
        <w:tc>
          <w:tcPr>
            <w:tcW w:w="7628" w:type="dxa"/>
            <w:gridSpan w:val="6"/>
            <w:tcBorders>
              <w:top w:val="single" w:sz="4" w:space="0" w:color="auto"/>
              <w:bottom w:val="single" w:sz="4" w:space="0" w:color="auto"/>
            </w:tcBorders>
            <w:vAlign w:val="center"/>
          </w:tcPr>
          <w:p w14:paraId="2BFEBD8D"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Grammatical Competence</w:t>
            </w:r>
          </w:p>
        </w:tc>
      </w:tr>
      <w:tr w:rsidR="008D08C6" w:rsidRPr="008D08C6" w14:paraId="17F01EAE" w14:textId="77777777" w:rsidTr="00C42D78">
        <w:trPr>
          <w:trHeight w:val="432"/>
        </w:trPr>
        <w:tc>
          <w:tcPr>
            <w:tcW w:w="1282" w:type="dxa"/>
            <w:vMerge/>
            <w:vAlign w:val="center"/>
          </w:tcPr>
          <w:p w14:paraId="1C160676" w14:textId="77777777" w:rsidR="008D08C6" w:rsidRPr="008D08C6" w:rsidRDefault="008D08C6" w:rsidP="008D08C6">
            <w:pPr>
              <w:pStyle w:val="Body"/>
              <w:spacing w:after="0"/>
              <w:rPr>
                <w:rFonts w:ascii="Arial" w:hAnsi="Arial" w:cs="Arial"/>
                <w:sz w:val="20"/>
                <w:szCs w:val="20"/>
              </w:rPr>
            </w:pPr>
          </w:p>
        </w:tc>
        <w:tc>
          <w:tcPr>
            <w:tcW w:w="1177" w:type="dxa"/>
            <w:tcBorders>
              <w:top w:val="single" w:sz="4" w:space="0" w:color="auto"/>
              <w:bottom w:val="single" w:sz="4" w:space="0" w:color="auto"/>
            </w:tcBorders>
            <w:vAlign w:val="center"/>
          </w:tcPr>
          <w:p w14:paraId="14028F4C"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Preposition</w:t>
            </w:r>
          </w:p>
        </w:tc>
        <w:tc>
          <w:tcPr>
            <w:tcW w:w="1431" w:type="dxa"/>
            <w:tcBorders>
              <w:top w:val="single" w:sz="4" w:space="0" w:color="auto"/>
              <w:bottom w:val="single" w:sz="4" w:space="0" w:color="auto"/>
            </w:tcBorders>
            <w:vAlign w:val="center"/>
          </w:tcPr>
          <w:p w14:paraId="4140137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Subject Verb-Agreement</w:t>
            </w:r>
          </w:p>
        </w:tc>
        <w:tc>
          <w:tcPr>
            <w:tcW w:w="1271" w:type="dxa"/>
            <w:tcBorders>
              <w:top w:val="single" w:sz="4" w:space="0" w:color="auto"/>
              <w:bottom w:val="single" w:sz="4" w:space="0" w:color="auto"/>
            </w:tcBorders>
            <w:vAlign w:val="center"/>
          </w:tcPr>
          <w:p w14:paraId="52370F7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Verb Aspects</w:t>
            </w:r>
          </w:p>
        </w:tc>
        <w:tc>
          <w:tcPr>
            <w:tcW w:w="1199" w:type="dxa"/>
            <w:tcBorders>
              <w:top w:val="single" w:sz="4" w:space="0" w:color="auto"/>
              <w:bottom w:val="single" w:sz="4" w:space="0" w:color="auto"/>
            </w:tcBorders>
            <w:vAlign w:val="center"/>
          </w:tcPr>
          <w:p w14:paraId="255A6A7B"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Modal</w:t>
            </w:r>
          </w:p>
        </w:tc>
        <w:tc>
          <w:tcPr>
            <w:tcW w:w="1244" w:type="dxa"/>
            <w:tcBorders>
              <w:top w:val="single" w:sz="4" w:space="0" w:color="auto"/>
              <w:bottom w:val="single" w:sz="4" w:space="0" w:color="auto"/>
            </w:tcBorders>
            <w:vAlign w:val="center"/>
          </w:tcPr>
          <w:p w14:paraId="18B3C761"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Passive Voice</w:t>
            </w:r>
          </w:p>
        </w:tc>
        <w:tc>
          <w:tcPr>
            <w:tcW w:w="1306" w:type="dxa"/>
            <w:tcBorders>
              <w:top w:val="single" w:sz="4" w:space="0" w:color="auto"/>
              <w:bottom w:val="single" w:sz="4" w:space="0" w:color="auto"/>
            </w:tcBorders>
            <w:vAlign w:val="center"/>
          </w:tcPr>
          <w:p w14:paraId="43F48DC9"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Overall</w:t>
            </w:r>
          </w:p>
        </w:tc>
      </w:tr>
      <w:tr w:rsidR="008D08C6" w:rsidRPr="008D08C6" w14:paraId="3DAC501F" w14:textId="77777777" w:rsidTr="00C42D78">
        <w:trPr>
          <w:trHeight w:val="432"/>
        </w:trPr>
        <w:tc>
          <w:tcPr>
            <w:tcW w:w="1282" w:type="dxa"/>
            <w:vAlign w:val="center"/>
          </w:tcPr>
          <w:p w14:paraId="71D5B7B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Home</w:t>
            </w:r>
          </w:p>
        </w:tc>
        <w:tc>
          <w:tcPr>
            <w:tcW w:w="1177" w:type="dxa"/>
            <w:tcBorders>
              <w:top w:val="single" w:sz="4" w:space="0" w:color="auto"/>
            </w:tcBorders>
          </w:tcPr>
          <w:p w14:paraId="2EF53A9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-.066</w:t>
            </w:r>
          </w:p>
          <w:p w14:paraId="10D5E111"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.187</w:t>
            </w:r>
          </w:p>
        </w:tc>
        <w:tc>
          <w:tcPr>
            <w:tcW w:w="1431" w:type="dxa"/>
            <w:tcBorders>
              <w:top w:val="single" w:sz="4" w:space="0" w:color="auto"/>
            </w:tcBorders>
          </w:tcPr>
          <w:p w14:paraId="782808B6"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-.056</w:t>
            </w:r>
          </w:p>
          <w:p w14:paraId="32E32F85"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.268</w:t>
            </w:r>
          </w:p>
        </w:tc>
        <w:tc>
          <w:tcPr>
            <w:tcW w:w="1271" w:type="dxa"/>
            <w:tcBorders>
              <w:top w:val="single" w:sz="4" w:space="0" w:color="auto"/>
            </w:tcBorders>
          </w:tcPr>
          <w:p w14:paraId="50A2CF77"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-.123</w:t>
            </w:r>
            <w:r w:rsidRPr="008D08C6">
              <w:rPr>
                <w:rFonts w:ascii="Arial" w:hAnsi="Arial" w:cs="Arial"/>
                <w:sz w:val="20"/>
                <w:szCs w:val="20"/>
                <w:vertAlign w:val="superscript"/>
              </w:rPr>
              <w:t>*</w:t>
            </w:r>
          </w:p>
          <w:p w14:paraId="10FDF36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.014</w:t>
            </w:r>
          </w:p>
        </w:tc>
        <w:tc>
          <w:tcPr>
            <w:tcW w:w="1199" w:type="dxa"/>
            <w:tcBorders>
              <w:top w:val="single" w:sz="4" w:space="0" w:color="auto"/>
            </w:tcBorders>
          </w:tcPr>
          <w:p w14:paraId="796EA055"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-.130</w:t>
            </w:r>
            <w:r w:rsidRPr="008D08C6">
              <w:rPr>
                <w:rFonts w:ascii="Arial" w:hAnsi="Arial" w:cs="Arial"/>
                <w:sz w:val="20"/>
                <w:szCs w:val="20"/>
                <w:vertAlign w:val="superscript"/>
              </w:rPr>
              <w:t>**</w:t>
            </w:r>
          </w:p>
          <w:p w14:paraId="2409E3C0"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.009</w:t>
            </w:r>
          </w:p>
        </w:tc>
        <w:tc>
          <w:tcPr>
            <w:tcW w:w="1244" w:type="dxa"/>
            <w:tcBorders>
              <w:top w:val="single" w:sz="4" w:space="0" w:color="auto"/>
            </w:tcBorders>
          </w:tcPr>
          <w:p w14:paraId="2A7314CB"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-.180</w:t>
            </w:r>
            <w:r w:rsidRPr="008D08C6">
              <w:rPr>
                <w:rFonts w:ascii="Arial" w:hAnsi="Arial" w:cs="Arial"/>
                <w:sz w:val="20"/>
                <w:szCs w:val="20"/>
                <w:vertAlign w:val="superscript"/>
              </w:rPr>
              <w:t>**</w:t>
            </w:r>
          </w:p>
          <w:p w14:paraId="1BF173A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.000</w:t>
            </w:r>
          </w:p>
        </w:tc>
        <w:tc>
          <w:tcPr>
            <w:tcW w:w="1306" w:type="dxa"/>
            <w:tcBorders>
              <w:top w:val="single" w:sz="4" w:space="0" w:color="auto"/>
            </w:tcBorders>
          </w:tcPr>
          <w:p w14:paraId="18EDD70F"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-.142</w:t>
            </w:r>
            <w:r w:rsidRPr="008D08C6">
              <w:rPr>
                <w:rFonts w:ascii="Arial" w:hAnsi="Arial" w:cs="Arial"/>
                <w:b/>
                <w:sz w:val="20"/>
                <w:szCs w:val="20"/>
                <w:vertAlign w:val="superscript"/>
              </w:rPr>
              <w:t>**</w:t>
            </w:r>
          </w:p>
          <w:p w14:paraId="77601FAE"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.004</w:t>
            </w:r>
          </w:p>
        </w:tc>
      </w:tr>
      <w:tr w:rsidR="008D08C6" w:rsidRPr="008D08C6" w14:paraId="33C35DD9" w14:textId="77777777" w:rsidTr="00C42D78">
        <w:trPr>
          <w:trHeight w:val="432"/>
        </w:trPr>
        <w:tc>
          <w:tcPr>
            <w:tcW w:w="1282" w:type="dxa"/>
            <w:vAlign w:val="center"/>
          </w:tcPr>
          <w:p w14:paraId="168A7D1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Friend</w:t>
            </w:r>
          </w:p>
        </w:tc>
        <w:tc>
          <w:tcPr>
            <w:tcW w:w="1177" w:type="dxa"/>
          </w:tcPr>
          <w:p w14:paraId="59EEC927"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-.042</w:t>
            </w:r>
          </w:p>
          <w:p w14:paraId="38A7D488"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.404</w:t>
            </w:r>
          </w:p>
        </w:tc>
        <w:tc>
          <w:tcPr>
            <w:tcW w:w="1431" w:type="dxa"/>
          </w:tcPr>
          <w:p w14:paraId="1991267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.024</w:t>
            </w:r>
          </w:p>
          <w:p w14:paraId="707CB05D"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.633</w:t>
            </w:r>
          </w:p>
        </w:tc>
        <w:tc>
          <w:tcPr>
            <w:tcW w:w="1271" w:type="dxa"/>
          </w:tcPr>
          <w:p w14:paraId="7A86CE87"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-.025</w:t>
            </w:r>
          </w:p>
          <w:p w14:paraId="20ADFCDE"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.621</w:t>
            </w:r>
          </w:p>
        </w:tc>
        <w:tc>
          <w:tcPr>
            <w:tcW w:w="1199" w:type="dxa"/>
          </w:tcPr>
          <w:p w14:paraId="4DCA92C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-.062</w:t>
            </w:r>
          </w:p>
          <w:p w14:paraId="6F6EF7F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.219</w:t>
            </w:r>
          </w:p>
        </w:tc>
        <w:tc>
          <w:tcPr>
            <w:tcW w:w="1244" w:type="dxa"/>
          </w:tcPr>
          <w:p w14:paraId="0F2AFC9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-.109</w:t>
            </w:r>
            <w:r w:rsidRPr="008D08C6">
              <w:rPr>
                <w:rFonts w:ascii="Arial" w:hAnsi="Arial" w:cs="Arial"/>
                <w:sz w:val="20"/>
                <w:szCs w:val="20"/>
                <w:vertAlign w:val="superscript"/>
              </w:rPr>
              <w:t>*</w:t>
            </w:r>
          </w:p>
          <w:p w14:paraId="7F28380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.030</w:t>
            </w:r>
          </w:p>
        </w:tc>
        <w:tc>
          <w:tcPr>
            <w:tcW w:w="1306" w:type="dxa"/>
          </w:tcPr>
          <w:p w14:paraId="44FAD104"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-.057</w:t>
            </w:r>
          </w:p>
          <w:p w14:paraId="65316A2E"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.253</w:t>
            </w:r>
          </w:p>
        </w:tc>
      </w:tr>
      <w:tr w:rsidR="008D08C6" w:rsidRPr="008D08C6" w14:paraId="57C1C201" w14:textId="77777777" w:rsidTr="00C42D78">
        <w:trPr>
          <w:trHeight w:val="432"/>
        </w:trPr>
        <w:tc>
          <w:tcPr>
            <w:tcW w:w="1282" w:type="dxa"/>
            <w:vAlign w:val="center"/>
          </w:tcPr>
          <w:p w14:paraId="68F4205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School</w:t>
            </w:r>
          </w:p>
        </w:tc>
        <w:tc>
          <w:tcPr>
            <w:tcW w:w="1177" w:type="dxa"/>
          </w:tcPr>
          <w:p w14:paraId="78890FD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.029</w:t>
            </w:r>
          </w:p>
          <w:p w14:paraId="3D3125A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.558</w:t>
            </w:r>
          </w:p>
        </w:tc>
        <w:tc>
          <w:tcPr>
            <w:tcW w:w="1431" w:type="dxa"/>
          </w:tcPr>
          <w:p w14:paraId="217DAE2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-.048</w:t>
            </w:r>
          </w:p>
          <w:p w14:paraId="6D8F53D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.340</w:t>
            </w:r>
          </w:p>
        </w:tc>
        <w:tc>
          <w:tcPr>
            <w:tcW w:w="1271" w:type="dxa"/>
          </w:tcPr>
          <w:p w14:paraId="2E8FCC4D"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-.048</w:t>
            </w:r>
          </w:p>
          <w:p w14:paraId="5D9D692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.340</w:t>
            </w:r>
          </w:p>
        </w:tc>
        <w:tc>
          <w:tcPr>
            <w:tcW w:w="1199" w:type="dxa"/>
          </w:tcPr>
          <w:p w14:paraId="7AD9074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-.102</w:t>
            </w:r>
            <w:r w:rsidRPr="008D08C6">
              <w:rPr>
                <w:rFonts w:ascii="Arial" w:hAnsi="Arial" w:cs="Arial"/>
                <w:sz w:val="20"/>
                <w:szCs w:val="20"/>
                <w:vertAlign w:val="superscript"/>
              </w:rPr>
              <w:t>*</w:t>
            </w:r>
          </w:p>
          <w:p w14:paraId="72F98C3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.042</w:t>
            </w:r>
          </w:p>
        </w:tc>
        <w:tc>
          <w:tcPr>
            <w:tcW w:w="1244" w:type="dxa"/>
          </w:tcPr>
          <w:p w14:paraId="6A849D80"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-.101</w:t>
            </w:r>
            <w:r w:rsidRPr="008D08C6">
              <w:rPr>
                <w:rFonts w:ascii="Arial" w:hAnsi="Arial" w:cs="Arial"/>
                <w:sz w:val="20"/>
                <w:szCs w:val="20"/>
                <w:vertAlign w:val="superscript"/>
              </w:rPr>
              <w:t>*</w:t>
            </w:r>
          </w:p>
          <w:p w14:paraId="7C9B260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.043</w:t>
            </w:r>
          </w:p>
        </w:tc>
        <w:tc>
          <w:tcPr>
            <w:tcW w:w="1306" w:type="dxa"/>
          </w:tcPr>
          <w:p w14:paraId="670E6495"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-.070</w:t>
            </w:r>
          </w:p>
          <w:p w14:paraId="2E358F28"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.165</w:t>
            </w:r>
          </w:p>
        </w:tc>
      </w:tr>
      <w:tr w:rsidR="008D08C6" w:rsidRPr="008D08C6" w14:paraId="3293FCD6" w14:textId="77777777" w:rsidTr="00C42D78">
        <w:trPr>
          <w:trHeight w:val="432"/>
        </w:trPr>
        <w:tc>
          <w:tcPr>
            <w:tcW w:w="1282" w:type="dxa"/>
            <w:vAlign w:val="center"/>
          </w:tcPr>
          <w:p w14:paraId="3F3C7D5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Media</w:t>
            </w:r>
          </w:p>
        </w:tc>
        <w:tc>
          <w:tcPr>
            <w:tcW w:w="1177" w:type="dxa"/>
          </w:tcPr>
          <w:p w14:paraId="0EA1A92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-.024</w:t>
            </w:r>
          </w:p>
          <w:p w14:paraId="6AE2431C"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.629</w:t>
            </w:r>
          </w:p>
        </w:tc>
        <w:tc>
          <w:tcPr>
            <w:tcW w:w="1431" w:type="dxa"/>
          </w:tcPr>
          <w:p w14:paraId="0535672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-.086</w:t>
            </w:r>
          </w:p>
          <w:p w14:paraId="6CC254CC"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.085</w:t>
            </w:r>
          </w:p>
        </w:tc>
        <w:tc>
          <w:tcPr>
            <w:tcW w:w="1271" w:type="dxa"/>
          </w:tcPr>
          <w:p w14:paraId="763C00F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-.002</w:t>
            </w:r>
          </w:p>
          <w:p w14:paraId="76FD91BD"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.968</w:t>
            </w:r>
          </w:p>
        </w:tc>
        <w:tc>
          <w:tcPr>
            <w:tcW w:w="1199" w:type="dxa"/>
          </w:tcPr>
          <w:p w14:paraId="78CCFEA9"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-.092</w:t>
            </w:r>
          </w:p>
          <w:p w14:paraId="6B529519"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.065</w:t>
            </w:r>
          </w:p>
        </w:tc>
        <w:tc>
          <w:tcPr>
            <w:tcW w:w="1244" w:type="dxa"/>
          </w:tcPr>
          <w:p w14:paraId="5A2EDC16"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-.115</w:t>
            </w:r>
            <w:r w:rsidRPr="008D08C6">
              <w:rPr>
                <w:rFonts w:ascii="Arial" w:hAnsi="Arial" w:cs="Arial"/>
                <w:sz w:val="20"/>
                <w:szCs w:val="20"/>
                <w:vertAlign w:val="superscript"/>
              </w:rPr>
              <w:t>*</w:t>
            </w:r>
          </w:p>
          <w:p w14:paraId="52BE298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.021</w:t>
            </w:r>
          </w:p>
        </w:tc>
        <w:tc>
          <w:tcPr>
            <w:tcW w:w="1306" w:type="dxa"/>
          </w:tcPr>
          <w:p w14:paraId="644B412F"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-.079</w:t>
            </w:r>
          </w:p>
          <w:p w14:paraId="36108390"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.116</w:t>
            </w:r>
          </w:p>
        </w:tc>
      </w:tr>
      <w:tr w:rsidR="008D08C6" w:rsidRPr="008D08C6" w14:paraId="5B6C47FD" w14:textId="77777777" w:rsidTr="00C42D78">
        <w:trPr>
          <w:trHeight w:val="432"/>
        </w:trPr>
        <w:tc>
          <w:tcPr>
            <w:tcW w:w="1282" w:type="dxa"/>
            <w:tcBorders>
              <w:bottom w:val="single" w:sz="4" w:space="0" w:color="auto"/>
            </w:tcBorders>
            <w:vAlign w:val="center"/>
          </w:tcPr>
          <w:p w14:paraId="7257693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Overall</w:t>
            </w:r>
          </w:p>
        </w:tc>
        <w:tc>
          <w:tcPr>
            <w:tcW w:w="1177" w:type="dxa"/>
            <w:tcBorders>
              <w:bottom w:val="single" w:sz="4" w:space="0" w:color="auto"/>
            </w:tcBorders>
          </w:tcPr>
          <w:p w14:paraId="1E6B79A2"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-.037</w:t>
            </w:r>
          </w:p>
          <w:p w14:paraId="1C260702"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.459</w:t>
            </w:r>
          </w:p>
        </w:tc>
        <w:tc>
          <w:tcPr>
            <w:tcW w:w="1431" w:type="dxa"/>
            <w:tcBorders>
              <w:bottom w:val="single" w:sz="4" w:space="0" w:color="auto"/>
            </w:tcBorders>
          </w:tcPr>
          <w:p w14:paraId="79E7925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-.049</w:t>
            </w:r>
          </w:p>
          <w:p w14:paraId="43E52F47"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.324</w:t>
            </w:r>
          </w:p>
        </w:tc>
        <w:tc>
          <w:tcPr>
            <w:tcW w:w="1271" w:type="dxa"/>
            <w:tcBorders>
              <w:bottom w:val="single" w:sz="4" w:space="0" w:color="auto"/>
            </w:tcBorders>
          </w:tcPr>
          <w:p w14:paraId="4A538864"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-.072</w:t>
            </w:r>
          </w:p>
          <w:p w14:paraId="01A436C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.149</w:t>
            </w:r>
          </w:p>
        </w:tc>
        <w:tc>
          <w:tcPr>
            <w:tcW w:w="1199" w:type="dxa"/>
            <w:tcBorders>
              <w:bottom w:val="single" w:sz="4" w:space="0" w:color="auto"/>
            </w:tcBorders>
          </w:tcPr>
          <w:p w14:paraId="13D53619"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-.129</w:t>
            </w:r>
            <w:r w:rsidRPr="008D08C6">
              <w:rPr>
                <w:rFonts w:ascii="Arial" w:hAnsi="Arial" w:cs="Arial"/>
                <w:b/>
                <w:sz w:val="20"/>
                <w:szCs w:val="20"/>
                <w:vertAlign w:val="superscript"/>
              </w:rPr>
              <w:t>**</w:t>
            </w:r>
          </w:p>
          <w:p w14:paraId="75892875"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.010</w:t>
            </w:r>
          </w:p>
        </w:tc>
        <w:tc>
          <w:tcPr>
            <w:tcW w:w="1244" w:type="dxa"/>
            <w:tcBorders>
              <w:bottom w:val="single" w:sz="4" w:space="0" w:color="auto"/>
            </w:tcBorders>
          </w:tcPr>
          <w:p w14:paraId="29E211DF"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-.171</w:t>
            </w:r>
            <w:r w:rsidRPr="008D08C6">
              <w:rPr>
                <w:rFonts w:ascii="Arial" w:hAnsi="Arial" w:cs="Arial"/>
                <w:b/>
                <w:sz w:val="20"/>
                <w:szCs w:val="20"/>
                <w:vertAlign w:val="superscript"/>
              </w:rPr>
              <w:t>**</w:t>
            </w:r>
          </w:p>
          <w:p w14:paraId="60D44F88"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.001</w:t>
            </w:r>
          </w:p>
        </w:tc>
        <w:tc>
          <w:tcPr>
            <w:tcW w:w="1306" w:type="dxa"/>
            <w:tcBorders>
              <w:bottom w:val="single" w:sz="4" w:space="0" w:color="auto"/>
            </w:tcBorders>
          </w:tcPr>
          <w:p w14:paraId="4BFC0519"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-.118</w:t>
            </w:r>
            <w:r w:rsidRPr="008D08C6">
              <w:rPr>
                <w:rFonts w:ascii="Arial" w:hAnsi="Arial" w:cs="Arial"/>
                <w:b/>
                <w:sz w:val="20"/>
                <w:szCs w:val="20"/>
                <w:vertAlign w:val="superscript"/>
              </w:rPr>
              <w:t>*</w:t>
            </w:r>
          </w:p>
          <w:p w14:paraId="1E5C711E"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.018</w:t>
            </w:r>
          </w:p>
        </w:tc>
      </w:tr>
      <w:bookmarkEnd w:id="4"/>
    </w:tbl>
    <w:p w14:paraId="57090106" w14:textId="77777777" w:rsidR="00EB4521" w:rsidRDefault="00EB4521" w:rsidP="00441B6F">
      <w:pPr>
        <w:pStyle w:val="Body"/>
        <w:spacing w:after="0"/>
        <w:rPr>
          <w:rFonts w:ascii="Arial" w:hAnsi="Arial" w:cs="Arial"/>
        </w:rPr>
      </w:pPr>
    </w:p>
    <w:p w14:paraId="084764DA" w14:textId="0D4D1C9A" w:rsidR="00C06513" w:rsidRPr="00C06513" w:rsidRDefault="00C06513" w:rsidP="00C06513">
      <w:pPr>
        <w:pStyle w:val="Body"/>
        <w:rPr>
          <w:rFonts w:ascii="Arial" w:hAnsi="Arial" w:cs="Arial"/>
        </w:rPr>
      </w:pPr>
      <w:r w:rsidRPr="00C06513">
        <w:rPr>
          <w:rFonts w:ascii="Arial" w:hAnsi="Arial" w:cs="Arial"/>
        </w:rPr>
        <w:t xml:space="preserve">This result is supported by Ellis (2008), who found that the significant relationship between language exposure and grammatical competence aids in the development of implicit grammatical knowledge— the ability to use correct grammatical structures without direct or formal instruction. Frequent listening and reading enhance natural acquisition of grammatical rules, as implicit learning occurs through real-life usage and interaction, making understanding and use of grammar more automatic. Additionally, while language exposure is important, the context and quality of that exposure must also be considered. Greater exposure from informal sources such as home and media may negatively impact students’ grammatical competence. Therefore, it is essential to have a balanced exposure to both formal and informal language environments to enhance students’ overall grammatical proficiency (Bahrani 2012; Sim 2012; </w:t>
      </w:r>
      <w:proofErr w:type="spellStart"/>
      <w:r w:rsidRPr="00C06513">
        <w:rPr>
          <w:rFonts w:ascii="Arial" w:hAnsi="Arial" w:cs="Arial"/>
        </w:rPr>
        <w:t>Nekoueizadeh</w:t>
      </w:r>
      <w:proofErr w:type="spellEnd"/>
      <w:r w:rsidRPr="00C06513">
        <w:rPr>
          <w:rFonts w:ascii="Arial" w:hAnsi="Arial" w:cs="Arial"/>
        </w:rPr>
        <w:t xml:space="preserve"> 2012).</w:t>
      </w:r>
    </w:p>
    <w:p w14:paraId="2609D618" w14:textId="289BC78D" w:rsidR="00EB4521" w:rsidRDefault="00C06513" w:rsidP="00C06513">
      <w:pPr>
        <w:pStyle w:val="Body"/>
        <w:spacing w:after="0"/>
        <w:rPr>
          <w:rFonts w:ascii="Arial" w:hAnsi="Arial" w:cs="Arial"/>
        </w:rPr>
      </w:pPr>
      <w:r w:rsidRPr="00C06513">
        <w:rPr>
          <w:rFonts w:ascii="Arial" w:hAnsi="Arial" w:cs="Arial"/>
        </w:rPr>
        <w:t xml:space="preserve">This result is further supported by the study of Salas and Legaspi (2021), conducted among sixth-grade students in a Catholic school in Bacolod City, which revealed that despite high levels of language exposure from various sources such as home, peers, school, and media, </w:t>
      </w:r>
      <w:r w:rsidRPr="00C06513">
        <w:rPr>
          <w:rFonts w:ascii="Arial" w:hAnsi="Arial" w:cs="Arial"/>
        </w:rPr>
        <w:lastRenderedPageBreak/>
        <w:t>students’ gramm</w:t>
      </w:r>
      <w:r w:rsidR="00EC5C48">
        <w:rPr>
          <w:rFonts w:ascii="Arial" w:hAnsi="Arial" w:cs="Arial"/>
        </w:rPr>
        <w:t xml:space="preserve">atical competence </w:t>
      </w:r>
      <w:r w:rsidRPr="00C06513">
        <w:rPr>
          <w:rFonts w:ascii="Arial" w:hAnsi="Arial" w:cs="Arial"/>
        </w:rPr>
        <w:t xml:space="preserve">remained low. The results highlight the complexity of the relationship between language exposure and grammatical </w:t>
      </w:r>
      <w:r w:rsidR="00EC5C48">
        <w:rPr>
          <w:rFonts w:ascii="Arial" w:hAnsi="Arial" w:cs="Arial"/>
        </w:rPr>
        <w:t>competence</w:t>
      </w:r>
      <w:r w:rsidRPr="00C06513">
        <w:rPr>
          <w:rFonts w:ascii="Arial" w:hAnsi="Arial" w:cs="Arial"/>
        </w:rPr>
        <w:t xml:space="preserve">. Using a descriptive-correlational research design with 137 participants, the study found that the amount of exposure does not guarantee grammatical </w:t>
      </w:r>
      <w:r w:rsidR="00EC5C48">
        <w:rPr>
          <w:rFonts w:ascii="Arial" w:hAnsi="Arial" w:cs="Arial"/>
        </w:rPr>
        <w:t>skills</w:t>
      </w:r>
      <w:r w:rsidRPr="00C06513">
        <w:rPr>
          <w:rFonts w:ascii="Arial" w:hAnsi="Arial" w:cs="Arial"/>
        </w:rPr>
        <w:t xml:space="preserve"> development. This indicates that the quality of exposure, instructional methods, and individual learner differences are also important. Hence, a more comprehensive approach to language instruction is necessary, considering not only the quantity but also the context and quality of language use.</w:t>
      </w:r>
    </w:p>
    <w:p w14:paraId="57B5EF5E" w14:textId="77777777" w:rsidR="00C06513" w:rsidRDefault="00C06513" w:rsidP="00C06513">
      <w:pPr>
        <w:pStyle w:val="Body"/>
        <w:spacing w:after="0"/>
        <w:rPr>
          <w:rFonts w:ascii="Arial" w:hAnsi="Arial" w:cs="Arial"/>
        </w:rPr>
      </w:pPr>
    </w:p>
    <w:p w14:paraId="18B14318" w14:textId="09D21161" w:rsidR="00AF4489" w:rsidRDefault="00DB5311" w:rsidP="00DB5311">
      <w:pPr>
        <w:pStyle w:val="Body"/>
        <w:rPr>
          <w:rFonts w:ascii="Arial" w:hAnsi="Arial" w:cs="Arial"/>
        </w:rPr>
      </w:pPr>
      <w:r w:rsidRPr="00DB5311">
        <w:rPr>
          <w:rFonts w:ascii="Arial" w:hAnsi="Arial" w:cs="Arial"/>
        </w:rPr>
        <w:t xml:space="preserve">Table </w:t>
      </w:r>
      <w:r>
        <w:rPr>
          <w:rFonts w:ascii="Arial" w:hAnsi="Arial" w:cs="Arial"/>
        </w:rPr>
        <w:t>6</w:t>
      </w:r>
      <w:r w:rsidRPr="00DB5311">
        <w:rPr>
          <w:rFonts w:ascii="Arial" w:hAnsi="Arial" w:cs="Arial"/>
        </w:rPr>
        <w:t xml:space="preserve"> presents the results of the analysis regarding the relationship between language learning and the grammatical competence of students. According to the stated hypothesis, the relationship was examined at the 0.05 level of significance. The overall </w:t>
      </w:r>
      <w:proofErr w:type="spellStart"/>
      <w:r w:rsidRPr="00DB5311">
        <w:rPr>
          <w:rFonts w:ascii="Arial" w:hAnsi="Arial" w:cs="Arial"/>
        </w:rPr>
        <w:t>r-value</w:t>
      </w:r>
      <w:proofErr w:type="spellEnd"/>
      <w:r w:rsidRPr="00DB5311">
        <w:rPr>
          <w:rFonts w:ascii="Arial" w:hAnsi="Arial" w:cs="Arial"/>
        </w:rPr>
        <w:t xml:space="preserve"> of .035 with a p-value lower than 0.05 indicates that the null hypothesis is rejected.</w:t>
      </w:r>
    </w:p>
    <w:p w14:paraId="627DD5EE" w14:textId="7994F178" w:rsidR="0063741A" w:rsidRPr="0063741A" w:rsidRDefault="0063741A" w:rsidP="0063741A">
      <w:pPr>
        <w:pStyle w:val="Body"/>
        <w:contextualSpacing/>
        <w:rPr>
          <w:rFonts w:ascii="Arial" w:hAnsi="Arial" w:cs="Arial"/>
          <w:b/>
          <w:bCs/>
          <w:lang w:val="en-PH"/>
        </w:rPr>
      </w:pPr>
      <w:r w:rsidRPr="0063741A">
        <w:rPr>
          <w:rFonts w:ascii="Arial" w:hAnsi="Arial" w:cs="Arial"/>
          <w:b/>
          <w:bCs/>
          <w:lang w:val="en-PH"/>
        </w:rPr>
        <w:t>Table 6</w:t>
      </w:r>
    </w:p>
    <w:p w14:paraId="1084E47B" w14:textId="77777777" w:rsidR="0063741A" w:rsidRPr="0063741A" w:rsidRDefault="0063741A" w:rsidP="0063741A">
      <w:pPr>
        <w:pStyle w:val="Body"/>
        <w:contextualSpacing/>
        <w:rPr>
          <w:rFonts w:ascii="Arial" w:hAnsi="Arial" w:cs="Arial"/>
          <w:i/>
          <w:iCs/>
          <w:lang w:val="en-PH"/>
        </w:rPr>
      </w:pPr>
      <w:r w:rsidRPr="0063741A">
        <w:rPr>
          <w:rFonts w:ascii="Arial" w:hAnsi="Arial" w:cs="Arial"/>
          <w:i/>
          <w:iCs/>
          <w:lang w:val="en-PH"/>
        </w:rPr>
        <w:t>Significant Correlation Between Language Learning and Grammatical Competence</w:t>
      </w:r>
    </w:p>
    <w:tbl>
      <w:tblPr>
        <w:tblW w:w="9072" w:type="dxa"/>
        <w:tblLook w:val="04A0" w:firstRow="1" w:lastRow="0" w:firstColumn="1" w:lastColumn="0" w:noHBand="0" w:noVBand="1"/>
      </w:tblPr>
      <w:tblGrid>
        <w:gridCol w:w="1446"/>
        <w:gridCol w:w="1263"/>
        <w:gridCol w:w="1420"/>
        <w:gridCol w:w="1292"/>
        <w:gridCol w:w="1250"/>
        <w:gridCol w:w="1506"/>
        <w:gridCol w:w="895"/>
      </w:tblGrid>
      <w:tr w:rsidR="0063741A" w:rsidRPr="0063741A" w14:paraId="72196BDF" w14:textId="77777777" w:rsidTr="00071761">
        <w:trPr>
          <w:trHeight w:val="432"/>
        </w:trPr>
        <w:tc>
          <w:tcPr>
            <w:tcW w:w="1451" w:type="dxa"/>
            <w:vMerge w:val="restart"/>
            <w:tcBorders>
              <w:top w:val="single" w:sz="4" w:space="0" w:color="auto"/>
            </w:tcBorders>
            <w:vAlign w:val="center"/>
          </w:tcPr>
          <w:p w14:paraId="553DEE11" w14:textId="77777777" w:rsidR="0063741A" w:rsidRPr="0063741A" w:rsidRDefault="0063741A" w:rsidP="0063741A">
            <w:pPr>
              <w:pStyle w:val="Body"/>
              <w:contextualSpacing/>
              <w:rPr>
                <w:rFonts w:ascii="Arial" w:hAnsi="Arial" w:cs="Arial"/>
                <w:b/>
              </w:rPr>
            </w:pPr>
            <w:r w:rsidRPr="0063741A">
              <w:rPr>
                <w:rFonts w:ascii="Arial" w:hAnsi="Arial" w:cs="Arial"/>
                <w:b/>
              </w:rPr>
              <w:t xml:space="preserve">Language Learning </w:t>
            </w:r>
          </w:p>
        </w:tc>
        <w:tc>
          <w:tcPr>
            <w:tcW w:w="7621" w:type="dxa"/>
            <w:gridSpan w:val="6"/>
            <w:tcBorders>
              <w:top w:val="single" w:sz="4" w:space="0" w:color="auto"/>
              <w:bottom w:val="single" w:sz="4" w:space="0" w:color="auto"/>
            </w:tcBorders>
            <w:vAlign w:val="center"/>
          </w:tcPr>
          <w:p w14:paraId="43E2E289" w14:textId="77777777" w:rsidR="0063741A" w:rsidRPr="0063741A" w:rsidRDefault="0063741A" w:rsidP="0063741A">
            <w:pPr>
              <w:pStyle w:val="Body"/>
              <w:contextualSpacing/>
              <w:rPr>
                <w:rFonts w:ascii="Arial" w:hAnsi="Arial" w:cs="Arial"/>
                <w:b/>
              </w:rPr>
            </w:pPr>
            <w:r w:rsidRPr="0063741A">
              <w:rPr>
                <w:rFonts w:ascii="Arial" w:hAnsi="Arial" w:cs="Arial"/>
                <w:b/>
              </w:rPr>
              <w:t>Grammatical Competence</w:t>
            </w:r>
          </w:p>
        </w:tc>
      </w:tr>
      <w:tr w:rsidR="0063741A" w:rsidRPr="0063741A" w14:paraId="02FA39F5" w14:textId="77777777" w:rsidTr="00071761">
        <w:trPr>
          <w:trHeight w:val="432"/>
        </w:trPr>
        <w:tc>
          <w:tcPr>
            <w:tcW w:w="1451" w:type="dxa"/>
            <w:vMerge/>
            <w:vAlign w:val="center"/>
          </w:tcPr>
          <w:p w14:paraId="544C3C80" w14:textId="77777777" w:rsidR="0063741A" w:rsidRPr="0063741A" w:rsidRDefault="0063741A" w:rsidP="0063741A">
            <w:pPr>
              <w:pStyle w:val="Body"/>
              <w:contextualSpacing/>
              <w:rPr>
                <w:rFonts w:ascii="Arial" w:hAnsi="Arial" w:cs="Arial"/>
              </w:rPr>
            </w:pPr>
          </w:p>
        </w:tc>
        <w:tc>
          <w:tcPr>
            <w:tcW w:w="1264" w:type="dxa"/>
            <w:tcBorders>
              <w:top w:val="single" w:sz="4" w:space="0" w:color="auto"/>
              <w:bottom w:val="single" w:sz="4" w:space="0" w:color="auto"/>
            </w:tcBorders>
            <w:vAlign w:val="center"/>
          </w:tcPr>
          <w:p w14:paraId="0BB9E953" w14:textId="77777777" w:rsidR="0063741A" w:rsidRPr="0063741A" w:rsidRDefault="0063741A" w:rsidP="0063741A">
            <w:pPr>
              <w:pStyle w:val="Body"/>
              <w:contextualSpacing/>
              <w:rPr>
                <w:rFonts w:ascii="Arial" w:hAnsi="Arial" w:cs="Arial"/>
              </w:rPr>
            </w:pPr>
            <w:r w:rsidRPr="0063741A">
              <w:rPr>
                <w:rFonts w:ascii="Arial" w:hAnsi="Arial" w:cs="Arial"/>
              </w:rPr>
              <w:t>Preposition</w:t>
            </w:r>
          </w:p>
        </w:tc>
        <w:tc>
          <w:tcPr>
            <w:tcW w:w="1424" w:type="dxa"/>
            <w:tcBorders>
              <w:top w:val="single" w:sz="4" w:space="0" w:color="auto"/>
              <w:bottom w:val="single" w:sz="4" w:space="0" w:color="auto"/>
            </w:tcBorders>
            <w:vAlign w:val="center"/>
          </w:tcPr>
          <w:p w14:paraId="7638BB10" w14:textId="77777777" w:rsidR="0063741A" w:rsidRPr="0063741A" w:rsidRDefault="0063741A" w:rsidP="0063741A">
            <w:pPr>
              <w:pStyle w:val="Body"/>
              <w:contextualSpacing/>
              <w:rPr>
                <w:rFonts w:ascii="Arial" w:hAnsi="Arial" w:cs="Arial"/>
              </w:rPr>
            </w:pPr>
            <w:r w:rsidRPr="0063741A">
              <w:rPr>
                <w:rFonts w:ascii="Arial" w:hAnsi="Arial" w:cs="Arial"/>
              </w:rPr>
              <w:t>Subject Verb-Agreement</w:t>
            </w:r>
          </w:p>
        </w:tc>
        <w:tc>
          <w:tcPr>
            <w:tcW w:w="1298" w:type="dxa"/>
            <w:tcBorders>
              <w:top w:val="single" w:sz="4" w:space="0" w:color="auto"/>
              <w:bottom w:val="single" w:sz="4" w:space="0" w:color="auto"/>
            </w:tcBorders>
            <w:vAlign w:val="center"/>
          </w:tcPr>
          <w:p w14:paraId="796D5191" w14:textId="77777777" w:rsidR="0063741A" w:rsidRPr="0063741A" w:rsidRDefault="0063741A" w:rsidP="0063741A">
            <w:pPr>
              <w:pStyle w:val="Body"/>
              <w:contextualSpacing/>
              <w:rPr>
                <w:rFonts w:ascii="Arial" w:hAnsi="Arial" w:cs="Arial"/>
              </w:rPr>
            </w:pPr>
            <w:r w:rsidRPr="0063741A">
              <w:rPr>
                <w:rFonts w:ascii="Arial" w:hAnsi="Arial" w:cs="Arial"/>
              </w:rPr>
              <w:t>Verb Aspects</w:t>
            </w:r>
          </w:p>
        </w:tc>
        <w:tc>
          <w:tcPr>
            <w:tcW w:w="1258" w:type="dxa"/>
            <w:tcBorders>
              <w:top w:val="single" w:sz="4" w:space="0" w:color="auto"/>
              <w:bottom w:val="single" w:sz="4" w:space="0" w:color="auto"/>
            </w:tcBorders>
            <w:vAlign w:val="center"/>
          </w:tcPr>
          <w:p w14:paraId="71DF1225" w14:textId="77777777" w:rsidR="0063741A" w:rsidRPr="0063741A" w:rsidRDefault="0063741A" w:rsidP="0063741A">
            <w:pPr>
              <w:pStyle w:val="Body"/>
              <w:contextualSpacing/>
              <w:rPr>
                <w:rFonts w:ascii="Arial" w:hAnsi="Arial" w:cs="Arial"/>
              </w:rPr>
            </w:pPr>
            <w:r w:rsidRPr="0063741A">
              <w:rPr>
                <w:rFonts w:ascii="Arial" w:hAnsi="Arial" w:cs="Arial"/>
              </w:rPr>
              <w:t>Modal</w:t>
            </w:r>
          </w:p>
        </w:tc>
        <w:tc>
          <w:tcPr>
            <w:tcW w:w="1516" w:type="dxa"/>
            <w:tcBorders>
              <w:top w:val="single" w:sz="4" w:space="0" w:color="auto"/>
              <w:bottom w:val="single" w:sz="4" w:space="0" w:color="auto"/>
            </w:tcBorders>
            <w:vAlign w:val="center"/>
          </w:tcPr>
          <w:p w14:paraId="15C819FE" w14:textId="77777777" w:rsidR="0063741A" w:rsidRPr="0063741A" w:rsidRDefault="0063741A" w:rsidP="0063741A">
            <w:pPr>
              <w:pStyle w:val="Body"/>
              <w:contextualSpacing/>
              <w:rPr>
                <w:rFonts w:ascii="Arial" w:hAnsi="Arial" w:cs="Arial"/>
              </w:rPr>
            </w:pPr>
            <w:r w:rsidRPr="0063741A">
              <w:rPr>
                <w:rFonts w:ascii="Arial" w:hAnsi="Arial" w:cs="Arial"/>
              </w:rPr>
              <w:t>Passive Voice</w:t>
            </w:r>
          </w:p>
        </w:tc>
        <w:tc>
          <w:tcPr>
            <w:tcW w:w="861" w:type="dxa"/>
            <w:tcBorders>
              <w:top w:val="single" w:sz="4" w:space="0" w:color="auto"/>
              <w:bottom w:val="single" w:sz="4" w:space="0" w:color="auto"/>
            </w:tcBorders>
            <w:vAlign w:val="center"/>
          </w:tcPr>
          <w:p w14:paraId="3899E530" w14:textId="77777777" w:rsidR="0063741A" w:rsidRPr="0063741A" w:rsidRDefault="0063741A" w:rsidP="0063741A">
            <w:pPr>
              <w:pStyle w:val="Body"/>
              <w:contextualSpacing/>
              <w:rPr>
                <w:rFonts w:ascii="Arial" w:hAnsi="Arial" w:cs="Arial"/>
                <w:b/>
              </w:rPr>
            </w:pPr>
            <w:r w:rsidRPr="0063741A">
              <w:rPr>
                <w:rFonts w:ascii="Arial" w:hAnsi="Arial" w:cs="Arial"/>
                <w:b/>
              </w:rPr>
              <w:t>Overall</w:t>
            </w:r>
          </w:p>
        </w:tc>
      </w:tr>
      <w:tr w:rsidR="0063741A" w:rsidRPr="0063741A" w14:paraId="01BDC7DF" w14:textId="77777777" w:rsidTr="00071761">
        <w:trPr>
          <w:trHeight w:val="432"/>
        </w:trPr>
        <w:tc>
          <w:tcPr>
            <w:tcW w:w="1451" w:type="dxa"/>
            <w:vAlign w:val="center"/>
          </w:tcPr>
          <w:p w14:paraId="548E2579" w14:textId="77777777" w:rsidR="0063741A" w:rsidRPr="0063741A" w:rsidRDefault="0063741A" w:rsidP="0063741A">
            <w:pPr>
              <w:pStyle w:val="Body"/>
              <w:contextualSpacing/>
              <w:rPr>
                <w:rFonts w:ascii="Arial" w:hAnsi="Arial" w:cs="Arial"/>
              </w:rPr>
            </w:pPr>
            <w:r w:rsidRPr="0063741A">
              <w:rPr>
                <w:rFonts w:ascii="Arial" w:hAnsi="Arial" w:cs="Arial"/>
              </w:rPr>
              <w:t>Speaking</w:t>
            </w:r>
          </w:p>
        </w:tc>
        <w:tc>
          <w:tcPr>
            <w:tcW w:w="1264" w:type="dxa"/>
            <w:tcBorders>
              <w:top w:val="single" w:sz="4" w:space="0" w:color="auto"/>
            </w:tcBorders>
          </w:tcPr>
          <w:p w14:paraId="6C407902" w14:textId="77777777" w:rsidR="0063741A" w:rsidRPr="0063741A" w:rsidRDefault="0063741A" w:rsidP="0063741A">
            <w:pPr>
              <w:pStyle w:val="Body"/>
              <w:contextualSpacing/>
              <w:rPr>
                <w:rFonts w:ascii="Arial" w:hAnsi="Arial" w:cs="Arial"/>
              </w:rPr>
            </w:pPr>
            <w:r w:rsidRPr="0063741A">
              <w:rPr>
                <w:rFonts w:ascii="Arial" w:hAnsi="Arial" w:cs="Arial"/>
              </w:rPr>
              <w:t>.003</w:t>
            </w:r>
          </w:p>
          <w:p w14:paraId="006F41B5" w14:textId="77777777" w:rsidR="0063741A" w:rsidRPr="0063741A" w:rsidRDefault="0063741A" w:rsidP="0063741A">
            <w:pPr>
              <w:pStyle w:val="Body"/>
              <w:contextualSpacing/>
              <w:rPr>
                <w:rFonts w:ascii="Arial" w:hAnsi="Arial" w:cs="Arial"/>
              </w:rPr>
            </w:pPr>
            <w:r w:rsidRPr="0063741A">
              <w:rPr>
                <w:rFonts w:ascii="Arial" w:hAnsi="Arial" w:cs="Arial"/>
              </w:rPr>
              <w:t>.956</w:t>
            </w:r>
          </w:p>
        </w:tc>
        <w:tc>
          <w:tcPr>
            <w:tcW w:w="1424" w:type="dxa"/>
            <w:tcBorders>
              <w:top w:val="single" w:sz="4" w:space="0" w:color="auto"/>
            </w:tcBorders>
          </w:tcPr>
          <w:p w14:paraId="47387985" w14:textId="77777777" w:rsidR="0063741A" w:rsidRPr="0063741A" w:rsidRDefault="0063741A" w:rsidP="0063741A">
            <w:pPr>
              <w:pStyle w:val="Body"/>
              <w:contextualSpacing/>
              <w:rPr>
                <w:rFonts w:ascii="Arial" w:hAnsi="Arial" w:cs="Arial"/>
              </w:rPr>
            </w:pPr>
            <w:r w:rsidRPr="0063741A">
              <w:rPr>
                <w:rFonts w:ascii="Arial" w:hAnsi="Arial" w:cs="Arial"/>
              </w:rPr>
              <w:t>.039</w:t>
            </w:r>
          </w:p>
          <w:p w14:paraId="5C9AC912" w14:textId="77777777" w:rsidR="0063741A" w:rsidRPr="0063741A" w:rsidRDefault="0063741A" w:rsidP="0063741A">
            <w:pPr>
              <w:pStyle w:val="Body"/>
              <w:contextualSpacing/>
              <w:rPr>
                <w:rFonts w:ascii="Arial" w:hAnsi="Arial" w:cs="Arial"/>
              </w:rPr>
            </w:pPr>
            <w:r w:rsidRPr="0063741A">
              <w:rPr>
                <w:rFonts w:ascii="Arial" w:hAnsi="Arial" w:cs="Arial"/>
              </w:rPr>
              <w:t>.439</w:t>
            </w:r>
          </w:p>
        </w:tc>
        <w:tc>
          <w:tcPr>
            <w:tcW w:w="1298" w:type="dxa"/>
            <w:tcBorders>
              <w:top w:val="single" w:sz="4" w:space="0" w:color="auto"/>
            </w:tcBorders>
          </w:tcPr>
          <w:p w14:paraId="3920901B" w14:textId="77777777" w:rsidR="0063741A" w:rsidRPr="0063741A" w:rsidRDefault="0063741A" w:rsidP="0063741A">
            <w:pPr>
              <w:pStyle w:val="Body"/>
              <w:contextualSpacing/>
              <w:rPr>
                <w:rFonts w:ascii="Arial" w:hAnsi="Arial" w:cs="Arial"/>
              </w:rPr>
            </w:pPr>
            <w:r w:rsidRPr="0063741A">
              <w:rPr>
                <w:rFonts w:ascii="Arial" w:hAnsi="Arial" w:cs="Arial"/>
              </w:rPr>
              <w:t>-.054</w:t>
            </w:r>
          </w:p>
          <w:p w14:paraId="31452A1C" w14:textId="77777777" w:rsidR="0063741A" w:rsidRPr="0063741A" w:rsidRDefault="0063741A" w:rsidP="0063741A">
            <w:pPr>
              <w:pStyle w:val="Body"/>
              <w:contextualSpacing/>
              <w:rPr>
                <w:rFonts w:ascii="Arial" w:hAnsi="Arial" w:cs="Arial"/>
              </w:rPr>
            </w:pPr>
            <w:r w:rsidRPr="0063741A">
              <w:rPr>
                <w:rFonts w:ascii="Arial" w:hAnsi="Arial" w:cs="Arial"/>
              </w:rPr>
              <w:t>.277</w:t>
            </w:r>
          </w:p>
        </w:tc>
        <w:tc>
          <w:tcPr>
            <w:tcW w:w="1258" w:type="dxa"/>
            <w:tcBorders>
              <w:top w:val="single" w:sz="4" w:space="0" w:color="auto"/>
            </w:tcBorders>
          </w:tcPr>
          <w:p w14:paraId="456D46E5" w14:textId="77777777" w:rsidR="0063741A" w:rsidRPr="0063741A" w:rsidRDefault="0063741A" w:rsidP="0063741A">
            <w:pPr>
              <w:pStyle w:val="Body"/>
              <w:contextualSpacing/>
              <w:rPr>
                <w:rFonts w:ascii="Arial" w:hAnsi="Arial" w:cs="Arial"/>
              </w:rPr>
            </w:pPr>
            <w:r w:rsidRPr="0063741A">
              <w:rPr>
                <w:rFonts w:ascii="Arial" w:hAnsi="Arial" w:cs="Arial"/>
              </w:rPr>
              <w:t>-.104</w:t>
            </w:r>
            <w:r w:rsidRPr="0063741A">
              <w:rPr>
                <w:rFonts w:ascii="Arial" w:hAnsi="Arial" w:cs="Arial"/>
                <w:vertAlign w:val="superscript"/>
              </w:rPr>
              <w:t>*</w:t>
            </w:r>
          </w:p>
          <w:p w14:paraId="0C45870D" w14:textId="77777777" w:rsidR="0063741A" w:rsidRPr="0063741A" w:rsidRDefault="0063741A" w:rsidP="0063741A">
            <w:pPr>
              <w:pStyle w:val="Body"/>
              <w:contextualSpacing/>
              <w:rPr>
                <w:rFonts w:ascii="Arial" w:hAnsi="Arial" w:cs="Arial"/>
              </w:rPr>
            </w:pPr>
            <w:r w:rsidRPr="0063741A">
              <w:rPr>
                <w:rFonts w:ascii="Arial" w:hAnsi="Arial" w:cs="Arial"/>
              </w:rPr>
              <w:t>.038</w:t>
            </w:r>
          </w:p>
        </w:tc>
        <w:tc>
          <w:tcPr>
            <w:tcW w:w="1516" w:type="dxa"/>
            <w:tcBorders>
              <w:top w:val="single" w:sz="4" w:space="0" w:color="auto"/>
            </w:tcBorders>
          </w:tcPr>
          <w:p w14:paraId="625AB89D" w14:textId="77777777" w:rsidR="0063741A" w:rsidRPr="0063741A" w:rsidRDefault="0063741A" w:rsidP="0063741A">
            <w:pPr>
              <w:pStyle w:val="Body"/>
              <w:contextualSpacing/>
              <w:rPr>
                <w:rFonts w:ascii="Arial" w:hAnsi="Arial" w:cs="Arial"/>
              </w:rPr>
            </w:pPr>
            <w:r w:rsidRPr="0063741A">
              <w:rPr>
                <w:rFonts w:ascii="Arial" w:hAnsi="Arial" w:cs="Arial"/>
              </w:rPr>
              <w:t>-.155</w:t>
            </w:r>
            <w:r w:rsidRPr="0063741A">
              <w:rPr>
                <w:rFonts w:ascii="Arial" w:hAnsi="Arial" w:cs="Arial"/>
                <w:vertAlign w:val="superscript"/>
              </w:rPr>
              <w:t>**</w:t>
            </w:r>
          </w:p>
          <w:p w14:paraId="4D695665" w14:textId="77777777" w:rsidR="0063741A" w:rsidRPr="0063741A" w:rsidRDefault="0063741A" w:rsidP="0063741A">
            <w:pPr>
              <w:pStyle w:val="Body"/>
              <w:contextualSpacing/>
              <w:rPr>
                <w:rFonts w:ascii="Arial" w:hAnsi="Arial" w:cs="Arial"/>
              </w:rPr>
            </w:pPr>
            <w:r w:rsidRPr="0063741A">
              <w:rPr>
                <w:rFonts w:ascii="Arial" w:hAnsi="Arial" w:cs="Arial"/>
              </w:rPr>
              <w:t>.002</w:t>
            </w:r>
          </w:p>
        </w:tc>
        <w:tc>
          <w:tcPr>
            <w:tcW w:w="861" w:type="dxa"/>
            <w:tcBorders>
              <w:top w:val="single" w:sz="4" w:space="0" w:color="auto"/>
            </w:tcBorders>
          </w:tcPr>
          <w:p w14:paraId="5D244817" w14:textId="77777777" w:rsidR="0063741A" w:rsidRPr="0063741A" w:rsidRDefault="0063741A" w:rsidP="0063741A">
            <w:pPr>
              <w:pStyle w:val="Body"/>
              <w:contextualSpacing/>
              <w:rPr>
                <w:rFonts w:ascii="Arial" w:hAnsi="Arial" w:cs="Arial"/>
                <w:b/>
              </w:rPr>
            </w:pPr>
            <w:r w:rsidRPr="0063741A">
              <w:rPr>
                <w:rFonts w:ascii="Arial" w:hAnsi="Arial" w:cs="Arial"/>
                <w:b/>
              </w:rPr>
              <w:t>-.075</w:t>
            </w:r>
          </w:p>
          <w:p w14:paraId="53EE8DAB" w14:textId="77777777" w:rsidR="0063741A" w:rsidRPr="0063741A" w:rsidRDefault="0063741A" w:rsidP="0063741A">
            <w:pPr>
              <w:pStyle w:val="Body"/>
              <w:contextualSpacing/>
              <w:rPr>
                <w:rFonts w:ascii="Arial" w:hAnsi="Arial" w:cs="Arial"/>
                <w:b/>
              </w:rPr>
            </w:pPr>
            <w:r w:rsidRPr="0063741A">
              <w:rPr>
                <w:rFonts w:ascii="Arial" w:hAnsi="Arial" w:cs="Arial"/>
                <w:b/>
              </w:rPr>
              <w:t>.132</w:t>
            </w:r>
          </w:p>
        </w:tc>
      </w:tr>
      <w:tr w:rsidR="0063741A" w:rsidRPr="0063741A" w14:paraId="3BA29067" w14:textId="77777777" w:rsidTr="00071761">
        <w:trPr>
          <w:trHeight w:val="432"/>
        </w:trPr>
        <w:tc>
          <w:tcPr>
            <w:tcW w:w="1451" w:type="dxa"/>
            <w:vAlign w:val="center"/>
          </w:tcPr>
          <w:p w14:paraId="68A954F4" w14:textId="77777777" w:rsidR="0063741A" w:rsidRPr="0063741A" w:rsidRDefault="0063741A" w:rsidP="0063741A">
            <w:pPr>
              <w:pStyle w:val="Body"/>
              <w:contextualSpacing/>
              <w:rPr>
                <w:rFonts w:ascii="Arial" w:hAnsi="Arial" w:cs="Arial"/>
              </w:rPr>
            </w:pPr>
            <w:r w:rsidRPr="0063741A">
              <w:rPr>
                <w:rFonts w:ascii="Arial" w:hAnsi="Arial" w:cs="Arial"/>
              </w:rPr>
              <w:t>Listening</w:t>
            </w:r>
          </w:p>
        </w:tc>
        <w:tc>
          <w:tcPr>
            <w:tcW w:w="1264" w:type="dxa"/>
          </w:tcPr>
          <w:p w14:paraId="432D1585" w14:textId="77777777" w:rsidR="0063741A" w:rsidRPr="0063741A" w:rsidRDefault="0063741A" w:rsidP="0063741A">
            <w:pPr>
              <w:pStyle w:val="Body"/>
              <w:contextualSpacing/>
              <w:rPr>
                <w:rFonts w:ascii="Arial" w:hAnsi="Arial" w:cs="Arial"/>
              </w:rPr>
            </w:pPr>
            <w:r w:rsidRPr="0063741A">
              <w:rPr>
                <w:rFonts w:ascii="Arial" w:hAnsi="Arial" w:cs="Arial"/>
              </w:rPr>
              <w:t>.001</w:t>
            </w:r>
          </w:p>
          <w:p w14:paraId="339F69FB" w14:textId="77777777" w:rsidR="0063741A" w:rsidRPr="0063741A" w:rsidRDefault="0063741A" w:rsidP="0063741A">
            <w:pPr>
              <w:pStyle w:val="Body"/>
              <w:contextualSpacing/>
              <w:rPr>
                <w:rFonts w:ascii="Arial" w:hAnsi="Arial" w:cs="Arial"/>
              </w:rPr>
            </w:pPr>
            <w:r w:rsidRPr="0063741A">
              <w:rPr>
                <w:rFonts w:ascii="Arial" w:hAnsi="Arial" w:cs="Arial"/>
              </w:rPr>
              <w:t>.988</w:t>
            </w:r>
          </w:p>
        </w:tc>
        <w:tc>
          <w:tcPr>
            <w:tcW w:w="1424" w:type="dxa"/>
          </w:tcPr>
          <w:p w14:paraId="05B193C9" w14:textId="77777777" w:rsidR="0063741A" w:rsidRPr="0063741A" w:rsidRDefault="0063741A" w:rsidP="0063741A">
            <w:pPr>
              <w:pStyle w:val="Body"/>
              <w:contextualSpacing/>
              <w:rPr>
                <w:rFonts w:ascii="Arial" w:hAnsi="Arial" w:cs="Arial"/>
              </w:rPr>
            </w:pPr>
            <w:r w:rsidRPr="0063741A">
              <w:rPr>
                <w:rFonts w:ascii="Arial" w:hAnsi="Arial" w:cs="Arial"/>
              </w:rPr>
              <w:t>-.050</w:t>
            </w:r>
          </w:p>
          <w:p w14:paraId="087F3215" w14:textId="77777777" w:rsidR="0063741A" w:rsidRPr="0063741A" w:rsidRDefault="0063741A" w:rsidP="0063741A">
            <w:pPr>
              <w:pStyle w:val="Body"/>
              <w:contextualSpacing/>
              <w:rPr>
                <w:rFonts w:ascii="Arial" w:hAnsi="Arial" w:cs="Arial"/>
              </w:rPr>
            </w:pPr>
            <w:r w:rsidRPr="0063741A">
              <w:rPr>
                <w:rFonts w:ascii="Arial" w:hAnsi="Arial" w:cs="Arial"/>
              </w:rPr>
              <w:t>.323</w:t>
            </w:r>
          </w:p>
        </w:tc>
        <w:tc>
          <w:tcPr>
            <w:tcW w:w="1298" w:type="dxa"/>
          </w:tcPr>
          <w:p w14:paraId="12B0FB9D" w14:textId="77777777" w:rsidR="0063741A" w:rsidRPr="0063741A" w:rsidRDefault="0063741A" w:rsidP="0063741A">
            <w:pPr>
              <w:pStyle w:val="Body"/>
              <w:contextualSpacing/>
              <w:rPr>
                <w:rFonts w:ascii="Arial" w:hAnsi="Arial" w:cs="Arial"/>
              </w:rPr>
            </w:pPr>
            <w:r w:rsidRPr="0063741A">
              <w:rPr>
                <w:rFonts w:ascii="Arial" w:hAnsi="Arial" w:cs="Arial"/>
              </w:rPr>
              <w:t>-.092</w:t>
            </w:r>
          </w:p>
          <w:p w14:paraId="2AB1816A" w14:textId="77777777" w:rsidR="0063741A" w:rsidRPr="0063741A" w:rsidRDefault="0063741A" w:rsidP="0063741A">
            <w:pPr>
              <w:pStyle w:val="Body"/>
              <w:contextualSpacing/>
              <w:rPr>
                <w:rFonts w:ascii="Arial" w:hAnsi="Arial" w:cs="Arial"/>
              </w:rPr>
            </w:pPr>
            <w:r w:rsidRPr="0063741A">
              <w:rPr>
                <w:rFonts w:ascii="Arial" w:hAnsi="Arial" w:cs="Arial"/>
              </w:rPr>
              <w:t>.065</w:t>
            </w:r>
          </w:p>
        </w:tc>
        <w:tc>
          <w:tcPr>
            <w:tcW w:w="1258" w:type="dxa"/>
          </w:tcPr>
          <w:p w14:paraId="76BE8F01" w14:textId="77777777" w:rsidR="0063741A" w:rsidRPr="0063741A" w:rsidRDefault="0063741A" w:rsidP="0063741A">
            <w:pPr>
              <w:pStyle w:val="Body"/>
              <w:contextualSpacing/>
              <w:rPr>
                <w:rFonts w:ascii="Arial" w:hAnsi="Arial" w:cs="Arial"/>
              </w:rPr>
            </w:pPr>
            <w:r w:rsidRPr="0063741A">
              <w:rPr>
                <w:rFonts w:ascii="Arial" w:hAnsi="Arial" w:cs="Arial"/>
              </w:rPr>
              <w:t>-.123</w:t>
            </w:r>
            <w:r w:rsidRPr="0063741A">
              <w:rPr>
                <w:rFonts w:ascii="Arial" w:hAnsi="Arial" w:cs="Arial"/>
                <w:vertAlign w:val="superscript"/>
              </w:rPr>
              <w:t>*</w:t>
            </w:r>
          </w:p>
          <w:p w14:paraId="07810EDB" w14:textId="77777777" w:rsidR="0063741A" w:rsidRPr="0063741A" w:rsidRDefault="0063741A" w:rsidP="0063741A">
            <w:pPr>
              <w:pStyle w:val="Body"/>
              <w:contextualSpacing/>
              <w:rPr>
                <w:rFonts w:ascii="Arial" w:hAnsi="Arial" w:cs="Arial"/>
              </w:rPr>
            </w:pPr>
            <w:r w:rsidRPr="0063741A">
              <w:rPr>
                <w:rFonts w:ascii="Arial" w:hAnsi="Arial" w:cs="Arial"/>
              </w:rPr>
              <w:t>.014</w:t>
            </w:r>
          </w:p>
        </w:tc>
        <w:tc>
          <w:tcPr>
            <w:tcW w:w="1516" w:type="dxa"/>
          </w:tcPr>
          <w:p w14:paraId="7D2393D6" w14:textId="77777777" w:rsidR="0063741A" w:rsidRPr="0063741A" w:rsidRDefault="0063741A" w:rsidP="0063741A">
            <w:pPr>
              <w:pStyle w:val="Body"/>
              <w:contextualSpacing/>
              <w:rPr>
                <w:rFonts w:ascii="Arial" w:hAnsi="Arial" w:cs="Arial"/>
              </w:rPr>
            </w:pPr>
            <w:r w:rsidRPr="0063741A">
              <w:rPr>
                <w:rFonts w:ascii="Arial" w:hAnsi="Arial" w:cs="Arial"/>
              </w:rPr>
              <w:t>-.189</w:t>
            </w:r>
            <w:r w:rsidRPr="0063741A">
              <w:rPr>
                <w:rFonts w:ascii="Arial" w:hAnsi="Arial" w:cs="Arial"/>
                <w:vertAlign w:val="superscript"/>
              </w:rPr>
              <w:t>**</w:t>
            </w:r>
          </w:p>
          <w:p w14:paraId="58EB865B" w14:textId="77777777" w:rsidR="0063741A" w:rsidRPr="0063741A" w:rsidRDefault="0063741A" w:rsidP="0063741A">
            <w:pPr>
              <w:pStyle w:val="Body"/>
              <w:contextualSpacing/>
              <w:rPr>
                <w:rFonts w:ascii="Arial" w:hAnsi="Arial" w:cs="Arial"/>
              </w:rPr>
            </w:pPr>
            <w:r w:rsidRPr="0063741A">
              <w:rPr>
                <w:rFonts w:ascii="Arial" w:hAnsi="Arial" w:cs="Arial"/>
              </w:rPr>
              <w:t>.000</w:t>
            </w:r>
          </w:p>
        </w:tc>
        <w:tc>
          <w:tcPr>
            <w:tcW w:w="861" w:type="dxa"/>
          </w:tcPr>
          <w:p w14:paraId="5E8E3696" w14:textId="77777777" w:rsidR="0063741A" w:rsidRPr="0063741A" w:rsidRDefault="0063741A" w:rsidP="0063741A">
            <w:pPr>
              <w:pStyle w:val="Body"/>
              <w:contextualSpacing/>
              <w:rPr>
                <w:rFonts w:ascii="Arial" w:hAnsi="Arial" w:cs="Arial"/>
                <w:b/>
              </w:rPr>
            </w:pPr>
            <w:r w:rsidRPr="0063741A">
              <w:rPr>
                <w:rFonts w:ascii="Arial" w:hAnsi="Arial" w:cs="Arial"/>
                <w:b/>
              </w:rPr>
              <w:t>-.117</w:t>
            </w:r>
            <w:r w:rsidRPr="0063741A">
              <w:rPr>
                <w:rFonts w:ascii="Arial" w:hAnsi="Arial" w:cs="Arial"/>
                <w:b/>
                <w:vertAlign w:val="superscript"/>
              </w:rPr>
              <w:t>*</w:t>
            </w:r>
          </w:p>
          <w:p w14:paraId="10D0F70E" w14:textId="77777777" w:rsidR="0063741A" w:rsidRPr="0063741A" w:rsidRDefault="0063741A" w:rsidP="0063741A">
            <w:pPr>
              <w:pStyle w:val="Body"/>
              <w:contextualSpacing/>
              <w:rPr>
                <w:rFonts w:ascii="Arial" w:hAnsi="Arial" w:cs="Arial"/>
                <w:b/>
              </w:rPr>
            </w:pPr>
            <w:r w:rsidRPr="0063741A">
              <w:rPr>
                <w:rFonts w:ascii="Arial" w:hAnsi="Arial" w:cs="Arial"/>
                <w:b/>
              </w:rPr>
              <w:t>.019</w:t>
            </w:r>
          </w:p>
        </w:tc>
      </w:tr>
      <w:tr w:rsidR="0063741A" w:rsidRPr="0063741A" w14:paraId="1DFA6CE3" w14:textId="77777777" w:rsidTr="00071761">
        <w:trPr>
          <w:trHeight w:val="432"/>
        </w:trPr>
        <w:tc>
          <w:tcPr>
            <w:tcW w:w="1451" w:type="dxa"/>
            <w:vAlign w:val="center"/>
          </w:tcPr>
          <w:p w14:paraId="668AA1B9" w14:textId="77777777" w:rsidR="0063741A" w:rsidRPr="0063741A" w:rsidRDefault="0063741A" w:rsidP="0063741A">
            <w:pPr>
              <w:pStyle w:val="Body"/>
              <w:contextualSpacing/>
              <w:rPr>
                <w:rFonts w:ascii="Arial" w:hAnsi="Arial" w:cs="Arial"/>
              </w:rPr>
            </w:pPr>
            <w:r w:rsidRPr="0063741A">
              <w:rPr>
                <w:rFonts w:ascii="Arial" w:hAnsi="Arial" w:cs="Arial"/>
              </w:rPr>
              <w:t>Reading</w:t>
            </w:r>
          </w:p>
        </w:tc>
        <w:tc>
          <w:tcPr>
            <w:tcW w:w="1264" w:type="dxa"/>
          </w:tcPr>
          <w:p w14:paraId="6F6B1C08" w14:textId="77777777" w:rsidR="0063741A" w:rsidRPr="0063741A" w:rsidRDefault="0063741A" w:rsidP="0063741A">
            <w:pPr>
              <w:pStyle w:val="Body"/>
              <w:contextualSpacing/>
              <w:rPr>
                <w:rFonts w:ascii="Arial" w:hAnsi="Arial" w:cs="Arial"/>
              </w:rPr>
            </w:pPr>
            <w:r w:rsidRPr="0063741A">
              <w:rPr>
                <w:rFonts w:ascii="Arial" w:hAnsi="Arial" w:cs="Arial"/>
              </w:rPr>
              <w:t>.010</w:t>
            </w:r>
          </w:p>
          <w:p w14:paraId="7B1F5956" w14:textId="77777777" w:rsidR="0063741A" w:rsidRPr="0063741A" w:rsidRDefault="0063741A" w:rsidP="0063741A">
            <w:pPr>
              <w:pStyle w:val="Body"/>
              <w:contextualSpacing/>
              <w:rPr>
                <w:rFonts w:ascii="Arial" w:hAnsi="Arial" w:cs="Arial"/>
              </w:rPr>
            </w:pPr>
            <w:r w:rsidRPr="0063741A">
              <w:rPr>
                <w:rFonts w:ascii="Arial" w:hAnsi="Arial" w:cs="Arial"/>
              </w:rPr>
              <w:t>.841</w:t>
            </w:r>
          </w:p>
        </w:tc>
        <w:tc>
          <w:tcPr>
            <w:tcW w:w="1424" w:type="dxa"/>
          </w:tcPr>
          <w:p w14:paraId="7CB330F3" w14:textId="77777777" w:rsidR="0063741A" w:rsidRPr="0063741A" w:rsidRDefault="0063741A" w:rsidP="0063741A">
            <w:pPr>
              <w:pStyle w:val="Body"/>
              <w:contextualSpacing/>
              <w:rPr>
                <w:rFonts w:ascii="Arial" w:hAnsi="Arial" w:cs="Arial"/>
              </w:rPr>
            </w:pPr>
            <w:r w:rsidRPr="0063741A">
              <w:rPr>
                <w:rFonts w:ascii="Arial" w:hAnsi="Arial" w:cs="Arial"/>
              </w:rPr>
              <w:t>-.012</w:t>
            </w:r>
          </w:p>
          <w:p w14:paraId="0169CC19" w14:textId="77777777" w:rsidR="0063741A" w:rsidRPr="0063741A" w:rsidRDefault="0063741A" w:rsidP="0063741A">
            <w:pPr>
              <w:pStyle w:val="Body"/>
              <w:contextualSpacing/>
              <w:rPr>
                <w:rFonts w:ascii="Arial" w:hAnsi="Arial" w:cs="Arial"/>
              </w:rPr>
            </w:pPr>
            <w:r w:rsidRPr="0063741A">
              <w:rPr>
                <w:rFonts w:ascii="Arial" w:hAnsi="Arial" w:cs="Arial"/>
              </w:rPr>
              <w:t>.803</w:t>
            </w:r>
          </w:p>
        </w:tc>
        <w:tc>
          <w:tcPr>
            <w:tcW w:w="1298" w:type="dxa"/>
          </w:tcPr>
          <w:p w14:paraId="52C78B43" w14:textId="77777777" w:rsidR="0063741A" w:rsidRPr="0063741A" w:rsidRDefault="0063741A" w:rsidP="0063741A">
            <w:pPr>
              <w:pStyle w:val="Body"/>
              <w:contextualSpacing/>
              <w:rPr>
                <w:rFonts w:ascii="Arial" w:hAnsi="Arial" w:cs="Arial"/>
              </w:rPr>
            </w:pPr>
            <w:r w:rsidRPr="0063741A">
              <w:rPr>
                <w:rFonts w:ascii="Arial" w:hAnsi="Arial" w:cs="Arial"/>
              </w:rPr>
              <w:t>-.074</w:t>
            </w:r>
          </w:p>
          <w:p w14:paraId="4C365B50" w14:textId="77777777" w:rsidR="0063741A" w:rsidRPr="0063741A" w:rsidRDefault="0063741A" w:rsidP="0063741A">
            <w:pPr>
              <w:pStyle w:val="Body"/>
              <w:contextualSpacing/>
              <w:rPr>
                <w:rFonts w:ascii="Arial" w:hAnsi="Arial" w:cs="Arial"/>
              </w:rPr>
            </w:pPr>
            <w:r w:rsidRPr="0063741A">
              <w:rPr>
                <w:rFonts w:ascii="Arial" w:hAnsi="Arial" w:cs="Arial"/>
              </w:rPr>
              <w:t>.140</w:t>
            </w:r>
          </w:p>
        </w:tc>
        <w:tc>
          <w:tcPr>
            <w:tcW w:w="1258" w:type="dxa"/>
          </w:tcPr>
          <w:p w14:paraId="5C59E66D" w14:textId="77777777" w:rsidR="0063741A" w:rsidRPr="0063741A" w:rsidRDefault="0063741A" w:rsidP="0063741A">
            <w:pPr>
              <w:pStyle w:val="Body"/>
              <w:contextualSpacing/>
              <w:rPr>
                <w:rFonts w:ascii="Arial" w:hAnsi="Arial" w:cs="Arial"/>
              </w:rPr>
            </w:pPr>
            <w:r w:rsidRPr="0063741A">
              <w:rPr>
                <w:rFonts w:ascii="Arial" w:hAnsi="Arial" w:cs="Arial"/>
              </w:rPr>
              <w:t>-.074</w:t>
            </w:r>
          </w:p>
          <w:p w14:paraId="7FE9BFAE" w14:textId="77777777" w:rsidR="0063741A" w:rsidRPr="0063741A" w:rsidRDefault="0063741A" w:rsidP="0063741A">
            <w:pPr>
              <w:pStyle w:val="Body"/>
              <w:contextualSpacing/>
              <w:rPr>
                <w:rFonts w:ascii="Arial" w:hAnsi="Arial" w:cs="Arial"/>
              </w:rPr>
            </w:pPr>
            <w:r w:rsidRPr="0063741A">
              <w:rPr>
                <w:rFonts w:ascii="Arial" w:hAnsi="Arial" w:cs="Arial"/>
              </w:rPr>
              <w:t>.138</w:t>
            </w:r>
          </w:p>
        </w:tc>
        <w:tc>
          <w:tcPr>
            <w:tcW w:w="1516" w:type="dxa"/>
          </w:tcPr>
          <w:p w14:paraId="456B7F7B" w14:textId="77777777" w:rsidR="0063741A" w:rsidRPr="0063741A" w:rsidRDefault="0063741A" w:rsidP="0063741A">
            <w:pPr>
              <w:pStyle w:val="Body"/>
              <w:contextualSpacing/>
              <w:rPr>
                <w:rFonts w:ascii="Arial" w:hAnsi="Arial" w:cs="Arial"/>
              </w:rPr>
            </w:pPr>
            <w:r w:rsidRPr="0063741A">
              <w:rPr>
                <w:rFonts w:ascii="Arial" w:hAnsi="Arial" w:cs="Arial"/>
              </w:rPr>
              <w:t>-.169</w:t>
            </w:r>
            <w:r w:rsidRPr="0063741A">
              <w:rPr>
                <w:rFonts w:ascii="Arial" w:hAnsi="Arial" w:cs="Arial"/>
                <w:vertAlign w:val="superscript"/>
              </w:rPr>
              <w:t>**</w:t>
            </w:r>
          </w:p>
          <w:p w14:paraId="48066288" w14:textId="77777777" w:rsidR="0063741A" w:rsidRPr="0063741A" w:rsidRDefault="0063741A" w:rsidP="0063741A">
            <w:pPr>
              <w:pStyle w:val="Body"/>
              <w:contextualSpacing/>
              <w:rPr>
                <w:rFonts w:ascii="Arial" w:hAnsi="Arial" w:cs="Arial"/>
              </w:rPr>
            </w:pPr>
            <w:r w:rsidRPr="0063741A">
              <w:rPr>
                <w:rFonts w:ascii="Arial" w:hAnsi="Arial" w:cs="Arial"/>
              </w:rPr>
              <w:t>.001</w:t>
            </w:r>
          </w:p>
        </w:tc>
        <w:tc>
          <w:tcPr>
            <w:tcW w:w="861" w:type="dxa"/>
          </w:tcPr>
          <w:p w14:paraId="37FED4DF" w14:textId="77777777" w:rsidR="0063741A" w:rsidRPr="0063741A" w:rsidRDefault="0063741A" w:rsidP="0063741A">
            <w:pPr>
              <w:pStyle w:val="Body"/>
              <w:contextualSpacing/>
              <w:rPr>
                <w:rFonts w:ascii="Arial" w:hAnsi="Arial" w:cs="Arial"/>
                <w:b/>
              </w:rPr>
            </w:pPr>
            <w:r w:rsidRPr="0063741A">
              <w:rPr>
                <w:rFonts w:ascii="Arial" w:hAnsi="Arial" w:cs="Arial"/>
                <w:b/>
              </w:rPr>
              <w:t>-.084</w:t>
            </w:r>
          </w:p>
          <w:p w14:paraId="46394435" w14:textId="77777777" w:rsidR="0063741A" w:rsidRPr="0063741A" w:rsidRDefault="0063741A" w:rsidP="0063741A">
            <w:pPr>
              <w:pStyle w:val="Body"/>
              <w:contextualSpacing/>
              <w:rPr>
                <w:rFonts w:ascii="Arial" w:hAnsi="Arial" w:cs="Arial"/>
                <w:b/>
              </w:rPr>
            </w:pPr>
            <w:r w:rsidRPr="0063741A">
              <w:rPr>
                <w:rFonts w:ascii="Arial" w:hAnsi="Arial" w:cs="Arial"/>
                <w:b/>
              </w:rPr>
              <w:t>.093</w:t>
            </w:r>
          </w:p>
        </w:tc>
      </w:tr>
      <w:tr w:rsidR="0063741A" w:rsidRPr="0063741A" w14:paraId="58896599" w14:textId="77777777" w:rsidTr="00071761">
        <w:trPr>
          <w:trHeight w:val="432"/>
        </w:trPr>
        <w:tc>
          <w:tcPr>
            <w:tcW w:w="1451" w:type="dxa"/>
            <w:vAlign w:val="center"/>
          </w:tcPr>
          <w:p w14:paraId="2B300CD2" w14:textId="77777777" w:rsidR="0063741A" w:rsidRPr="0063741A" w:rsidRDefault="0063741A" w:rsidP="0063741A">
            <w:pPr>
              <w:pStyle w:val="Body"/>
              <w:contextualSpacing/>
              <w:rPr>
                <w:rFonts w:ascii="Arial" w:hAnsi="Arial" w:cs="Arial"/>
              </w:rPr>
            </w:pPr>
            <w:r w:rsidRPr="0063741A">
              <w:rPr>
                <w:rFonts w:ascii="Arial" w:hAnsi="Arial" w:cs="Arial"/>
              </w:rPr>
              <w:t>Writing</w:t>
            </w:r>
          </w:p>
        </w:tc>
        <w:tc>
          <w:tcPr>
            <w:tcW w:w="1264" w:type="dxa"/>
          </w:tcPr>
          <w:p w14:paraId="6D688B49" w14:textId="77777777" w:rsidR="0063741A" w:rsidRPr="0063741A" w:rsidRDefault="0063741A" w:rsidP="0063741A">
            <w:pPr>
              <w:pStyle w:val="Body"/>
              <w:contextualSpacing/>
              <w:rPr>
                <w:rFonts w:ascii="Arial" w:hAnsi="Arial" w:cs="Arial"/>
              </w:rPr>
            </w:pPr>
            <w:r w:rsidRPr="0063741A">
              <w:rPr>
                <w:rFonts w:ascii="Arial" w:hAnsi="Arial" w:cs="Arial"/>
              </w:rPr>
              <w:t>-.015</w:t>
            </w:r>
          </w:p>
          <w:p w14:paraId="5EB455CC" w14:textId="77777777" w:rsidR="0063741A" w:rsidRPr="0063741A" w:rsidRDefault="0063741A" w:rsidP="0063741A">
            <w:pPr>
              <w:pStyle w:val="Body"/>
              <w:contextualSpacing/>
              <w:rPr>
                <w:rFonts w:ascii="Arial" w:hAnsi="Arial" w:cs="Arial"/>
              </w:rPr>
            </w:pPr>
            <w:r w:rsidRPr="0063741A">
              <w:rPr>
                <w:rFonts w:ascii="Arial" w:hAnsi="Arial" w:cs="Arial"/>
              </w:rPr>
              <w:t>.772</w:t>
            </w:r>
          </w:p>
        </w:tc>
        <w:tc>
          <w:tcPr>
            <w:tcW w:w="1424" w:type="dxa"/>
          </w:tcPr>
          <w:p w14:paraId="474C4AB3" w14:textId="77777777" w:rsidR="0063741A" w:rsidRPr="0063741A" w:rsidRDefault="0063741A" w:rsidP="0063741A">
            <w:pPr>
              <w:pStyle w:val="Body"/>
              <w:contextualSpacing/>
              <w:rPr>
                <w:rFonts w:ascii="Arial" w:hAnsi="Arial" w:cs="Arial"/>
              </w:rPr>
            </w:pPr>
            <w:r w:rsidRPr="0063741A">
              <w:rPr>
                <w:rFonts w:ascii="Arial" w:hAnsi="Arial" w:cs="Arial"/>
              </w:rPr>
              <w:t>-.006</w:t>
            </w:r>
          </w:p>
          <w:p w14:paraId="54DA9BD4" w14:textId="77777777" w:rsidR="0063741A" w:rsidRPr="0063741A" w:rsidRDefault="0063741A" w:rsidP="0063741A">
            <w:pPr>
              <w:pStyle w:val="Body"/>
              <w:contextualSpacing/>
              <w:rPr>
                <w:rFonts w:ascii="Arial" w:hAnsi="Arial" w:cs="Arial"/>
              </w:rPr>
            </w:pPr>
            <w:r w:rsidRPr="0063741A">
              <w:rPr>
                <w:rFonts w:ascii="Arial" w:hAnsi="Arial" w:cs="Arial"/>
              </w:rPr>
              <w:t>.905</w:t>
            </w:r>
          </w:p>
        </w:tc>
        <w:tc>
          <w:tcPr>
            <w:tcW w:w="1298" w:type="dxa"/>
          </w:tcPr>
          <w:p w14:paraId="6198F5F2" w14:textId="77777777" w:rsidR="0063741A" w:rsidRPr="0063741A" w:rsidRDefault="0063741A" w:rsidP="0063741A">
            <w:pPr>
              <w:pStyle w:val="Body"/>
              <w:contextualSpacing/>
              <w:rPr>
                <w:rFonts w:ascii="Arial" w:hAnsi="Arial" w:cs="Arial"/>
              </w:rPr>
            </w:pPr>
            <w:r w:rsidRPr="0063741A">
              <w:rPr>
                <w:rFonts w:ascii="Arial" w:hAnsi="Arial" w:cs="Arial"/>
              </w:rPr>
              <w:t>-.098</w:t>
            </w:r>
          </w:p>
          <w:p w14:paraId="44202E43" w14:textId="77777777" w:rsidR="0063741A" w:rsidRPr="0063741A" w:rsidRDefault="0063741A" w:rsidP="0063741A">
            <w:pPr>
              <w:pStyle w:val="Body"/>
              <w:contextualSpacing/>
              <w:rPr>
                <w:rFonts w:ascii="Arial" w:hAnsi="Arial" w:cs="Arial"/>
              </w:rPr>
            </w:pPr>
            <w:r w:rsidRPr="0063741A">
              <w:rPr>
                <w:rFonts w:ascii="Arial" w:hAnsi="Arial" w:cs="Arial"/>
              </w:rPr>
              <w:t>.051</w:t>
            </w:r>
          </w:p>
        </w:tc>
        <w:tc>
          <w:tcPr>
            <w:tcW w:w="1258" w:type="dxa"/>
          </w:tcPr>
          <w:p w14:paraId="219BA904" w14:textId="77777777" w:rsidR="0063741A" w:rsidRPr="0063741A" w:rsidRDefault="0063741A" w:rsidP="0063741A">
            <w:pPr>
              <w:pStyle w:val="Body"/>
              <w:contextualSpacing/>
              <w:rPr>
                <w:rFonts w:ascii="Arial" w:hAnsi="Arial" w:cs="Arial"/>
              </w:rPr>
            </w:pPr>
            <w:r w:rsidRPr="0063741A">
              <w:rPr>
                <w:rFonts w:ascii="Arial" w:hAnsi="Arial" w:cs="Arial"/>
              </w:rPr>
              <w:t>-.092</w:t>
            </w:r>
          </w:p>
          <w:p w14:paraId="6BAFCEC6" w14:textId="77777777" w:rsidR="0063741A" w:rsidRPr="0063741A" w:rsidRDefault="0063741A" w:rsidP="0063741A">
            <w:pPr>
              <w:pStyle w:val="Body"/>
              <w:contextualSpacing/>
              <w:rPr>
                <w:rFonts w:ascii="Arial" w:hAnsi="Arial" w:cs="Arial"/>
              </w:rPr>
            </w:pPr>
            <w:r w:rsidRPr="0063741A">
              <w:rPr>
                <w:rFonts w:ascii="Arial" w:hAnsi="Arial" w:cs="Arial"/>
              </w:rPr>
              <w:t>.065</w:t>
            </w:r>
          </w:p>
        </w:tc>
        <w:tc>
          <w:tcPr>
            <w:tcW w:w="1516" w:type="dxa"/>
          </w:tcPr>
          <w:p w14:paraId="529C7757" w14:textId="77777777" w:rsidR="0063741A" w:rsidRPr="0063741A" w:rsidRDefault="0063741A" w:rsidP="0063741A">
            <w:pPr>
              <w:pStyle w:val="Body"/>
              <w:contextualSpacing/>
              <w:rPr>
                <w:rFonts w:ascii="Arial" w:hAnsi="Arial" w:cs="Arial"/>
              </w:rPr>
            </w:pPr>
            <w:r w:rsidRPr="0063741A">
              <w:rPr>
                <w:rFonts w:ascii="Arial" w:hAnsi="Arial" w:cs="Arial"/>
              </w:rPr>
              <w:t>-.192</w:t>
            </w:r>
            <w:r w:rsidRPr="0063741A">
              <w:rPr>
                <w:rFonts w:ascii="Arial" w:hAnsi="Arial" w:cs="Arial"/>
                <w:vertAlign w:val="superscript"/>
              </w:rPr>
              <w:t>**</w:t>
            </w:r>
          </w:p>
          <w:p w14:paraId="579B36B8" w14:textId="77777777" w:rsidR="0063741A" w:rsidRPr="0063741A" w:rsidRDefault="0063741A" w:rsidP="0063741A">
            <w:pPr>
              <w:pStyle w:val="Body"/>
              <w:contextualSpacing/>
              <w:rPr>
                <w:rFonts w:ascii="Arial" w:hAnsi="Arial" w:cs="Arial"/>
              </w:rPr>
            </w:pPr>
            <w:r w:rsidRPr="0063741A">
              <w:rPr>
                <w:rFonts w:ascii="Arial" w:hAnsi="Arial" w:cs="Arial"/>
              </w:rPr>
              <w:t>.000</w:t>
            </w:r>
          </w:p>
        </w:tc>
        <w:tc>
          <w:tcPr>
            <w:tcW w:w="861" w:type="dxa"/>
          </w:tcPr>
          <w:p w14:paraId="788F232E" w14:textId="77777777" w:rsidR="0063741A" w:rsidRPr="0063741A" w:rsidRDefault="0063741A" w:rsidP="0063741A">
            <w:pPr>
              <w:pStyle w:val="Body"/>
              <w:contextualSpacing/>
              <w:rPr>
                <w:rFonts w:ascii="Arial" w:hAnsi="Arial" w:cs="Arial"/>
                <w:b/>
              </w:rPr>
            </w:pPr>
            <w:r w:rsidRPr="0063741A">
              <w:rPr>
                <w:rFonts w:ascii="Arial" w:hAnsi="Arial" w:cs="Arial"/>
                <w:b/>
              </w:rPr>
              <w:t>-.106</w:t>
            </w:r>
            <w:r w:rsidRPr="0063741A">
              <w:rPr>
                <w:rFonts w:ascii="Arial" w:hAnsi="Arial" w:cs="Arial"/>
                <w:b/>
                <w:vertAlign w:val="superscript"/>
              </w:rPr>
              <w:t>*</w:t>
            </w:r>
          </w:p>
          <w:p w14:paraId="2645A2F5" w14:textId="77777777" w:rsidR="0063741A" w:rsidRPr="0063741A" w:rsidRDefault="0063741A" w:rsidP="0063741A">
            <w:pPr>
              <w:pStyle w:val="Body"/>
              <w:contextualSpacing/>
              <w:rPr>
                <w:rFonts w:ascii="Arial" w:hAnsi="Arial" w:cs="Arial"/>
                <w:b/>
              </w:rPr>
            </w:pPr>
            <w:r w:rsidRPr="0063741A">
              <w:rPr>
                <w:rFonts w:ascii="Arial" w:hAnsi="Arial" w:cs="Arial"/>
                <w:b/>
              </w:rPr>
              <w:t>.034</w:t>
            </w:r>
          </w:p>
        </w:tc>
      </w:tr>
      <w:tr w:rsidR="0063741A" w:rsidRPr="0063741A" w14:paraId="6F72F3EB" w14:textId="77777777" w:rsidTr="00071761">
        <w:trPr>
          <w:trHeight w:val="864"/>
        </w:trPr>
        <w:tc>
          <w:tcPr>
            <w:tcW w:w="1451" w:type="dxa"/>
            <w:tcBorders>
              <w:bottom w:val="single" w:sz="4" w:space="0" w:color="auto"/>
            </w:tcBorders>
            <w:vAlign w:val="center"/>
          </w:tcPr>
          <w:p w14:paraId="2A0B7B32" w14:textId="77777777" w:rsidR="0063741A" w:rsidRPr="0063741A" w:rsidRDefault="0063741A" w:rsidP="0063741A">
            <w:pPr>
              <w:pStyle w:val="Body"/>
              <w:contextualSpacing/>
              <w:rPr>
                <w:rFonts w:ascii="Arial" w:hAnsi="Arial" w:cs="Arial"/>
                <w:b/>
              </w:rPr>
            </w:pPr>
            <w:r w:rsidRPr="0063741A">
              <w:rPr>
                <w:rFonts w:ascii="Arial" w:hAnsi="Arial" w:cs="Arial"/>
                <w:b/>
              </w:rPr>
              <w:t>Overall</w:t>
            </w:r>
          </w:p>
        </w:tc>
        <w:tc>
          <w:tcPr>
            <w:tcW w:w="1264" w:type="dxa"/>
            <w:tcBorders>
              <w:bottom w:val="single" w:sz="4" w:space="0" w:color="auto"/>
            </w:tcBorders>
          </w:tcPr>
          <w:p w14:paraId="1581F420" w14:textId="77777777" w:rsidR="0063741A" w:rsidRPr="0063741A" w:rsidRDefault="0063741A" w:rsidP="0063741A">
            <w:pPr>
              <w:pStyle w:val="Body"/>
              <w:contextualSpacing/>
              <w:rPr>
                <w:rFonts w:ascii="Arial" w:hAnsi="Arial" w:cs="Arial"/>
                <w:b/>
              </w:rPr>
            </w:pPr>
            <w:r w:rsidRPr="0063741A">
              <w:rPr>
                <w:rFonts w:ascii="Arial" w:hAnsi="Arial" w:cs="Arial"/>
                <w:b/>
              </w:rPr>
              <w:t>.000</w:t>
            </w:r>
          </w:p>
          <w:p w14:paraId="357F23A0" w14:textId="77777777" w:rsidR="0063741A" w:rsidRPr="0063741A" w:rsidRDefault="0063741A" w:rsidP="0063741A">
            <w:pPr>
              <w:pStyle w:val="Body"/>
              <w:contextualSpacing/>
              <w:rPr>
                <w:rFonts w:ascii="Arial" w:hAnsi="Arial" w:cs="Arial"/>
                <w:b/>
              </w:rPr>
            </w:pPr>
            <w:r w:rsidRPr="0063741A">
              <w:rPr>
                <w:rFonts w:ascii="Arial" w:hAnsi="Arial" w:cs="Arial"/>
                <w:b/>
              </w:rPr>
              <w:t>.997</w:t>
            </w:r>
          </w:p>
        </w:tc>
        <w:tc>
          <w:tcPr>
            <w:tcW w:w="1424" w:type="dxa"/>
            <w:tcBorders>
              <w:bottom w:val="single" w:sz="4" w:space="0" w:color="auto"/>
            </w:tcBorders>
          </w:tcPr>
          <w:p w14:paraId="69868D36" w14:textId="77777777" w:rsidR="0063741A" w:rsidRPr="0063741A" w:rsidRDefault="0063741A" w:rsidP="0063741A">
            <w:pPr>
              <w:pStyle w:val="Body"/>
              <w:contextualSpacing/>
              <w:rPr>
                <w:rFonts w:ascii="Arial" w:hAnsi="Arial" w:cs="Arial"/>
                <w:b/>
              </w:rPr>
            </w:pPr>
            <w:r w:rsidRPr="0063741A">
              <w:rPr>
                <w:rFonts w:ascii="Arial" w:hAnsi="Arial" w:cs="Arial"/>
                <w:b/>
              </w:rPr>
              <w:t>-.009</w:t>
            </w:r>
          </w:p>
          <w:p w14:paraId="69E43385" w14:textId="77777777" w:rsidR="0063741A" w:rsidRPr="0063741A" w:rsidRDefault="0063741A" w:rsidP="0063741A">
            <w:pPr>
              <w:pStyle w:val="Body"/>
              <w:contextualSpacing/>
              <w:rPr>
                <w:rFonts w:ascii="Arial" w:hAnsi="Arial" w:cs="Arial"/>
                <w:b/>
              </w:rPr>
            </w:pPr>
            <w:r w:rsidRPr="0063741A">
              <w:rPr>
                <w:rFonts w:ascii="Arial" w:hAnsi="Arial" w:cs="Arial"/>
                <w:b/>
              </w:rPr>
              <w:t>.864</w:t>
            </w:r>
          </w:p>
        </w:tc>
        <w:tc>
          <w:tcPr>
            <w:tcW w:w="1298" w:type="dxa"/>
            <w:tcBorders>
              <w:bottom w:val="single" w:sz="4" w:space="0" w:color="auto"/>
            </w:tcBorders>
          </w:tcPr>
          <w:p w14:paraId="72996C86" w14:textId="77777777" w:rsidR="0063741A" w:rsidRPr="0063741A" w:rsidRDefault="0063741A" w:rsidP="0063741A">
            <w:pPr>
              <w:pStyle w:val="Body"/>
              <w:contextualSpacing/>
              <w:rPr>
                <w:rFonts w:ascii="Arial" w:hAnsi="Arial" w:cs="Arial"/>
                <w:b/>
              </w:rPr>
            </w:pPr>
            <w:r w:rsidRPr="0063741A">
              <w:rPr>
                <w:rFonts w:ascii="Arial" w:hAnsi="Arial" w:cs="Arial"/>
                <w:b/>
              </w:rPr>
              <w:t>-.088</w:t>
            </w:r>
          </w:p>
          <w:p w14:paraId="02E55083" w14:textId="77777777" w:rsidR="0063741A" w:rsidRPr="0063741A" w:rsidRDefault="0063741A" w:rsidP="0063741A">
            <w:pPr>
              <w:pStyle w:val="Body"/>
              <w:contextualSpacing/>
              <w:rPr>
                <w:rFonts w:ascii="Arial" w:hAnsi="Arial" w:cs="Arial"/>
                <w:b/>
              </w:rPr>
            </w:pPr>
            <w:r w:rsidRPr="0063741A">
              <w:rPr>
                <w:rFonts w:ascii="Arial" w:hAnsi="Arial" w:cs="Arial"/>
                <w:b/>
              </w:rPr>
              <w:t>.080</w:t>
            </w:r>
          </w:p>
        </w:tc>
        <w:tc>
          <w:tcPr>
            <w:tcW w:w="1258" w:type="dxa"/>
            <w:tcBorders>
              <w:bottom w:val="single" w:sz="4" w:space="0" w:color="auto"/>
            </w:tcBorders>
          </w:tcPr>
          <w:p w14:paraId="324E6092" w14:textId="77777777" w:rsidR="0063741A" w:rsidRPr="0063741A" w:rsidRDefault="0063741A" w:rsidP="0063741A">
            <w:pPr>
              <w:pStyle w:val="Body"/>
              <w:contextualSpacing/>
              <w:rPr>
                <w:rFonts w:ascii="Arial" w:hAnsi="Arial" w:cs="Arial"/>
                <w:b/>
              </w:rPr>
            </w:pPr>
            <w:r w:rsidRPr="0063741A">
              <w:rPr>
                <w:rFonts w:ascii="Arial" w:hAnsi="Arial" w:cs="Arial"/>
                <w:b/>
              </w:rPr>
              <w:t>-.110</w:t>
            </w:r>
            <w:r w:rsidRPr="0063741A">
              <w:rPr>
                <w:rFonts w:ascii="Arial" w:hAnsi="Arial" w:cs="Arial"/>
                <w:b/>
                <w:vertAlign w:val="superscript"/>
              </w:rPr>
              <w:t>*</w:t>
            </w:r>
          </w:p>
          <w:p w14:paraId="03DB969D" w14:textId="77777777" w:rsidR="0063741A" w:rsidRPr="0063741A" w:rsidRDefault="0063741A" w:rsidP="0063741A">
            <w:pPr>
              <w:pStyle w:val="Body"/>
              <w:contextualSpacing/>
              <w:rPr>
                <w:rFonts w:ascii="Arial" w:hAnsi="Arial" w:cs="Arial"/>
                <w:b/>
              </w:rPr>
            </w:pPr>
            <w:r w:rsidRPr="0063741A">
              <w:rPr>
                <w:rFonts w:ascii="Arial" w:hAnsi="Arial" w:cs="Arial"/>
                <w:b/>
              </w:rPr>
              <w:t>.029</w:t>
            </w:r>
          </w:p>
        </w:tc>
        <w:tc>
          <w:tcPr>
            <w:tcW w:w="1516" w:type="dxa"/>
            <w:tcBorders>
              <w:bottom w:val="single" w:sz="4" w:space="0" w:color="auto"/>
            </w:tcBorders>
          </w:tcPr>
          <w:p w14:paraId="1A2DB9CA" w14:textId="77777777" w:rsidR="0063741A" w:rsidRPr="0063741A" w:rsidRDefault="0063741A" w:rsidP="0063741A">
            <w:pPr>
              <w:pStyle w:val="Body"/>
              <w:contextualSpacing/>
              <w:rPr>
                <w:rFonts w:ascii="Arial" w:hAnsi="Arial" w:cs="Arial"/>
                <w:b/>
              </w:rPr>
            </w:pPr>
            <w:r w:rsidRPr="0063741A">
              <w:rPr>
                <w:rFonts w:ascii="Arial" w:hAnsi="Arial" w:cs="Arial"/>
                <w:b/>
              </w:rPr>
              <w:t>-.194</w:t>
            </w:r>
            <w:r w:rsidRPr="0063741A">
              <w:rPr>
                <w:rFonts w:ascii="Arial" w:hAnsi="Arial" w:cs="Arial"/>
                <w:b/>
                <w:vertAlign w:val="superscript"/>
              </w:rPr>
              <w:t>**</w:t>
            </w:r>
          </w:p>
          <w:p w14:paraId="673D2910" w14:textId="77777777" w:rsidR="0063741A" w:rsidRPr="0063741A" w:rsidRDefault="0063741A" w:rsidP="0063741A">
            <w:pPr>
              <w:pStyle w:val="Body"/>
              <w:contextualSpacing/>
              <w:rPr>
                <w:rFonts w:ascii="Arial" w:hAnsi="Arial" w:cs="Arial"/>
                <w:b/>
              </w:rPr>
            </w:pPr>
            <w:r w:rsidRPr="0063741A">
              <w:rPr>
                <w:rFonts w:ascii="Arial" w:hAnsi="Arial" w:cs="Arial"/>
                <w:b/>
              </w:rPr>
              <w:t>.000</w:t>
            </w:r>
          </w:p>
        </w:tc>
        <w:tc>
          <w:tcPr>
            <w:tcW w:w="861" w:type="dxa"/>
            <w:tcBorders>
              <w:bottom w:val="single" w:sz="4" w:space="0" w:color="auto"/>
            </w:tcBorders>
          </w:tcPr>
          <w:p w14:paraId="305D2ADF" w14:textId="77777777" w:rsidR="0063741A" w:rsidRPr="0063741A" w:rsidRDefault="0063741A" w:rsidP="0063741A">
            <w:pPr>
              <w:pStyle w:val="Body"/>
              <w:contextualSpacing/>
              <w:rPr>
                <w:rFonts w:ascii="Arial" w:hAnsi="Arial" w:cs="Arial"/>
                <w:b/>
              </w:rPr>
            </w:pPr>
            <w:r w:rsidRPr="0063741A">
              <w:rPr>
                <w:rFonts w:ascii="Arial" w:hAnsi="Arial" w:cs="Arial"/>
                <w:b/>
              </w:rPr>
              <w:t>-.106</w:t>
            </w:r>
            <w:r w:rsidRPr="0063741A">
              <w:rPr>
                <w:rFonts w:ascii="Arial" w:hAnsi="Arial" w:cs="Arial"/>
                <w:b/>
                <w:vertAlign w:val="superscript"/>
              </w:rPr>
              <w:t>*</w:t>
            </w:r>
          </w:p>
          <w:p w14:paraId="0142819C" w14:textId="77777777" w:rsidR="0063741A" w:rsidRPr="0063741A" w:rsidRDefault="0063741A" w:rsidP="0063741A">
            <w:pPr>
              <w:pStyle w:val="Body"/>
              <w:contextualSpacing/>
              <w:rPr>
                <w:rFonts w:ascii="Arial" w:hAnsi="Arial" w:cs="Arial"/>
                <w:b/>
              </w:rPr>
            </w:pPr>
            <w:r w:rsidRPr="0063741A">
              <w:rPr>
                <w:rFonts w:ascii="Arial" w:hAnsi="Arial" w:cs="Arial"/>
                <w:b/>
              </w:rPr>
              <w:t>.035</w:t>
            </w:r>
          </w:p>
        </w:tc>
      </w:tr>
    </w:tbl>
    <w:p w14:paraId="2607632A" w14:textId="77777777" w:rsidR="0063741A" w:rsidRDefault="0063741A" w:rsidP="00DB5311">
      <w:pPr>
        <w:pStyle w:val="Body"/>
        <w:spacing w:after="0"/>
        <w:rPr>
          <w:rFonts w:ascii="Arial" w:hAnsi="Arial" w:cs="Arial"/>
        </w:rPr>
      </w:pPr>
    </w:p>
    <w:p w14:paraId="593D07D0" w14:textId="7FEF9A82" w:rsidR="00C06513" w:rsidRPr="00543754" w:rsidRDefault="00DB5311" w:rsidP="00DB5311">
      <w:pPr>
        <w:pStyle w:val="Body"/>
        <w:spacing w:after="0"/>
        <w:rPr>
          <w:rFonts w:ascii="Arial" w:hAnsi="Arial" w:cs="Arial"/>
        </w:rPr>
      </w:pPr>
      <w:r w:rsidRPr="00543754">
        <w:rPr>
          <w:rFonts w:ascii="Arial" w:hAnsi="Arial" w:cs="Arial"/>
        </w:rPr>
        <w:t>It can be inferred that there is a weak and negative correlation between the third exogenous variable and the endogenous variable, suggesting that as language learning increases, grammatical competence decreases. The resulting p-value of .035 is lower than the tabular value of .05; therefore, the relationship is statistically significant, and the hypothesis is rejected.</w:t>
      </w:r>
    </w:p>
    <w:p w14:paraId="5D7D0F07" w14:textId="77777777" w:rsidR="00C06513" w:rsidRPr="00543754" w:rsidRDefault="00C06513" w:rsidP="00C06513">
      <w:pPr>
        <w:pStyle w:val="Body"/>
        <w:spacing w:after="0"/>
        <w:rPr>
          <w:rFonts w:ascii="Arial" w:hAnsi="Arial" w:cs="Arial"/>
        </w:rPr>
      </w:pPr>
    </w:p>
    <w:p w14:paraId="0DF6EA9A" w14:textId="51F236F0" w:rsidR="00DB5311" w:rsidRPr="00DB5311" w:rsidRDefault="00DB5311" w:rsidP="00DB5311">
      <w:pPr>
        <w:pStyle w:val="Body"/>
        <w:rPr>
          <w:rFonts w:ascii="Arial" w:hAnsi="Arial" w:cs="Arial"/>
        </w:rPr>
      </w:pPr>
      <w:r w:rsidRPr="00DB5311">
        <w:rPr>
          <w:rFonts w:ascii="Arial" w:hAnsi="Arial" w:cs="Arial"/>
        </w:rPr>
        <w:t xml:space="preserve">Therefore, Swain’s (1995) Output Hypothesis confirms that there is a significant relationship between language learning and grammatical competence, where listening and reading alone are not sufficient to achieve a high level of grammatical </w:t>
      </w:r>
      <w:r w:rsidR="0063741A">
        <w:rPr>
          <w:rFonts w:ascii="Arial" w:hAnsi="Arial" w:cs="Arial"/>
        </w:rPr>
        <w:t>competence</w:t>
      </w:r>
      <w:r w:rsidRPr="00DB5311">
        <w:rPr>
          <w:rFonts w:ascii="Arial" w:hAnsi="Arial" w:cs="Arial"/>
        </w:rPr>
        <w:t>. To develop grammatical ability, it is essential to actively use the language through speaking and writing, as it is in this process that learners become aware of their errors, which leads to deeper understanding of grammatical rules.</w:t>
      </w:r>
    </w:p>
    <w:p w14:paraId="5492E0CC" w14:textId="77777777" w:rsidR="00DB5311" w:rsidRPr="00DB5311" w:rsidRDefault="00DB5311" w:rsidP="00DB5311">
      <w:pPr>
        <w:pStyle w:val="Body"/>
        <w:rPr>
          <w:rFonts w:ascii="Arial" w:hAnsi="Arial" w:cs="Arial"/>
        </w:rPr>
      </w:pPr>
      <w:r w:rsidRPr="00DB5311">
        <w:rPr>
          <w:rFonts w:ascii="Arial" w:hAnsi="Arial" w:cs="Arial"/>
        </w:rPr>
        <w:t>Furthermore, Akbarov et al. (2010) affirmed that responses or feedback help correct mistakes and further strengthen grammatical competence. Through the continuous use of language in actual communication, the use of grammar becomes more automatic and accurate in verbal exchanges.</w:t>
      </w:r>
    </w:p>
    <w:p w14:paraId="6740D04A" w14:textId="69591FA5" w:rsidR="00D33E3B" w:rsidRDefault="00D33E3B" w:rsidP="00D33E3B">
      <w:pPr>
        <w:pStyle w:val="Body"/>
        <w:rPr>
          <w:rFonts w:ascii="Arial" w:hAnsi="Arial" w:cs="Arial"/>
        </w:rPr>
      </w:pPr>
      <w:r w:rsidRPr="00D33E3B">
        <w:rPr>
          <w:rFonts w:ascii="Arial" w:hAnsi="Arial" w:cs="Arial"/>
        </w:rPr>
        <w:lastRenderedPageBreak/>
        <w:t xml:space="preserve">Table 7 presents the results of the analysis regarding the relationship between the second exogenous variable—reading strategies—and the endogenous variable—students’ grammatical competence, which was examined at the 0.05 level of significance. The overall </w:t>
      </w:r>
      <w:proofErr w:type="spellStart"/>
      <w:r w:rsidRPr="00D33E3B">
        <w:rPr>
          <w:rFonts w:ascii="Arial" w:hAnsi="Arial" w:cs="Arial"/>
        </w:rPr>
        <w:t>r-value</w:t>
      </w:r>
      <w:proofErr w:type="spellEnd"/>
      <w:r w:rsidRPr="00D33E3B">
        <w:rPr>
          <w:rFonts w:ascii="Arial" w:hAnsi="Arial" w:cs="Arial"/>
        </w:rPr>
        <w:t xml:space="preserve"> of .037 with a p-value lower than 0.05 indicates that the null hypothesis is rejected.</w:t>
      </w:r>
    </w:p>
    <w:p w14:paraId="39455F6B" w14:textId="321E333C" w:rsidR="00F456B3" w:rsidRDefault="00F456B3" w:rsidP="00D33E3B">
      <w:pPr>
        <w:pStyle w:val="Body"/>
        <w:rPr>
          <w:rFonts w:ascii="Arial" w:hAnsi="Arial" w:cs="Arial"/>
        </w:rPr>
      </w:pPr>
      <w:r w:rsidRPr="00F456B3">
        <w:rPr>
          <w:rFonts w:ascii="Arial" w:hAnsi="Arial" w:cs="Arial"/>
        </w:rPr>
        <w:t>It can be inferred that there is a weak and negative relationship between the second exogenous variable and the endogenous variable, suggesting that as the use of cognitive and metacognitive reading strategies increases, grammatical competence decreases. Since the resulting p-value of .037 is lower than the tabular value of .05, the correlation is considered significant, and the hypothesis is therefore rejected.</w:t>
      </w:r>
    </w:p>
    <w:p w14:paraId="004CFF9F" w14:textId="0A40F1D4" w:rsidR="00E2014F" w:rsidRPr="00E2014F" w:rsidRDefault="00E2014F" w:rsidP="00E2014F">
      <w:pPr>
        <w:spacing w:before="100" w:beforeAutospacing="1" w:after="100" w:afterAutospacing="1"/>
        <w:contextualSpacing/>
        <w:jc w:val="both"/>
        <w:rPr>
          <w:rFonts w:ascii="Arial" w:hAnsi="Arial" w:cs="Arial"/>
          <w:b/>
          <w:bCs/>
          <w:lang w:val="en-PH" w:eastAsia="en-PH"/>
        </w:rPr>
      </w:pPr>
      <w:r w:rsidRPr="00E2014F">
        <w:rPr>
          <w:rFonts w:ascii="Arial" w:hAnsi="Arial" w:cs="Arial"/>
          <w:b/>
          <w:bCs/>
          <w:lang w:val="en-PH" w:eastAsia="en-PH"/>
        </w:rPr>
        <w:t xml:space="preserve">Table </w:t>
      </w:r>
      <w:r>
        <w:rPr>
          <w:rFonts w:ascii="Arial" w:hAnsi="Arial" w:cs="Arial"/>
          <w:b/>
          <w:bCs/>
          <w:lang w:val="en-PH" w:eastAsia="en-PH"/>
        </w:rPr>
        <w:t>7</w:t>
      </w:r>
    </w:p>
    <w:p w14:paraId="24F72046" w14:textId="3560709D" w:rsidR="00E2014F" w:rsidRPr="00E2014F" w:rsidRDefault="00E2014F" w:rsidP="00E2014F">
      <w:pPr>
        <w:spacing w:before="100" w:beforeAutospacing="1" w:after="100" w:afterAutospacing="1"/>
        <w:contextualSpacing/>
        <w:jc w:val="both"/>
        <w:rPr>
          <w:rFonts w:ascii="Arial" w:hAnsi="Arial" w:cs="Arial"/>
          <w:i/>
          <w:iCs/>
          <w:lang w:val="en-PH" w:eastAsia="en-PH"/>
        </w:rPr>
      </w:pPr>
      <w:r w:rsidRPr="00E2014F">
        <w:rPr>
          <w:rFonts w:ascii="Arial" w:hAnsi="Arial" w:cs="Arial"/>
          <w:i/>
          <w:iCs/>
          <w:lang w:val="en-PH" w:eastAsia="en-PH"/>
        </w:rPr>
        <w:t xml:space="preserve">Significant Correlation Between Reading Strategies and Grammatical </w:t>
      </w:r>
      <w:r w:rsidR="00383518">
        <w:rPr>
          <w:rFonts w:ascii="Arial" w:hAnsi="Arial" w:cs="Arial"/>
          <w:i/>
          <w:iCs/>
          <w:lang w:val="en-PH" w:eastAsia="en-PH"/>
        </w:rPr>
        <w:t>Competence</w:t>
      </w: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317"/>
        <w:gridCol w:w="1280"/>
        <w:gridCol w:w="1062"/>
        <w:gridCol w:w="980"/>
        <w:gridCol w:w="1050"/>
        <w:gridCol w:w="1048"/>
      </w:tblGrid>
      <w:tr w:rsidR="00E2014F" w:rsidRPr="00E2014F" w14:paraId="1FC9F2FF" w14:textId="77777777" w:rsidTr="00C42D78">
        <w:trPr>
          <w:trHeight w:val="432"/>
        </w:trPr>
        <w:tc>
          <w:tcPr>
            <w:tcW w:w="1510" w:type="dxa"/>
            <w:vMerge w:val="restart"/>
            <w:tcBorders>
              <w:top w:val="single" w:sz="4" w:space="0" w:color="auto"/>
            </w:tcBorders>
            <w:vAlign w:val="center"/>
          </w:tcPr>
          <w:p w14:paraId="379DE909" w14:textId="77777777" w:rsidR="00E2014F" w:rsidRPr="00E2014F" w:rsidRDefault="00E2014F" w:rsidP="00E2014F">
            <w:pPr>
              <w:spacing w:after="160" w:line="259" w:lineRule="auto"/>
              <w:jc w:val="center"/>
              <w:rPr>
                <w:rFonts w:ascii="Arial" w:hAnsi="Arial" w:cs="Arial"/>
                <w:b/>
                <w:sz w:val="20"/>
                <w:szCs w:val="20"/>
              </w:rPr>
            </w:pPr>
            <w:r w:rsidRPr="00E2014F">
              <w:rPr>
                <w:rFonts w:ascii="Arial" w:hAnsi="Arial" w:cs="Arial"/>
                <w:b/>
                <w:sz w:val="20"/>
                <w:szCs w:val="20"/>
              </w:rPr>
              <w:t>Reading Strategies</w:t>
            </w:r>
          </w:p>
        </w:tc>
        <w:tc>
          <w:tcPr>
            <w:tcW w:w="7840" w:type="dxa"/>
            <w:gridSpan w:val="6"/>
            <w:tcBorders>
              <w:top w:val="single" w:sz="4" w:space="0" w:color="auto"/>
              <w:bottom w:val="single" w:sz="4" w:space="0" w:color="auto"/>
            </w:tcBorders>
            <w:vAlign w:val="center"/>
          </w:tcPr>
          <w:p w14:paraId="4001CAB2" w14:textId="4B469499" w:rsidR="00E2014F" w:rsidRPr="00E2014F" w:rsidRDefault="00795F5B" w:rsidP="00E2014F">
            <w:pPr>
              <w:spacing w:after="160" w:line="259" w:lineRule="auto"/>
              <w:jc w:val="center"/>
              <w:rPr>
                <w:rFonts w:ascii="Arial" w:hAnsi="Arial" w:cs="Arial"/>
                <w:b/>
                <w:sz w:val="20"/>
                <w:szCs w:val="20"/>
              </w:rPr>
            </w:pPr>
            <w:r>
              <w:rPr>
                <w:rFonts w:ascii="Arial" w:hAnsi="Arial" w:cs="Arial"/>
                <w:b/>
                <w:sz w:val="20"/>
                <w:szCs w:val="20"/>
              </w:rPr>
              <w:t>Grammatical</w:t>
            </w:r>
            <w:r w:rsidR="00E2014F" w:rsidRPr="00E2014F">
              <w:rPr>
                <w:rFonts w:ascii="Arial" w:hAnsi="Arial" w:cs="Arial"/>
                <w:b/>
                <w:sz w:val="20"/>
                <w:szCs w:val="20"/>
              </w:rPr>
              <w:t xml:space="preserve"> Competence </w:t>
            </w:r>
          </w:p>
        </w:tc>
      </w:tr>
      <w:tr w:rsidR="00E2014F" w:rsidRPr="00E2014F" w14:paraId="0EDC6120" w14:textId="77777777" w:rsidTr="00C42D78">
        <w:trPr>
          <w:trHeight w:val="432"/>
        </w:trPr>
        <w:tc>
          <w:tcPr>
            <w:tcW w:w="1510" w:type="dxa"/>
            <w:vMerge/>
            <w:vAlign w:val="center"/>
          </w:tcPr>
          <w:p w14:paraId="217BDC6F" w14:textId="77777777" w:rsidR="00E2014F" w:rsidRPr="00E2014F" w:rsidRDefault="00E2014F" w:rsidP="00E2014F">
            <w:pPr>
              <w:spacing w:after="160" w:line="259" w:lineRule="auto"/>
              <w:jc w:val="center"/>
              <w:rPr>
                <w:rFonts w:ascii="Arial" w:hAnsi="Arial" w:cs="Arial"/>
                <w:sz w:val="20"/>
                <w:szCs w:val="20"/>
              </w:rPr>
            </w:pPr>
          </w:p>
        </w:tc>
        <w:tc>
          <w:tcPr>
            <w:tcW w:w="1249" w:type="dxa"/>
            <w:tcBorders>
              <w:top w:val="single" w:sz="4" w:space="0" w:color="auto"/>
              <w:bottom w:val="single" w:sz="4" w:space="0" w:color="auto"/>
            </w:tcBorders>
            <w:vAlign w:val="center"/>
          </w:tcPr>
          <w:p w14:paraId="27C43FDB"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Prepositions</w:t>
            </w:r>
          </w:p>
        </w:tc>
        <w:tc>
          <w:tcPr>
            <w:tcW w:w="1431" w:type="dxa"/>
            <w:tcBorders>
              <w:top w:val="single" w:sz="4" w:space="0" w:color="auto"/>
              <w:bottom w:val="single" w:sz="4" w:space="0" w:color="auto"/>
            </w:tcBorders>
            <w:vAlign w:val="center"/>
          </w:tcPr>
          <w:p w14:paraId="2ED26A82"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Subject Verb-Agreement</w:t>
            </w:r>
          </w:p>
        </w:tc>
        <w:tc>
          <w:tcPr>
            <w:tcW w:w="1301" w:type="dxa"/>
            <w:tcBorders>
              <w:top w:val="single" w:sz="4" w:space="0" w:color="auto"/>
              <w:bottom w:val="single" w:sz="4" w:space="0" w:color="auto"/>
            </w:tcBorders>
            <w:vAlign w:val="center"/>
          </w:tcPr>
          <w:p w14:paraId="594CCEAC"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Verb Aspects</w:t>
            </w:r>
          </w:p>
        </w:tc>
        <w:tc>
          <w:tcPr>
            <w:tcW w:w="1253" w:type="dxa"/>
            <w:tcBorders>
              <w:top w:val="single" w:sz="4" w:space="0" w:color="auto"/>
              <w:bottom w:val="single" w:sz="4" w:space="0" w:color="auto"/>
            </w:tcBorders>
            <w:vAlign w:val="center"/>
          </w:tcPr>
          <w:p w14:paraId="72A18754"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Modal</w:t>
            </w:r>
          </w:p>
        </w:tc>
        <w:tc>
          <w:tcPr>
            <w:tcW w:w="1286" w:type="dxa"/>
            <w:tcBorders>
              <w:top w:val="single" w:sz="4" w:space="0" w:color="auto"/>
              <w:bottom w:val="single" w:sz="4" w:space="0" w:color="auto"/>
            </w:tcBorders>
            <w:vAlign w:val="center"/>
          </w:tcPr>
          <w:p w14:paraId="39D1A278"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Passive Voice</w:t>
            </w:r>
          </w:p>
        </w:tc>
        <w:tc>
          <w:tcPr>
            <w:tcW w:w="1320" w:type="dxa"/>
            <w:tcBorders>
              <w:top w:val="single" w:sz="4" w:space="0" w:color="auto"/>
              <w:bottom w:val="single" w:sz="4" w:space="0" w:color="auto"/>
            </w:tcBorders>
            <w:vAlign w:val="center"/>
          </w:tcPr>
          <w:p w14:paraId="3A52A04C" w14:textId="77777777" w:rsidR="00E2014F" w:rsidRPr="00E2014F" w:rsidRDefault="00E2014F" w:rsidP="00E2014F">
            <w:pPr>
              <w:spacing w:after="160" w:line="259" w:lineRule="auto"/>
              <w:jc w:val="center"/>
              <w:rPr>
                <w:rFonts w:ascii="Arial" w:hAnsi="Arial" w:cs="Arial"/>
                <w:b/>
                <w:sz w:val="20"/>
                <w:szCs w:val="20"/>
              </w:rPr>
            </w:pPr>
            <w:r w:rsidRPr="00E2014F">
              <w:rPr>
                <w:rFonts w:ascii="Arial" w:hAnsi="Arial" w:cs="Arial"/>
                <w:b/>
                <w:sz w:val="20"/>
                <w:szCs w:val="20"/>
              </w:rPr>
              <w:t>Overall</w:t>
            </w:r>
          </w:p>
        </w:tc>
      </w:tr>
      <w:tr w:rsidR="00E2014F" w:rsidRPr="00E2014F" w14:paraId="5FA42B81" w14:textId="77777777" w:rsidTr="00C42D78">
        <w:trPr>
          <w:trHeight w:val="432"/>
        </w:trPr>
        <w:tc>
          <w:tcPr>
            <w:tcW w:w="1510" w:type="dxa"/>
            <w:vAlign w:val="center"/>
          </w:tcPr>
          <w:p w14:paraId="3786B01D" w14:textId="77777777" w:rsidR="00E2014F" w:rsidRPr="00E2014F" w:rsidRDefault="00E2014F" w:rsidP="00E2014F">
            <w:pPr>
              <w:spacing w:after="160" w:line="259" w:lineRule="auto"/>
              <w:jc w:val="both"/>
              <w:rPr>
                <w:rFonts w:ascii="Arial" w:hAnsi="Arial" w:cs="Arial"/>
                <w:sz w:val="20"/>
                <w:szCs w:val="20"/>
              </w:rPr>
            </w:pPr>
            <w:r w:rsidRPr="00E2014F">
              <w:rPr>
                <w:rFonts w:ascii="Arial" w:hAnsi="Arial" w:cs="Arial"/>
                <w:sz w:val="20"/>
                <w:szCs w:val="20"/>
              </w:rPr>
              <w:t>Cognitive</w:t>
            </w:r>
          </w:p>
        </w:tc>
        <w:tc>
          <w:tcPr>
            <w:tcW w:w="1249" w:type="dxa"/>
            <w:tcBorders>
              <w:top w:val="single" w:sz="4" w:space="0" w:color="auto"/>
            </w:tcBorders>
          </w:tcPr>
          <w:p w14:paraId="451F17CF"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.008</w:t>
            </w:r>
          </w:p>
          <w:p w14:paraId="54E140C8" w14:textId="77777777" w:rsidR="00E2014F" w:rsidRPr="00E2014F" w:rsidRDefault="00E2014F" w:rsidP="00E2014F">
            <w:pPr>
              <w:autoSpaceDE w:val="0"/>
              <w:autoSpaceDN w:val="0"/>
              <w:adjustRightInd w:val="0"/>
              <w:spacing w:after="120" w:line="320" w:lineRule="atLeast"/>
              <w:ind w:left="60" w:right="60"/>
              <w:jc w:val="center"/>
              <w:rPr>
                <w:rFonts w:ascii="Arial" w:hAnsi="Arial" w:cs="Arial"/>
                <w:color w:val="000000"/>
                <w:sz w:val="20"/>
                <w:szCs w:val="20"/>
              </w:rPr>
            </w:pPr>
            <w:r w:rsidRPr="00E2014F">
              <w:rPr>
                <w:rFonts w:ascii="Arial" w:hAnsi="Arial" w:cs="Arial"/>
                <w:color w:val="000000"/>
                <w:sz w:val="20"/>
                <w:szCs w:val="20"/>
              </w:rPr>
              <w:t>.866</w:t>
            </w:r>
          </w:p>
        </w:tc>
        <w:tc>
          <w:tcPr>
            <w:tcW w:w="1431" w:type="dxa"/>
            <w:tcBorders>
              <w:top w:val="single" w:sz="4" w:space="0" w:color="auto"/>
            </w:tcBorders>
          </w:tcPr>
          <w:p w14:paraId="607F17A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-.002</w:t>
            </w:r>
          </w:p>
          <w:p w14:paraId="06BBBAE4"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.973</w:t>
            </w:r>
          </w:p>
        </w:tc>
        <w:tc>
          <w:tcPr>
            <w:tcW w:w="1301" w:type="dxa"/>
            <w:tcBorders>
              <w:top w:val="single" w:sz="4" w:space="0" w:color="auto"/>
            </w:tcBorders>
          </w:tcPr>
          <w:p w14:paraId="6AFD600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-.042</w:t>
            </w:r>
          </w:p>
          <w:p w14:paraId="155A6E13"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.403</w:t>
            </w:r>
          </w:p>
        </w:tc>
        <w:tc>
          <w:tcPr>
            <w:tcW w:w="1253" w:type="dxa"/>
            <w:tcBorders>
              <w:top w:val="single" w:sz="4" w:space="0" w:color="auto"/>
            </w:tcBorders>
          </w:tcPr>
          <w:p w14:paraId="493D8DE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-.117</w:t>
            </w:r>
            <w:r w:rsidRPr="00E2014F">
              <w:rPr>
                <w:rFonts w:ascii="Arial" w:hAnsi="Arial" w:cs="Arial"/>
                <w:color w:val="000000"/>
                <w:sz w:val="20"/>
                <w:szCs w:val="20"/>
                <w:vertAlign w:val="superscript"/>
              </w:rPr>
              <w:t>*</w:t>
            </w:r>
          </w:p>
          <w:p w14:paraId="597A40FE"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.019</w:t>
            </w:r>
          </w:p>
        </w:tc>
        <w:tc>
          <w:tcPr>
            <w:tcW w:w="1286" w:type="dxa"/>
            <w:tcBorders>
              <w:top w:val="single" w:sz="4" w:space="0" w:color="auto"/>
            </w:tcBorders>
          </w:tcPr>
          <w:p w14:paraId="421C3B3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-.187</w:t>
            </w:r>
            <w:r w:rsidRPr="00E2014F">
              <w:rPr>
                <w:rFonts w:ascii="Arial" w:hAnsi="Arial" w:cs="Arial"/>
                <w:color w:val="000000"/>
                <w:sz w:val="20"/>
                <w:szCs w:val="20"/>
                <w:vertAlign w:val="superscript"/>
              </w:rPr>
              <w:t>**</w:t>
            </w:r>
          </w:p>
          <w:p w14:paraId="5017CEB8"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.000</w:t>
            </w:r>
          </w:p>
        </w:tc>
        <w:tc>
          <w:tcPr>
            <w:tcW w:w="1320" w:type="dxa"/>
            <w:tcBorders>
              <w:top w:val="single" w:sz="4" w:space="0" w:color="auto"/>
            </w:tcBorders>
          </w:tcPr>
          <w:p w14:paraId="3C6255B7"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-.090</w:t>
            </w:r>
          </w:p>
          <w:p w14:paraId="237F2466"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.071</w:t>
            </w:r>
          </w:p>
        </w:tc>
      </w:tr>
      <w:tr w:rsidR="00E2014F" w:rsidRPr="00E2014F" w14:paraId="4520FB30" w14:textId="77777777" w:rsidTr="00C42D78">
        <w:trPr>
          <w:trHeight w:val="432"/>
        </w:trPr>
        <w:tc>
          <w:tcPr>
            <w:tcW w:w="1510" w:type="dxa"/>
            <w:vAlign w:val="center"/>
          </w:tcPr>
          <w:p w14:paraId="3825D486" w14:textId="77777777" w:rsidR="00E2014F" w:rsidRPr="00E2014F" w:rsidRDefault="00E2014F" w:rsidP="00E2014F">
            <w:pPr>
              <w:spacing w:after="160" w:line="259" w:lineRule="auto"/>
              <w:jc w:val="both"/>
              <w:rPr>
                <w:rFonts w:ascii="Arial" w:hAnsi="Arial" w:cs="Arial"/>
                <w:sz w:val="20"/>
                <w:szCs w:val="20"/>
              </w:rPr>
            </w:pPr>
            <w:r w:rsidRPr="00E2014F">
              <w:rPr>
                <w:rFonts w:ascii="Arial" w:hAnsi="Arial" w:cs="Arial"/>
                <w:sz w:val="20"/>
                <w:szCs w:val="20"/>
              </w:rPr>
              <w:t>Metacognitive</w:t>
            </w:r>
          </w:p>
        </w:tc>
        <w:tc>
          <w:tcPr>
            <w:tcW w:w="1249" w:type="dxa"/>
          </w:tcPr>
          <w:p w14:paraId="1E56D84C"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-.045</w:t>
            </w:r>
          </w:p>
          <w:p w14:paraId="04B49742" w14:textId="77777777" w:rsidR="00E2014F" w:rsidRPr="00E2014F" w:rsidRDefault="00E2014F" w:rsidP="00E2014F">
            <w:pPr>
              <w:autoSpaceDE w:val="0"/>
              <w:autoSpaceDN w:val="0"/>
              <w:adjustRightInd w:val="0"/>
              <w:spacing w:after="120" w:line="320" w:lineRule="atLeast"/>
              <w:ind w:left="60" w:right="60"/>
              <w:jc w:val="center"/>
              <w:rPr>
                <w:rFonts w:ascii="Arial" w:hAnsi="Arial" w:cs="Arial"/>
                <w:color w:val="000000"/>
                <w:sz w:val="20"/>
                <w:szCs w:val="20"/>
              </w:rPr>
            </w:pPr>
            <w:r w:rsidRPr="00E2014F">
              <w:rPr>
                <w:rFonts w:ascii="Arial" w:hAnsi="Arial" w:cs="Arial"/>
                <w:color w:val="000000"/>
                <w:sz w:val="20"/>
                <w:szCs w:val="20"/>
              </w:rPr>
              <w:t>.371</w:t>
            </w:r>
          </w:p>
        </w:tc>
        <w:tc>
          <w:tcPr>
            <w:tcW w:w="1431" w:type="dxa"/>
          </w:tcPr>
          <w:p w14:paraId="1F1B629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-.004</w:t>
            </w:r>
          </w:p>
          <w:p w14:paraId="78A1393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.931</w:t>
            </w:r>
          </w:p>
        </w:tc>
        <w:tc>
          <w:tcPr>
            <w:tcW w:w="1301" w:type="dxa"/>
          </w:tcPr>
          <w:p w14:paraId="5C1D5D21"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-.037</w:t>
            </w:r>
          </w:p>
          <w:p w14:paraId="6D8AACF4"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.455</w:t>
            </w:r>
          </w:p>
        </w:tc>
        <w:tc>
          <w:tcPr>
            <w:tcW w:w="1253" w:type="dxa"/>
          </w:tcPr>
          <w:p w14:paraId="7C19F10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-.132</w:t>
            </w:r>
            <w:r w:rsidRPr="00E2014F">
              <w:rPr>
                <w:rFonts w:ascii="Arial" w:hAnsi="Arial" w:cs="Arial"/>
                <w:color w:val="000000"/>
                <w:sz w:val="20"/>
                <w:szCs w:val="20"/>
                <w:vertAlign w:val="superscript"/>
              </w:rPr>
              <w:t>**</w:t>
            </w:r>
          </w:p>
          <w:p w14:paraId="0A411C20"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.008</w:t>
            </w:r>
          </w:p>
        </w:tc>
        <w:tc>
          <w:tcPr>
            <w:tcW w:w="1286" w:type="dxa"/>
          </w:tcPr>
          <w:p w14:paraId="7EE0A51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-.165</w:t>
            </w:r>
            <w:r w:rsidRPr="00E2014F">
              <w:rPr>
                <w:rFonts w:ascii="Arial" w:hAnsi="Arial" w:cs="Arial"/>
                <w:color w:val="000000"/>
                <w:sz w:val="20"/>
                <w:szCs w:val="20"/>
                <w:vertAlign w:val="superscript"/>
              </w:rPr>
              <w:t>**</w:t>
            </w:r>
          </w:p>
          <w:p w14:paraId="0B2AE077"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.001</w:t>
            </w:r>
          </w:p>
        </w:tc>
        <w:tc>
          <w:tcPr>
            <w:tcW w:w="1320" w:type="dxa"/>
          </w:tcPr>
          <w:p w14:paraId="06F1FF30"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-.101</w:t>
            </w:r>
            <w:r w:rsidRPr="00E2014F">
              <w:rPr>
                <w:rFonts w:ascii="Arial" w:hAnsi="Arial" w:cs="Arial"/>
                <w:b/>
                <w:color w:val="000000"/>
                <w:sz w:val="20"/>
                <w:szCs w:val="20"/>
                <w:vertAlign w:val="superscript"/>
              </w:rPr>
              <w:t>*</w:t>
            </w:r>
          </w:p>
          <w:p w14:paraId="0CD792A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.043</w:t>
            </w:r>
          </w:p>
        </w:tc>
      </w:tr>
      <w:tr w:rsidR="00E2014F" w:rsidRPr="00E2014F" w14:paraId="1B0FD3EC" w14:textId="77777777" w:rsidTr="00C42D78">
        <w:trPr>
          <w:trHeight w:val="432"/>
        </w:trPr>
        <w:tc>
          <w:tcPr>
            <w:tcW w:w="1510" w:type="dxa"/>
            <w:tcBorders>
              <w:bottom w:val="single" w:sz="4" w:space="0" w:color="auto"/>
            </w:tcBorders>
            <w:vAlign w:val="center"/>
          </w:tcPr>
          <w:p w14:paraId="1D512BF8" w14:textId="77777777" w:rsidR="00E2014F" w:rsidRPr="00E2014F" w:rsidRDefault="00E2014F" w:rsidP="00E2014F">
            <w:pPr>
              <w:spacing w:after="160" w:line="259" w:lineRule="auto"/>
              <w:jc w:val="center"/>
              <w:rPr>
                <w:rFonts w:ascii="Arial" w:hAnsi="Arial" w:cs="Arial"/>
                <w:b/>
                <w:sz w:val="20"/>
                <w:szCs w:val="20"/>
              </w:rPr>
            </w:pPr>
            <w:r w:rsidRPr="00E2014F">
              <w:rPr>
                <w:rFonts w:ascii="Arial" w:hAnsi="Arial" w:cs="Arial"/>
                <w:b/>
                <w:sz w:val="20"/>
                <w:szCs w:val="20"/>
              </w:rPr>
              <w:t>Overall</w:t>
            </w:r>
          </w:p>
        </w:tc>
        <w:tc>
          <w:tcPr>
            <w:tcW w:w="1249" w:type="dxa"/>
            <w:tcBorders>
              <w:bottom w:val="single" w:sz="4" w:space="0" w:color="auto"/>
            </w:tcBorders>
          </w:tcPr>
          <w:p w14:paraId="4E10802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-.021</w:t>
            </w:r>
          </w:p>
          <w:p w14:paraId="6A11B880"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.673</w:t>
            </w:r>
          </w:p>
        </w:tc>
        <w:tc>
          <w:tcPr>
            <w:tcW w:w="1431" w:type="dxa"/>
            <w:tcBorders>
              <w:bottom w:val="single" w:sz="4" w:space="0" w:color="auto"/>
            </w:tcBorders>
          </w:tcPr>
          <w:p w14:paraId="44E0004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-.003</w:t>
            </w:r>
          </w:p>
          <w:p w14:paraId="6076C42F"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.947</w:t>
            </w:r>
          </w:p>
        </w:tc>
        <w:tc>
          <w:tcPr>
            <w:tcW w:w="1301" w:type="dxa"/>
            <w:tcBorders>
              <w:bottom w:val="single" w:sz="4" w:space="0" w:color="auto"/>
            </w:tcBorders>
          </w:tcPr>
          <w:p w14:paraId="4751219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-.043</w:t>
            </w:r>
          </w:p>
          <w:p w14:paraId="0E830BAE"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.392</w:t>
            </w:r>
          </w:p>
        </w:tc>
        <w:tc>
          <w:tcPr>
            <w:tcW w:w="1253" w:type="dxa"/>
            <w:tcBorders>
              <w:bottom w:val="single" w:sz="4" w:space="0" w:color="auto"/>
            </w:tcBorders>
          </w:tcPr>
          <w:p w14:paraId="5463D9E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-.136</w:t>
            </w:r>
            <w:r w:rsidRPr="00E2014F">
              <w:rPr>
                <w:rFonts w:ascii="Arial" w:hAnsi="Arial" w:cs="Arial"/>
                <w:b/>
                <w:color w:val="000000"/>
                <w:sz w:val="20"/>
                <w:szCs w:val="20"/>
                <w:vertAlign w:val="superscript"/>
              </w:rPr>
              <w:t>**</w:t>
            </w:r>
          </w:p>
          <w:p w14:paraId="15ABDFB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.007</w:t>
            </w:r>
          </w:p>
        </w:tc>
        <w:tc>
          <w:tcPr>
            <w:tcW w:w="1286" w:type="dxa"/>
            <w:tcBorders>
              <w:bottom w:val="single" w:sz="4" w:space="0" w:color="auto"/>
            </w:tcBorders>
          </w:tcPr>
          <w:p w14:paraId="7DB16289"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-.190</w:t>
            </w:r>
            <w:r w:rsidRPr="00E2014F">
              <w:rPr>
                <w:rFonts w:ascii="Arial" w:hAnsi="Arial" w:cs="Arial"/>
                <w:b/>
                <w:color w:val="000000"/>
                <w:sz w:val="20"/>
                <w:szCs w:val="20"/>
                <w:vertAlign w:val="superscript"/>
              </w:rPr>
              <w:t>**</w:t>
            </w:r>
          </w:p>
          <w:p w14:paraId="191E2EC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.000</w:t>
            </w:r>
          </w:p>
        </w:tc>
        <w:tc>
          <w:tcPr>
            <w:tcW w:w="1320" w:type="dxa"/>
            <w:tcBorders>
              <w:bottom w:val="single" w:sz="4" w:space="0" w:color="auto"/>
            </w:tcBorders>
          </w:tcPr>
          <w:p w14:paraId="35F5A92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-.104</w:t>
            </w:r>
            <w:r w:rsidRPr="00E2014F">
              <w:rPr>
                <w:rFonts w:ascii="Arial" w:hAnsi="Arial" w:cs="Arial"/>
                <w:b/>
                <w:color w:val="000000"/>
                <w:sz w:val="20"/>
                <w:szCs w:val="20"/>
                <w:vertAlign w:val="superscript"/>
              </w:rPr>
              <w:t>*</w:t>
            </w:r>
          </w:p>
          <w:p w14:paraId="2C67896D"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.037</w:t>
            </w:r>
          </w:p>
        </w:tc>
      </w:tr>
    </w:tbl>
    <w:p w14:paraId="029A96B4" w14:textId="77777777" w:rsidR="008D08C6" w:rsidRPr="00D33E3B" w:rsidRDefault="008D08C6" w:rsidP="00D33E3B">
      <w:pPr>
        <w:pStyle w:val="Body"/>
        <w:rPr>
          <w:rFonts w:ascii="Arial" w:hAnsi="Arial" w:cs="Arial"/>
        </w:rPr>
      </w:pPr>
    </w:p>
    <w:p w14:paraId="53E3A81C" w14:textId="0E8B8ADA" w:rsidR="00D33E3B" w:rsidRPr="00D33E3B" w:rsidRDefault="00D33E3B" w:rsidP="00D33E3B">
      <w:pPr>
        <w:pStyle w:val="Body"/>
        <w:rPr>
          <w:rFonts w:ascii="Arial" w:hAnsi="Arial" w:cs="Arial"/>
        </w:rPr>
      </w:pPr>
      <w:r w:rsidRPr="00D33E3B">
        <w:rPr>
          <w:rFonts w:ascii="Arial" w:hAnsi="Arial" w:cs="Arial"/>
        </w:rPr>
        <w:t>The results confirm the findings of Zhang and Wu (</w:t>
      </w:r>
      <w:r w:rsidR="00A6296B">
        <w:rPr>
          <w:rFonts w:ascii="Arial" w:hAnsi="Arial" w:cs="Arial"/>
        </w:rPr>
        <w:t>2009</w:t>
      </w:r>
      <w:r w:rsidRPr="00D33E3B">
        <w:rPr>
          <w:rFonts w:ascii="Arial" w:hAnsi="Arial" w:cs="Arial"/>
        </w:rPr>
        <w:t xml:space="preserve">) and </w:t>
      </w:r>
      <w:proofErr w:type="spellStart"/>
      <w:r w:rsidRPr="00D33E3B">
        <w:rPr>
          <w:rFonts w:ascii="Arial" w:hAnsi="Arial" w:cs="Arial"/>
        </w:rPr>
        <w:t>Pamuji</w:t>
      </w:r>
      <w:proofErr w:type="spellEnd"/>
      <w:r w:rsidRPr="00D33E3B">
        <w:rPr>
          <w:rFonts w:ascii="Arial" w:hAnsi="Arial" w:cs="Arial"/>
        </w:rPr>
        <w:t xml:space="preserve"> et al. (2017) regarding the use of reading strategies, which help students identify and internalize grammatical </w:t>
      </w:r>
      <w:r w:rsidR="0005127F">
        <w:rPr>
          <w:rFonts w:ascii="Arial" w:hAnsi="Arial" w:cs="Arial"/>
        </w:rPr>
        <w:t>competence</w:t>
      </w:r>
      <w:r w:rsidRPr="00D33E3B">
        <w:rPr>
          <w:rFonts w:ascii="Arial" w:hAnsi="Arial" w:cs="Arial"/>
        </w:rPr>
        <w:t xml:space="preserve">, leading to more accurate and appropriate language use. It was found that students who employ metacognitive reading strategies such as predicting, inferring, and monitoring their own comprehension tend to have greater grammatical awareness and stronger language skills. These strategies also enhance awareness and regulation of one’s own learning process. The study by </w:t>
      </w:r>
      <w:proofErr w:type="spellStart"/>
      <w:r w:rsidRPr="00D33E3B">
        <w:rPr>
          <w:rFonts w:ascii="Arial" w:hAnsi="Arial" w:cs="Arial"/>
        </w:rPr>
        <w:t>Pamuji</w:t>
      </w:r>
      <w:proofErr w:type="spellEnd"/>
      <w:r w:rsidRPr="00D33E3B">
        <w:rPr>
          <w:rFonts w:ascii="Arial" w:hAnsi="Arial" w:cs="Arial"/>
        </w:rPr>
        <w:t xml:space="preserve"> et al. (2017) similarly shows that reading aids students in recognizing and internalizing grammatical </w:t>
      </w:r>
      <w:r w:rsidR="0005127F">
        <w:rPr>
          <w:rFonts w:ascii="Arial" w:hAnsi="Arial" w:cs="Arial"/>
        </w:rPr>
        <w:t>competence</w:t>
      </w:r>
      <w:r w:rsidRPr="00D33E3B">
        <w:rPr>
          <w:rFonts w:ascii="Arial" w:hAnsi="Arial" w:cs="Arial"/>
        </w:rPr>
        <w:t>, resulting in more precise and effective language use.</w:t>
      </w:r>
    </w:p>
    <w:p w14:paraId="652E7C8E" w14:textId="6C95BCFE" w:rsidR="00DB5311" w:rsidRPr="00DB5311" w:rsidRDefault="00D33E3B" w:rsidP="00D33E3B">
      <w:pPr>
        <w:pStyle w:val="Body"/>
        <w:rPr>
          <w:rFonts w:ascii="Arial" w:hAnsi="Arial" w:cs="Arial"/>
        </w:rPr>
      </w:pPr>
      <w:r w:rsidRPr="00D33E3B">
        <w:rPr>
          <w:rFonts w:ascii="Arial" w:hAnsi="Arial" w:cs="Arial"/>
        </w:rPr>
        <w:t xml:space="preserve">The findings are further supported by the study of Siregar et al. (2020), which examined the relationship between the use of reading strategies and students’ reading comprehension. It revealed that even though students use various reading strategies, these have little effect on their ability to understand texts, as indicated by the very weak correlation (r = 0.033). This suggests that merely using reading strategies is not sufficient to improve comprehension, nor does it necessarily enhance grammatical competence. This could be due to a lack of grammatical </w:t>
      </w:r>
      <w:r w:rsidR="0063741A">
        <w:rPr>
          <w:rFonts w:ascii="Arial" w:hAnsi="Arial" w:cs="Arial"/>
        </w:rPr>
        <w:t>competence</w:t>
      </w:r>
      <w:r w:rsidRPr="00D33E3B">
        <w:rPr>
          <w:rFonts w:ascii="Arial" w:hAnsi="Arial" w:cs="Arial"/>
        </w:rPr>
        <w:t xml:space="preserve"> or the incorrect use of strategies. The study shows that a higher use of reading strategies does not always lead to better outcomes, especially if not supported by a solid linguistic foundation.</w:t>
      </w:r>
    </w:p>
    <w:p w14:paraId="36B9E30B" w14:textId="0E86D9BE" w:rsidR="00D33E3B" w:rsidRPr="00D33E3B" w:rsidRDefault="00D33E3B" w:rsidP="00D33E3B">
      <w:pPr>
        <w:pStyle w:val="Body"/>
        <w:rPr>
          <w:rFonts w:ascii="Arial" w:hAnsi="Arial" w:cs="Arial"/>
        </w:rPr>
      </w:pPr>
      <w:r w:rsidRPr="00D33E3B">
        <w:rPr>
          <w:rFonts w:ascii="Arial" w:hAnsi="Arial" w:cs="Arial"/>
        </w:rPr>
        <w:lastRenderedPageBreak/>
        <w:t>Three models were developed to determine the most optimal model for students’ grammatical competence. These models were evaluated using the provided fit indices, which served as the basis for accepting or rejecting the model.</w:t>
      </w:r>
    </w:p>
    <w:p w14:paraId="27B2C2F8" w14:textId="738124E0" w:rsidR="00D33E3B" w:rsidRDefault="00D33E3B" w:rsidP="00D33E3B">
      <w:pPr>
        <w:pStyle w:val="Body"/>
        <w:rPr>
          <w:rFonts w:ascii="Arial" w:hAnsi="Arial" w:cs="Arial"/>
        </w:rPr>
      </w:pPr>
      <w:r w:rsidRPr="00D33E3B">
        <w:rPr>
          <w:rFonts w:ascii="Arial" w:hAnsi="Arial" w:cs="Arial"/>
        </w:rPr>
        <w:t xml:space="preserve">Table 8 presents the results of the goodness-of-fit measures for the three developed models. According to the results, all model fit values successfully met the standards set for each index: CMIN/DF &lt; 2; GFI, CFI, NFI, and TLI &gt; 0.95; and RMSEA &lt; 0.05 with P-Close &gt; 0.05. These outcomes align with the established criteria, which emphasize that the CMIN/DF should be below 2, and the Tucker-Lewis Index (TLI), Comparative Fit Index (CFI), Normed Fit Index (NFI), and Goodness of Fit Index (GFI) should all exceed 0.95 (Arbuckle &amp; </w:t>
      </w:r>
      <w:proofErr w:type="spellStart"/>
      <w:r w:rsidRPr="00D33E3B">
        <w:rPr>
          <w:rFonts w:ascii="Arial" w:hAnsi="Arial" w:cs="Arial"/>
        </w:rPr>
        <w:t>Wothke</w:t>
      </w:r>
      <w:proofErr w:type="spellEnd"/>
      <w:r w:rsidRPr="00D33E3B">
        <w:rPr>
          <w:rFonts w:ascii="Arial" w:hAnsi="Arial" w:cs="Arial"/>
        </w:rPr>
        <w:t>, p. 115). Moreover, the values of RMSEA and P-Close are supported by benchmarks showing that 0.01, 0.05, and 0.08 represent excellent, good, and moderate fit, respectively, with P-Close values greater than 0.05 (Browne &amp; Sugawara</w:t>
      </w:r>
      <w:r w:rsidR="00A6296B">
        <w:rPr>
          <w:rFonts w:ascii="Arial" w:hAnsi="Arial" w:cs="Arial"/>
        </w:rPr>
        <w:t>,1996</w:t>
      </w:r>
      <w:r w:rsidRPr="00D33E3B">
        <w:rPr>
          <w:rFonts w:ascii="Arial" w:hAnsi="Arial" w:cs="Arial"/>
        </w:rPr>
        <w:t>).</w:t>
      </w:r>
    </w:p>
    <w:p w14:paraId="37A3E0EC" w14:textId="6E9B71E6" w:rsidR="00F456B3" w:rsidRPr="00D33E3B" w:rsidRDefault="00F456B3" w:rsidP="00D33E3B">
      <w:pPr>
        <w:pStyle w:val="Body"/>
        <w:rPr>
          <w:rFonts w:ascii="Arial" w:hAnsi="Arial" w:cs="Arial"/>
        </w:rPr>
      </w:pPr>
      <w:r w:rsidRPr="00F456B3">
        <w:rPr>
          <w:rFonts w:ascii="Arial" w:hAnsi="Arial" w:cs="Arial"/>
        </w:rPr>
        <w:t>Based on the summary in Table 8, structural model 1 shows that the exogenous variables such as language exposure, language learning, and reading strategies do not significantly explain the students’ grammatical competence, as the P-value exceeds 0.05.</w:t>
      </w:r>
    </w:p>
    <w:p w14:paraId="1255C867" w14:textId="77777777" w:rsidR="007E5514" w:rsidRPr="007E5514" w:rsidRDefault="007E5514" w:rsidP="007E5514">
      <w:pPr>
        <w:pStyle w:val="Body"/>
        <w:contextualSpacing/>
        <w:rPr>
          <w:rFonts w:ascii="Arial" w:hAnsi="Arial" w:cs="Arial"/>
          <w:b/>
          <w:lang w:val="en-PH"/>
        </w:rPr>
      </w:pPr>
      <w:r w:rsidRPr="007E5514">
        <w:rPr>
          <w:rFonts w:ascii="Arial" w:hAnsi="Arial" w:cs="Arial"/>
          <w:b/>
          <w:lang w:val="en-PH"/>
        </w:rPr>
        <w:t>Table 8</w:t>
      </w:r>
    </w:p>
    <w:p w14:paraId="7FF5D00F" w14:textId="77777777" w:rsidR="007E5514" w:rsidRPr="007E5514" w:rsidRDefault="007E5514" w:rsidP="007E5514">
      <w:pPr>
        <w:pStyle w:val="Body"/>
        <w:contextualSpacing/>
        <w:rPr>
          <w:rFonts w:ascii="Arial" w:hAnsi="Arial" w:cs="Arial"/>
          <w:b/>
          <w:lang w:val="en-PH"/>
        </w:rPr>
      </w:pPr>
      <w:r w:rsidRPr="007E5514">
        <w:rPr>
          <w:rFonts w:ascii="Arial" w:hAnsi="Arial" w:cs="Arial"/>
          <w:i/>
          <w:lang w:val="en-PH"/>
        </w:rPr>
        <w:t>Summary of Goodness of Fit Measures of the Three Developed Models</w:t>
      </w:r>
    </w:p>
    <w:tbl>
      <w:tblPr>
        <w:tblW w:w="8499" w:type="dxa"/>
        <w:tblLayout w:type="fixed"/>
        <w:tblLook w:val="04A0" w:firstRow="1" w:lastRow="0" w:firstColumn="1" w:lastColumn="0" w:noHBand="0" w:noVBand="1"/>
      </w:tblPr>
      <w:tblGrid>
        <w:gridCol w:w="882"/>
        <w:gridCol w:w="1134"/>
        <w:gridCol w:w="1136"/>
        <w:gridCol w:w="825"/>
        <w:gridCol w:w="874"/>
        <w:gridCol w:w="875"/>
        <w:gridCol w:w="875"/>
        <w:gridCol w:w="962"/>
        <w:gridCol w:w="936"/>
      </w:tblGrid>
      <w:tr w:rsidR="007E5514" w:rsidRPr="007E5514" w14:paraId="0D294DF5" w14:textId="77777777" w:rsidTr="007E5514">
        <w:trPr>
          <w:trHeight w:val="1132"/>
        </w:trPr>
        <w:tc>
          <w:tcPr>
            <w:tcW w:w="882" w:type="dxa"/>
            <w:tcBorders>
              <w:top w:val="single" w:sz="4" w:space="0" w:color="auto"/>
              <w:bottom w:val="single" w:sz="4" w:space="0" w:color="auto"/>
            </w:tcBorders>
            <w:shd w:val="clear" w:color="auto" w:fill="auto"/>
          </w:tcPr>
          <w:p w14:paraId="143BDBF1" w14:textId="77777777" w:rsidR="007E5514" w:rsidRPr="007E5514" w:rsidRDefault="007E5514" w:rsidP="007E5514">
            <w:pPr>
              <w:pStyle w:val="Body"/>
              <w:rPr>
                <w:rFonts w:ascii="Arial" w:hAnsi="Arial" w:cs="Arial"/>
                <w:b/>
                <w:lang w:val="en-PH"/>
              </w:rPr>
            </w:pPr>
          </w:p>
          <w:p w14:paraId="57717634" w14:textId="77777777" w:rsidR="007E5514" w:rsidRPr="007E5514" w:rsidRDefault="007E5514" w:rsidP="007E5514">
            <w:pPr>
              <w:pStyle w:val="Body"/>
              <w:rPr>
                <w:rFonts w:ascii="Arial" w:hAnsi="Arial" w:cs="Arial"/>
                <w:b/>
                <w:lang w:val="en-PH"/>
              </w:rPr>
            </w:pPr>
            <w:r w:rsidRPr="007E5514">
              <w:rPr>
                <w:rFonts w:ascii="Arial" w:hAnsi="Arial" w:cs="Arial"/>
                <w:b/>
                <w:lang w:val="en-PH"/>
              </w:rPr>
              <w:t>Model</w:t>
            </w:r>
          </w:p>
        </w:tc>
        <w:tc>
          <w:tcPr>
            <w:tcW w:w="1134" w:type="dxa"/>
            <w:tcBorders>
              <w:top w:val="single" w:sz="4" w:space="0" w:color="auto"/>
              <w:bottom w:val="single" w:sz="4" w:space="0" w:color="auto"/>
            </w:tcBorders>
            <w:shd w:val="clear" w:color="auto" w:fill="auto"/>
          </w:tcPr>
          <w:p w14:paraId="36D097EF" w14:textId="77777777" w:rsidR="007E5514" w:rsidRPr="007E5514" w:rsidRDefault="007E5514" w:rsidP="007E5514">
            <w:pPr>
              <w:pStyle w:val="Body"/>
              <w:rPr>
                <w:rFonts w:ascii="Arial" w:hAnsi="Arial" w:cs="Arial"/>
                <w:b/>
                <w:lang w:val="en-PH"/>
              </w:rPr>
            </w:pPr>
            <w:r w:rsidRPr="007E5514">
              <w:rPr>
                <w:rFonts w:ascii="Arial" w:hAnsi="Arial" w:cs="Arial"/>
                <w:b/>
                <w:lang w:val="en-PH"/>
              </w:rPr>
              <w:t>P-value</w:t>
            </w:r>
          </w:p>
          <w:p w14:paraId="7B618D01" w14:textId="77777777" w:rsidR="007E5514" w:rsidRPr="007E5514" w:rsidRDefault="007E5514" w:rsidP="007E5514">
            <w:pPr>
              <w:pStyle w:val="Body"/>
              <w:rPr>
                <w:rFonts w:ascii="Arial" w:hAnsi="Arial" w:cs="Arial"/>
                <w:b/>
                <w:lang w:val="en-PH"/>
              </w:rPr>
            </w:pPr>
            <w:r w:rsidRPr="007E5514">
              <w:rPr>
                <w:rFonts w:ascii="Arial" w:hAnsi="Arial" w:cs="Arial"/>
                <w:b/>
                <w:lang w:val="en-PH"/>
              </w:rPr>
              <w:t>(&gt;0.05)</w:t>
            </w:r>
          </w:p>
        </w:tc>
        <w:tc>
          <w:tcPr>
            <w:tcW w:w="1136" w:type="dxa"/>
            <w:tcBorders>
              <w:top w:val="single" w:sz="4" w:space="0" w:color="auto"/>
              <w:bottom w:val="single" w:sz="4" w:space="0" w:color="auto"/>
            </w:tcBorders>
            <w:shd w:val="clear" w:color="auto" w:fill="auto"/>
          </w:tcPr>
          <w:p w14:paraId="686B4FC1" w14:textId="77777777" w:rsidR="007E5514" w:rsidRPr="007E5514" w:rsidRDefault="007E5514" w:rsidP="007E5514">
            <w:pPr>
              <w:pStyle w:val="Body"/>
              <w:rPr>
                <w:rFonts w:ascii="Arial" w:hAnsi="Arial" w:cs="Arial"/>
                <w:b/>
                <w:lang w:val="en-PH"/>
              </w:rPr>
            </w:pPr>
            <w:r w:rsidRPr="007E5514">
              <w:rPr>
                <w:rFonts w:ascii="Arial" w:hAnsi="Arial" w:cs="Arial"/>
                <w:b/>
                <w:lang w:val="en-PH"/>
              </w:rPr>
              <w:t>CMIN / DF</w:t>
            </w:r>
          </w:p>
          <w:p w14:paraId="77DF8AA2" w14:textId="77777777" w:rsidR="007E5514" w:rsidRPr="007E5514" w:rsidRDefault="007E5514" w:rsidP="007E5514">
            <w:pPr>
              <w:pStyle w:val="Body"/>
              <w:rPr>
                <w:rFonts w:ascii="Arial" w:hAnsi="Arial" w:cs="Arial"/>
                <w:b/>
                <w:lang w:val="en-PH"/>
              </w:rPr>
            </w:pPr>
            <w:r w:rsidRPr="007E5514">
              <w:rPr>
                <w:rFonts w:ascii="Arial" w:hAnsi="Arial" w:cs="Arial"/>
                <w:b/>
                <w:lang w:val="en-PH"/>
              </w:rPr>
              <w:t>(0&lt;value&lt;2)</w:t>
            </w:r>
          </w:p>
        </w:tc>
        <w:tc>
          <w:tcPr>
            <w:tcW w:w="825" w:type="dxa"/>
            <w:tcBorders>
              <w:top w:val="single" w:sz="4" w:space="0" w:color="auto"/>
              <w:bottom w:val="single" w:sz="4" w:space="0" w:color="auto"/>
            </w:tcBorders>
            <w:shd w:val="clear" w:color="auto" w:fill="auto"/>
          </w:tcPr>
          <w:p w14:paraId="55D65BCA" w14:textId="77777777" w:rsidR="007E5514" w:rsidRPr="007E5514" w:rsidRDefault="007E5514" w:rsidP="007E5514">
            <w:pPr>
              <w:pStyle w:val="Body"/>
              <w:rPr>
                <w:rFonts w:ascii="Arial" w:hAnsi="Arial" w:cs="Arial"/>
                <w:b/>
                <w:lang w:val="en-PH"/>
              </w:rPr>
            </w:pPr>
            <w:r w:rsidRPr="007E5514">
              <w:rPr>
                <w:rFonts w:ascii="Arial" w:hAnsi="Arial" w:cs="Arial"/>
                <w:b/>
                <w:lang w:val="en-PH"/>
              </w:rPr>
              <w:t>GFI</w:t>
            </w:r>
          </w:p>
          <w:p w14:paraId="1B8C46CD"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874" w:type="dxa"/>
            <w:tcBorders>
              <w:top w:val="single" w:sz="4" w:space="0" w:color="auto"/>
              <w:bottom w:val="single" w:sz="4" w:space="0" w:color="auto"/>
            </w:tcBorders>
            <w:shd w:val="clear" w:color="auto" w:fill="auto"/>
          </w:tcPr>
          <w:p w14:paraId="6F84E7F5" w14:textId="77777777" w:rsidR="007E5514" w:rsidRPr="007E5514" w:rsidRDefault="007E5514" w:rsidP="007E5514">
            <w:pPr>
              <w:pStyle w:val="Body"/>
              <w:rPr>
                <w:rFonts w:ascii="Arial" w:hAnsi="Arial" w:cs="Arial"/>
                <w:b/>
                <w:lang w:val="en-PH"/>
              </w:rPr>
            </w:pPr>
            <w:r w:rsidRPr="007E5514">
              <w:rPr>
                <w:rFonts w:ascii="Arial" w:hAnsi="Arial" w:cs="Arial"/>
                <w:b/>
                <w:lang w:val="en-PH"/>
              </w:rPr>
              <w:t>CFI</w:t>
            </w:r>
          </w:p>
          <w:p w14:paraId="58C398C4"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875" w:type="dxa"/>
            <w:tcBorders>
              <w:top w:val="single" w:sz="4" w:space="0" w:color="auto"/>
              <w:bottom w:val="single" w:sz="4" w:space="0" w:color="auto"/>
            </w:tcBorders>
            <w:shd w:val="clear" w:color="auto" w:fill="auto"/>
          </w:tcPr>
          <w:p w14:paraId="62C86D4B" w14:textId="77777777" w:rsidR="007E5514" w:rsidRPr="007E5514" w:rsidRDefault="007E5514" w:rsidP="007E5514">
            <w:pPr>
              <w:pStyle w:val="Body"/>
              <w:rPr>
                <w:rFonts w:ascii="Arial" w:hAnsi="Arial" w:cs="Arial"/>
                <w:b/>
                <w:lang w:val="en-PH"/>
              </w:rPr>
            </w:pPr>
            <w:r w:rsidRPr="007E5514">
              <w:rPr>
                <w:rFonts w:ascii="Arial" w:hAnsi="Arial" w:cs="Arial"/>
                <w:b/>
                <w:lang w:val="en-PH"/>
              </w:rPr>
              <w:t>NFI</w:t>
            </w:r>
          </w:p>
          <w:p w14:paraId="3E15CB22"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875" w:type="dxa"/>
            <w:tcBorders>
              <w:top w:val="single" w:sz="4" w:space="0" w:color="auto"/>
              <w:bottom w:val="single" w:sz="4" w:space="0" w:color="auto"/>
            </w:tcBorders>
            <w:shd w:val="clear" w:color="auto" w:fill="auto"/>
          </w:tcPr>
          <w:p w14:paraId="651EBEFA" w14:textId="77777777" w:rsidR="007E5514" w:rsidRPr="007E5514" w:rsidRDefault="007E5514" w:rsidP="007E5514">
            <w:pPr>
              <w:pStyle w:val="Body"/>
              <w:rPr>
                <w:rFonts w:ascii="Arial" w:hAnsi="Arial" w:cs="Arial"/>
                <w:b/>
                <w:lang w:val="en-PH"/>
              </w:rPr>
            </w:pPr>
            <w:r w:rsidRPr="007E5514">
              <w:rPr>
                <w:rFonts w:ascii="Arial" w:hAnsi="Arial" w:cs="Arial"/>
                <w:b/>
                <w:lang w:val="en-PH"/>
              </w:rPr>
              <w:t>TLI</w:t>
            </w:r>
          </w:p>
          <w:p w14:paraId="67915EAD"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962" w:type="dxa"/>
            <w:tcBorders>
              <w:top w:val="single" w:sz="4" w:space="0" w:color="auto"/>
              <w:bottom w:val="single" w:sz="4" w:space="0" w:color="auto"/>
            </w:tcBorders>
            <w:shd w:val="clear" w:color="auto" w:fill="auto"/>
          </w:tcPr>
          <w:p w14:paraId="4EE9F53A" w14:textId="77777777" w:rsidR="007E5514" w:rsidRPr="007E5514" w:rsidRDefault="007E5514" w:rsidP="007E5514">
            <w:pPr>
              <w:pStyle w:val="Body"/>
              <w:rPr>
                <w:rFonts w:ascii="Arial" w:hAnsi="Arial" w:cs="Arial"/>
                <w:b/>
                <w:lang w:val="en-PH"/>
              </w:rPr>
            </w:pPr>
            <w:r w:rsidRPr="007E5514">
              <w:rPr>
                <w:rFonts w:ascii="Arial" w:hAnsi="Arial" w:cs="Arial"/>
                <w:b/>
                <w:lang w:val="en-PH"/>
              </w:rPr>
              <w:t>RMSEA</w:t>
            </w:r>
          </w:p>
          <w:p w14:paraId="00719EDF" w14:textId="77777777" w:rsidR="007E5514" w:rsidRPr="007E5514" w:rsidRDefault="007E5514" w:rsidP="007E5514">
            <w:pPr>
              <w:pStyle w:val="Body"/>
              <w:rPr>
                <w:rFonts w:ascii="Arial" w:hAnsi="Arial" w:cs="Arial"/>
                <w:b/>
                <w:lang w:val="en-PH"/>
              </w:rPr>
            </w:pPr>
            <w:r w:rsidRPr="007E5514">
              <w:rPr>
                <w:rFonts w:ascii="Arial" w:hAnsi="Arial" w:cs="Arial"/>
                <w:b/>
                <w:lang w:val="en-PH"/>
              </w:rPr>
              <w:t>(&lt;0.05)</w:t>
            </w:r>
          </w:p>
        </w:tc>
        <w:tc>
          <w:tcPr>
            <w:tcW w:w="936" w:type="dxa"/>
            <w:tcBorders>
              <w:top w:val="single" w:sz="4" w:space="0" w:color="auto"/>
              <w:bottom w:val="single" w:sz="4" w:space="0" w:color="auto"/>
            </w:tcBorders>
            <w:shd w:val="clear" w:color="auto" w:fill="auto"/>
          </w:tcPr>
          <w:p w14:paraId="21E87A99" w14:textId="77777777" w:rsidR="007E5514" w:rsidRPr="007E5514" w:rsidRDefault="007E5514" w:rsidP="007E5514">
            <w:pPr>
              <w:pStyle w:val="Body"/>
              <w:rPr>
                <w:rFonts w:ascii="Arial" w:hAnsi="Arial" w:cs="Arial"/>
                <w:b/>
                <w:lang w:val="en-PH"/>
              </w:rPr>
            </w:pPr>
            <w:r w:rsidRPr="007E5514">
              <w:rPr>
                <w:rFonts w:ascii="Arial" w:hAnsi="Arial" w:cs="Arial"/>
                <w:b/>
                <w:lang w:val="en-PH"/>
              </w:rPr>
              <w:t>P-close</w:t>
            </w:r>
          </w:p>
          <w:p w14:paraId="6EB41227" w14:textId="77777777" w:rsidR="007E5514" w:rsidRPr="007E5514" w:rsidRDefault="007E5514" w:rsidP="007E5514">
            <w:pPr>
              <w:pStyle w:val="Body"/>
              <w:rPr>
                <w:rFonts w:ascii="Arial" w:hAnsi="Arial" w:cs="Arial"/>
                <w:b/>
                <w:lang w:val="en-PH"/>
              </w:rPr>
            </w:pPr>
            <w:r w:rsidRPr="007E5514">
              <w:rPr>
                <w:rFonts w:ascii="Arial" w:hAnsi="Arial" w:cs="Arial"/>
                <w:b/>
                <w:lang w:val="en-PH"/>
              </w:rPr>
              <w:t>(&gt;0.05)</w:t>
            </w:r>
          </w:p>
        </w:tc>
      </w:tr>
      <w:tr w:rsidR="007E5514" w:rsidRPr="007E5514" w14:paraId="439EFEA3" w14:textId="77777777" w:rsidTr="007E5514">
        <w:trPr>
          <w:trHeight w:val="7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04A05B8B" w14:textId="77777777" w:rsidR="007E5514" w:rsidRPr="007E5514" w:rsidRDefault="007E5514" w:rsidP="007E5514">
            <w:pPr>
              <w:pStyle w:val="Body"/>
              <w:rPr>
                <w:rFonts w:ascii="Arial" w:hAnsi="Arial" w:cs="Arial"/>
                <w:lang w:val="en-PH"/>
              </w:rPr>
            </w:pPr>
          </w:p>
          <w:p w14:paraId="16E48511" w14:textId="77777777" w:rsidR="007E5514" w:rsidRPr="007E5514" w:rsidRDefault="007E5514" w:rsidP="007E5514">
            <w:pPr>
              <w:pStyle w:val="Body"/>
              <w:rPr>
                <w:rFonts w:ascii="Arial" w:hAnsi="Arial" w:cs="Arial"/>
                <w:lang w:val="en-PH"/>
              </w:rPr>
            </w:pPr>
            <w:r w:rsidRPr="007E5514">
              <w:rPr>
                <w:rFonts w:ascii="Arial" w:hAnsi="Arial" w:cs="Arial"/>
                <w:lang w:val="en-PH"/>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19F09"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FCF0F83" w14:textId="77777777" w:rsidR="007E5514" w:rsidRPr="007E5514" w:rsidRDefault="007E5514" w:rsidP="007E5514">
            <w:pPr>
              <w:pStyle w:val="Body"/>
              <w:rPr>
                <w:rFonts w:ascii="Arial" w:hAnsi="Arial" w:cs="Arial"/>
                <w:lang w:val="en-PH"/>
              </w:rPr>
            </w:pPr>
            <w:r w:rsidRPr="007E5514">
              <w:rPr>
                <w:rFonts w:ascii="Arial" w:hAnsi="Arial" w:cs="Arial"/>
                <w:lang w:val="en-PH"/>
              </w:rPr>
              <w:t>9.347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592D600" w14:textId="77777777" w:rsidR="007E5514" w:rsidRPr="007E5514" w:rsidRDefault="007E5514" w:rsidP="007E5514">
            <w:pPr>
              <w:pStyle w:val="Body"/>
              <w:rPr>
                <w:rFonts w:ascii="Arial" w:hAnsi="Arial" w:cs="Arial"/>
                <w:lang w:val="en-PH"/>
              </w:rPr>
            </w:pPr>
            <w:r w:rsidRPr="007E5514">
              <w:rPr>
                <w:rFonts w:ascii="Arial" w:hAnsi="Arial" w:cs="Arial"/>
                <w:lang w:val="en-PH"/>
              </w:rPr>
              <w:t>.795</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D28ADCB" w14:textId="77777777" w:rsidR="007E5514" w:rsidRPr="007E5514" w:rsidRDefault="007E5514" w:rsidP="007E5514">
            <w:pPr>
              <w:pStyle w:val="Body"/>
              <w:rPr>
                <w:rFonts w:ascii="Arial" w:hAnsi="Arial" w:cs="Arial"/>
                <w:lang w:val="en-PH"/>
              </w:rPr>
            </w:pPr>
            <w:r w:rsidRPr="007E5514">
              <w:rPr>
                <w:rFonts w:ascii="Arial" w:hAnsi="Arial" w:cs="Arial"/>
                <w:lang w:val="en-PH"/>
              </w:rPr>
              <w:t>.796</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CA01EE3" w14:textId="77777777" w:rsidR="007E5514" w:rsidRPr="007E5514" w:rsidRDefault="007E5514" w:rsidP="007E5514">
            <w:pPr>
              <w:pStyle w:val="Body"/>
              <w:rPr>
                <w:rFonts w:ascii="Arial" w:hAnsi="Arial" w:cs="Arial"/>
                <w:lang w:val="en-PH"/>
              </w:rPr>
            </w:pPr>
            <w:r w:rsidRPr="007E5514">
              <w:rPr>
                <w:rFonts w:ascii="Arial" w:hAnsi="Arial" w:cs="Arial"/>
                <w:lang w:val="en-PH"/>
              </w:rPr>
              <w:t>.778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5CDB1A6" w14:textId="77777777" w:rsidR="007E5514" w:rsidRPr="007E5514" w:rsidRDefault="007E5514" w:rsidP="007E5514">
            <w:pPr>
              <w:pStyle w:val="Body"/>
              <w:rPr>
                <w:rFonts w:ascii="Arial" w:hAnsi="Arial" w:cs="Arial"/>
                <w:lang w:val="en-PH"/>
              </w:rPr>
            </w:pPr>
            <w:r w:rsidRPr="007E5514">
              <w:rPr>
                <w:rFonts w:ascii="Arial" w:hAnsi="Arial" w:cs="Arial"/>
                <w:lang w:val="en-PH"/>
              </w:rPr>
              <w:t>.753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F24F637" w14:textId="77777777" w:rsidR="007E5514" w:rsidRPr="007E5514" w:rsidRDefault="007E5514" w:rsidP="007E5514">
            <w:pPr>
              <w:pStyle w:val="Body"/>
              <w:rPr>
                <w:rFonts w:ascii="Arial" w:hAnsi="Arial" w:cs="Arial"/>
                <w:lang w:val="en-PH"/>
              </w:rPr>
            </w:pPr>
            <w:r w:rsidRPr="007E5514">
              <w:rPr>
                <w:rFonts w:ascii="Arial" w:hAnsi="Arial" w:cs="Arial"/>
                <w:lang w:val="en-PH"/>
              </w:rPr>
              <w:t>.145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18064558"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r>
      <w:tr w:rsidR="007E5514" w:rsidRPr="007E5514" w14:paraId="6FD50C6D" w14:textId="77777777" w:rsidTr="007E5514">
        <w:trPr>
          <w:trHeight w:val="7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459B797F" w14:textId="77777777" w:rsidR="007E5514" w:rsidRPr="007E5514" w:rsidRDefault="007E5514" w:rsidP="007E5514">
            <w:pPr>
              <w:pStyle w:val="Body"/>
              <w:rPr>
                <w:rFonts w:ascii="Arial" w:hAnsi="Arial" w:cs="Arial"/>
                <w:lang w:val="en-PH"/>
              </w:rPr>
            </w:pPr>
            <w:r w:rsidRPr="007E5514">
              <w:rPr>
                <w:rFonts w:ascii="Arial" w:hAnsi="Arial" w:cs="Arial"/>
                <w:lang w:val="en-PH"/>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90E582"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9C1AD67" w14:textId="77777777" w:rsidR="007E5514" w:rsidRPr="007E5514" w:rsidRDefault="007E5514" w:rsidP="007E5514">
            <w:pPr>
              <w:pStyle w:val="Body"/>
              <w:rPr>
                <w:rFonts w:ascii="Arial" w:hAnsi="Arial" w:cs="Arial"/>
                <w:lang w:val="en-PH"/>
              </w:rPr>
            </w:pPr>
            <w:r w:rsidRPr="007E5514">
              <w:rPr>
                <w:rFonts w:ascii="Arial" w:hAnsi="Arial" w:cs="Arial"/>
                <w:lang w:val="en-PH"/>
              </w:rPr>
              <w:t>4.790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62627F4" w14:textId="77777777" w:rsidR="007E5514" w:rsidRPr="007E5514" w:rsidRDefault="007E5514" w:rsidP="007E5514">
            <w:pPr>
              <w:pStyle w:val="Body"/>
              <w:rPr>
                <w:rFonts w:ascii="Arial" w:hAnsi="Arial" w:cs="Arial"/>
                <w:lang w:val="en-PH"/>
              </w:rPr>
            </w:pPr>
            <w:r w:rsidRPr="007E5514">
              <w:rPr>
                <w:rFonts w:ascii="Arial" w:hAnsi="Arial" w:cs="Arial"/>
                <w:lang w:val="en-PH"/>
              </w:rPr>
              <w:t>.889</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0D785D2" w14:textId="77777777" w:rsidR="007E5514" w:rsidRPr="007E5514" w:rsidRDefault="007E5514" w:rsidP="007E5514">
            <w:pPr>
              <w:pStyle w:val="Body"/>
              <w:rPr>
                <w:rFonts w:ascii="Arial" w:hAnsi="Arial" w:cs="Arial"/>
                <w:lang w:val="en-PH"/>
              </w:rPr>
            </w:pPr>
            <w:r w:rsidRPr="007E5514">
              <w:rPr>
                <w:rFonts w:ascii="Arial" w:hAnsi="Arial" w:cs="Arial"/>
                <w:lang w:val="en-PH"/>
              </w:rPr>
              <w:t>.909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7359C63" w14:textId="77777777" w:rsidR="007E5514" w:rsidRPr="007E5514" w:rsidRDefault="007E5514" w:rsidP="007E5514">
            <w:pPr>
              <w:pStyle w:val="Body"/>
              <w:rPr>
                <w:rFonts w:ascii="Arial" w:hAnsi="Arial" w:cs="Arial"/>
                <w:lang w:val="en-PH"/>
              </w:rPr>
            </w:pPr>
            <w:r w:rsidRPr="007E5514">
              <w:rPr>
                <w:rFonts w:ascii="Arial" w:hAnsi="Arial" w:cs="Arial"/>
                <w:lang w:val="en-PH"/>
              </w:rPr>
              <w:t>.889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4EBD464D" w14:textId="77777777" w:rsidR="007E5514" w:rsidRPr="007E5514" w:rsidRDefault="007E5514" w:rsidP="007E5514">
            <w:pPr>
              <w:pStyle w:val="Body"/>
              <w:rPr>
                <w:rFonts w:ascii="Arial" w:hAnsi="Arial" w:cs="Arial"/>
                <w:lang w:val="en-PH"/>
              </w:rPr>
            </w:pPr>
            <w:r w:rsidRPr="007E5514">
              <w:rPr>
                <w:rFonts w:ascii="Arial" w:hAnsi="Arial" w:cs="Arial"/>
                <w:lang w:val="en-PH"/>
              </w:rPr>
              <w:t>.888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E3EC4A0" w14:textId="77777777" w:rsidR="007E5514" w:rsidRPr="007E5514" w:rsidRDefault="007E5514" w:rsidP="007E5514">
            <w:pPr>
              <w:pStyle w:val="Body"/>
              <w:rPr>
                <w:rFonts w:ascii="Arial" w:hAnsi="Arial" w:cs="Arial"/>
                <w:lang w:val="en-PH"/>
              </w:rPr>
            </w:pPr>
            <w:r w:rsidRPr="007E5514">
              <w:rPr>
                <w:rFonts w:ascii="Arial" w:hAnsi="Arial" w:cs="Arial"/>
                <w:lang w:val="en-PH"/>
              </w:rPr>
              <w:t>.097</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90A00FF"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r>
      <w:tr w:rsidR="007E5514" w:rsidRPr="007E5514" w14:paraId="3346148C" w14:textId="77777777" w:rsidTr="007E5514">
        <w:trPr>
          <w:trHeight w:val="700"/>
        </w:trPr>
        <w:tc>
          <w:tcPr>
            <w:tcW w:w="882" w:type="dxa"/>
            <w:tcBorders>
              <w:top w:val="single" w:sz="4" w:space="0" w:color="auto"/>
              <w:left w:val="single" w:sz="4" w:space="0" w:color="auto"/>
              <w:bottom w:val="single" w:sz="4" w:space="0" w:color="auto"/>
              <w:right w:val="single" w:sz="4" w:space="0" w:color="auto"/>
            </w:tcBorders>
            <w:shd w:val="clear" w:color="auto" w:fill="F7CAAC"/>
            <w:vAlign w:val="center"/>
          </w:tcPr>
          <w:p w14:paraId="5B4AB0F9" w14:textId="77777777" w:rsidR="007E5514" w:rsidRPr="007E5514" w:rsidRDefault="007E5514" w:rsidP="007E5514">
            <w:pPr>
              <w:pStyle w:val="Body"/>
              <w:rPr>
                <w:rFonts w:ascii="Arial" w:hAnsi="Arial" w:cs="Arial"/>
                <w:lang w:val="en-PH"/>
              </w:rPr>
            </w:pPr>
            <w:r w:rsidRPr="007E5514">
              <w:rPr>
                <w:rFonts w:ascii="Arial" w:hAnsi="Arial" w:cs="Arial"/>
                <w:lang w:val="en-PH"/>
              </w:rPr>
              <w:t>3</w:t>
            </w:r>
          </w:p>
        </w:tc>
        <w:tc>
          <w:tcPr>
            <w:tcW w:w="1134" w:type="dxa"/>
            <w:tcBorders>
              <w:top w:val="single" w:sz="4" w:space="0" w:color="auto"/>
              <w:left w:val="single" w:sz="4" w:space="0" w:color="auto"/>
              <w:bottom w:val="single" w:sz="4" w:space="0" w:color="auto"/>
              <w:right w:val="single" w:sz="4" w:space="0" w:color="auto"/>
            </w:tcBorders>
            <w:shd w:val="clear" w:color="auto" w:fill="F7CAAC"/>
            <w:vAlign w:val="center"/>
          </w:tcPr>
          <w:p w14:paraId="5B743891" w14:textId="77777777" w:rsidR="007E5514" w:rsidRPr="007E5514" w:rsidRDefault="007E5514" w:rsidP="007E5514">
            <w:pPr>
              <w:pStyle w:val="Body"/>
              <w:rPr>
                <w:rFonts w:ascii="Arial" w:hAnsi="Arial" w:cs="Arial"/>
                <w:lang w:val="en-PH"/>
              </w:rPr>
            </w:pPr>
            <w:r w:rsidRPr="007E5514">
              <w:rPr>
                <w:rFonts w:ascii="Arial" w:hAnsi="Arial" w:cs="Arial"/>
                <w:lang w:val="en-PH"/>
              </w:rPr>
              <w:t>.146</w:t>
            </w:r>
          </w:p>
        </w:tc>
        <w:tc>
          <w:tcPr>
            <w:tcW w:w="1136" w:type="dxa"/>
            <w:tcBorders>
              <w:top w:val="single" w:sz="4" w:space="0" w:color="auto"/>
              <w:left w:val="single" w:sz="4" w:space="0" w:color="auto"/>
              <w:bottom w:val="single" w:sz="4" w:space="0" w:color="auto"/>
              <w:right w:val="single" w:sz="4" w:space="0" w:color="auto"/>
            </w:tcBorders>
            <w:shd w:val="clear" w:color="auto" w:fill="F7CAAC"/>
            <w:vAlign w:val="center"/>
          </w:tcPr>
          <w:p w14:paraId="14AAF309" w14:textId="77777777" w:rsidR="007E5514" w:rsidRPr="007E5514" w:rsidRDefault="007E5514" w:rsidP="007E5514">
            <w:pPr>
              <w:pStyle w:val="Body"/>
              <w:rPr>
                <w:rFonts w:ascii="Arial" w:hAnsi="Arial" w:cs="Arial"/>
                <w:lang w:val="en-PH"/>
              </w:rPr>
            </w:pPr>
            <w:r w:rsidRPr="007E5514">
              <w:rPr>
                <w:rFonts w:ascii="Arial" w:hAnsi="Arial" w:cs="Arial"/>
                <w:lang w:val="en-PH"/>
              </w:rPr>
              <w:t>1.215</w:t>
            </w:r>
          </w:p>
        </w:tc>
        <w:tc>
          <w:tcPr>
            <w:tcW w:w="825" w:type="dxa"/>
            <w:tcBorders>
              <w:top w:val="single" w:sz="4" w:space="0" w:color="auto"/>
              <w:left w:val="single" w:sz="4" w:space="0" w:color="auto"/>
              <w:bottom w:val="single" w:sz="4" w:space="0" w:color="auto"/>
              <w:right w:val="single" w:sz="4" w:space="0" w:color="auto"/>
            </w:tcBorders>
            <w:shd w:val="clear" w:color="auto" w:fill="F7CAAC"/>
            <w:vAlign w:val="center"/>
          </w:tcPr>
          <w:p w14:paraId="7D3A6A5F" w14:textId="77777777" w:rsidR="007E5514" w:rsidRPr="007E5514" w:rsidRDefault="007E5514" w:rsidP="007E5514">
            <w:pPr>
              <w:pStyle w:val="Body"/>
              <w:rPr>
                <w:rFonts w:ascii="Arial" w:hAnsi="Arial" w:cs="Arial"/>
                <w:lang w:val="en-PH"/>
              </w:rPr>
            </w:pPr>
            <w:r w:rsidRPr="007E5514">
              <w:rPr>
                <w:rFonts w:ascii="Arial" w:hAnsi="Arial" w:cs="Arial"/>
                <w:lang w:val="en-PH"/>
              </w:rPr>
              <w:t>.978</w:t>
            </w:r>
          </w:p>
        </w:tc>
        <w:tc>
          <w:tcPr>
            <w:tcW w:w="874" w:type="dxa"/>
            <w:tcBorders>
              <w:top w:val="single" w:sz="4" w:space="0" w:color="auto"/>
              <w:left w:val="single" w:sz="4" w:space="0" w:color="auto"/>
              <w:bottom w:val="single" w:sz="4" w:space="0" w:color="auto"/>
              <w:right w:val="single" w:sz="4" w:space="0" w:color="auto"/>
            </w:tcBorders>
            <w:shd w:val="clear" w:color="auto" w:fill="F7CAAC"/>
            <w:vAlign w:val="center"/>
          </w:tcPr>
          <w:p w14:paraId="450FB101" w14:textId="77777777" w:rsidR="007E5514" w:rsidRPr="007E5514" w:rsidRDefault="007E5514" w:rsidP="007E5514">
            <w:pPr>
              <w:pStyle w:val="Body"/>
              <w:rPr>
                <w:rFonts w:ascii="Arial" w:hAnsi="Arial" w:cs="Arial"/>
                <w:lang w:val="en-PH"/>
              </w:rPr>
            </w:pPr>
            <w:r w:rsidRPr="007E5514">
              <w:rPr>
                <w:rFonts w:ascii="Arial" w:hAnsi="Arial" w:cs="Arial"/>
                <w:lang w:val="en-PH"/>
              </w:rPr>
              <w:t>.997</w:t>
            </w:r>
          </w:p>
        </w:tc>
        <w:tc>
          <w:tcPr>
            <w:tcW w:w="875" w:type="dxa"/>
            <w:tcBorders>
              <w:top w:val="single" w:sz="4" w:space="0" w:color="auto"/>
              <w:left w:val="single" w:sz="4" w:space="0" w:color="auto"/>
              <w:bottom w:val="single" w:sz="4" w:space="0" w:color="auto"/>
              <w:right w:val="single" w:sz="4" w:space="0" w:color="auto"/>
            </w:tcBorders>
            <w:shd w:val="clear" w:color="auto" w:fill="F7CAAC"/>
            <w:vAlign w:val="center"/>
          </w:tcPr>
          <w:p w14:paraId="06063BD3" w14:textId="77777777" w:rsidR="007E5514" w:rsidRPr="007E5514" w:rsidRDefault="007E5514" w:rsidP="007E5514">
            <w:pPr>
              <w:pStyle w:val="Body"/>
              <w:rPr>
                <w:rFonts w:ascii="Arial" w:hAnsi="Arial" w:cs="Arial"/>
                <w:lang w:val="en-PH"/>
              </w:rPr>
            </w:pPr>
            <w:r w:rsidRPr="007E5514">
              <w:rPr>
                <w:rFonts w:ascii="Arial" w:hAnsi="Arial" w:cs="Arial"/>
                <w:lang w:val="en-PH"/>
              </w:rPr>
              <w:t>.981</w:t>
            </w:r>
          </w:p>
        </w:tc>
        <w:tc>
          <w:tcPr>
            <w:tcW w:w="875" w:type="dxa"/>
            <w:tcBorders>
              <w:top w:val="single" w:sz="4" w:space="0" w:color="auto"/>
              <w:left w:val="single" w:sz="4" w:space="0" w:color="auto"/>
              <w:bottom w:val="single" w:sz="4" w:space="0" w:color="auto"/>
              <w:right w:val="single" w:sz="4" w:space="0" w:color="auto"/>
            </w:tcBorders>
            <w:shd w:val="clear" w:color="auto" w:fill="F7CAAC"/>
            <w:vAlign w:val="center"/>
          </w:tcPr>
          <w:p w14:paraId="3831B391" w14:textId="77777777" w:rsidR="007E5514" w:rsidRPr="007E5514" w:rsidRDefault="007E5514" w:rsidP="007E5514">
            <w:pPr>
              <w:pStyle w:val="Body"/>
              <w:rPr>
                <w:rFonts w:ascii="Arial" w:hAnsi="Arial" w:cs="Arial"/>
                <w:lang w:val="en-PH"/>
              </w:rPr>
            </w:pPr>
            <w:r w:rsidRPr="007E5514">
              <w:rPr>
                <w:rFonts w:ascii="Arial" w:hAnsi="Arial" w:cs="Arial"/>
                <w:lang w:val="en-PH"/>
              </w:rPr>
              <w:t>.994</w:t>
            </w:r>
          </w:p>
        </w:tc>
        <w:tc>
          <w:tcPr>
            <w:tcW w:w="962" w:type="dxa"/>
            <w:tcBorders>
              <w:top w:val="single" w:sz="4" w:space="0" w:color="auto"/>
              <w:left w:val="single" w:sz="4" w:space="0" w:color="auto"/>
              <w:bottom w:val="single" w:sz="4" w:space="0" w:color="auto"/>
              <w:right w:val="single" w:sz="4" w:space="0" w:color="auto"/>
            </w:tcBorders>
            <w:shd w:val="clear" w:color="auto" w:fill="F7CAAC"/>
            <w:vAlign w:val="center"/>
          </w:tcPr>
          <w:p w14:paraId="65C29811" w14:textId="77777777" w:rsidR="007E5514" w:rsidRPr="007E5514" w:rsidRDefault="007E5514" w:rsidP="007E5514">
            <w:pPr>
              <w:pStyle w:val="Body"/>
              <w:rPr>
                <w:rFonts w:ascii="Arial" w:hAnsi="Arial" w:cs="Arial"/>
                <w:lang w:val="en-PH"/>
              </w:rPr>
            </w:pPr>
            <w:r w:rsidRPr="007E5514">
              <w:rPr>
                <w:rFonts w:ascii="Arial" w:hAnsi="Arial" w:cs="Arial"/>
                <w:lang w:val="en-PH"/>
              </w:rPr>
              <w:t>.023</w:t>
            </w:r>
          </w:p>
        </w:tc>
        <w:tc>
          <w:tcPr>
            <w:tcW w:w="936" w:type="dxa"/>
            <w:tcBorders>
              <w:top w:val="single" w:sz="4" w:space="0" w:color="auto"/>
              <w:left w:val="single" w:sz="4" w:space="0" w:color="auto"/>
              <w:bottom w:val="single" w:sz="4" w:space="0" w:color="auto"/>
              <w:right w:val="single" w:sz="4" w:space="0" w:color="auto"/>
            </w:tcBorders>
            <w:shd w:val="clear" w:color="auto" w:fill="F7CAAC"/>
            <w:vAlign w:val="center"/>
          </w:tcPr>
          <w:p w14:paraId="7550AE92" w14:textId="77777777" w:rsidR="007E5514" w:rsidRPr="007E5514" w:rsidRDefault="007E5514" w:rsidP="007E5514">
            <w:pPr>
              <w:pStyle w:val="Body"/>
              <w:rPr>
                <w:rFonts w:ascii="Arial" w:hAnsi="Arial" w:cs="Arial"/>
                <w:lang w:val="en-PH"/>
              </w:rPr>
            </w:pPr>
            <w:r w:rsidRPr="007E5514">
              <w:rPr>
                <w:rFonts w:ascii="Arial" w:hAnsi="Arial" w:cs="Arial"/>
                <w:lang w:val="en-PH"/>
              </w:rPr>
              <w:t>.994</w:t>
            </w:r>
          </w:p>
        </w:tc>
      </w:tr>
    </w:tbl>
    <w:p w14:paraId="30B44A1C" w14:textId="77777777" w:rsidR="00AF4489" w:rsidRDefault="00AF4489" w:rsidP="00D33E3B">
      <w:pPr>
        <w:pStyle w:val="Body"/>
        <w:rPr>
          <w:rFonts w:ascii="Arial" w:hAnsi="Arial" w:cs="Arial"/>
          <w:b/>
          <w:i/>
          <w:lang w:val="en-PH"/>
        </w:rPr>
      </w:pPr>
    </w:p>
    <w:p w14:paraId="0BE7ACF3" w14:textId="4CBE0435" w:rsidR="007E5514" w:rsidRPr="007E5514" w:rsidRDefault="007E5514" w:rsidP="00D33E3B">
      <w:pPr>
        <w:pStyle w:val="Body"/>
        <w:rPr>
          <w:rFonts w:ascii="Arial" w:hAnsi="Arial" w:cs="Arial"/>
          <w:lang w:val="en-PH"/>
        </w:rPr>
      </w:pPr>
      <w:r w:rsidRPr="007E5514">
        <w:rPr>
          <w:rFonts w:ascii="Arial" w:hAnsi="Arial" w:cs="Arial"/>
          <w:b/>
          <w:i/>
          <w:lang w:val="en-PH"/>
        </w:rPr>
        <w:t>Legend:</w:t>
      </w:r>
      <w:r w:rsidRPr="007E5514">
        <w:rPr>
          <w:rFonts w:ascii="Arial" w:hAnsi="Arial" w:cs="Arial"/>
          <w:lang w:val="en-PH"/>
        </w:rPr>
        <w:t xml:space="preserve">  CMIN/DF – </w:t>
      </w:r>
      <w:r w:rsidRPr="007E5514">
        <w:rPr>
          <w:rFonts w:ascii="Arial" w:hAnsi="Arial" w:cs="Arial"/>
          <w:i/>
          <w:lang w:val="en-PH"/>
        </w:rPr>
        <w:t>Chi Square/Degrees of Freedom</w:t>
      </w:r>
      <w:r w:rsidRPr="007E5514">
        <w:rPr>
          <w:rFonts w:ascii="Arial" w:hAnsi="Arial" w:cs="Arial"/>
          <w:lang w:val="en-PH"/>
        </w:rPr>
        <w:tab/>
      </w:r>
      <w:r w:rsidRPr="007E5514">
        <w:rPr>
          <w:rFonts w:ascii="Arial" w:hAnsi="Arial" w:cs="Arial"/>
          <w:lang w:val="en-PH"/>
        </w:rPr>
        <w:tab/>
        <w:t xml:space="preserve">     NFI –</w:t>
      </w:r>
      <w:r w:rsidRPr="007E5514">
        <w:rPr>
          <w:rFonts w:ascii="Arial" w:hAnsi="Arial" w:cs="Arial"/>
          <w:i/>
          <w:lang w:val="en-PH"/>
        </w:rPr>
        <w:t>Normed Fit Index</w:t>
      </w:r>
      <w:r w:rsidRPr="007E5514">
        <w:rPr>
          <w:rFonts w:ascii="Arial" w:hAnsi="Arial" w:cs="Arial"/>
          <w:lang w:val="en-PH"/>
        </w:rPr>
        <w:br/>
      </w:r>
      <w:r w:rsidRPr="007E5514">
        <w:rPr>
          <w:rFonts w:ascii="Arial" w:hAnsi="Arial" w:cs="Arial"/>
          <w:lang w:val="en-PH"/>
        </w:rPr>
        <w:tab/>
        <w:t xml:space="preserve">   GFI         – Goodness</w:t>
      </w:r>
      <w:r w:rsidRPr="007E5514">
        <w:rPr>
          <w:rFonts w:ascii="Arial" w:hAnsi="Arial" w:cs="Arial"/>
          <w:i/>
          <w:lang w:val="en-PH"/>
        </w:rPr>
        <w:t xml:space="preserve"> of Fit Index</w:t>
      </w:r>
      <w:r w:rsidRPr="007E5514">
        <w:rPr>
          <w:rFonts w:ascii="Arial" w:hAnsi="Arial" w:cs="Arial"/>
          <w:i/>
          <w:lang w:val="en-PH"/>
        </w:rPr>
        <w:tab/>
      </w:r>
      <w:r w:rsidRPr="007E5514">
        <w:rPr>
          <w:rFonts w:ascii="Arial" w:hAnsi="Arial" w:cs="Arial"/>
          <w:lang w:val="en-PH"/>
        </w:rPr>
        <w:tab/>
      </w:r>
      <w:r w:rsidRPr="007E5514">
        <w:rPr>
          <w:rFonts w:ascii="Arial" w:hAnsi="Arial" w:cs="Arial"/>
          <w:lang w:val="en-PH"/>
        </w:rPr>
        <w:tab/>
        <w:t xml:space="preserve">     TLI -</w:t>
      </w:r>
      <w:r w:rsidRPr="007E5514">
        <w:rPr>
          <w:rFonts w:ascii="Arial" w:hAnsi="Arial" w:cs="Arial"/>
          <w:i/>
          <w:lang w:val="en-PH"/>
        </w:rPr>
        <w:t>Tucker-Lewis Index</w:t>
      </w:r>
      <w:r w:rsidRPr="007E5514">
        <w:rPr>
          <w:rFonts w:ascii="Arial" w:hAnsi="Arial" w:cs="Arial"/>
          <w:i/>
          <w:lang w:val="en-PH"/>
        </w:rPr>
        <w:br/>
      </w:r>
      <w:r w:rsidRPr="007E5514">
        <w:rPr>
          <w:rFonts w:ascii="Arial" w:hAnsi="Arial" w:cs="Arial"/>
          <w:lang w:val="en-PH"/>
        </w:rPr>
        <w:t xml:space="preserve">RMSEA –   </w:t>
      </w:r>
      <w:r w:rsidRPr="007E5514">
        <w:rPr>
          <w:rFonts w:ascii="Arial" w:hAnsi="Arial" w:cs="Arial"/>
          <w:i/>
          <w:lang w:val="en-PH"/>
        </w:rPr>
        <w:t>Root Mean Square of Error Approximation</w:t>
      </w:r>
      <w:r w:rsidRPr="007E5514">
        <w:rPr>
          <w:rFonts w:ascii="Arial" w:hAnsi="Arial" w:cs="Arial"/>
          <w:lang w:val="en-PH"/>
        </w:rPr>
        <w:tab/>
        <w:t xml:space="preserve">     </w:t>
      </w:r>
      <w:proofErr w:type="gramStart"/>
      <w:r w:rsidRPr="007E5514">
        <w:rPr>
          <w:rFonts w:ascii="Arial" w:hAnsi="Arial" w:cs="Arial"/>
          <w:lang w:val="en-PH"/>
        </w:rPr>
        <w:t xml:space="preserve">CFI  </w:t>
      </w:r>
      <w:proofErr w:type="spellStart"/>
      <w:r w:rsidRPr="007E5514">
        <w:rPr>
          <w:rFonts w:ascii="Arial" w:hAnsi="Arial" w:cs="Arial"/>
          <w:lang w:val="en-PH"/>
        </w:rPr>
        <w:t>Comparative</w:t>
      </w:r>
      <w:r w:rsidRPr="007E5514">
        <w:rPr>
          <w:rFonts w:ascii="Arial" w:hAnsi="Arial" w:cs="Arial"/>
          <w:i/>
          <w:lang w:val="en-PH"/>
        </w:rPr>
        <w:t>Fit</w:t>
      </w:r>
      <w:proofErr w:type="spellEnd"/>
      <w:proofErr w:type="gramEnd"/>
      <w:r w:rsidRPr="007E5514">
        <w:rPr>
          <w:rFonts w:ascii="Arial" w:hAnsi="Arial" w:cs="Arial"/>
          <w:i/>
          <w:lang w:val="en-PH"/>
        </w:rPr>
        <w:t xml:space="preserve"> Index</w:t>
      </w:r>
    </w:p>
    <w:p w14:paraId="33E97E3F" w14:textId="59314602" w:rsidR="00D33E3B" w:rsidRDefault="00D33E3B" w:rsidP="00D33E3B">
      <w:pPr>
        <w:pStyle w:val="Body"/>
        <w:rPr>
          <w:rFonts w:ascii="Arial" w:hAnsi="Arial" w:cs="Arial"/>
        </w:rPr>
      </w:pPr>
      <w:r w:rsidRPr="00D33E3B">
        <w:rPr>
          <w:rFonts w:ascii="Arial" w:hAnsi="Arial" w:cs="Arial"/>
        </w:rPr>
        <w:t>Furthermore, according to the goodness-of-fit results, the model fit values do not meet the criteria for acceptable indices. This is evident in the CMIN/DF being greater than 2, and GFI, CFI, NFI, and TLI all falling below 0.95, while the RMSEA exceeds 0.05 and the P-Close is less than 0.05. These results indicate that the model does not reach an acceptable level, thus making it weak and unsuitable.</w:t>
      </w:r>
    </w:p>
    <w:p w14:paraId="4E859646" w14:textId="560083F9" w:rsidR="00EA36C2" w:rsidRPr="00D33E3B" w:rsidRDefault="00EA36C2" w:rsidP="00D33E3B">
      <w:pPr>
        <w:pStyle w:val="Body"/>
        <w:rPr>
          <w:rFonts w:ascii="Arial" w:hAnsi="Arial" w:cs="Arial"/>
        </w:rPr>
      </w:pPr>
      <w:r w:rsidRPr="00EA36C2">
        <w:rPr>
          <w:rFonts w:ascii="Arial" w:hAnsi="Arial" w:cs="Arial"/>
        </w:rPr>
        <w:t xml:space="preserve">Meanwhile, the structural model 2, also shows the direct effect of predictors—language exposure, </w:t>
      </w:r>
      <w:r w:rsidR="00DA7DE7" w:rsidRPr="00DA7DE7">
        <w:rPr>
          <w:rFonts w:ascii="Arial" w:hAnsi="Arial" w:cs="Arial"/>
        </w:rPr>
        <w:t xml:space="preserve">language learning </w:t>
      </w:r>
      <w:r w:rsidR="00DA7DE7">
        <w:rPr>
          <w:rFonts w:ascii="Arial" w:hAnsi="Arial" w:cs="Arial"/>
        </w:rPr>
        <w:t xml:space="preserve">and </w:t>
      </w:r>
      <w:r w:rsidRPr="00EA36C2">
        <w:rPr>
          <w:rFonts w:ascii="Arial" w:hAnsi="Arial" w:cs="Arial"/>
        </w:rPr>
        <w:t>reading stra</w:t>
      </w:r>
      <w:r w:rsidR="00DA7DE7">
        <w:rPr>
          <w:rFonts w:ascii="Arial" w:hAnsi="Arial" w:cs="Arial"/>
        </w:rPr>
        <w:t>tegies</w:t>
      </w:r>
      <w:r w:rsidRPr="00EA36C2">
        <w:rPr>
          <w:rFonts w:ascii="Arial" w:hAnsi="Arial" w:cs="Arial"/>
        </w:rPr>
        <w:t>—on the causal relationship with the endogenous variable, which is the grammatical competence of students.</w:t>
      </w:r>
      <w:r w:rsidR="00DA7DE7">
        <w:rPr>
          <w:rFonts w:ascii="Arial" w:hAnsi="Arial" w:cs="Arial"/>
        </w:rPr>
        <w:t xml:space="preserve"> </w:t>
      </w:r>
      <w:r w:rsidRPr="00EA36C2">
        <w:rPr>
          <w:rFonts w:ascii="Arial" w:hAnsi="Arial" w:cs="Arial"/>
        </w:rPr>
        <w:t>This model is deemed inappropriate because the p-value = 0.000 and RMSEA = 0.97 with a p-close = 0.000. All index values failed to meet the criteria and were found to be weak since none of the indices reached acceptable levels.</w:t>
      </w:r>
    </w:p>
    <w:p w14:paraId="15199283" w14:textId="3EB5075E" w:rsidR="003110A5" w:rsidRDefault="003110A5" w:rsidP="003110A5">
      <w:pPr>
        <w:pStyle w:val="Body"/>
        <w:jc w:val="center"/>
        <w:rPr>
          <w:rFonts w:ascii="Arial" w:hAnsi="Arial" w:cs="Arial"/>
        </w:rPr>
      </w:pPr>
      <w:r w:rsidRPr="003110A5">
        <w:rPr>
          <w:rFonts w:ascii="Arial" w:hAnsi="Arial" w:cs="Arial"/>
          <w:b/>
          <w:bCs/>
          <w:noProof/>
          <w:color w:val="000000"/>
          <w:lang w:val="en-PH" w:eastAsia="en-PH"/>
        </w:rPr>
        <w:lastRenderedPageBreak/>
        <w:t xml:space="preserve">Figure </w:t>
      </w:r>
      <w:r w:rsidR="000B7E03">
        <w:rPr>
          <w:rFonts w:ascii="Arial" w:hAnsi="Arial" w:cs="Arial"/>
          <w:b/>
          <w:bCs/>
          <w:noProof/>
          <w:color w:val="000000"/>
          <w:lang w:val="en-PH" w:eastAsia="en-PH"/>
        </w:rPr>
        <w:t>1</w:t>
      </w:r>
      <w:r w:rsidRPr="003110A5">
        <w:rPr>
          <w:rFonts w:ascii="Arial" w:hAnsi="Arial" w:cs="Arial"/>
          <w:b/>
          <w:bCs/>
          <w:noProof/>
          <w:color w:val="000000"/>
          <w:lang w:val="en-PH" w:eastAsia="en-PH"/>
        </w:rPr>
        <w:t>: Model 2 of the Grammatical Competence of the Students</w:t>
      </w:r>
      <w:r w:rsidRPr="003110A5">
        <w:rPr>
          <w:rFonts w:ascii="Arial" w:hAnsi="Arial" w:cs="Arial"/>
          <w:noProof/>
          <w:color w:val="000000"/>
          <w:sz w:val="24"/>
          <w:szCs w:val="24"/>
          <w:lang w:val="en-PH" w:eastAsia="en-PH"/>
        </w:rPr>
        <w:drawing>
          <wp:inline distT="0" distB="0" distL="0" distR="0" wp14:anchorId="6FDF5A4C" wp14:editId="38A6B33F">
            <wp:extent cx="3628103" cy="2573552"/>
            <wp:effectExtent l="0" t="0" r="0" b="0"/>
            <wp:docPr id="1229304744" name="Picture 4" descr="A diagram of a computer generated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04744" name="Picture 4" descr="A diagram of a computer generated diagram&#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6785" cy="2615178"/>
                    </a:xfrm>
                    <a:prstGeom prst="rect">
                      <a:avLst/>
                    </a:prstGeom>
                    <a:noFill/>
                  </pic:spPr>
                </pic:pic>
              </a:graphicData>
            </a:graphic>
          </wp:inline>
        </w:drawing>
      </w:r>
    </w:p>
    <w:p w14:paraId="0A2C7757" w14:textId="6A34ED4A" w:rsidR="00EA36C2" w:rsidRDefault="00EA36C2" w:rsidP="00EA36C2">
      <w:pPr>
        <w:pStyle w:val="Body"/>
        <w:jc w:val="center"/>
        <w:rPr>
          <w:rFonts w:ascii="Arial" w:hAnsi="Arial" w:cs="Arial"/>
        </w:rPr>
      </w:pPr>
      <w:r w:rsidRPr="00EA36C2">
        <w:rPr>
          <w:noProof/>
        </w:rPr>
        <w:drawing>
          <wp:inline distT="0" distB="0" distL="0" distR="0" wp14:anchorId="1B1B499D" wp14:editId="7DA090F3">
            <wp:extent cx="3893820" cy="864969"/>
            <wp:effectExtent l="0" t="0" r="0" b="0"/>
            <wp:docPr id="877984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4220" cy="882829"/>
                    </a:xfrm>
                    <a:prstGeom prst="rect">
                      <a:avLst/>
                    </a:prstGeom>
                    <a:noFill/>
                    <a:ln>
                      <a:noFill/>
                    </a:ln>
                  </pic:spPr>
                </pic:pic>
              </a:graphicData>
            </a:graphic>
          </wp:inline>
        </w:drawing>
      </w:r>
    </w:p>
    <w:p w14:paraId="13C73069" w14:textId="12F0C7C2" w:rsidR="00543754" w:rsidRDefault="006772F5" w:rsidP="006772F5">
      <w:pPr>
        <w:pStyle w:val="Body"/>
        <w:rPr>
          <w:rFonts w:ascii="Arial" w:hAnsi="Arial" w:cs="Arial"/>
        </w:rPr>
      </w:pPr>
      <w:r w:rsidRPr="006772F5">
        <w:rPr>
          <w:rFonts w:ascii="Arial" w:hAnsi="Arial" w:cs="Arial"/>
        </w:rPr>
        <w:t xml:space="preserve">Finally, structural model </w:t>
      </w:r>
      <w:r w:rsidR="00EA36C2" w:rsidRPr="006772F5">
        <w:rPr>
          <w:rFonts w:ascii="Arial" w:hAnsi="Arial" w:cs="Arial"/>
        </w:rPr>
        <w:t>3,</w:t>
      </w:r>
      <w:r w:rsidRPr="006772F5">
        <w:rPr>
          <w:rFonts w:ascii="Arial" w:hAnsi="Arial" w:cs="Arial"/>
        </w:rPr>
        <w:t xml:space="preserve"> illustrates the relationship between the exogenous variables (language exposure, language learning, and reading strategies) and the endogenous variable (students’ grammatical competence)—was identified as the most appropriate model. The best-fitting model was measured as highly acceptable, as shown in Table 8. The chi-square divided by degrees of freedom is 1.215, with a p-value of .146, indicating a well-fitting model. This is strongly supported by the Root Mean Square Error of Approximation (RMSEA) index of .023, which is below the 0.05 level of significance and has a corresponding p-close of .994.</w:t>
      </w:r>
    </w:p>
    <w:p w14:paraId="0EE0751A" w14:textId="791FEA6E" w:rsidR="00F456B3" w:rsidRDefault="00F456B3" w:rsidP="006772F5">
      <w:pPr>
        <w:pStyle w:val="Body"/>
        <w:rPr>
          <w:rFonts w:ascii="Arial" w:hAnsi="Arial" w:cs="Arial"/>
        </w:rPr>
      </w:pPr>
      <w:r w:rsidRPr="00F456B3">
        <w:rPr>
          <w:rFonts w:ascii="Arial" w:hAnsi="Arial" w:cs="Arial"/>
        </w:rPr>
        <w:t>Moreover, other indices such as the Normed Fit Index (NFI), Tucker-Lewis Index (TLI), and Comparative Fit Index (CFI) also strongly indicate that this is the best-fitting model, as all measurements met the required standards.</w:t>
      </w:r>
    </w:p>
    <w:p w14:paraId="7E5F6F1D" w14:textId="1218F5AE" w:rsidR="00B75924" w:rsidRDefault="00F456B3" w:rsidP="00F456B3">
      <w:pPr>
        <w:pStyle w:val="Body"/>
        <w:rPr>
          <w:rFonts w:ascii="Arial" w:hAnsi="Arial" w:cs="Arial"/>
        </w:rPr>
      </w:pPr>
      <w:r w:rsidRPr="00F456B3">
        <w:rPr>
          <w:rFonts w:ascii="Arial" w:hAnsi="Arial" w:cs="Arial"/>
        </w:rPr>
        <w:t>Based on the results in Table 9, the regression weights of the three developed models indicate that Models 1 and 2 revealed three variables with clearly negative outcomes. These changes show how the variables can influence and must be considered in the field of education.</w:t>
      </w:r>
    </w:p>
    <w:p w14:paraId="363258E8" w14:textId="77777777" w:rsidR="00B75924" w:rsidRDefault="00B75924" w:rsidP="00F456B3">
      <w:pPr>
        <w:pStyle w:val="Body"/>
        <w:rPr>
          <w:rFonts w:ascii="Arial" w:hAnsi="Arial" w:cs="Arial"/>
        </w:rPr>
      </w:pPr>
    </w:p>
    <w:p w14:paraId="22E5D5FD" w14:textId="5168659D" w:rsidR="00B16333" w:rsidRPr="00B16333" w:rsidRDefault="00B16333" w:rsidP="00B16333">
      <w:pPr>
        <w:spacing w:after="200"/>
        <w:contextualSpacing/>
        <w:jc w:val="both"/>
        <w:rPr>
          <w:rFonts w:ascii="Arial" w:eastAsia="Calibri" w:hAnsi="Arial" w:cs="Arial"/>
          <w:b/>
          <w:bCs/>
          <w:iCs/>
        </w:rPr>
      </w:pPr>
      <w:bookmarkStart w:id="5" w:name="_Hlk197469640"/>
      <w:r w:rsidRPr="00B16333">
        <w:rPr>
          <w:rFonts w:ascii="Arial" w:eastAsia="Calibri" w:hAnsi="Arial" w:cs="Arial"/>
          <w:b/>
          <w:bCs/>
          <w:iCs/>
        </w:rPr>
        <w:t>Table 9</w:t>
      </w:r>
    </w:p>
    <w:p w14:paraId="572DB4DC" w14:textId="3CDDC546" w:rsidR="00B16333" w:rsidRPr="00B16333" w:rsidRDefault="00B16333" w:rsidP="00B16333">
      <w:pPr>
        <w:spacing w:after="200"/>
        <w:contextualSpacing/>
        <w:jc w:val="both"/>
        <w:rPr>
          <w:rFonts w:ascii="Arial" w:eastAsia="Calibri" w:hAnsi="Arial" w:cs="Arial"/>
          <w:i/>
        </w:rPr>
      </w:pPr>
      <w:r w:rsidRPr="00B16333">
        <w:rPr>
          <w:rFonts w:ascii="Arial" w:eastAsia="Calibri" w:hAnsi="Arial" w:cs="Arial"/>
          <w:i/>
        </w:rPr>
        <w:t>Regression Weights of the Three Developed Models</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229"/>
        <w:gridCol w:w="1970"/>
        <w:gridCol w:w="1955"/>
      </w:tblGrid>
      <w:tr w:rsidR="00B16333" w:rsidRPr="00B16333" w14:paraId="33D5A9A5" w14:textId="77777777" w:rsidTr="00C42D78">
        <w:trPr>
          <w:trHeight w:val="349"/>
        </w:trPr>
        <w:tc>
          <w:tcPr>
            <w:tcW w:w="1055" w:type="dxa"/>
            <w:tcBorders>
              <w:bottom w:val="single" w:sz="4" w:space="0" w:color="auto"/>
            </w:tcBorders>
            <w:vAlign w:val="center"/>
          </w:tcPr>
          <w:p w14:paraId="0F8043B3" w14:textId="77777777" w:rsidR="00B16333" w:rsidRPr="00B16333" w:rsidRDefault="00B16333" w:rsidP="00B16333">
            <w:pPr>
              <w:jc w:val="center"/>
              <w:rPr>
                <w:rFonts w:ascii="Arial" w:hAnsi="Arial" w:cs="Arial"/>
                <w:sz w:val="20"/>
              </w:rPr>
            </w:pPr>
          </w:p>
        </w:tc>
        <w:tc>
          <w:tcPr>
            <w:tcW w:w="7302" w:type="dxa"/>
            <w:gridSpan w:val="3"/>
            <w:tcBorders>
              <w:top w:val="single" w:sz="4" w:space="0" w:color="auto"/>
              <w:bottom w:val="single" w:sz="4" w:space="0" w:color="auto"/>
            </w:tcBorders>
            <w:vAlign w:val="center"/>
          </w:tcPr>
          <w:p w14:paraId="46B1F375" w14:textId="77777777" w:rsidR="00B16333" w:rsidRPr="00B16333" w:rsidRDefault="00B16333" w:rsidP="00B16333">
            <w:pPr>
              <w:jc w:val="center"/>
              <w:rPr>
                <w:rFonts w:ascii="Arial" w:hAnsi="Arial" w:cs="Arial"/>
                <w:b/>
                <w:bCs/>
                <w:sz w:val="20"/>
              </w:rPr>
            </w:pPr>
            <w:r w:rsidRPr="00B16333">
              <w:rPr>
                <w:rFonts w:ascii="Arial" w:hAnsi="Arial" w:cs="Arial"/>
                <w:b/>
                <w:bCs/>
                <w:sz w:val="20"/>
              </w:rPr>
              <w:t>Exogenous Variables to Endogenous Variable</w:t>
            </w:r>
          </w:p>
        </w:tc>
      </w:tr>
      <w:tr w:rsidR="00B16333" w:rsidRPr="00B16333" w14:paraId="55EF6719" w14:textId="77777777" w:rsidTr="00C42D78">
        <w:trPr>
          <w:trHeight w:val="349"/>
        </w:trPr>
        <w:tc>
          <w:tcPr>
            <w:tcW w:w="1055" w:type="dxa"/>
            <w:tcBorders>
              <w:top w:val="single" w:sz="4" w:space="0" w:color="auto"/>
              <w:bottom w:val="single" w:sz="4" w:space="0" w:color="auto"/>
            </w:tcBorders>
            <w:vAlign w:val="center"/>
          </w:tcPr>
          <w:p w14:paraId="26D9E620" w14:textId="77777777" w:rsidR="00B16333" w:rsidRPr="00B16333" w:rsidRDefault="00B16333" w:rsidP="00B16333">
            <w:pPr>
              <w:jc w:val="center"/>
              <w:rPr>
                <w:rFonts w:ascii="Arial" w:hAnsi="Arial" w:cs="Arial"/>
                <w:sz w:val="20"/>
              </w:rPr>
            </w:pPr>
            <w:r w:rsidRPr="00B16333">
              <w:rPr>
                <w:rFonts w:ascii="Arial" w:hAnsi="Arial" w:cs="Arial"/>
                <w:sz w:val="20"/>
              </w:rPr>
              <w:t>Model</w:t>
            </w:r>
          </w:p>
        </w:tc>
        <w:tc>
          <w:tcPr>
            <w:tcW w:w="3311" w:type="dxa"/>
            <w:tcBorders>
              <w:top w:val="single" w:sz="4" w:space="0" w:color="auto"/>
              <w:bottom w:val="single" w:sz="4" w:space="0" w:color="auto"/>
            </w:tcBorders>
            <w:vAlign w:val="center"/>
          </w:tcPr>
          <w:p w14:paraId="105E2289" w14:textId="77777777" w:rsidR="00B16333" w:rsidRPr="00B16333" w:rsidRDefault="00B16333" w:rsidP="00B16333">
            <w:pPr>
              <w:jc w:val="center"/>
              <w:rPr>
                <w:rFonts w:ascii="Arial" w:hAnsi="Arial" w:cs="Arial"/>
                <w:sz w:val="20"/>
              </w:rPr>
            </w:pPr>
            <w:r w:rsidRPr="00B16333">
              <w:rPr>
                <w:rFonts w:ascii="Arial" w:hAnsi="Arial" w:cs="Arial"/>
                <w:sz w:val="20"/>
              </w:rPr>
              <w:t>Language Exposure</w:t>
            </w:r>
          </w:p>
        </w:tc>
        <w:tc>
          <w:tcPr>
            <w:tcW w:w="2003" w:type="dxa"/>
            <w:tcBorders>
              <w:top w:val="single" w:sz="4" w:space="0" w:color="auto"/>
              <w:bottom w:val="single" w:sz="4" w:space="0" w:color="auto"/>
            </w:tcBorders>
            <w:vAlign w:val="center"/>
          </w:tcPr>
          <w:p w14:paraId="065F8B22" w14:textId="77777777" w:rsidR="00B16333" w:rsidRPr="00B16333" w:rsidRDefault="00B16333" w:rsidP="00B16333">
            <w:pPr>
              <w:jc w:val="center"/>
              <w:rPr>
                <w:rFonts w:ascii="Arial" w:hAnsi="Arial" w:cs="Arial"/>
                <w:sz w:val="20"/>
              </w:rPr>
            </w:pPr>
            <w:r w:rsidRPr="00B16333">
              <w:rPr>
                <w:rFonts w:ascii="Arial" w:hAnsi="Arial" w:cs="Arial"/>
                <w:sz w:val="20"/>
              </w:rPr>
              <w:t>Reading Strategies</w:t>
            </w:r>
          </w:p>
        </w:tc>
        <w:tc>
          <w:tcPr>
            <w:tcW w:w="1987" w:type="dxa"/>
            <w:tcBorders>
              <w:top w:val="single" w:sz="4" w:space="0" w:color="auto"/>
              <w:bottom w:val="single" w:sz="4" w:space="0" w:color="auto"/>
            </w:tcBorders>
            <w:vAlign w:val="center"/>
          </w:tcPr>
          <w:p w14:paraId="1A695505" w14:textId="77777777" w:rsidR="00B16333" w:rsidRPr="00B16333" w:rsidRDefault="00B16333" w:rsidP="00B16333">
            <w:pPr>
              <w:jc w:val="center"/>
              <w:rPr>
                <w:rFonts w:ascii="Arial" w:hAnsi="Arial" w:cs="Arial"/>
                <w:sz w:val="20"/>
              </w:rPr>
            </w:pPr>
            <w:r w:rsidRPr="00B16333">
              <w:rPr>
                <w:rFonts w:ascii="Arial" w:hAnsi="Arial" w:cs="Arial"/>
                <w:sz w:val="20"/>
              </w:rPr>
              <w:t>Language Learning</w:t>
            </w:r>
          </w:p>
        </w:tc>
      </w:tr>
      <w:tr w:rsidR="00B16333" w:rsidRPr="00B16333" w14:paraId="00148BD4" w14:textId="77777777" w:rsidTr="00C42D78">
        <w:trPr>
          <w:trHeight w:val="349"/>
        </w:trPr>
        <w:tc>
          <w:tcPr>
            <w:tcW w:w="1055" w:type="dxa"/>
            <w:tcBorders>
              <w:top w:val="single" w:sz="4" w:space="0" w:color="auto"/>
            </w:tcBorders>
            <w:vAlign w:val="center"/>
          </w:tcPr>
          <w:p w14:paraId="5C531275" w14:textId="77777777" w:rsidR="00B16333" w:rsidRPr="00B16333" w:rsidRDefault="00B16333" w:rsidP="00B16333">
            <w:pPr>
              <w:jc w:val="center"/>
              <w:rPr>
                <w:rFonts w:ascii="Arial" w:hAnsi="Arial" w:cs="Arial"/>
                <w:sz w:val="20"/>
              </w:rPr>
            </w:pPr>
            <w:r w:rsidRPr="00B16333">
              <w:rPr>
                <w:rFonts w:ascii="Arial" w:hAnsi="Arial" w:cs="Arial"/>
                <w:sz w:val="20"/>
              </w:rPr>
              <w:t>1</w:t>
            </w:r>
          </w:p>
        </w:tc>
        <w:tc>
          <w:tcPr>
            <w:tcW w:w="3311" w:type="dxa"/>
            <w:tcBorders>
              <w:top w:val="single" w:sz="4" w:space="0" w:color="auto"/>
            </w:tcBorders>
            <w:vAlign w:val="center"/>
          </w:tcPr>
          <w:p w14:paraId="79F7ED50" w14:textId="77777777" w:rsidR="00B16333" w:rsidRPr="00B16333" w:rsidRDefault="00B16333" w:rsidP="00B16333">
            <w:pPr>
              <w:jc w:val="center"/>
              <w:rPr>
                <w:rFonts w:ascii="Arial" w:hAnsi="Arial" w:cs="Arial"/>
                <w:sz w:val="20"/>
              </w:rPr>
            </w:pPr>
            <w:r w:rsidRPr="00B16333">
              <w:rPr>
                <w:rFonts w:ascii="Arial" w:hAnsi="Arial" w:cs="Arial"/>
                <w:sz w:val="20"/>
              </w:rPr>
              <w:t>-.033</w:t>
            </w:r>
          </w:p>
        </w:tc>
        <w:tc>
          <w:tcPr>
            <w:tcW w:w="2003" w:type="dxa"/>
            <w:tcBorders>
              <w:top w:val="single" w:sz="4" w:space="0" w:color="auto"/>
            </w:tcBorders>
            <w:vAlign w:val="center"/>
          </w:tcPr>
          <w:p w14:paraId="37581BF6" w14:textId="77777777" w:rsidR="00B16333" w:rsidRPr="00B16333" w:rsidRDefault="00B16333" w:rsidP="00B16333">
            <w:pPr>
              <w:jc w:val="center"/>
              <w:rPr>
                <w:rFonts w:ascii="Arial" w:hAnsi="Arial" w:cs="Arial"/>
                <w:sz w:val="20"/>
              </w:rPr>
            </w:pPr>
            <w:r w:rsidRPr="00B16333">
              <w:rPr>
                <w:rFonts w:ascii="Arial" w:hAnsi="Arial" w:cs="Arial"/>
                <w:sz w:val="20"/>
              </w:rPr>
              <w:t>-.048</w:t>
            </w:r>
          </w:p>
        </w:tc>
        <w:tc>
          <w:tcPr>
            <w:tcW w:w="1987" w:type="dxa"/>
            <w:tcBorders>
              <w:top w:val="single" w:sz="4" w:space="0" w:color="auto"/>
            </w:tcBorders>
            <w:vAlign w:val="center"/>
          </w:tcPr>
          <w:p w14:paraId="4A35769F" w14:textId="77777777" w:rsidR="00B16333" w:rsidRPr="00B16333" w:rsidRDefault="00B16333" w:rsidP="00B16333">
            <w:pPr>
              <w:jc w:val="center"/>
              <w:rPr>
                <w:rFonts w:ascii="Arial" w:hAnsi="Arial" w:cs="Arial"/>
                <w:sz w:val="20"/>
              </w:rPr>
            </w:pPr>
            <w:r w:rsidRPr="00B16333">
              <w:rPr>
                <w:rFonts w:ascii="Arial" w:hAnsi="Arial" w:cs="Arial"/>
                <w:sz w:val="20"/>
              </w:rPr>
              <w:t>-.063</w:t>
            </w:r>
          </w:p>
        </w:tc>
      </w:tr>
      <w:tr w:rsidR="00B16333" w:rsidRPr="00B16333" w14:paraId="42D45B65" w14:textId="77777777" w:rsidTr="00C42D78">
        <w:trPr>
          <w:trHeight w:val="349"/>
        </w:trPr>
        <w:tc>
          <w:tcPr>
            <w:tcW w:w="1055" w:type="dxa"/>
            <w:vAlign w:val="center"/>
          </w:tcPr>
          <w:p w14:paraId="2F45043B" w14:textId="77777777" w:rsidR="00B16333" w:rsidRPr="00B16333" w:rsidRDefault="00B16333" w:rsidP="00B16333">
            <w:pPr>
              <w:jc w:val="center"/>
              <w:rPr>
                <w:rFonts w:ascii="Arial" w:hAnsi="Arial" w:cs="Arial"/>
                <w:sz w:val="20"/>
              </w:rPr>
            </w:pPr>
            <w:r w:rsidRPr="00B16333">
              <w:rPr>
                <w:rFonts w:ascii="Arial" w:hAnsi="Arial" w:cs="Arial"/>
                <w:sz w:val="20"/>
              </w:rPr>
              <w:t>2</w:t>
            </w:r>
          </w:p>
        </w:tc>
        <w:tc>
          <w:tcPr>
            <w:tcW w:w="3311" w:type="dxa"/>
            <w:vAlign w:val="center"/>
          </w:tcPr>
          <w:p w14:paraId="05C01877" w14:textId="77777777" w:rsidR="00B16333" w:rsidRPr="00B16333" w:rsidRDefault="00B16333" w:rsidP="00B16333">
            <w:pPr>
              <w:jc w:val="center"/>
              <w:rPr>
                <w:rFonts w:ascii="Arial" w:hAnsi="Arial" w:cs="Arial"/>
                <w:sz w:val="20"/>
              </w:rPr>
            </w:pPr>
            <w:r w:rsidRPr="00B16333">
              <w:rPr>
                <w:rFonts w:ascii="Arial" w:hAnsi="Arial" w:cs="Arial"/>
                <w:sz w:val="20"/>
              </w:rPr>
              <w:t>-.034</w:t>
            </w:r>
          </w:p>
        </w:tc>
        <w:tc>
          <w:tcPr>
            <w:tcW w:w="2003" w:type="dxa"/>
            <w:vAlign w:val="center"/>
          </w:tcPr>
          <w:p w14:paraId="357743DB" w14:textId="77777777" w:rsidR="00B16333" w:rsidRPr="00B16333" w:rsidRDefault="00B16333" w:rsidP="00B16333">
            <w:pPr>
              <w:jc w:val="center"/>
              <w:rPr>
                <w:rFonts w:ascii="Arial" w:hAnsi="Arial" w:cs="Arial"/>
                <w:sz w:val="20"/>
              </w:rPr>
            </w:pPr>
            <w:r w:rsidRPr="00B16333">
              <w:rPr>
                <w:rFonts w:ascii="Arial" w:hAnsi="Arial" w:cs="Arial"/>
                <w:sz w:val="20"/>
              </w:rPr>
              <w:t>-.051</w:t>
            </w:r>
          </w:p>
        </w:tc>
        <w:tc>
          <w:tcPr>
            <w:tcW w:w="1987" w:type="dxa"/>
            <w:vAlign w:val="center"/>
          </w:tcPr>
          <w:p w14:paraId="3B72EBFF" w14:textId="77777777" w:rsidR="00B16333" w:rsidRPr="00B16333" w:rsidRDefault="00B16333" w:rsidP="00B16333">
            <w:pPr>
              <w:jc w:val="center"/>
              <w:rPr>
                <w:rFonts w:ascii="Arial" w:hAnsi="Arial" w:cs="Arial"/>
                <w:sz w:val="20"/>
              </w:rPr>
            </w:pPr>
            <w:r w:rsidRPr="00B16333">
              <w:rPr>
                <w:rFonts w:ascii="Arial" w:hAnsi="Arial" w:cs="Arial"/>
                <w:sz w:val="20"/>
              </w:rPr>
              <w:t>-.053</w:t>
            </w:r>
          </w:p>
        </w:tc>
      </w:tr>
      <w:tr w:rsidR="00B16333" w:rsidRPr="00B16333" w14:paraId="31C2B606" w14:textId="77777777" w:rsidTr="00C42D78">
        <w:trPr>
          <w:trHeight w:val="349"/>
        </w:trPr>
        <w:tc>
          <w:tcPr>
            <w:tcW w:w="1055" w:type="dxa"/>
            <w:tcBorders>
              <w:bottom w:val="single" w:sz="4" w:space="0" w:color="auto"/>
            </w:tcBorders>
            <w:vAlign w:val="center"/>
          </w:tcPr>
          <w:p w14:paraId="67C30FA6" w14:textId="77777777" w:rsidR="00B16333" w:rsidRPr="00B16333" w:rsidRDefault="00B16333" w:rsidP="00B16333">
            <w:pPr>
              <w:jc w:val="center"/>
              <w:rPr>
                <w:rFonts w:ascii="Arial" w:hAnsi="Arial" w:cs="Arial"/>
                <w:sz w:val="20"/>
              </w:rPr>
            </w:pPr>
            <w:r w:rsidRPr="00B16333">
              <w:rPr>
                <w:rFonts w:ascii="Arial" w:hAnsi="Arial" w:cs="Arial"/>
                <w:sz w:val="20"/>
              </w:rPr>
              <w:lastRenderedPageBreak/>
              <w:t>3</w:t>
            </w:r>
          </w:p>
        </w:tc>
        <w:tc>
          <w:tcPr>
            <w:tcW w:w="3311" w:type="dxa"/>
            <w:tcBorders>
              <w:bottom w:val="single" w:sz="4" w:space="0" w:color="auto"/>
            </w:tcBorders>
            <w:vAlign w:val="center"/>
          </w:tcPr>
          <w:p w14:paraId="413C4AF7" w14:textId="77777777" w:rsidR="00B16333" w:rsidRPr="00B16333" w:rsidRDefault="00B16333" w:rsidP="00B16333">
            <w:pPr>
              <w:jc w:val="center"/>
              <w:rPr>
                <w:rFonts w:ascii="Arial" w:hAnsi="Arial" w:cs="Arial"/>
                <w:sz w:val="20"/>
              </w:rPr>
            </w:pPr>
            <w:r w:rsidRPr="00B16333">
              <w:rPr>
                <w:rFonts w:ascii="Arial" w:hAnsi="Arial" w:cs="Arial"/>
                <w:sz w:val="20"/>
              </w:rPr>
              <w:t>-.005</w:t>
            </w:r>
          </w:p>
        </w:tc>
        <w:tc>
          <w:tcPr>
            <w:tcW w:w="2003" w:type="dxa"/>
            <w:tcBorders>
              <w:bottom w:val="single" w:sz="4" w:space="0" w:color="auto"/>
            </w:tcBorders>
            <w:vAlign w:val="center"/>
          </w:tcPr>
          <w:p w14:paraId="4114C2A4" w14:textId="77777777" w:rsidR="00B16333" w:rsidRPr="00B16333" w:rsidRDefault="00B16333" w:rsidP="00B16333">
            <w:pPr>
              <w:jc w:val="center"/>
              <w:rPr>
                <w:rFonts w:ascii="Arial" w:hAnsi="Arial" w:cs="Arial"/>
                <w:sz w:val="20"/>
              </w:rPr>
            </w:pPr>
            <w:r w:rsidRPr="00B16333">
              <w:rPr>
                <w:rFonts w:ascii="Arial" w:hAnsi="Arial" w:cs="Arial"/>
                <w:sz w:val="20"/>
              </w:rPr>
              <w:t>-.079</w:t>
            </w:r>
          </w:p>
        </w:tc>
        <w:tc>
          <w:tcPr>
            <w:tcW w:w="1987" w:type="dxa"/>
            <w:tcBorders>
              <w:bottom w:val="single" w:sz="4" w:space="0" w:color="auto"/>
            </w:tcBorders>
            <w:vAlign w:val="center"/>
          </w:tcPr>
          <w:p w14:paraId="547BF068" w14:textId="77777777" w:rsidR="00B16333" w:rsidRPr="00B16333" w:rsidRDefault="00B16333" w:rsidP="00B16333">
            <w:pPr>
              <w:jc w:val="center"/>
              <w:rPr>
                <w:rFonts w:ascii="Arial" w:hAnsi="Arial" w:cs="Arial"/>
                <w:sz w:val="20"/>
              </w:rPr>
            </w:pPr>
            <w:r w:rsidRPr="00B16333">
              <w:rPr>
                <w:rFonts w:ascii="Arial" w:hAnsi="Arial" w:cs="Arial"/>
                <w:sz w:val="20"/>
              </w:rPr>
              <w:t>.044</w:t>
            </w:r>
          </w:p>
        </w:tc>
      </w:tr>
    </w:tbl>
    <w:p w14:paraId="7AA5B294" w14:textId="1206F063" w:rsidR="00B16333" w:rsidRPr="0005127F" w:rsidRDefault="00B16333" w:rsidP="0005127F">
      <w:pPr>
        <w:spacing w:after="200" w:line="480" w:lineRule="auto"/>
        <w:rPr>
          <w:rFonts w:ascii="Arial" w:eastAsia="Calibri" w:hAnsi="Arial" w:cs="Arial"/>
          <w:bCs/>
          <w:color w:val="000000"/>
        </w:rPr>
      </w:pPr>
      <w:r w:rsidRPr="00B16333">
        <w:rPr>
          <w:rFonts w:ascii="Arial" w:eastAsia="Calibri" w:hAnsi="Arial" w:cs="Arial"/>
          <w:bCs/>
          <w:color w:val="000000"/>
        </w:rPr>
        <w:t xml:space="preserve">* </w:t>
      </w:r>
      <w:r w:rsidRPr="00B16333">
        <w:rPr>
          <w:rFonts w:ascii="Arial" w:eastAsia="Calibri" w:hAnsi="Arial" w:cs="Arial"/>
          <w:bCs/>
          <w:i/>
          <w:iCs/>
          <w:color w:val="000000"/>
        </w:rPr>
        <w:t>p</w:t>
      </w:r>
      <w:r w:rsidRPr="00B16333">
        <w:rPr>
          <w:rFonts w:ascii="Arial" w:eastAsia="Calibri" w:hAnsi="Arial" w:cs="Arial"/>
          <w:bCs/>
          <w:color w:val="000000"/>
        </w:rPr>
        <w:t xml:space="preserve">&lt;0.05, ** </w:t>
      </w:r>
      <w:r w:rsidRPr="00B16333">
        <w:rPr>
          <w:rFonts w:ascii="Arial" w:eastAsia="Calibri" w:hAnsi="Arial" w:cs="Arial"/>
          <w:bCs/>
          <w:i/>
          <w:iCs/>
          <w:color w:val="000000"/>
        </w:rPr>
        <w:t>p</w:t>
      </w:r>
      <w:r w:rsidRPr="00B16333">
        <w:rPr>
          <w:rFonts w:ascii="Arial" w:eastAsia="Calibri" w:hAnsi="Arial" w:cs="Arial"/>
          <w:bCs/>
          <w:color w:val="000000"/>
        </w:rPr>
        <w:t xml:space="preserve">&lt;0.01, *** </w:t>
      </w:r>
      <w:r w:rsidRPr="00B16333">
        <w:rPr>
          <w:rFonts w:ascii="Arial" w:eastAsia="Calibri" w:hAnsi="Arial" w:cs="Arial"/>
          <w:bCs/>
          <w:i/>
          <w:iCs/>
          <w:color w:val="000000"/>
        </w:rPr>
        <w:t>p</w:t>
      </w:r>
      <w:r w:rsidRPr="00B16333">
        <w:rPr>
          <w:rFonts w:ascii="Arial" w:eastAsia="Calibri" w:hAnsi="Arial" w:cs="Arial"/>
          <w:bCs/>
          <w:color w:val="000000"/>
        </w:rPr>
        <w:t>=0.000</w:t>
      </w:r>
      <w:bookmarkEnd w:id="5"/>
    </w:p>
    <w:p w14:paraId="2896E7CB" w14:textId="69D06B47" w:rsidR="00F456B3" w:rsidRPr="0005127F" w:rsidRDefault="00F456B3" w:rsidP="00F456B3">
      <w:pPr>
        <w:pStyle w:val="Body"/>
        <w:contextualSpacing/>
        <w:rPr>
          <w:rFonts w:ascii="Arial" w:hAnsi="Arial" w:cs="Arial"/>
        </w:rPr>
      </w:pPr>
      <w:r w:rsidRPr="0005127F">
        <w:rPr>
          <w:rFonts w:ascii="Arial" w:hAnsi="Arial" w:cs="Arial"/>
        </w:rPr>
        <w:t xml:space="preserve">Model 3 presented a more complex result, where one indicator of the exogenous variable—media—was removed, which may have had an impact. </w:t>
      </w:r>
      <w:r w:rsidR="00D41953">
        <w:rPr>
          <w:rFonts w:ascii="Arial" w:hAnsi="Arial" w:cs="Arial"/>
        </w:rPr>
        <w:t>L</w:t>
      </w:r>
      <w:r w:rsidRPr="0005127F">
        <w:rPr>
          <w:rFonts w:ascii="Arial" w:hAnsi="Arial" w:cs="Arial"/>
        </w:rPr>
        <w:t>anguage learning, despite showing a positive result, did not provide sufficient evidence to demonstrate its effect.</w:t>
      </w:r>
      <w:r w:rsidR="00D41953">
        <w:rPr>
          <w:rFonts w:ascii="Arial" w:hAnsi="Arial" w:cs="Arial"/>
        </w:rPr>
        <w:t xml:space="preserve"> Meanwhile, </w:t>
      </w:r>
      <w:r w:rsidR="00D41953" w:rsidRPr="00D41953">
        <w:rPr>
          <w:rFonts w:ascii="Arial" w:hAnsi="Arial" w:cs="Arial"/>
        </w:rPr>
        <w:t>the ability in reading strategies showed a deeper change and a significant effect.</w:t>
      </w:r>
    </w:p>
    <w:p w14:paraId="29B0CC79" w14:textId="77777777" w:rsidR="003F6462" w:rsidRDefault="003F6462" w:rsidP="006772F5">
      <w:pPr>
        <w:pStyle w:val="Body"/>
        <w:rPr>
          <w:rFonts w:ascii="Arial" w:hAnsi="Arial" w:cs="Arial"/>
          <w:b/>
          <w:bCs/>
        </w:rPr>
      </w:pPr>
    </w:p>
    <w:p w14:paraId="344695D5" w14:textId="27414647" w:rsidR="00EA36C2" w:rsidRDefault="00EA36C2" w:rsidP="003F6462">
      <w:pPr>
        <w:pStyle w:val="Body"/>
        <w:jc w:val="center"/>
        <w:rPr>
          <w:rFonts w:ascii="Arial" w:hAnsi="Arial" w:cs="Arial"/>
          <w:b/>
          <w:bCs/>
        </w:rPr>
      </w:pPr>
      <w:r w:rsidRPr="00EA36C2">
        <w:rPr>
          <w:rFonts w:ascii="Arial" w:hAnsi="Arial" w:cs="Arial"/>
          <w:b/>
          <w:bCs/>
        </w:rPr>
        <w:t xml:space="preserve">Figure </w:t>
      </w:r>
      <w:r w:rsidR="000B7E03">
        <w:rPr>
          <w:rFonts w:ascii="Arial" w:hAnsi="Arial" w:cs="Arial"/>
          <w:b/>
          <w:bCs/>
        </w:rPr>
        <w:t>2</w:t>
      </w:r>
      <w:r w:rsidRPr="00EA36C2">
        <w:rPr>
          <w:rFonts w:ascii="Arial" w:hAnsi="Arial" w:cs="Arial"/>
          <w:b/>
          <w:bCs/>
        </w:rPr>
        <w:t>. The Most Suitable Model for Students' Grammatical Competence</w:t>
      </w:r>
    </w:p>
    <w:p w14:paraId="5ECC9BC6" w14:textId="36671680" w:rsidR="00EA36C2" w:rsidRPr="00EA36C2" w:rsidRDefault="00EA36C2" w:rsidP="00EA36C2">
      <w:pPr>
        <w:pStyle w:val="Body"/>
        <w:jc w:val="center"/>
        <w:rPr>
          <w:rFonts w:ascii="Arial" w:hAnsi="Arial" w:cs="Arial"/>
          <w:b/>
          <w:bCs/>
        </w:rPr>
      </w:pPr>
      <w:r>
        <w:rPr>
          <w:rFonts w:ascii="Arial" w:hAnsi="Arial" w:cs="Arial"/>
          <w:b/>
          <w:bCs/>
          <w:noProof/>
        </w:rPr>
        <w:drawing>
          <wp:inline distT="0" distB="0" distL="0" distR="0" wp14:anchorId="58AB3798" wp14:editId="48107D31">
            <wp:extent cx="4077929" cy="2006551"/>
            <wp:effectExtent l="0" t="0" r="0" b="0"/>
            <wp:docPr id="1137008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2472" cy="2023548"/>
                    </a:xfrm>
                    <a:prstGeom prst="rect">
                      <a:avLst/>
                    </a:prstGeom>
                    <a:noFill/>
                  </pic:spPr>
                </pic:pic>
              </a:graphicData>
            </a:graphic>
          </wp:inline>
        </w:drawing>
      </w:r>
    </w:p>
    <w:p w14:paraId="68CA7B39" w14:textId="0991FE83" w:rsidR="00CA4E9D" w:rsidRDefault="00CA4E9D" w:rsidP="00CA4E9D">
      <w:pPr>
        <w:pStyle w:val="Body"/>
        <w:jc w:val="center"/>
        <w:rPr>
          <w:rFonts w:ascii="Arial" w:hAnsi="Arial" w:cs="Arial"/>
        </w:rPr>
      </w:pPr>
      <w:r w:rsidRPr="00CA4E9D">
        <w:rPr>
          <w:noProof/>
        </w:rPr>
        <w:drawing>
          <wp:inline distT="0" distB="0" distL="0" distR="0" wp14:anchorId="49FDAF83" wp14:editId="675F8444">
            <wp:extent cx="4673689" cy="1036320"/>
            <wp:effectExtent l="0" t="0" r="0" b="0"/>
            <wp:docPr id="1715122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8040" cy="1041720"/>
                    </a:xfrm>
                    <a:prstGeom prst="rect">
                      <a:avLst/>
                    </a:prstGeom>
                    <a:noFill/>
                    <a:ln>
                      <a:noFill/>
                    </a:ln>
                  </pic:spPr>
                </pic:pic>
              </a:graphicData>
            </a:graphic>
          </wp:inline>
        </w:drawing>
      </w:r>
    </w:p>
    <w:p w14:paraId="07D21AB1" w14:textId="51BB9565" w:rsidR="00701493" w:rsidRPr="00701493" w:rsidRDefault="00701493" w:rsidP="00701493">
      <w:pPr>
        <w:pStyle w:val="Body"/>
        <w:rPr>
          <w:rFonts w:ascii="Arial" w:hAnsi="Arial" w:cs="Arial"/>
        </w:rPr>
      </w:pPr>
      <w:r w:rsidRPr="00701493">
        <w:rPr>
          <w:rFonts w:ascii="Arial" w:hAnsi="Arial" w:cs="Arial"/>
        </w:rPr>
        <w:t xml:space="preserve">On the other hand, language learning—comprising speaking, reading, listening, and writing—was found to significantly influence students’ grammatical competence. Based on the results, it can be determined that students' grammatical competence primarily depends on the influence of school, friends, and home; </w:t>
      </w:r>
      <w:r w:rsidR="00654E27" w:rsidRPr="00654E27">
        <w:rPr>
          <w:rFonts w:ascii="Arial" w:hAnsi="Arial" w:cs="Arial"/>
        </w:rPr>
        <w:t>and the four language skills: speaking, reading, listening, and writing</w:t>
      </w:r>
      <w:r w:rsidR="00654E27">
        <w:rPr>
          <w:rFonts w:ascii="Arial" w:hAnsi="Arial" w:cs="Arial"/>
        </w:rPr>
        <w:t xml:space="preserve"> and </w:t>
      </w:r>
      <w:r w:rsidRPr="00701493">
        <w:rPr>
          <w:rFonts w:ascii="Arial" w:hAnsi="Arial" w:cs="Arial"/>
        </w:rPr>
        <w:t>cognitive and metacognitive strategies</w:t>
      </w:r>
      <w:r w:rsidR="00654E27">
        <w:rPr>
          <w:rFonts w:ascii="Arial" w:hAnsi="Arial" w:cs="Arial"/>
        </w:rPr>
        <w:t>.</w:t>
      </w:r>
    </w:p>
    <w:p w14:paraId="4977BF77" w14:textId="0C171581" w:rsidR="00790ADA" w:rsidRPr="00FB3A86" w:rsidRDefault="00701493" w:rsidP="00C7573D">
      <w:pPr>
        <w:pStyle w:val="Body"/>
        <w:rPr>
          <w:rFonts w:ascii="Arial" w:hAnsi="Arial" w:cs="Arial"/>
        </w:rPr>
      </w:pPr>
      <w:r w:rsidRPr="00701493">
        <w:rPr>
          <w:rFonts w:ascii="Arial" w:hAnsi="Arial" w:cs="Arial"/>
        </w:rPr>
        <w:t xml:space="preserve">The direct relationship shows that school, friends, and home play a crucial role in language exposure. The findings highlight that reading strategies, including cognitive and metacognitive aspects, are essential in students’ understanding and organization of knowledge. The connection between school education, home support, and peer interaction serves as a foundation for their learning. As a result, focusing on these elements suggests an integrated approach to teaching, in which collaboration among teachers, parents, and the community is vital to improving students’ reading and analytical skills—ultimately aiming to achieve a higher level of learning and comprehension through school, friends, and home; </w:t>
      </w:r>
      <w:r w:rsidR="00D41953" w:rsidRPr="00D41953">
        <w:rPr>
          <w:rFonts w:ascii="Arial" w:hAnsi="Arial" w:cs="Arial"/>
        </w:rPr>
        <w:t>the four language skills—speaking, reading, listening, and writing</w:t>
      </w:r>
      <w:r w:rsidR="00D41953">
        <w:rPr>
          <w:rFonts w:ascii="Arial" w:hAnsi="Arial" w:cs="Arial"/>
        </w:rPr>
        <w:t>;</w:t>
      </w:r>
      <w:r w:rsidR="00D41953" w:rsidRPr="00D41953">
        <w:rPr>
          <w:rFonts w:ascii="Arial" w:hAnsi="Arial" w:cs="Arial"/>
        </w:rPr>
        <w:t xml:space="preserve"> </w:t>
      </w:r>
      <w:r w:rsidRPr="00701493">
        <w:rPr>
          <w:rFonts w:ascii="Arial" w:hAnsi="Arial" w:cs="Arial"/>
        </w:rPr>
        <w:t>cognitive and metacognitive strategies</w:t>
      </w:r>
      <w:r w:rsidR="00D41953" w:rsidRPr="00D41953">
        <w:rPr>
          <w:rFonts w:ascii="Arial" w:hAnsi="Arial" w:cs="Arial"/>
        </w:rPr>
        <w:t xml:space="preserve">—toward the development of students’ grammatical competence </w:t>
      </w:r>
      <w:r w:rsidRPr="00701493">
        <w:rPr>
          <w:rFonts w:ascii="Arial" w:hAnsi="Arial" w:cs="Arial"/>
        </w:rPr>
        <w:t xml:space="preserve">(Espinosa </w:t>
      </w:r>
      <w:r w:rsidR="00A6296B">
        <w:rPr>
          <w:rFonts w:ascii="Arial" w:hAnsi="Arial" w:cs="Arial"/>
        </w:rPr>
        <w:t>2008</w:t>
      </w:r>
      <w:r w:rsidRPr="00701493">
        <w:rPr>
          <w:rFonts w:ascii="Arial" w:hAnsi="Arial" w:cs="Arial"/>
        </w:rPr>
        <w:t xml:space="preserve"> and Cardenas-Hagan et al.</w:t>
      </w:r>
      <w:r w:rsidR="003110A5">
        <w:rPr>
          <w:rFonts w:ascii="Arial" w:hAnsi="Arial" w:cs="Arial"/>
        </w:rPr>
        <w:t>,</w:t>
      </w:r>
      <w:r w:rsidR="00A6296B">
        <w:rPr>
          <w:rFonts w:ascii="Arial" w:hAnsi="Arial" w:cs="Arial"/>
        </w:rPr>
        <w:t>2007</w:t>
      </w:r>
      <w:r w:rsidRPr="00701493">
        <w:rPr>
          <w:rFonts w:ascii="Arial" w:hAnsi="Arial" w:cs="Arial"/>
        </w:rPr>
        <w:t>).</w:t>
      </w:r>
    </w:p>
    <w:p w14:paraId="11F911E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B314E79" w14:textId="77777777" w:rsidR="00790ADA" w:rsidRPr="00FB3A86" w:rsidRDefault="00790ADA" w:rsidP="00441B6F">
      <w:pPr>
        <w:pStyle w:val="ConcHead"/>
        <w:spacing w:after="0"/>
        <w:jc w:val="both"/>
        <w:rPr>
          <w:rFonts w:ascii="Arial" w:hAnsi="Arial" w:cs="Arial"/>
        </w:rPr>
      </w:pPr>
    </w:p>
    <w:p w14:paraId="398E8FBD" w14:textId="35ACBE75" w:rsidR="00440C2D" w:rsidRPr="00440C2D" w:rsidRDefault="00440C2D" w:rsidP="00440C2D">
      <w:pPr>
        <w:pStyle w:val="Body"/>
        <w:rPr>
          <w:rFonts w:ascii="Arial" w:hAnsi="Arial" w:cs="Arial"/>
        </w:rPr>
      </w:pPr>
      <w:r w:rsidRPr="00440C2D">
        <w:rPr>
          <w:rFonts w:ascii="Arial" w:hAnsi="Arial" w:cs="Arial"/>
        </w:rPr>
        <w:t>The study showed that school has the biggest role in students’ language exposure, while the home has the least. This means that students are encouraged to speak Filipino at school, use Filipino as the language of instruction in class, do school activities in Filipino, read Filipino books, and talk to their friends in Filipino.</w:t>
      </w:r>
    </w:p>
    <w:p w14:paraId="10C6330A" w14:textId="5B615FD2" w:rsidR="00440C2D" w:rsidRDefault="00440C2D" w:rsidP="00440C2D">
      <w:pPr>
        <w:pStyle w:val="Body"/>
        <w:rPr>
          <w:rFonts w:ascii="Arial" w:hAnsi="Arial" w:cs="Arial"/>
        </w:rPr>
      </w:pPr>
      <w:r w:rsidRPr="00440C2D">
        <w:rPr>
          <w:rFonts w:ascii="Arial" w:hAnsi="Arial" w:cs="Arial"/>
        </w:rPr>
        <w:t>In terms of language learning, reading was at the highest level, while listening had the lowest. This is because students recognize key words and repeat them to themselves, use a dictionary to understand meanings</w:t>
      </w:r>
      <w:r w:rsidR="00CF4220">
        <w:rPr>
          <w:rFonts w:ascii="Arial" w:hAnsi="Arial" w:cs="Arial"/>
        </w:rPr>
        <w:t xml:space="preserve"> </w:t>
      </w:r>
      <w:r w:rsidRPr="00440C2D">
        <w:rPr>
          <w:rFonts w:ascii="Arial" w:hAnsi="Arial" w:cs="Arial"/>
        </w:rPr>
        <w:t>and practice speaking with friends or teachers.</w:t>
      </w:r>
    </w:p>
    <w:p w14:paraId="7D399AFD" w14:textId="6C9731CB" w:rsidR="004168AC" w:rsidRPr="00440C2D" w:rsidRDefault="004168AC" w:rsidP="00440C2D">
      <w:pPr>
        <w:pStyle w:val="Body"/>
        <w:rPr>
          <w:rFonts w:ascii="Arial" w:hAnsi="Arial" w:cs="Arial"/>
        </w:rPr>
      </w:pPr>
      <w:r w:rsidRPr="004168AC">
        <w:rPr>
          <w:rFonts w:ascii="Arial" w:hAnsi="Arial" w:cs="Arial"/>
        </w:rPr>
        <w:t>Students also showed a high level of using both cognitive and metacognitive reading strategies. This means they understand texts better because they can summarize important ideas, see how the parts of the text are connected, and quickly find the needed information in a reading task</w:t>
      </w:r>
      <w:r>
        <w:rPr>
          <w:rFonts w:ascii="Arial" w:hAnsi="Arial" w:cs="Arial"/>
        </w:rPr>
        <w:t>.</w:t>
      </w:r>
    </w:p>
    <w:p w14:paraId="4208373E" w14:textId="35EC512C" w:rsidR="00C6619F" w:rsidRDefault="00440C2D" w:rsidP="00440C2D">
      <w:pPr>
        <w:pStyle w:val="Body"/>
        <w:spacing w:after="0"/>
        <w:rPr>
          <w:rFonts w:ascii="Arial" w:hAnsi="Arial" w:cs="Arial"/>
        </w:rPr>
      </w:pPr>
      <w:r w:rsidRPr="00440C2D">
        <w:rPr>
          <w:rFonts w:ascii="Arial" w:hAnsi="Arial" w:cs="Arial"/>
        </w:rPr>
        <w:t xml:space="preserve">Overall, there is a strong connection between language exposure, </w:t>
      </w:r>
      <w:r w:rsidR="00CF4220" w:rsidRPr="00CF4220">
        <w:rPr>
          <w:rFonts w:ascii="Arial" w:hAnsi="Arial" w:cs="Arial"/>
        </w:rPr>
        <w:t xml:space="preserve">language </w:t>
      </w:r>
      <w:proofErr w:type="gramStart"/>
      <w:r w:rsidR="00CF4220" w:rsidRPr="00CF4220">
        <w:rPr>
          <w:rFonts w:ascii="Arial" w:hAnsi="Arial" w:cs="Arial"/>
        </w:rPr>
        <w:t xml:space="preserve">learning </w:t>
      </w:r>
      <w:r w:rsidR="00CF4220">
        <w:rPr>
          <w:rFonts w:ascii="Arial" w:hAnsi="Arial" w:cs="Arial"/>
        </w:rPr>
        <w:t>,</w:t>
      </w:r>
      <w:r w:rsidRPr="00440C2D">
        <w:rPr>
          <w:rFonts w:ascii="Arial" w:hAnsi="Arial" w:cs="Arial"/>
        </w:rPr>
        <w:t>reading</w:t>
      </w:r>
      <w:proofErr w:type="gramEnd"/>
      <w:r w:rsidRPr="00440C2D">
        <w:rPr>
          <w:rFonts w:ascii="Arial" w:hAnsi="Arial" w:cs="Arial"/>
        </w:rPr>
        <w:t xml:space="preserve"> strategies and with students’ grammatical </w:t>
      </w:r>
      <w:r w:rsidR="00CF4220">
        <w:rPr>
          <w:rFonts w:ascii="Arial" w:hAnsi="Arial" w:cs="Arial"/>
        </w:rPr>
        <w:t>competence</w:t>
      </w:r>
      <w:r w:rsidRPr="00440C2D">
        <w:rPr>
          <w:rFonts w:ascii="Arial" w:hAnsi="Arial" w:cs="Arial"/>
        </w:rPr>
        <w:t>. This supports Vygotsky’s Sociocultural Theory, which says that people learn languages better when they interact with others. With the help of teachers or classmates, students can learn things they can't do alone—this is called the Zone of Proximal Development (ZPD). Support or guidance, also known as scaffolding, is important during learning. A rich and interactive environment also helps because language is easier to understand when used in real-life situations.</w:t>
      </w:r>
    </w:p>
    <w:p w14:paraId="73D6EEA3" w14:textId="77777777" w:rsidR="00C6619F" w:rsidRDefault="00C6619F" w:rsidP="007F205B">
      <w:pPr>
        <w:pStyle w:val="Body"/>
        <w:spacing w:after="0"/>
        <w:rPr>
          <w:rFonts w:ascii="Arial" w:hAnsi="Arial" w:cs="Arial"/>
        </w:rPr>
      </w:pPr>
    </w:p>
    <w:p w14:paraId="76273459" w14:textId="457605FD" w:rsidR="00440C2D" w:rsidRPr="00440C2D" w:rsidRDefault="00440C2D" w:rsidP="00440C2D">
      <w:pPr>
        <w:pStyle w:val="Body"/>
        <w:rPr>
          <w:rFonts w:ascii="Arial" w:hAnsi="Arial" w:cs="Arial"/>
        </w:rPr>
      </w:pPr>
      <w:r w:rsidRPr="00440C2D">
        <w:rPr>
          <w:rFonts w:ascii="Arial" w:hAnsi="Arial" w:cs="Arial"/>
        </w:rPr>
        <w:t>Meanwhile, Noam Chomsky’s Nativist Theory says that people are born with a natural ability to learn language. He introduced the idea of the Language Acquisition Device (LAD), which is a part of the brain that helps children learn to speak. According to him, even if a language is not fully taught, children can still learn it because they are born with a Universal Grammar—basic knowledge about how language works. This helps children form correct sentences, even if the language they hear isn’t perfect.</w:t>
      </w:r>
    </w:p>
    <w:p w14:paraId="5D2CBC54" w14:textId="43CC4CED" w:rsidR="00440C2D" w:rsidRPr="00440C2D" w:rsidRDefault="00440C2D" w:rsidP="00440C2D">
      <w:pPr>
        <w:pStyle w:val="Body"/>
        <w:rPr>
          <w:rFonts w:ascii="Arial" w:hAnsi="Arial" w:cs="Arial"/>
        </w:rPr>
      </w:pPr>
      <w:r w:rsidRPr="00440C2D">
        <w:rPr>
          <w:rFonts w:ascii="Arial" w:hAnsi="Arial" w:cs="Arial"/>
        </w:rPr>
        <w:t>Reading strategies are also based on the Cognitive and Metacognitive Theories. According to Piaget and Mayer, readers learn by connecting new ideas to what they already know and by organizing and understanding the information clearly. Flavell and Brown also said that it’s important for readers to know if their reading methods are working. When readers are aware of this, they can change or improve their strategies to understand what they read better.</w:t>
      </w:r>
    </w:p>
    <w:p w14:paraId="716979AC" w14:textId="146124C4" w:rsidR="00440C2D" w:rsidRDefault="00440C2D" w:rsidP="00440C2D">
      <w:pPr>
        <w:pStyle w:val="Body"/>
        <w:spacing w:after="0"/>
        <w:rPr>
          <w:rFonts w:ascii="Arial" w:hAnsi="Arial" w:cs="Arial"/>
        </w:rPr>
      </w:pPr>
      <w:r w:rsidRPr="00440C2D">
        <w:rPr>
          <w:rFonts w:ascii="Arial" w:hAnsi="Arial" w:cs="Arial"/>
        </w:rPr>
        <w:t>In Chomsky’s Transformational-Generative Grammar theory, he also said that people naturally learn and use language. He explained that all languages share basic rules, which he called Universal Grammar. Chomsky made a difference between “competence,” which means knowing the language, and “performance,” which means using it. His theory shows that humans have a special ability to create new sentences and understand unfamiliar language using simple grammar rules.</w:t>
      </w:r>
    </w:p>
    <w:p w14:paraId="73E68D60" w14:textId="77777777" w:rsidR="00440C2D" w:rsidRDefault="00440C2D" w:rsidP="007F205B">
      <w:pPr>
        <w:pStyle w:val="Body"/>
        <w:spacing w:after="0"/>
        <w:rPr>
          <w:rFonts w:ascii="Arial" w:hAnsi="Arial" w:cs="Arial"/>
        </w:rPr>
      </w:pPr>
    </w:p>
    <w:p w14:paraId="540E002F" w14:textId="4A8E6DCE" w:rsidR="00440C2D" w:rsidRDefault="00440C2D" w:rsidP="007F205B">
      <w:pPr>
        <w:pStyle w:val="Body"/>
        <w:spacing w:after="0"/>
        <w:rPr>
          <w:rFonts w:ascii="Arial" w:hAnsi="Arial" w:cs="Arial"/>
        </w:rPr>
      </w:pPr>
      <w:r w:rsidRPr="00440C2D">
        <w:rPr>
          <w:rFonts w:ascii="Arial" w:hAnsi="Arial" w:cs="Arial"/>
        </w:rPr>
        <w:t>Among the three models studied, Model 3 was found to be the best fit for explaining the students’ gramma</w:t>
      </w:r>
      <w:r w:rsidR="00E45474">
        <w:rPr>
          <w:rFonts w:ascii="Arial" w:hAnsi="Arial" w:cs="Arial"/>
        </w:rPr>
        <w:t>tical competence</w:t>
      </w:r>
      <w:r w:rsidRPr="00440C2D">
        <w:rPr>
          <w:rFonts w:ascii="Arial" w:hAnsi="Arial" w:cs="Arial"/>
        </w:rPr>
        <w:t xml:space="preserve"> in Region XI. This model shows that language exposure (from school, friends, and home), </w:t>
      </w:r>
      <w:r w:rsidR="00E45474" w:rsidRPr="00E45474">
        <w:rPr>
          <w:rFonts w:ascii="Arial" w:hAnsi="Arial" w:cs="Arial"/>
        </w:rPr>
        <w:t xml:space="preserve">language learning (speaking, reading, listening, and writing) </w:t>
      </w:r>
      <w:r w:rsidR="00E45474">
        <w:rPr>
          <w:rFonts w:ascii="Arial" w:hAnsi="Arial" w:cs="Arial"/>
        </w:rPr>
        <w:t xml:space="preserve">and </w:t>
      </w:r>
      <w:r w:rsidRPr="00440C2D">
        <w:rPr>
          <w:rFonts w:ascii="Arial" w:hAnsi="Arial" w:cs="Arial"/>
        </w:rPr>
        <w:t xml:space="preserve">reading strategies (thinking about what they read and how they understand it) directly affect how well students use grammar. It also shows that language exposure has a small effect but reading strategies—especially thinking about how they read—help improve their understanding and use of language. Support from the environment, like from school, friends, and home, helps make this skill stronger. The results of this study can help teachers, parents, </w:t>
      </w:r>
      <w:r w:rsidRPr="00440C2D">
        <w:rPr>
          <w:rFonts w:ascii="Arial" w:hAnsi="Arial" w:cs="Arial"/>
        </w:rPr>
        <w:lastRenderedPageBreak/>
        <w:t xml:space="preserve">and schools find better ways to teach and support students in learning </w:t>
      </w:r>
      <w:r w:rsidR="006E1240" w:rsidRPr="00440C2D">
        <w:rPr>
          <w:rFonts w:ascii="Arial" w:hAnsi="Arial" w:cs="Arial"/>
        </w:rPr>
        <w:t>languages</w:t>
      </w:r>
      <w:r w:rsidRPr="00440C2D">
        <w:rPr>
          <w:rFonts w:ascii="Arial" w:hAnsi="Arial" w:cs="Arial"/>
        </w:rPr>
        <w:t xml:space="preserve"> and improving their gramma</w:t>
      </w:r>
      <w:r w:rsidR="00E45474">
        <w:rPr>
          <w:rFonts w:ascii="Arial" w:hAnsi="Arial" w:cs="Arial"/>
        </w:rPr>
        <w:t>tical competence</w:t>
      </w:r>
      <w:r w:rsidRPr="00440C2D">
        <w:rPr>
          <w:rFonts w:ascii="Arial" w:hAnsi="Arial" w:cs="Arial"/>
        </w:rPr>
        <w:t>.</w:t>
      </w:r>
    </w:p>
    <w:p w14:paraId="7CF1FE37" w14:textId="77777777" w:rsidR="00440C2D" w:rsidRDefault="00440C2D" w:rsidP="007F205B">
      <w:pPr>
        <w:pStyle w:val="Body"/>
        <w:spacing w:after="0"/>
        <w:rPr>
          <w:rFonts w:ascii="Arial" w:hAnsi="Arial" w:cs="Arial"/>
        </w:rPr>
      </w:pPr>
    </w:p>
    <w:p w14:paraId="70EF9EA7" w14:textId="406EAAB5" w:rsidR="00B01FCD" w:rsidRDefault="006E1240" w:rsidP="00441B6F">
      <w:pPr>
        <w:pStyle w:val="AcknHead"/>
        <w:spacing w:after="0"/>
        <w:jc w:val="both"/>
        <w:rPr>
          <w:rFonts w:ascii="Arial" w:hAnsi="Arial" w:cs="Arial"/>
        </w:rPr>
      </w:pPr>
      <w:bookmarkStart w:id="6" w:name="_Hlk197472665"/>
      <w:bookmarkStart w:id="7" w:name="_Hlk197472705"/>
      <w:r>
        <w:rPr>
          <w:rFonts w:ascii="Arial" w:hAnsi="Arial" w:cs="Arial"/>
        </w:rPr>
        <w:t>5. RECOMMENDATION</w:t>
      </w:r>
      <w:r w:rsidR="00AF4489">
        <w:rPr>
          <w:rFonts w:ascii="Arial" w:hAnsi="Arial" w:cs="Arial"/>
        </w:rPr>
        <w:t>s</w:t>
      </w:r>
    </w:p>
    <w:p w14:paraId="33A661EF" w14:textId="77777777" w:rsidR="00790ADA" w:rsidRPr="00FB3A86" w:rsidRDefault="00790ADA" w:rsidP="00441B6F">
      <w:pPr>
        <w:pStyle w:val="AcknHead"/>
        <w:spacing w:after="0"/>
        <w:jc w:val="both"/>
        <w:rPr>
          <w:rFonts w:ascii="Arial" w:hAnsi="Arial" w:cs="Arial"/>
        </w:rPr>
      </w:pPr>
    </w:p>
    <w:bookmarkEnd w:id="6"/>
    <w:bookmarkEnd w:id="7"/>
    <w:p w14:paraId="1EB554D8" w14:textId="0DC6F795" w:rsidR="006E1240" w:rsidRPr="006E1240" w:rsidRDefault="006E1240" w:rsidP="006E1240">
      <w:pPr>
        <w:rPr>
          <w:rFonts w:ascii="Arial" w:hAnsi="Arial" w:cs="Arial"/>
        </w:rPr>
      </w:pPr>
      <w:r>
        <w:rPr>
          <w:rFonts w:ascii="Arial" w:hAnsi="Arial" w:cs="Arial"/>
        </w:rPr>
        <w:t>It</w:t>
      </w:r>
      <w:r w:rsidRPr="006E1240">
        <w:rPr>
          <w:rFonts w:ascii="Arial" w:hAnsi="Arial" w:cs="Arial"/>
        </w:rPr>
        <w:t xml:space="preserve"> is suggested to make the use of formal and academic language stronger at home and in the community to avoid too much use of informal language, which can affect students’ gramma</w:t>
      </w:r>
      <w:r w:rsidR="004B1C11">
        <w:rPr>
          <w:rFonts w:ascii="Arial" w:hAnsi="Arial" w:cs="Arial"/>
        </w:rPr>
        <w:t>tical competence</w:t>
      </w:r>
      <w:r w:rsidRPr="006E1240">
        <w:rPr>
          <w:rFonts w:ascii="Arial" w:hAnsi="Arial" w:cs="Arial"/>
        </w:rPr>
        <w:t>. Teachers should be encouraged to create lessons that connect reading strategies with grammar, so that students can use their thinking skills better when reading. Special grammar programs should also be offered to students, especially those with weak grammar, to help them improve in areas that reading strategies alone cannot fix.</w:t>
      </w:r>
    </w:p>
    <w:p w14:paraId="2D84AF32" w14:textId="77777777" w:rsidR="006E1240" w:rsidRPr="006E1240" w:rsidRDefault="006E1240" w:rsidP="006E1240">
      <w:pPr>
        <w:rPr>
          <w:rFonts w:ascii="Arial" w:hAnsi="Arial" w:cs="Arial"/>
        </w:rPr>
      </w:pPr>
    </w:p>
    <w:p w14:paraId="5641EB01" w14:textId="77777777" w:rsidR="006E1240" w:rsidRPr="006E1240" w:rsidRDefault="006E1240" w:rsidP="006E1240">
      <w:pPr>
        <w:rPr>
          <w:rFonts w:ascii="Arial" w:hAnsi="Arial" w:cs="Arial"/>
        </w:rPr>
      </w:pPr>
      <w:r w:rsidRPr="006E1240">
        <w:rPr>
          <w:rFonts w:ascii="Arial" w:hAnsi="Arial" w:cs="Arial"/>
        </w:rPr>
        <w:t>Next, schools should start a classroom program that promotes reading and writing through fun and meaningful activities. One example is a book-sharing contest where students can show their understanding and storytelling skills. To prepare, each student should keep a notebook where they write important details, lessons, and personal thoughts from what they read. This program will help students get better at reading, writing, and expressing themselves, while also encouraging a love for books.</w:t>
      </w:r>
    </w:p>
    <w:p w14:paraId="39E15709" w14:textId="77777777" w:rsidR="006E1240" w:rsidRPr="006E1240" w:rsidRDefault="006E1240" w:rsidP="006E1240">
      <w:pPr>
        <w:rPr>
          <w:rFonts w:ascii="Arial" w:hAnsi="Arial" w:cs="Arial"/>
        </w:rPr>
      </w:pPr>
    </w:p>
    <w:p w14:paraId="14D4CDA9" w14:textId="77777777" w:rsidR="006E1240" w:rsidRPr="006E1240" w:rsidRDefault="006E1240" w:rsidP="006E1240">
      <w:pPr>
        <w:rPr>
          <w:rFonts w:ascii="Arial" w:hAnsi="Arial" w:cs="Arial"/>
        </w:rPr>
      </w:pPr>
      <w:r w:rsidRPr="006E1240">
        <w:rPr>
          <w:rFonts w:ascii="Arial" w:hAnsi="Arial" w:cs="Arial"/>
        </w:rPr>
        <w:t>Lastly, schools should hold activities to improve students’ speaking and language learning. Events like storytelling, debates, and quick speeches can help students become more confident in using the language.</w:t>
      </w:r>
    </w:p>
    <w:p w14:paraId="42E29A9F" w14:textId="77777777" w:rsidR="006E1240" w:rsidRPr="006E1240" w:rsidRDefault="006E1240" w:rsidP="006E1240">
      <w:pPr>
        <w:rPr>
          <w:rFonts w:ascii="Arial" w:hAnsi="Arial" w:cs="Arial"/>
        </w:rPr>
      </w:pPr>
    </w:p>
    <w:p w14:paraId="20116BDD" w14:textId="77777777" w:rsidR="006E1240" w:rsidRDefault="006E1240" w:rsidP="006E1240">
      <w:pPr>
        <w:rPr>
          <w:rFonts w:ascii="Arial" w:hAnsi="Arial" w:cs="Arial"/>
        </w:rPr>
      </w:pPr>
      <w:r w:rsidRPr="006E1240">
        <w:rPr>
          <w:rFonts w:ascii="Arial" w:hAnsi="Arial" w:cs="Arial"/>
        </w:rPr>
        <w:t>Also, there should be a program where students can explain a concept or story through art and explain it in Filipino. These activities will help students understand the language better and build their creativity and communication skills.</w:t>
      </w:r>
    </w:p>
    <w:p w14:paraId="0A2B9635" w14:textId="77777777" w:rsidR="006E1240" w:rsidRDefault="006E1240" w:rsidP="006E1240">
      <w:pPr>
        <w:rPr>
          <w:rFonts w:ascii="Arial" w:hAnsi="Arial" w:cs="Arial"/>
        </w:rPr>
      </w:pPr>
    </w:p>
    <w:p w14:paraId="0D9A85F2" w14:textId="77777777" w:rsidR="006D6E01" w:rsidRDefault="006D6E01" w:rsidP="006D6E01">
      <w:r w:rsidRPr="006D6E01">
        <w:rPr>
          <w:rFonts w:ascii="Arial" w:hAnsi="Arial" w:cs="Arial"/>
          <w:b/>
          <w:bCs/>
          <w:sz w:val="24"/>
          <w:szCs w:val="24"/>
        </w:rPr>
        <w:t>DISCLAIMER (ARTIFICIAL INTELLIGENCE</w:t>
      </w:r>
      <w:r>
        <w:t>)</w:t>
      </w:r>
    </w:p>
    <w:p w14:paraId="7C114B3C" w14:textId="77777777" w:rsidR="006D6E01" w:rsidRDefault="006D6E01" w:rsidP="006D6E01"/>
    <w:p w14:paraId="4146125A" w14:textId="3E803116" w:rsidR="00315186" w:rsidRDefault="006D6E01" w:rsidP="006D6E01">
      <w:r>
        <w:t>The author(s) hereby declare that no generative AI technologies, but not limited to Large Language Models (e.g., ChatGPT, Copilot) or text-to-image generation tools, were utilized in the writing or editing of this manuscript.</w:t>
      </w:r>
    </w:p>
    <w:p w14:paraId="3483080F" w14:textId="77777777" w:rsidR="006D6E01" w:rsidRPr="00315186" w:rsidRDefault="006D6E01" w:rsidP="00441B6F"/>
    <w:p w14:paraId="26DC1144" w14:textId="77777777" w:rsidR="00371FB6" w:rsidRDefault="00371FB6" w:rsidP="00441B6F">
      <w:pPr>
        <w:pStyle w:val="ReferHead"/>
        <w:spacing w:after="0"/>
        <w:jc w:val="both"/>
        <w:rPr>
          <w:rFonts w:ascii="Arial" w:hAnsi="Arial" w:cs="Arial"/>
          <w:b w:val="0"/>
          <w:caps w:val="0"/>
          <w:sz w:val="20"/>
        </w:rPr>
      </w:pPr>
    </w:p>
    <w:p w14:paraId="008A1359" w14:textId="77777777" w:rsidR="002B685A" w:rsidRPr="006E0840" w:rsidRDefault="002B685A" w:rsidP="00441B6F">
      <w:pPr>
        <w:pStyle w:val="ReferHead"/>
        <w:spacing w:after="0"/>
        <w:jc w:val="both"/>
        <w:rPr>
          <w:rFonts w:ascii="Arial" w:hAnsi="Arial" w:cs="Arial"/>
          <w:b w:val="0"/>
          <w:caps w:val="0"/>
          <w:sz w:val="20"/>
        </w:rPr>
      </w:pPr>
    </w:p>
    <w:p w14:paraId="4C14DFB9" w14:textId="189B539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6D6E01">
        <w:rPr>
          <w:rFonts w:ascii="Arial" w:hAnsi="Arial" w:cs="Arial"/>
          <w:bCs/>
        </w:rPr>
        <w:t>and ethical approval</w:t>
      </w:r>
    </w:p>
    <w:p w14:paraId="57D7A45B" w14:textId="77777777" w:rsidR="002B685A" w:rsidRPr="002B685A" w:rsidRDefault="002B685A" w:rsidP="00441B6F">
      <w:pPr>
        <w:pStyle w:val="ReferHead"/>
        <w:spacing w:after="0"/>
        <w:jc w:val="both"/>
        <w:rPr>
          <w:rFonts w:ascii="Arial" w:hAnsi="Arial" w:cs="Arial"/>
          <w:bCs/>
        </w:rPr>
      </w:pPr>
    </w:p>
    <w:p w14:paraId="7233704F" w14:textId="10EB8EB9" w:rsidR="006D6E01" w:rsidRDefault="006D6E01" w:rsidP="00441B6F">
      <w:pPr>
        <w:pStyle w:val="ReferHead"/>
        <w:spacing w:after="0"/>
        <w:jc w:val="both"/>
        <w:rPr>
          <w:rFonts w:ascii="Arial" w:hAnsi="Arial" w:cs="Arial"/>
          <w:b w:val="0"/>
          <w:caps w:val="0"/>
          <w:sz w:val="20"/>
        </w:rPr>
      </w:pPr>
      <w:r>
        <w:rPr>
          <w:rFonts w:ascii="Arial" w:hAnsi="Arial" w:cs="Arial"/>
          <w:b w:val="0"/>
          <w:caps w:val="0"/>
          <w:sz w:val="20"/>
        </w:rPr>
        <w:t xml:space="preserve">Participants were given an informed consent form outlining the study’s purpose, procedures, potential risks and their right to withdraw at any time. Consent was obtained before the </w:t>
      </w:r>
      <w:r w:rsidR="009366E4">
        <w:rPr>
          <w:rFonts w:ascii="Arial" w:hAnsi="Arial" w:cs="Arial"/>
          <w:b w:val="0"/>
          <w:caps w:val="0"/>
          <w:sz w:val="20"/>
        </w:rPr>
        <w:t xml:space="preserve">conduct of the study began. </w:t>
      </w:r>
      <w:r>
        <w:rPr>
          <w:rFonts w:ascii="Arial" w:hAnsi="Arial" w:cs="Arial"/>
          <w:b w:val="0"/>
          <w:caps w:val="0"/>
          <w:sz w:val="20"/>
        </w:rPr>
        <w:t>Participant</w:t>
      </w:r>
      <w:r w:rsidR="009366E4">
        <w:rPr>
          <w:rFonts w:ascii="Arial" w:hAnsi="Arial" w:cs="Arial"/>
          <w:b w:val="0"/>
          <w:caps w:val="0"/>
          <w:sz w:val="20"/>
        </w:rPr>
        <w:t xml:space="preserve"> data were kept confidential. Only collected data were reported in the research findings and secure methods were used to store all data. After the conduct of the study, participants were debriefed for clarifications, for them to understand the purpose and the nature of the reward conditions. They also had the opportunity to ask questions and express concerns. Participation was voluntary, and participants could withdraw at any time without penalty. All collected data were purely for the purpose of this study, and no personal identifiers were included. Letters of approval were submitted to the dean of the graduate school and the course adviser and ethical approval were obtained. The researchers adhered </w:t>
      </w:r>
      <w:r w:rsidR="009366E4">
        <w:rPr>
          <w:rFonts w:ascii="Arial" w:hAnsi="Arial" w:cs="Arial"/>
          <w:b w:val="0"/>
          <w:caps w:val="0"/>
          <w:sz w:val="20"/>
        </w:rPr>
        <w:lastRenderedPageBreak/>
        <w:t xml:space="preserve">to ethical guidelines, specifically those outlined </w:t>
      </w:r>
      <w:r w:rsidR="000E3943">
        <w:rPr>
          <w:rFonts w:ascii="Arial" w:hAnsi="Arial" w:cs="Arial"/>
          <w:b w:val="0"/>
          <w:caps w:val="0"/>
          <w:sz w:val="20"/>
        </w:rPr>
        <w:t xml:space="preserve">in the university’s </w:t>
      </w:r>
      <w:r w:rsidR="000E3943" w:rsidRPr="000E3943">
        <w:rPr>
          <w:rFonts w:ascii="Arial" w:hAnsi="Arial" w:cs="Arial"/>
          <w:b w:val="0"/>
          <w:caps w:val="0"/>
          <w:sz w:val="20"/>
        </w:rPr>
        <w:t>Ethics Review Committee (UMERC)</w:t>
      </w:r>
      <w:r w:rsidR="000E3943">
        <w:rPr>
          <w:rFonts w:ascii="Arial" w:hAnsi="Arial" w:cs="Arial"/>
          <w:b w:val="0"/>
          <w:caps w:val="0"/>
          <w:sz w:val="20"/>
        </w:rPr>
        <w:t>.</w:t>
      </w:r>
    </w:p>
    <w:p w14:paraId="58D2D652" w14:textId="77777777" w:rsidR="00860000" w:rsidRDefault="00860000" w:rsidP="00441B6F">
      <w:pPr>
        <w:pStyle w:val="ReferHead"/>
        <w:spacing w:after="0"/>
        <w:jc w:val="both"/>
        <w:rPr>
          <w:rFonts w:ascii="Arial" w:hAnsi="Arial" w:cs="Arial"/>
        </w:rPr>
      </w:pPr>
    </w:p>
    <w:p w14:paraId="2B74F3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B2901F" w14:textId="77777777" w:rsidR="00790ADA" w:rsidRPr="00FB3A86" w:rsidRDefault="00790ADA" w:rsidP="00441B6F">
      <w:pPr>
        <w:pStyle w:val="ReferHead"/>
        <w:spacing w:after="0"/>
        <w:jc w:val="both"/>
        <w:rPr>
          <w:rFonts w:ascii="Arial" w:hAnsi="Arial" w:cs="Arial"/>
        </w:rPr>
      </w:pPr>
    </w:p>
    <w:p w14:paraId="2CAFD2D9" w14:textId="5A9E4EB3" w:rsidR="000E3943" w:rsidRDefault="000E3943" w:rsidP="000E3943">
      <w:pPr>
        <w:pStyle w:val="Body"/>
      </w:pPr>
      <w:proofErr w:type="spellStart"/>
      <w:r>
        <w:t>Algamal</w:t>
      </w:r>
      <w:proofErr w:type="spellEnd"/>
      <w:r>
        <w:t xml:space="preserve">, A. A. M., Bin-Hady, W. R. A., &amp; </w:t>
      </w:r>
      <w:proofErr w:type="spellStart"/>
      <w:r>
        <w:t>Ezzaldin</w:t>
      </w:r>
      <w:proofErr w:type="spellEnd"/>
      <w:r>
        <w:t xml:space="preserve">, A. S. (2021). Paragraph </w:t>
      </w:r>
      <w:r>
        <w:tab/>
      </w:r>
      <w:r>
        <w:tab/>
        <w:t xml:space="preserve">writing efficacy among Yemeni EFL university learners. </w:t>
      </w:r>
      <w:r>
        <w:tab/>
      </w:r>
      <w:r>
        <w:tab/>
      </w:r>
      <w:r>
        <w:tab/>
      </w:r>
      <w:r>
        <w:tab/>
      </w:r>
      <w:proofErr w:type="spellStart"/>
      <w:r>
        <w:t>Albaydha</w:t>
      </w:r>
      <w:proofErr w:type="spellEnd"/>
      <w:r>
        <w:t xml:space="preserve"> University Journal, 3(2), 863-874.</w:t>
      </w:r>
    </w:p>
    <w:p w14:paraId="462A9CFF" w14:textId="457DE626" w:rsidR="000E3943" w:rsidRDefault="000E3943" w:rsidP="000E3943">
      <w:pPr>
        <w:pStyle w:val="Body"/>
      </w:pPr>
      <w:proofErr w:type="spellStart"/>
      <w:r>
        <w:t>Alghamdy</w:t>
      </w:r>
      <w:proofErr w:type="spellEnd"/>
      <w:r>
        <w:t xml:space="preserve">, R. (2023). Efficacy of problem-based learning strategy to enhance </w:t>
      </w:r>
      <w:r>
        <w:tab/>
      </w:r>
      <w:r>
        <w:tab/>
        <w:t>EFL learners</w:t>
      </w:r>
      <w:proofErr w:type="gramStart"/>
      <w:r>
        <w:t>’  paragraph</w:t>
      </w:r>
      <w:proofErr w:type="gramEnd"/>
      <w:r>
        <w:t xml:space="preserve">  </w:t>
      </w:r>
      <w:proofErr w:type="gramStart"/>
      <w:r>
        <w:t>writing  and</w:t>
      </w:r>
      <w:proofErr w:type="gramEnd"/>
      <w:r>
        <w:t xml:space="preserve">  </w:t>
      </w:r>
      <w:proofErr w:type="gramStart"/>
      <w:r>
        <w:t xml:space="preserve">grammar  </w:t>
      </w:r>
      <w:r>
        <w:tab/>
      </w:r>
      <w:proofErr w:type="gramEnd"/>
      <w:r>
        <w:tab/>
      </w:r>
      <w:r>
        <w:tab/>
      </w:r>
      <w:r>
        <w:tab/>
      </w:r>
      <w:r>
        <w:tab/>
        <w:t xml:space="preserve">skills.  </w:t>
      </w:r>
      <w:proofErr w:type="gramStart"/>
      <w:r>
        <w:t>Arab  World</w:t>
      </w:r>
      <w:proofErr w:type="gramEnd"/>
      <w:r>
        <w:t xml:space="preserve">  English Journal, 14(1), 43–58. </w:t>
      </w:r>
      <w:r>
        <w:tab/>
      </w:r>
      <w:r>
        <w:tab/>
      </w:r>
      <w:r>
        <w:tab/>
      </w:r>
      <w:r>
        <w:tab/>
      </w:r>
      <w:r>
        <w:tab/>
        <w:t>https://doi.org/10.24093/awej/vol14no1.3</w:t>
      </w:r>
    </w:p>
    <w:p w14:paraId="015BE99E" w14:textId="4EA9B396" w:rsidR="000E3943" w:rsidRDefault="000E3943" w:rsidP="000E3943">
      <w:pPr>
        <w:pStyle w:val="Body"/>
      </w:pPr>
      <w:r>
        <w:t xml:space="preserve">Al-Ahdal, A. A. M. H., </w:t>
      </w:r>
      <w:proofErr w:type="spellStart"/>
      <w:r>
        <w:t>Alfallaj</w:t>
      </w:r>
      <w:proofErr w:type="spellEnd"/>
      <w:r>
        <w:t xml:space="preserve">, F., Al-Al Abri, A., Al </w:t>
      </w:r>
      <w:proofErr w:type="spellStart"/>
      <w:r>
        <w:t>Seyabi</w:t>
      </w:r>
      <w:proofErr w:type="spellEnd"/>
      <w:r>
        <w:t>, F., Al Humaidi, S.,</w:t>
      </w:r>
      <w:r>
        <w:tab/>
      </w:r>
      <w:r>
        <w:tab/>
        <w:t xml:space="preserve"> &amp; </w:t>
      </w:r>
      <w:r>
        <w:tab/>
        <w:t xml:space="preserve">Hasan, A. (2017). Grammar learning strategies in Omani </w:t>
      </w:r>
      <w:r>
        <w:tab/>
      </w:r>
      <w:r>
        <w:tab/>
      </w:r>
      <w:r>
        <w:tab/>
        <w:t xml:space="preserve">EFL </w:t>
      </w:r>
      <w:r>
        <w:tab/>
        <w:t xml:space="preserve">classes: Type and relation </w:t>
      </w:r>
      <w:r>
        <w:tab/>
        <w:t xml:space="preserve">to student proficiency. Journal of </w:t>
      </w:r>
      <w:r>
        <w:tab/>
      </w:r>
      <w:r>
        <w:tab/>
      </w:r>
      <w:r>
        <w:tab/>
        <w:t>Studies in Education, 7(2), 151. DOI:</w:t>
      </w:r>
    </w:p>
    <w:p w14:paraId="20D4340D" w14:textId="3BBCEC31" w:rsidR="000E3943" w:rsidRDefault="000E3943" w:rsidP="000E3943">
      <w:pPr>
        <w:pStyle w:val="Body"/>
      </w:pPr>
      <w:r>
        <w:t xml:space="preserve">Al-Ahdal, A. A. M. H., &amp; </w:t>
      </w:r>
      <w:proofErr w:type="spellStart"/>
      <w:r>
        <w:t>Alqasham</w:t>
      </w:r>
      <w:proofErr w:type="spellEnd"/>
      <w:r>
        <w:t>, F. H. (2020). EFL writing tasks and the</w:t>
      </w:r>
      <w:r>
        <w:tab/>
      </w:r>
      <w:r>
        <w:tab/>
      </w:r>
      <w:r>
        <w:tab/>
        <w:t xml:space="preserve">application of the concept of situatedness: Evaluating the </w:t>
      </w:r>
      <w:r>
        <w:tab/>
      </w:r>
      <w:r>
        <w:tab/>
      </w:r>
      <w:r>
        <w:tab/>
      </w:r>
      <w:r>
        <w:tab/>
        <w:t xml:space="preserve">theoretical and practical aspects of the Saudi EFL context. </w:t>
      </w:r>
      <w:r>
        <w:tab/>
      </w:r>
      <w:r>
        <w:tab/>
      </w:r>
      <w:r>
        <w:tab/>
      </w:r>
      <w:r>
        <w:tab/>
        <w:t xml:space="preserve">TESOL International Journal, 15(4), 167-190. </w:t>
      </w:r>
    </w:p>
    <w:p w14:paraId="07DD9537" w14:textId="77777777" w:rsidR="000E3943" w:rsidRDefault="000E3943" w:rsidP="000E3943">
      <w:pPr>
        <w:pStyle w:val="Body"/>
      </w:pPr>
      <w:r>
        <w:t xml:space="preserve">Al-khresheh, M., </w:t>
      </w:r>
      <w:proofErr w:type="spellStart"/>
      <w:r>
        <w:t>Khaerurrozikin</w:t>
      </w:r>
      <w:proofErr w:type="spellEnd"/>
      <w:r>
        <w:t xml:space="preserve">, A., &amp; Zaid, A. (2020). The efficiency of using </w:t>
      </w:r>
      <w:r>
        <w:tab/>
      </w:r>
      <w:r>
        <w:tab/>
        <w:t xml:space="preserve">pictures in teaching speaking skills of non-native Arabic beginner </w:t>
      </w:r>
      <w:r>
        <w:tab/>
      </w:r>
      <w:r>
        <w:tab/>
      </w:r>
      <w:r>
        <w:tab/>
        <w:t xml:space="preserve">students. Universal Journal of Educational Research, 8 (3), 872 - </w:t>
      </w:r>
      <w:r>
        <w:tab/>
      </w:r>
      <w:r>
        <w:tab/>
      </w:r>
      <w:r>
        <w:tab/>
        <w:t xml:space="preserve">878. DOI: 10.13189/ujer.2020.080318 </w:t>
      </w:r>
    </w:p>
    <w:p w14:paraId="7F4983D7" w14:textId="3C86A315" w:rsidR="000E3943" w:rsidRDefault="000E3943" w:rsidP="000E3943">
      <w:pPr>
        <w:pStyle w:val="Body"/>
      </w:pPr>
      <w:proofErr w:type="spellStart"/>
      <w:proofErr w:type="gramStart"/>
      <w:r>
        <w:t>Alova</w:t>
      </w:r>
      <w:proofErr w:type="spellEnd"/>
      <w:r>
        <w:t>,  I.M.C.</w:t>
      </w:r>
      <w:proofErr w:type="gramEnd"/>
      <w:r>
        <w:t xml:space="preserve">  and </w:t>
      </w:r>
      <w:proofErr w:type="spellStart"/>
      <w:proofErr w:type="gramStart"/>
      <w:r>
        <w:t>Alova</w:t>
      </w:r>
      <w:proofErr w:type="spellEnd"/>
      <w:r>
        <w:t>,  C.A.R.</w:t>
      </w:r>
      <w:proofErr w:type="gramEnd"/>
      <w:r>
        <w:t xml:space="preserve">, 2023.  </w:t>
      </w:r>
      <w:proofErr w:type="gramStart"/>
      <w:r>
        <w:t>Grammatical  and</w:t>
      </w:r>
      <w:proofErr w:type="gramEnd"/>
      <w:r>
        <w:t xml:space="preserve"> </w:t>
      </w:r>
      <w:proofErr w:type="gramStart"/>
      <w:r>
        <w:t>Academic  Writing</w:t>
      </w:r>
      <w:proofErr w:type="gramEnd"/>
      <w:r>
        <w:t xml:space="preserve">  </w:t>
      </w:r>
      <w:r>
        <w:tab/>
      </w:r>
      <w:r>
        <w:tab/>
        <w:t xml:space="preserve">Competence </w:t>
      </w:r>
      <w:proofErr w:type="gramStart"/>
      <w:r>
        <w:t>of  Special</w:t>
      </w:r>
      <w:proofErr w:type="gramEnd"/>
      <w:r>
        <w:t xml:space="preserve">  Science Class Students. Online</w:t>
      </w:r>
      <w:r>
        <w:tab/>
      </w:r>
      <w:r>
        <w:tab/>
      </w:r>
      <w:r>
        <w:tab/>
      </w:r>
      <w:r>
        <w:tab/>
        <w:t xml:space="preserve"> Submission, 4, pp.747-763. https://eric.ed.gov/?id=ED625379</w:t>
      </w:r>
    </w:p>
    <w:p w14:paraId="250852A7" w14:textId="73D5EDB6" w:rsidR="000E3943" w:rsidRDefault="000E3943" w:rsidP="000E3943">
      <w:pPr>
        <w:pStyle w:val="Body"/>
        <w:ind w:left="720" w:hanging="720"/>
      </w:pPr>
      <w:proofErr w:type="spellStart"/>
      <w:r>
        <w:t>Amroune</w:t>
      </w:r>
      <w:proofErr w:type="spellEnd"/>
      <w:r>
        <w:t xml:space="preserve">, A., &amp; </w:t>
      </w:r>
      <w:proofErr w:type="spellStart"/>
      <w:r>
        <w:t>Charik</w:t>
      </w:r>
      <w:proofErr w:type="spellEnd"/>
      <w:r>
        <w:t xml:space="preserve">, A. (2020). Exploring the relationship between grammar </w:t>
      </w:r>
      <w:r>
        <w:tab/>
        <w:t xml:space="preserve">learning strategies use and grammar </w:t>
      </w:r>
      <w:r>
        <w:tab/>
        <w:t xml:space="preserve">competence: a case of </w:t>
      </w:r>
      <w:r>
        <w:tab/>
        <w:t xml:space="preserve">second year students at </w:t>
      </w:r>
      <w:proofErr w:type="spellStart"/>
      <w:r>
        <w:t>M’sila</w:t>
      </w:r>
      <w:proofErr w:type="spellEnd"/>
      <w:r>
        <w:t xml:space="preserve"> </w:t>
      </w:r>
      <w:r>
        <w:tab/>
        <w:t xml:space="preserve">University. [Doctoral Dissertation]. </w:t>
      </w:r>
      <w:r>
        <w:tab/>
        <w:t>University</w:t>
      </w:r>
      <w:r>
        <w:tab/>
        <w:t xml:space="preserve"> Mohamed Boudiaf – </w:t>
      </w:r>
      <w:proofErr w:type="spellStart"/>
      <w:r>
        <w:t>M’sila</w:t>
      </w:r>
      <w:proofErr w:type="spellEnd"/>
      <w:r>
        <w:t>.</w:t>
      </w:r>
    </w:p>
    <w:p w14:paraId="7C6EB7D2" w14:textId="39FBE795" w:rsidR="000E3943" w:rsidRDefault="000E3943" w:rsidP="000E3943">
      <w:pPr>
        <w:pStyle w:val="Body"/>
      </w:pPr>
      <w:proofErr w:type="spellStart"/>
      <w:r>
        <w:t>Balones</w:t>
      </w:r>
      <w:proofErr w:type="spellEnd"/>
      <w:r>
        <w:t xml:space="preserve">, J &amp; </w:t>
      </w:r>
      <w:proofErr w:type="spellStart"/>
      <w:r>
        <w:t>Gempes</w:t>
      </w:r>
      <w:proofErr w:type="spellEnd"/>
      <w:r>
        <w:t xml:space="preserve">, G. (2022) A structural Equation Model on the </w:t>
      </w:r>
      <w:r>
        <w:tab/>
      </w:r>
      <w:r>
        <w:tab/>
      </w:r>
      <w:r>
        <w:tab/>
        <w:t xml:space="preserve">Grammatical </w:t>
      </w:r>
      <w:r>
        <w:tab/>
      </w:r>
      <w:r>
        <w:tab/>
      </w:r>
      <w:r>
        <w:tab/>
        <w:t xml:space="preserve">Competence of College Students. </w:t>
      </w:r>
      <w:r>
        <w:tab/>
      </w:r>
      <w:r>
        <w:tab/>
      </w:r>
      <w:r>
        <w:tab/>
        <w:t>International Journal of</w:t>
      </w:r>
      <w:r>
        <w:tab/>
        <w:t xml:space="preserve">Language &amp; </w:t>
      </w:r>
      <w:r>
        <w:tab/>
        <w:t xml:space="preserve">Linguistics. Vol. 9, No. 3; </w:t>
      </w:r>
      <w:r>
        <w:tab/>
        <w:t xml:space="preserve">September </w:t>
      </w:r>
      <w:r>
        <w:tab/>
        <w:t>2022 https://www.ijllnet.com/journals/Vol_9_No_3_September_2022/8.pdf</w:t>
      </w:r>
    </w:p>
    <w:p w14:paraId="09AD8227" w14:textId="77777777" w:rsidR="000E3943" w:rsidRDefault="000E3943" w:rsidP="000E3943">
      <w:pPr>
        <w:pStyle w:val="Body"/>
      </w:pPr>
      <w:proofErr w:type="spellStart"/>
      <w:r>
        <w:t>Bardovi-Harlig</w:t>
      </w:r>
      <w:proofErr w:type="spellEnd"/>
      <w:r>
        <w:t xml:space="preserve">, K. (1999). "Second Language Syntax and the Role of Input." </w:t>
      </w:r>
      <w:r>
        <w:tab/>
      </w:r>
      <w:r>
        <w:tab/>
        <w:t>Language Learning, 49(3), 507-533.</w:t>
      </w:r>
    </w:p>
    <w:p w14:paraId="61883ECF" w14:textId="45B3D4B5" w:rsidR="000E3943" w:rsidRDefault="000E3943" w:rsidP="000E3943">
      <w:pPr>
        <w:pStyle w:val="Body"/>
      </w:pPr>
      <w:r>
        <w:t xml:space="preserve">Bashir, I., and Mattoo, N. H. (2012). A </w:t>
      </w:r>
      <w:proofErr w:type="gramStart"/>
      <w:r>
        <w:t>study on study</w:t>
      </w:r>
      <w:proofErr w:type="gramEnd"/>
      <w:r>
        <w:t xml:space="preserve"> habits and academic </w:t>
      </w:r>
      <w:r>
        <w:tab/>
      </w:r>
      <w:r>
        <w:tab/>
        <w:t xml:space="preserve">performance among adolescents (14-19) years. Int. J. Soc. Sci. </w:t>
      </w:r>
      <w:r>
        <w:tab/>
      </w:r>
      <w:r>
        <w:tab/>
      </w:r>
      <w:r>
        <w:tab/>
        <w:t xml:space="preserve">Tomorrow </w:t>
      </w:r>
      <w:r>
        <w:tab/>
      </w:r>
      <w:r>
        <w:tab/>
        <w:t xml:space="preserve">        1, 1–5. International Journal of Educational Policy </w:t>
      </w:r>
      <w:r>
        <w:tab/>
        <w:t xml:space="preserve">Research and Review </w:t>
      </w:r>
      <w:r>
        <w:tab/>
        <w:t xml:space="preserve">Vol.7 (5), pp. 151-163 September, 2020 Available online at </w:t>
      </w:r>
      <w:r>
        <w:tab/>
        <w:t>https://www.journalissues.org/IJEPRR/ https://doi.org/10.15739/IJEPRR.20.017</w:t>
      </w:r>
    </w:p>
    <w:p w14:paraId="42DE8449" w14:textId="77777777" w:rsidR="000E3943" w:rsidRDefault="000E3943" w:rsidP="000E3943">
      <w:pPr>
        <w:pStyle w:val="Body"/>
      </w:pPr>
    </w:p>
    <w:p w14:paraId="3C32C022" w14:textId="3A14B029" w:rsidR="000E3943" w:rsidRDefault="000E3943" w:rsidP="000E3943">
      <w:pPr>
        <w:pStyle w:val="Body"/>
      </w:pPr>
      <w:r>
        <w:lastRenderedPageBreak/>
        <w:t xml:space="preserve">Bibi, A., Naseer, N., and Habib, Z. (2020). Study habits of students and </w:t>
      </w:r>
      <w:r>
        <w:tab/>
      </w:r>
      <w:r>
        <w:tab/>
      </w:r>
      <w:r>
        <w:tab/>
        <w:t xml:space="preserve">academic </w:t>
      </w:r>
      <w:r>
        <w:tab/>
      </w:r>
      <w:r>
        <w:tab/>
        <w:t xml:space="preserve">     achievement: A correlational study. Glob. </w:t>
      </w:r>
      <w:r>
        <w:tab/>
      </w:r>
      <w:r>
        <w:tab/>
      </w:r>
      <w:r>
        <w:tab/>
        <w:t xml:space="preserve">Educ. Stud. Rev. 5, 114–122. </w:t>
      </w:r>
      <w:proofErr w:type="spellStart"/>
      <w:r>
        <w:t>doi</w:t>
      </w:r>
      <w:proofErr w:type="spellEnd"/>
      <w:r>
        <w:t xml:space="preserve">: </w:t>
      </w:r>
      <w:r>
        <w:tab/>
      </w:r>
      <w:r>
        <w:tab/>
      </w:r>
      <w:r>
        <w:tab/>
      </w:r>
      <w:r>
        <w:tab/>
      </w:r>
      <w:r>
        <w:tab/>
      </w:r>
      <w:r>
        <w:tab/>
        <w:t xml:space="preserve"> </w:t>
      </w:r>
      <w:r>
        <w:tab/>
        <w:t>10.31703/gesr.2020(V-III).12</w:t>
      </w:r>
    </w:p>
    <w:p w14:paraId="14D0627A" w14:textId="61053A26" w:rsidR="000E3943" w:rsidRDefault="000E3943" w:rsidP="000E3943">
      <w:pPr>
        <w:pStyle w:val="Body"/>
      </w:pPr>
      <w:r>
        <w:t xml:space="preserve">Bin-Hady, W. R. A., Nasser, A. N. A., &amp; Al-Kadi, A. T. (2020). A </w:t>
      </w:r>
      <w:proofErr w:type="gramStart"/>
      <w:r>
        <w:t>Pre-</w:t>
      </w:r>
      <w:r>
        <w:tab/>
      </w:r>
      <w:r>
        <w:tab/>
      </w:r>
      <w:r>
        <w:tab/>
        <w:t>Experimental</w:t>
      </w:r>
      <w:proofErr w:type="gramEnd"/>
      <w:r>
        <w:t xml:space="preserve"> study </w:t>
      </w:r>
      <w:r>
        <w:tab/>
        <w:t xml:space="preserve">on a process-genre approach for </w:t>
      </w:r>
      <w:proofErr w:type="spellStart"/>
      <w:r>
        <w:t>teachingessa</w:t>
      </w:r>
      <w:proofErr w:type="spellEnd"/>
      <w:r>
        <w:t xml:space="preserve"> </w:t>
      </w:r>
      <w:r>
        <w:tab/>
      </w:r>
      <w:r>
        <w:tab/>
      </w:r>
      <w:r>
        <w:tab/>
        <w:t>writing. Journal of</w:t>
      </w:r>
      <w:r>
        <w:tab/>
      </w:r>
      <w:proofErr w:type="spellStart"/>
      <w:r>
        <w:t>Langage</w:t>
      </w:r>
      <w:proofErr w:type="spellEnd"/>
      <w:r>
        <w:t xml:space="preserve"> </w:t>
      </w:r>
      <w:r>
        <w:tab/>
        <w:t xml:space="preserve">and Education, </w:t>
      </w:r>
      <w:r>
        <w:tab/>
      </w:r>
      <w:r>
        <w:tab/>
      </w:r>
      <w:r>
        <w:tab/>
      </w:r>
      <w:r>
        <w:tab/>
      </w:r>
      <w:r>
        <w:tab/>
        <w:t xml:space="preserve">6(4), </w:t>
      </w:r>
      <w:r>
        <w:tab/>
        <w:t xml:space="preserve">44-54. </w:t>
      </w:r>
      <w:r>
        <w:tab/>
        <w:t xml:space="preserve">https://doi.org/10.17323/ </w:t>
      </w:r>
      <w:r>
        <w:tab/>
        <w:t xml:space="preserve">jle.2020.10347Burns, </w:t>
      </w:r>
    </w:p>
    <w:p w14:paraId="5F3ABE0A" w14:textId="2628D8FD" w:rsidR="000E3943" w:rsidRDefault="000E3943" w:rsidP="000E3943">
      <w:pPr>
        <w:pStyle w:val="Body"/>
      </w:pPr>
      <w:r>
        <w:t xml:space="preserve">Denise, Ann Devitt, Gerry McNamara, Joe O’Hara, and Martin Brown. </w:t>
      </w:r>
      <w:r>
        <w:tab/>
      </w:r>
      <w:r>
        <w:tab/>
      </w:r>
      <w:r>
        <w:tab/>
        <w:t xml:space="preserve">2018. </w:t>
      </w:r>
      <w:r>
        <w:tab/>
      </w:r>
      <w:r>
        <w:tab/>
        <w:t xml:space="preserve">“Is it all Memory Recall? An Empirical Investigation of </w:t>
      </w:r>
      <w:r>
        <w:tab/>
      </w:r>
      <w:r>
        <w:tab/>
      </w:r>
      <w:r>
        <w:tab/>
        <w:t xml:space="preserve">Intellectual Skill </w:t>
      </w:r>
      <w:r>
        <w:tab/>
        <w:t xml:space="preserve">Requirements in Leaving Certificate Examination </w:t>
      </w:r>
      <w:r>
        <w:tab/>
      </w:r>
      <w:r>
        <w:tab/>
        <w:t xml:space="preserve">Papers in Ireland.” Irish </w:t>
      </w:r>
      <w:r>
        <w:tab/>
        <w:t>Educational Studies 37 (3): 351–372.</w:t>
      </w:r>
      <w:r>
        <w:tab/>
      </w:r>
      <w:r>
        <w:tab/>
      </w:r>
      <w:r>
        <w:tab/>
        <w:t xml:space="preserve">https://doi.org/10.1080/03323315.2018.1484300 </w:t>
      </w:r>
    </w:p>
    <w:p w14:paraId="763293A7" w14:textId="2234D1DC" w:rsidR="000E3943" w:rsidRDefault="000E3943" w:rsidP="000E3943">
      <w:pPr>
        <w:pStyle w:val="Body"/>
      </w:pPr>
      <w:proofErr w:type="spellStart"/>
      <w:r>
        <w:t>Canagarajah</w:t>
      </w:r>
      <w:proofErr w:type="spellEnd"/>
      <w:r>
        <w:t xml:space="preserve">, S. (2023). Translingual Communication and the Future of </w:t>
      </w:r>
      <w:r>
        <w:tab/>
      </w:r>
      <w:r>
        <w:tab/>
      </w:r>
      <w:r>
        <w:tab/>
        <w:t>Multilingual Education. Cambridge University Press.</w:t>
      </w:r>
    </w:p>
    <w:p w14:paraId="6B5BB592" w14:textId="5F1D2D38" w:rsidR="000E3943" w:rsidRDefault="000E3943" w:rsidP="000E3943">
      <w:pPr>
        <w:pStyle w:val="Body"/>
      </w:pPr>
      <w:r>
        <w:t xml:space="preserve"> Canale, Michael, at Swain, Merrill. (1980). Theoretical Bases of Communicative</w:t>
      </w:r>
      <w:r>
        <w:tab/>
      </w:r>
      <w:r>
        <w:tab/>
      </w:r>
      <w:r>
        <w:tab/>
        <w:t xml:space="preserve"> Approaches to Second Language Teaching and </w:t>
      </w:r>
      <w:proofErr w:type="spellStart"/>
      <w:r>
        <w:t>Testing.Applied</w:t>
      </w:r>
      <w:proofErr w:type="spellEnd"/>
      <w:r>
        <w:t xml:space="preserve"> Linguistics, 1(1), 1–</w:t>
      </w:r>
      <w:r>
        <w:tab/>
        <w:t>47.</w:t>
      </w:r>
    </w:p>
    <w:p w14:paraId="2C76F0F8" w14:textId="5169E7C2" w:rsidR="000E3943" w:rsidRDefault="000E3943" w:rsidP="000E3943">
      <w:pPr>
        <w:pStyle w:val="Body"/>
      </w:pPr>
      <w:r>
        <w:t xml:space="preserve"> Castro, P., et al. (2021). The role of metacognition in reading comprehension in </w:t>
      </w:r>
      <w:r>
        <w:tab/>
      </w:r>
      <w:r>
        <w:tab/>
        <w:t>higher education. Literacy Education Journal, 26(1), 89-102.</w:t>
      </w:r>
    </w:p>
    <w:p w14:paraId="2CEAFCD7" w14:textId="5478D881" w:rsidR="000E3943" w:rsidRDefault="000E3943" w:rsidP="000E3943">
      <w:pPr>
        <w:pStyle w:val="Body"/>
      </w:pPr>
      <w:r>
        <w:t xml:space="preserve"> Cardenas-Hagan, E., Carlson, C. D., &amp; Pollard-</w:t>
      </w:r>
      <w:proofErr w:type="spellStart"/>
      <w:r>
        <w:t>Durodola</w:t>
      </w:r>
      <w:proofErr w:type="spellEnd"/>
      <w:r>
        <w:t xml:space="preserve">, S. D. (2007). The </w:t>
      </w:r>
      <w:r>
        <w:tab/>
      </w:r>
      <w:r>
        <w:tab/>
        <w:t>crosslinguistic transfer of early literacy skills: The role of initial L1 and</w:t>
      </w:r>
      <w:r>
        <w:tab/>
      </w:r>
      <w:r>
        <w:tab/>
        <w:t xml:space="preserve">L2skills and language of instruction. Language, Speech, and </w:t>
      </w:r>
      <w:r>
        <w:tab/>
      </w:r>
      <w:r>
        <w:tab/>
      </w:r>
      <w:r>
        <w:tab/>
        <w:t>Hearing Services in Schools, 38,249-259.</w:t>
      </w:r>
    </w:p>
    <w:p w14:paraId="6D8896C4" w14:textId="4A108013" w:rsidR="000E3943" w:rsidRDefault="000E3943" w:rsidP="000E3943">
      <w:pPr>
        <w:pStyle w:val="Body"/>
      </w:pPr>
      <w:r>
        <w:t xml:space="preserve"> Cooper, D. R., &amp; Schindler, P. S. (2019). Business Research Methods.</w:t>
      </w:r>
      <w:r>
        <w:tab/>
      </w:r>
      <w:r>
        <w:tab/>
        <w:t xml:space="preserve"> </w:t>
      </w:r>
      <w:r>
        <w:tab/>
        <w:t>McGraw-</w:t>
      </w:r>
      <w:r>
        <w:tab/>
        <w:t xml:space="preserve">Hill </w:t>
      </w:r>
      <w:r>
        <w:tab/>
        <w:t>Education.</w:t>
      </w:r>
    </w:p>
    <w:p w14:paraId="0506CB90" w14:textId="4717732E" w:rsidR="000E3943" w:rsidRDefault="000E3943" w:rsidP="000E3943">
      <w:pPr>
        <w:pStyle w:val="Body"/>
      </w:pPr>
      <w:r>
        <w:t xml:space="preserve"> Cortez, M. O. S., &amp; </w:t>
      </w:r>
      <w:proofErr w:type="spellStart"/>
      <w:r>
        <w:t>Genison</w:t>
      </w:r>
      <w:proofErr w:type="spellEnd"/>
      <w:r>
        <w:t>, C. E. (2021). Approaches in teaching grammar</w:t>
      </w:r>
      <w:r>
        <w:tab/>
      </w:r>
      <w:r>
        <w:tab/>
      </w:r>
      <w:proofErr w:type="spellStart"/>
      <w:r>
        <w:t>toyoung</w:t>
      </w:r>
      <w:proofErr w:type="spellEnd"/>
      <w:r>
        <w:t xml:space="preserve"> learners: A scoping review. British Journal of </w:t>
      </w:r>
      <w:r>
        <w:tab/>
        <w:t xml:space="preserve">Applied </w:t>
      </w:r>
      <w:r>
        <w:tab/>
      </w:r>
      <w:r>
        <w:tab/>
        <w:t xml:space="preserve">Linguistics, 29-33. https://al </w:t>
      </w:r>
      <w:r>
        <w:tab/>
      </w:r>
      <w:r>
        <w:tab/>
      </w:r>
      <w:r>
        <w:tab/>
      </w:r>
      <w:r>
        <w:tab/>
      </w:r>
      <w:r>
        <w:tab/>
        <w:t>kindipublisher.com/</w:t>
      </w:r>
      <w:proofErr w:type="spellStart"/>
      <w:r>
        <w:t>index.php</w:t>
      </w:r>
      <w:proofErr w:type="spellEnd"/>
      <w:r>
        <w:t>/</w:t>
      </w:r>
      <w:proofErr w:type="spellStart"/>
      <w:r>
        <w:t>bjal</w:t>
      </w:r>
      <w:proofErr w:type="spellEnd"/>
      <w:r>
        <w:t>/article/view/2461/2165</w:t>
      </w:r>
    </w:p>
    <w:p w14:paraId="794BDA51" w14:textId="728C82F9" w:rsidR="000E3943" w:rsidRDefault="000E3943" w:rsidP="000E3943">
      <w:pPr>
        <w:pStyle w:val="Body"/>
      </w:pPr>
      <w:r>
        <w:t>Cummins, J. (2000). Language, Power and Pedagogy: Bilingual Children in the</w:t>
      </w:r>
      <w:r>
        <w:tab/>
      </w:r>
      <w:r>
        <w:tab/>
      </w:r>
      <w:r>
        <w:tab/>
        <w:t xml:space="preserve"> Crossfire. Multilingual Matters.</w:t>
      </w:r>
    </w:p>
    <w:p w14:paraId="11660E53" w14:textId="2A23F491" w:rsidR="000E3943" w:rsidRDefault="000E3943" w:rsidP="000E3943">
      <w:pPr>
        <w:pStyle w:val="Body"/>
      </w:pPr>
      <w:r>
        <w:t xml:space="preserve"> Chomsky, Noam. (1965). Aspects of the Theory of Syntax. MIT Press.</w:t>
      </w:r>
    </w:p>
    <w:p w14:paraId="2273E137" w14:textId="749FB73B" w:rsidR="000E3943" w:rsidRDefault="000E3943" w:rsidP="000E3943">
      <w:pPr>
        <w:pStyle w:val="Body"/>
      </w:pPr>
      <w:r>
        <w:t xml:space="preserve"> </w:t>
      </w:r>
      <w:proofErr w:type="spellStart"/>
      <w:r>
        <w:t>Dangan</w:t>
      </w:r>
      <w:proofErr w:type="spellEnd"/>
      <w:r>
        <w:t xml:space="preserve">, J.P.N.P.  and </w:t>
      </w:r>
      <w:proofErr w:type="gramStart"/>
      <w:r>
        <w:t>Cruz,  R.A.O.D.,  2021</w:t>
      </w:r>
      <w:proofErr w:type="gramEnd"/>
      <w:r>
        <w:t xml:space="preserve">.  Effectiveness of </w:t>
      </w:r>
      <w:proofErr w:type="gramStart"/>
      <w:r>
        <w:t xml:space="preserve">English  </w:t>
      </w:r>
      <w:r>
        <w:tab/>
      </w:r>
      <w:proofErr w:type="gramEnd"/>
      <w:r>
        <w:tab/>
      </w:r>
      <w:r>
        <w:tab/>
        <w:t xml:space="preserve">Learner’s Material </w:t>
      </w:r>
      <w:proofErr w:type="gramStart"/>
      <w:r>
        <w:t>in  Enhancing</w:t>
      </w:r>
      <w:proofErr w:type="gramEnd"/>
      <w:r>
        <w:t xml:space="preserve">  Grammatical </w:t>
      </w:r>
      <w:r>
        <w:tab/>
      </w:r>
      <w:r>
        <w:tab/>
      </w:r>
      <w:r>
        <w:tab/>
      </w:r>
      <w:r>
        <w:tab/>
      </w:r>
      <w:proofErr w:type="gramStart"/>
      <w:r>
        <w:t>Competence  of</w:t>
      </w:r>
      <w:proofErr w:type="gramEnd"/>
      <w:r>
        <w:t xml:space="preserve">  </w:t>
      </w:r>
      <w:proofErr w:type="gramStart"/>
      <w:r>
        <w:t>Grade  9</w:t>
      </w:r>
      <w:proofErr w:type="gramEnd"/>
      <w:r>
        <w:t xml:space="preserve">  </w:t>
      </w:r>
      <w:proofErr w:type="gramStart"/>
      <w:r>
        <w:t>Bilingual  Students</w:t>
      </w:r>
      <w:proofErr w:type="gramEnd"/>
      <w:r>
        <w:t xml:space="preserve">:  </w:t>
      </w:r>
      <w:proofErr w:type="gramStart"/>
      <w:r>
        <w:t>A  Basis</w:t>
      </w:r>
      <w:proofErr w:type="gramEnd"/>
      <w:r>
        <w:t xml:space="preserve">  </w:t>
      </w:r>
      <w:proofErr w:type="gramStart"/>
      <w:r>
        <w:t>for  Supplementary</w:t>
      </w:r>
      <w:proofErr w:type="gramEnd"/>
      <w:r>
        <w:t xml:space="preserve">  </w:t>
      </w:r>
      <w:proofErr w:type="gramStart"/>
      <w:r>
        <w:t xml:space="preserve">Material  </w:t>
      </w:r>
      <w:r>
        <w:tab/>
      </w:r>
      <w:proofErr w:type="gramEnd"/>
      <w:r>
        <w:t xml:space="preserve">Development.  Asian </w:t>
      </w:r>
      <w:proofErr w:type="gramStart"/>
      <w:r>
        <w:t>Journal  of</w:t>
      </w:r>
      <w:proofErr w:type="gramEnd"/>
      <w:r>
        <w:t xml:space="preserve"> Multilingual and Multicultural Education, 1(1), pp.1-</w:t>
      </w:r>
      <w:r>
        <w:tab/>
        <w:t xml:space="preserve">12. http://e- </w:t>
      </w:r>
      <w:r>
        <w:tab/>
        <w:t>journal.naifaderu.org/</w:t>
      </w:r>
      <w:proofErr w:type="spellStart"/>
      <w:r>
        <w:t>index.php</w:t>
      </w:r>
      <w:proofErr w:type="spellEnd"/>
      <w:r>
        <w:t>/</w:t>
      </w:r>
      <w:proofErr w:type="spellStart"/>
      <w:r>
        <w:t>ajmme</w:t>
      </w:r>
      <w:proofErr w:type="spellEnd"/>
      <w:r>
        <w:t>/article/view/</w:t>
      </w:r>
    </w:p>
    <w:p w14:paraId="06DD8D13" w14:textId="607AB248" w:rsidR="000E3943" w:rsidRDefault="000E3943" w:rsidP="000E3943">
      <w:pPr>
        <w:pStyle w:val="Body"/>
      </w:pPr>
      <w:r>
        <w:t xml:space="preserve">DeKeyser, R. (2017). Knowledge and skill in SLA. In S. Loewen &amp; M. Sato </w:t>
      </w:r>
      <w:r>
        <w:tab/>
      </w:r>
      <w:r>
        <w:tab/>
        <w:t>(Eds.),</w:t>
      </w:r>
      <w:r>
        <w:tab/>
        <w:t xml:space="preserve">The Routledge handbook of instructed second language </w:t>
      </w:r>
      <w:r>
        <w:tab/>
      </w:r>
      <w:r>
        <w:tab/>
      </w:r>
      <w:r>
        <w:tab/>
        <w:t>acquisition (pp.15-32). Routledge</w:t>
      </w:r>
    </w:p>
    <w:p w14:paraId="68F190C0" w14:textId="6A74253F" w:rsidR="000E3943" w:rsidRDefault="000E3943" w:rsidP="000E3943">
      <w:pPr>
        <w:pStyle w:val="Body"/>
      </w:pPr>
      <w:r>
        <w:lastRenderedPageBreak/>
        <w:t xml:space="preserve">Derakhshan, A., &amp; Fathi, J. (2023). Grit and foreign language enjoyment as </w:t>
      </w:r>
      <w:r>
        <w:tab/>
      </w:r>
      <w:r>
        <w:tab/>
        <w:t>predictors of EFL learners’ online engagement: The mediating role of</w:t>
      </w:r>
      <w:r>
        <w:tab/>
      </w:r>
      <w:r>
        <w:tab/>
        <w:t xml:space="preserve">online learning self-efficacy. The Asia-Pacific Education Researcher, </w:t>
      </w:r>
      <w:r>
        <w:tab/>
      </w:r>
      <w:r>
        <w:tab/>
        <w:t>1</w:t>
      </w:r>
      <w:proofErr w:type="gramStart"/>
      <w:r>
        <w:t xml:space="preserve">–  </w:t>
      </w:r>
      <w:r w:rsidR="00366730">
        <w:tab/>
      </w:r>
      <w:proofErr w:type="gramEnd"/>
      <w:r>
        <w:t xml:space="preserve">11.  </w:t>
      </w:r>
    </w:p>
    <w:p w14:paraId="564EA913" w14:textId="372CDB61" w:rsidR="000E3943" w:rsidRDefault="000E3943" w:rsidP="000E3943">
      <w:pPr>
        <w:pStyle w:val="Body"/>
      </w:pPr>
      <w:r>
        <w:t xml:space="preserve">Dewi, A. (2012). English as an international language. Journal of English and </w:t>
      </w:r>
      <w:r>
        <w:tab/>
      </w:r>
      <w:r>
        <w:tab/>
        <w:t xml:space="preserve">Education and Education, 6(2), 1–11. </w:t>
      </w:r>
      <w:r>
        <w:tab/>
      </w:r>
      <w:r>
        <w:tab/>
      </w:r>
      <w:r>
        <w:tab/>
      </w:r>
      <w:r>
        <w:tab/>
      </w:r>
      <w:r>
        <w:tab/>
      </w:r>
      <w:r>
        <w:tab/>
      </w:r>
      <w:r>
        <w:tab/>
        <w:t xml:space="preserve">https://doi.org/10.20885/jee.vol6.iss2.art1      </w:t>
      </w:r>
    </w:p>
    <w:p w14:paraId="33DBCE29" w14:textId="48B4BD65" w:rsidR="000E3943" w:rsidRDefault="000E3943" w:rsidP="000E3943">
      <w:pPr>
        <w:pStyle w:val="Body"/>
      </w:pPr>
      <w:r>
        <w:t xml:space="preserve">Ellis, R. (2002). Does Form-Focused Instruction Affect the Acquisition of Implicit </w:t>
      </w:r>
      <w:r>
        <w:tab/>
      </w:r>
      <w:r>
        <w:tab/>
        <w:t>Knowledge? Studies in Second Language Acquisition, 24, 223-236.</w:t>
      </w:r>
      <w:r>
        <w:tab/>
      </w:r>
      <w:r>
        <w:tab/>
      </w:r>
      <w:r>
        <w:tab/>
        <w:t>https://doi.org/10.1017/S0272263102002073</w:t>
      </w:r>
    </w:p>
    <w:p w14:paraId="1280BF28" w14:textId="77777777" w:rsidR="000E3943" w:rsidRDefault="000E3943" w:rsidP="000E3943">
      <w:pPr>
        <w:pStyle w:val="Body"/>
      </w:pPr>
      <w:r>
        <w:t xml:space="preserve"> Ellis, R. (2009). Implicit and explicit learning, knowledge and instruction. In R. </w:t>
      </w:r>
      <w:r>
        <w:tab/>
      </w:r>
      <w:r>
        <w:tab/>
      </w:r>
    </w:p>
    <w:p w14:paraId="4F173FF9" w14:textId="4C02BEAA" w:rsidR="000E3943" w:rsidRDefault="000E3943" w:rsidP="000E3943">
      <w:pPr>
        <w:pStyle w:val="Body"/>
      </w:pPr>
      <w:r>
        <w:t xml:space="preserve"> </w:t>
      </w:r>
      <w:proofErr w:type="spellStart"/>
      <w:proofErr w:type="gramStart"/>
      <w:r>
        <w:t>Ellis,S</w:t>
      </w:r>
      <w:proofErr w:type="spellEnd"/>
      <w:r>
        <w:t>.</w:t>
      </w:r>
      <w:proofErr w:type="gramEnd"/>
      <w:r>
        <w:t xml:space="preserve"> Loewen, C. Elder, </w:t>
      </w:r>
      <w:proofErr w:type="spellStart"/>
      <w:proofErr w:type="gramStart"/>
      <w:r>
        <w:t>R.Erlam</w:t>
      </w:r>
      <w:proofErr w:type="spellEnd"/>
      <w:proofErr w:type="gramEnd"/>
      <w:r>
        <w:t xml:space="preserve">, J. Philp, &amp; H. Reinders (Eds.), Implicit </w:t>
      </w:r>
      <w:r>
        <w:tab/>
      </w:r>
      <w:r>
        <w:tab/>
        <w:t xml:space="preserve">and explicit knowledge in second language learning, testing and </w:t>
      </w:r>
      <w:r>
        <w:tab/>
      </w:r>
      <w:r>
        <w:tab/>
      </w:r>
      <w:r>
        <w:tab/>
        <w:t>teaching (pp.3-25). Multilingual Matters.</w:t>
      </w:r>
    </w:p>
    <w:p w14:paraId="31AA35C9" w14:textId="26BD59FB" w:rsidR="000E3943" w:rsidRDefault="000E3943" w:rsidP="000E3943">
      <w:pPr>
        <w:pStyle w:val="Body"/>
      </w:pPr>
      <w:r>
        <w:t xml:space="preserve"> </w:t>
      </w:r>
      <w:proofErr w:type="spellStart"/>
      <w:r>
        <w:t>Elfiondri</w:t>
      </w:r>
      <w:proofErr w:type="spellEnd"/>
      <w:r>
        <w:t xml:space="preserve"> (2019). Inter-lingual Errors of Indonesian-English in Relation to </w:t>
      </w:r>
      <w:r>
        <w:tab/>
      </w:r>
      <w:r>
        <w:tab/>
      </w:r>
      <w:r>
        <w:tab/>
        <w:t>English</w:t>
      </w:r>
    </w:p>
    <w:p w14:paraId="08E0B254" w14:textId="053E6674" w:rsidR="000E3943" w:rsidRDefault="000E3943" w:rsidP="000E3943">
      <w:pPr>
        <w:pStyle w:val="Body"/>
      </w:pPr>
      <w:r>
        <w:t xml:space="preserve"> Ehsan, T., and Sultana, N. (2020). Predicting the role of study habits in </w:t>
      </w:r>
      <w:r>
        <w:tab/>
      </w:r>
      <w:r>
        <w:tab/>
      </w:r>
      <w:r>
        <w:tab/>
        <w:t xml:space="preserve">academic achievement: A study of university students in Punjab. Pak. </w:t>
      </w:r>
      <w:r>
        <w:tab/>
      </w:r>
      <w:r>
        <w:tab/>
        <w:t xml:space="preserve">J. </w:t>
      </w:r>
      <w:r w:rsidR="00366730">
        <w:tab/>
      </w:r>
      <w:r>
        <w:t xml:space="preserve">Educ. 37, 95–112. </w:t>
      </w:r>
      <w:proofErr w:type="spellStart"/>
      <w:r>
        <w:t>doi</w:t>
      </w:r>
      <w:proofErr w:type="spellEnd"/>
      <w:r>
        <w:t>: 10.30971/</w:t>
      </w:r>
      <w:proofErr w:type="gramStart"/>
      <w:r>
        <w:t>pje.v</w:t>
      </w:r>
      <w:proofErr w:type="gramEnd"/>
      <w:r>
        <w:t>37i1.1410</w:t>
      </w:r>
    </w:p>
    <w:p w14:paraId="2F25F258" w14:textId="77777777" w:rsidR="000E3943" w:rsidRDefault="000E3943" w:rsidP="000E3943">
      <w:pPr>
        <w:pStyle w:val="Body"/>
      </w:pPr>
      <w:r>
        <w:t xml:space="preserve"> Eser, R. S., &amp; Ayaz, H. (2021). The effects of creative writing activities on</w:t>
      </w:r>
      <w:r>
        <w:tab/>
      </w:r>
      <w:r>
        <w:tab/>
      </w:r>
      <w:r>
        <w:tab/>
        <w:t xml:space="preserve"> </w:t>
      </w:r>
      <w:proofErr w:type="spellStart"/>
      <w:r>
        <w:t>narrativetext</w:t>
      </w:r>
      <w:proofErr w:type="spellEnd"/>
      <w:r>
        <w:t xml:space="preserve"> writing skills and advanced reading awareness. </w:t>
      </w:r>
      <w:r>
        <w:tab/>
      </w:r>
      <w:r>
        <w:tab/>
      </w:r>
      <w:r>
        <w:tab/>
        <w:t xml:space="preserve">Research in Pedagogy / </w:t>
      </w:r>
      <w:proofErr w:type="spellStart"/>
      <w:r>
        <w:t>Istraživanja</w:t>
      </w:r>
      <w:proofErr w:type="spellEnd"/>
      <w:r>
        <w:t xml:space="preserve"> u </w:t>
      </w:r>
      <w:proofErr w:type="spellStart"/>
      <w:r>
        <w:t>Pedagogiji</w:t>
      </w:r>
      <w:proofErr w:type="spellEnd"/>
      <w:r>
        <w:t>, 11(2), 639–660.</w:t>
      </w:r>
      <w:r>
        <w:tab/>
      </w:r>
      <w:r>
        <w:tab/>
        <w:t xml:space="preserve"> </w:t>
      </w:r>
      <w:r>
        <w:tab/>
        <w:t>https://doi.org/10.5937/IstrPed2102639E</w:t>
      </w:r>
    </w:p>
    <w:p w14:paraId="22548B1A" w14:textId="5FBE6F5C" w:rsidR="000E3943" w:rsidRDefault="000E3943" w:rsidP="000E3943">
      <w:pPr>
        <w:pStyle w:val="Body"/>
      </w:pPr>
      <w:r>
        <w:t xml:space="preserve"> Espinosa, L. (2008). Challenging Common Myths about Young English </w:t>
      </w:r>
      <w:r>
        <w:tab/>
      </w:r>
      <w:r>
        <w:tab/>
      </w:r>
      <w:r>
        <w:tab/>
      </w:r>
      <w:proofErr w:type="spellStart"/>
      <w:r>
        <w:t>LanguageLearners</w:t>
      </w:r>
      <w:proofErr w:type="spellEnd"/>
      <w:r>
        <w:t>, FCD Policy Brief, Advancing PK-3, No 8, NY.</w:t>
      </w:r>
      <w:r>
        <w:tab/>
      </w:r>
      <w:r>
        <w:tab/>
      </w:r>
      <w:r>
        <w:tab/>
        <w:t xml:space="preserve"> http://www.fcd us.org/</w:t>
      </w:r>
      <w:proofErr w:type="spellStart"/>
      <w:r>
        <w:t>usr_doc</w:t>
      </w:r>
      <w:proofErr w:type="spellEnd"/>
      <w:r>
        <w:t>/MythsOfTeachingELLsEspinosa.pdf</w:t>
      </w:r>
    </w:p>
    <w:p w14:paraId="7E879F35" w14:textId="4B122296" w:rsidR="000E3943" w:rsidRDefault="000E3943" w:rsidP="000E3943">
      <w:pPr>
        <w:pStyle w:val="Body"/>
      </w:pPr>
      <w:r>
        <w:t xml:space="preserve">  Flavell, J. H. (1979). Metacognition and cognitive monitoring: A new area of </w:t>
      </w:r>
      <w:r>
        <w:tab/>
      </w:r>
      <w:r>
        <w:tab/>
        <w:t xml:space="preserve">cognitive–developmental inquiry. American Psychologist, 34(10), </w:t>
      </w:r>
      <w:r>
        <w:tab/>
      </w:r>
      <w:r>
        <w:tab/>
      </w:r>
      <w:r>
        <w:tab/>
        <w:t>906–911.</w:t>
      </w:r>
    </w:p>
    <w:p w14:paraId="27FFB703" w14:textId="5B1FD649" w:rsidR="000E3943" w:rsidRDefault="000E3943" w:rsidP="000E3943">
      <w:pPr>
        <w:pStyle w:val="Body"/>
      </w:pPr>
      <w:r>
        <w:t xml:space="preserve">  </w:t>
      </w:r>
      <w:proofErr w:type="gramStart"/>
      <w:r>
        <w:t>Gamez,  P.</w:t>
      </w:r>
      <w:proofErr w:type="gramEnd"/>
      <w:r>
        <w:t xml:space="preserve">  B.  (2015).  Classroom-</w:t>
      </w:r>
      <w:proofErr w:type="gramStart"/>
      <w:r>
        <w:t>based  English</w:t>
      </w:r>
      <w:proofErr w:type="gramEnd"/>
      <w:r>
        <w:t xml:space="preserve">  </w:t>
      </w:r>
      <w:proofErr w:type="gramStart"/>
      <w:r>
        <w:t>exposure  and</w:t>
      </w:r>
      <w:proofErr w:type="gramEnd"/>
      <w:r>
        <w:t xml:space="preserve">  </w:t>
      </w:r>
      <w:proofErr w:type="gramStart"/>
      <w:r>
        <w:t xml:space="preserve">English  </w:t>
      </w:r>
      <w:r>
        <w:tab/>
      </w:r>
      <w:proofErr w:type="gramEnd"/>
      <w:r>
        <w:tab/>
      </w:r>
      <w:proofErr w:type="gramStart"/>
      <w:r>
        <w:t>language  learners</w:t>
      </w:r>
      <w:proofErr w:type="gramEnd"/>
      <w:r>
        <w:t xml:space="preserve">' expressive language skills. Early Childhood </w:t>
      </w:r>
      <w:r>
        <w:tab/>
      </w:r>
      <w:r>
        <w:tab/>
      </w:r>
      <w:r>
        <w:tab/>
        <w:t xml:space="preserve">Research Quarterly. 31(2), 135-146. DOI: </w:t>
      </w:r>
      <w:r>
        <w:tab/>
      </w:r>
      <w:r>
        <w:tab/>
      </w:r>
      <w:r>
        <w:tab/>
      </w:r>
      <w:r>
        <w:tab/>
      </w:r>
      <w:r>
        <w:tab/>
      </w:r>
      <w:r>
        <w:tab/>
        <w:t xml:space="preserve">10.1016/j.ecresq.2015.01.007 </w:t>
      </w:r>
    </w:p>
    <w:p w14:paraId="181CA77D" w14:textId="77777777" w:rsidR="000E3943" w:rsidRDefault="000E3943" w:rsidP="000E3943">
      <w:pPr>
        <w:pStyle w:val="Body"/>
      </w:pPr>
      <w:r>
        <w:t xml:space="preserve">  Gee, J. P. (2020). How to Do Discourse Analysis: A Toolkit for Teachers. </w:t>
      </w:r>
      <w:r>
        <w:tab/>
      </w:r>
      <w:r>
        <w:tab/>
        <w:t>Routledge.</w:t>
      </w:r>
    </w:p>
    <w:p w14:paraId="1E521F22" w14:textId="77777777" w:rsidR="000E3943" w:rsidRDefault="000E3943" w:rsidP="000E3943">
      <w:pPr>
        <w:pStyle w:val="Body"/>
      </w:pPr>
    </w:p>
    <w:p w14:paraId="4F812215" w14:textId="19B1BB85" w:rsidR="000E3943" w:rsidRDefault="000E3943" w:rsidP="000E3943">
      <w:pPr>
        <w:pStyle w:val="Body"/>
      </w:pPr>
      <w:r>
        <w:t xml:space="preserve">  </w:t>
      </w:r>
      <w:proofErr w:type="spellStart"/>
      <w:proofErr w:type="gramStart"/>
      <w:r>
        <w:t>Gilakjani</w:t>
      </w:r>
      <w:proofErr w:type="spellEnd"/>
      <w:r>
        <w:t>,  A.</w:t>
      </w:r>
      <w:proofErr w:type="gramEnd"/>
      <w:r>
        <w:t xml:space="preserve">  P., &amp;Sabouri, N.  B.  (2016). Learners’ </w:t>
      </w:r>
      <w:proofErr w:type="gramStart"/>
      <w:r>
        <w:t>Listening  Comprehension</w:t>
      </w:r>
      <w:proofErr w:type="gramEnd"/>
      <w:r>
        <w:t xml:space="preserve"> </w:t>
      </w:r>
      <w:r>
        <w:tab/>
        <w:t xml:space="preserve">Difficulties </w:t>
      </w:r>
      <w:r w:rsidR="00366730">
        <w:tab/>
      </w:r>
      <w:proofErr w:type="gramStart"/>
      <w:r>
        <w:t>in  English</w:t>
      </w:r>
      <w:proofErr w:type="gramEnd"/>
      <w:r>
        <w:t xml:space="preserve">  Language Learning: A Literature Review. English Language Teaching, </w:t>
      </w:r>
      <w:r w:rsidR="00366730">
        <w:tab/>
      </w:r>
      <w:r>
        <w:t>9(6), 123</w:t>
      </w:r>
    </w:p>
    <w:p w14:paraId="72F80339" w14:textId="6651A9A8" w:rsidR="000E3943" w:rsidRDefault="000E3943" w:rsidP="000E3943">
      <w:pPr>
        <w:pStyle w:val="Body"/>
      </w:pPr>
      <w:r>
        <w:lastRenderedPageBreak/>
        <w:t xml:space="preserve">  Gilo, T., Mohammed, N., 2024. An investigation into health science students’ </w:t>
      </w:r>
      <w:r>
        <w:tab/>
      </w:r>
      <w:r>
        <w:tab/>
        <w:t>English language needs. Journal of Second and Multiple Language</w:t>
      </w:r>
      <w:r>
        <w:tab/>
        <w:t xml:space="preserve"> </w:t>
      </w:r>
      <w:r>
        <w:tab/>
      </w:r>
      <w:r>
        <w:tab/>
        <w:t xml:space="preserve">Acquisition-JSMULA. 12(1), 514–538. DOI: </w:t>
      </w:r>
      <w:r>
        <w:tab/>
      </w:r>
      <w:r>
        <w:tab/>
      </w:r>
      <w:r>
        <w:tab/>
      </w:r>
      <w:r>
        <w:tab/>
      </w:r>
      <w:r>
        <w:tab/>
      </w:r>
      <w:r>
        <w:tab/>
        <w:t>https://doi.org/10.5281/zenodo.11208045</w:t>
      </w:r>
    </w:p>
    <w:p w14:paraId="41A0EBAF" w14:textId="2BFE52C0" w:rsidR="000E3943" w:rsidRDefault="000E3943" w:rsidP="000E3943">
      <w:pPr>
        <w:pStyle w:val="Body"/>
      </w:pPr>
      <w:r>
        <w:t xml:space="preserve">  </w:t>
      </w:r>
      <w:proofErr w:type="spellStart"/>
      <w:r>
        <w:t>Gumperz</w:t>
      </w:r>
      <w:proofErr w:type="spellEnd"/>
      <w:r>
        <w:t xml:space="preserve">, J. J., &amp; Hymes, D. (2022). Directions in Sociolinguistics: The </w:t>
      </w:r>
      <w:r>
        <w:tab/>
      </w:r>
      <w:r>
        <w:tab/>
      </w:r>
      <w:r>
        <w:tab/>
        <w:t>Ethnography of Communication. Wiley-Blackwell.</w:t>
      </w:r>
    </w:p>
    <w:p w14:paraId="6DB90C88" w14:textId="16305A40" w:rsidR="000E3943" w:rsidRDefault="000E3943" w:rsidP="000E3943">
      <w:pPr>
        <w:pStyle w:val="Body"/>
      </w:pPr>
      <w:r>
        <w:t xml:space="preserve">  Hamouda, A. (2013). An investigation of listening comprehension problems </w:t>
      </w:r>
      <w:r>
        <w:tab/>
      </w:r>
      <w:r>
        <w:tab/>
        <w:t xml:space="preserve">encountered by Saudi students in </w:t>
      </w:r>
      <w:proofErr w:type="gramStart"/>
      <w:r>
        <w:t>the  EL</w:t>
      </w:r>
      <w:proofErr w:type="gramEnd"/>
      <w:r>
        <w:t xml:space="preserve"> </w:t>
      </w:r>
      <w:proofErr w:type="gramStart"/>
      <w:r>
        <w:t>listening  classroom</w:t>
      </w:r>
      <w:proofErr w:type="gramEnd"/>
      <w:r>
        <w:t xml:space="preserve">. </w:t>
      </w:r>
      <w:r>
        <w:tab/>
      </w:r>
      <w:r>
        <w:tab/>
      </w:r>
      <w:r>
        <w:tab/>
      </w:r>
      <w:proofErr w:type="gramStart"/>
      <w:r>
        <w:t>International  Journal</w:t>
      </w:r>
      <w:proofErr w:type="gramEnd"/>
      <w:r>
        <w:t xml:space="preserve">  of </w:t>
      </w:r>
      <w:proofErr w:type="gramStart"/>
      <w:r>
        <w:t>Academic  Research</w:t>
      </w:r>
      <w:proofErr w:type="gramEnd"/>
      <w:r>
        <w:t xml:space="preserve">  in </w:t>
      </w:r>
      <w:proofErr w:type="gramStart"/>
      <w:r>
        <w:t xml:space="preserve">Progressive  </w:t>
      </w:r>
      <w:r>
        <w:tab/>
      </w:r>
      <w:proofErr w:type="gramEnd"/>
      <w:r>
        <w:tab/>
      </w:r>
      <w:r>
        <w:tab/>
      </w:r>
      <w:proofErr w:type="gramStart"/>
      <w:r>
        <w:t>Education  and</w:t>
      </w:r>
      <w:proofErr w:type="gramEnd"/>
      <w:r>
        <w:t xml:space="preserve"> Development,2(2), 113-155.</w:t>
      </w:r>
    </w:p>
    <w:p w14:paraId="224F8151" w14:textId="7A98A1E9" w:rsidR="000E3943" w:rsidRDefault="000E3943" w:rsidP="000E3943">
      <w:pPr>
        <w:pStyle w:val="Body"/>
      </w:pPr>
      <w:r>
        <w:t xml:space="preserve">   Hassan, S., &amp; Kaan, E. (2021). The Role of Immersive Language Exposure in </w:t>
      </w:r>
      <w:r>
        <w:tab/>
      </w:r>
      <w:r>
        <w:tab/>
        <w:t>Second Language Acquisition. Multilingual Matters.</w:t>
      </w:r>
    </w:p>
    <w:p w14:paraId="05B66A2E" w14:textId="0BB43E5A" w:rsidR="000E3943" w:rsidRDefault="000E3943" w:rsidP="000E3943">
      <w:pPr>
        <w:pStyle w:val="Body"/>
      </w:pPr>
      <w:r>
        <w:t xml:space="preserve">   Hart, B., &amp; Risley, T. R. (1995). Meaningful differences in the everyday </w:t>
      </w:r>
      <w:r>
        <w:tab/>
        <w:t xml:space="preserve">experience of </w:t>
      </w:r>
      <w:r w:rsidR="00366730">
        <w:tab/>
      </w:r>
      <w:r>
        <w:t>young American children. Paul H Brookes Publishing. pp. 30-</w:t>
      </w:r>
      <w:r>
        <w:tab/>
        <w:t>35.</w:t>
      </w:r>
    </w:p>
    <w:p w14:paraId="42140DC0" w14:textId="77777777" w:rsidR="000E3943" w:rsidRDefault="000E3943" w:rsidP="000E3943">
      <w:pPr>
        <w:pStyle w:val="Body"/>
      </w:pPr>
      <w:r>
        <w:t xml:space="preserve">   Hazem, A. H., &amp; Kanaan, M. H. (2020). Domain adverbs in legal English texts: </w:t>
      </w:r>
      <w:r>
        <w:tab/>
      </w:r>
      <w:r>
        <w:tab/>
        <w:t>Problems and strategies. IUP Journal of English Studies, 15(4), 130-</w:t>
      </w:r>
      <w:r>
        <w:tab/>
      </w:r>
      <w:r>
        <w:tab/>
        <w:t>141.</w:t>
      </w:r>
    </w:p>
    <w:p w14:paraId="0719E2B7" w14:textId="43B3908E" w:rsidR="000E3943" w:rsidRDefault="000E3943" w:rsidP="000E3943">
      <w:pPr>
        <w:pStyle w:val="Body"/>
      </w:pPr>
      <w:r>
        <w:t xml:space="preserve">   </w:t>
      </w:r>
      <w:proofErr w:type="spellStart"/>
      <w:r>
        <w:t>Isnaini</w:t>
      </w:r>
      <w:proofErr w:type="spellEnd"/>
      <w:r>
        <w:t xml:space="preserve">, S., &amp; </w:t>
      </w:r>
      <w:proofErr w:type="spellStart"/>
      <w:r>
        <w:t>Aminatun</w:t>
      </w:r>
      <w:proofErr w:type="spellEnd"/>
      <w:r>
        <w:t xml:space="preserve">, D.  (2021). </w:t>
      </w:r>
      <w:proofErr w:type="gramStart"/>
      <w:r>
        <w:t>Do  you</w:t>
      </w:r>
      <w:proofErr w:type="gramEnd"/>
      <w:r>
        <w:t xml:space="preserve">  </w:t>
      </w:r>
      <w:proofErr w:type="gramStart"/>
      <w:r>
        <w:t>like  listening</w:t>
      </w:r>
      <w:proofErr w:type="gramEnd"/>
      <w:r>
        <w:t xml:space="preserve"> to </w:t>
      </w:r>
      <w:proofErr w:type="gramStart"/>
      <w:r>
        <w:t>music?:</w:t>
      </w:r>
      <w:proofErr w:type="gramEnd"/>
      <w:r>
        <w:t xml:space="preserve">  Students’ </w:t>
      </w:r>
      <w:r>
        <w:tab/>
      </w:r>
      <w:proofErr w:type="spellStart"/>
      <w:r>
        <w:t>hought</w:t>
      </w:r>
      <w:proofErr w:type="spellEnd"/>
      <w:r>
        <w:t xml:space="preserve"> on their vocabulary mastery using English songs. Journal of </w:t>
      </w:r>
      <w:r>
        <w:tab/>
      </w:r>
      <w:r>
        <w:tab/>
        <w:t xml:space="preserve">English </w:t>
      </w:r>
      <w:proofErr w:type="gramStart"/>
      <w:r>
        <w:t>Language  Teaching</w:t>
      </w:r>
      <w:proofErr w:type="gramEnd"/>
      <w:r>
        <w:t xml:space="preserve">  </w:t>
      </w:r>
      <w:proofErr w:type="gramStart"/>
      <w:r>
        <w:t>and  Learning,  2</w:t>
      </w:r>
      <w:proofErr w:type="gramEnd"/>
      <w:r>
        <w:t>(2</w:t>
      </w:r>
      <w:proofErr w:type="gramStart"/>
      <w:r>
        <w:t>),  62</w:t>
      </w:r>
      <w:proofErr w:type="gramEnd"/>
      <w:r>
        <w:t xml:space="preserve">–67. </w:t>
      </w:r>
      <w:r>
        <w:tab/>
      </w:r>
      <w:r>
        <w:tab/>
      </w:r>
      <w:r>
        <w:tab/>
      </w:r>
      <w:r>
        <w:tab/>
        <w:t>https://doi.org/10.33365/jeltl.v2i2.901</w:t>
      </w:r>
    </w:p>
    <w:p w14:paraId="071B3CE2" w14:textId="474E51AF" w:rsidR="000E3943" w:rsidRDefault="000E3943" w:rsidP="000E3943">
      <w:pPr>
        <w:pStyle w:val="Body"/>
      </w:pPr>
      <w:r>
        <w:t xml:space="preserve">   Ismail, I., &amp; Dedi, D. (2021). Grammar Learning Strategies Practice: An</w:t>
      </w:r>
      <w:r>
        <w:tab/>
      </w:r>
      <w:r>
        <w:tab/>
      </w:r>
      <w:r>
        <w:tab/>
        <w:t xml:space="preserve">Investigation of </w:t>
      </w:r>
      <w:r>
        <w:tab/>
        <w:t>Strategies-Based Instruction Effect on</w:t>
      </w:r>
      <w:r>
        <w:tab/>
      </w:r>
      <w:r>
        <w:tab/>
      </w:r>
      <w:r>
        <w:tab/>
      </w:r>
      <w:r>
        <w:tab/>
        <w:t>Grammatical</w:t>
      </w:r>
      <w:r>
        <w:tab/>
      </w:r>
      <w:r>
        <w:tab/>
        <w:t xml:space="preserve"> Competence. ELS Journal</w:t>
      </w:r>
      <w:r>
        <w:tab/>
      </w:r>
      <w:r>
        <w:tab/>
        <w:t xml:space="preserve">on </w:t>
      </w:r>
      <w:r>
        <w:tab/>
      </w:r>
      <w:r>
        <w:tab/>
      </w:r>
      <w:r>
        <w:tab/>
      </w:r>
      <w:proofErr w:type="gramStart"/>
      <w:r>
        <w:t>Interdisciplinary  Studies</w:t>
      </w:r>
      <w:proofErr w:type="gramEnd"/>
      <w:r>
        <w:t xml:space="preserve"> in</w:t>
      </w:r>
      <w:r>
        <w:tab/>
        <w:t xml:space="preserve">Humanities, 4(3), 260-265. </w:t>
      </w:r>
      <w:r>
        <w:tab/>
      </w:r>
      <w:r>
        <w:tab/>
      </w:r>
      <w:r>
        <w:tab/>
        <w:t>DOI:</w:t>
      </w:r>
    </w:p>
    <w:p w14:paraId="578410F9" w14:textId="2CB27F91" w:rsidR="000E3943" w:rsidRDefault="000E3943" w:rsidP="000E3943">
      <w:pPr>
        <w:pStyle w:val="Body"/>
      </w:pPr>
      <w:r>
        <w:t xml:space="preserve">   </w:t>
      </w:r>
      <w:proofErr w:type="spellStart"/>
      <w:r>
        <w:t>Kehing</w:t>
      </w:r>
      <w:proofErr w:type="spellEnd"/>
      <w:r>
        <w:t xml:space="preserve">, K. L., &amp; Yunus, M. M. (2021). Systematic Review on Language </w:t>
      </w:r>
      <w:r>
        <w:tab/>
      </w:r>
      <w:r>
        <w:tab/>
      </w:r>
      <w:r>
        <w:tab/>
        <w:t xml:space="preserve">Learning Strategies for Speaking Skills in a New Learning </w:t>
      </w:r>
      <w:r>
        <w:tab/>
      </w:r>
      <w:r>
        <w:tab/>
      </w:r>
      <w:r>
        <w:tab/>
      </w:r>
      <w:r>
        <w:tab/>
      </w:r>
      <w:proofErr w:type="spellStart"/>
      <w:r>
        <w:t>Environment.European</w:t>
      </w:r>
      <w:proofErr w:type="spellEnd"/>
      <w:r>
        <w:t xml:space="preserve"> Journal of Educational Research, 10(2), </w:t>
      </w:r>
      <w:r>
        <w:tab/>
      </w:r>
      <w:r>
        <w:tab/>
      </w:r>
      <w:r>
        <w:tab/>
        <w:t>643–652.https://doi.org/10.12973/eu-jer.10.2.643</w:t>
      </w:r>
    </w:p>
    <w:p w14:paraId="008BFD4C" w14:textId="77777777" w:rsidR="000E3943" w:rsidRDefault="000E3943" w:rsidP="000E3943">
      <w:pPr>
        <w:pStyle w:val="Body"/>
      </w:pPr>
      <w:r>
        <w:t xml:space="preserve">   Lillis, T., &amp; Scott, M. (2021). Academic Writing and Communities of Practice. </w:t>
      </w:r>
      <w:r>
        <w:tab/>
        <w:t>Routledge.</w:t>
      </w:r>
    </w:p>
    <w:p w14:paraId="113ABA2D" w14:textId="1576B651" w:rsidR="000E3943" w:rsidRDefault="000E3943" w:rsidP="000E3943">
      <w:pPr>
        <w:pStyle w:val="Body"/>
      </w:pPr>
      <w:r>
        <w:t xml:space="preserve">   </w:t>
      </w:r>
      <w:proofErr w:type="spellStart"/>
      <w:r>
        <w:t>Lutviana</w:t>
      </w:r>
      <w:proofErr w:type="spellEnd"/>
      <w:r>
        <w:t xml:space="preserve">, V., 2020. A correlational study between students’ grammar mastery </w:t>
      </w:r>
      <w:r>
        <w:tab/>
        <w:t xml:space="preserve">and their </w:t>
      </w:r>
      <w:r w:rsidR="00366730">
        <w:tab/>
      </w:r>
      <w:r>
        <w:t>writing achievement. Available from: https://core.</w:t>
      </w:r>
      <w:r>
        <w:tab/>
      </w:r>
      <w:r>
        <w:tab/>
        <w:t xml:space="preserve"> </w:t>
      </w:r>
      <w:r>
        <w:tab/>
      </w:r>
      <w:r>
        <w:tab/>
        <w:t>ac.uk/download/pdf/335075531.pdf (cited 1 March 2024).</w:t>
      </w:r>
    </w:p>
    <w:p w14:paraId="150512B3" w14:textId="77777777" w:rsidR="000E3943" w:rsidRDefault="000E3943" w:rsidP="000E3943">
      <w:pPr>
        <w:pStyle w:val="Body"/>
      </w:pPr>
      <w:r>
        <w:t xml:space="preserve">   Ly, K. C. (2020) The Importance of Grammar in Language Teaching and </w:t>
      </w:r>
      <w:r>
        <w:tab/>
      </w:r>
      <w:r>
        <w:tab/>
        <w:t>Learning.</w:t>
      </w:r>
    </w:p>
    <w:p w14:paraId="7EAB1DA6" w14:textId="77777777" w:rsidR="000E3943" w:rsidRDefault="000E3943" w:rsidP="000E3943">
      <w:pPr>
        <w:pStyle w:val="Body"/>
      </w:pPr>
    </w:p>
    <w:p w14:paraId="03D85703" w14:textId="211BE85C" w:rsidR="000E3943" w:rsidRDefault="000E3943" w:rsidP="000E3943">
      <w:pPr>
        <w:pStyle w:val="Body"/>
      </w:pPr>
      <w:r>
        <w:t xml:space="preserve">   </w:t>
      </w:r>
      <w:proofErr w:type="spellStart"/>
      <w:proofErr w:type="gramStart"/>
      <w:r>
        <w:t>Magogwe</w:t>
      </w:r>
      <w:proofErr w:type="spellEnd"/>
      <w:r>
        <w:t xml:space="preserve">  </w:t>
      </w:r>
      <w:proofErr w:type="spellStart"/>
      <w:r>
        <w:t>j.M.</w:t>
      </w:r>
      <w:proofErr w:type="spellEnd"/>
      <w:r>
        <w:t>,  2013</w:t>
      </w:r>
      <w:proofErr w:type="gramEnd"/>
      <w:r>
        <w:t xml:space="preserve">).  </w:t>
      </w:r>
      <w:proofErr w:type="gramStart"/>
      <w:r>
        <w:t>Metacognitive  awareness</w:t>
      </w:r>
      <w:proofErr w:type="gramEnd"/>
      <w:r>
        <w:t xml:space="preserve">  </w:t>
      </w:r>
      <w:proofErr w:type="gramStart"/>
      <w:r>
        <w:t>of  reading</w:t>
      </w:r>
      <w:proofErr w:type="gramEnd"/>
      <w:r>
        <w:t xml:space="preserve">  </w:t>
      </w:r>
      <w:proofErr w:type="gramStart"/>
      <w:r>
        <w:t>strategies  of</w:t>
      </w:r>
      <w:proofErr w:type="gramEnd"/>
      <w:r>
        <w:t xml:space="preserve">  </w:t>
      </w:r>
      <w:r>
        <w:tab/>
      </w:r>
      <w:r>
        <w:tab/>
      </w:r>
      <w:proofErr w:type="gramStart"/>
      <w:r>
        <w:t>university  of</w:t>
      </w:r>
      <w:proofErr w:type="gramEnd"/>
      <w:r>
        <w:t xml:space="preserve">  </w:t>
      </w:r>
      <w:proofErr w:type="gramStart"/>
      <w:r>
        <w:t>Botswana  English</w:t>
      </w:r>
      <w:proofErr w:type="gramEnd"/>
      <w:r>
        <w:t xml:space="preserve">  as second language students of </w:t>
      </w:r>
      <w:r>
        <w:tab/>
      </w:r>
      <w:r>
        <w:tab/>
      </w:r>
      <w:r>
        <w:tab/>
        <w:t>different, reading proficiencies, Recoding &amp; writing 4(1),1-8.</w:t>
      </w:r>
    </w:p>
    <w:p w14:paraId="08A78939" w14:textId="55E23979" w:rsidR="000E3943" w:rsidRDefault="000E3943" w:rsidP="000E3943">
      <w:pPr>
        <w:pStyle w:val="Body"/>
      </w:pPr>
      <w:r>
        <w:lastRenderedPageBreak/>
        <w:t xml:space="preserve">  Magno et al. (2009). Assessing the level of English language exposure of </w:t>
      </w:r>
      <w:r>
        <w:tab/>
      </w:r>
      <w:r>
        <w:tab/>
        <w:t xml:space="preserve">Taiwanese college students in Taiwan and the Philippines. Asian </w:t>
      </w:r>
      <w:r>
        <w:tab/>
      </w:r>
      <w:r>
        <w:tab/>
      </w:r>
      <w:r>
        <w:tab/>
        <w:t xml:space="preserve">EFL Journal. 11(1), </w:t>
      </w:r>
      <w:r>
        <w:tab/>
        <w:t>63-75</w:t>
      </w:r>
    </w:p>
    <w:p w14:paraId="4AFF9BA2" w14:textId="4602861F" w:rsidR="000E3943" w:rsidRDefault="004B1C11" w:rsidP="000E3943">
      <w:pPr>
        <w:pStyle w:val="Body"/>
      </w:pPr>
      <w:r>
        <w:t xml:space="preserve"> </w:t>
      </w:r>
      <w:r w:rsidR="000E3943">
        <w:t xml:space="preserve">Mayer, R. E. (2001). Multimedia learning (pp. 44–45). Cambridge University </w:t>
      </w:r>
      <w:r w:rsidR="000E3943">
        <w:tab/>
      </w:r>
      <w:r w:rsidR="000E3943">
        <w:tab/>
        <w:t>Press</w:t>
      </w:r>
    </w:p>
    <w:p w14:paraId="3A9FE726" w14:textId="3A3BE8ED" w:rsidR="000E3943" w:rsidRDefault="004B1C11" w:rsidP="000E3943">
      <w:pPr>
        <w:pStyle w:val="Body"/>
      </w:pPr>
      <w:r>
        <w:t xml:space="preserve"> </w:t>
      </w:r>
      <w:proofErr w:type="spellStart"/>
      <w:r w:rsidR="000E3943">
        <w:t>Marulis</w:t>
      </w:r>
      <w:proofErr w:type="spellEnd"/>
      <w:r w:rsidR="000E3943">
        <w:t xml:space="preserve">, L. M., &amp; Nelson, L. J. (2021). Metacognitive processes and </w:t>
      </w:r>
      <w:r w:rsidR="000E3943">
        <w:tab/>
      </w:r>
      <w:r w:rsidR="000E3943">
        <w:tab/>
        <w:t xml:space="preserve">associations </w:t>
      </w:r>
      <w:r w:rsidR="000E3943">
        <w:tab/>
        <w:t xml:space="preserve">to executive function and motivation during a problem-solving </w:t>
      </w:r>
      <w:r w:rsidR="000E3943">
        <w:tab/>
        <w:t>task in 3–</w:t>
      </w:r>
      <w:proofErr w:type="gramStart"/>
      <w:r w:rsidR="000E3943">
        <w:t>5 year olds</w:t>
      </w:r>
      <w:proofErr w:type="gramEnd"/>
      <w:r w:rsidR="000E3943">
        <w:t>. Metacognition and Learning, 16(1), 207-23</w:t>
      </w:r>
    </w:p>
    <w:p w14:paraId="20F17A3A" w14:textId="138FC1DA" w:rsidR="000E3943" w:rsidRDefault="004B1C11" w:rsidP="000E3943">
      <w:pPr>
        <w:pStyle w:val="Body"/>
      </w:pPr>
      <w:r>
        <w:t xml:space="preserve"> </w:t>
      </w:r>
      <w:proofErr w:type="spellStart"/>
      <w:proofErr w:type="gramStart"/>
      <w:r w:rsidR="000E3943">
        <w:t>Masalimova</w:t>
      </w:r>
      <w:proofErr w:type="spellEnd"/>
      <w:r w:rsidR="000E3943">
        <w:t>,  A.</w:t>
      </w:r>
      <w:proofErr w:type="gramEnd"/>
      <w:r w:rsidR="000E3943">
        <w:t xml:space="preserve"> R.</w:t>
      </w:r>
      <w:proofErr w:type="gramStart"/>
      <w:r w:rsidR="000E3943">
        <w:t xml:space="preserve">,  </w:t>
      </w:r>
      <w:proofErr w:type="spellStart"/>
      <w:r w:rsidR="000E3943">
        <w:t>Porchesku</w:t>
      </w:r>
      <w:proofErr w:type="spellEnd"/>
      <w:r w:rsidR="000E3943">
        <w:t>,  G.</w:t>
      </w:r>
      <w:proofErr w:type="gramEnd"/>
      <w:r w:rsidR="000E3943">
        <w:t xml:space="preserve">  V., &amp;</w:t>
      </w:r>
      <w:proofErr w:type="spellStart"/>
      <w:proofErr w:type="gramStart"/>
      <w:r w:rsidR="000E3943">
        <w:t>Liakhnovitch</w:t>
      </w:r>
      <w:proofErr w:type="spellEnd"/>
      <w:r w:rsidR="000E3943">
        <w:t>,  T.</w:t>
      </w:r>
      <w:proofErr w:type="gramEnd"/>
      <w:r w:rsidR="000E3943">
        <w:t xml:space="preserve">  L.  (2016).  </w:t>
      </w:r>
      <w:proofErr w:type="gramStart"/>
      <w:r w:rsidR="000E3943">
        <w:t xml:space="preserve">Linguistic  </w:t>
      </w:r>
      <w:r w:rsidR="000E3943">
        <w:tab/>
        <w:t>foundation  of</w:t>
      </w:r>
      <w:proofErr w:type="gramEnd"/>
      <w:r w:rsidR="000E3943">
        <w:t xml:space="preserve"> </w:t>
      </w:r>
      <w:proofErr w:type="gramStart"/>
      <w:r w:rsidR="000E3943">
        <w:t>foreign  language</w:t>
      </w:r>
      <w:proofErr w:type="gramEnd"/>
      <w:r w:rsidR="000E3943">
        <w:t xml:space="preserve"> listening comprehension.</w:t>
      </w:r>
      <w:r w:rsidR="000E3943">
        <w:tab/>
      </w:r>
      <w:r w:rsidR="000E3943">
        <w:tab/>
      </w:r>
      <w:r w:rsidR="000E3943">
        <w:tab/>
      </w:r>
      <w:r w:rsidR="000E3943">
        <w:tab/>
        <w:t xml:space="preserve"> International Electronic Journal of Mathematics Education, 11(1), </w:t>
      </w:r>
      <w:r w:rsidR="000E3943">
        <w:tab/>
      </w:r>
      <w:r w:rsidR="000E3943">
        <w:tab/>
      </w:r>
      <w:r w:rsidR="000E3943">
        <w:tab/>
        <w:t>123-131.</w:t>
      </w:r>
    </w:p>
    <w:p w14:paraId="4A97BCF4" w14:textId="6CD9169E" w:rsidR="000E3943" w:rsidRDefault="000E3943" w:rsidP="000E3943">
      <w:pPr>
        <w:pStyle w:val="Body"/>
      </w:pPr>
      <w:proofErr w:type="gramStart"/>
      <w:r>
        <w:t>Merza,  H.N.M.,  2022</w:t>
      </w:r>
      <w:proofErr w:type="gramEnd"/>
      <w:r>
        <w:t xml:space="preserve">.  </w:t>
      </w:r>
      <w:proofErr w:type="gramStart"/>
      <w:r>
        <w:t>English  Grammar</w:t>
      </w:r>
      <w:proofErr w:type="gramEnd"/>
      <w:r>
        <w:t xml:space="preserve">  </w:t>
      </w:r>
      <w:proofErr w:type="gramStart"/>
      <w:r>
        <w:t>Competence  of</w:t>
      </w:r>
      <w:proofErr w:type="gramEnd"/>
      <w:r>
        <w:t xml:space="preserve">  </w:t>
      </w:r>
      <w:proofErr w:type="gramStart"/>
      <w:r>
        <w:t>Filipino  College</w:t>
      </w:r>
      <w:proofErr w:type="gramEnd"/>
      <w:r>
        <w:t xml:space="preserve">  </w:t>
      </w:r>
      <w:r>
        <w:tab/>
      </w:r>
      <w:r>
        <w:tab/>
        <w:t xml:space="preserve">Freshmen.  </w:t>
      </w:r>
      <w:proofErr w:type="gramStart"/>
      <w:r>
        <w:t>Journal  of</w:t>
      </w:r>
      <w:proofErr w:type="gramEnd"/>
      <w:r>
        <w:t xml:space="preserve">  </w:t>
      </w:r>
      <w:proofErr w:type="gramStart"/>
      <w:r>
        <w:t>Positive  School</w:t>
      </w:r>
      <w:proofErr w:type="gramEnd"/>
      <w:r>
        <w:t xml:space="preserve"> Psychology, pp.2949-</w:t>
      </w:r>
      <w:r>
        <w:tab/>
      </w:r>
      <w:r>
        <w:tab/>
      </w:r>
      <w:r>
        <w:tab/>
        <w:t xml:space="preserve">2958. </w:t>
      </w:r>
      <w:r>
        <w:tab/>
        <w:t>https://journalppw.com/index.php/jpsp/article/view/3766</w:t>
      </w:r>
    </w:p>
    <w:p w14:paraId="2B13F17F" w14:textId="577E6BC6" w:rsidR="000E3943" w:rsidRDefault="000E3943" w:rsidP="000E3943">
      <w:pPr>
        <w:pStyle w:val="Body"/>
      </w:pPr>
      <w:proofErr w:type="spellStart"/>
      <w:proofErr w:type="gramStart"/>
      <w:r>
        <w:t>Mesrabadi</w:t>
      </w:r>
      <w:proofErr w:type="spellEnd"/>
      <w:r>
        <w:t>,  J.</w:t>
      </w:r>
      <w:proofErr w:type="gramEnd"/>
      <w:r>
        <w:t xml:space="preserve">  </w:t>
      </w:r>
      <w:proofErr w:type="gramStart"/>
      <w:r>
        <w:t>&amp;  Erfani</w:t>
      </w:r>
      <w:proofErr w:type="gramEnd"/>
      <w:r>
        <w:t xml:space="preserve">  </w:t>
      </w:r>
      <w:proofErr w:type="gramStart"/>
      <w:r>
        <w:t>Adab,  E.</w:t>
      </w:r>
      <w:proofErr w:type="gramEnd"/>
      <w:r>
        <w:t xml:space="preserve">  (2014). Meta-</w:t>
      </w:r>
      <w:proofErr w:type="gramStart"/>
      <w:r>
        <w:t>Analysis  of</w:t>
      </w:r>
      <w:proofErr w:type="gramEnd"/>
      <w:r>
        <w:t xml:space="preserve">  </w:t>
      </w:r>
      <w:proofErr w:type="gramStart"/>
      <w:r>
        <w:t>the  relationship</w:t>
      </w:r>
      <w:proofErr w:type="gramEnd"/>
      <w:r>
        <w:tab/>
      </w:r>
      <w:r>
        <w:tab/>
      </w:r>
      <w:proofErr w:type="gramStart"/>
      <w:r>
        <w:t>between  learning</w:t>
      </w:r>
      <w:proofErr w:type="gramEnd"/>
      <w:r>
        <w:t xml:space="preserve">  </w:t>
      </w:r>
      <w:proofErr w:type="gramStart"/>
      <w:r>
        <w:t>strategies  and</w:t>
      </w:r>
      <w:proofErr w:type="gramEnd"/>
      <w:r>
        <w:t xml:space="preserve"> academic achievement. Biquarterly</w:t>
      </w:r>
      <w:r>
        <w:tab/>
      </w:r>
      <w:r>
        <w:tab/>
        <w:t>Journal of Cognitive Strategies in Learning, 1(2), 97-118.</w:t>
      </w:r>
    </w:p>
    <w:p w14:paraId="0B1B85FF" w14:textId="25110B7F" w:rsidR="000E3943" w:rsidRDefault="000E3943" w:rsidP="000E3943">
      <w:pPr>
        <w:pStyle w:val="Body"/>
      </w:pPr>
      <w:r>
        <w:t>Miller, C. (2022). Language, Literacy, and Learning in the Digital Age. Cambridge</w:t>
      </w:r>
      <w:r>
        <w:tab/>
      </w:r>
      <w:r>
        <w:tab/>
        <w:t>University Press.</w:t>
      </w:r>
      <w:r>
        <w:tab/>
      </w:r>
    </w:p>
    <w:p w14:paraId="515A8AB9" w14:textId="70B72762" w:rsidR="000E3943" w:rsidRDefault="000E3943" w:rsidP="000E3943">
      <w:pPr>
        <w:pStyle w:val="Body"/>
      </w:pPr>
      <w:proofErr w:type="gramStart"/>
      <w:r>
        <w:t>Molnar,  M.</w:t>
      </w:r>
      <w:proofErr w:type="gramEnd"/>
      <w:r>
        <w:t xml:space="preserve">  (2013).  </w:t>
      </w:r>
      <w:proofErr w:type="gramStart"/>
      <w:r>
        <w:t>English  proficiency</w:t>
      </w:r>
      <w:proofErr w:type="gramEnd"/>
      <w:r>
        <w:t xml:space="preserve">  </w:t>
      </w:r>
      <w:proofErr w:type="gramStart"/>
      <w:r>
        <w:t>and  English</w:t>
      </w:r>
      <w:proofErr w:type="gramEnd"/>
      <w:r>
        <w:t xml:space="preserve">  exposure.  </w:t>
      </w:r>
      <w:proofErr w:type="spellStart"/>
      <w:proofErr w:type="gramStart"/>
      <w:r>
        <w:t>Skemman</w:t>
      </w:r>
      <w:proofErr w:type="spellEnd"/>
      <w:r>
        <w:t xml:space="preserve">,  </w:t>
      </w:r>
      <w:r>
        <w:tab/>
      </w:r>
      <w:proofErr w:type="gramEnd"/>
      <w:r>
        <w:tab/>
      </w:r>
      <w:proofErr w:type="gramStart"/>
      <w:r>
        <w:t>1946,  13802</w:t>
      </w:r>
      <w:proofErr w:type="gramEnd"/>
      <w:r>
        <w:t>. (University of Iceland</w:t>
      </w:r>
    </w:p>
    <w:p w14:paraId="2C5721E1" w14:textId="45AE96D2" w:rsidR="000E3943" w:rsidRDefault="000E3943" w:rsidP="000E3943">
      <w:pPr>
        <w:pStyle w:val="Body"/>
      </w:pPr>
      <w:r>
        <w:t xml:space="preserve"> Myers-</w:t>
      </w:r>
      <w:proofErr w:type="gramStart"/>
      <w:r>
        <w:t>Scotton,  C.</w:t>
      </w:r>
      <w:proofErr w:type="gramEnd"/>
      <w:r>
        <w:t xml:space="preserve"> (2006).  Multiple voices:  </w:t>
      </w:r>
      <w:proofErr w:type="gramStart"/>
      <w:r>
        <w:t>An  introduction</w:t>
      </w:r>
      <w:proofErr w:type="gramEnd"/>
      <w:r>
        <w:t xml:space="preserve">  </w:t>
      </w:r>
      <w:proofErr w:type="gramStart"/>
      <w:r>
        <w:t>to  bilingualism</w:t>
      </w:r>
      <w:proofErr w:type="gramEnd"/>
      <w:r>
        <w:t xml:space="preserve">.  </w:t>
      </w:r>
      <w:r>
        <w:tab/>
      </w:r>
      <w:r>
        <w:tab/>
        <w:t xml:space="preserve">USA:  </w:t>
      </w:r>
      <w:r>
        <w:tab/>
        <w:t>Wiley-Blackwell</w:t>
      </w:r>
    </w:p>
    <w:p w14:paraId="239F4060" w14:textId="6D0BDD33" w:rsidR="000E3943" w:rsidRDefault="000E3943" w:rsidP="000E3943">
      <w:pPr>
        <w:pStyle w:val="Body"/>
      </w:pPr>
      <w:r>
        <w:t xml:space="preserve"> </w:t>
      </w:r>
      <w:proofErr w:type="spellStart"/>
      <w:r>
        <w:t>Napil</w:t>
      </w:r>
      <w:proofErr w:type="spellEnd"/>
      <w:r>
        <w:t xml:space="preserve">, M &amp; San Jose, A (2020) Beliefs and Strategies in Filipino Language </w:t>
      </w:r>
      <w:r>
        <w:tab/>
      </w:r>
      <w:r>
        <w:tab/>
        <w:t xml:space="preserve">Learning and Academic Performance of Indigenous Students. </w:t>
      </w:r>
      <w:r>
        <w:tab/>
      </w:r>
      <w:r>
        <w:tab/>
      </w:r>
      <w:r>
        <w:tab/>
        <w:t xml:space="preserve">International Journal of Educational Policy Research and Review </w:t>
      </w:r>
      <w:r>
        <w:tab/>
      </w:r>
      <w:r>
        <w:tab/>
      </w:r>
      <w:r>
        <w:tab/>
        <w:t xml:space="preserve">Vol.7 (5), pp. 151-163 September, </w:t>
      </w:r>
      <w:r>
        <w:tab/>
        <w:t xml:space="preserve">2020 </w:t>
      </w:r>
      <w:r>
        <w:tab/>
      </w:r>
      <w:r>
        <w:tab/>
      </w:r>
      <w:r>
        <w:tab/>
      </w:r>
      <w:r>
        <w:tab/>
      </w:r>
      <w:r>
        <w:tab/>
      </w:r>
      <w:r>
        <w:tab/>
        <w:t xml:space="preserve">https://www.journalissues.org/IJEPRR/ </w:t>
      </w:r>
      <w:r>
        <w:tab/>
      </w:r>
      <w:r>
        <w:tab/>
      </w:r>
      <w:r>
        <w:tab/>
      </w:r>
      <w:r>
        <w:tab/>
      </w:r>
      <w:r>
        <w:tab/>
      </w:r>
      <w:r>
        <w:tab/>
      </w:r>
      <w:r>
        <w:tab/>
        <w:t>https://doi.org/10.15739/IJEPRR.20.017</w:t>
      </w:r>
      <w:r>
        <w:tab/>
      </w:r>
    </w:p>
    <w:p w14:paraId="473EA12C" w14:textId="1B7FDA0D" w:rsidR="000E3943" w:rsidRDefault="000E3943" w:rsidP="000E3943">
      <w:pPr>
        <w:pStyle w:val="Body"/>
      </w:pPr>
      <w:r>
        <w:t xml:space="preserve"> </w:t>
      </w:r>
      <w:proofErr w:type="spellStart"/>
      <w:r>
        <w:t>Pamuji</w:t>
      </w:r>
      <w:proofErr w:type="spellEnd"/>
      <w:r>
        <w:t>, A., 2020. The correlation between grammar mastery and writing ability</w:t>
      </w:r>
      <w:r>
        <w:tab/>
        <w:t xml:space="preserve">on </w:t>
      </w:r>
      <w:r w:rsidR="00366730">
        <w:tab/>
      </w:r>
      <w:r>
        <w:t xml:space="preserve">midwifery students of STIKES Pembina Palembang in 2019. </w:t>
      </w:r>
      <w:r>
        <w:tab/>
      </w:r>
      <w:r>
        <w:tab/>
      </w:r>
      <w:r>
        <w:tab/>
      </w:r>
      <w:r w:rsidR="00366730">
        <w:tab/>
      </w:r>
      <w:r>
        <w:t xml:space="preserve"> </w:t>
      </w:r>
      <w:proofErr w:type="spellStart"/>
      <w:r>
        <w:t>Didascein</w:t>
      </w:r>
      <w:proofErr w:type="spellEnd"/>
      <w:r>
        <w:t xml:space="preserve"> Journal of English Education. 1(1). DOI</w:t>
      </w:r>
      <w:r>
        <w:tab/>
      </w:r>
      <w:r>
        <w:tab/>
      </w:r>
      <w:r>
        <w:tab/>
      </w:r>
      <w:r>
        <w:tab/>
      </w:r>
      <w:r>
        <w:tab/>
        <w:t xml:space="preserve"> http://dx.doi.org/10.52333%2Fd.v1i1.588</w:t>
      </w:r>
    </w:p>
    <w:p w14:paraId="20ACDF16" w14:textId="6E52ED1C" w:rsidR="000E3943" w:rsidRDefault="000E3943" w:rsidP="000E3943">
      <w:pPr>
        <w:pStyle w:val="Body"/>
      </w:pPr>
      <w:r>
        <w:t xml:space="preserve"> Pawlak, M. (2012c). Investigating the use of grammar learning strategies in a </w:t>
      </w:r>
      <w:r>
        <w:tab/>
      </w:r>
      <w:r>
        <w:tab/>
        <w:t xml:space="preserve">communicative task: A </w:t>
      </w:r>
      <w:proofErr w:type="spellStart"/>
      <w:r>
        <w:t>microperspective</w:t>
      </w:r>
      <w:proofErr w:type="spellEnd"/>
      <w:r>
        <w:t xml:space="preserve"> [Paper presentation]. </w:t>
      </w:r>
      <w:r>
        <w:tab/>
      </w:r>
      <w:r>
        <w:tab/>
      </w:r>
      <w:r>
        <w:tab/>
        <w:t xml:space="preserve">Annual Conference of the American Association for Applied </w:t>
      </w:r>
      <w:r>
        <w:tab/>
      </w:r>
      <w:r>
        <w:tab/>
      </w:r>
      <w:r>
        <w:tab/>
      </w:r>
      <w:r>
        <w:tab/>
      </w:r>
      <w:proofErr w:type="spellStart"/>
      <w:proofErr w:type="gramStart"/>
      <w:r>
        <w:t>Linguistics,Boston</w:t>
      </w:r>
      <w:proofErr w:type="spellEnd"/>
      <w:proofErr w:type="gramEnd"/>
      <w:r>
        <w:t>, USA.</w:t>
      </w:r>
    </w:p>
    <w:p w14:paraId="78FE4913" w14:textId="444D1DA1" w:rsidR="000E3943" w:rsidRDefault="000E3943" w:rsidP="000E3943">
      <w:pPr>
        <w:pStyle w:val="Body"/>
      </w:pPr>
      <w:r>
        <w:t xml:space="preserve"> Piaget, J. (1952). The origins of intelligence in children (pp. 3–24). New York: </w:t>
      </w:r>
      <w:r>
        <w:tab/>
        <w:t xml:space="preserve">International Universities Press.    </w:t>
      </w:r>
    </w:p>
    <w:p w14:paraId="79A9A52D" w14:textId="638D5162" w:rsidR="000E3943" w:rsidRDefault="000E3943" w:rsidP="000E3943">
      <w:pPr>
        <w:pStyle w:val="Body"/>
      </w:pPr>
      <w:r>
        <w:lastRenderedPageBreak/>
        <w:t xml:space="preserve"> Reschly, A. L., &amp; Christenson, S. L. (2012). Jingle, jangle, and conceptual</w:t>
      </w:r>
      <w:r>
        <w:tab/>
      </w:r>
      <w:r>
        <w:tab/>
      </w:r>
      <w:r>
        <w:tab/>
        <w:t xml:space="preserve"> haziness: Evolution and future directions of the engagement </w:t>
      </w:r>
      <w:r>
        <w:tab/>
      </w:r>
      <w:r>
        <w:tab/>
      </w:r>
      <w:r>
        <w:tab/>
        <w:t xml:space="preserve">construct. In </w:t>
      </w:r>
      <w:proofErr w:type="gramStart"/>
      <w:r>
        <w:t>Handbook  of</w:t>
      </w:r>
      <w:proofErr w:type="gramEnd"/>
      <w:r>
        <w:t xml:space="preserve"> research on student engagement, (pp. </w:t>
      </w:r>
      <w:r>
        <w:tab/>
      </w:r>
      <w:r>
        <w:tab/>
      </w:r>
      <w:r>
        <w:tab/>
        <w:t xml:space="preserve">319). Springer.  </w:t>
      </w:r>
      <w:r>
        <w:tab/>
      </w:r>
      <w:r>
        <w:tab/>
      </w:r>
      <w:r>
        <w:tab/>
      </w:r>
      <w:r>
        <w:tab/>
      </w:r>
      <w:r>
        <w:tab/>
      </w:r>
      <w:r>
        <w:tab/>
      </w:r>
      <w:r>
        <w:tab/>
      </w:r>
    </w:p>
    <w:p w14:paraId="40181F73" w14:textId="433CB223" w:rsidR="000E3943" w:rsidRDefault="000E3943" w:rsidP="000E3943">
      <w:pPr>
        <w:pStyle w:val="Body"/>
      </w:pPr>
      <w:r>
        <w:t xml:space="preserve"> Reyes, L., et al. (2023). Cognitive strategies in improving text comprehension. </w:t>
      </w:r>
      <w:r>
        <w:tab/>
      </w:r>
      <w:r>
        <w:tab/>
        <w:t>Ty765International Journal of Reading Education, 47(2), 178-190</w:t>
      </w:r>
    </w:p>
    <w:p w14:paraId="787B53D1" w14:textId="70DE17F5" w:rsidR="000E3943" w:rsidRDefault="000E3943" w:rsidP="000E3943">
      <w:pPr>
        <w:pStyle w:val="Body"/>
      </w:pPr>
      <w:r>
        <w:t xml:space="preserve"> Rossiter, L. (2021). E-Gramatika: </w:t>
      </w:r>
      <w:proofErr w:type="spellStart"/>
      <w:r>
        <w:t>Elektronikong</w:t>
      </w:r>
      <w:proofErr w:type="spellEnd"/>
      <w:r>
        <w:t xml:space="preserve"> </w:t>
      </w:r>
      <w:proofErr w:type="spellStart"/>
      <w:r>
        <w:t>modyul</w:t>
      </w:r>
      <w:proofErr w:type="spellEnd"/>
      <w:r>
        <w:t xml:space="preserve"> </w:t>
      </w:r>
      <w:proofErr w:type="spellStart"/>
      <w:r>
        <w:t>sa</w:t>
      </w:r>
      <w:proofErr w:type="spellEnd"/>
      <w:r>
        <w:t xml:space="preserve"> </w:t>
      </w:r>
      <w:proofErr w:type="spellStart"/>
      <w:r>
        <w:t>pagtuturo</w:t>
      </w:r>
      <w:proofErr w:type="spellEnd"/>
      <w:r>
        <w:t xml:space="preserve"> ng </w:t>
      </w:r>
      <w:r>
        <w:tab/>
      </w:r>
      <w:proofErr w:type="spellStart"/>
      <w:r>
        <w:t>balarilan</w:t>
      </w:r>
      <w:proofErr w:type="spellEnd"/>
      <w:r>
        <w:tab/>
      </w:r>
      <w:proofErr w:type="spellStart"/>
      <w:r>
        <w:t>ResearchGate.https</w:t>
      </w:r>
      <w:proofErr w:type="spellEnd"/>
      <w:r>
        <w:t xml:space="preserve">://www.researchgate.net/publication/374024029 </w:t>
      </w:r>
      <w:r>
        <w:tab/>
        <w:t xml:space="preserve">Gramatika_Elektronikong_modyul_sa_pagtuturo_ng_balarilang_Filipino                              </w:t>
      </w:r>
    </w:p>
    <w:p w14:paraId="21614E14" w14:textId="6863BDBC" w:rsidR="000E3943" w:rsidRDefault="000E3943" w:rsidP="000E3943">
      <w:pPr>
        <w:pStyle w:val="Body"/>
      </w:pPr>
      <w:r>
        <w:t xml:space="preserve"> Salas, M. K. T., &amp; Legaspi, M. J. B. (2020). Language Learning Exposure and </w:t>
      </w:r>
      <w:r>
        <w:tab/>
        <w:t xml:space="preserve">Grammatical Proficiency of Intermediate Pupils. Philippine Social Science </w:t>
      </w:r>
      <w:r>
        <w:tab/>
        <w:t>Journal, 3(2), 73–74. https://doi.org/10.52006/main.v3i2.208</w:t>
      </w:r>
    </w:p>
    <w:p w14:paraId="430CEDAC" w14:textId="0CE9A0B3" w:rsidR="000E3943" w:rsidRDefault="000E3943" w:rsidP="000E3943">
      <w:pPr>
        <w:pStyle w:val="Body"/>
      </w:pPr>
      <w:r>
        <w:t xml:space="preserve">Salas, Marz Kimberly T., and Ma. Judy B. Legaspi. "Language Learning </w:t>
      </w:r>
      <w:r>
        <w:tab/>
        <w:t xml:space="preserve">Exposure and </w:t>
      </w:r>
      <w:r w:rsidR="00366730">
        <w:tab/>
      </w:r>
      <w:r>
        <w:t xml:space="preserve">Grammatical Proficiency of Intermediate Pupils." Philippine </w:t>
      </w:r>
      <w:r>
        <w:tab/>
      </w:r>
      <w:r>
        <w:tab/>
        <w:t xml:space="preserve">Social </w:t>
      </w:r>
      <w:r w:rsidR="00366730">
        <w:tab/>
      </w:r>
      <w:r>
        <w:t>Science Journal, vol. 3, no. 2, 2020, pp. 73–74.</w:t>
      </w:r>
      <w:r>
        <w:tab/>
      </w:r>
      <w:r>
        <w:tab/>
      </w:r>
      <w:r>
        <w:tab/>
      </w:r>
      <w:r>
        <w:tab/>
      </w:r>
      <w:r>
        <w:tab/>
      </w:r>
      <w:r w:rsidR="00366730">
        <w:tab/>
      </w:r>
      <w:r>
        <w:t xml:space="preserve"> https://doi.org/10.52006/main.v3i2.208</w:t>
      </w:r>
    </w:p>
    <w:p w14:paraId="36487F1A" w14:textId="729CF9DB" w:rsidR="000E3943" w:rsidRDefault="000E3943" w:rsidP="000E3943">
      <w:pPr>
        <w:pStyle w:val="Body"/>
      </w:pPr>
      <w:r>
        <w:t>Santos, A., et al. (2022). Metacognitive strategies and academic performance.</w:t>
      </w:r>
      <w:r>
        <w:tab/>
        <w:t>Educational Psychology International, 48(3), 211-227.</w:t>
      </w:r>
    </w:p>
    <w:p w14:paraId="516CA53E" w14:textId="6915EC37" w:rsidR="000E3943" w:rsidRDefault="000E3943" w:rsidP="000E3943">
      <w:pPr>
        <w:pStyle w:val="Body"/>
      </w:pPr>
      <w:r>
        <w:t xml:space="preserve">Scheele, M., Leseman, P., &amp; Mayo, A. (2010). The home language environment </w:t>
      </w:r>
      <w:r>
        <w:tab/>
      </w:r>
      <w:r>
        <w:tab/>
        <w:t xml:space="preserve">of </w:t>
      </w:r>
      <w:r w:rsidR="00366730">
        <w:tab/>
      </w:r>
      <w:r>
        <w:t xml:space="preserve">monolingual and bilingual children and their language proficiency. </w:t>
      </w:r>
      <w:r>
        <w:tab/>
        <w:t xml:space="preserve">Applied </w:t>
      </w:r>
      <w:r w:rsidR="00366730">
        <w:tab/>
      </w:r>
      <w:r>
        <w:t>Psycholinguistics</w:t>
      </w:r>
    </w:p>
    <w:p w14:paraId="7D87C0D4" w14:textId="398768E4" w:rsidR="000E3943" w:rsidRDefault="000E3943" w:rsidP="000E3943">
      <w:pPr>
        <w:pStyle w:val="Body"/>
      </w:pPr>
      <w:r>
        <w:t xml:space="preserve">Schunk, D. H., &amp; Mullen, C. A. (2012). Self-efficacy as an engaged learner. In </w:t>
      </w:r>
      <w:r>
        <w:tab/>
      </w:r>
      <w:r>
        <w:tab/>
        <w:t xml:space="preserve">Handbook of research on student engagement, (pp. 219–235). </w:t>
      </w:r>
      <w:r>
        <w:tab/>
      </w:r>
      <w:r>
        <w:tab/>
      </w:r>
      <w:r>
        <w:tab/>
        <w:t>Springer.</w:t>
      </w:r>
    </w:p>
    <w:p w14:paraId="2842C336" w14:textId="2DFEDB8A" w:rsidR="000E3943" w:rsidRDefault="000E3943" w:rsidP="000E3943">
      <w:pPr>
        <w:pStyle w:val="Body"/>
      </w:pPr>
      <w:proofErr w:type="spellStart"/>
      <w:r>
        <w:t>Shirav</w:t>
      </w:r>
      <w:proofErr w:type="spellEnd"/>
      <w:r>
        <w:t xml:space="preserve">, A., &amp; Nagai, E. (2022). The Effects of Deductive and Inductive </w:t>
      </w:r>
      <w:r>
        <w:tab/>
      </w:r>
      <w:r>
        <w:tab/>
      </w:r>
      <w:r>
        <w:tab/>
        <w:t xml:space="preserve">Grammar Instructions in Communicative Teaching. English </w:t>
      </w:r>
      <w:r>
        <w:tab/>
      </w:r>
      <w:r>
        <w:tab/>
      </w:r>
      <w:r>
        <w:tab/>
      </w:r>
      <w:r>
        <w:tab/>
        <w:t xml:space="preserve">Language Teaching, </w:t>
      </w:r>
      <w:r>
        <w:tab/>
        <w:t xml:space="preserve">15(6), </w:t>
      </w:r>
      <w:r>
        <w:tab/>
        <w:t>102. DOI:</w:t>
      </w:r>
    </w:p>
    <w:p w14:paraId="709465AA" w14:textId="648285CA" w:rsidR="000E3943" w:rsidRDefault="000E3943" w:rsidP="000E3943">
      <w:pPr>
        <w:pStyle w:val="Body"/>
      </w:pPr>
      <w:r>
        <w:t xml:space="preserve">Swain M. Output </w:t>
      </w:r>
      <w:proofErr w:type="spellStart"/>
      <w:r>
        <w:t>Hypothesis</w:t>
      </w:r>
      <w:r>
        <w:rPr>
          <w:rFonts w:ascii="MS Gothic" w:eastAsia="MS Gothic" w:hAnsi="MS Gothic" w:cs="MS Gothic" w:hint="eastAsia"/>
        </w:rPr>
        <w:t>：</w:t>
      </w:r>
      <w:r>
        <w:t>Its</w:t>
      </w:r>
      <w:proofErr w:type="spellEnd"/>
      <w:r>
        <w:t xml:space="preserve"> History and Its Future[J]. Foreign Language </w:t>
      </w:r>
      <w:r>
        <w:tab/>
        <w:t xml:space="preserve">Teaching </w:t>
      </w:r>
      <w:r w:rsidR="00366730">
        <w:tab/>
      </w:r>
      <w:r>
        <w:t>and Research. 2008, 40(1): 45-50</w:t>
      </w:r>
    </w:p>
    <w:p w14:paraId="7B92188F" w14:textId="54670954" w:rsidR="000E3943" w:rsidRDefault="000E3943" w:rsidP="000E3943">
      <w:pPr>
        <w:pStyle w:val="Body"/>
      </w:pPr>
      <w:r>
        <w:t xml:space="preserve">Tapang, B. (2018). Ang </w:t>
      </w:r>
      <w:proofErr w:type="spellStart"/>
      <w:r>
        <w:t>kahalagahan</w:t>
      </w:r>
      <w:proofErr w:type="spellEnd"/>
      <w:r>
        <w:t xml:space="preserve"> ng </w:t>
      </w:r>
      <w:proofErr w:type="spellStart"/>
      <w:r>
        <w:t>wika</w:t>
      </w:r>
      <w:proofErr w:type="spellEnd"/>
      <w:r>
        <w:t xml:space="preserve"> </w:t>
      </w:r>
      <w:proofErr w:type="spellStart"/>
      <w:r>
        <w:t>sa</w:t>
      </w:r>
      <w:proofErr w:type="spellEnd"/>
      <w:r>
        <w:t xml:space="preserve"> </w:t>
      </w:r>
      <w:proofErr w:type="spellStart"/>
      <w:r>
        <w:t>mabisang</w:t>
      </w:r>
      <w:proofErr w:type="spellEnd"/>
      <w:r>
        <w:t xml:space="preserve"> </w:t>
      </w:r>
      <w:proofErr w:type="spellStart"/>
      <w:r>
        <w:t>komunikasyon</w:t>
      </w:r>
      <w:proofErr w:type="spellEnd"/>
      <w:r>
        <w:t xml:space="preserve">. </w:t>
      </w:r>
      <w:r>
        <w:tab/>
      </w:r>
      <w:r>
        <w:tab/>
        <w:t>CliffsNotes. https://www.cliffsnotes.com/study-notes/17034640</w:t>
      </w:r>
    </w:p>
    <w:p w14:paraId="2EC511FF" w14:textId="587EA007" w:rsidR="000E3943" w:rsidRDefault="000E3943" w:rsidP="000E3943">
      <w:pPr>
        <w:pStyle w:val="Body"/>
      </w:pPr>
      <w:r>
        <w:t>Torres, S., et al. (2021). Cognitive strategies in reading comprehension: A study</w:t>
      </w:r>
      <w:r>
        <w:tab/>
      </w:r>
      <w:r>
        <w:tab/>
        <w:t xml:space="preserve"> of </w:t>
      </w:r>
      <w:r w:rsidR="00366730">
        <w:tab/>
      </w:r>
      <w:r>
        <w:t xml:space="preserve">secondary students. International Journal of Literacy Studies, </w:t>
      </w:r>
      <w:r>
        <w:tab/>
      </w:r>
      <w:r>
        <w:tab/>
      </w:r>
      <w:r>
        <w:tab/>
        <w:t>24(2), 158-171.</w:t>
      </w:r>
    </w:p>
    <w:p w14:paraId="7EE1E45E" w14:textId="77777777" w:rsidR="004B1C11" w:rsidRDefault="004B1C11" w:rsidP="004B1C11">
      <w:pPr>
        <w:pStyle w:val="Body"/>
      </w:pPr>
      <w:r>
        <w:t xml:space="preserve">Villaruz, J. M., &amp; </w:t>
      </w:r>
      <w:proofErr w:type="spellStart"/>
      <w:r>
        <w:t>Napil</w:t>
      </w:r>
      <w:proofErr w:type="spellEnd"/>
      <w:r>
        <w:t xml:space="preserve">, M. C. The Mediating Effects of Personality in the </w:t>
      </w:r>
      <w:r>
        <w:tab/>
        <w:t xml:space="preserve">Relationship </w:t>
      </w:r>
      <w:r>
        <w:tab/>
        <w:t xml:space="preserve">Between Reading Strategies and Students’ Motivation in the </w:t>
      </w:r>
      <w:r>
        <w:tab/>
        <w:t>Filipino Language.</w:t>
      </w:r>
    </w:p>
    <w:p w14:paraId="3B02E2EF" w14:textId="77777777" w:rsidR="004B1C11" w:rsidRDefault="004B1C11" w:rsidP="004B1C11">
      <w:pPr>
        <w:pStyle w:val="Body"/>
      </w:pPr>
      <w:r>
        <w:t>Vodopija-</w:t>
      </w:r>
      <w:proofErr w:type="gramStart"/>
      <w:r>
        <w:t>Krstanović,  I.,  &amp;</w:t>
      </w:r>
      <w:proofErr w:type="gramEnd"/>
      <w:r>
        <w:t xml:space="preserve">  </w:t>
      </w:r>
      <w:proofErr w:type="spellStart"/>
      <w:proofErr w:type="gramStart"/>
      <w:r>
        <w:t>Marinac</w:t>
      </w:r>
      <w:proofErr w:type="spellEnd"/>
      <w:r>
        <w:t>,  M.</w:t>
      </w:r>
      <w:proofErr w:type="gramEnd"/>
      <w:r>
        <w:t xml:space="preserve">  (2019). </w:t>
      </w:r>
      <w:proofErr w:type="gramStart"/>
      <w:r>
        <w:t>English  as</w:t>
      </w:r>
      <w:proofErr w:type="gramEnd"/>
      <w:r>
        <w:t xml:space="preserve"> </w:t>
      </w:r>
      <w:proofErr w:type="gramStart"/>
      <w:r>
        <w:t>an  international</w:t>
      </w:r>
      <w:proofErr w:type="gramEnd"/>
      <w:r>
        <w:t xml:space="preserve">  </w:t>
      </w:r>
      <w:r>
        <w:tab/>
      </w:r>
      <w:r>
        <w:tab/>
      </w:r>
      <w:proofErr w:type="gramStart"/>
      <w:r>
        <w:t>language  and</w:t>
      </w:r>
      <w:proofErr w:type="gramEnd"/>
      <w:r>
        <w:t xml:space="preserve"> English language teaching: The theory vs. practice</w:t>
      </w:r>
      <w:r>
        <w:tab/>
      </w:r>
      <w:r>
        <w:tab/>
      </w:r>
      <w:r>
        <w:tab/>
        <w:t>divide. Iranian Journal of Language Teaching Research, 7(2), 19–38</w:t>
      </w:r>
    </w:p>
    <w:p w14:paraId="1FF8223A" w14:textId="59993B1E" w:rsidR="004B1C11" w:rsidRDefault="004B1C11" w:rsidP="000E3943">
      <w:pPr>
        <w:pStyle w:val="Body"/>
      </w:pPr>
      <w:r>
        <w:lastRenderedPageBreak/>
        <w:t xml:space="preserve">Vygotsky, L. S. (1978). Mind in Society: The Development of Higher Psychological </w:t>
      </w:r>
      <w:r>
        <w:tab/>
        <w:t>Processes. Harvard University Press., 1-159</w:t>
      </w:r>
    </w:p>
    <w:p w14:paraId="7156FF99" w14:textId="71A3476D" w:rsidR="000E3943" w:rsidRDefault="000E3943" w:rsidP="000E3943">
      <w:pPr>
        <w:pStyle w:val="Body"/>
      </w:pPr>
      <w:proofErr w:type="spellStart"/>
      <w:r>
        <w:t>Yaccob</w:t>
      </w:r>
      <w:proofErr w:type="spellEnd"/>
      <w:r>
        <w:t xml:space="preserve">, N. S., &amp; Yunus, M. M. (2019). Language Games in Teaching and </w:t>
      </w:r>
      <w:r>
        <w:tab/>
      </w:r>
      <w:r>
        <w:tab/>
      </w:r>
      <w:r>
        <w:tab/>
        <w:t xml:space="preserve">Learning English Grammar: A Literature Review. Arab World English </w:t>
      </w:r>
      <w:r>
        <w:tab/>
      </w:r>
      <w:r>
        <w:tab/>
        <w:t>Journal (AWEJ), 10(1), 209-217.</w:t>
      </w:r>
    </w:p>
    <w:p w14:paraId="41372BF6" w14:textId="6A31CC9B" w:rsidR="000E3943" w:rsidRDefault="000E3943" w:rsidP="000E3943">
      <w:pPr>
        <w:pStyle w:val="Body"/>
      </w:pPr>
      <w:r>
        <w:t xml:space="preserve">Zhang, L. J., &amp; Wu, A. (2009). Chinese senior high school EFL students’ </w:t>
      </w:r>
      <w:r>
        <w:tab/>
      </w:r>
      <w:r>
        <w:tab/>
      </w:r>
      <w:r>
        <w:tab/>
        <w:t xml:space="preserve">metacognitive awareness and reading-strategy use. Reading in a </w:t>
      </w:r>
      <w:r>
        <w:tab/>
      </w:r>
      <w:r>
        <w:tab/>
      </w:r>
      <w:r>
        <w:tab/>
        <w:t>Foreign Language, 21(1), 37-59.</w:t>
      </w:r>
    </w:p>
    <w:p w14:paraId="61A5DDB1" w14:textId="281A9605" w:rsidR="000E3943" w:rsidRDefault="000E3943" w:rsidP="000E3943">
      <w:pPr>
        <w:pStyle w:val="Body"/>
      </w:pPr>
      <w:r>
        <w:t>Zhao, J., &amp; Li, X. (2022). Digital Platforms and Language Learning: A New</w:t>
      </w:r>
      <w:r>
        <w:tab/>
      </w:r>
      <w:r>
        <w:tab/>
      </w:r>
      <w:r>
        <w:tab/>
        <w:t xml:space="preserve"> Paradigm of Language Exposure. Routledge.</w:t>
      </w:r>
    </w:p>
    <w:p w14:paraId="3336B4D4" w14:textId="77777777" w:rsidR="000E3943" w:rsidRDefault="000E3943" w:rsidP="000E3943">
      <w:pPr>
        <w:pStyle w:val="Body"/>
      </w:pPr>
      <w:proofErr w:type="spellStart"/>
      <w:r>
        <w:t>Zoubi</w:t>
      </w:r>
      <w:proofErr w:type="spellEnd"/>
      <w:r>
        <w:t xml:space="preserve">, S.  A. (2018).  </w:t>
      </w:r>
      <w:proofErr w:type="gramStart"/>
      <w:r>
        <w:t>The  impact</w:t>
      </w:r>
      <w:proofErr w:type="gramEnd"/>
      <w:r>
        <w:t xml:space="preserve"> of exposure to English </w:t>
      </w:r>
      <w:proofErr w:type="gramStart"/>
      <w:r>
        <w:t>language  on</w:t>
      </w:r>
      <w:proofErr w:type="gramEnd"/>
      <w:r>
        <w:t xml:space="preserve">  language </w:t>
      </w:r>
      <w:r>
        <w:tab/>
      </w:r>
      <w:r>
        <w:tab/>
        <w:t xml:space="preserve">acquisition. Journal of Applied Linguistics and Language Research. </w:t>
      </w:r>
      <w:r>
        <w:tab/>
      </w:r>
      <w:r>
        <w:tab/>
        <w:t>5(4), 151-162.</w:t>
      </w:r>
    </w:p>
    <w:sectPr w:rsidR="000E3943" w:rsidSect="000A4F0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54AC" w14:textId="77777777" w:rsidR="00AA6BEA" w:rsidRDefault="00AA6BEA" w:rsidP="00C37E61">
      <w:r>
        <w:separator/>
      </w:r>
    </w:p>
  </w:endnote>
  <w:endnote w:type="continuationSeparator" w:id="0">
    <w:p w14:paraId="0F49E4D4" w14:textId="77777777" w:rsidR="00AA6BEA" w:rsidRDefault="00AA6B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C74F" w14:textId="77777777" w:rsidR="000A4F0E" w:rsidRDefault="000A4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FC75" w14:textId="77777777" w:rsidR="000A4F0E" w:rsidRDefault="000A4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3AE0" w14:textId="2283E833" w:rsidR="00754C9A" w:rsidRPr="000A4F0E" w:rsidRDefault="00754C9A" w:rsidP="000A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CC9" w14:textId="77777777" w:rsidR="00AA6BEA" w:rsidRDefault="00AA6BEA" w:rsidP="00C37E61">
      <w:r>
        <w:separator/>
      </w:r>
    </w:p>
  </w:footnote>
  <w:footnote w:type="continuationSeparator" w:id="0">
    <w:p w14:paraId="076CF184" w14:textId="77777777" w:rsidR="00AA6BEA" w:rsidRDefault="00AA6B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A56" w14:textId="50B5352A" w:rsidR="000A4F0E" w:rsidRDefault="000A4F0E">
    <w:pPr>
      <w:pStyle w:val="Header"/>
    </w:pPr>
    <w:r>
      <w:rPr>
        <w:noProof/>
      </w:rPr>
      <w:pict w14:anchorId="63550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576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9814" w14:textId="1A7F58F1" w:rsidR="000A4F0E" w:rsidRDefault="000A4F0E">
    <w:pPr>
      <w:pStyle w:val="Header"/>
    </w:pPr>
    <w:r>
      <w:rPr>
        <w:noProof/>
      </w:rPr>
      <w:pict w14:anchorId="76F47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576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F3F6" w14:textId="544590A3" w:rsidR="00296529" w:rsidRPr="00296529" w:rsidRDefault="000A4F0E" w:rsidP="00296529">
    <w:pPr>
      <w:ind w:left="2160"/>
      <w:jc w:val="center"/>
      <w:rPr>
        <w:rFonts w:ascii="Times New Roman" w:eastAsia="Calibri" w:hAnsi="Times New Roman"/>
        <w:i/>
        <w:sz w:val="18"/>
        <w:szCs w:val="22"/>
      </w:rPr>
    </w:pPr>
    <w:r>
      <w:rPr>
        <w:noProof/>
      </w:rPr>
      <w:pict w14:anchorId="70DC7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576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56F5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1B57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FF1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2CE3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2142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106CB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197395"/>
    <w:multiLevelType w:val="multilevel"/>
    <w:tmpl w:val="D3DE7D2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55641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1796026">
    <w:abstractNumId w:val="15"/>
  </w:num>
  <w:num w:numId="3" w16cid:durableId="1353842883">
    <w:abstractNumId w:val="24"/>
  </w:num>
  <w:num w:numId="4" w16cid:durableId="5292271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63117660">
    <w:abstractNumId w:val="7"/>
  </w:num>
  <w:num w:numId="6" w16cid:durableId="217596745">
    <w:abstractNumId w:val="6"/>
  </w:num>
  <w:num w:numId="7" w16cid:durableId="1411584840">
    <w:abstractNumId w:val="1"/>
  </w:num>
  <w:num w:numId="8" w16cid:durableId="1726172413">
    <w:abstractNumId w:val="12"/>
  </w:num>
  <w:num w:numId="9" w16cid:durableId="1794909847">
    <w:abstractNumId w:val="26"/>
  </w:num>
  <w:num w:numId="10" w16cid:durableId="1544293520">
    <w:abstractNumId w:val="2"/>
  </w:num>
  <w:num w:numId="11" w16cid:durableId="379285012">
    <w:abstractNumId w:val="19"/>
  </w:num>
  <w:num w:numId="12" w16cid:durableId="1982072413">
    <w:abstractNumId w:val="3"/>
  </w:num>
  <w:num w:numId="13" w16cid:durableId="1390425168">
    <w:abstractNumId w:val="18"/>
  </w:num>
  <w:num w:numId="14" w16cid:durableId="23991765">
    <w:abstractNumId w:val="8"/>
  </w:num>
  <w:num w:numId="15" w16cid:durableId="686295185">
    <w:abstractNumId w:val="22"/>
  </w:num>
  <w:num w:numId="16" w16cid:durableId="1394813926">
    <w:abstractNumId w:val="5"/>
  </w:num>
  <w:num w:numId="17" w16cid:durableId="1676566268">
    <w:abstractNumId w:val="23"/>
  </w:num>
  <w:num w:numId="18" w16cid:durableId="508444377">
    <w:abstractNumId w:val="14"/>
  </w:num>
  <w:num w:numId="19" w16cid:durableId="1000502055">
    <w:abstractNumId w:val="29"/>
  </w:num>
  <w:num w:numId="20" w16cid:durableId="154414830">
    <w:abstractNumId w:val="11"/>
  </w:num>
  <w:num w:numId="21" w16cid:durableId="1379357907">
    <w:abstractNumId w:val="9"/>
  </w:num>
  <w:num w:numId="22" w16cid:durableId="2106730475">
    <w:abstractNumId w:val="13"/>
  </w:num>
  <w:num w:numId="23" w16cid:durableId="970941003">
    <w:abstractNumId w:val="20"/>
  </w:num>
  <w:num w:numId="24" w16cid:durableId="1786122078">
    <w:abstractNumId w:val="27"/>
  </w:num>
  <w:num w:numId="25" w16cid:durableId="682053250">
    <w:abstractNumId w:val="4"/>
  </w:num>
  <w:num w:numId="26" w16cid:durableId="2137261615">
    <w:abstractNumId w:val="17"/>
  </w:num>
  <w:num w:numId="27" w16cid:durableId="1336037529">
    <w:abstractNumId w:val="21"/>
  </w:num>
  <w:num w:numId="28" w16cid:durableId="1679578330">
    <w:abstractNumId w:val="28"/>
  </w:num>
  <w:num w:numId="29" w16cid:durableId="2021152663">
    <w:abstractNumId w:val="25"/>
  </w:num>
  <w:num w:numId="30" w16cid:durableId="369114077">
    <w:abstractNumId w:val="10"/>
  </w:num>
  <w:num w:numId="31" w16cid:durableId="176627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D60"/>
    <w:rsid w:val="00030174"/>
    <w:rsid w:val="000442F5"/>
    <w:rsid w:val="0004579C"/>
    <w:rsid w:val="00045CC5"/>
    <w:rsid w:val="0005127F"/>
    <w:rsid w:val="00074FC6"/>
    <w:rsid w:val="000A47FA"/>
    <w:rsid w:val="000A4F0E"/>
    <w:rsid w:val="000A65D3"/>
    <w:rsid w:val="000B1E33"/>
    <w:rsid w:val="000B7E03"/>
    <w:rsid w:val="000D689F"/>
    <w:rsid w:val="000E3943"/>
    <w:rsid w:val="000E7B7B"/>
    <w:rsid w:val="000E7D62"/>
    <w:rsid w:val="00103357"/>
    <w:rsid w:val="0011124F"/>
    <w:rsid w:val="0012252C"/>
    <w:rsid w:val="00122B8D"/>
    <w:rsid w:val="00123C9F"/>
    <w:rsid w:val="00126190"/>
    <w:rsid w:val="00130F17"/>
    <w:rsid w:val="001320BF"/>
    <w:rsid w:val="00132DD5"/>
    <w:rsid w:val="00163BC4"/>
    <w:rsid w:val="00180720"/>
    <w:rsid w:val="00182F89"/>
    <w:rsid w:val="00191062"/>
    <w:rsid w:val="00192B72"/>
    <w:rsid w:val="001A29D8"/>
    <w:rsid w:val="001A5CAA"/>
    <w:rsid w:val="001B0427"/>
    <w:rsid w:val="001D3A51"/>
    <w:rsid w:val="001E10D2"/>
    <w:rsid w:val="001E25B4"/>
    <w:rsid w:val="001E44FE"/>
    <w:rsid w:val="00200595"/>
    <w:rsid w:val="00204835"/>
    <w:rsid w:val="00214C22"/>
    <w:rsid w:val="00231920"/>
    <w:rsid w:val="0023195C"/>
    <w:rsid w:val="0024282C"/>
    <w:rsid w:val="002460DC"/>
    <w:rsid w:val="00250985"/>
    <w:rsid w:val="002556F6"/>
    <w:rsid w:val="00283105"/>
    <w:rsid w:val="00284633"/>
    <w:rsid w:val="00284C4C"/>
    <w:rsid w:val="00287E68"/>
    <w:rsid w:val="00296529"/>
    <w:rsid w:val="002A2F19"/>
    <w:rsid w:val="002B27FB"/>
    <w:rsid w:val="002B685A"/>
    <w:rsid w:val="002C2DFA"/>
    <w:rsid w:val="002C3402"/>
    <w:rsid w:val="002C57D2"/>
    <w:rsid w:val="002E0D56"/>
    <w:rsid w:val="002E2700"/>
    <w:rsid w:val="003110A5"/>
    <w:rsid w:val="00315186"/>
    <w:rsid w:val="003167C3"/>
    <w:rsid w:val="003234F7"/>
    <w:rsid w:val="0033343E"/>
    <w:rsid w:val="003512C2"/>
    <w:rsid w:val="00366730"/>
    <w:rsid w:val="00371FB6"/>
    <w:rsid w:val="003763C1"/>
    <w:rsid w:val="00376BBE"/>
    <w:rsid w:val="00383518"/>
    <w:rsid w:val="00391776"/>
    <w:rsid w:val="0039224F"/>
    <w:rsid w:val="003A43A4"/>
    <w:rsid w:val="003A7E18"/>
    <w:rsid w:val="003B0267"/>
    <w:rsid w:val="003C4C86"/>
    <w:rsid w:val="003C6258"/>
    <w:rsid w:val="003E02BC"/>
    <w:rsid w:val="003E2904"/>
    <w:rsid w:val="003E3182"/>
    <w:rsid w:val="003F6462"/>
    <w:rsid w:val="00401927"/>
    <w:rsid w:val="0041027F"/>
    <w:rsid w:val="00412475"/>
    <w:rsid w:val="004168AC"/>
    <w:rsid w:val="00423789"/>
    <w:rsid w:val="00425097"/>
    <w:rsid w:val="00440C2D"/>
    <w:rsid w:val="00440F43"/>
    <w:rsid w:val="00441B6F"/>
    <w:rsid w:val="00446221"/>
    <w:rsid w:val="00450E62"/>
    <w:rsid w:val="004539DB"/>
    <w:rsid w:val="00462E5A"/>
    <w:rsid w:val="00471A80"/>
    <w:rsid w:val="004B1C11"/>
    <w:rsid w:val="004D305E"/>
    <w:rsid w:val="004D4277"/>
    <w:rsid w:val="00502516"/>
    <w:rsid w:val="00505F06"/>
    <w:rsid w:val="00506828"/>
    <w:rsid w:val="0053056E"/>
    <w:rsid w:val="00543754"/>
    <w:rsid w:val="00554FDA"/>
    <w:rsid w:val="005806A4"/>
    <w:rsid w:val="005A6644"/>
    <w:rsid w:val="005C05BC"/>
    <w:rsid w:val="005C6AAC"/>
    <w:rsid w:val="005C784C"/>
    <w:rsid w:val="005D17F6"/>
    <w:rsid w:val="005E5539"/>
    <w:rsid w:val="005F718F"/>
    <w:rsid w:val="00602BF5"/>
    <w:rsid w:val="00612565"/>
    <w:rsid w:val="00617FDD"/>
    <w:rsid w:val="00633614"/>
    <w:rsid w:val="00633F68"/>
    <w:rsid w:val="00636EB2"/>
    <w:rsid w:val="0063741A"/>
    <w:rsid w:val="006375B8"/>
    <w:rsid w:val="00654E27"/>
    <w:rsid w:val="0066510A"/>
    <w:rsid w:val="00673F9F"/>
    <w:rsid w:val="00674C86"/>
    <w:rsid w:val="006772F5"/>
    <w:rsid w:val="00686953"/>
    <w:rsid w:val="00687DEA"/>
    <w:rsid w:val="00687E67"/>
    <w:rsid w:val="00691750"/>
    <w:rsid w:val="006967F7"/>
    <w:rsid w:val="006A250C"/>
    <w:rsid w:val="006B21D3"/>
    <w:rsid w:val="006B4ED4"/>
    <w:rsid w:val="006B57D0"/>
    <w:rsid w:val="006C4E02"/>
    <w:rsid w:val="006D30FF"/>
    <w:rsid w:val="006D6940"/>
    <w:rsid w:val="006D6E01"/>
    <w:rsid w:val="006E0840"/>
    <w:rsid w:val="006E1240"/>
    <w:rsid w:val="006F11EC"/>
    <w:rsid w:val="0070082C"/>
    <w:rsid w:val="00701493"/>
    <w:rsid w:val="0071129F"/>
    <w:rsid w:val="007369E6"/>
    <w:rsid w:val="00746E59"/>
    <w:rsid w:val="00754C9A"/>
    <w:rsid w:val="0075599A"/>
    <w:rsid w:val="00760485"/>
    <w:rsid w:val="00761D52"/>
    <w:rsid w:val="0077749E"/>
    <w:rsid w:val="00790ADA"/>
    <w:rsid w:val="00795F5B"/>
    <w:rsid w:val="007D2288"/>
    <w:rsid w:val="007E088F"/>
    <w:rsid w:val="007E5514"/>
    <w:rsid w:val="007F205B"/>
    <w:rsid w:val="007F3E8F"/>
    <w:rsid w:val="007F7B32"/>
    <w:rsid w:val="00804BC2"/>
    <w:rsid w:val="00813AFF"/>
    <w:rsid w:val="0081431A"/>
    <w:rsid w:val="008272D6"/>
    <w:rsid w:val="0083216F"/>
    <w:rsid w:val="00850243"/>
    <w:rsid w:val="00860000"/>
    <w:rsid w:val="00863BD3"/>
    <w:rsid w:val="008641ED"/>
    <w:rsid w:val="00866D66"/>
    <w:rsid w:val="008671C6"/>
    <w:rsid w:val="00875803"/>
    <w:rsid w:val="008877C1"/>
    <w:rsid w:val="008B451A"/>
    <w:rsid w:val="008B459E"/>
    <w:rsid w:val="008D08C6"/>
    <w:rsid w:val="008E13AE"/>
    <w:rsid w:val="008E1506"/>
    <w:rsid w:val="008E710C"/>
    <w:rsid w:val="008F69D6"/>
    <w:rsid w:val="00902823"/>
    <w:rsid w:val="00915CA6"/>
    <w:rsid w:val="00917A8F"/>
    <w:rsid w:val="00927834"/>
    <w:rsid w:val="009366E4"/>
    <w:rsid w:val="009500A6"/>
    <w:rsid w:val="00957C18"/>
    <w:rsid w:val="009659BA"/>
    <w:rsid w:val="00983040"/>
    <w:rsid w:val="00984E8F"/>
    <w:rsid w:val="00992125"/>
    <w:rsid w:val="009B3FB9"/>
    <w:rsid w:val="009C2465"/>
    <w:rsid w:val="009C3BE6"/>
    <w:rsid w:val="009D35A0"/>
    <w:rsid w:val="009D7EB7"/>
    <w:rsid w:val="009E048A"/>
    <w:rsid w:val="009E08E9"/>
    <w:rsid w:val="009E3DB9"/>
    <w:rsid w:val="009E6E35"/>
    <w:rsid w:val="009F0EDA"/>
    <w:rsid w:val="00A03B96"/>
    <w:rsid w:val="00A05B19"/>
    <w:rsid w:val="00A1134E"/>
    <w:rsid w:val="00A14259"/>
    <w:rsid w:val="00A24E7E"/>
    <w:rsid w:val="00A258C3"/>
    <w:rsid w:val="00A347C0"/>
    <w:rsid w:val="00A51431"/>
    <w:rsid w:val="00A539AD"/>
    <w:rsid w:val="00A6296B"/>
    <w:rsid w:val="00A80270"/>
    <w:rsid w:val="00A86CA4"/>
    <w:rsid w:val="00A94063"/>
    <w:rsid w:val="00AA6219"/>
    <w:rsid w:val="00AA6BEA"/>
    <w:rsid w:val="00AA74E0"/>
    <w:rsid w:val="00AB703F"/>
    <w:rsid w:val="00AC6BB8"/>
    <w:rsid w:val="00AE008F"/>
    <w:rsid w:val="00AF4489"/>
    <w:rsid w:val="00B01FCD"/>
    <w:rsid w:val="00B16333"/>
    <w:rsid w:val="00B1776C"/>
    <w:rsid w:val="00B43D5A"/>
    <w:rsid w:val="00B52583"/>
    <w:rsid w:val="00B52896"/>
    <w:rsid w:val="00B751D7"/>
    <w:rsid w:val="00B75924"/>
    <w:rsid w:val="00B75C75"/>
    <w:rsid w:val="00B8364C"/>
    <w:rsid w:val="00B83C11"/>
    <w:rsid w:val="00B879CD"/>
    <w:rsid w:val="00B95236"/>
    <w:rsid w:val="00B96BD9"/>
    <w:rsid w:val="00BA1B01"/>
    <w:rsid w:val="00BA2641"/>
    <w:rsid w:val="00BB37AA"/>
    <w:rsid w:val="00BC53A0"/>
    <w:rsid w:val="00BD50B4"/>
    <w:rsid w:val="00BE62AD"/>
    <w:rsid w:val="00BF121F"/>
    <w:rsid w:val="00BF1F80"/>
    <w:rsid w:val="00C06513"/>
    <w:rsid w:val="00C15502"/>
    <w:rsid w:val="00C166EF"/>
    <w:rsid w:val="00C17EB0"/>
    <w:rsid w:val="00C270AA"/>
    <w:rsid w:val="00C27F5F"/>
    <w:rsid w:val="00C30A0F"/>
    <w:rsid w:val="00C37E61"/>
    <w:rsid w:val="00C52138"/>
    <w:rsid w:val="00C5590C"/>
    <w:rsid w:val="00C6619F"/>
    <w:rsid w:val="00C663BC"/>
    <w:rsid w:val="00C70F1B"/>
    <w:rsid w:val="00C71A47"/>
    <w:rsid w:val="00C7464C"/>
    <w:rsid w:val="00C7573D"/>
    <w:rsid w:val="00C85588"/>
    <w:rsid w:val="00CA4E9D"/>
    <w:rsid w:val="00CB7D94"/>
    <w:rsid w:val="00CD6755"/>
    <w:rsid w:val="00CD6856"/>
    <w:rsid w:val="00CD6997"/>
    <w:rsid w:val="00CE0089"/>
    <w:rsid w:val="00CE793C"/>
    <w:rsid w:val="00CF193C"/>
    <w:rsid w:val="00CF4220"/>
    <w:rsid w:val="00D173F1"/>
    <w:rsid w:val="00D33E3B"/>
    <w:rsid w:val="00D37116"/>
    <w:rsid w:val="00D41953"/>
    <w:rsid w:val="00D73607"/>
    <w:rsid w:val="00D74CB0"/>
    <w:rsid w:val="00D8295D"/>
    <w:rsid w:val="00D83D0E"/>
    <w:rsid w:val="00D92CB8"/>
    <w:rsid w:val="00D95111"/>
    <w:rsid w:val="00DA7DE7"/>
    <w:rsid w:val="00DB5311"/>
    <w:rsid w:val="00DC2A65"/>
    <w:rsid w:val="00DD6BE2"/>
    <w:rsid w:val="00DE15F0"/>
    <w:rsid w:val="00DE3BDE"/>
    <w:rsid w:val="00DE5663"/>
    <w:rsid w:val="00DE78AA"/>
    <w:rsid w:val="00E053D0"/>
    <w:rsid w:val="00E15994"/>
    <w:rsid w:val="00E2014F"/>
    <w:rsid w:val="00E21DE7"/>
    <w:rsid w:val="00E300A7"/>
    <w:rsid w:val="00E3114E"/>
    <w:rsid w:val="00E31A70"/>
    <w:rsid w:val="00E35B02"/>
    <w:rsid w:val="00E4494A"/>
    <w:rsid w:val="00E45474"/>
    <w:rsid w:val="00E66496"/>
    <w:rsid w:val="00E66B35"/>
    <w:rsid w:val="00E66E10"/>
    <w:rsid w:val="00E769F6"/>
    <w:rsid w:val="00E8407C"/>
    <w:rsid w:val="00E84F3C"/>
    <w:rsid w:val="00E8703F"/>
    <w:rsid w:val="00EA012C"/>
    <w:rsid w:val="00EA36C2"/>
    <w:rsid w:val="00EB4521"/>
    <w:rsid w:val="00EC5C48"/>
    <w:rsid w:val="00EC6A55"/>
    <w:rsid w:val="00ED0288"/>
    <w:rsid w:val="00EE52CB"/>
    <w:rsid w:val="00EF581D"/>
    <w:rsid w:val="00EF7FD8"/>
    <w:rsid w:val="00F0330F"/>
    <w:rsid w:val="00F06F59"/>
    <w:rsid w:val="00F17988"/>
    <w:rsid w:val="00F456B3"/>
    <w:rsid w:val="00F469F0"/>
    <w:rsid w:val="00F53273"/>
    <w:rsid w:val="00F55E1D"/>
    <w:rsid w:val="00F755E4"/>
    <w:rsid w:val="00F77D02"/>
    <w:rsid w:val="00FA6EA1"/>
    <w:rsid w:val="00FB3A86"/>
    <w:rsid w:val="00FC4ABB"/>
    <w:rsid w:val="00FD36C8"/>
    <w:rsid w:val="00FD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782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736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3">
    <w:name w:val="Table Grid3"/>
    <w:basedOn w:val="TableNormal"/>
    <w:next w:val="TableGrid"/>
    <w:uiPriority w:val="39"/>
    <w:rsid w:val="00543754"/>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08C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2014F"/>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16333"/>
    <w:rPr>
      <w:rFonts w:ascii="Aptos" w:hAnsi="Apto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366730"/>
    <w:pPr>
      <w:spacing w:afterAutospacing="1"/>
    </w:pPr>
    <w:rPr>
      <w:rFonts w:ascii="Aptos" w:eastAsia="Aptos" w:hAnsi="Aptos"/>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6730"/>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7A8F"/>
    <w:pPr>
      <w:spacing w:afterAutospacing="1"/>
    </w:pPr>
    <w:rPr>
      <w:rFonts w:ascii="Aptos" w:eastAsia="Aptos" w:hAnsi="Aptos"/>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F4489"/>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4489"/>
    <w:pPr>
      <w:spacing w:afterAutospacing="1"/>
    </w:pPr>
    <w:rPr>
      <w:rFonts w:ascii="Aptos" w:eastAsia="Aptos" w:hAnsi="Aptos"/>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7360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93355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450702">
      <w:bodyDiv w:val="1"/>
      <w:marLeft w:val="0"/>
      <w:marRight w:val="0"/>
      <w:marTop w:val="0"/>
      <w:marBottom w:val="0"/>
      <w:divBdr>
        <w:top w:val="none" w:sz="0" w:space="0" w:color="auto"/>
        <w:left w:val="none" w:sz="0" w:space="0" w:color="auto"/>
        <w:bottom w:val="none" w:sz="0" w:space="0" w:color="auto"/>
        <w:right w:val="none" w:sz="0" w:space="0" w:color="auto"/>
      </w:divBdr>
      <w:divsChild>
        <w:div w:id="1236017027">
          <w:marLeft w:val="0"/>
          <w:marRight w:val="0"/>
          <w:marTop w:val="0"/>
          <w:marBottom w:val="0"/>
          <w:divBdr>
            <w:top w:val="none" w:sz="0" w:space="0" w:color="auto"/>
            <w:left w:val="none" w:sz="0" w:space="0" w:color="auto"/>
            <w:bottom w:val="none" w:sz="0" w:space="0" w:color="auto"/>
            <w:right w:val="none" w:sz="0" w:space="0" w:color="auto"/>
          </w:divBdr>
          <w:divsChild>
            <w:div w:id="1446121598">
              <w:marLeft w:val="0"/>
              <w:marRight w:val="0"/>
              <w:marTop w:val="0"/>
              <w:marBottom w:val="0"/>
              <w:divBdr>
                <w:top w:val="none" w:sz="0" w:space="0" w:color="auto"/>
                <w:left w:val="none" w:sz="0" w:space="0" w:color="auto"/>
                <w:bottom w:val="none" w:sz="0" w:space="0" w:color="auto"/>
                <w:right w:val="none" w:sz="0" w:space="0" w:color="auto"/>
              </w:divBdr>
            </w:div>
          </w:divsChild>
        </w:div>
        <w:div w:id="532959118">
          <w:marLeft w:val="0"/>
          <w:marRight w:val="0"/>
          <w:marTop w:val="0"/>
          <w:marBottom w:val="0"/>
          <w:divBdr>
            <w:top w:val="none" w:sz="0" w:space="0" w:color="auto"/>
            <w:left w:val="none" w:sz="0" w:space="0" w:color="auto"/>
            <w:bottom w:val="none" w:sz="0" w:space="0" w:color="auto"/>
            <w:right w:val="none" w:sz="0" w:space="0" w:color="auto"/>
          </w:divBdr>
          <w:divsChild>
            <w:div w:id="18424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689</TotalTime>
  <Pages>22</Pages>
  <Words>8602</Words>
  <Characters>49032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73</cp:revision>
  <cp:lastPrinted>1999-07-06T11:00:00Z</cp:lastPrinted>
  <dcterms:created xsi:type="dcterms:W3CDTF">2025-05-04T14:41:00Z</dcterms:created>
  <dcterms:modified xsi:type="dcterms:W3CDTF">2025-05-09T08:42:00Z</dcterms:modified>
</cp:coreProperties>
</file>