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5504D" w14:textId="77777777" w:rsidR="00825F97" w:rsidRDefault="00825F97" w:rsidP="00637D25">
      <w:pPr>
        <w:spacing w:line="360" w:lineRule="auto"/>
        <w:jc w:val="both"/>
        <w:rPr>
          <w:rFonts w:ascii="Arial" w:hAnsi="Arial" w:cs="Arial"/>
          <w:sz w:val="20"/>
          <w:szCs w:val="20"/>
        </w:rPr>
      </w:pPr>
      <w:bookmarkStart w:id="0" w:name="_Hlk195524362"/>
    </w:p>
    <w:p w14:paraId="7E405BBA" w14:textId="77777777" w:rsidR="007B63B0" w:rsidRPr="00E9050E" w:rsidRDefault="007B63B0" w:rsidP="00921A62">
      <w:pPr>
        <w:spacing w:line="360" w:lineRule="auto"/>
        <w:jc w:val="right"/>
        <w:rPr>
          <w:rFonts w:ascii="Arial" w:hAnsi="Arial" w:cs="Arial"/>
          <w:sz w:val="20"/>
          <w:szCs w:val="20"/>
        </w:rPr>
      </w:pPr>
    </w:p>
    <w:p w14:paraId="060BD90C" w14:textId="77777777" w:rsidR="007B63B0" w:rsidRPr="00E9050E" w:rsidRDefault="007B63B0" w:rsidP="00921A62">
      <w:pPr>
        <w:spacing w:line="360" w:lineRule="auto"/>
        <w:jc w:val="right"/>
        <w:rPr>
          <w:rFonts w:ascii="Arial" w:hAnsi="Arial" w:cs="Arial"/>
          <w:b/>
          <w:bCs/>
          <w:sz w:val="20"/>
          <w:szCs w:val="20"/>
        </w:rPr>
      </w:pPr>
      <w:r w:rsidRPr="00E9050E">
        <w:rPr>
          <w:rFonts w:ascii="Arial" w:hAnsi="Arial" w:cs="Arial"/>
          <w:b/>
          <w:bCs/>
          <w:sz w:val="20"/>
          <w:szCs w:val="20"/>
        </w:rPr>
        <w:t xml:space="preserve">The Impact of </w:t>
      </w:r>
      <w:proofErr w:type="spellStart"/>
      <w:r w:rsidRPr="00E9050E">
        <w:rPr>
          <w:rFonts w:ascii="Arial" w:hAnsi="Arial" w:cs="Arial"/>
          <w:b/>
          <w:bCs/>
          <w:sz w:val="20"/>
          <w:szCs w:val="20"/>
        </w:rPr>
        <w:t>RegTech</w:t>
      </w:r>
      <w:proofErr w:type="spellEnd"/>
      <w:r w:rsidRPr="00E9050E">
        <w:rPr>
          <w:rFonts w:ascii="Arial" w:hAnsi="Arial" w:cs="Arial"/>
          <w:b/>
          <w:bCs/>
          <w:sz w:val="20"/>
          <w:szCs w:val="20"/>
        </w:rPr>
        <w:t xml:space="preserve"> and Blockchain Integration on AML Compliance: A Financial Analysis Perspective</w:t>
      </w:r>
    </w:p>
    <w:p w14:paraId="6A10543B" w14:textId="77777777" w:rsidR="008F4725" w:rsidRDefault="008F4725" w:rsidP="00637D25">
      <w:pPr>
        <w:spacing w:line="360" w:lineRule="auto"/>
        <w:jc w:val="both"/>
        <w:rPr>
          <w:rFonts w:ascii="Arial" w:hAnsi="Arial" w:cs="Arial"/>
          <w:b/>
          <w:bCs/>
          <w:sz w:val="20"/>
          <w:szCs w:val="20"/>
        </w:rPr>
      </w:pPr>
    </w:p>
    <w:p w14:paraId="7817BE99" w14:textId="4AF9BE8F" w:rsidR="00F7614A" w:rsidRPr="00E9050E" w:rsidRDefault="00F7614A" w:rsidP="00637D25">
      <w:pPr>
        <w:spacing w:line="360" w:lineRule="auto"/>
        <w:jc w:val="both"/>
        <w:rPr>
          <w:rFonts w:ascii="Arial" w:hAnsi="Arial" w:cs="Arial"/>
          <w:b/>
          <w:bCs/>
          <w:sz w:val="20"/>
          <w:szCs w:val="20"/>
        </w:rPr>
      </w:pPr>
      <w:r w:rsidRPr="00E9050E">
        <w:rPr>
          <w:rFonts w:ascii="Arial" w:hAnsi="Arial" w:cs="Arial"/>
          <w:b/>
          <w:bCs/>
          <w:sz w:val="20"/>
          <w:szCs w:val="20"/>
        </w:rPr>
        <w:t>ABSTRACT</w:t>
      </w:r>
    </w:p>
    <w:p w14:paraId="41F7F715" w14:textId="67C2DBF4" w:rsidR="00F7614A" w:rsidRPr="00E9050E" w:rsidRDefault="00F7614A" w:rsidP="00637D25">
      <w:pPr>
        <w:spacing w:line="360" w:lineRule="auto"/>
        <w:jc w:val="both"/>
        <w:rPr>
          <w:rFonts w:ascii="Arial" w:hAnsi="Arial" w:cs="Arial"/>
          <w:sz w:val="20"/>
          <w:szCs w:val="20"/>
        </w:rPr>
      </w:pPr>
      <w:r w:rsidRPr="001C1CDF">
        <w:rPr>
          <w:rFonts w:ascii="Arial" w:hAnsi="Arial" w:cs="Arial"/>
          <w:b/>
          <w:bCs/>
        </w:rPr>
        <w:t>Aims:</w:t>
      </w:r>
      <w:r w:rsidRPr="00E9050E">
        <w:rPr>
          <w:rFonts w:ascii="Arial" w:hAnsi="Arial" w:cs="Arial"/>
          <w:sz w:val="20"/>
          <w:szCs w:val="20"/>
        </w:rPr>
        <w:t xml:space="preserve"> </w:t>
      </w:r>
      <w:r w:rsidR="001C1CDF" w:rsidRPr="001C1CDF">
        <w:rPr>
          <w:rFonts w:ascii="Arial" w:hAnsi="Arial" w:cs="Arial"/>
          <w:sz w:val="20"/>
          <w:szCs w:val="20"/>
        </w:rPr>
        <w:t xml:space="preserve">This paper is about investigating the impact of </w:t>
      </w:r>
      <w:r w:rsidR="001C1CDF">
        <w:rPr>
          <w:rFonts w:ascii="Arial" w:hAnsi="Arial" w:cs="Arial"/>
          <w:sz w:val="20"/>
          <w:szCs w:val="20"/>
        </w:rPr>
        <w:t xml:space="preserve">the </w:t>
      </w:r>
      <w:r w:rsidR="001C1CDF" w:rsidRPr="001C1CDF">
        <w:rPr>
          <w:rFonts w:ascii="Arial" w:hAnsi="Arial" w:cs="Arial"/>
          <w:sz w:val="20"/>
          <w:szCs w:val="20"/>
        </w:rPr>
        <w:t>combination of Regulatory Technology (RegTech) and blockchain in Anti-Money Laundering (AML) compliance in financial institutions. It focuses on how these technologies help boost the core AML function</w:t>
      </w:r>
      <w:r w:rsidR="001C1CDF">
        <w:rPr>
          <w:rFonts w:ascii="Arial" w:hAnsi="Arial" w:cs="Arial"/>
          <w:sz w:val="20"/>
          <w:szCs w:val="20"/>
        </w:rPr>
        <w:t>,</w:t>
      </w:r>
      <w:r w:rsidR="001C1CDF" w:rsidRPr="001C1CDF">
        <w:rPr>
          <w:rFonts w:ascii="Arial" w:hAnsi="Arial" w:cs="Arial"/>
          <w:sz w:val="20"/>
          <w:szCs w:val="20"/>
        </w:rPr>
        <w:t xml:space="preserve"> such as Know Your Customer (KYC), transaction monitoring and compliance reporting, </w:t>
      </w:r>
      <w:r w:rsidR="001C1CDF">
        <w:rPr>
          <w:rFonts w:ascii="Arial" w:hAnsi="Arial" w:cs="Arial"/>
          <w:sz w:val="20"/>
          <w:szCs w:val="20"/>
        </w:rPr>
        <w:t>while taking into consideration their financial and operational effect</w:t>
      </w:r>
    </w:p>
    <w:p w14:paraId="74926DBF" w14:textId="6C92B573" w:rsidR="00F7614A" w:rsidRPr="00E9050E" w:rsidRDefault="00F7614A" w:rsidP="00637D25">
      <w:pPr>
        <w:spacing w:line="360" w:lineRule="auto"/>
        <w:jc w:val="both"/>
        <w:rPr>
          <w:rFonts w:ascii="Arial" w:hAnsi="Arial" w:cs="Arial"/>
          <w:sz w:val="20"/>
          <w:szCs w:val="20"/>
        </w:rPr>
      </w:pPr>
      <w:r w:rsidRPr="001C1CDF">
        <w:rPr>
          <w:rFonts w:ascii="Arial" w:hAnsi="Arial" w:cs="Arial"/>
          <w:b/>
          <w:bCs/>
        </w:rPr>
        <w:t>Methodology:</w:t>
      </w:r>
      <w:r w:rsidRPr="00E9050E">
        <w:rPr>
          <w:rFonts w:ascii="Arial" w:hAnsi="Arial" w:cs="Arial"/>
          <w:sz w:val="20"/>
          <w:szCs w:val="20"/>
        </w:rPr>
        <w:t xml:space="preserve"> </w:t>
      </w:r>
      <w:r w:rsidR="007970C5" w:rsidRPr="007970C5">
        <w:rPr>
          <w:rFonts w:ascii="Arial" w:hAnsi="Arial" w:cs="Arial"/>
          <w:sz w:val="20"/>
          <w:szCs w:val="20"/>
        </w:rPr>
        <w:t>A systematic literature review methodology was used</w:t>
      </w:r>
      <w:r w:rsidR="007970C5">
        <w:rPr>
          <w:rFonts w:ascii="Arial" w:hAnsi="Arial" w:cs="Arial"/>
          <w:sz w:val="20"/>
          <w:szCs w:val="20"/>
        </w:rPr>
        <w:t>,</w:t>
      </w:r>
      <w:r w:rsidR="007970C5" w:rsidRPr="007970C5">
        <w:rPr>
          <w:rFonts w:ascii="Arial" w:hAnsi="Arial" w:cs="Arial"/>
          <w:sz w:val="20"/>
          <w:szCs w:val="20"/>
        </w:rPr>
        <w:t xml:space="preserve"> and 12 </w:t>
      </w:r>
      <w:r w:rsidR="007970C5">
        <w:rPr>
          <w:rFonts w:ascii="Arial" w:hAnsi="Arial" w:cs="Arial"/>
          <w:sz w:val="20"/>
          <w:szCs w:val="20"/>
        </w:rPr>
        <w:t>case-based</w:t>
      </w:r>
      <w:r w:rsidR="007970C5" w:rsidRPr="007970C5">
        <w:rPr>
          <w:rFonts w:ascii="Arial" w:hAnsi="Arial" w:cs="Arial"/>
          <w:sz w:val="20"/>
          <w:szCs w:val="20"/>
        </w:rPr>
        <w:t xml:space="preserve"> and empirical studies from a pool of 180 sources were </w:t>
      </w:r>
      <w:proofErr w:type="spellStart"/>
      <w:r w:rsidR="007970C5">
        <w:rPr>
          <w:rFonts w:ascii="Arial" w:hAnsi="Arial" w:cs="Arial"/>
          <w:sz w:val="20"/>
          <w:szCs w:val="20"/>
        </w:rPr>
        <w:t>analysed</w:t>
      </w:r>
      <w:proofErr w:type="spellEnd"/>
      <w:r w:rsidR="007970C5" w:rsidRPr="007970C5">
        <w:rPr>
          <w:rFonts w:ascii="Arial" w:hAnsi="Arial" w:cs="Arial"/>
          <w:sz w:val="20"/>
          <w:szCs w:val="20"/>
        </w:rPr>
        <w:t xml:space="preserve">. Additionally, it </w:t>
      </w:r>
      <w:proofErr w:type="spellStart"/>
      <w:r w:rsidR="007970C5">
        <w:rPr>
          <w:rFonts w:ascii="Arial" w:hAnsi="Arial" w:cs="Arial"/>
          <w:sz w:val="20"/>
          <w:szCs w:val="20"/>
        </w:rPr>
        <w:t>emphasised</w:t>
      </w:r>
      <w:proofErr w:type="spellEnd"/>
      <w:r w:rsidR="007970C5" w:rsidRPr="007970C5">
        <w:rPr>
          <w:rFonts w:ascii="Arial" w:hAnsi="Arial" w:cs="Arial"/>
          <w:sz w:val="20"/>
          <w:szCs w:val="20"/>
        </w:rPr>
        <w:t xml:space="preserve"> </w:t>
      </w:r>
      <w:r w:rsidR="007970C5">
        <w:rPr>
          <w:rFonts w:ascii="Arial" w:hAnsi="Arial" w:cs="Arial"/>
          <w:sz w:val="20"/>
          <w:szCs w:val="20"/>
        </w:rPr>
        <w:t>peer-reviewed</w:t>
      </w:r>
      <w:r w:rsidR="007970C5" w:rsidRPr="007970C5">
        <w:rPr>
          <w:rFonts w:ascii="Arial" w:hAnsi="Arial" w:cs="Arial"/>
          <w:sz w:val="20"/>
          <w:szCs w:val="20"/>
        </w:rPr>
        <w:t xml:space="preserve"> articles as well as institutional reports with </w:t>
      </w:r>
      <w:r w:rsidR="007970C5">
        <w:rPr>
          <w:rFonts w:ascii="Arial" w:hAnsi="Arial" w:cs="Arial"/>
          <w:sz w:val="20"/>
          <w:szCs w:val="20"/>
        </w:rPr>
        <w:t>real-world</w:t>
      </w:r>
      <w:r w:rsidR="007970C5" w:rsidRPr="007970C5">
        <w:rPr>
          <w:rFonts w:ascii="Arial" w:hAnsi="Arial" w:cs="Arial"/>
          <w:sz w:val="20"/>
          <w:szCs w:val="20"/>
        </w:rPr>
        <w:t xml:space="preserve"> insights on RegTech and blockchain </w:t>
      </w:r>
      <w:r w:rsidR="007970C5">
        <w:rPr>
          <w:rFonts w:ascii="Arial" w:hAnsi="Arial" w:cs="Arial"/>
          <w:sz w:val="20"/>
          <w:szCs w:val="20"/>
        </w:rPr>
        <w:t>solutions</w:t>
      </w:r>
      <w:r w:rsidR="00EC5E4A">
        <w:rPr>
          <w:rFonts w:ascii="Arial" w:hAnsi="Arial" w:cs="Arial"/>
          <w:sz w:val="20"/>
          <w:szCs w:val="20"/>
        </w:rPr>
        <w:t>,</w:t>
      </w:r>
      <w:r w:rsidR="007970C5" w:rsidRPr="007970C5">
        <w:rPr>
          <w:rFonts w:ascii="Arial" w:hAnsi="Arial" w:cs="Arial"/>
          <w:sz w:val="20"/>
          <w:szCs w:val="20"/>
        </w:rPr>
        <w:t xml:space="preserve"> financial, operational and regulatory performance, in </w:t>
      </w:r>
      <w:r w:rsidR="007970C5">
        <w:rPr>
          <w:rFonts w:ascii="Arial" w:hAnsi="Arial" w:cs="Arial"/>
          <w:sz w:val="20"/>
          <w:szCs w:val="20"/>
        </w:rPr>
        <w:t xml:space="preserve">the </w:t>
      </w:r>
      <w:r w:rsidR="007970C5" w:rsidRPr="007970C5">
        <w:rPr>
          <w:rFonts w:ascii="Arial" w:hAnsi="Arial" w:cs="Arial"/>
          <w:sz w:val="20"/>
          <w:szCs w:val="20"/>
        </w:rPr>
        <w:t>AML context, across different global jurisdictions.</w:t>
      </w:r>
    </w:p>
    <w:p w14:paraId="1B698950" w14:textId="2EF213F4" w:rsidR="00F7614A" w:rsidRPr="00E9050E" w:rsidRDefault="00F7614A" w:rsidP="00637D25">
      <w:pPr>
        <w:spacing w:line="360" w:lineRule="auto"/>
        <w:jc w:val="both"/>
        <w:rPr>
          <w:rFonts w:ascii="Arial" w:hAnsi="Arial" w:cs="Arial"/>
          <w:sz w:val="20"/>
          <w:szCs w:val="20"/>
        </w:rPr>
      </w:pPr>
      <w:r w:rsidRPr="001C1CDF">
        <w:rPr>
          <w:rFonts w:ascii="Arial" w:hAnsi="Arial" w:cs="Arial"/>
          <w:b/>
          <w:bCs/>
        </w:rPr>
        <w:t>Result and Discussion</w:t>
      </w:r>
      <w:r w:rsidRPr="001C1CDF">
        <w:rPr>
          <w:rFonts w:ascii="Arial" w:hAnsi="Arial" w:cs="Arial"/>
        </w:rPr>
        <w:t xml:space="preserve">: </w:t>
      </w:r>
      <w:r w:rsidR="00EC5E4A" w:rsidRPr="00EC5E4A">
        <w:rPr>
          <w:rFonts w:ascii="Arial" w:hAnsi="Arial" w:cs="Arial"/>
          <w:sz w:val="20"/>
          <w:szCs w:val="20"/>
        </w:rPr>
        <w:t>The review</w:t>
      </w:r>
      <w:r w:rsidR="00EC5E4A">
        <w:rPr>
          <w:rFonts w:ascii="Arial" w:hAnsi="Arial" w:cs="Arial"/>
          <w:sz w:val="20"/>
          <w:szCs w:val="20"/>
        </w:rPr>
        <w:t>’s findings show</w:t>
      </w:r>
      <w:r w:rsidR="00EC5E4A" w:rsidRPr="00EC5E4A">
        <w:rPr>
          <w:rFonts w:ascii="Arial" w:hAnsi="Arial" w:cs="Arial"/>
          <w:sz w:val="20"/>
          <w:szCs w:val="20"/>
        </w:rPr>
        <w:t xml:space="preserve"> that RegTech improves the accuracy during KYC and transaction monitoring</w:t>
      </w:r>
      <w:r w:rsidR="00EC5E4A">
        <w:rPr>
          <w:rFonts w:ascii="Arial" w:hAnsi="Arial" w:cs="Arial"/>
          <w:sz w:val="20"/>
          <w:szCs w:val="20"/>
        </w:rPr>
        <w:t>,</w:t>
      </w:r>
      <w:r w:rsidR="00EC5E4A" w:rsidRPr="00EC5E4A">
        <w:rPr>
          <w:rFonts w:ascii="Arial" w:hAnsi="Arial" w:cs="Arial"/>
          <w:sz w:val="20"/>
          <w:szCs w:val="20"/>
        </w:rPr>
        <w:t xml:space="preserve"> while Blockchain creates transparency and accountability. Compliance costs were reduced and more operational efficiency was reported in most case studies with collaborators of the regulators and institutions, where collaboration between the regulators and institutions existed. </w:t>
      </w:r>
      <w:r w:rsidR="00EC5E4A">
        <w:rPr>
          <w:rFonts w:ascii="Arial" w:hAnsi="Arial" w:cs="Arial"/>
          <w:sz w:val="20"/>
          <w:szCs w:val="20"/>
        </w:rPr>
        <w:t>Due to c</w:t>
      </w:r>
      <w:r w:rsidR="00EC5E4A" w:rsidRPr="00EC5E4A">
        <w:rPr>
          <w:rFonts w:ascii="Arial" w:hAnsi="Arial" w:cs="Arial"/>
          <w:sz w:val="20"/>
          <w:szCs w:val="20"/>
        </w:rPr>
        <w:t xml:space="preserve">hallenges such as outdated </w:t>
      </w:r>
      <w:r w:rsidR="00EC5E4A">
        <w:rPr>
          <w:rFonts w:ascii="Arial" w:hAnsi="Arial" w:cs="Arial"/>
          <w:sz w:val="20"/>
          <w:szCs w:val="20"/>
        </w:rPr>
        <w:t>systems</w:t>
      </w:r>
      <w:r w:rsidR="00EC5E4A" w:rsidRPr="00EC5E4A">
        <w:rPr>
          <w:rFonts w:ascii="Arial" w:hAnsi="Arial" w:cs="Arial"/>
          <w:sz w:val="20"/>
          <w:szCs w:val="20"/>
        </w:rPr>
        <w:t>, legal uncertainty and fragmented regulation, wider adoption and scalability are still</w:t>
      </w:r>
      <w:r w:rsidR="00EC5E4A">
        <w:rPr>
          <w:rFonts w:ascii="Arial" w:hAnsi="Arial" w:cs="Arial"/>
          <w:sz w:val="20"/>
          <w:szCs w:val="20"/>
        </w:rPr>
        <w:t xml:space="preserve"> hindered</w:t>
      </w:r>
      <w:r w:rsidR="00EC5E4A" w:rsidRPr="00EC5E4A">
        <w:rPr>
          <w:rFonts w:ascii="Arial" w:hAnsi="Arial" w:cs="Arial"/>
          <w:sz w:val="20"/>
          <w:szCs w:val="20"/>
        </w:rPr>
        <w:t xml:space="preserve">. Although it is clear that integration of the RegTech and blockchain shows great potential, its full potential can only be </w:t>
      </w:r>
      <w:proofErr w:type="spellStart"/>
      <w:r w:rsidR="00EC5E4A">
        <w:rPr>
          <w:rFonts w:ascii="Arial" w:hAnsi="Arial" w:cs="Arial"/>
          <w:sz w:val="20"/>
          <w:szCs w:val="20"/>
        </w:rPr>
        <w:t>realised</w:t>
      </w:r>
      <w:proofErr w:type="spellEnd"/>
      <w:r w:rsidR="00EC5E4A" w:rsidRPr="00EC5E4A">
        <w:rPr>
          <w:rFonts w:ascii="Arial" w:hAnsi="Arial" w:cs="Arial"/>
          <w:sz w:val="20"/>
          <w:szCs w:val="20"/>
        </w:rPr>
        <w:t xml:space="preserve"> where there are </w:t>
      </w:r>
      <w:proofErr w:type="spellStart"/>
      <w:r w:rsidR="00EC5E4A">
        <w:rPr>
          <w:rFonts w:ascii="Arial" w:hAnsi="Arial" w:cs="Arial"/>
          <w:sz w:val="20"/>
          <w:szCs w:val="20"/>
        </w:rPr>
        <w:t>harmonised</w:t>
      </w:r>
      <w:proofErr w:type="spellEnd"/>
      <w:r w:rsidR="00EC5E4A" w:rsidRPr="00EC5E4A">
        <w:rPr>
          <w:rFonts w:ascii="Arial" w:hAnsi="Arial" w:cs="Arial"/>
          <w:sz w:val="20"/>
          <w:szCs w:val="20"/>
        </w:rPr>
        <w:t xml:space="preserve"> global regulations and infrastructure support.</w:t>
      </w:r>
    </w:p>
    <w:p w14:paraId="44C7DA78" w14:textId="4CBE15A2" w:rsidR="00F7614A" w:rsidRPr="00E9050E" w:rsidRDefault="00F7614A" w:rsidP="00637D25">
      <w:pPr>
        <w:spacing w:line="360" w:lineRule="auto"/>
        <w:jc w:val="both"/>
        <w:rPr>
          <w:rFonts w:ascii="Arial" w:hAnsi="Arial" w:cs="Arial"/>
          <w:sz w:val="20"/>
          <w:szCs w:val="20"/>
        </w:rPr>
      </w:pPr>
      <w:r w:rsidRPr="001C1CDF">
        <w:rPr>
          <w:rFonts w:ascii="Arial" w:hAnsi="Arial" w:cs="Arial"/>
          <w:b/>
          <w:bCs/>
        </w:rPr>
        <w:t>Recommendations for future research:</w:t>
      </w:r>
      <w:r w:rsidRPr="001C1CDF">
        <w:rPr>
          <w:rFonts w:ascii="Arial" w:hAnsi="Arial" w:cs="Arial"/>
        </w:rPr>
        <w:t xml:space="preserve"> </w:t>
      </w:r>
      <w:r w:rsidR="00EC5E4A" w:rsidRPr="00EC5E4A">
        <w:rPr>
          <w:rFonts w:ascii="Arial" w:hAnsi="Arial" w:cs="Arial"/>
          <w:sz w:val="20"/>
          <w:szCs w:val="20"/>
        </w:rPr>
        <w:t xml:space="preserve"> Future research should focus on longitudinal case studies having access to internal compliance data, examine </w:t>
      </w:r>
      <w:r w:rsidR="00EC5E4A">
        <w:rPr>
          <w:rFonts w:ascii="Arial" w:hAnsi="Arial" w:cs="Arial"/>
          <w:sz w:val="20"/>
          <w:szCs w:val="20"/>
        </w:rPr>
        <w:t xml:space="preserve">a </w:t>
      </w:r>
      <w:r w:rsidR="00EC5E4A" w:rsidRPr="00EC5E4A">
        <w:rPr>
          <w:rFonts w:ascii="Arial" w:hAnsi="Arial" w:cs="Arial"/>
          <w:sz w:val="20"/>
          <w:szCs w:val="20"/>
        </w:rPr>
        <w:t xml:space="preserve">unified RegTech blockchains ecosystem and quantify the amount of </w:t>
      </w:r>
      <w:proofErr w:type="spellStart"/>
      <w:r w:rsidR="00EC5E4A" w:rsidRPr="00EC5E4A">
        <w:rPr>
          <w:rFonts w:ascii="Arial" w:hAnsi="Arial" w:cs="Arial"/>
          <w:sz w:val="20"/>
          <w:szCs w:val="20"/>
        </w:rPr>
        <w:t>harmonisation</w:t>
      </w:r>
      <w:proofErr w:type="spellEnd"/>
      <w:r w:rsidR="00EC5E4A" w:rsidRPr="00EC5E4A">
        <w:rPr>
          <w:rFonts w:ascii="Arial" w:hAnsi="Arial" w:cs="Arial"/>
          <w:sz w:val="20"/>
          <w:szCs w:val="20"/>
        </w:rPr>
        <w:t xml:space="preserve"> of global regulations to enable scalable and economically feasible innovation of AML.</w:t>
      </w:r>
    </w:p>
    <w:p w14:paraId="08F5A30E" w14:textId="3A35B13B" w:rsidR="00F7614A" w:rsidRDefault="00F7614A" w:rsidP="00637D25">
      <w:pPr>
        <w:spacing w:line="360" w:lineRule="auto"/>
        <w:jc w:val="both"/>
        <w:rPr>
          <w:rFonts w:ascii="Arial" w:hAnsi="Arial" w:cs="Arial"/>
          <w:sz w:val="20"/>
          <w:szCs w:val="20"/>
        </w:rPr>
      </w:pPr>
      <w:r w:rsidRPr="001C1CDF">
        <w:rPr>
          <w:rFonts w:ascii="Arial" w:hAnsi="Arial" w:cs="Arial"/>
          <w:b/>
          <w:bCs/>
        </w:rPr>
        <w:t>Keywords:</w:t>
      </w:r>
      <w:r w:rsidRPr="00E9050E">
        <w:rPr>
          <w:rFonts w:ascii="Arial" w:hAnsi="Arial" w:cs="Arial"/>
          <w:sz w:val="20"/>
          <w:szCs w:val="20"/>
        </w:rPr>
        <w:t xml:space="preserve"> RegTech, Blockchain, AML Compliance, Know Your Customer (KYC), Transaction Monitoring, Compliance Automation, Financial Technology, Risk Management</w:t>
      </w:r>
    </w:p>
    <w:p w14:paraId="2ACABA78" w14:textId="77777777" w:rsidR="002C4820" w:rsidRPr="00E9050E" w:rsidRDefault="002C4820" w:rsidP="00637D25">
      <w:pPr>
        <w:spacing w:line="360" w:lineRule="auto"/>
        <w:jc w:val="both"/>
        <w:rPr>
          <w:rFonts w:ascii="Arial" w:hAnsi="Arial" w:cs="Arial"/>
          <w:sz w:val="20"/>
          <w:szCs w:val="20"/>
        </w:rPr>
      </w:pPr>
    </w:p>
    <w:p w14:paraId="024EDC52" w14:textId="31B71E63" w:rsidR="007906AE" w:rsidRDefault="00825F97" w:rsidP="00637D25">
      <w:pPr>
        <w:pStyle w:val="ListParagraph"/>
        <w:numPr>
          <w:ilvl w:val="0"/>
          <w:numId w:val="11"/>
        </w:numPr>
        <w:spacing w:line="360" w:lineRule="auto"/>
        <w:jc w:val="both"/>
        <w:rPr>
          <w:rFonts w:ascii="Arial" w:hAnsi="Arial" w:cs="Arial"/>
          <w:b/>
          <w:bCs/>
        </w:rPr>
      </w:pPr>
      <w:r w:rsidRPr="00F50CDE">
        <w:rPr>
          <w:rFonts w:ascii="Arial" w:hAnsi="Arial" w:cs="Arial"/>
          <w:b/>
          <w:bCs/>
        </w:rPr>
        <w:t>Introduction</w:t>
      </w:r>
    </w:p>
    <w:p w14:paraId="1739F3CC" w14:textId="1B121BC4" w:rsidR="00E312A9" w:rsidRPr="00E312A9" w:rsidRDefault="00E312A9" w:rsidP="00E312A9">
      <w:pPr>
        <w:spacing w:line="360" w:lineRule="auto"/>
        <w:jc w:val="both"/>
        <w:rPr>
          <w:rFonts w:ascii="Arial" w:hAnsi="Arial" w:cs="Arial"/>
          <w:sz w:val="20"/>
          <w:szCs w:val="20"/>
        </w:rPr>
      </w:pPr>
      <w:r w:rsidRPr="00E312A9">
        <w:rPr>
          <w:rFonts w:ascii="Arial" w:hAnsi="Arial" w:cs="Arial"/>
          <w:sz w:val="20"/>
          <w:szCs w:val="20"/>
        </w:rPr>
        <w:t xml:space="preserve">Regulatory technology (RegTech) has emerged to dramatically alter the compliance map of the financial sectors in response to the </w:t>
      </w:r>
      <w:proofErr w:type="spellStart"/>
      <w:r w:rsidRPr="00E312A9">
        <w:rPr>
          <w:rFonts w:ascii="Arial" w:hAnsi="Arial" w:cs="Arial"/>
          <w:sz w:val="20"/>
          <w:szCs w:val="20"/>
        </w:rPr>
        <w:t>modernisation</w:t>
      </w:r>
      <w:proofErr w:type="spellEnd"/>
      <w:r w:rsidRPr="00E312A9">
        <w:rPr>
          <w:rFonts w:ascii="Arial" w:hAnsi="Arial" w:cs="Arial"/>
          <w:sz w:val="20"/>
          <w:szCs w:val="20"/>
        </w:rPr>
        <w:t xml:space="preserve"> of economic crimes. Traditional anti-money laundering (AML) is hindered by </w:t>
      </w:r>
      <w:proofErr w:type="spellStart"/>
      <w:r w:rsidR="008C3400">
        <w:rPr>
          <w:rFonts w:ascii="Arial" w:hAnsi="Arial" w:cs="Arial"/>
          <w:sz w:val="20"/>
          <w:szCs w:val="20"/>
        </w:rPr>
        <w:t>labour-intensive</w:t>
      </w:r>
      <w:proofErr w:type="spellEnd"/>
      <w:r w:rsidRPr="00E312A9">
        <w:rPr>
          <w:rFonts w:ascii="Arial" w:hAnsi="Arial" w:cs="Arial"/>
          <w:sz w:val="20"/>
          <w:szCs w:val="20"/>
        </w:rPr>
        <w:t xml:space="preserve"> processes and human error, which is detrimental in today’s </w:t>
      </w:r>
      <w:r w:rsidR="008C3400">
        <w:rPr>
          <w:rFonts w:ascii="Arial" w:hAnsi="Arial" w:cs="Arial"/>
          <w:sz w:val="20"/>
          <w:szCs w:val="20"/>
        </w:rPr>
        <w:t>fast-paced</w:t>
      </w:r>
      <w:r w:rsidRPr="00E312A9">
        <w:rPr>
          <w:rFonts w:ascii="Arial" w:hAnsi="Arial" w:cs="Arial"/>
          <w:sz w:val="20"/>
          <w:szCs w:val="20"/>
        </w:rPr>
        <w:t xml:space="preserve"> environment (Grassi and Lanfranchi</w:t>
      </w:r>
      <w:r w:rsidR="008C3400">
        <w:rPr>
          <w:rFonts w:ascii="Arial" w:hAnsi="Arial" w:cs="Arial"/>
          <w:sz w:val="20"/>
          <w:szCs w:val="20"/>
        </w:rPr>
        <w:t>,</w:t>
      </w:r>
      <w:r w:rsidRPr="00E312A9">
        <w:rPr>
          <w:rFonts w:ascii="Arial" w:hAnsi="Arial" w:cs="Arial"/>
          <w:sz w:val="20"/>
          <w:szCs w:val="20"/>
        </w:rPr>
        <w:t xml:space="preserve"> 2022</w:t>
      </w:r>
      <w:r w:rsidR="008C3400">
        <w:rPr>
          <w:rFonts w:ascii="Arial" w:hAnsi="Arial" w:cs="Arial"/>
          <w:sz w:val="20"/>
          <w:szCs w:val="20"/>
        </w:rPr>
        <w:t>;</w:t>
      </w:r>
      <w:r w:rsidRPr="00E312A9">
        <w:rPr>
          <w:rFonts w:ascii="Arial" w:hAnsi="Arial" w:cs="Arial"/>
          <w:sz w:val="20"/>
          <w:szCs w:val="20"/>
        </w:rPr>
        <w:t xml:space="preserve"> </w:t>
      </w:r>
      <w:r w:rsidR="008E370F" w:rsidRPr="008E370F">
        <w:rPr>
          <w:rFonts w:ascii="Arial" w:hAnsi="Arial" w:cs="Arial"/>
          <w:sz w:val="20"/>
          <w:szCs w:val="20"/>
        </w:rPr>
        <w:t>Bello</w:t>
      </w:r>
      <w:r w:rsidR="008E370F">
        <w:rPr>
          <w:rFonts w:ascii="Arial" w:hAnsi="Arial" w:cs="Arial"/>
          <w:sz w:val="20"/>
          <w:szCs w:val="20"/>
        </w:rPr>
        <w:t xml:space="preserve"> et al., 2025; </w:t>
      </w:r>
      <w:r w:rsidRPr="00E312A9">
        <w:rPr>
          <w:rFonts w:ascii="Arial" w:hAnsi="Arial" w:cs="Arial"/>
          <w:sz w:val="20"/>
          <w:szCs w:val="20"/>
        </w:rPr>
        <w:t xml:space="preserve">Walshe and Cropper, 2018). These problems can be addressed by RegTech through advanced technologies such as artificial intelligence and data analytics around </w:t>
      </w:r>
      <w:r w:rsidR="008C3400">
        <w:rPr>
          <w:rFonts w:ascii="Arial" w:hAnsi="Arial" w:cs="Arial"/>
          <w:sz w:val="20"/>
          <w:szCs w:val="20"/>
        </w:rPr>
        <w:t>real-time</w:t>
      </w:r>
      <w:r w:rsidRPr="00E312A9">
        <w:rPr>
          <w:rFonts w:ascii="Arial" w:hAnsi="Arial" w:cs="Arial"/>
          <w:sz w:val="20"/>
          <w:szCs w:val="20"/>
        </w:rPr>
        <w:t xml:space="preserve"> monitoring and automated reporting (Arner et al., 2016</w:t>
      </w:r>
      <w:r w:rsidR="008E370F">
        <w:rPr>
          <w:rFonts w:ascii="Arial" w:hAnsi="Arial" w:cs="Arial"/>
          <w:sz w:val="20"/>
          <w:szCs w:val="20"/>
        </w:rPr>
        <w:t xml:space="preserve">; </w:t>
      </w:r>
      <w:r w:rsidRPr="00E312A9">
        <w:rPr>
          <w:rFonts w:ascii="Arial" w:hAnsi="Arial" w:cs="Arial"/>
          <w:sz w:val="20"/>
          <w:szCs w:val="20"/>
        </w:rPr>
        <w:t xml:space="preserve">Lin, 2016). This shift enhances the compliance processes and makes a more proactive regulatory approach, which can be </w:t>
      </w:r>
      <w:r w:rsidRPr="00E312A9">
        <w:rPr>
          <w:rFonts w:ascii="Arial" w:hAnsi="Arial" w:cs="Arial"/>
          <w:sz w:val="20"/>
          <w:szCs w:val="20"/>
        </w:rPr>
        <w:lastRenderedPageBreak/>
        <w:t xml:space="preserve">adaptive in the dynamic nature of the financial markets (Arner et al., 2017; Grassi &amp; Lanfranchi, 2022). This has paved the way for RegTech to develop a framework capable of improving the response to new risks, while ensuring transparency and accuracy for compliance (Walshe &amp; Cropper, 2018; Lin, 2016). </w:t>
      </w:r>
    </w:p>
    <w:p w14:paraId="6CEDA59F" w14:textId="1DB9EEC5" w:rsidR="00E312A9" w:rsidRDefault="00E312A9" w:rsidP="00E312A9">
      <w:pPr>
        <w:spacing w:line="360" w:lineRule="auto"/>
        <w:jc w:val="both"/>
        <w:rPr>
          <w:rFonts w:ascii="Arial" w:hAnsi="Arial" w:cs="Arial"/>
          <w:sz w:val="20"/>
          <w:szCs w:val="20"/>
        </w:rPr>
      </w:pPr>
      <w:r w:rsidRPr="00E312A9">
        <w:rPr>
          <w:rFonts w:ascii="Arial" w:hAnsi="Arial" w:cs="Arial"/>
          <w:sz w:val="20"/>
          <w:szCs w:val="20"/>
        </w:rPr>
        <w:t xml:space="preserve">Integration of artificial intelligence (AI), machine learning and big data in the regulatory technology (RegTech) systems will consequently shift their </w:t>
      </w:r>
      <w:r w:rsidR="008C3400">
        <w:rPr>
          <w:rFonts w:ascii="Arial" w:hAnsi="Arial" w:cs="Arial"/>
          <w:sz w:val="20"/>
          <w:szCs w:val="20"/>
        </w:rPr>
        <w:t>anti-money</w:t>
      </w:r>
      <w:r w:rsidRPr="00E312A9">
        <w:rPr>
          <w:rFonts w:ascii="Arial" w:hAnsi="Arial" w:cs="Arial"/>
          <w:sz w:val="20"/>
          <w:szCs w:val="20"/>
        </w:rPr>
        <w:t xml:space="preserve"> laundering (AML) strategies from reactive to proactive. </w:t>
      </w:r>
      <w:r w:rsidR="008C3400">
        <w:rPr>
          <w:rFonts w:ascii="Arial" w:hAnsi="Arial" w:cs="Arial"/>
          <w:sz w:val="20"/>
          <w:szCs w:val="20"/>
        </w:rPr>
        <w:t>Financial institutions are also employing these technologies</w:t>
      </w:r>
      <w:r w:rsidRPr="00E312A9">
        <w:rPr>
          <w:rFonts w:ascii="Arial" w:hAnsi="Arial" w:cs="Arial"/>
          <w:sz w:val="20"/>
          <w:szCs w:val="20"/>
        </w:rPr>
        <w:t xml:space="preserve"> to improve their supervision and faster detection of suspicious </w:t>
      </w:r>
      <w:proofErr w:type="spellStart"/>
      <w:r w:rsidR="008C3400">
        <w:rPr>
          <w:rFonts w:ascii="Arial" w:hAnsi="Arial" w:cs="Arial"/>
          <w:sz w:val="20"/>
          <w:szCs w:val="20"/>
        </w:rPr>
        <w:t>behaviour</w:t>
      </w:r>
      <w:proofErr w:type="spellEnd"/>
      <w:r w:rsidRPr="00E312A9">
        <w:rPr>
          <w:rFonts w:ascii="Arial" w:hAnsi="Arial" w:cs="Arial"/>
          <w:sz w:val="20"/>
          <w:szCs w:val="20"/>
        </w:rPr>
        <w:t xml:space="preserve"> than the traditional manual method (</w:t>
      </w:r>
      <w:proofErr w:type="spellStart"/>
      <w:r w:rsidR="008C3400">
        <w:rPr>
          <w:rFonts w:ascii="Arial" w:hAnsi="Arial" w:cs="Arial"/>
          <w:sz w:val="20"/>
          <w:szCs w:val="20"/>
        </w:rPr>
        <w:t>McGlosson</w:t>
      </w:r>
      <w:proofErr w:type="spellEnd"/>
      <w:r w:rsidRPr="00E312A9">
        <w:rPr>
          <w:rFonts w:ascii="Arial" w:hAnsi="Arial" w:cs="Arial"/>
          <w:sz w:val="20"/>
          <w:szCs w:val="20"/>
        </w:rPr>
        <w:t xml:space="preserve"> &amp; Enriquez, 2019; Yusoff &amp; Hassan, 2023). The need for higher efficiency and accuracy in monitoring and reporting</w:t>
      </w:r>
      <w:r w:rsidR="008C3400">
        <w:rPr>
          <w:rFonts w:ascii="Arial" w:hAnsi="Arial" w:cs="Arial"/>
          <w:sz w:val="20"/>
          <w:szCs w:val="20"/>
        </w:rPr>
        <w:t>,</w:t>
      </w:r>
      <w:r w:rsidRPr="00E312A9">
        <w:rPr>
          <w:rFonts w:ascii="Arial" w:hAnsi="Arial" w:cs="Arial"/>
          <w:sz w:val="20"/>
          <w:szCs w:val="20"/>
        </w:rPr>
        <w:t xml:space="preserve"> and </w:t>
      </w:r>
      <w:r w:rsidR="008C3400">
        <w:rPr>
          <w:rFonts w:ascii="Arial" w:hAnsi="Arial" w:cs="Arial"/>
          <w:sz w:val="20"/>
          <w:szCs w:val="20"/>
        </w:rPr>
        <w:t>real-time</w:t>
      </w:r>
      <w:r w:rsidRPr="00E312A9">
        <w:rPr>
          <w:rFonts w:ascii="Arial" w:hAnsi="Arial" w:cs="Arial"/>
          <w:sz w:val="20"/>
          <w:szCs w:val="20"/>
        </w:rPr>
        <w:t xml:space="preserve"> processing of huge data is driving this evolution (Grassi &amp; Lanfranchi, 2022; Arner et al., 2016). In addition, </w:t>
      </w:r>
      <w:r w:rsidR="008C3400">
        <w:rPr>
          <w:rFonts w:ascii="Arial" w:hAnsi="Arial" w:cs="Arial"/>
          <w:sz w:val="20"/>
          <w:szCs w:val="20"/>
        </w:rPr>
        <w:t>using</w:t>
      </w:r>
      <w:r w:rsidRPr="00E312A9">
        <w:rPr>
          <w:rFonts w:ascii="Arial" w:hAnsi="Arial" w:cs="Arial"/>
          <w:sz w:val="20"/>
          <w:szCs w:val="20"/>
        </w:rPr>
        <w:t xml:space="preserve"> data mining techniques for detecting suspicious transactions has been very impactful as technology plays a crucial role in combating money laundering (Leite et al., 2019).</w:t>
      </w:r>
    </w:p>
    <w:p w14:paraId="1AA2B3D8" w14:textId="13CE750D" w:rsidR="007229D0" w:rsidRPr="007229D0" w:rsidRDefault="007229D0" w:rsidP="007229D0">
      <w:pPr>
        <w:spacing w:line="360" w:lineRule="auto"/>
        <w:jc w:val="both"/>
        <w:rPr>
          <w:rFonts w:ascii="Arial" w:hAnsi="Arial" w:cs="Arial"/>
          <w:sz w:val="20"/>
          <w:szCs w:val="20"/>
        </w:rPr>
      </w:pPr>
      <w:r w:rsidRPr="007229D0">
        <w:rPr>
          <w:rFonts w:ascii="Arial" w:hAnsi="Arial" w:cs="Arial"/>
          <w:sz w:val="20"/>
          <w:szCs w:val="20"/>
        </w:rPr>
        <w:t>The use of blockchain technology considerably increases the transparency and security of financial transactions as well as AML compliance</w:t>
      </w:r>
      <w:r w:rsidR="008C3400">
        <w:rPr>
          <w:rFonts w:ascii="Arial" w:hAnsi="Arial" w:cs="Arial"/>
          <w:sz w:val="20"/>
          <w:szCs w:val="20"/>
        </w:rPr>
        <w:t>,</w:t>
      </w:r>
      <w:r w:rsidRPr="007229D0">
        <w:rPr>
          <w:rFonts w:ascii="Arial" w:hAnsi="Arial" w:cs="Arial"/>
          <w:sz w:val="20"/>
          <w:szCs w:val="20"/>
        </w:rPr>
        <w:t xml:space="preserve"> as blockchain is based on </w:t>
      </w:r>
      <w:r w:rsidR="008C3400">
        <w:rPr>
          <w:rFonts w:ascii="Arial" w:hAnsi="Arial" w:cs="Arial"/>
          <w:sz w:val="20"/>
          <w:szCs w:val="20"/>
        </w:rPr>
        <w:t xml:space="preserve">a </w:t>
      </w:r>
      <w:proofErr w:type="spellStart"/>
      <w:r w:rsidR="008C3400">
        <w:rPr>
          <w:rFonts w:ascii="Arial" w:hAnsi="Arial" w:cs="Arial"/>
          <w:sz w:val="20"/>
          <w:szCs w:val="20"/>
        </w:rPr>
        <w:t>decentralised</w:t>
      </w:r>
      <w:proofErr w:type="spellEnd"/>
      <w:r w:rsidRPr="007229D0">
        <w:rPr>
          <w:rFonts w:ascii="Arial" w:hAnsi="Arial" w:cs="Arial"/>
          <w:sz w:val="20"/>
          <w:szCs w:val="20"/>
        </w:rPr>
        <w:t xml:space="preserve">, </w:t>
      </w:r>
      <w:r w:rsidR="008C3400">
        <w:rPr>
          <w:rFonts w:ascii="Arial" w:hAnsi="Arial" w:cs="Arial"/>
          <w:sz w:val="20"/>
          <w:szCs w:val="20"/>
        </w:rPr>
        <w:t>immutable</w:t>
      </w:r>
      <w:r w:rsidRPr="007229D0">
        <w:rPr>
          <w:rFonts w:ascii="Arial" w:hAnsi="Arial" w:cs="Arial"/>
          <w:sz w:val="20"/>
          <w:szCs w:val="20"/>
        </w:rPr>
        <w:t xml:space="preserve"> infrastructure. Blockchain generates auditable trails that foster trust in regulatory processes and </w:t>
      </w:r>
      <w:r w:rsidR="008C3400">
        <w:rPr>
          <w:rFonts w:ascii="Arial" w:hAnsi="Arial" w:cs="Arial"/>
          <w:sz w:val="20"/>
          <w:szCs w:val="20"/>
        </w:rPr>
        <w:t>help</w:t>
      </w:r>
      <w:r w:rsidRPr="007229D0">
        <w:rPr>
          <w:rFonts w:ascii="Arial" w:hAnsi="Arial" w:cs="Arial"/>
          <w:sz w:val="20"/>
          <w:szCs w:val="20"/>
        </w:rPr>
        <w:t xml:space="preserve"> with robust Know Your Customer (KYC) verification through </w:t>
      </w:r>
      <w:r w:rsidR="008C3400">
        <w:rPr>
          <w:rFonts w:ascii="Arial" w:hAnsi="Arial" w:cs="Arial"/>
          <w:sz w:val="20"/>
          <w:szCs w:val="20"/>
        </w:rPr>
        <w:t>real-time</w:t>
      </w:r>
      <w:r w:rsidRPr="007229D0">
        <w:rPr>
          <w:rFonts w:ascii="Arial" w:hAnsi="Arial" w:cs="Arial"/>
          <w:sz w:val="20"/>
          <w:szCs w:val="20"/>
        </w:rPr>
        <w:t xml:space="preserve"> information sharing between different institutions</w:t>
      </w:r>
      <w:r w:rsidR="008C3400">
        <w:rPr>
          <w:rFonts w:ascii="Arial" w:hAnsi="Arial" w:cs="Arial"/>
          <w:sz w:val="20"/>
          <w:szCs w:val="20"/>
        </w:rPr>
        <w:t>,</w:t>
      </w:r>
      <w:r w:rsidRPr="007229D0">
        <w:rPr>
          <w:rFonts w:ascii="Arial" w:hAnsi="Arial" w:cs="Arial"/>
          <w:sz w:val="20"/>
          <w:szCs w:val="20"/>
        </w:rPr>
        <w:t xml:space="preserve"> thus saving redundant efforts (Balakrishnan et al., 2024; George et al., 2024). Essentially, what's notable is the automation of compliance </w:t>
      </w:r>
      <w:r w:rsidR="008C3400">
        <w:rPr>
          <w:rFonts w:ascii="Arial" w:hAnsi="Arial" w:cs="Arial"/>
          <w:sz w:val="20"/>
          <w:szCs w:val="20"/>
        </w:rPr>
        <w:t>checks</w:t>
      </w:r>
      <w:r w:rsidRPr="007229D0">
        <w:rPr>
          <w:rFonts w:ascii="Arial" w:hAnsi="Arial" w:cs="Arial"/>
          <w:sz w:val="20"/>
          <w:szCs w:val="20"/>
        </w:rPr>
        <w:t xml:space="preserve"> via smart contracts, which opens up </w:t>
      </w:r>
      <w:r w:rsidR="008C3400">
        <w:rPr>
          <w:rFonts w:ascii="Arial" w:hAnsi="Arial" w:cs="Arial"/>
          <w:sz w:val="20"/>
          <w:szCs w:val="20"/>
        </w:rPr>
        <w:t xml:space="preserve">the </w:t>
      </w:r>
      <w:r w:rsidRPr="007229D0">
        <w:rPr>
          <w:rFonts w:ascii="Arial" w:hAnsi="Arial" w:cs="Arial"/>
          <w:sz w:val="20"/>
          <w:szCs w:val="20"/>
        </w:rPr>
        <w:t xml:space="preserve">process to be automated and which eliminates operational bottlenecks and mitigates operational </w:t>
      </w:r>
      <w:r w:rsidR="008C3400">
        <w:rPr>
          <w:rFonts w:ascii="Arial" w:hAnsi="Arial" w:cs="Arial"/>
          <w:sz w:val="20"/>
          <w:szCs w:val="20"/>
        </w:rPr>
        <w:t>issues</w:t>
      </w:r>
      <w:r w:rsidRPr="007229D0">
        <w:rPr>
          <w:rFonts w:ascii="Arial" w:hAnsi="Arial" w:cs="Arial"/>
          <w:sz w:val="20"/>
          <w:szCs w:val="20"/>
        </w:rPr>
        <w:t xml:space="preserve"> in the enforcement of regulations (Adewale et al., 2022). Additionally, the features </w:t>
      </w:r>
      <w:r w:rsidR="008C3400">
        <w:rPr>
          <w:rFonts w:ascii="Arial" w:hAnsi="Arial" w:cs="Arial"/>
          <w:sz w:val="20"/>
          <w:szCs w:val="20"/>
        </w:rPr>
        <w:t>inherent</w:t>
      </w:r>
      <w:r w:rsidRPr="007229D0">
        <w:rPr>
          <w:rFonts w:ascii="Arial" w:hAnsi="Arial" w:cs="Arial"/>
          <w:sz w:val="20"/>
          <w:szCs w:val="20"/>
        </w:rPr>
        <w:t xml:space="preserve"> in the technology</w:t>
      </w:r>
      <w:r w:rsidR="008C3400">
        <w:rPr>
          <w:rFonts w:ascii="Arial" w:hAnsi="Arial" w:cs="Arial"/>
          <w:sz w:val="20"/>
          <w:szCs w:val="20"/>
        </w:rPr>
        <w:t>,</w:t>
      </w:r>
      <w:r w:rsidRPr="007229D0">
        <w:rPr>
          <w:rFonts w:ascii="Arial" w:hAnsi="Arial" w:cs="Arial"/>
          <w:sz w:val="20"/>
          <w:szCs w:val="20"/>
        </w:rPr>
        <w:t xml:space="preserve"> including cryptographic security and distributed consensus</w:t>
      </w:r>
      <w:r w:rsidR="008C3400">
        <w:rPr>
          <w:rFonts w:ascii="Arial" w:hAnsi="Arial" w:cs="Arial"/>
          <w:sz w:val="20"/>
          <w:szCs w:val="20"/>
        </w:rPr>
        <w:t>,</w:t>
      </w:r>
      <w:r w:rsidRPr="007229D0">
        <w:rPr>
          <w:rFonts w:ascii="Arial" w:hAnsi="Arial" w:cs="Arial"/>
          <w:sz w:val="20"/>
          <w:szCs w:val="20"/>
        </w:rPr>
        <w:t xml:space="preserve"> reduce the risk of fraud while at the same time improving the ability to trace transactions, a key requisite in the detection and prevention of financial crimes (George et al., 2024).</w:t>
      </w:r>
    </w:p>
    <w:p w14:paraId="003676AF" w14:textId="01818A39" w:rsidR="007229D0" w:rsidRDefault="007229D0" w:rsidP="007229D0">
      <w:pPr>
        <w:spacing w:line="360" w:lineRule="auto"/>
        <w:jc w:val="both"/>
        <w:rPr>
          <w:rFonts w:ascii="Arial" w:hAnsi="Arial" w:cs="Arial"/>
          <w:sz w:val="20"/>
          <w:szCs w:val="20"/>
        </w:rPr>
      </w:pPr>
      <w:r w:rsidRPr="007229D0">
        <w:rPr>
          <w:rFonts w:ascii="Arial" w:hAnsi="Arial" w:cs="Arial"/>
          <w:sz w:val="20"/>
          <w:szCs w:val="20"/>
        </w:rPr>
        <w:t xml:space="preserve"> There are both opportunities and challenges in applying the RegTech and blockchain technologies to integrate them towards AML compliance. Based on studies, the implementation costs at the initial stages may be high; however, other benefits such as reduced compliance costs, increased operational efficiency and fewer regulatory fines are possible</w:t>
      </w:r>
      <w:r w:rsidR="008C3400">
        <w:rPr>
          <w:rFonts w:ascii="Arial" w:hAnsi="Arial" w:cs="Arial"/>
          <w:sz w:val="20"/>
          <w:szCs w:val="20"/>
        </w:rPr>
        <w:t>,</w:t>
      </w:r>
      <w:r w:rsidRPr="007229D0">
        <w:rPr>
          <w:rFonts w:ascii="Arial" w:hAnsi="Arial" w:cs="Arial"/>
          <w:sz w:val="20"/>
          <w:szCs w:val="20"/>
        </w:rPr>
        <w:t xml:space="preserve"> provided by better transaction monitoring and </w:t>
      </w:r>
      <w:r w:rsidR="008C3400">
        <w:rPr>
          <w:rFonts w:ascii="Arial" w:hAnsi="Arial" w:cs="Arial"/>
          <w:sz w:val="20"/>
          <w:szCs w:val="20"/>
        </w:rPr>
        <w:t>real-time</w:t>
      </w:r>
      <w:r w:rsidRPr="007229D0">
        <w:rPr>
          <w:rFonts w:ascii="Arial" w:hAnsi="Arial" w:cs="Arial"/>
          <w:sz w:val="20"/>
          <w:szCs w:val="20"/>
        </w:rPr>
        <w:t xml:space="preserve"> data analysis (Pavlidis, 2021; Nanda, 2024). In addition, blockchain with its properties, such as </w:t>
      </w:r>
      <w:proofErr w:type="spellStart"/>
      <w:r w:rsidR="008C3400">
        <w:rPr>
          <w:rFonts w:ascii="Arial" w:hAnsi="Arial" w:cs="Arial"/>
          <w:sz w:val="20"/>
          <w:szCs w:val="20"/>
        </w:rPr>
        <w:t>decentralisation</w:t>
      </w:r>
      <w:proofErr w:type="spellEnd"/>
      <w:r w:rsidRPr="007229D0">
        <w:rPr>
          <w:rFonts w:ascii="Arial" w:hAnsi="Arial" w:cs="Arial"/>
          <w:sz w:val="20"/>
          <w:szCs w:val="20"/>
        </w:rPr>
        <w:t xml:space="preserve"> and immutability</w:t>
      </w:r>
      <w:r w:rsidR="008C3400">
        <w:rPr>
          <w:rFonts w:ascii="Arial" w:hAnsi="Arial" w:cs="Arial"/>
          <w:sz w:val="20"/>
          <w:szCs w:val="20"/>
        </w:rPr>
        <w:t>,</w:t>
      </w:r>
      <w:r w:rsidRPr="007229D0">
        <w:rPr>
          <w:rFonts w:ascii="Arial" w:hAnsi="Arial" w:cs="Arial"/>
          <w:sz w:val="20"/>
          <w:szCs w:val="20"/>
        </w:rPr>
        <w:t xml:space="preserve"> increases transparency and provides further compliance improvement via smart contracts (Balakrishnan et al., 2024). Still, issues related to scalability, interoperability and the global standards that remain unclear regarding regulatory conditions make assessing the financial impact of these technologies more challenging (Gozman et al., 2020; Liebenau, 2020). A proper financial analysis </w:t>
      </w:r>
      <w:r w:rsidR="008C3400">
        <w:rPr>
          <w:rFonts w:ascii="Arial" w:hAnsi="Arial" w:cs="Arial"/>
          <w:sz w:val="20"/>
          <w:szCs w:val="20"/>
        </w:rPr>
        <w:t>of</w:t>
      </w:r>
      <w:r w:rsidRPr="007229D0">
        <w:rPr>
          <w:rFonts w:ascii="Arial" w:hAnsi="Arial" w:cs="Arial"/>
          <w:sz w:val="20"/>
          <w:szCs w:val="20"/>
        </w:rPr>
        <w:t xml:space="preserve"> the trade-offs </w:t>
      </w:r>
      <w:r w:rsidR="008C3400">
        <w:rPr>
          <w:rFonts w:ascii="Arial" w:hAnsi="Arial" w:cs="Arial"/>
          <w:sz w:val="20"/>
          <w:szCs w:val="20"/>
        </w:rPr>
        <w:t>is</w:t>
      </w:r>
      <w:r w:rsidRPr="007229D0">
        <w:rPr>
          <w:rFonts w:ascii="Arial" w:hAnsi="Arial" w:cs="Arial"/>
          <w:sz w:val="20"/>
          <w:szCs w:val="20"/>
        </w:rPr>
        <w:t xml:space="preserve"> required to make sense of these </w:t>
      </w:r>
      <w:r w:rsidR="008C3400">
        <w:rPr>
          <w:rFonts w:ascii="Arial" w:hAnsi="Arial" w:cs="Arial"/>
          <w:sz w:val="20"/>
          <w:szCs w:val="20"/>
        </w:rPr>
        <w:t>trade-offs</w:t>
      </w:r>
      <w:r w:rsidRPr="007229D0">
        <w:rPr>
          <w:rFonts w:ascii="Arial" w:hAnsi="Arial" w:cs="Arial"/>
          <w:sz w:val="20"/>
          <w:szCs w:val="20"/>
        </w:rPr>
        <w:t xml:space="preserve"> and to guide investment decisions in compliance innovation in line with the promise of RegTech and blockchain under a supportive regulatory </w:t>
      </w:r>
      <w:r w:rsidR="008C3400">
        <w:rPr>
          <w:rFonts w:ascii="Arial" w:hAnsi="Arial" w:cs="Arial"/>
          <w:sz w:val="20"/>
          <w:szCs w:val="20"/>
        </w:rPr>
        <w:t xml:space="preserve">environment </w:t>
      </w:r>
      <w:r w:rsidRPr="007229D0">
        <w:rPr>
          <w:rFonts w:ascii="Arial" w:hAnsi="Arial" w:cs="Arial"/>
          <w:sz w:val="20"/>
          <w:szCs w:val="20"/>
        </w:rPr>
        <w:t>(Nanda, 2024; Balakrishnan et al., 2024).</w:t>
      </w:r>
    </w:p>
    <w:p w14:paraId="48BAF733" w14:textId="35FFEFAB" w:rsidR="007F7716" w:rsidRDefault="007F7716" w:rsidP="00637D25">
      <w:pPr>
        <w:spacing w:line="360" w:lineRule="auto"/>
        <w:jc w:val="both"/>
        <w:rPr>
          <w:rFonts w:ascii="Arial" w:hAnsi="Arial" w:cs="Arial"/>
          <w:color w:val="000000" w:themeColor="text1"/>
          <w:sz w:val="20"/>
          <w:szCs w:val="20"/>
        </w:rPr>
      </w:pPr>
      <w:proofErr w:type="spellStart"/>
      <w:r w:rsidRPr="007F7716">
        <w:rPr>
          <w:rFonts w:ascii="Arial" w:hAnsi="Arial" w:cs="Arial"/>
          <w:color w:val="000000" w:themeColor="text1"/>
          <w:sz w:val="20"/>
          <w:szCs w:val="20"/>
        </w:rPr>
        <w:t>Ochigbo</w:t>
      </w:r>
      <w:proofErr w:type="spellEnd"/>
      <w:r w:rsidRPr="007F7716">
        <w:rPr>
          <w:rFonts w:ascii="Arial" w:hAnsi="Arial" w:cs="Arial"/>
          <w:color w:val="000000" w:themeColor="text1"/>
          <w:sz w:val="20"/>
          <w:szCs w:val="20"/>
        </w:rPr>
        <w:t xml:space="preserve"> et al. (2024) demonstrate that it is difficult to implement across borders due to differences in the Anti-Money Laundering (AML) regulations amongst jurisdictions</w:t>
      </w:r>
      <w:r w:rsidR="005D7B9D">
        <w:rPr>
          <w:rFonts w:ascii="Arial" w:hAnsi="Arial" w:cs="Arial"/>
          <w:color w:val="000000" w:themeColor="text1"/>
          <w:sz w:val="20"/>
          <w:szCs w:val="20"/>
        </w:rPr>
        <w:t>,</w:t>
      </w:r>
      <w:r w:rsidRPr="007F7716">
        <w:rPr>
          <w:rFonts w:ascii="Arial" w:hAnsi="Arial" w:cs="Arial"/>
          <w:color w:val="000000" w:themeColor="text1"/>
          <w:sz w:val="20"/>
          <w:szCs w:val="20"/>
        </w:rPr>
        <w:t xml:space="preserve"> as exemplified by the variant in regulatory environment from supportive frameworks present in Japan and Switzerland to restrictive frameworks like China. The emphasis is also given to the need for </w:t>
      </w:r>
      <w:proofErr w:type="spellStart"/>
      <w:r w:rsidRPr="007F7716">
        <w:rPr>
          <w:rFonts w:ascii="Arial" w:hAnsi="Arial" w:cs="Arial"/>
          <w:color w:val="000000" w:themeColor="text1"/>
          <w:sz w:val="20"/>
          <w:szCs w:val="20"/>
        </w:rPr>
        <w:t>harmonised</w:t>
      </w:r>
      <w:proofErr w:type="spellEnd"/>
      <w:r w:rsidRPr="007F7716">
        <w:rPr>
          <w:rFonts w:ascii="Arial" w:hAnsi="Arial" w:cs="Arial"/>
          <w:color w:val="000000" w:themeColor="text1"/>
          <w:sz w:val="20"/>
          <w:szCs w:val="20"/>
        </w:rPr>
        <w:t xml:space="preserve"> regulatory frameworks, since the existing legal frameworks do not typically integrate into the distributed nature of the blockchain technology (Arif et al., 2024; Weber, 2017). However, the integration of RegTech with blockchain can make it easier for compliance while reducing risks, but it demands the adoption of innovative legal frameworks adaptable to the rapid technological changes (El Khoury et al., 2024). This necessitates the establishment of international collaboration that will lead to the creation of global standards </w:t>
      </w:r>
      <w:r w:rsidR="005D7B9D">
        <w:rPr>
          <w:rFonts w:ascii="Arial" w:hAnsi="Arial" w:cs="Arial"/>
          <w:color w:val="000000" w:themeColor="text1"/>
          <w:sz w:val="20"/>
          <w:szCs w:val="20"/>
        </w:rPr>
        <w:t>to</w:t>
      </w:r>
      <w:r w:rsidRPr="007F7716">
        <w:rPr>
          <w:rFonts w:ascii="Arial" w:hAnsi="Arial" w:cs="Arial"/>
          <w:color w:val="000000" w:themeColor="text1"/>
          <w:sz w:val="20"/>
          <w:szCs w:val="20"/>
        </w:rPr>
        <w:t xml:space="preserve"> deal with these complexities and implement innovation while also conforming to regulatory compliance (</w:t>
      </w:r>
      <w:proofErr w:type="spellStart"/>
      <w:r w:rsidRPr="007F7716">
        <w:rPr>
          <w:rFonts w:ascii="Arial" w:hAnsi="Arial" w:cs="Arial"/>
          <w:color w:val="000000" w:themeColor="text1"/>
          <w:sz w:val="20"/>
          <w:szCs w:val="20"/>
        </w:rPr>
        <w:t>Ochigbo</w:t>
      </w:r>
      <w:proofErr w:type="spellEnd"/>
      <w:r w:rsidRPr="007F7716">
        <w:rPr>
          <w:rFonts w:ascii="Arial" w:hAnsi="Arial" w:cs="Arial"/>
          <w:color w:val="000000" w:themeColor="text1"/>
          <w:sz w:val="20"/>
          <w:szCs w:val="20"/>
        </w:rPr>
        <w:t xml:space="preserve"> et al., 2024; Khoury et al., 2024).</w:t>
      </w:r>
    </w:p>
    <w:p w14:paraId="655D5CAC" w14:textId="0E2BFDF9" w:rsidR="00825F97" w:rsidRPr="00F50CDE" w:rsidRDefault="007906AE" w:rsidP="00637D25">
      <w:pPr>
        <w:spacing w:line="360" w:lineRule="auto"/>
        <w:jc w:val="both"/>
        <w:rPr>
          <w:rFonts w:ascii="Arial" w:hAnsi="Arial" w:cs="Arial"/>
          <w:b/>
          <w:bCs/>
        </w:rPr>
      </w:pPr>
      <w:r w:rsidRPr="00F50CDE">
        <w:rPr>
          <w:rFonts w:ascii="Arial" w:hAnsi="Arial" w:cs="Arial"/>
          <w:b/>
          <w:bCs/>
        </w:rPr>
        <w:lastRenderedPageBreak/>
        <w:t xml:space="preserve">1.2 </w:t>
      </w:r>
      <w:r w:rsidR="00825F97" w:rsidRPr="00F50CDE">
        <w:rPr>
          <w:rFonts w:ascii="Arial" w:hAnsi="Arial" w:cs="Arial"/>
          <w:b/>
          <w:bCs/>
        </w:rPr>
        <w:t>Purpose of the Research</w:t>
      </w:r>
    </w:p>
    <w:p w14:paraId="02786DE8" w14:textId="4166DCEC" w:rsidR="005D7B9D" w:rsidRPr="005D7B9D" w:rsidRDefault="005D7B9D" w:rsidP="005D7B9D">
      <w:pPr>
        <w:spacing w:line="360" w:lineRule="auto"/>
        <w:jc w:val="both"/>
        <w:rPr>
          <w:rFonts w:ascii="Arial" w:hAnsi="Arial" w:cs="Arial"/>
          <w:sz w:val="20"/>
          <w:szCs w:val="20"/>
        </w:rPr>
      </w:pPr>
      <w:r w:rsidRPr="005D7B9D">
        <w:rPr>
          <w:rFonts w:ascii="Arial" w:hAnsi="Arial" w:cs="Arial"/>
          <w:sz w:val="20"/>
          <w:szCs w:val="20"/>
        </w:rPr>
        <w:t xml:space="preserve">This review aims </w:t>
      </w:r>
      <w:r>
        <w:rPr>
          <w:rFonts w:ascii="Arial" w:hAnsi="Arial" w:cs="Arial"/>
          <w:sz w:val="20"/>
          <w:szCs w:val="20"/>
        </w:rPr>
        <w:t>to assess</w:t>
      </w:r>
      <w:r w:rsidRPr="005D7B9D">
        <w:rPr>
          <w:rFonts w:ascii="Arial" w:hAnsi="Arial" w:cs="Arial"/>
          <w:sz w:val="20"/>
          <w:szCs w:val="20"/>
        </w:rPr>
        <w:t xml:space="preserve"> critically the effect of </w:t>
      </w:r>
      <w:r>
        <w:rPr>
          <w:rFonts w:ascii="Arial" w:hAnsi="Arial" w:cs="Arial"/>
          <w:sz w:val="20"/>
          <w:szCs w:val="20"/>
        </w:rPr>
        <w:t xml:space="preserve">the </w:t>
      </w:r>
      <w:r w:rsidRPr="005D7B9D">
        <w:rPr>
          <w:rFonts w:ascii="Arial" w:hAnsi="Arial" w:cs="Arial"/>
          <w:sz w:val="20"/>
          <w:szCs w:val="20"/>
        </w:rPr>
        <w:t>joint application of Regulatory Technology (RegTech) and blockchain solutions on Anti-Money Laundering (AML) compliance within financial institutions, in terms of the financial and operational implications. Prior research has already looked into the possibility of RegTech and blockchain individually, but a gap remains in terms of their joint application and the financial feasibility of this in improving AML frameworks.</w:t>
      </w:r>
    </w:p>
    <w:p w14:paraId="5DBCEDC6" w14:textId="5E3A07F5" w:rsidR="005D7B9D" w:rsidRDefault="005D7B9D" w:rsidP="005D7B9D">
      <w:pPr>
        <w:spacing w:line="360" w:lineRule="auto"/>
        <w:jc w:val="both"/>
        <w:rPr>
          <w:rFonts w:ascii="Arial" w:hAnsi="Arial" w:cs="Arial"/>
          <w:sz w:val="20"/>
          <w:szCs w:val="20"/>
        </w:rPr>
      </w:pPr>
      <w:r w:rsidRPr="005D7B9D">
        <w:rPr>
          <w:rFonts w:ascii="Arial" w:hAnsi="Arial" w:cs="Arial"/>
          <w:sz w:val="20"/>
          <w:szCs w:val="20"/>
        </w:rPr>
        <w:t xml:space="preserve">This research attempts to fill this </w:t>
      </w:r>
      <w:r>
        <w:rPr>
          <w:rFonts w:ascii="Arial" w:hAnsi="Arial" w:cs="Arial"/>
          <w:sz w:val="20"/>
          <w:szCs w:val="20"/>
        </w:rPr>
        <w:t>gap</w:t>
      </w:r>
      <w:r w:rsidRPr="005D7B9D">
        <w:rPr>
          <w:rFonts w:ascii="Arial" w:hAnsi="Arial" w:cs="Arial"/>
          <w:sz w:val="20"/>
          <w:szCs w:val="20"/>
        </w:rPr>
        <w:t xml:space="preserve"> by combining existing research and industry knowledge to decipher the impact of this </w:t>
      </w:r>
      <w:r>
        <w:rPr>
          <w:rFonts w:ascii="Arial" w:hAnsi="Arial" w:cs="Arial"/>
          <w:sz w:val="20"/>
          <w:szCs w:val="20"/>
        </w:rPr>
        <w:t>technology's</w:t>
      </w:r>
      <w:r w:rsidRPr="005D7B9D">
        <w:rPr>
          <w:rFonts w:ascii="Arial" w:hAnsi="Arial" w:cs="Arial"/>
          <w:sz w:val="20"/>
          <w:szCs w:val="20"/>
        </w:rPr>
        <w:t xml:space="preserve"> convergence on the outcomes of AML, the reduced cost of compliance and processes such as Know Your Customer (KYC) and transaction monitoring. It therefore aims at outstretching the technical capacity of RegTech and blockchain to determine its practical applicability, scalability and return on investment (ROI) from a financial point of view.</w:t>
      </w:r>
    </w:p>
    <w:p w14:paraId="0354FD82" w14:textId="32861ABF" w:rsidR="00825F97" w:rsidRPr="00F50CDE" w:rsidRDefault="007906AE" w:rsidP="005D7B9D">
      <w:pPr>
        <w:spacing w:line="360" w:lineRule="auto"/>
        <w:jc w:val="both"/>
        <w:rPr>
          <w:rFonts w:ascii="Arial" w:hAnsi="Arial" w:cs="Arial"/>
          <w:b/>
          <w:bCs/>
        </w:rPr>
      </w:pPr>
      <w:r w:rsidRPr="00F50CDE">
        <w:rPr>
          <w:rFonts w:ascii="Arial" w:hAnsi="Arial" w:cs="Arial"/>
          <w:b/>
          <w:bCs/>
        </w:rPr>
        <w:t xml:space="preserve">1.3 </w:t>
      </w:r>
      <w:r w:rsidR="00825F97" w:rsidRPr="00F50CDE">
        <w:rPr>
          <w:rFonts w:ascii="Arial" w:hAnsi="Arial" w:cs="Arial"/>
          <w:b/>
          <w:bCs/>
        </w:rPr>
        <w:t>Research Questions</w:t>
      </w:r>
    </w:p>
    <w:p w14:paraId="6E9403E2" w14:textId="0A640A8F" w:rsidR="00233166" w:rsidRPr="00233166" w:rsidRDefault="00233166" w:rsidP="00233166">
      <w:pPr>
        <w:spacing w:after="160" w:line="360" w:lineRule="auto"/>
        <w:jc w:val="both"/>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 xml:space="preserve">. </w:t>
      </w:r>
      <w:r w:rsidRPr="00233166">
        <w:rPr>
          <w:rFonts w:ascii="Arial" w:hAnsi="Arial" w:cs="Arial"/>
          <w:sz w:val="20"/>
          <w:szCs w:val="20"/>
        </w:rPr>
        <w:t xml:space="preserve">What role does RegTech play in automating </w:t>
      </w:r>
      <w:r>
        <w:rPr>
          <w:rFonts w:ascii="Arial" w:hAnsi="Arial" w:cs="Arial"/>
          <w:sz w:val="20"/>
          <w:szCs w:val="20"/>
        </w:rPr>
        <w:t xml:space="preserve">the </w:t>
      </w:r>
      <w:r w:rsidRPr="00233166">
        <w:rPr>
          <w:rFonts w:ascii="Arial" w:hAnsi="Arial" w:cs="Arial"/>
          <w:sz w:val="20"/>
          <w:szCs w:val="20"/>
        </w:rPr>
        <w:t>AML compliance process in financial institutions to increase efficiency and increase the accuracy of processes?</w:t>
      </w:r>
    </w:p>
    <w:p w14:paraId="3F65ED36" w14:textId="052EFDA7" w:rsidR="00233166" w:rsidRPr="00233166" w:rsidRDefault="00233166" w:rsidP="00233166">
      <w:pPr>
        <w:spacing w:after="160" w:line="360" w:lineRule="auto"/>
        <w:jc w:val="both"/>
        <w:rPr>
          <w:rFonts w:ascii="Arial" w:hAnsi="Arial" w:cs="Arial"/>
          <w:sz w:val="20"/>
          <w:szCs w:val="20"/>
        </w:rPr>
      </w:pPr>
      <w:r>
        <w:rPr>
          <w:rFonts w:ascii="Arial" w:hAnsi="Arial" w:cs="Arial"/>
          <w:sz w:val="20"/>
          <w:szCs w:val="20"/>
        </w:rPr>
        <w:t xml:space="preserve">ii. </w:t>
      </w:r>
      <w:r w:rsidR="008E472D">
        <w:rPr>
          <w:rFonts w:ascii="Arial" w:hAnsi="Arial" w:cs="Arial"/>
          <w:sz w:val="20"/>
          <w:szCs w:val="20"/>
        </w:rPr>
        <w:t>What effect does the integration of RegTech and blockchain solutions have on AML compliance, particularly regarding costs, efficiency, and ROI?</w:t>
      </w:r>
    </w:p>
    <w:p w14:paraId="444A110D" w14:textId="3257ABA2" w:rsidR="00233166" w:rsidRPr="00233166" w:rsidRDefault="00233166" w:rsidP="00233166">
      <w:pPr>
        <w:spacing w:after="160" w:line="360" w:lineRule="auto"/>
        <w:jc w:val="both"/>
        <w:rPr>
          <w:rFonts w:ascii="Arial" w:hAnsi="Arial" w:cs="Arial"/>
          <w:sz w:val="20"/>
          <w:szCs w:val="20"/>
        </w:rPr>
      </w:pPr>
      <w:r>
        <w:rPr>
          <w:rFonts w:ascii="Arial" w:hAnsi="Arial" w:cs="Arial"/>
          <w:sz w:val="20"/>
          <w:szCs w:val="20"/>
        </w:rPr>
        <w:t xml:space="preserve">iii. </w:t>
      </w:r>
      <w:r w:rsidRPr="00233166">
        <w:rPr>
          <w:rFonts w:ascii="Arial" w:hAnsi="Arial" w:cs="Arial"/>
          <w:sz w:val="20"/>
          <w:szCs w:val="20"/>
        </w:rPr>
        <w:t xml:space="preserve">What specific operational and compliance issues does the adoption of integrated RegTech and blockchain solutions in a financial context present to financial institutions </w:t>
      </w:r>
      <w:r w:rsidR="008E472D">
        <w:rPr>
          <w:rFonts w:ascii="Arial" w:hAnsi="Arial" w:cs="Arial"/>
          <w:sz w:val="20"/>
          <w:szCs w:val="20"/>
        </w:rPr>
        <w:t>in the context of</w:t>
      </w:r>
      <w:r w:rsidRPr="00233166">
        <w:rPr>
          <w:rFonts w:ascii="Arial" w:hAnsi="Arial" w:cs="Arial"/>
          <w:sz w:val="20"/>
          <w:szCs w:val="20"/>
        </w:rPr>
        <w:t xml:space="preserve"> AML compliance?</w:t>
      </w:r>
    </w:p>
    <w:p w14:paraId="407569BB" w14:textId="4F15A0FC" w:rsidR="00233166" w:rsidRDefault="00233166" w:rsidP="00233166">
      <w:pPr>
        <w:spacing w:after="160" w:line="360" w:lineRule="auto"/>
        <w:jc w:val="both"/>
        <w:rPr>
          <w:rFonts w:ascii="Arial" w:hAnsi="Arial" w:cs="Arial"/>
          <w:sz w:val="20"/>
          <w:szCs w:val="20"/>
        </w:rPr>
      </w:pPr>
      <w:r>
        <w:rPr>
          <w:rFonts w:ascii="Arial" w:hAnsi="Arial" w:cs="Arial"/>
          <w:sz w:val="20"/>
          <w:szCs w:val="20"/>
        </w:rPr>
        <w:t xml:space="preserve">iv. </w:t>
      </w:r>
      <w:r w:rsidRPr="00233166">
        <w:rPr>
          <w:rFonts w:ascii="Arial" w:hAnsi="Arial" w:cs="Arial"/>
          <w:sz w:val="20"/>
          <w:szCs w:val="20"/>
        </w:rPr>
        <w:t>What impact does the integration have on how effectively the core AML functions of KYC and transaction monitoring operate?</w:t>
      </w:r>
    </w:p>
    <w:p w14:paraId="4B9A479D" w14:textId="1C2E8A1E" w:rsidR="00101C5B" w:rsidRPr="00F50CDE" w:rsidRDefault="00AE6C40" w:rsidP="00233166">
      <w:pPr>
        <w:spacing w:after="160" w:line="360" w:lineRule="auto"/>
        <w:jc w:val="both"/>
        <w:rPr>
          <w:rFonts w:ascii="Arial" w:hAnsi="Arial" w:cs="Arial"/>
          <w:b/>
          <w:bCs/>
        </w:rPr>
      </w:pPr>
      <w:r w:rsidRPr="00F50CDE">
        <w:rPr>
          <w:rFonts w:ascii="Arial" w:hAnsi="Arial" w:cs="Arial"/>
          <w:b/>
          <w:bCs/>
        </w:rPr>
        <w:t xml:space="preserve">2.0 </w:t>
      </w:r>
      <w:r w:rsidR="00101C5B" w:rsidRPr="00F50CDE">
        <w:rPr>
          <w:rFonts w:ascii="Arial" w:hAnsi="Arial" w:cs="Arial"/>
          <w:b/>
          <w:bCs/>
        </w:rPr>
        <w:t>Methodology</w:t>
      </w:r>
    </w:p>
    <w:p w14:paraId="144E12D4" w14:textId="77777777" w:rsidR="00AE6C40" w:rsidRPr="00F50CDE" w:rsidRDefault="00AE6C40" w:rsidP="00637D25">
      <w:pPr>
        <w:spacing w:after="160" w:line="360" w:lineRule="auto"/>
        <w:jc w:val="both"/>
        <w:rPr>
          <w:rFonts w:ascii="Arial" w:hAnsi="Arial" w:cs="Arial"/>
          <w:b/>
          <w:bCs/>
        </w:rPr>
      </w:pPr>
      <w:r w:rsidRPr="00F50CDE">
        <w:rPr>
          <w:rFonts w:ascii="Arial" w:hAnsi="Arial" w:cs="Arial"/>
          <w:b/>
          <w:bCs/>
        </w:rPr>
        <w:t>2.1 Literature Search Strategy</w:t>
      </w:r>
    </w:p>
    <w:p w14:paraId="1B595660" w14:textId="26CDBED8" w:rsidR="008E472D" w:rsidRPr="008E472D" w:rsidRDefault="008E472D" w:rsidP="008E472D">
      <w:pPr>
        <w:spacing w:after="160" w:line="360" w:lineRule="auto"/>
        <w:jc w:val="both"/>
        <w:rPr>
          <w:rFonts w:ascii="Arial" w:hAnsi="Arial" w:cs="Arial"/>
          <w:sz w:val="20"/>
          <w:szCs w:val="20"/>
        </w:rPr>
      </w:pPr>
      <w:r w:rsidRPr="008E472D">
        <w:rPr>
          <w:rFonts w:ascii="Arial" w:hAnsi="Arial" w:cs="Arial"/>
          <w:sz w:val="20"/>
          <w:szCs w:val="20"/>
        </w:rPr>
        <w:t xml:space="preserve">The review was systematically performed on the identification of relevant case studies and scholarly literature on the integration of Reg Tech and blockchain approach in Anti Money Laundering (AML) compliance. For the search, the most used primary academic databases were Scopus, Web of Science, Google Scholar and ScienceDirect. They have selected the search terms carefully by which they will search for </w:t>
      </w:r>
      <w:r>
        <w:rPr>
          <w:rFonts w:ascii="Arial" w:hAnsi="Arial" w:cs="Arial"/>
          <w:sz w:val="20"/>
          <w:szCs w:val="20"/>
        </w:rPr>
        <w:t>technology-specific</w:t>
      </w:r>
      <w:r w:rsidRPr="008E472D">
        <w:rPr>
          <w:rFonts w:ascii="Arial" w:hAnsi="Arial" w:cs="Arial"/>
          <w:sz w:val="20"/>
          <w:szCs w:val="20"/>
        </w:rPr>
        <w:t xml:space="preserve"> and </w:t>
      </w:r>
      <w:r>
        <w:rPr>
          <w:rFonts w:ascii="Arial" w:hAnsi="Arial" w:cs="Arial"/>
          <w:sz w:val="20"/>
          <w:szCs w:val="20"/>
        </w:rPr>
        <w:t>application-specific</w:t>
      </w:r>
      <w:r w:rsidRPr="008E472D">
        <w:rPr>
          <w:rFonts w:ascii="Arial" w:hAnsi="Arial" w:cs="Arial"/>
          <w:sz w:val="20"/>
          <w:szCs w:val="20"/>
        </w:rPr>
        <w:t xml:space="preserve"> studies. The key phrases used for this presentation included “RegTech and AML compliance,”” blockchain for financial compliance,” “AML technology adoption,” “blockchain integration into KYC,” “effectiveness of RegTech in </w:t>
      </w:r>
      <w:r>
        <w:rPr>
          <w:rFonts w:ascii="Arial" w:hAnsi="Arial" w:cs="Arial"/>
          <w:sz w:val="20"/>
          <w:szCs w:val="20"/>
        </w:rPr>
        <w:t>anti-money</w:t>
      </w:r>
      <w:r w:rsidRPr="008E472D">
        <w:rPr>
          <w:rFonts w:ascii="Arial" w:hAnsi="Arial" w:cs="Arial"/>
          <w:sz w:val="20"/>
          <w:szCs w:val="20"/>
        </w:rPr>
        <w:t xml:space="preserve"> laundering,” and “financial analysis of AML automation.”</w:t>
      </w:r>
    </w:p>
    <w:p w14:paraId="65C40E6F" w14:textId="0AC0925E" w:rsidR="008E472D" w:rsidRDefault="008E472D" w:rsidP="008E472D">
      <w:pPr>
        <w:spacing w:after="160" w:line="360" w:lineRule="auto"/>
        <w:jc w:val="both"/>
        <w:rPr>
          <w:rFonts w:ascii="Arial" w:hAnsi="Arial" w:cs="Arial"/>
          <w:sz w:val="20"/>
          <w:szCs w:val="20"/>
        </w:rPr>
      </w:pPr>
      <w:r w:rsidRPr="008E472D">
        <w:rPr>
          <w:rFonts w:ascii="Arial" w:hAnsi="Arial" w:cs="Arial"/>
          <w:sz w:val="20"/>
          <w:szCs w:val="20"/>
        </w:rPr>
        <w:t xml:space="preserve">Targeted reviews were done of industry case studies, </w:t>
      </w:r>
      <w:r>
        <w:rPr>
          <w:rFonts w:ascii="Arial" w:hAnsi="Arial" w:cs="Arial"/>
          <w:sz w:val="20"/>
          <w:szCs w:val="20"/>
        </w:rPr>
        <w:t>peer-reviewed</w:t>
      </w:r>
      <w:r w:rsidRPr="008E472D">
        <w:rPr>
          <w:rFonts w:ascii="Arial" w:hAnsi="Arial" w:cs="Arial"/>
          <w:sz w:val="20"/>
          <w:szCs w:val="20"/>
        </w:rPr>
        <w:t xml:space="preserve"> journal articles, regulatory reports and technical white papers from financial institutions and other international regulatory bodies</w:t>
      </w:r>
      <w:r>
        <w:rPr>
          <w:rFonts w:ascii="Arial" w:hAnsi="Arial" w:cs="Arial"/>
          <w:sz w:val="20"/>
          <w:szCs w:val="20"/>
        </w:rPr>
        <w:t>,</w:t>
      </w:r>
      <w:r w:rsidRPr="008E472D">
        <w:rPr>
          <w:rFonts w:ascii="Arial" w:hAnsi="Arial" w:cs="Arial"/>
          <w:sz w:val="20"/>
          <w:szCs w:val="20"/>
        </w:rPr>
        <w:t xml:space="preserve"> as </w:t>
      </w:r>
      <w:r>
        <w:rPr>
          <w:rFonts w:ascii="Arial" w:hAnsi="Arial" w:cs="Arial"/>
          <w:sz w:val="20"/>
          <w:szCs w:val="20"/>
        </w:rPr>
        <w:t>they</w:t>
      </w:r>
      <w:r w:rsidRPr="008E472D">
        <w:rPr>
          <w:rFonts w:ascii="Arial" w:hAnsi="Arial" w:cs="Arial"/>
          <w:sz w:val="20"/>
          <w:szCs w:val="20"/>
        </w:rPr>
        <w:t xml:space="preserve"> complemented the search. By using citation tracking as well as reference snowballing, additional studies were found. Thus, the studies </w:t>
      </w:r>
      <w:proofErr w:type="spellStart"/>
      <w:r>
        <w:rPr>
          <w:rFonts w:ascii="Arial" w:hAnsi="Arial" w:cs="Arial"/>
          <w:sz w:val="20"/>
          <w:szCs w:val="20"/>
        </w:rPr>
        <w:t>emphasised</w:t>
      </w:r>
      <w:proofErr w:type="spellEnd"/>
      <w:r w:rsidRPr="008E472D">
        <w:rPr>
          <w:rFonts w:ascii="Arial" w:hAnsi="Arial" w:cs="Arial"/>
          <w:sz w:val="20"/>
          <w:szCs w:val="20"/>
        </w:rPr>
        <w:t xml:space="preserve"> the literature published in English across a variety of geographic regions</w:t>
      </w:r>
      <w:r>
        <w:rPr>
          <w:rFonts w:ascii="Arial" w:hAnsi="Arial" w:cs="Arial"/>
          <w:sz w:val="20"/>
          <w:szCs w:val="20"/>
        </w:rPr>
        <w:t>,</w:t>
      </w:r>
      <w:r w:rsidRPr="008E472D">
        <w:rPr>
          <w:rFonts w:ascii="Arial" w:hAnsi="Arial" w:cs="Arial"/>
          <w:sz w:val="20"/>
          <w:szCs w:val="20"/>
        </w:rPr>
        <w:t xml:space="preserve"> including all continents of Europe, Asia, the Middle East, and Sub-Saharan Africa. </w:t>
      </w:r>
    </w:p>
    <w:p w14:paraId="0CB70555" w14:textId="13029969" w:rsidR="00AE6C40" w:rsidRPr="00F50CDE" w:rsidRDefault="00AE6C40" w:rsidP="008E472D">
      <w:pPr>
        <w:spacing w:after="160" w:line="360" w:lineRule="auto"/>
        <w:jc w:val="both"/>
        <w:rPr>
          <w:rFonts w:ascii="Arial" w:hAnsi="Arial" w:cs="Arial"/>
          <w:b/>
          <w:bCs/>
        </w:rPr>
      </w:pPr>
      <w:r w:rsidRPr="00F50CDE">
        <w:rPr>
          <w:rFonts w:ascii="Arial" w:hAnsi="Arial" w:cs="Arial"/>
          <w:b/>
          <w:bCs/>
        </w:rPr>
        <w:t>2.2 Selection Criteria</w:t>
      </w:r>
    </w:p>
    <w:p w14:paraId="6A1A7A9E" w14:textId="77777777" w:rsidR="002266E6" w:rsidRDefault="002266E6" w:rsidP="00637D25">
      <w:pPr>
        <w:spacing w:after="160" w:line="360" w:lineRule="auto"/>
        <w:jc w:val="both"/>
        <w:rPr>
          <w:rFonts w:ascii="Arial" w:hAnsi="Arial" w:cs="Arial"/>
          <w:sz w:val="20"/>
          <w:szCs w:val="20"/>
        </w:rPr>
      </w:pPr>
      <w:r w:rsidRPr="002266E6">
        <w:rPr>
          <w:rFonts w:ascii="Arial" w:hAnsi="Arial" w:cs="Arial"/>
          <w:sz w:val="20"/>
          <w:szCs w:val="20"/>
        </w:rPr>
        <w:lastRenderedPageBreak/>
        <w:t>Figure 1 shows the inclusion and exclusion of studies to include and exclude studies that were relevant and rigorous.</w:t>
      </w:r>
    </w:p>
    <w:p w14:paraId="28A2F505" w14:textId="0E1C2DEC" w:rsidR="00AE6C40" w:rsidRPr="00F50CDE" w:rsidRDefault="00AE6C40" w:rsidP="00637D25">
      <w:pPr>
        <w:spacing w:after="160" w:line="360" w:lineRule="auto"/>
        <w:jc w:val="both"/>
        <w:rPr>
          <w:rFonts w:ascii="Arial" w:hAnsi="Arial" w:cs="Arial"/>
          <w:b/>
          <w:bCs/>
        </w:rPr>
      </w:pPr>
      <w:r w:rsidRPr="00F50CDE">
        <w:rPr>
          <w:rFonts w:ascii="Arial" w:hAnsi="Arial" w:cs="Arial"/>
          <w:b/>
          <w:bCs/>
        </w:rPr>
        <w:t>Inclusion criteria focused on studies that:</w:t>
      </w:r>
    </w:p>
    <w:p w14:paraId="7E45EEEA" w14:textId="1AE39A24" w:rsidR="002266E6" w:rsidRDefault="002266E6" w:rsidP="00637D25">
      <w:pPr>
        <w:pStyle w:val="ListParagraph"/>
        <w:numPr>
          <w:ilvl w:val="0"/>
          <w:numId w:val="12"/>
        </w:numPr>
        <w:spacing w:after="160" w:line="360" w:lineRule="auto"/>
        <w:jc w:val="both"/>
        <w:rPr>
          <w:rFonts w:ascii="Arial" w:hAnsi="Arial" w:cs="Arial"/>
          <w:sz w:val="20"/>
          <w:szCs w:val="20"/>
        </w:rPr>
      </w:pPr>
      <w:r w:rsidRPr="002266E6">
        <w:rPr>
          <w:rFonts w:ascii="Arial" w:hAnsi="Arial" w:cs="Arial"/>
          <w:sz w:val="20"/>
          <w:szCs w:val="20"/>
        </w:rPr>
        <w:t>discussed RegTech or blockchain technologies use in AML or financial regulatory compliance.</w:t>
      </w:r>
    </w:p>
    <w:p w14:paraId="07F4FF28" w14:textId="06C5BFB1" w:rsidR="002266E6" w:rsidRDefault="002266E6" w:rsidP="00637D25">
      <w:pPr>
        <w:pStyle w:val="ListParagraph"/>
        <w:numPr>
          <w:ilvl w:val="0"/>
          <w:numId w:val="12"/>
        </w:numPr>
        <w:spacing w:after="160" w:line="360" w:lineRule="auto"/>
        <w:jc w:val="both"/>
        <w:rPr>
          <w:rFonts w:ascii="Arial" w:hAnsi="Arial" w:cs="Arial"/>
          <w:sz w:val="20"/>
          <w:szCs w:val="20"/>
        </w:rPr>
      </w:pPr>
      <w:r w:rsidRPr="002266E6">
        <w:rPr>
          <w:rFonts w:ascii="Arial" w:hAnsi="Arial" w:cs="Arial"/>
          <w:sz w:val="20"/>
          <w:szCs w:val="20"/>
        </w:rPr>
        <w:t xml:space="preserve"> contributed empirical data, implementation outcomes or </w:t>
      </w:r>
      <w:r>
        <w:rPr>
          <w:rFonts w:ascii="Arial" w:hAnsi="Arial" w:cs="Arial"/>
          <w:sz w:val="20"/>
          <w:szCs w:val="20"/>
        </w:rPr>
        <w:t>case-based</w:t>
      </w:r>
      <w:r w:rsidRPr="002266E6">
        <w:rPr>
          <w:rFonts w:ascii="Arial" w:hAnsi="Arial" w:cs="Arial"/>
          <w:sz w:val="20"/>
          <w:szCs w:val="20"/>
        </w:rPr>
        <w:t xml:space="preserve"> evidence from financial institutions or regulators.</w:t>
      </w:r>
    </w:p>
    <w:p w14:paraId="42003F4E" w14:textId="065EE866" w:rsidR="002266E6" w:rsidRDefault="002266E6" w:rsidP="00637D25">
      <w:pPr>
        <w:pStyle w:val="ListParagraph"/>
        <w:numPr>
          <w:ilvl w:val="0"/>
          <w:numId w:val="12"/>
        </w:numPr>
        <w:spacing w:after="160" w:line="360" w:lineRule="auto"/>
        <w:jc w:val="both"/>
        <w:rPr>
          <w:rFonts w:ascii="Arial" w:hAnsi="Arial" w:cs="Arial"/>
          <w:sz w:val="20"/>
          <w:szCs w:val="20"/>
        </w:rPr>
      </w:pPr>
      <w:r>
        <w:rPr>
          <w:rFonts w:ascii="Arial" w:hAnsi="Arial" w:cs="Arial"/>
          <w:sz w:val="20"/>
          <w:szCs w:val="20"/>
        </w:rPr>
        <w:t>e</w:t>
      </w:r>
      <w:r w:rsidRPr="002266E6">
        <w:rPr>
          <w:rFonts w:ascii="Arial" w:hAnsi="Arial" w:cs="Arial"/>
          <w:sz w:val="20"/>
          <w:szCs w:val="20"/>
        </w:rPr>
        <w:t xml:space="preserve">xplored the financial, scalability, or operational efficiency of RegTech or blockchain technologies in real-world </w:t>
      </w:r>
      <w:r>
        <w:rPr>
          <w:rFonts w:ascii="Arial" w:hAnsi="Arial" w:cs="Arial"/>
          <w:sz w:val="20"/>
          <w:szCs w:val="20"/>
        </w:rPr>
        <w:t>applications</w:t>
      </w:r>
      <w:r w:rsidRPr="002266E6">
        <w:rPr>
          <w:rFonts w:ascii="Arial" w:hAnsi="Arial" w:cs="Arial"/>
          <w:sz w:val="20"/>
          <w:szCs w:val="20"/>
        </w:rPr>
        <w:t xml:space="preserve"> to AML. </w:t>
      </w:r>
    </w:p>
    <w:p w14:paraId="5599D5C2" w14:textId="1F15C7E7" w:rsidR="00AE6C40" w:rsidRPr="00E9050E" w:rsidRDefault="002266E6" w:rsidP="00637D25">
      <w:pPr>
        <w:pStyle w:val="ListParagraph"/>
        <w:numPr>
          <w:ilvl w:val="0"/>
          <w:numId w:val="12"/>
        </w:numPr>
        <w:spacing w:after="160" w:line="360" w:lineRule="auto"/>
        <w:jc w:val="both"/>
        <w:rPr>
          <w:rFonts w:ascii="Arial" w:hAnsi="Arial" w:cs="Arial"/>
          <w:sz w:val="20"/>
          <w:szCs w:val="20"/>
        </w:rPr>
      </w:pPr>
      <w:r>
        <w:rPr>
          <w:rFonts w:ascii="Arial" w:hAnsi="Arial" w:cs="Arial"/>
          <w:sz w:val="20"/>
          <w:szCs w:val="20"/>
        </w:rPr>
        <w:t>Were included</w:t>
      </w:r>
      <w:r w:rsidR="00AE6C40" w:rsidRPr="00E9050E">
        <w:rPr>
          <w:rFonts w:ascii="Arial" w:hAnsi="Arial" w:cs="Arial"/>
          <w:sz w:val="20"/>
          <w:szCs w:val="20"/>
        </w:rPr>
        <w:t xml:space="preserve"> from diverse jurisdictions, allowing for comparative analysis.</w:t>
      </w:r>
    </w:p>
    <w:p w14:paraId="6684612A" w14:textId="77777777" w:rsidR="00AE6C40" w:rsidRPr="00F50CDE" w:rsidRDefault="00AE6C40" w:rsidP="00637D25">
      <w:pPr>
        <w:spacing w:after="160" w:line="360" w:lineRule="auto"/>
        <w:jc w:val="both"/>
        <w:rPr>
          <w:rFonts w:ascii="Arial" w:hAnsi="Arial" w:cs="Arial"/>
          <w:b/>
          <w:bCs/>
        </w:rPr>
      </w:pPr>
      <w:r w:rsidRPr="00F50CDE">
        <w:rPr>
          <w:rFonts w:ascii="Arial" w:hAnsi="Arial" w:cs="Arial"/>
          <w:b/>
          <w:bCs/>
        </w:rPr>
        <w:t>Exclusion criteria omitted studies that:</w:t>
      </w:r>
    </w:p>
    <w:p w14:paraId="752DBC04" w14:textId="7692D94A" w:rsidR="000E05D3" w:rsidRDefault="000E05D3" w:rsidP="00637D25">
      <w:pPr>
        <w:pStyle w:val="ListParagraph"/>
        <w:numPr>
          <w:ilvl w:val="0"/>
          <w:numId w:val="13"/>
        </w:numPr>
        <w:spacing w:after="160" w:line="360" w:lineRule="auto"/>
        <w:jc w:val="both"/>
        <w:rPr>
          <w:rFonts w:ascii="Arial" w:hAnsi="Arial" w:cs="Arial"/>
          <w:sz w:val="20"/>
          <w:szCs w:val="20"/>
        </w:rPr>
      </w:pPr>
      <w:r w:rsidRPr="000E05D3">
        <w:rPr>
          <w:rFonts w:ascii="Arial" w:hAnsi="Arial" w:cs="Arial"/>
          <w:sz w:val="20"/>
          <w:szCs w:val="20"/>
        </w:rPr>
        <w:t xml:space="preserve">ignored applied context (purely theoretical models or conceptual frameworks) </w:t>
      </w:r>
    </w:p>
    <w:p w14:paraId="710BC90B" w14:textId="27FB77C0" w:rsidR="000E05D3" w:rsidRDefault="000E05D3" w:rsidP="00637D25">
      <w:pPr>
        <w:pStyle w:val="ListParagraph"/>
        <w:numPr>
          <w:ilvl w:val="0"/>
          <w:numId w:val="13"/>
        </w:numPr>
        <w:spacing w:after="160" w:line="360" w:lineRule="auto"/>
        <w:jc w:val="both"/>
        <w:rPr>
          <w:rFonts w:ascii="Arial" w:hAnsi="Arial" w:cs="Arial"/>
          <w:sz w:val="20"/>
          <w:szCs w:val="20"/>
        </w:rPr>
      </w:pPr>
      <w:proofErr w:type="gramStart"/>
      <w:r w:rsidRPr="000E05D3">
        <w:rPr>
          <w:rFonts w:ascii="Arial" w:hAnsi="Arial" w:cs="Arial"/>
          <w:sz w:val="20"/>
          <w:szCs w:val="20"/>
        </w:rPr>
        <w:t>generally</w:t>
      </w:r>
      <w:proofErr w:type="gramEnd"/>
      <w:r w:rsidRPr="000E05D3">
        <w:rPr>
          <w:rFonts w:ascii="Arial" w:hAnsi="Arial" w:cs="Arial"/>
          <w:sz w:val="20"/>
          <w:szCs w:val="20"/>
        </w:rPr>
        <w:t xml:space="preserve"> discuss blockchain or RegTech without relating to AML or financial compliance.</w:t>
      </w:r>
    </w:p>
    <w:p w14:paraId="55D382CB" w14:textId="77777777" w:rsidR="000E05D3" w:rsidRDefault="000E05D3" w:rsidP="00637D25">
      <w:pPr>
        <w:pStyle w:val="ListParagraph"/>
        <w:numPr>
          <w:ilvl w:val="0"/>
          <w:numId w:val="13"/>
        </w:numPr>
        <w:spacing w:after="160" w:line="360" w:lineRule="auto"/>
        <w:jc w:val="both"/>
        <w:rPr>
          <w:rFonts w:ascii="Arial" w:hAnsi="Arial" w:cs="Arial"/>
          <w:sz w:val="20"/>
          <w:szCs w:val="20"/>
        </w:rPr>
      </w:pPr>
      <w:r w:rsidRPr="000E05D3">
        <w:rPr>
          <w:rFonts w:ascii="Arial" w:hAnsi="Arial" w:cs="Arial"/>
          <w:sz w:val="20"/>
          <w:szCs w:val="20"/>
        </w:rPr>
        <w:t>lacked details on implementation outcomes, cost analysis or institutional impact; Were duplicate entries, review papers or failed to be transparent about their methodology.</w:t>
      </w:r>
    </w:p>
    <w:p w14:paraId="5E450CC4" w14:textId="702F97A0" w:rsidR="00AE6C40" w:rsidRPr="00E9050E" w:rsidRDefault="000E05D3" w:rsidP="00637D25">
      <w:pPr>
        <w:pStyle w:val="ListParagraph"/>
        <w:numPr>
          <w:ilvl w:val="0"/>
          <w:numId w:val="13"/>
        </w:numPr>
        <w:spacing w:after="160" w:line="360" w:lineRule="auto"/>
        <w:jc w:val="both"/>
        <w:rPr>
          <w:rFonts w:ascii="Arial" w:hAnsi="Arial" w:cs="Arial"/>
          <w:sz w:val="20"/>
          <w:szCs w:val="20"/>
        </w:rPr>
      </w:pPr>
      <w:r>
        <w:rPr>
          <w:rFonts w:ascii="Arial" w:hAnsi="Arial" w:cs="Arial"/>
          <w:sz w:val="20"/>
          <w:szCs w:val="20"/>
        </w:rPr>
        <w:t>w</w:t>
      </w:r>
      <w:r w:rsidR="00AE6C40" w:rsidRPr="00E9050E">
        <w:rPr>
          <w:rFonts w:ascii="Arial" w:hAnsi="Arial" w:cs="Arial"/>
          <w:sz w:val="20"/>
          <w:szCs w:val="20"/>
        </w:rPr>
        <w:t>ere duplicate entries, review papers, or lacked transparency in their methodological approach.</w:t>
      </w:r>
    </w:p>
    <w:p w14:paraId="0367AF96" w14:textId="0F8A3947" w:rsidR="003E76E5" w:rsidRPr="00E9050E" w:rsidRDefault="000E05D3" w:rsidP="00637D25">
      <w:pPr>
        <w:spacing w:after="160" w:line="360" w:lineRule="auto"/>
        <w:jc w:val="both"/>
        <w:rPr>
          <w:rFonts w:ascii="Arial" w:hAnsi="Arial" w:cs="Arial"/>
          <w:sz w:val="20"/>
          <w:szCs w:val="20"/>
        </w:rPr>
      </w:pPr>
      <w:r w:rsidRPr="000E05D3">
        <w:rPr>
          <w:rFonts w:ascii="Arial" w:hAnsi="Arial" w:cs="Arial"/>
          <w:sz w:val="20"/>
          <w:szCs w:val="20"/>
        </w:rPr>
        <w:t>From a total of a</w:t>
      </w:r>
      <w:r>
        <w:rPr>
          <w:rFonts w:ascii="Arial" w:hAnsi="Arial" w:cs="Arial"/>
          <w:sz w:val="20"/>
          <w:szCs w:val="20"/>
        </w:rPr>
        <w:t>bout</w:t>
      </w:r>
      <w:r w:rsidRPr="000E05D3">
        <w:rPr>
          <w:rFonts w:ascii="Arial" w:hAnsi="Arial" w:cs="Arial"/>
          <w:sz w:val="20"/>
          <w:szCs w:val="20"/>
        </w:rPr>
        <w:t xml:space="preserve"> 180 academic and industry sources, A total of 12 </w:t>
      </w:r>
      <w:r>
        <w:rPr>
          <w:rFonts w:ascii="Arial" w:hAnsi="Arial" w:cs="Arial"/>
          <w:sz w:val="20"/>
          <w:szCs w:val="20"/>
        </w:rPr>
        <w:t>case-based</w:t>
      </w:r>
      <w:r w:rsidRPr="000E05D3">
        <w:rPr>
          <w:rFonts w:ascii="Arial" w:hAnsi="Arial" w:cs="Arial"/>
          <w:sz w:val="20"/>
          <w:szCs w:val="20"/>
        </w:rPr>
        <w:t xml:space="preserve"> studies were taken for </w:t>
      </w:r>
      <w:r>
        <w:rPr>
          <w:rFonts w:ascii="Arial" w:hAnsi="Arial" w:cs="Arial"/>
          <w:sz w:val="20"/>
          <w:szCs w:val="20"/>
        </w:rPr>
        <w:t>in-depth</w:t>
      </w:r>
      <w:r w:rsidRPr="000E05D3">
        <w:rPr>
          <w:rFonts w:ascii="Arial" w:hAnsi="Arial" w:cs="Arial"/>
          <w:sz w:val="20"/>
          <w:szCs w:val="20"/>
        </w:rPr>
        <w:t xml:space="preserve"> analysis as they offered empirical insights </w:t>
      </w:r>
      <w:r>
        <w:rPr>
          <w:rFonts w:ascii="Arial" w:hAnsi="Arial" w:cs="Arial"/>
          <w:sz w:val="20"/>
          <w:szCs w:val="20"/>
        </w:rPr>
        <w:t>concerning</w:t>
      </w:r>
      <w:r w:rsidRPr="000E05D3">
        <w:rPr>
          <w:rFonts w:ascii="Arial" w:hAnsi="Arial" w:cs="Arial"/>
          <w:sz w:val="20"/>
          <w:szCs w:val="20"/>
        </w:rPr>
        <w:t xml:space="preserve"> the financial, operational and regulatory dimensions of RegTech and blockchain implementation in </w:t>
      </w:r>
      <w:r>
        <w:rPr>
          <w:rFonts w:ascii="Arial" w:hAnsi="Arial" w:cs="Arial"/>
          <w:sz w:val="20"/>
          <w:szCs w:val="20"/>
        </w:rPr>
        <w:t xml:space="preserve">the </w:t>
      </w:r>
      <w:r w:rsidRPr="000E05D3">
        <w:rPr>
          <w:rFonts w:ascii="Arial" w:hAnsi="Arial" w:cs="Arial"/>
          <w:sz w:val="20"/>
          <w:szCs w:val="20"/>
        </w:rPr>
        <w:t>AML framework.</w:t>
      </w:r>
    </w:p>
    <w:p w14:paraId="7AA72BBA" w14:textId="32256FD7" w:rsidR="003E76E5" w:rsidRPr="00E9050E" w:rsidRDefault="003E76E5" w:rsidP="00637D25">
      <w:pPr>
        <w:spacing w:after="160" w:line="360" w:lineRule="auto"/>
        <w:jc w:val="center"/>
        <w:rPr>
          <w:rFonts w:ascii="Arial" w:hAnsi="Arial" w:cs="Arial"/>
          <w:sz w:val="20"/>
          <w:szCs w:val="20"/>
        </w:rPr>
      </w:pPr>
      <w:r w:rsidRPr="00E9050E">
        <w:rPr>
          <w:rFonts w:ascii="Arial" w:hAnsi="Arial" w:cs="Arial"/>
          <w:noProof/>
          <w:sz w:val="20"/>
          <w:szCs w:val="20"/>
        </w:rPr>
        <w:drawing>
          <wp:inline distT="0" distB="0" distL="0" distR="0" wp14:anchorId="2A8F32D0" wp14:editId="6C6D6EDA">
            <wp:extent cx="5238307" cy="3321050"/>
            <wp:effectExtent l="0" t="0" r="635" b="0"/>
            <wp:docPr id="17360334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3591" cy="3337080"/>
                    </a:xfrm>
                    <a:prstGeom prst="rect">
                      <a:avLst/>
                    </a:prstGeom>
                    <a:noFill/>
                  </pic:spPr>
                </pic:pic>
              </a:graphicData>
            </a:graphic>
          </wp:inline>
        </w:drawing>
      </w:r>
    </w:p>
    <w:p w14:paraId="22D414BF" w14:textId="3388045A" w:rsidR="003E76E5" w:rsidRPr="00E9050E" w:rsidRDefault="003E76E5" w:rsidP="00637D25">
      <w:pPr>
        <w:spacing w:line="360" w:lineRule="auto"/>
        <w:jc w:val="center"/>
        <w:rPr>
          <w:rFonts w:ascii="Arial" w:hAnsi="Arial" w:cs="Arial"/>
          <w:sz w:val="20"/>
          <w:szCs w:val="20"/>
        </w:rPr>
      </w:pPr>
      <w:r w:rsidRPr="00E9050E">
        <w:rPr>
          <w:rFonts w:ascii="Arial" w:hAnsi="Arial" w:cs="Arial"/>
          <w:b/>
          <w:sz w:val="20"/>
          <w:szCs w:val="20"/>
        </w:rPr>
        <w:t xml:space="preserve">Figure </w:t>
      </w:r>
      <w:r w:rsidR="0079276A" w:rsidRPr="00E9050E">
        <w:rPr>
          <w:rFonts w:ascii="Arial" w:hAnsi="Arial" w:cs="Arial"/>
          <w:b/>
          <w:sz w:val="20"/>
          <w:szCs w:val="20"/>
        </w:rPr>
        <w:t>1</w:t>
      </w:r>
      <w:r w:rsidRPr="00E9050E">
        <w:rPr>
          <w:rFonts w:ascii="Arial" w:hAnsi="Arial" w:cs="Arial"/>
          <w:b/>
          <w:sz w:val="20"/>
          <w:szCs w:val="20"/>
        </w:rPr>
        <w:t>.</w:t>
      </w:r>
      <w:r w:rsidRPr="00E9050E">
        <w:rPr>
          <w:rFonts w:ascii="Arial" w:hAnsi="Arial" w:cs="Arial"/>
          <w:sz w:val="20"/>
          <w:szCs w:val="20"/>
        </w:rPr>
        <w:t xml:space="preserve"> Study selection flow diagram</w:t>
      </w:r>
    </w:p>
    <w:p w14:paraId="00EED1F2" w14:textId="0015EE26" w:rsidR="00AE6C40" w:rsidRPr="00F50CDE" w:rsidRDefault="00AE6C40" w:rsidP="00637D25">
      <w:pPr>
        <w:spacing w:after="160" w:line="360" w:lineRule="auto"/>
        <w:jc w:val="both"/>
        <w:rPr>
          <w:rFonts w:ascii="Arial" w:hAnsi="Arial" w:cs="Arial"/>
          <w:b/>
          <w:bCs/>
        </w:rPr>
      </w:pPr>
      <w:r w:rsidRPr="00F50CDE">
        <w:rPr>
          <w:rFonts w:ascii="Arial" w:hAnsi="Arial" w:cs="Arial"/>
          <w:b/>
          <w:bCs/>
        </w:rPr>
        <w:t>Limitations of Method</w:t>
      </w:r>
      <w:r w:rsidR="0015511B" w:rsidRPr="00F50CDE">
        <w:rPr>
          <w:rFonts w:ascii="Arial" w:hAnsi="Arial" w:cs="Arial"/>
          <w:b/>
          <w:bCs/>
        </w:rPr>
        <w:t>s</w:t>
      </w:r>
    </w:p>
    <w:p w14:paraId="08E307C8" w14:textId="3D9B39EF" w:rsidR="004F72A7" w:rsidRPr="004F72A7" w:rsidRDefault="004F72A7" w:rsidP="004F72A7">
      <w:pPr>
        <w:spacing w:after="160" w:line="360" w:lineRule="auto"/>
        <w:jc w:val="both"/>
        <w:rPr>
          <w:rFonts w:ascii="Arial" w:hAnsi="Arial" w:cs="Arial"/>
          <w:sz w:val="20"/>
          <w:szCs w:val="20"/>
        </w:rPr>
      </w:pPr>
      <w:r w:rsidRPr="004F72A7">
        <w:rPr>
          <w:rFonts w:ascii="Arial" w:hAnsi="Arial" w:cs="Arial"/>
          <w:sz w:val="20"/>
          <w:szCs w:val="20"/>
        </w:rPr>
        <w:lastRenderedPageBreak/>
        <w:t xml:space="preserve">The methodology used in this study includes a qualitative review of the secondary data and </w:t>
      </w:r>
      <w:r w:rsidR="005D0655">
        <w:rPr>
          <w:rFonts w:ascii="Arial" w:hAnsi="Arial" w:cs="Arial"/>
          <w:sz w:val="20"/>
          <w:szCs w:val="20"/>
        </w:rPr>
        <w:t xml:space="preserve">a </w:t>
      </w:r>
      <w:r w:rsidRPr="004F72A7">
        <w:rPr>
          <w:rFonts w:ascii="Arial" w:hAnsi="Arial" w:cs="Arial"/>
          <w:sz w:val="20"/>
          <w:szCs w:val="20"/>
        </w:rPr>
        <w:t xml:space="preserve">case study. Though this approach is rich with contextual insights into the way RegTech and blockchain will integrate for AML, it also raises some limitations. The biggest limitation is that there is no access to proprietary institutional data or performance metrics that are quantitatively tempered. All compliance implementations are confidential, and therefore, many potentially important outcomes are documented only within the </w:t>
      </w:r>
      <w:proofErr w:type="spellStart"/>
      <w:r w:rsidR="005D0655">
        <w:rPr>
          <w:rFonts w:ascii="Arial" w:hAnsi="Arial" w:cs="Arial"/>
          <w:sz w:val="20"/>
          <w:szCs w:val="20"/>
        </w:rPr>
        <w:t>organisation</w:t>
      </w:r>
      <w:proofErr w:type="spellEnd"/>
      <w:r w:rsidRPr="004F72A7">
        <w:rPr>
          <w:rFonts w:ascii="Arial" w:hAnsi="Arial" w:cs="Arial"/>
          <w:sz w:val="20"/>
          <w:szCs w:val="20"/>
        </w:rPr>
        <w:t>.</w:t>
      </w:r>
    </w:p>
    <w:p w14:paraId="1989BB0B" w14:textId="77777777" w:rsidR="004F72A7" w:rsidRDefault="004F72A7" w:rsidP="004F72A7">
      <w:pPr>
        <w:spacing w:after="160" w:line="360" w:lineRule="auto"/>
        <w:jc w:val="both"/>
        <w:rPr>
          <w:rFonts w:ascii="Arial" w:hAnsi="Arial" w:cs="Arial"/>
          <w:sz w:val="20"/>
          <w:szCs w:val="20"/>
        </w:rPr>
      </w:pPr>
      <w:r w:rsidRPr="004F72A7">
        <w:rPr>
          <w:rFonts w:ascii="Arial" w:hAnsi="Arial" w:cs="Arial"/>
          <w:sz w:val="20"/>
          <w:szCs w:val="20"/>
        </w:rPr>
        <w:t xml:space="preserve">In addition, it has been observed that the rate of regulatory technology evolution is so rapid that some reviewed implementations could become outdated or eclipsed by more evolved tools in the near future. Consequently, interpretation of findings, especially those from pilot or conceptual projects, needs to be made cautiously. </w:t>
      </w:r>
    </w:p>
    <w:p w14:paraId="79A98DA0" w14:textId="1EAE2337" w:rsidR="00101C5B" w:rsidRPr="00E9050E" w:rsidRDefault="004B12F6" w:rsidP="004F72A7">
      <w:pPr>
        <w:spacing w:after="160" w:line="360" w:lineRule="auto"/>
        <w:jc w:val="both"/>
        <w:rPr>
          <w:rFonts w:ascii="Arial" w:hAnsi="Arial" w:cs="Arial"/>
          <w:b/>
          <w:bCs/>
          <w:sz w:val="20"/>
          <w:szCs w:val="20"/>
        </w:rPr>
      </w:pPr>
      <w:r w:rsidRPr="00E9050E">
        <w:rPr>
          <w:rFonts w:ascii="Arial" w:hAnsi="Arial" w:cs="Arial"/>
          <w:b/>
          <w:bCs/>
          <w:sz w:val="20"/>
          <w:szCs w:val="20"/>
        </w:rPr>
        <w:t>3.0</w:t>
      </w:r>
      <w:r w:rsidR="00101C5B" w:rsidRPr="00E9050E">
        <w:rPr>
          <w:rFonts w:ascii="Arial" w:hAnsi="Arial" w:cs="Arial"/>
          <w:b/>
          <w:bCs/>
          <w:sz w:val="20"/>
          <w:szCs w:val="20"/>
        </w:rPr>
        <w:t>. Conceptual Background</w:t>
      </w:r>
    </w:p>
    <w:p w14:paraId="78AB3905" w14:textId="70224CAD" w:rsidR="00101C5B" w:rsidRPr="00E9050E" w:rsidRDefault="004B12F6" w:rsidP="00637D25">
      <w:pPr>
        <w:spacing w:after="160" w:line="360" w:lineRule="auto"/>
        <w:jc w:val="both"/>
        <w:rPr>
          <w:rFonts w:ascii="Arial" w:hAnsi="Arial" w:cs="Arial"/>
          <w:b/>
          <w:bCs/>
          <w:sz w:val="20"/>
          <w:szCs w:val="20"/>
        </w:rPr>
      </w:pPr>
      <w:r w:rsidRPr="00E9050E">
        <w:rPr>
          <w:rFonts w:ascii="Arial" w:hAnsi="Arial" w:cs="Arial"/>
          <w:b/>
          <w:bCs/>
          <w:sz w:val="20"/>
          <w:szCs w:val="20"/>
        </w:rPr>
        <w:t>3</w:t>
      </w:r>
      <w:r w:rsidR="00101C5B" w:rsidRPr="00E9050E">
        <w:rPr>
          <w:rFonts w:ascii="Arial" w:hAnsi="Arial" w:cs="Arial"/>
          <w:b/>
          <w:bCs/>
          <w:sz w:val="20"/>
          <w:szCs w:val="20"/>
        </w:rPr>
        <w:t>.1 Understanding AML Compliance</w:t>
      </w:r>
    </w:p>
    <w:p w14:paraId="759C7CB5" w14:textId="133262E9" w:rsidR="00C3365B" w:rsidRPr="00C3365B" w:rsidRDefault="00C3365B" w:rsidP="00C3365B">
      <w:pPr>
        <w:spacing w:after="160" w:line="360" w:lineRule="auto"/>
        <w:jc w:val="both"/>
        <w:rPr>
          <w:rFonts w:ascii="Arial" w:hAnsi="Arial" w:cs="Arial"/>
          <w:sz w:val="20"/>
          <w:szCs w:val="20"/>
        </w:rPr>
      </w:pPr>
      <w:r w:rsidRPr="00C3365B">
        <w:rPr>
          <w:rFonts w:ascii="Arial" w:hAnsi="Arial" w:cs="Arial"/>
          <w:sz w:val="20"/>
          <w:szCs w:val="20"/>
        </w:rPr>
        <w:t xml:space="preserve">Anti Money Laundering (AML) includes all regulations, policies and processes for financial institutions to ensure that no illicit financial activities are conducted. Know Your Customer (KYC), transaction monitoring, </w:t>
      </w:r>
      <w:r>
        <w:rPr>
          <w:rFonts w:ascii="Arial" w:hAnsi="Arial" w:cs="Arial"/>
          <w:sz w:val="20"/>
          <w:szCs w:val="20"/>
        </w:rPr>
        <w:t xml:space="preserve">and </w:t>
      </w:r>
      <w:r w:rsidRPr="00C3365B">
        <w:rPr>
          <w:rFonts w:ascii="Arial" w:hAnsi="Arial" w:cs="Arial"/>
          <w:sz w:val="20"/>
          <w:szCs w:val="20"/>
        </w:rPr>
        <w:t xml:space="preserve">suspicious activity reporting are the basic elements of AML frameworks. KYC is an important process that verifies </w:t>
      </w:r>
      <w:r>
        <w:rPr>
          <w:rFonts w:ascii="Arial" w:hAnsi="Arial" w:cs="Arial"/>
          <w:sz w:val="20"/>
          <w:szCs w:val="20"/>
        </w:rPr>
        <w:t xml:space="preserve">a </w:t>
      </w:r>
      <w:r w:rsidRPr="00C3365B">
        <w:rPr>
          <w:rFonts w:ascii="Arial" w:hAnsi="Arial" w:cs="Arial"/>
          <w:sz w:val="20"/>
          <w:szCs w:val="20"/>
        </w:rPr>
        <w:t xml:space="preserve">customer’s identity and evaluates the risk profile of an institution to help it understand its clients’ financial </w:t>
      </w:r>
      <w:proofErr w:type="spellStart"/>
      <w:r w:rsidRPr="00C3365B">
        <w:rPr>
          <w:rFonts w:ascii="Arial" w:hAnsi="Arial" w:cs="Arial"/>
          <w:sz w:val="20"/>
          <w:szCs w:val="20"/>
        </w:rPr>
        <w:t>behaviour</w:t>
      </w:r>
      <w:proofErr w:type="spellEnd"/>
      <w:r w:rsidRPr="00C3365B">
        <w:rPr>
          <w:rFonts w:ascii="Arial" w:hAnsi="Arial" w:cs="Arial"/>
          <w:sz w:val="20"/>
          <w:szCs w:val="20"/>
        </w:rPr>
        <w:t xml:space="preserve"> (Sullivan, 2023; </w:t>
      </w:r>
      <w:proofErr w:type="spellStart"/>
      <w:r w:rsidRPr="00C3365B">
        <w:rPr>
          <w:rFonts w:ascii="Arial" w:hAnsi="Arial" w:cs="Arial"/>
          <w:sz w:val="20"/>
          <w:szCs w:val="20"/>
        </w:rPr>
        <w:t>Haigner</w:t>
      </w:r>
      <w:proofErr w:type="spellEnd"/>
      <w:r w:rsidRPr="00C3365B">
        <w:rPr>
          <w:rFonts w:ascii="Arial" w:hAnsi="Arial" w:cs="Arial"/>
          <w:sz w:val="20"/>
          <w:szCs w:val="20"/>
        </w:rPr>
        <w:t xml:space="preserve"> et al., 2012). It is important</w:t>
      </w:r>
      <w:r>
        <w:rPr>
          <w:rFonts w:ascii="Arial" w:hAnsi="Arial" w:cs="Arial"/>
          <w:sz w:val="20"/>
          <w:szCs w:val="20"/>
        </w:rPr>
        <w:t>,</w:t>
      </w:r>
      <w:r w:rsidRPr="00C3365B">
        <w:rPr>
          <w:rFonts w:ascii="Arial" w:hAnsi="Arial" w:cs="Arial"/>
          <w:sz w:val="20"/>
          <w:szCs w:val="20"/>
        </w:rPr>
        <w:t xml:space="preserve"> given the nature of money laundering risks, that financial transactions are monitored </w:t>
      </w:r>
      <w:r w:rsidR="0011795E">
        <w:rPr>
          <w:rFonts w:ascii="Arial" w:hAnsi="Arial" w:cs="Arial"/>
          <w:sz w:val="20"/>
          <w:szCs w:val="20"/>
        </w:rPr>
        <w:t>for</w:t>
      </w:r>
      <w:r w:rsidRPr="00C3365B">
        <w:rPr>
          <w:rFonts w:ascii="Arial" w:hAnsi="Arial" w:cs="Arial"/>
          <w:sz w:val="20"/>
          <w:szCs w:val="20"/>
        </w:rPr>
        <w:t xml:space="preserve"> suspicious patterns in real-time or retrospectively (Holbrook, 2011; Miller &amp; Rosen, 2017). In addition, Suspicious Activity Report (SARS) reporting is a formal mechanism where institutions can alert regulatory body(s</w:t>
      </w:r>
      <w:r w:rsidR="00266489">
        <w:rPr>
          <w:rFonts w:ascii="Arial" w:hAnsi="Arial" w:cs="Arial"/>
          <w:sz w:val="20"/>
          <w:szCs w:val="20"/>
        </w:rPr>
        <w:t>)</w:t>
      </w:r>
      <w:r w:rsidRPr="00C3365B">
        <w:rPr>
          <w:rFonts w:ascii="Arial" w:hAnsi="Arial" w:cs="Arial"/>
          <w:sz w:val="20"/>
          <w:szCs w:val="20"/>
        </w:rPr>
        <w:t xml:space="preserve"> to any possible illegal activities, which serves as another piece of the enforcement chain in the AML (Robertson &amp; Delhomme, 2002, see Figure 2 for the study's conceptual framework).</w:t>
      </w:r>
    </w:p>
    <w:p w14:paraId="318DFC89" w14:textId="28BFF611" w:rsidR="007D2D37" w:rsidRDefault="00C3365B" w:rsidP="00C3365B">
      <w:pPr>
        <w:spacing w:after="160" w:line="360" w:lineRule="auto"/>
        <w:jc w:val="both"/>
        <w:rPr>
          <w:rFonts w:ascii="Arial" w:hAnsi="Arial" w:cs="Arial"/>
          <w:sz w:val="20"/>
          <w:szCs w:val="20"/>
        </w:rPr>
      </w:pPr>
      <w:r w:rsidRPr="00C3365B">
        <w:rPr>
          <w:rFonts w:ascii="Arial" w:hAnsi="Arial" w:cs="Arial"/>
          <w:sz w:val="20"/>
          <w:szCs w:val="20"/>
        </w:rPr>
        <w:t xml:space="preserve">However, traditional anti-money laundering (AML) compliance mechanisms have been having difficulty due to high false positive rates caused by </w:t>
      </w:r>
      <w:r w:rsidR="0011795E" w:rsidRPr="00C3365B">
        <w:rPr>
          <w:rFonts w:ascii="Arial" w:hAnsi="Arial" w:cs="Arial"/>
          <w:sz w:val="20"/>
          <w:szCs w:val="20"/>
        </w:rPr>
        <w:t>rule-based</w:t>
      </w:r>
      <w:r w:rsidRPr="00C3365B">
        <w:rPr>
          <w:rFonts w:ascii="Arial" w:hAnsi="Arial" w:cs="Arial"/>
          <w:sz w:val="20"/>
          <w:szCs w:val="20"/>
        </w:rPr>
        <w:t xml:space="preserve"> systems</w:t>
      </w:r>
      <w:r>
        <w:rPr>
          <w:rFonts w:ascii="Arial" w:hAnsi="Arial" w:cs="Arial"/>
          <w:sz w:val="20"/>
          <w:szCs w:val="20"/>
        </w:rPr>
        <w:t>,</w:t>
      </w:r>
      <w:r w:rsidRPr="00C3365B">
        <w:rPr>
          <w:rFonts w:ascii="Arial" w:hAnsi="Arial" w:cs="Arial"/>
          <w:sz w:val="20"/>
          <w:szCs w:val="20"/>
        </w:rPr>
        <w:t xml:space="preserve"> such as monitoring systems that give high false positive rates</w:t>
      </w:r>
      <w:r w:rsidR="0011795E">
        <w:rPr>
          <w:rFonts w:ascii="Arial" w:hAnsi="Arial" w:cs="Arial"/>
          <w:sz w:val="20"/>
          <w:szCs w:val="20"/>
        </w:rPr>
        <w:t>,</w:t>
      </w:r>
      <w:r w:rsidRPr="00C3365B">
        <w:rPr>
          <w:rFonts w:ascii="Arial" w:hAnsi="Arial" w:cs="Arial"/>
          <w:sz w:val="20"/>
          <w:szCs w:val="20"/>
        </w:rPr>
        <w:t xml:space="preserve"> leading to excessive alerts and high operational costs (Ray, 2021; Gilson, 2024; </w:t>
      </w:r>
      <w:proofErr w:type="spellStart"/>
      <w:r w:rsidRPr="00C3365B">
        <w:rPr>
          <w:rFonts w:ascii="Arial" w:hAnsi="Arial" w:cs="Arial"/>
          <w:sz w:val="20"/>
          <w:szCs w:val="20"/>
        </w:rPr>
        <w:t>Oztas</w:t>
      </w:r>
      <w:proofErr w:type="spellEnd"/>
      <w:r w:rsidRPr="00C3365B">
        <w:rPr>
          <w:rFonts w:ascii="Arial" w:hAnsi="Arial" w:cs="Arial"/>
          <w:sz w:val="20"/>
          <w:szCs w:val="20"/>
        </w:rPr>
        <w:t xml:space="preserve"> et al.</w:t>
      </w:r>
      <w:r>
        <w:rPr>
          <w:rFonts w:ascii="Arial" w:hAnsi="Arial" w:cs="Arial"/>
          <w:sz w:val="20"/>
          <w:szCs w:val="20"/>
        </w:rPr>
        <w:t>,</w:t>
      </w:r>
      <w:r w:rsidRPr="00C3365B">
        <w:rPr>
          <w:rFonts w:ascii="Arial" w:hAnsi="Arial" w:cs="Arial"/>
          <w:sz w:val="20"/>
          <w:szCs w:val="20"/>
        </w:rPr>
        <w:t xml:space="preserve"> 2023). Due to fragmentation of the stored data, these systems usually work in silos, which makes it hard for performing reliable comprehensive risk assessments (Ray, 2021) (</w:t>
      </w:r>
      <w:proofErr w:type="spellStart"/>
      <w:r w:rsidRPr="00C3365B">
        <w:rPr>
          <w:rFonts w:ascii="Arial" w:hAnsi="Arial" w:cs="Arial"/>
          <w:sz w:val="20"/>
          <w:szCs w:val="20"/>
        </w:rPr>
        <w:t>Oztas</w:t>
      </w:r>
      <w:proofErr w:type="spellEnd"/>
      <w:r w:rsidRPr="00C3365B">
        <w:rPr>
          <w:rFonts w:ascii="Arial" w:hAnsi="Arial" w:cs="Arial"/>
          <w:sz w:val="20"/>
          <w:szCs w:val="20"/>
        </w:rPr>
        <w:t xml:space="preserve"> et al., 2023). Financial institutions spend heavily on manual reviews and staff training </w:t>
      </w:r>
      <w:r>
        <w:rPr>
          <w:rFonts w:ascii="Arial" w:hAnsi="Arial" w:cs="Arial"/>
          <w:sz w:val="20"/>
          <w:szCs w:val="20"/>
        </w:rPr>
        <w:t>to</w:t>
      </w:r>
      <w:r w:rsidRPr="00C3365B">
        <w:rPr>
          <w:rFonts w:ascii="Arial" w:hAnsi="Arial" w:cs="Arial"/>
          <w:sz w:val="20"/>
          <w:szCs w:val="20"/>
        </w:rPr>
        <w:t xml:space="preserve"> improve efficiency in compliance</w:t>
      </w:r>
      <w:r>
        <w:rPr>
          <w:rFonts w:ascii="Arial" w:hAnsi="Arial" w:cs="Arial"/>
          <w:sz w:val="20"/>
          <w:szCs w:val="20"/>
        </w:rPr>
        <w:t>,</w:t>
      </w:r>
      <w:r w:rsidRPr="00C3365B">
        <w:rPr>
          <w:rFonts w:ascii="Arial" w:hAnsi="Arial" w:cs="Arial"/>
          <w:sz w:val="20"/>
          <w:szCs w:val="20"/>
        </w:rPr>
        <w:t xml:space="preserve"> but to no avail (Phillips, 2024; Ray, 2021). As a solution, advanced technology such as AI or ML is proposed to improve detection accuracy and reduce false positives, thereby </w:t>
      </w:r>
      <w:proofErr w:type="spellStart"/>
      <w:r>
        <w:rPr>
          <w:rFonts w:ascii="Arial" w:hAnsi="Arial" w:cs="Arial"/>
          <w:sz w:val="20"/>
          <w:szCs w:val="20"/>
        </w:rPr>
        <w:t>minimising</w:t>
      </w:r>
      <w:proofErr w:type="spellEnd"/>
      <w:r w:rsidRPr="00C3365B">
        <w:rPr>
          <w:rFonts w:ascii="Arial" w:hAnsi="Arial" w:cs="Arial"/>
          <w:sz w:val="20"/>
          <w:szCs w:val="20"/>
        </w:rPr>
        <w:t xml:space="preserve"> the operation cost and time (Ray, 2021; Han et al., 2018; Phillips, 2024). AML frameworks can also adopt a more adaptive and integrated approach that will help </w:t>
      </w:r>
      <w:r w:rsidR="0011795E">
        <w:rPr>
          <w:rFonts w:ascii="Arial" w:hAnsi="Arial" w:cs="Arial"/>
          <w:sz w:val="20"/>
          <w:szCs w:val="20"/>
        </w:rPr>
        <w:t>them</w:t>
      </w:r>
      <w:r w:rsidRPr="00C3365B">
        <w:rPr>
          <w:rFonts w:ascii="Arial" w:hAnsi="Arial" w:cs="Arial"/>
          <w:sz w:val="20"/>
          <w:szCs w:val="20"/>
        </w:rPr>
        <w:t xml:space="preserve"> more effectively address the evolving AML tactics of financial criminals and </w:t>
      </w:r>
      <w:r>
        <w:rPr>
          <w:rFonts w:ascii="Arial" w:hAnsi="Arial" w:cs="Arial"/>
          <w:sz w:val="20"/>
          <w:szCs w:val="20"/>
        </w:rPr>
        <w:t xml:space="preserve">the </w:t>
      </w:r>
      <w:r w:rsidRPr="00C3365B">
        <w:rPr>
          <w:rFonts w:ascii="Arial" w:hAnsi="Arial" w:cs="Arial"/>
          <w:sz w:val="20"/>
          <w:szCs w:val="20"/>
        </w:rPr>
        <w:t>effectiveness of overall compliance</w:t>
      </w:r>
      <w:r>
        <w:rPr>
          <w:rFonts w:ascii="Arial" w:hAnsi="Arial" w:cs="Arial"/>
          <w:sz w:val="20"/>
          <w:szCs w:val="20"/>
        </w:rPr>
        <w:t xml:space="preserve"> </w:t>
      </w:r>
      <w:r w:rsidR="007D2D37" w:rsidRPr="007D2D37">
        <w:rPr>
          <w:rFonts w:ascii="Arial" w:hAnsi="Arial" w:cs="Arial"/>
          <w:sz w:val="20"/>
          <w:szCs w:val="20"/>
        </w:rPr>
        <w:t>(Gilson, 2024</w:t>
      </w:r>
      <w:r w:rsidR="007D2D37">
        <w:rPr>
          <w:rFonts w:ascii="Arial" w:hAnsi="Arial" w:cs="Arial"/>
          <w:sz w:val="20"/>
          <w:szCs w:val="20"/>
        </w:rPr>
        <w:t xml:space="preserve">; </w:t>
      </w:r>
      <w:proofErr w:type="spellStart"/>
      <w:r w:rsidR="007D2D37" w:rsidRPr="007D2D37">
        <w:rPr>
          <w:rFonts w:ascii="Arial" w:hAnsi="Arial" w:cs="Arial"/>
          <w:sz w:val="20"/>
          <w:szCs w:val="20"/>
        </w:rPr>
        <w:t>Oztas</w:t>
      </w:r>
      <w:proofErr w:type="spellEnd"/>
      <w:r w:rsidR="007D2D37" w:rsidRPr="007D2D37">
        <w:rPr>
          <w:rFonts w:ascii="Arial" w:hAnsi="Arial" w:cs="Arial"/>
          <w:sz w:val="20"/>
          <w:szCs w:val="20"/>
        </w:rPr>
        <w:t xml:space="preserve"> et al., 2023).</w:t>
      </w:r>
    </w:p>
    <w:p w14:paraId="0CED2E3C" w14:textId="6743DD4F" w:rsidR="00101C5B" w:rsidRPr="00E9050E" w:rsidRDefault="004B12F6" w:rsidP="00637D25">
      <w:pPr>
        <w:spacing w:after="160" w:line="360" w:lineRule="auto"/>
        <w:jc w:val="both"/>
        <w:rPr>
          <w:rFonts w:ascii="Arial" w:hAnsi="Arial" w:cs="Arial"/>
          <w:b/>
          <w:bCs/>
          <w:sz w:val="20"/>
          <w:szCs w:val="20"/>
        </w:rPr>
      </w:pPr>
      <w:r w:rsidRPr="00E9050E">
        <w:rPr>
          <w:rFonts w:ascii="Arial" w:hAnsi="Arial" w:cs="Arial"/>
          <w:b/>
          <w:bCs/>
          <w:sz w:val="20"/>
          <w:szCs w:val="20"/>
        </w:rPr>
        <w:t>3</w:t>
      </w:r>
      <w:r w:rsidR="00101C5B" w:rsidRPr="00E9050E">
        <w:rPr>
          <w:rFonts w:ascii="Arial" w:hAnsi="Arial" w:cs="Arial"/>
          <w:b/>
          <w:bCs/>
          <w:sz w:val="20"/>
          <w:szCs w:val="20"/>
        </w:rPr>
        <w:t>.2 Regulatory Technology (RegTech) in AML</w:t>
      </w:r>
    </w:p>
    <w:p w14:paraId="3B63FF4A" w14:textId="0EF4C06D" w:rsidR="007C3D09" w:rsidRPr="007C3D09" w:rsidRDefault="007C3D09" w:rsidP="007C3D09">
      <w:pPr>
        <w:spacing w:after="160" w:line="360" w:lineRule="auto"/>
        <w:jc w:val="both"/>
        <w:rPr>
          <w:rFonts w:ascii="Arial" w:hAnsi="Arial" w:cs="Arial"/>
          <w:sz w:val="20"/>
          <w:szCs w:val="20"/>
        </w:rPr>
      </w:pPr>
      <w:r w:rsidRPr="007C3D09">
        <w:rPr>
          <w:rFonts w:ascii="Arial" w:hAnsi="Arial" w:cs="Arial"/>
          <w:sz w:val="20"/>
          <w:szCs w:val="20"/>
        </w:rPr>
        <w:t>The financial sector, especially Anti-Money Laundering (AML) processes</w:t>
      </w:r>
      <w:r w:rsidR="00266489">
        <w:rPr>
          <w:rFonts w:ascii="Arial" w:hAnsi="Arial" w:cs="Arial"/>
          <w:sz w:val="20"/>
          <w:szCs w:val="20"/>
        </w:rPr>
        <w:t>,</w:t>
      </w:r>
      <w:r w:rsidRPr="007C3D09">
        <w:rPr>
          <w:rFonts w:ascii="Arial" w:hAnsi="Arial" w:cs="Arial"/>
          <w:sz w:val="20"/>
          <w:szCs w:val="20"/>
        </w:rPr>
        <w:t xml:space="preserve"> has been undergoing a revolution with the introduction of Regulatory Technology (RegTech), using such technologies as artificial intelligence (AI), machine learning (ML), </w:t>
      </w:r>
      <w:r w:rsidR="00266489">
        <w:rPr>
          <w:rFonts w:ascii="Arial" w:hAnsi="Arial" w:cs="Arial"/>
          <w:sz w:val="20"/>
          <w:szCs w:val="20"/>
        </w:rPr>
        <w:t xml:space="preserve">and </w:t>
      </w:r>
      <w:r w:rsidRPr="007C3D09">
        <w:rPr>
          <w:rFonts w:ascii="Arial" w:hAnsi="Arial" w:cs="Arial"/>
          <w:sz w:val="20"/>
          <w:szCs w:val="20"/>
        </w:rPr>
        <w:t xml:space="preserve">big data analytics for the improvement of compliance processes. These innovations </w:t>
      </w:r>
      <w:r w:rsidR="00266489">
        <w:rPr>
          <w:rFonts w:ascii="Arial" w:hAnsi="Arial" w:cs="Arial"/>
          <w:sz w:val="20"/>
          <w:szCs w:val="20"/>
        </w:rPr>
        <w:t>automate</w:t>
      </w:r>
      <w:r w:rsidRPr="007C3D09">
        <w:rPr>
          <w:rFonts w:ascii="Arial" w:hAnsi="Arial" w:cs="Arial"/>
          <w:sz w:val="20"/>
          <w:szCs w:val="20"/>
        </w:rPr>
        <w:t xml:space="preserve"> customer onboarding (</w:t>
      </w:r>
      <w:proofErr w:type="spellStart"/>
      <w:r w:rsidR="00266489">
        <w:rPr>
          <w:rFonts w:ascii="Arial" w:hAnsi="Arial" w:cs="Arial"/>
          <w:sz w:val="20"/>
          <w:szCs w:val="20"/>
        </w:rPr>
        <w:t>ekyc</w:t>
      </w:r>
      <w:proofErr w:type="spellEnd"/>
      <w:r w:rsidRPr="007C3D09">
        <w:rPr>
          <w:rFonts w:ascii="Arial" w:hAnsi="Arial" w:cs="Arial"/>
          <w:sz w:val="20"/>
          <w:szCs w:val="20"/>
        </w:rPr>
        <w:t xml:space="preserve">), </w:t>
      </w:r>
      <w:r w:rsidR="00266489">
        <w:rPr>
          <w:rFonts w:ascii="Arial" w:hAnsi="Arial" w:cs="Arial"/>
          <w:sz w:val="20"/>
          <w:szCs w:val="20"/>
        </w:rPr>
        <w:t>real-time</w:t>
      </w:r>
      <w:r w:rsidRPr="007C3D09">
        <w:rPr>
          <w:rFonts w:ascii="Arial" w:hAnsi="Arial" w:cs="Arial"/>
          <w:sz w:val="20"/>
          <w:szCs w:val="20"/>
        </w:rPr>
        <w:t xml:space="preserve"> monitoring of transactions, and compliance reporting with an aim to reducing costs of performing manual compliance, increasing operational efficiency, and accuracy (Olawale et al.</w:t>
      </w:r>
      <w:r w:rsidR="00266489">
        <w:rPr>
          <w:rFonts w:ascii="Arial" w:hAnsi="Arial" w:cs="Arial"/>
          <w:sz w:val="20"/>
          <w:szCs w:val="20"/>
        </w:rPr>
        <w:t xml:space="preserve">, </w:t>
      </w:r>
      <w:r w:rsidRPr="007C3D09">
        <w:rPr>
          <w:rFonts w:ascii="Arial" w:hAnsi="Arial" w:cs="Arial"/>
          <w:sz w:val="20"/>
          <w:szCs w:val="20"/>
        </w:rPr>
        <w:t>2024; Liang</w:t>
      </w:r>
      <w:r w:rsidR="00266489">
        <w:rPr>
          <w:rFonts w:ascii="Arial" w:hAnsi="Arial" w:cs="Arial"/>
          <w:sz w:val="20"/>
          <w:szCs w:val="20"/>
        </w:rPr>
        <w:t xml:space="preserve">, </w:t>
      </w:r>
      <w:r w:rsidRPr="007C3D09">
        <w:rPr>
          <w:rFonts w:ascii="Arial" w:hAnsi="Arial" w:cs="Arial"/>
          <w:sz w:val="20"/>
          <w:szCs w:val="20"/>
        </w:rPr>
        <w:t>2024; Kothandapani</w:t>
      </w:r>
      <w:r w:rsidR="00266489">
        <w:rPr>
          <w:rFonts w:ascii="Arial" w:hAnsi="Arial" w:cs="Arial"/>
          <w:sz w:val="20"/>
          <w:szCs w:val="20"/>
        </w:rPr>
        <w:t xml:space="preserve">, </w:t>
      </w:r>
      <w:r w:rsidRPr="007C3D09">
        <w:rPr>
          <w:rFonts w:ascii="Arial" w:hAnsi="Arial" w:cs="Arial"/>
          <w:sz w:val="20"/>
          <w:szCs w:val="20"/>
        </w:rPr>
        <w:t xml:space="preserve">2024). For example, by </w:t>
      </w:r>
      <w:proofErr w:type="spellStart"/>
      <w:r w:rsidR="00266489">
        <w:rPr>
          <w:rFonts w:ascii="Arial" w:hAnsi="Arial" w:cs="Arial"/>
          <w:sz w:val="20"/>
          <w:szCs w:val="20"/>
        </w:rPr>
        <w:t>utilising</w:t>
      </w:r>
      <w:proofErr w:type="spellEnd"/>
      <w:r w:rsidRPr="007C3D09">
        <w:rPr>
          <w:rFonts w:ascii="Arial" w:hAnsi="Arial" w:cs="Arial"/>
          <w:sz w:val="20"/>
          <w:szCs w:val="20"/>
        </w:rPr>
        <w:t xml:space="preserve"> </w:t>
      </w:r>
      <w:r w:rsidR="00266489">
        <w:rPr>
          <w:rFonts w:ascii="Arial" w:hAnsi="Arial" w:cs="Arial"/>
          <w:sz w:val="20"/>
          <w:szCs w:val="20"/>
        </w:rPr>
        <w:t>AI-driven</w:t>
      </w:r>
      <w:r w:rsidRPr="007C3D09">
        <w:rPr>
          <w:rFonts w:ascii="Arial" w:hAnsi="Arial" w:cs="Arial"/>
          <w:sz w:val="20"/>
          <w:szCs w:val="20"/>
        </w:rPr>
        <w:t xml:space="preserve"> </w:t>
      </w:r>
      <w:proofErr w:type="spellStart"/>
      <w:r w:rsidR="00266489">
        <w:rPr>
          <w:rFonts w:ascii="Arial" w:hAnsi="Arial" w:cs="Arial"/>
          <w:sz w:val="20"/>
          <w:szCs w:val="20"/>
        </w:rPr>
        <w:t>ekyc</w:t>
      </w:r>
      <w:proofErr w:type="spellEnd"/>
      <w:r w:rsidRPr="007C3D09">
        <w:rPr>
          <w:rFonts w:ascii="Arial" w:hAnsi="Arial" w:cs="Arial"/>
          <w:sz w:val="20"/>
          <w:szCs w:val="20"/>
        </w:rPr>
        <w:t xml:space="preserve"> systems, you can verify people’s identities and </w:t>
      </w:r>
      <w:r w:rsidR="00266489">
        <w:rPr>
          <w:rFonts w:ascii="Arial" w:hAnsi="Arial" w:cs="Arial"/>
          <w:sz w:val="20"/>
          <w:szCs w:val="20"/>
        </w:rPr>
        <w:t>auto-cross-check</w:t>
      </w:r>
      <w:r w:rsidRPr="007C3D09">
        <w:rPr>
          <w:rFonts w:ascii="Arial" w:hAnsi="Arial" w:cs="Arial"/>
          <w:sz w:val="20"/>
          <w:szCs w:val="20"/>
        </w:rPr>
        <w:t xml:space="preserve"> global watch lists instantaneously, </w:t>
      </w:r>
      <w:r w:rsidR="00D36A59">
        <w:rPr>
          <w:rFonts w:ascii="Arial" w:hAnsi="Arial" w:cs="Arial"/>
          <w:sz w:val="20"/>
          <w:szCs w:val="20"/>
        </w:rPr>
        <w:t>for</w:t>
      </w:r>
      <w:r w:rsidRPr="007C3D09">
        <w:rPr>
          <w:rFonts w:ascii="Arial" w:hAnsi="Arial" w:cs="Arial"/>
          <w:sz w:val="20"/>
          <w:szCs w:val="20"/>
        </w:rPr>
        <w:t xml:space="preserve"> customer due diligence (Olawale et al., 2024). Additionally, the use of RegTech </w:t>
      </w:r>
      <w:r w:rsidRPr="007C3D09">
        <w:rPr>
          <w:rFonts w:ascii="Arial" w:hAnsi="Arial" w:cs="Arial"/>
          <w:sz w:val="20"/>
          <w:szCs w:val="20"/>
        </w:rPr>
        <w:lastRenderedPageBreak/>
        <w:t xml:space="preserve">solutions helps financial institutions to dynamically adjust the regulatory regime as </w:t>
      </w:r>
      <w:r w:rsidR="00266489">
        <w:rPr>
          <w:rFonts w:ascii="Arial" w:hAnsi="Arial" w:cs="Arial"/>
          <w:sz w:val="20"/>
          <w:szCs w:val="20"/>
        </w:rPr>
        <w:t>needs</w:t>
      </w:r>
      <w:r w:rsidRPr="007C3D09">
        <w:rPr>
          <w:rFonts w:ascii="Arial" w:hAnsi="Arial" w:cs="Arial"/>
          <w:sz w:val="20"/>
          <w:szCs w:val="20"/>
        </w:rPr>
        <w:t xml:space="preserve"> </w:t>
      </w:r>
      <w:r w:rsidR="00266489">
        <w:rPr>
          <w:rFonts w:ascii="Arial" w:hAnsi="Arial" w:cs="Arial"/>
          <w:sz w:val="20"/>
          <w:szCs w:val="20"/>
        </w:rPr>
        <w:t>change</w:t>
      </w:r>
      <w:r w:rsidRPr="007C3D09">
        <w:rPr>
          <w:rFonts w:ascii="Arial" w:hAnsi="Arial" w:cs="Arial"/>
          <w:sz w:val="20"/>
          <w:szCs w:val="20"/>
        </w:rPr>
        <w:t xml:space="preserve"> and reduce the risks and enhance the transparency (Olaiya et al., 2024; Syed et al., 2024). However, a major hurdle for </w:t>
      </w:r>
      <w:r w:rsidR="00266489">
        <w:rPr>
          <w:rFonts w:ascii="Arial" w:hAnsi="Arial" w:cs="Arial"/>
          <w:sz w:val="20"/>
          <w:szCs w:val="20"/>
        </w:rPr>
        <w:t xml:space="preserve">the </w:t>
      </w:r>
      <w:r w:rsidRPr="007C3D09">
        <w:rPr>
          <w:rFonts w:ascii="Arial" w:hAnsi="Arial" w:cs="Arial"/>
          <w:sz w:val="20"/>
          <w:szCs w:val="20"/>
        </w:rPr>
        <w:t xml:space="preserve">full potential of RegTech in regulating compliance </w:t>
      </w:r>
      <w:r w:rsidR="00266489">
        <w:rPr>
          <w:rFonts w:ascii="Arial" w:hAnsi="Arial" w:cs="Arial"/>
          <w:sz w:val="20"/>
          <w:szCs w:val="20"/>
        </w:rPr>
        <w:t xml:space="preserve">is </w:t>
      </w:r>
      <w:r w:rsidRPr="007C3D09">
        <w:rPr>
          <w:rFonts w:ascii="Arial" w:hAnsi="Arial" w:cs="Arial"/>
          <w:sz w:val="20"/>
          <w:szCs w:val="20"/>
        </w:rPr>
        <w:t>facing major challenges</w:t>
      </w:r>
      <w:r w:rsidR="00266489">
        <w:rPr>
          <w:rFonts w:ascii="Arial" w:hAnsi="Arial" w:cs="Arial"/>
          <w:sz w:val="20"/>
          <w:szCs w:val="20"/>
        </w:rPr>
        <w:t>,</w:t>
      </w:r>
      <w:r w:rsidRPr="007C3D09">
        <w:rPr>
          <w:rFonts w:ascii="Arial" w:hAnsi="Arial" w:cs="Arial"/>
          <w:sz w:val="20"/>
          <w:szCs w:val="20"/>
        </w:rPr>
        <w:t xml:space="preserve"> </w:t>
      </w:r>
      <w:r w:rsidR="00266489">
        <w:rPr>
          <w:rFonts w:ascii="Arial" w:hAnsi="Arial" w:cs="Arial"/>
          <w:sz w:val="20"/>
          <w:szCs w:val="20"/>
        </w:rPr>
        <w:t>including</w:t>
      </w:r>
      <w:r w:rsidRPr="007C3D09">
        <w:rPr>
          <w:rFonts w:ascii="Arial" w:hAnsi="Arial" w:cs="Arial"/>
          <w:sz w:val="20"/>
          <w:szCs w:val="20"/>
        </w:rPr>
        <w:t xml:space="preserve"> data protection issues and the need for </w:t>
      </w:r>
      <w:proofErr w:type="spellStart"/>
      <w:r w:rsidR="00266489">
        <w:rPr>
          <w:rFonts w:ascii="Arial" w:hAnsi="Arial" w:cs="Arial"/>
          <w:sz w:val="20"/>
          <w:szCs w:val="20"/>
        </w:rPr>
        <w:t>standardised</w:t>
      </w:r>
      <w:proofErr w:type="spellEnd"/>
      <w:r w:rsidRPr="007C3D09">
        <w:rPr>
          <w:rFonts w:ascii="Arial" w:hAnsi="Arial" w:cs="Arial"/>
          <w:sz w:val="20"/>
          <w:szCs w:val="20"/>
        </w:rPr>
        <w:t xml:space="preserve"> regulation (Kothandapani, 2024; Syed et al., 2024).</w:t>
      </w:r>
    </w:p>
    <w:p w14:paraId="05A2CE87" w14:textId="0B2AAFA0" w:rsidR="007C3D09" w:rsidRDefault="007C3D09" w:rsidP="007C3D09">
      <w:pPr>
        <w:spacing w:after="160" w:line="360" w:lineRule="auto"/>
        <w:jc w:val="both"/>
        <w:rPr>
          <w:rFonts w:ascii="Arial" w:hAnsi="Arial" w:cs="Arial"/>
          <w:sz w:val="20"/>
          <w:szCs w:val="20"/>
        </w:rPr>
      </w:pPr>
      <w:r w:rsidRPr="007C3D09">
        <w:rPr>
          <w:rFonts w:ascii="Arial" w:hAnsi="Arial" w:cs="Arial"/>
          <w:sz w:val="20"/>
          <w:szCs w:val="20"/>
        </w:rPr>
        <w:t xml:space="preserve">RegTech for financial institutions, especially those in developing countries, presents many challenges towards adoption, while the benefits are well known. As mentioned by </w:t>
      </w:r>
      <w:proofErr w:type="spellStart"/>
      <w:proofErr w:type="gramStart"/>
      <w:r w:rsidRPr="007C3D09">
        <w:rPr>
          <w:rFonts w:ascii="Arial" w:hAnsi="Arial" w:cs="Arial"/>
          <w:sz w:val="20"/>
          <w:szCs w:val="20"/>
        </w:rPr>
        <w:t>Sumkovski</w:t>
      </w:r>
      <w:proofErr w:type="spellEnd"/>
      <w:r w:rsidRPr="007C3D09">
        <w:rPr>
          <w:rFonts w:ascii="Arial" w:hAnsi="Arial" w:cs="Arial"/>
          <w:sz w:val="20"/>
          <w:szCs w:val="20"/>
        </w:rPr>
        <w:t>(</w:t>
      </w:r>
      <w:proofErr w:type="spellStart"/>
      <w:proofErr w:type="gramEnd"/>
      <w:r w:rsidRPr="007C3D09">
        <w:rPr>
          <w:rFonts w:ascii="Arial" w:hAnsi="Arial" w:cs="Arial"/>
          <w:sz w:val="20"/>
          <w:szCs w:val="20"/>
        </w:rPr>
        <w:t>Sumkovski</w:t>
      </w:r>
      <w:proofErr w:type="spellEnd"/>
      <w:r w:rsidRPr="007C3D09">
        <w:rPr>
          <w:rFonts w:ascii="Arial" w:hAnsi="Arial" w:cs="Arial"/>
          <w:sz w:val="20"/>
          <w:szCs w:val="20"/>
        </w:rPr>
        <w:t>, 2023), Legacy IT systems can pose compatibility and scalability issues, making it hard for systems to integrate. Additional issues in the implementation efforts</w:t>
      </w:r>
      <w:r w:rsidR="00266489">
        <w:rPr>
          <w:rFonts w:ascii="Arial" w:hAnsi="Arial" w:cs="Arial"/>
          <w:sz w:val="20"/>
          <w:szCs w:val="20"/>
        </w:rPr>
        <w:t>,</w:t>
      </w:r>
      <w:r w:rsidRPr="007C3D09">
        <w:rPr>
          <w:rFonts w:ascii="Arial" w:hAnsi="Arial" w:cs="Arial"/>
          <w:sz w:val="20"/>
          <w:szCs w:val="20"/>
        </w:rPr>
        <w:t xml:space="preserve"> like concerns of data privacy, algorithmic transparency, and absence of </w:t>
      </w:r>
      <w:proofErr w:type="spellStart"/>
      <w:r w:rsidRPr="007C3D09">
        <w:rPr>
          <w:rFonts w:ascii="Arial" w:hAnsi="Arial" w:cs="Arial"/>
          <w:sz w:val="20"/>
          <w:szCs w:val="20"/>
        </w:rPr>
        <w:t>harmonised</w:t>
      </w:r>
      <w:proofErr w:type="spellEnd"/>
      <w:r w:rsidRPr="007C3D09">
        <w:rPr>
          <w:rFonts w:ascii="Arial" w:hAnsi="Arial" w:cs="Arial"/>
          <w:sz w:val="20"/>
          <w:szCs w:val="20"/>
        </w:rPr>
        <w:t xml:space="preserve"> regulatory frameworks</w:t>
      </w:r>
      <w:r w:rsidR="00266489">
        <w:rPr>
          <w:rFonts w:ascii="Arial" w:hAnsi="Arial" w:cs="Arial"/>
          <w:sz w:val="20"/>
          <w:szCs w:val="20"/>
        </w:rPr>
        <w:t>,</w:t>
      </w:r>
      <w:r w:rsidRPr="007C3D09">
        <w:rPr>
          <w:rFonts w:ascii="Arial" w:hAnsi="Arial" w:cs="Arial"/>
          <w:sz w:val="20"/>
          <w:szCs w:val="20"/>
        </w:rPr>
        <w:t xml:space="preserve"> </w:t>
      </w:r>
      <w:r w:rsidR="00266489">
        <w:rPr>
          <w:rFonts w:ascii="Arial" w:hAnsi="Arial" w:cs="Arial"/>
          <w:sz w:val="20"/>
          <w:szCs w:val="20"/>
        </w:rPr>
        <w:t>add</w:t>
      </w:r>
      <w:r w:rsidRPr="007C3D09">
        <w:rPr>
          <w:rFonts w:ascii="Arial" w:hAnsi="Arial" w:cs="Arial"/>
          <w:sz w:val="20"/>
          <w:szCs w:val="20"/>
        </w:rPr>
        <w:t xml:space="preserve"> to this (Olaiya et al., 2024). Furthermore, the high upfront costs and the requirement for dedicated talent </w:t>
      </w:r>
      <w:r w:rsidR="00266489">
        <w:rPr>
          <w:rFonts w:ascii="Arial" w:hAnsi="Arial" w:cs="Arial"/>
          <w:sz w:val="20"/>
          <w:szCs w:val="20"/>
        </w:rPr>
        <w:t>prevent</w:t>
      </w:r>
      <w:r w:rsidRPr="007C3D09">
        <w:rPr>
          <w:rFonts w:ascii="Arial" w:hAnsi="Arial" w:cs="Arial"/>
          <w:sz w:val="20"/>
          <w:szCs w:val="20"/>
        </w:rPr>
        <w:t xml:space="preserve"> most institutions from themselves in these technologies (Singh, 2022). Nevertheless, as can be seen in successful case studies, especially in the context of anti-money laundering (AML) compliance, RegTech implementation can lead to improved operational efficiency and compliance when </w:t>
      </w:r>
      <w:r w:rsidR="00266489" w:rsidRPr="007C3D09">
        <w:rPr>
          <w:rFonts w:ascii="Arial" w:hAnsi="Arial" w:cs="Arial"/>
          <w:sz w:val="20"/>
          <w:szCs w:val="20"/>
        </w:rPr>
        <w:t>well-integrated</w:t>
      </w:r>
      <w:r w:rsidRPr="007C3D09">
        <w:rPr>
          <w:rFonts w:ascii="Arial" w:hAnsi="Arial" w:cs="Arial"/>
          <w:sz w:val="20"/>
          <w:szCs w:val="20"/>
        </w:rPr>
        <w:t xml:space="preserve"> with the </w:t>
      </w:r>
      <w:proofErr w:type="spellStart"/>
      <w:r w:rsidRPr="007C3D09">
        <w:rPr>
          <w:rFonts w:ascii="Arial" w:hAnsi="Arial" w:cs="Arial"/>
          <w:sz w:val="20"/>
          <w:szCs w:val="20"/>
        </w:rPr>
        <w:t>organisational</w:t>
      </w:r>
      <w:proofErr w:type="spellEnd"/>
      <w:r w:rsidRPr="007C3D09">
        <w:rPr>
          <w:rFonts w:ascii="Arial" w:hAnsi="Arial" w:cs="Arial"/>
          <w:sz w:val="20"/>
          <w:szCs w:val="20"/>
        </w:rPr>
        <w:t xml:space="preserve"> goals (DOUAIHY &amp; Rowe, 2023). This, however, brings forth the possibility of coordinating banks and RegTech providers </w:t>
      </w:r>
      <w:r w:rsidR="00266489">
        <w:rPr>
          <w:rFonts w:ascii="Arial" w:hAnsi="Arial" w:cs="Arial"/>
          <w:sz w:val="20"/>
          <w:szCs w:val="20"/>
        </w:rPr>
        <w:t>using</w:t>
      </w:r>
      <w:r w:rsidRPr="007C3D09">
        <w:rPr>
          <w:rFonts w:ascii="Arial" w:hAnsi="Arial" w:cs="Arial"/>
          <w:sz w:val="20"/>
          <w:szCs w:val="20"/>
        </w:rPr>
        <w:t xml:space="preserve"> strategic cooperation over the barriers that exist (Walshe &amp; Cropper, 2018).</w:t>
      </w:r>
    </w:p>
    <w:p w14:paraId="455DAB54" w14:textId="11E7D353" w:rsidR="00101C5B" w:rsidRPr="00E9050E" w:rsidRDefault="00657C0A" w:rsidP="007C3D09">
      <w:pPr>
        <w:spacing w:after="160" w:line="360" w:lineRule="auto"/>
        <w:jc w:val="both"/>
        <w:rPr>
          <w:rFonts w:ascii="Arial" w:hAnsi="Arial" w:cs="Arial"/>
          <w:b/>
          <w:bCs/>
          <w:sz w:val="20"/>
          <w:szCs w:val="20"/>
        </w:rPr>
      </w:pPr>
      <w:r w:rsidRPr="00E9050E">
        <w:rPr>
          <w:rFonts w:ascii="Arial" w:hAnsi="Arial" w:cs="Arial"/>
          <w:b/>
          <w:bCs/>
          <w:sz w:val="20"/>
          <w:szCs w:val="20"/>
        </w:rPr>
        <w:t>3</w:t>
      </w:r>
      <w:r w:rsidR="00101C5B" w:rsidRPr="00E9050E">
        <w:rPr>
          <w:rFonts w:ascii="Arial" w:hAnsi="Arial" w:cs="Arial"/>
          <w:b/>
          <w:bCs/>
          <w:sz w:val="20"/>
          <w:szCs w:val="20"/>
        </w:rPr>
        <w:t>.3 Blockchain in AML</w:t>
      </w:r>
    </w:p>
    <w:p w14:paraId="19A6A674" w14:textId="19AD8C64" w:rsidR="00B155D5" w:rsidRPr="00B155D5" w:rsidRDefault="00B155D5" w:rsidP="00B155D5">
      <w:pPr>
        <w:spacing w:after="160" w:line="360" w:lineRule="auto"/>
        <w:jc w:val="both"/>
        <w:rPr>
          <w:rFonts w:ascii="Arial" w:hAnsi="Arial" w:cs="Arial"/>
          <w:sz w:val="20"/>
          <w:szCs w:val="20"/>
        </w:rPr>
      </w:pPr>
      <w:r w:rsidRPr="00B155D5">
        <w:rPr>
          <w:rFonts w:ascii="Arial" w:hAnsi="Arial" w:cs="Arial"/>
          <w:sz w:val="20"/>
          <w:szCs w:val="20"/>
        </w:rPr>
        <w:t xml:space="preserve">Blockchain technology greatly enhances the implementation of Anti Money Laundering (AML) compliance as it has the </w:t>
      </w:r>
      <w:proofErr w:type="spellStart"/>
      <w:r w:rsidR="00856A30">
        <w:rPr>
          <w:rFonts w:ascii="Arial" w:hAnsi="Arial" w:cs="Arial"/>
          <w:sz w:val="20"/>
          <w:szCs w:val="20"/>
        </w:rPr>
        <w:t>decentralised</w:t>
      </w:r>
      <w:proofErr w:type="spellEnd"/>
      <w:r w:rsidRPr="00B155D5">
        <w:rPr>
          <w:rFonts w:ascii="Arial" w:hAnsi="Arial" w:cs="Arial"/>
          <w:sz w:val="20"/>
          <w:szCs w:val="20"/>
        </w:rPr>
        <w:t xml:space="preserve">, immutable, transparent, and traceability features that </w:t>
      </w:r>
      <w:r w:rsidR="00856A30" w:rsidRPr="00B155D5">
        <w:rPr>
          <w:rFonts w:ascii="Arial" w:hAnsi="Arial" w:cs="Arial"/>
          <w:sz w:val="20"/>
          <w:szCs w:val="20"/>
        </w:rPr>
        <w:t>give’</w:t>
      </w:r>
      <w:r w:rsidR="00856A30">
        <w:rPr>
          <w:rFonts w:ascii="Arial" w:hAnsi="Arial" w:cs="Arial"/>
          <w:sz w:val="20"/>
          <w:szCs w:val="20"/>
        </w:rPr>
        <w:t xml:space="preserve"> real-time</w:t>
      </w:r>
      <w:r w:rsidRPr="00B155D5">
        <w:rPr>
          <w:rFonts w:ascii="Arial" w:hAnsi="Arial" w:cs="Arial"/>
          <w:sz w:val="20"/>
          <w:szCs w:val="20"/>
        </w:rPr>
        <w:t xml:space="preserve">’ transferability. Such rigidity affords banks and regulators with the capability to supervise fund flows, as well as detect suspicious transactions in </w:t>
      </w:r>
      <w:r w:rsidR="00856A30">
        <w:rPr>
          <w:rFonts w:ascii="Arial" w:hAnsi="Arial" w:cs="Arial"/>
          <w:sz w:val="20"/>
          <w:szCs w:val="20"/>
        </w:rPr>
        <w:t>multi-country</w:t>
      </w:r>
      <w:r w:rsidRPr="00B155D5">
        <w:rPr>
          <w:rFonts w:ascii="Arial" w:hAnsi="Arial" w:cs="Arial"/>
          <w:sz w:val="20"/>
          <w:szCs w:val="20"/>
        </w:rPr>
        <w:t xml:space="preserve"> loan transactions, thereby improving in </w:t>
      </w:r>
      <w:r w:rsidR="00856A30">
        <w:rPr>
          <w:rFonts w:ascii="Arial" w:hAnsi="Arial" w:cs="Arial"/>
          <w:sz w:val="20"/>
          <w:szCs w:val="20"/>
        </w:rPr>
        <w:t>detection</w:t>
      </w:r>
      <w:r w:rsidRPr="00B155D5">
        <w:rPr>
          <w:rFonts w:ascii="Arial" w:hAnsi="Arial" w:cs="Arial"/>
          <w:sz w:val="20"/>
          <w:szCs w:val="20"/>
        </w:rPr>
        <w:t xml:space="preserve"> </w:t>
      </w:r>
      <w:r w:rsidR="00856A30">
        <w:rPr>
          <w:rFonts w:ascii="Arial" w:hAnsi="Arial" w:cs="Arial"/>
          <w:sz w:val="20"/>
          <w:szCs w:val="20"/>
        </w:rPr>
        <w:t xml:space="preserve">of </w:t>
      </w:r>
      <w:r w:rsidRPr="00B155D5">
        <w:rPr>
          <w:rFonts w:ascii="Arial" w:hAnsi="Arial" w:cs="Arial"/>
          <w:sz w:val="20"/>
          <w:szCs w:val="20"/>
        </w:rPr>
        <w:t xml:space="preserve">financial crimes like sanctions evasion and terrorist financing (Jain et al., 2024; Christensen et al., 2023). For instance, implementation of smart contracts also facilitates compliance process automation (Balakrishnan et al., 2024; </w:t>
      </w:r>
      <w:proofErr w:type="spellStart"/>
      <w:r w:rsidRPr="00B155D5">
        <w:rPr>
          <w:rFonts w:ascii="Arial" w:hAnsi="Arial" w:cs="Arial"/>
          <w:sz w:val="20"/>
          <w:szCs w:val="20"/>
        </w:rPr>
        <w:t>Gafarov</w:t>
      </w:r>
      <w:proofErr w:type="spellEnd"/>
      <w:r w:rsidRPr="00B155D5">
        <w:rPr>
          <w:rFonts w:ascii="Arial" w:hAnsi="Arial" w:cs="Arial"/>
          <w:sz w:val="20"/>
          <w:szCs w:val="20"/>
        </w:rPr>
        <w:t xml:space="preserve">, 2024) by flagging or blocking the transactions which meet the criteria specified for AML. Blockchain also offers secure digital </w:t>
      </w:r>
      <w:r w:rsidR="00856A30">
        <w:rPr>
          <w:rFonts w:ascii="Arial" w:hAnsi="Arial" w:cs="Arial"/>
          <w:sz w:val="20"/>
          <w:szCs w:val="20"/>
        </w:rPr>
        <w:t>identity</w:t>
      </w:r>
      <w:r w:rsidRPr="00B155D5">
        <w:rPr>
          <w:rFonts w:ascii="Arial" w:hAnsi="Arial" w:cs="Arial"/>
          <w:sz w:val="20"/>
          <w:szCs w:val="20"/>
        </w:rPr>
        <w:t xml:space="preserve"> management that eliminates Know Your Customer (KYC) processes or fraud risks and creates additional trust in the finance (</w:t>
      </w:r>
      <w:proofErr w:type="spellStart"/>
      <w:r w:rsidRPr="00B155D5">
        <w:rPr>
          <w:rFonts w:ascii="Arial" w:hAnsi="Arial" w:cs="Arial"/>
          <w:sz w:val="20"/>
          <w:szCs w:val="20"/>
        </w:rPr>
        <w:t>Gafarov</w:t>
      </w:r>
      <w:proofErr w:type="spellEnd"/>
      <w:r w:rsidRPr="00B155D5">
        <w:rPr>
          <w:rFonts w:ascii="Arial" w:hAnsi="Arial" w:cs="Arial"/>
          <w:sz w:val="20"/>
          <w:szCs w:val="20"/>
        </w:rPr>
        <w:t xml:space="preserve">, 2024). However, a more serious challenge that must be overcome is the scalability and regulatory integration of the blockchain, especially in terms of AML (Balakrishnan et al., 2024; </w:t>
      </w:r>
      <w:proofErr w:type="spellStart"/>
      <w:r w:rsidRPr="00B155D5">
        <w:rPr>
          <w:rFonts w:ascii="Arial" w:hAnsi="Arial" w:cs="Arial"/>
          <w:sz w:val="20"/>
          <w:szCs w:val="20"/>
        </w:rPr>
        <w:t>Gafarov</w:t>
      </w:r>
      <w:proofErr w:type="spellEnd"/>
      <w:r w:rsidRPr="00B155D5">
        <w:rPr>
          <w:rFonts w:ascii="Arial" w:hAnsi="Arial" w:cs="Arial"/>
          <w:sz w:val="20"/>
          <w:szCs w:val="20"/>
        </w:rPr>
        <w:t>, 2024).</w:t>
      </w:r>
    </w:p>
    <w:p w14:paraId="7ED406EA" w14:textId="393479C9" w:rsidR="00825F97" w:rsidRDefault="00B155D5" w:rsidP="00B155D5">
      <w:pPr>
        <w:spacing w:after="160" w:line="360" w:lineRule="auto"/>
        <w:jc w:val="both"/>
        <w:rPr>
          <w:rFonts w:ascii="Arial" w:hAnsi="Arial" w:cs="Arial"/>
          <w:sz w:val="20"/>
          <w:szCs w:val="20"/>
        </w:rPr>
      </w:pPr>
      <w:r w:rsidRPr="00B155D5">
        <w:rPr>
          <w:rFonts w:ascii="Arial" w:hAnsi="Arial" w:cs="Arial"/>
          <w:sz w:val="20"/>
          <w:szCs w:val="20"/>
        </w:rPr>
        <w:t xml:space="preserve"> </w:t>
      </w:r>
      <w:r>
        <w:rPr>
          <w:rFonts w:ascii="Arial" w:hAnsi="Arial" w:cs="Arial"/>
          <w:sz w:val="20"/>
          <w:szCs w:val="20"/>
        </w:rPr>
        <w:t>T</w:t>
      </w:r>
      <w:r w:rsidRPr="00B155D5">
        <w:rPr>
          <w:rFonts w:ascii="Arial" w:hAnsi="Arial" w:cs="Arial"/>
          <w:sz w:val="20"/>
          <w:szCs w:val="20"/>
        </w:rPr>
        <w:t>he use of blockchain technology comes with lots of challenges in the context of Anti Money Laundering (AML)</w:t>
      </w:r>
      <w:r w:rsidR="00856A30">
        <w:rPr>
          <w:rFonts w:ascii="Arial" w:hAnsi="Arial" w:cs="Arial"/>
          <w:sz w:val="20"/>
          <w:szCs w:val="20"/>
        </w:rPr>
        <w:t>,</w:t>
      </w:r>
      <w:r w:rsidRPr="00B155D5">
        <w:rPr>
          <w:rFonts w:ascii="Arial" w:hAnsi="Arial" w:cs="Arial"/>
          <w:sz w:val="20"/>
          <w:szCs w:val="20"/>
        </w:rPr>
        <w:t xml:space="preserve"> considering the tension between the technology and data protection regulations such as the GDPR. However, while public blockchains are transparent, they also contradict GDPR principles such as data </w:t>
      </w:r>
      <w:proofErr w:type="spellStart"/>
      <w:r w:rsidRPr="00B155D5">
        <w:rPr>
          <w:rFonts w:ascii="Arial" w:hAnsi="Arial" w:cs="Arial"/>
          <w:sz w:val="20"/>
          <w:szCs w:val="20"/>
        </w:rPr>
        <w:t>minimisation</w:t>
      </w:r>
      <w:proofErr w:type="spellEnd"/>
      <w:r w:rsidRPr="00B155D5">
        <w:rPr>
          <w:rFonts w:ascii="Arial" w:hAnsi="Arial" w:cs="Arial"/>
          <w:sz w:val="20"/>
          <w:szCs w:val="20"/>
        </w:rPr>
        <w:t xml:space="preserve"> and the rights to rectification and deletion due to the lack of </w:t>
      </w:r>
      <w:r w:rsidR="00856A30">
        <w:rPr>
          <w:rFonts w:ascii="Arial" w:hAnsi="Arial" w:cs="Arial"/>
          <w:sz w:val="20"/>
          <w:szCs w:val="20"/>
        </w:rPr>
        <w:t xml:space="preserve">a </w:t>
      </w:r>
      <w:r w:rsidRPr="00B155D5">
        <w:rPr>
          <w:rFonts w:ascii="Arial" w:hAnsi="Arial" w:cs="Arial"/>
          <w:sz w:val="20"/>
          <w:szCs w:val="20"/>
        </w:rPr>
        <w:t>central data controller</w:t>
      </w:r>
      <w:r w:rsidR="00856A30">
        <w:rPr>
          <w:rFonts w:ascii="Arial" w:hAnsi="Arial" w:cs="Arial"/>
          <w:sz w:val="20"/>
          <w:szCs w:val="20"/>
        </w:rPr>
        <w:t>,</w:t>
      </w:r>
      <w:r w:rsidRPr="00B155D5">
        <w:rPr>
          <w:rFonts w:ascii="Arial" w:hAnsi="Arial" w:cs="Arial"/>
          <w:sz w:val="20"/>
          <w:szCs w:val="20"/>
        </w:rPr>
        <w:t xml:space="preserve"> making compliance difficult work (Giordano, 2021; </w:t>
      </w:r>
      <w:proofErr w:type="spellStart"/>
      <w:r w:rsidRPr="00B155D5">
        <w:rPr>
          <w:rFonts w:ascii="Arial" w:hAnsi="Arial" w:cs="Arial"/>
          <w:sz w:val="20"/>
          <w:szCs w:val="20"/>
        </w:rPr>
        <w:t>Moerel</w:t>
      </w:r>
      <w:proofErr w:type="spellEnd"/>
      <w:r w:rsidRPr="00B155D5">
        <w:rPr>
          <w:rFonts w:ascii="Arial" w:hAnsi="Arial" w:cs="Arial"/>
          <w:sz w:val="20"/>
          <w:szCs w:val="20"/>
        </w:rPr>
        <w:t xml:space="preserve">, 2018; Wright &amp; </w:t>
      </w:r>
      <w:proofErr w:type="spellStart"/>
      <w:r w:rsidRPr="00B155D5">
        <w:rPr>
          <w:rFonts w:ascii="Arial" w:hAnsi="Arial" w:cs="Arial"/>
          <w:sz w:val="20"/>
          <w:szCs w:val="20"/>
        </w:rPr>
        <w:t>Pilavci</w:t>
      </w:r>
      <w:proofErr w:type="spellEnd"/>
      <w:r w:rsidRPr="00B155D5">
        <w:rPr>
          <w:rFonts w:ascii="Arial" w:hAnsi="Arial" w:cs="Arial"/>
          <w:sz w:val="20"/>
          <w:szCs w:val="20"/>
        </w:rPr>
        <w:t xml:space="preserve">, 2019). Privately or permissioned blockchains provide a more compliant framework but at the cost of most of the </w:t>
      </w:r>
      <w:proofErr w:type="spellStart"/>
      <w:r w:rsidRPr="00B155D5">
        <w:rPr>
          <w:rFonts w:ascii="Arial" w:hAnsi="Arial" w:cs="Arial"/>
          <w:sz w:val="20"/>
          <w:szCs w:val="20"/>
        </w:rPr>
        <w:t>decentralisation</w:t>
      </w:r>
      <w:proofErr w:type="spellEnd"/>
      <w:r w:rsidRPr="00B155D5">
        <w:rPr>
          <w:rFonts w:ascii="Arial" w:hAnsi="Arial" w:cs="Arial"/>
          <w:sz w:val="20"/>
          <w:szCs w:val="20"/>
        </w:rPr>
        <w:t xml:space="preserve"> benefits that </w:t>
      </w:r>
      <w:proofErr w:type="spellStart"/>
      <w:r w:rsidR="00856A30">
        <w:rPr>
          <w:rFonts w:ascii="Arial" w:hAnsi="Arial" w:cs="Arial"/>
          <w:sz w:val="20"/>
          <w:szCs w:val="20"/>
        </w:rPr>
        <w:t>characterise</w:t>
      </w:r>
      <w:proofErr w:type="spellEnd"/>
      <w:r w:rsidRPr="00B155D5">
        <w:rPr>
          <w:rFonts w:ascii="Arial" w:hAnsi="Arial" w:cs="Arial"/>
          <w:sz w:val="20"/>
          <w:szCs w:val="20"/>
        </w:rPr>
        <w:t xml:space="preserve"> blockchain technology (Zentgraf, 2024; </w:t>
      </w:r>
      <w:proofErr w:type="spellStart"/>
      <w:r w:rsidRPr="00B155D5">
        <w:rPr>
          <w:rFonts w:ascii="Arial" w:hAnsi="Arial" w:cs="Arial"/>
          <w:sz w:val="20"/>
          <w:szCs w:val="20"/>
        </w:rPr>
        <w:t>Moerel</w:t>
      </w:r>
      <w:proofErr w:type="spellEnd"/>
      <w:r w:rsidRPr="00B155D5">
        <w:rPr>
          <w:rFonts w:ascii="Arial" w:hAnsi="Arial" w:cs="Arial"/>
          <w:sz w:val="20"/>
          <w:szCs w:val="20"/>
        </w:rPr>
        <w:t xml:space="preserve">, 2018). There are risks in scalability issues because transaction speeds and costs can increase as volume increases (Haque et al., 2021). Additionally, the regulatory acceptance varies across jurisdictions (Giordano, 2021). However, currently, various hybrid models retailing blockchain combined with regulatory technology (RegTech) and conventional compliance devices are in process and could eventually end up in more powerful AML applications </w:t>
      </w:r>
      <w:r w:rsidR="00856A30">
        <w:rPr>
          <w:rFonts w:ascii="Arial" w:hAnsi="Arial" w:cs="Arial"/>
          <w:sz w:val="20"/>
          <w:szCs w:val="20"/>
        </w:rPr>
        <w:t xml:space="preserve">soon </w:t>
      </w:r>
      <w:r w:rsidR="00934BE7" w:rsidRPr="00934BE7">
        <w:rPr>
          <w:rFonts w:ascii="Arial" w:hAnsi="Arial" w:cs="Arial"/>
          <w:sz w:val="20"/>
          <w:szCs w:val="20"/>
        </w:rPr>
        <w:t>(Haque et al., 2021).</w:t>
      </w:r>
    </w:p>
    <w:p w14:paraId="04CE7C72" w14:textId="77777777" w:rsidR="00934BE7" w:rsidRDefault="00934BE7" w:rsidP="00637D25">
      <w:pPr>
        <w:spacing w:after="160" w:line="360" w:lineRule="auto"/>
        <w:jc w:val="both"/>
        <w:rPr>
          <w:rFonts w:ascii="Arial" w:hAnsi="Arial" w:cs="Arial"/>
          <w:sz w:val="20"/>
          <w:szCs w:val="20"/>
        </w:rPr>
      </w:pPr>
    </w:p>
    <w:p w14:paraId="1DA0D1E3" w14:textId="77777777" w:rsidR="00934BE7" w:rsidRPr="00E9050E" w:rsidRDefault="00934BE7" w:rsidP="00637D25">
      <w:pPr>
        <w:spacing w:after="160" w:line="360" w:lineRule="auto"/>
        <w:jc w:val="both"/>
        <w:rPr>
          <w:rFonts w:ascii="Arial" w:hAnsi="Arial" w:cs="Arial"/>
          <w:sz w:val="20"/>
          <w:szCs w:val="20"/>
        </w:rPr>
      </w:pPr>
    </w:p>
    <w:p w14:paraId="75E13D02" w14:textId="6EB07178" w:rsidR="00657C0A" w:rsidRPr="00E9050E" w:rsidRDefault="00657C0A" w:rsidP="00637D25">
      <w:pPr>
        <w:spacing w:after="160" w:line="360" w:lineRule="auto"/>
        <w:jc w:val="center"/>
        <w:rPr>
          <w:rFonts w:ascii="Arial" w:hAnsi="Arial" w:cs="Arial"/>
          <w:sz w:val="20"/>
          <w:szCs w:val="20"/>
        </w:rPr>
      </w:pPr>
      <w:r w:rsidRPr="00E9050E">
        <w:rPr>
          <w:rFonts w:ascii="Arial" w:hAnsi="Arial" w:cs="Arial"/>
          <w:noProof/>
          <w:sz w:val="20"/>
          <w:szCs w:val="20"/>
        </w:rPr>
        <w:lastRenderedPageBreak/>
        <w:drawing>
          <wp:inline distT="0" distB="0" distL="0" distR="0" wp14:anchorId="01FE0474" wp14:editId="1C01B86A">
            <wp:extent cx="5219395" cy="3629247"/>
            <wp:effectExtent l="0" t="0" r="635" b="0"/>
            <wp:docPr id="1025564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6986" cy="3676246"/>
                    </a:xfrm>
                    <a:prstGeom prst="rect">
                      <a:avLst/>
                    </a:prstGeom>
                    <a:noFill/>
                  </pic:spPr>
                </pic:pic>
              </a:graphicData>
            </a:graphic>
          </wp:inline>
        </w:drawing>
      </w:r>
    </w:p>
    <w:p w14:paraId="50B49F75" w14:textId="2435AE55" w:rsidR="001C1CDF" w:rsidRPr="00934BE7" w:rsidRDefault="00657C0A" w:rsidP="00934BE7">
      <w:pPr>
        <w:spacing w:line="360" w:lineRule="auto"/>
        <w:jc w:val="center"/>
        <w:rPr>
          <w:rFonts w:ascii="Arial" w:hAnsi="Arial" w:cs="Arial"/>
          <w:sz w:val="20"/>
          <w:szCs w:val="20"/>
        </w:rPr>
      </w:pPr>
      <w:r w:rsidRPr="00E9050E">
        <w:rPr>
          <w:rFonts w:ascii="Arial" w:hAnsi="Arial" w:cs="Arial"/>
          <w:b/>
          <w:sz w:val="20"/>
          <w:szCs w:val="20"/>
        </w:rPr>
        <w:t>Figure 2:</w:t>
      </w:r>
      <w:r w:rsidRPr="00E9050E">
        <w:rPr>
          <w:rFonts w:ascii="Arial" w:hAnsi="Arial" w:cs="Arial"/>
          <w:sz w:val="20"/>
          <w:szCs w:val="20"/>
        </w:rPr>
        <w:t xml:space="preserve"> Conceptual framework of the study.</w:t>
      </w:r>
    </w:p>
    <w:p w14:paraId="68355978" w14:textId="136CD1AD" w:rsidR="008404D4" w:rsidRPr="00E9050E" w:rsidRDefault="00F6020F" w:rsidP="00637D25">
      <w:pPr>
        <w:spacing w:line="360" w:lineRule="auto"/>
        <w:jc w:val="both"/>
        <w:rPr>
          <w:rFonts w:ascii="Arial" w:hAnsi="Arial" w:cs="Arial"/>
          <w:b/>
          <w:bCs/>
          <w:sz w:val="20"/>
          <w:szCs w:val="20"/>
        </w:rPr>
      </w:pPr>
      <w:r w:rsidRPr="00E9050E">
        <w:rPr>
          <w:rFonts w:ascii="Arial" w:hAnsi="Arial" w:cs="Arial"/>
          <w:b/>
          <w:bCs/>
          <w:sz w:val="20"/>
          <w:szCs w:val="20"/>
        </w:rPr>
        <w:t xml:space="preserve">4.0 </w:t>
      </w:r>
      <w:r w:rsidR="008404D4" w:rsidRPr="00E9050E">
        <w:rPr>
          <w:rFonts w:ascii="Arial" w:hAnsi="Arial" w:cs="Arial"/>
          <w:b/>
          <w:bCs/>
          <w:sz w:val="20"/>
          <w:szCs w:val="20"/>
        </w:rPr>
        <w:t>Results and Discussion</w:t>
      </w:r>
    </w:p>
    <w:p w14:paraId="39C34F97" w14:textId="158786C4" w:rsidR="008404D4" w:rsidRPr="00E9050E" w:rsidRDefault="00F6020F" w:rsidP="00637D25">
      <w:pPr>
        <w:spacing w:line="360" w:lineRule="auto"/>
        <w:jc w:val="both"/>
        <w:rPr>
          <w:rFonts w:ascii="Arial" w:hAnsi="Arial" w:cs="Arial"/>
          <w:b/>
          <w:bCs/>
          <w:sz w:val="20"/>
          <w:szCs w:val="20"/>
        </w:rPr>
      </w:pPr>
      <w:r w:rsidRPr="00E9050E">
        <w:rPr>
          <w:rFonts w:ascii="Arial" w:hAnsi="Arial" w:cs="Arial"/>
          <w:b/>
          <w:bCs/>
          <w:sz w:val="20"/>
          <w:szCs w:val="20"/>
        </w:rPr>
        <w:t xml:space="preserve">4.1 </w:t>
      </w:r>
      <w:r w:rsidR="008404D4" w:rsidRPr="00E9050E">
        <w:rPr>
          <w:rFonts w:ascii="Arial" w:hAnsi="Arial" w:cs="Arial"/>
          <w:b/>
          <w:bCs/>
          <w:sz w:val="20"/>
          <w:szCs w:val="20"/>
        </w:rPr>
        <w:t>Results</w:t>
      </w:r>
    </w:p>
    <w:p w14:paraId="5CD8BEC8" w14:textId="77777777" w:rsidR="00B055C0" w:rsidRDefault="00B055C0" w:rsidP="00637D25">
      <w:pPr>
        <w:spacing w:line="360" w:lineRule="auto"/>
        <w:jc w:val="both"/>
        <w:rPr>
          <w:rFonts w:ascii="Arial" w:hAnsi="Arial" w:cs="Arial"/>
          <w:sz w:val="20"/>
          <w:szCs w:val="20"/>
        </w:rPr>
      </w:pPr>
      <w:r w:rsidRPr="00B055C0">
        <w:rPr>
          <w:rFonts w:ascii="Arial" w:hAnsi="Arial" w:cs="Arial"/>
          <w:sz w:val="20"/>
          <w:szCs w:val="20"/>
        </w:rPr>
        <w:t>The findings of reviewed studies (Table 1 and Figure 3) are presented in this section, classified in four thematic areas that correspond to specific terms of the review: effectiveness of RegTech and blockchain in AML compliance; the results of financial and operational outcomes; key challenges of implementation; and stakeholder engagement, scalability.</w:t>
      </w:r>
    </w:p>
    <w:p w14:paraId="4D50095D" w14:textId="32E38100" w:rsidR="00B303FE" w:rsidRPr="00E9050E" w:rsidRDefault="00B303FE" w:rsidP="00637D25">
      <w:pPr>
        <w:spacing w:line="360" w:lineRule="auto"/>
        <w:jc w:val="both"/>
        <w:rPr>
          <w:rFonts w:ascii="Arial" w:hAnsi="Arial" w:cs="Arial"/>
          <w:b/>
          <w:bCs/>
          <w:sz w:val="20"/>
          <w:szCs w:val="20"/>
        </w:rPr>
      </w:pPr>
      <w:r w:rsidRPr="00E9050E">
        <w:rPr>
          <w:rFonts w:ascii="Arial" w:hAnsi="Arial" w:cs="Arial"/>
          <w:b/>
          <w:bCs/>
          <w:sz w:val="20"/>
          <w:szCs w:val="20"/>
        </w:rPr>
        <w:t>4.1.1 Effectiveness in Enhancing AML Compliance Functions</w:t>
      </w:r>
    </w:p>
    <w:p w14:paraId="2EE97156" w14:textId="6080932F" w:rsidR="00B055C0" w:rsidRDefault="00B055C0" w:rsidP="00637D25">
      <w:pPr>
        <w:spacing w:line="360" w:lineRule="auto"/>
        <w:jc w:val="both"/>
        <w:rPr>
          <w:rFonts w:ascii="Arial" w:hAnsi="Arial" w:cs="Arial"/>
          <w:sz w:val="20"/>
          <w:szCs w:val="20"/>
        </w:rPr>
      </w:pPr>
      <w:r w:rsidRPr="00B055C0">
        <w:rPr>
          <w:rFonts w:ascii="Arial" w:hAnsi="Arial" w:cs="Arial"/>
          <w:sz w:val="20"/>
          <w:szCs w:val="20"/>
        </w:rPr>
        <w:t xml:space="preserve">The goal of this review is to assess the performance improvement on RegTech and blockchain technologies </w:t>
      </w:r>
      <w:r w:rsidR="00C60F22">
        <w:rPr>
          <w:rFonts w:ascii="Arial" w:hAnsi="Arial" w:cs="Arial"/>
          <w:sz w:val="20"/>
          <w:szCs w:val="20"/>
        </w:rPr>
        <w:t>in</w:t>
      </w:r>
      <w:r w:rsidRPr="00B055C0">
        <w:rPr>
          <w:rFonts w:ascii="Arial" w:hAnsi="Arial" w:cs="Arial"/>
          <w:sz w:val="20"/>
          <w:szCs w:val="20"/>
        </w:rPr>
        <w:t xml:space="preserve"> the core AML functions such as KYC, transaction monitoring (TM), customer due diligence (CDD), and regulatory reporting. The most frequent RegTech application across all the reviewed studies was for KYC and reporting accuracy improvement, and that took place especially in a </w:t>
      </w:r>
      <w:proofErr w:type="spellStart"/>
      <w:r>
        <w:rPr>
          <w:rFonts w:ascii="Arial" w:hAnsi="Arial" w:cs="Arial"/>
          <w:sz w:val="20"/>
          <w:szCs w:val="20"/>
        </w:rPr>
        <w:t>centralised</w:t>
      </w:r>
      <w:proofErr w:type="spellEnd"/>
      <w:r w:rsidRPr="00B055C0">
        <w:rPr>
          <w:rFonts w:ascii="Arial" w:hAnsi="Arial" w:cs="Arial"/>
          <w:sz w:val="20"/>
          <w:szCs w:val="20"/>
        </w:rPr>
        <w:t xml:space="preserve"> Banking system. For example, as mentioned by </w:t>
      </w:r>
      <w:proofErr w:type="spellStart"/>
      <w:r w:rsidRPr="00B055C0">
        <w:rPr>
          <w:rFonts w:ascii="Arial" w:hAnsi="Arial" w:cs="Arial"/>
          <w:sz w:val="20"/>
          <w:szCs w:val="20"/>
        </w:rPr>
        <w:t>Meiryani</w:t>
      </w:r>
      <w:proofErr w:type="spellEnd"/>
      <w:r w:rsidRPr="00B055C0">
        <w:rPr>
          <w:rFonts w:ascii="Arial" w:hAnsi="Arial" w:cs="Arial"/>
          <w:sz w:val="20"/>
          <w:szCs w:val="20"/>
        </w:rPr>
        <w:t xml:space="preserve"> et al. (2023)</w:t>
      </w:r>
      <w:r w:rsidR="00C60F22">
        <w:rPr>
          <w:rFonts w:ascii="Arial" w:hAnsi="Arial" w:cs="Arial"/>
          <w:sz w:val="20"/>
          <w:szCs w:val="20"/>
        </w:rPr>
        <w:t>,</w:t>
      </w:r>
      <w:r w:rsidRPr="00B055C0">
        <w:rPr>
          <w:rFonts w:ascii="Arial" w:hAnsi="Arial" w:cs="Arial"/>
          <w:sz w:val="20"/>
          <w:szCs w:val="20"/>
        </w:rPr>
        <w:t xml:space="preserve"> RegTech tools greatly improved AML compliance in Indonesian banks by speeding up their KYC and transaction monitoring. Utami &amp; </w:t>
      </w:r>
      <w:proofErr w:type="spellStart"/>
      <w:r w:rsidRPr="00B055C0">
        <w:rPr>
          <w:rFonts w:ascii="Arial" w:hAnsi="Arial" w:cs="Arial"/>
          <w:sz w:val="20"/>
          <w:szCs w:val="20"/>
        </w:rPr>
        <w:t>Septivani</w:t>
      </w:r>
      <w:proofErr w:type="spellEnd"/>
      <w:r w:rsidRPr="00B055C0">
        <w:rPr>
          <w:rFonts w:ascii="Arial" w:hAnsi="Arial" w:cs="Arial"/>
          <w:sz w:val="20"/>
          <w:szCs w:val="20"/>
        </w:rPr>
        <w:t xml:space="preserve"> (2022) also reported smoother onboarding, faster transaction review process</w:t>
      </w:r>
      <w:r w:rsidR="00C60F22">
        <w:rPr>
          <w:rFonts w:ascii="Arial" w:hAnsi="Arial" w:cs="Arial"/>
          <w:sz w:val="20"/>
          <w:szCs w:val="20"/>
        </w:rPr>
        <w:t>,</w:t>
      </w:r>
      <w:r w:rsidRPr="00B055C0">
        <w:rPr>
          <w:rFonts w:ascii="Arial" w:hAnsi="Arial" w:cs="Arial"/>
          <w:sz w:val="20"/>
          <w:szCs w:val="20"/>
        </w:rPr>
        <w:t xml:space="preserve"> which is an indication of improvement in regulatory efficiency. Grassi &amp; Lanfranchi (2022) confirmed that public and private financial entities carried out easier, more efficient data sharing and compliance reporting due to RegTech implementation. On the blockchain side, however, </w:t>
      </w:r>
      <w:proofErr w:type="spellStart"/>
      <w:r w:rsidRPr="00B055C0">
        <w:rPr>
          <w:rFonts w:ascii="Arial" w:hAnsi="Arial" w:cs="Arial"/>
          <w:sz w:val="20"/>
          <w:szCs w:val="20"/>
        </w:rPr>
        <w:t>Thommandru</w:t>
      </w:r>
      <w:proofErr w:type="spellEnd"/>
      <w:r w:rsidRPr="00B055C0">
        <w:rPr>
          <w:rFonts w:ascii="Arial" w:hAnsi="Arial" w:cs="Arial"/>
          <w:sz w:val="20"/>
          <w:szCs w:val="20"/>
        </w:rPr>
        <w:t xml:space="preserve"> &amp; Chakka (2023) identified the application of distributed ledger technology in improving audit trails and risk flagging of AML monitoring, but the implementation was still at an early stage.</w:t>
      </w:r>
    </w:p>
    <w:p w14:paraId="2C8F0D10" w14:textId="160DEA7D" w:rsidR="00B303FE" w:rsidRPr="00E9050E" w:rsidRDefault="00B303FE" w:rsidP="00637D25">
      <w:pPr>
        <w:spacing w:line="360" w:lineRule="auto"/>
        <w:jc w:val="both"/>
        <w:rPr>
          <w:rFonts w:ascii="Arial" w:hAnsi="Arial" w:cs="Arial"/>
          <w:b/>
          <w:bCs/>
          <w:sz w:val="20"/>
          <w:szCs w:val="20"/>
        </w:rPr>
      </w:pPr>
      <w:r w:rsidRPr="00E9050E">
        <w:rPr>
          <w:rFonts w:ascii="Arial" w:hAnsi="Arial" w:cs="Arial"/>
          <w:b/>
          <w:bCs/>
          <w:sz w:val="20"/>
          <w:szCs w:val="20"/>
        </w:rPr>
        <w:t>4.1.2 Financial and Operational Outcomes of Implementation</w:t>
      </w:r>
    </w:p>
    <w:p w14:paraId="062A54B0" w14:textId="2F8BDD14" w:rsidR="00B87316" w:rsidRPr="00E9050E" w:rsidRDefault="00C60F22" w:rsidP="00637D25">
      <w:pPr>
        <w:spacing w:line="360" w:lineRule="auto"/>
        <w:jc w:val="both"/>
        <w:rPr>
          <w:rFonts w:ascii="Arial" w:hAnsi="Arial" w:cs="Arial"/>
          <w:sz w:val="20"/>
          <w:szCs w:val="20"/>
        </w:rPr>
      </w:pPr>
      <w:r w:rsidRPr="00C60F22">
        <w:rPr>
          <w:rFonts w:ascii="Arial" w:hAnsi="Arial" w:cs="Arial"/>
          <w:sz w:val="20"/>
          <w:szCs w:val="20"/>
        </w:rPr>
        <w:lastRenderedPageBreak/>
        <w:t xml:space="preserve">A few case studies demonstrate that positive financial and operational results have also been obtained from integrating technology into AML processes. The typical report of these outcomes tended to focus on cost reduction, efficiency gains, and automation of compliance. The collaborative use of RegTech in Italian banks was presented by </w:t>
      </w:r>
      <w:proofErr w:type="spellStart"/>
      <w:r w:rsidRPr="00C60F22">
        <w:rPr>
          <w:rFonts w:ascii="Arial" w:hAnsi="Arial" w:cs="Arial"/>
          <w:sz w:val="20"/>
          <w:szCs w:val="20"/>
        </w:rPr>
        <w:t>Battanta</w:t>
      </w:r>
      <w:proofErr w:type="spellEnd"/>
      <w:r w:rsidRPr="00C60F22">
        <w:rPr>
          <w:rFonts w:ascii="Arial" w:hAnsi="Arial" w:cs="Arial"/>
          <w:sz w:val="20"/>
          <w:szCs w:val="20"/>
        </w:rPr>
        <w:t xml:space="preserve"> et al. (2020) as strong evidence of reductions in compliance costs</w:t>
      </w:r>
      <w:r w:rsidR="007C2EAF">
        <w:rPr>
          <w:rFonts w:ascii="Arial" w:hAnsi="Arial" w:cs="Arial"/>
          <w:sz w:val="20"/>
          <w:szCs w:val="20"/>
        </w:rPr>
        <w:t>,</w:t>
      </w:r>
      <w:r w:rsidRPr="00C60F22">
        <w:rPr>
          <w:rFonts w:ascii="Arial" w:hAnsi="Arial" w:cs="Arial"/>
          <w:sz w:val="20"/>
          <w:szCs w:val="20"/>
        </w:rPr>
        <w:t xml:space="preserve"> while synergies in monitoring speed development. Von Solms (2021) also reported how the use of RegTech was able to bring measurable cost and process automation to the transformation of a South African bank treasury. </w:t>
      </w:r>
      <w:proofErr w:type="spellStart"/>
      <w:r w:rsidR="007C2EAF" w:rsidRPr="007C2EAF">
        <w:rPr>
          <w:rFonts w:ascii="Arial" w:hAnsi="Arial" w:cs="Arial"/>
          <w:color w:val="000000" w:themeColor="text1"/>
          <w:sz w:val="20"/>
          <w:szCs w:val="20"/>
        </w:rPr>
        <w:t>Cucari</w:t>
      </w:r>
      <w:proofErr w:type="spellEnd"/>
      <w:r w:rsidR="007C2EAF" w:rsidRPr="007C2EAF">
        <w:rPr>
          <w:rFonts w:ascii="Arial" w:hAnsi="Arial" w:cs="Arial"/>
          <w:color w:val="000000" w:themeColor="text1"/>
          <w:sz w:val="20"/>
          <w:szCs w:val="20"/>
        </w:rPr>
        <w:t xml:space="preserve"> et al. (2022) exhibited that the adoption of blockchain in the Interbank Spunta project not only increases the transparency of transactions but is accompanied </w:t>
      </w:r>
      <w:r w:rsidR="007C2EAF">
        <w:rPr>
          <w:rFonts w:ascii="Arial" w:hAnsi="Arial" w:cs="Arial"/>
          <w:color w:val="000000" w:themeColor="text1"/>
          <w:sz w:val="20"/>
          <w:szCs w:val="20"/>
        </w:rPr>
        <w:t>by</w:t>
      </w:r>
      <w:r w:rsidR="007C2EAF" w:rsidRPr="007C2EAF">
        <w:rPr>
          <w:rFonts w:ascii="Arial" w:hAnsi="Arial" w:cs="Arial"/>
          <w:color w:val="000000" w:themeColor="text1"/>
          <w:sz w:val="20"/>
          <w:szCs w:val="20"/>
        </w:rPr>
        <w:t xml:space="preserve"> substantial gains in reconciling tasks. Although conceptual, Mohamed &amp; Yildirim (2021) also mentioned that RegTech will aid in reducing manual workload and compliance resource demands at several global financial institutions. On the other hand, </w:t>
      </w:r>
      <w:proofErr w:type="spellStart"/>
      <w:r w:rsidR="007C2EAF" w:rsidRPr="007C2EAF">
        <w:rPr>
          <w:rFonts w:ascii="Arial" w:hAnsi="Arial" w:cs="Arial"/>
          <w:color w:val="000000" w:themeColor="text1"/>
          <w:sz w:val="20"/>
          <w:szCs w:val="20"/>
        </w:rPr>
        <w:t>Bakhos</w:t>
      </w:r>
      <w:proofErr w:type="spellEnd"/>
      <w:r w:rsidR="007C2EAF" w:rsidRPr="007C2EAF">
        <w:rPr>
          <w:rFonts w:ascii="Arial" w:hAnsi="Arial" w:cs="Arial"/>
          <w:color w:val="000000" w:themeColor="text1"/>
          <w:sz w:val="20"/>
          <w:szCs w:val="20"/>
        </w:rPr>
        <w:t xml:space="preserve"> </w:t>
      </w:r>
      <w:proofErr w:type="spellStart"/>
      <w:r w:rsidR="007C2EAF" w:rsidRPr="007C2EAF">
        <w:rPr>
          <w:rFonts w:ascii="Arial" w:hAnsi="Arial" w:cs="Arial"/>
          <w:color w:val="000000" w:themeColor="text1"/>
          <w:sz w:val="20"/>
          <w:szCs w:val="20"/>
        </w:rPr>
        <w:t>Douaihy</w:t>
      </w:r>
      <w:proofErr w:type="spellEnd"/>
      <w:r w:rsidR="007C2EAF" w:rsidRPr="007C2EAF">
        <w:rPr>
          <w:rFonts w:ascii="Arial" w:hAnsi="Arial" w:cs="Arial"/>
          <w:color w:val="000000" w:themeColor="text1"/>
          <w:sz w:val="20"/>
          <w:szCs w:val="20"/>
        </w:rPr>
        <w:t xml:space="preserve"> &amp; Rowe (2023) and Turki et al. (2020) did not report overarching financial benefits from fintech implementation, due to implementation in its early stages or barriers in the context</w:t>
      </w:r>
      <w:r w:rsidR="007C2EAF">
        <w:rPr>
          <w:rFonts w:ascii="Arial" w:hAnsi="Arial" w:cs="Arial"/>
          <w:color w:val="000000" w:themeColor="text1"/>
          <w:sz w:val="20"/>
          <w:szCs w:val="20"/>
        </w:rPr>
        <w:t>,</w:t>
      </w:r>
      <w:r w:rsidR="007C2EAF" w:rsidRPr="007C2EAF">
        <w:rPr>
          <w:rFonts w:ascii="Arial" w:hAnsi="Arial" w:cs="Arial"/>
          <w:color w:val="000000" w:themeColor="text1"/>
          <w:sz w:val="20"/>
          <w:szCs w:val="20"/>
        </w:rPr>
        <w:t xml:space="preserve"> such as geopolitical instability and AML procedures in the sector.</w:t>
      </w:r>
    </w:p>
    <w:p w14:paraId="581E122A" w14:textId="2CF9CC96" w:rsidR="00B303FE" w:rsidRPr="00E9050E" w:rsidRDefault="00B303FE" w:rsidP="00637D25">
      <w:pPr>
        <w:spacing w:line="360" w:lineRule="auto"/>
        <w:jc w:val="both"/>
        <w:rPr>
          <w:rFonts w:ascii="Arial" w:hAnsi="Arial" w:cs="Arial"/>
          <w:b/>
          <w:bCs/>
          <w:sz w:val="20"/>
          <w:szCs w:val="20"/>
        </w:rPr>
      </w:pPr>
      <w:r w:rsidRPr="00E9050E">
        <w:rPr>
          <w:rFonts w:ascii="Arial" w:hAnsi="Arial" w:cs="Arial"/>
          <w:b/>
          <w:bCs/>
          <w:sz w:val="20"/>
          <w:szCs w:val="20"/>
        </w:rPr>
        <w:t>4.1.3 Key Operational and Regulatory Challenges</w:t>
      </w:r>
    </w:p>
    <w:p w14:paraId="60A0B76F" w14:textId="02496099" w:rsidR="007C2EAF" w:rsidRDefault="007C2EAF" w:rsidP="00F50CDE">
      <w:pPr>
        <w:spacing w:line="360" w:lineRule="auto"/>
        <w:jc w:val="both"/>
        <w:rPr>
          <w:rFonts w:ascii="Arial" w:hAnsi="Arial" w:cs="Arial"/>
          <w:sz w:val="20"/>
          <w:szCs w:val="20"/>
        </w:rPr>
      </w:pPr>
      <w:r w:rsidRPr="007C2EAF">
        <w:rPr>
          <w:rFonts w:ascii="Arial" w:hAnsi="Arial" w:cs="Arial"/>
          <w:sz w:val="20"/>
          <w:szCs w:val="20"/>
        </w:rPr>
        <w:t xml:space="preserve">The studies contain a key theme of the implementation challenges that impede the scalability and success of RegTech and blockchain solutions. They include technological, </w:t>
      </w:r>
      <w:proofErr w:type="spellStart"/>
      <w:r w:rsidRPr="007C2EAF">
        <w:rPr>
          <w:rFonts w:ascii="Arial" w:hAnsi="Arial" w:cs="Arial"/>
          <w:sz w:val="20"/>
          <w:szCs w:val="20"/>
        </w:rPr>
        <w:t>organisational</w:t>
      </w:r>
      <w:proofErr w:type="spellEnd"/>
      <w:r w:rsidRPr="007C2EAF">
        <w:rPr>
          <w:rFonts w:ascii="Arial" w:hAnsi="Arial" w:cs="Arial"/>
          <w:sz w:val="20"/>
          <w:szCs w:val="20"/>
        </w:rPr>
        <w:t xml:space="preserve"> and jurisdictional obstacles. Von Solms (2021) mentioned some of the common barriers</w:t>
      </w:r>
      <w:r w:rsidR="000D34E9">
        <w:rPr>
          <w:rFonts w:ascii="Arial" w:hAnsi="Arial" w:cs="Arial"/>
          <w:sz w:val="20"/>
          <w:szCs w:val="20"/>
        </w:rPr>
        <w:t>,</w:t>
      </w:r>
      <w:r w:rsidRPr="007C2EAF">
        <w:rPr>
          <w:rFonts w:ascii="Arial" w:hAnsi="Arial" w:cs="Arial"/>
          <w:sz w:val="20"/>
          <w:szCs w:val="20"/>
        </w:rPr>
        <w:t xml:space="preserve"> like legacy system integration, while Mohamed &amp; Yildirim (2021) mentioned </w:t>
      </w:r>
      <w:proofErr w:type="spellStart"/>
      <w:r>
        <w:rPr>
          <w:rFonts w:ascii="Arial" w:hAnsi="Arial" w:cs="Arial"/>
          <w:sz w:val="20"/>
          <w:szCs w:val="20"/>
        </w:rPr>
        <w:t>organisational</w:t>
      </w:r>
      <w:proofErr w:type="spellEnd"/>
      <w:r w:rsidRPr="007C2EAF">
        <w:rPr>
          <w:rFonts w:ascii="Arial" w:hAnsi="Arial" w:cs="Arial"/>
          <w:sz w:val="20"/>
          <w:szCs w:val="20"/>
        </w:rPr>
        <w:t xml:space="preserve"> resistance and </w:t>
      </w:r>
      <w:r>
        <w:rPr>
          <w:rFonts w:ascii="Arial" w:hAnsi="Arial" w:cs="Arial"/>
          <w:sz w:val="20"/>
          <w:szCs w:val="20"/>
        </w:rPr>
        <w:t>not being</w:t>
      </w:r>
      <w:r w:rsidRPr="007C2EAF">
        <w:rPr>
          <w:rFonts w:ascii="Arial" w:hAnsi="Arial" w:cs="Arial"/>
          <w:sz w:val="20"/>
          <w:szCs w:val="20"/>
        </w:rPr>
        <w:t xml:space="preserve"> ready for the transformation. Grassi &amp; Lanfranchi (2022) and Gurung &amp; Perlman (2018) identified gaps in the infrastructure and coordination problems of the public sector implementation of RegTech. </w:t>
      </w:r>
      <w:proofErr w:type="spellStart"/>
      <w:r w:rsidRPr="007C2EAF">
        <w:rPr>
          <w:rFonts w:ascii="Arial" w:hAnsi="Arial" w:cs="Arial"/>
          <w:sz w:val="20"/>
          <w:szCs w:val="20"/>
        </w:rPr>
        <w:t>Bakhos</w:t>
      </w:r>
      <w:proofErr w:type="spellEnd"/>
      <w:r w:rsidRPr="007C2EAF">
        <w:rPr>
          <w:rFonts w:ascii="Arial" w:hAnsi="Arial" w:cs="Arial"/>
          <w:sz w:val="20"/>
          <w:szCs w:val="20"/>
        </w:rPr>
        <w:t xml:space="preserve"> </w:t>
      </w:r>
      <w:proofErr w:type="spellStart"/>
      <w:r w:rsidRPr="007C2EAF">
        <w:rPr>
          <w:rFonts w:ascii="Arial" w:hAnsi="Arial" w:cs="Arial"/>
          <w:sz w:val="20"/>
          <w:szCs w:val="20"/>
        </w:rPr>
        <w:t>Douaihy</w:t>
      </w:r>
      <w:proofErr w:type="spellEnd"/>
      <w:r w:rsidRPr="007C2EAF">
        <w:rPr>
          <w:rFonts w:ascii="Arial" w:hAnsi="Arial" w:cs="Arial"/>
          <w:sz w:val="20"/>
          <w:szCs w:val="20"/>
        </w:rPr>
        <w:t xml:space="preserve"> &amp; Rowe (2023) </w:t>
      </w:r>
      <w:proofErr w:type="spellStart"/>
      <w:r>
        <w:rPr>
          <w:rFonts w:ascii="Arial" w:hAnsi="Arial" w:cs="Arial"/>
          <w:sz w:val="20"/>
          <w:szCs w:val="20"/>
        </w:rPr>
        <w:t>emphasised</w:t>
      </w:r>
      <w:proofErr w:type="spellEnd"/>
      <w:r w:rsidRPr="007C2EAF">
        <w:rPr>
          <w:rFonts w:ascii="Arial" w:hAnsi="Arial" w:cs="Arial"/>
          <w:sz w:val="20"/>
          <w:szCs w:val="20"/>
        </w:rPr>
        <w:t xml:space="preserve"> that external geopolitical instability in Lebanon had been a barrier to consistent adoption. According to </w:t>
      </w:r>
      <w:proofErr w:type="spellStart"/>
      <w:r w:rsidRPr="007C2EAF">
        <w:rPr>
          <w:rFonts w:ascii="Arial" w:hAnsi="Arial" w:cs="Arial"/>
          <w:sz w:val="20"/>
          <w:szCs w:val="20"/>
        </w:rPr>
        <w:t>Thommandru</w:t>
      </w:r>
      <w:proofErr w:type="spellEnd"/>
      <w:r w:rsidRPr="007C2EAF">
        <w:rPr>
          <w:rFonts w:ascii="Arial" w:hAnsi="Arial" w:cs="Arial"/>
          <w:sz w:val="20"/>
          <w:szCs w:val="20"/>
        </w:rPr>
        <w:t xml:space="preserve"> &amp; Chakka (2023), on the ledger side, there is legal and regulatory uncertainty that leads to further institutional barriers. Turki et al. (2020) also documented the complexity of the AML regulation by recording the </w:t>
      </w:r>
      <w:r>
        <w:rPr>
          <w:rFonts w:ascii="Arial" w:hAnsi="Arial" w:cs="Arial"/>
          <w:sz w:val="20"/>
          <w:szCs w:val="20"/>
        </w:rPr>
        <w:t>sector-specific</w:t>
      </w:r>
      <w:r w:rsidRPr="007C2EAF">
        <w:rPr>
          <w:rFonts w:ascii="Arial" w:hAnsi="Arial" w:cs="Arial"/>
          <w:sz w:val="20"/>
          <w:szCs w:val="20"/>
        </w:rPr>
        <w:t xml:space="preserve"> complexity of the AML regulation</w:t>
      </w:r>
      <w:r>
        <w:rPr>
          <w:rFonts w:ascii="Arial" w:hAnsi="Arial" w:cs="Arial"/>
          <w:sz w:val="20"/>
          <w:szCs w:val="20"/>
        </w:rPr>
        <w:t>,</w:t>
      </w:r>
      <w:r w:rsidRPr="007C2EAF">
        <w:rPr>
          <w:rFonts w:ascii="Arial" w:hAnsi="Arial" w:cs="Arial"/>
          <w:sz w:val="20"/>
          <w:szCs w:val="20"/>
        </w:rPr>
        <w:t xml:space="preserve"> particularly in Islamic finance contexts and identified the necessity of custom RegTech solutions for different compliance regimes.</w:t>
      </w:r>
    </w:p>
    <w:p w14:paraId="1A4714EE" w14:textId="19D6CDC5" w:rsidR="00F50CDE" w:rsidRPr="00E9050E" w:rsidRDefault="00F50CDE" w:rsidP="00F50CDE">
      <w:pPr>
        <w:spacing w:line="360" w:lineRule="auto"/>
        <w:jc w:val="both"/>
        <w:rPr>
          <w:rFonts w:ascii="Arial" w:hAnsi="Arial" w:cs="Arial"/>
          <w:b/>
          <w:bCs/>
          <w:sz w:val="20"/>
          <w:szCs w:val="20"/>
        </w:rPr>
      </w:pPr>
      <w:r w:rsidRPr="00E9050E">
        <w:rPr>
          <w:rFonts w:ascii="Arial" w:hAnsi="Arial" w:cs="Arial"/>
          <w:b/>
          <w:bCs/>
          <w:sz w:val="20"/>
          <w:szCs w:val="20"/>
        </w:rPr>
        <w:t>4.1.4 Stakeholder Engagement and Scalability Potential</w:t>
      </w:r>
    </w:p>
    <w:p w14:paraId="71417749" w14:textId="48B1FE5D" w:rsidR="00F50CDE" w:rsidRDefault="00EC7367" w:rsidP="00637D25">
      <w:pPr>
        <w:spacing w:line="360" w:lineRule="auto"/>
        <w:jc w:val="both"/>
        <w:rPr>
          <w:rFonts w:ascii="Arial" w:hAnsi="Arial" w:cs="Arial"/>
          <w:sz w:val="20"/>
          <w:szCs w:val="20"/>
        </w:rPr>
      </w:pPr>
      <w:r w:rsidRPr="00EC7367">
        <w:rPr>
          <w:rFonts w:ascii="Arial" w:hAnsi="Arial" w:cs="Arial"/>
          <w:sz w:val="20"/>
          <w:szCs w:val="20"/>
        </w:rPr>
        <w:t xml:space="preserve">This review then finally concluded on the degree of regulatory </w:t>
      </w:r>
      <w:r w:rsidR="000D34E9" w:rsidRPr="00EC7367">
        <w:rPr>
          <w:rFonts w:ascii="Arial" w:hAnsi="Arial" w:cs="Arial"/>
          <w:sz w:val="20"/>
          <w:szCs w:val="20"/>
        </w:rPr>
        <w:t>engagement;</w:t>
      </w:r>
      <w:r w:rsidRPr="00EC7367">
        <w:rPr>
          <w:rFonts w:ascii="Arial" w:hAnsi="Arial" w:cs="Arial"/>
          <w:sz w:val="20"/>
          <w:szCs w:val="20"/>
        </w:rPr>
        <w:t xml:space="preserve"> however, it focused on the extent of scalability across different case studies. Collaborative efforts between the financial institution and the regulator were most successful, whereas others were more </w:t>
      </w:r>
      <w:r w:rsidR="000D34E9">
        <w:rPr>
          <w:rFonts w:ascii="Arial" w:hAnsi="Arial" w:cs="Arial"/>
          <w:sz w:val="20"/>
          <w:szCs w:val="20"/>
        </w:rPr>
        <w:t>industry-led</w:t>
      </w:r>
      <w:r w:rsidRPr="00EC7367">
        <w:rPr>
          <w:rFonts w:ascii="Arial" w:hAnsi="Arial" w:cs="Arial"/>
          <w:sz w:val="20"/>
          <w:szCs w:val="20"/>
        </w:rPr>
        <w:t xml:space="preserve"> or </w:t>
      </w:r>
      <w:r w:rsidR="000D34E9">
        <w:rPr>
          <w:rFonts w:ascii="Arial" w:hAnsi="Arial" w:cs="Arial"/>
          <w:sz w:val="20"/>
          <w:szCs w:val="20"/>
        </w:rPr>
        <w:t>regulator-driven</w:t>
      </w:r>
      <w:r w:rsidRPr="00EC7367">
        <w:rPr>
          <w:rFonts w:ascii="Arial" w:hAnsi="Arial" w:cs="Arial"/>
          <w:sz w:val="20"/>
          <w:szCs w:val="20"/>
        </w:rPr>
        <w:t xml:space="preserve">. For example, </w:t>
      </w:r>
      <w:proofErr w:type="spellStart"/>
      <w:r w:rsidRPr="00EC7367">
        <w:rPr>
          <w:rFonts w:ascii="Arial" w:hAnsi="Arial" w:cs="Arial"/>
          <w:sz w:val="20"/>
          <w:szCs w:val="20"/>
        </w:rPr>
        <w:t>Meiryani</w:t>
      </w:r>
      <w:proofErr w:type="spellEnd"/>
      <w:r w:rsidRPr="00EC7367">
        <w:rPr>
          <w:rFonts w:ascii="Arial" w:hAnsi="Arial" w:cs="Arial"/>
          <w:sz w:val="20"/>
          <w:szCs w:val="20"/>
        </w:rPr>
        <w:t xml:space="preserve"> et al. (2023) and </w:t>
      </w:r>
      <w:proofErr w:type="spellStart"/>
      <w:r w:rsidRPr="00EC7367">
        <w:rPr>
          <w:rFonts w:ascii="Arial" w:hAnsi="Arial" w:cs="Arial"/>
          <w:sz w:val="20"/>
          <w:szCs w:val="20"/>
        </w:rPr>
        <w:t>Utmi</w:t>
      </w:r>
      <w:proofErr w:type="spellEnd"/>
      <w:r w:rsidRPr="00EC7367">
        <w:rPr>
          <w:rFonts w:ascii="Arial" w:hAnsi="Arial" w:cs="Arial"/>
          <w:sz w:val="20"/>
          <w:szCs w:val="20"/>
        </w:rPr>
        <w:t xml:space="preserve"> &amp; </w:t>
      </w:r>
      <w:proofErr w:type="spellStart"/>
      <w:r w:rsidRPr="00EC7367">
        <w:rPr>
          <w:rFonts w:ascii="Arial" w:hAnsi="Arial" w:cs="Arial"/>
          <w:sz w:val="20"/>
          <w:szCs w:val="20"/>
        </w:rPr>
        <w:t>Septivani</w:t>
      </w:r>
      <w:proofErr w:type="spellEnd"/>
      <w:r w:rsidRPr="00EC7367">
        <w:rPr>
          <w:rFonts w:ascii="Arial" w:hAnsi="Arial" w:cs="Arial"/>
          <w:sz w:val="20"/>
          <w:szCs w:val="20"/>
        </w:rPr>
        <w:t xml:space="preserve"> (2022) also described cooperative frames between banks and regulators in Indonesia to drive the implementation of RegTech tools smoothly. According to Grassi &amp; Lanfranchi (2022), public-private collaboration was necessary </w:t>
      </w:r>
      <w:r w:rsidR="000D34E9">
        <w:rPr>
          <w:rFonts w:ascii="Arial" w:hAnsi="Arial" w:cs="Arial"/>
          <w:sz w:val="20"/>
          <w:szCs w:val="20"/>
        </w:rPr>
        <w:t>to</w:t>
      </w:r>
      <w:r w:rsidRPr="00EC7367">
        <w:rPr>
          <w:rFonts w:ascii="Arial" w:hAnsi="Arial" w:cs="Arial"/>
          <w:sz w:val="20"/>
          <w:szCs w:val="20"/>
        </w:rPr>
        <w:t xml:space="preserve"> achieve scalable outcomes. On the other hand, cases like </w:t>
      </w:r>
      <w:proofErr w:type="spellStart"/>
      <w:r w:rsidRPr="00EC7367">
        <w:rPr>
          <w:rFonts w:ascii="Arial" w:hAnsi="Arial" w:cs="Arial"/>
          <w:sz w:val="20"/>
          <w:szCs w:val="20"/>
        </w:rPr>
        <w:t>Bakhos</w:t>
      </w:r>
      <w:proofErr w:type="spellEnd"/>
      <w:r w:rsidRPr="00EC7367">
        <w:rPr>
          <w:rFonts w:ascii="Arial" w:hAnsi="Arial" w:cs="Arial"/>
          <w:sz w:val="20"/>
          <w:szCs w:val="20"/>
        </w:rPr>
        <w:t xml:space="preserve"> </w:t>
      </w:r>
      <w:proofErr w:type="spellStart"/>
      <w:r w:rsidRPr="00EC7367">
        <w:rPr>
          <w:rFonts w:ascii="Arial" w:hAnsi="Arial" w:cs="Arial"/>
          <w:sz w:val="20"/>
          <w:szCs w:val="20"/>
        </w:rPr>
        <w:t>Douaihy</w:t>
      </w:r>
      <w:proofErr w:type="spellEnd"/>
      <w:r w:rsidRPr="00EC7367">
        <w:rPr>
          <w:rFonts w:ascii="Arial" w:hAnsi="Arial" w:cs="Arial"/>
          <w:sz w:val="20"/>
          <w:szCs w:val="20"/>
        </w:rPr>
        <w:t xml:space="preserve"> &amp; Rowe (2023) or Gurung &amp; Perlman (2018) are </w:t>
      </w:r>
      <w:proofErr w:type="spellStart"/>
      <w:r w:rsidR="000D34E9">
        <w:rPr>
          <w:rFonts w:ascii="Arial" w:hAnsi="Arial" w:cs="Arial"/>
          <w:sz w:val="20"/>
          <w:szCs w:val="20"/>
        </w:rPr>
        <w:t>favourable</w:t>
      </w:r>
      <w:proofErr w:type="spellEnd"/>
      <w:r w:rsidRPr="00EC7367">
        <w:rPr>
          <w:rFonts w:ascii="Arial" w:hAnsi="Arial" w:cs="Arial"/>
          <w:sz w:val="20"/>
          <w:szCs w:val="20"/>
        </w:rPr>
        <w:t xml:space="preserve"> as </w:t>
      </w:r>
      <w:r w:rsidR="000D34E9">
        <w:rPr>
          <w:rFonts w:ascii="Arial" w:hAnsi="Arial" w:cs="Arial"/>
          <w:sz w:val="20"/>
          <w:szCs w:val="20"/>
        </w:rPr>
        <w:t>regulator-led</w:t>
      </w:r>
      <w:r w:rsidRPr="00EC7367">
        <w:rPr>
          <w:rFonts w:ascii="Arial" w:hAnsi="Arial" w:cs="Arial"/>
          <w:sz w:val="20"/>
          <w:szCs w:val="20"/>
        </w:rPr>
        <w:t xml:space="preserve"> cases</w:t>
      </w:r>
      <w:r w:rsidR="000D34E9">
        <w:rPr>
          <w:rFonts w:ascii="Arial" w:hAnsi="Arial" w:cs="Arial"/>
          <w:sz w:val="20"/>
          <w:szCs w:val="20"/>
        </w:rPr>
        <w:t>,</w:t>
      </w:r>
      <w:r w:rsidRPr="00EC7367">
        <w:rPr>
          <w:rFonts w:ascii="Arial" w:hAnsi="Arial" w:cs="Arial"/>
          <w:sz w:val="20"/>
          <w:szCs w:val="20"/>
        </w:rPr>
        <w:t xml:space="preserve"> but the structural inefficiency of these cases does not permit </w:t>
      </w:r>
      <w:r w:rsidR="000D34E9">
        <w:rPr>
          <w:rFonts w:ascii="Arial" w:hAnsi="Arial" w:cs="Arial"/>
          <w:sz w:val="20"/>
          <w:szCs w:val="20"/>
        </w:rPr>
        <w:t>their</w:t>
      </w:r>
      <w:r w:rsidRPr="00EC7367">
        <w:rPr>
          <w:rFonts w:ascii="Arial" w:hAnsi="Arial" w:cs="Arial"/>
          <w:sz w:val="20"/>
          <w:szCs w:val="20"/>
        </w:rPr>
        <w:t xml:space="preserve"> broader impact. The examined studies have different scalability levels. </w:t>
      </w:r>
      <w:proofErr w:type="spellStart"/>
      <w:r w:rsidRPr="00EC7367">
        <w:rPr>
          <w:rFonts w:ascii="Arial" w:hAnsi="Arial" w:cs="Arial"/>
          <w:sz w:val="20"/>
          <w:szCs w:val="20"/>
        </w:rPr>
        <w:t>Battanta</w:t>
      </w:r>
      <w:proofErr w:type="spellEnd"/>
      <w:r w:rsidRPr="00EC7367">
        <w:rPr>
          <w:rFonts w:ascii="Arial" w:hAnsi="Arial" w:cs="Arial"/>
          <w:sz w:val="20"/>
          <w:szCs w:val="20"/>
        </w:rPr>
        <w:t xml:space="preserve"> et al. (2020) and Rambaud and </w:t>
      </w:r>
      <w:proofErr w:type="spellStart"/>
      <w:r w:rsidRPr="00EC7367">
        <w:rPr>
          <w:rFonts w:ascii="Arial" w:hAnsi="Arial" w:cs="Arial"/>
          <w:sz w:val="20"/>
          <w:szCs w:val="20"/>
        </w:rPr>
        <w:t>Gazquez</w:t>
      </w:r>
      <w:proofErr w:type="spellEnd"/>
      <w:r w:rsidRPr="00EC7367">
        <w:rPr>
          <w:rFonts w:ascii="Arial" w:hAnsi="Arial" w:cs="Arial"/>
          <w:sz w:val="20"/>
          <w:szCs w:val="20"/>
        </w:rPr>
        <w:t xml:space="preserve"> (2022) showed that </w:t>
      </w:r>
      <w:proofErr w:type="spellStart"/>
      <w:r w:rsidR="000D34E9">
        <w:rPr>
          <w:rFonts w:ascii="Arial" w:hAnsi="Arial" w:cs="Arial"/>
          <w:sz w:val="20"/>
          <w:szCs w:val="20"/>
        </w:rPr>
        <w:t>decentralisation</w:t>
      </w:r>
      <w:proofErr w:type="spellEnd"/>
      <w:r w:rsidRPr="00EC7367">
        <w:rPr>
          <w:rFonts w:ascii="Arial" w:hAnsi="Arial" w:cs="Arial"/>
          <w:sz w:val="20"/>
          <w:szCs w:val="20"/>
        </w:rPr>
        <w:t xml:space="preserve"> is highly scalable and there is strong institutional alignment. As opposed to this, Turki et al. (2020) and Utami &amp; </w:t>
      </w:r>
      <w:proofErr w:type="spellStart"/>
      <w:r w:rsidRPr="00EC7367">
        <w:rPr>
          <w:rFonts w:ascii="Arial" w:hAnsi="Arial" w:cs="Arial"/>
          <w:sz w:val="20"/>
          <w:szCs w:val="20"/>
        </w:rPr>
        <w:t>Septivani</w:t>
      </w:r>
      <w:proofErr w:type="spellEnd"/>
      <w:r w:rsidRPr="00EC7367">
        <w:rPr>
          <w:rFonts w:ascii="Arial" w:hAnsi="Arial" w:cs="Arial"/>
          <w:sz w:val="20"/>
          <w:szCs w:val="20"/>
        </w:rPr>
        <w:t xml:space="preserve"> (2022) concluded </w:t>
      </w:r>
      <w:r w:rsidR="000D34E9">
        <w:rPr>
          <w:rFonts w:ascii="Arial" w:hAnsi="Arial" w:cs="Arial"/>
          <w:sz w:val="20"/>
          <w:szCs w:val="20"/>
        </w:rPr>
        <w:t xml:space="preserve">that </w:t>
      </w:r>
      <w:r w:rsidRPr="00EC7367">
        <w:rPr>
          <w:rFonts w:ascii="Arial" w:hAnsi="Arial" w:cs="Arial"/>
          <w:sz w:val="20"/>
          <w:szCs w:val="20"/>
        </w:rPr>
        <w:t xml:space="preserve">scalability </w:t>
      </w:r>
      <w:r w:rsidR="000D34E9">
        <w:rPr>
          <w:rFonts w:ascii="Arial" w:hAnsi="Arial" w:cs="Arial"/>
          <w:sz w:val="20"/>
          <w:szCs w:val="20"/>
        </w:rPr>
        <w:t>is</w:t>
      </w:r>
      <w:r w:rsidRPr="00EC7367">
        <w:rPr>
          <w:rFonts w:ascii="Arial" w:hAnsi="Arial" w:cs="Arial"/>
          <w:sz w:val="20"/>
          <w:szCs w:val="20"/>
        </w:rPr>
        <w:t xml:space="preserve"> low because funding constraints and disjointed regulatory systems have impeded execution.</w:t>
      </w:r>
    </w:p>
    <w:p w14:paraId="07F68B4A" w14:textId="015868BB" w:rsidR="00EC7367" w:rsidRPr="00E9050E" w:rsidRDefault="00EC7367" w:rsidP="00637D25">
      <w:pPr>
        <w:spacing w:line="360" w:lineRule="auto"/>
        <w:jc w:val="both"/>
        <w:rPr>
          <w:rFonts w:ascii="Arial" w:hAnsi="Arial" w:cs="Arial"/>
          <w:b/>
          <w:bCs/>
          <w:sz w:val="20"/>
          <w:szCs w:val="20"/>
        </w:rPr>
        <w:sectPr w:rsidR="00EC7367" w:rsidRPr="00E9050E" w:rsidSect="00825F97">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pPr>
    </w:p>
    <w:p w14:paraId="270C51E4" w14:textId="77777777" w:rsidR="00825F97" w:rsidRPr="00E9050E" w:rsidRDefault="00825F97" w:rsidP="00637D25">
      <w:pPr>
        <w:spacing w:line="360" w:lineRule="auto"/>
        <w:jc w:val="both"/>
        <w:rPr>
          <w:rFonts w:ascii="Arial" w:hAnsi="Arial" w:cs="Arial"/>
          <w:b/>
          <w:bCs/>
          <w:sz w:val="20"/>
          <w:szCs w:val="20"/>
        </w:rPr>
      </w:pPr>
    </w:p>
    <w:p w14:paraId="56D71233" w14:textId="11744AA1" w:rsidR="00086450" w:rsidRPr="00E9050E" w:rsidRDefault="00FC42E2" w:rsidP="00637D25">
      <w:pPr>
        <w:spacing w:line="360" w:lineRule="auto"/>
        <w:jc w:val="center"/>
        <w:rPr>
          <w:rFonts w:ascii="Arial" w:hAnsi="Arial" w:cs="Arial"/>
          <w:b/>
          <w:bCs/>
          <w:sz w:val="20"/>
          <w:szCs w:val="20"/>
        </w:rPr>
      </w:pPr>
      <w:r w:rsidRPr="00E9050E">
        <w:rPr>
          <w:rFonts w:ascii="Arial" w:hAnsi="Arial" w:cs="Arial"/>
          <w:b/>
          <w:bCs/>
          <w:sz w:val="20"/>
          <w:szCs w:val="20"/>
        </w:rPr>
        <w:t>Table 1</w:t>
      </w:r>
      <w:r w:rsidR="00235A3E" w:rsidRPr="00E9050E">
        <w:rPr>
          <w:rFonts w:ascii="Arial" w:hAnsi="Arial" w:cs="Arial"/>
          <w:b/>
          <w:bCs/>
          <w:sz w:val="20"/>
          <w:szCs w:val="20"/>
        </w:rPr>
        <w:t>: Expanded Comparative Table – Case-Based Studies on RegTech and Blockchain Integration for AML Compliance</w:t>
      </w:r>
    </w:p>
    <w:tbl>
      <w:tblPr>
        <w:tblStyle w:val="TableGrid"/>
        <w:tblW w:w="1461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6"/>
        <w:gridCol w:w="1327"/>
        <w:gridCol w:w="1011"/>
        <w:gridCol w:w="1239"/>
        <w:gridCol w:w="1598"/>
        <w:gridCol w:w="1364"/>
        <w:gridCol w:w="1467"/>
        <w:gridCol w:w="1287"/>
        <w:gridCol w:w="1428"/>
        <w:gridCol w:w="1340"/>
        <w:gridCol w:w="1239"/>
      </w:tblGrid>
      <w:tr w:rsidR="00052AF0" w:rsidRPr="00E9050E" w14:paraId="7BE81016" w14:textId="77777777" w:rsidTr="00F7614A">
        <w:tc>
          <w:tcPr>
            <w:tcW w:w="1316" w:type="dxa"/>
            <w:tcBorders>
              <w:top w:val="single" w:sz="4" w:space="0" w:color="auto"/>
              <w:bottom w:val="single" w:sz="4" w:space="0" w:color="auto"/>
            </w:tcBorders>
          </w:tcPr>
          <w:p w14:paraId="44227E80" w14:textId="64E4CFB9" w:rsidR="00961846" w:rsidRPr="00E9050E" w:rsidRDefault="00961846" w:rsidP="001C1CDF">
            <w:pPr>
              <w:spacing w:line="480" w:lineRule="auto"/>
              <w:jc w:val="both"/>
              <w:rPr>
                <w:rFonts w:ascii="Arial" w:hAnsi="Arial" w:cs="Arial"/>
                <w:b/>
                <w:bCs/>
                <w:sz w:val="20"/>
                <w:szCs w:val="20"/>
              </w:rPr>
            </w:pPr>
            <w:r w:rsidRPr="00E9050E">
              <w:rPr>
                <w:rFonts w:ascii="Arial" w:hAnsi="Arial" w:cs="Arial"/>
                <w:b/>
                <w:bCs/>
                <w:sz w:val="20"/>
                <w:szCs w:val="20"/>
              </w:rPr>
              <w:t xml:space="preserve">Citation </w:t>
            </w:r>
          </w:p>
        </w:tc>
        <w:tc>
          <w:tcPr>
            <w:tcW w:w="1327" w:type="dxa"/>
            <w:tcBorders>
              <w:top w:val="single" w:sz="4" w:space="0" w:color="auto"/>
              <w:bottom w:val="single" w:sz="4" w:space="0" w:color="auto"/>
            </w:tcBorders>
          </w:tcPr>
          <w:p w14:paraId="2DC00006" w14:textId="4DC04A07" w:rsidR="00961846" w:rsidRPr="00E9050E" w:rsidRDefault="00961846" w:rsidP="001C1CDF">
            <w:pPr>
              <w:spacing w:line="480" w:lineRule="auto"/>
              <w:jc w:val="both"/>
              <w:rPr>
                <w:rFonts w:ascii="Arial" w:hAnsi="Arial" w:cs="Arial"/>
                <w:b/>
                <w:bCs/>
                <w:sz w:val="20"/>
                <w:szCs w:val="20"/>
              </w:rPr>
            </w:pPr>
            <w:r w:rsidRPr="00E9050E">
              <w:rPr>
                <w:rFonts w:ascii="Arial" w:hAnsi="Arial" w:cs="Arial"/>
                <w:b/>
                <w:bCs/>
                <w:sz w:val="20"/>
                <w:szCs w:val="20"/>
              </w:rPr>
              <w:t>Tech Used</w:t>
            </w:r>
          </w:p>
        </w:tc>
        <w:tc>
          <w:tcPr>
            <w:tcW w:w="1011" w:type="dxa"/>
            <w:tcBorders>
              <w:top w:val="single" w:sz="4" w:space="0" w:color="auto"/>
              <w:bottom w:val="single" w:sz="4" w:space="0" w:color="auto"/>
            </w:tcBorders>
          </w:tcPr>
          <w:p w14:paraId="39CDA2A6" w14:textId="77777777" w:rsidR="00961846" w:rsidRPr="00E9050E" w:rsidRDefault="00961846" w:rsidP="001C1CDF">
            <w:pPr>
              <w:spacing w:line="480" w:lineRule="auto"/>
              <w:jc w:val="both"/>
              <w:rPr>
                <w:rFonts w:ascii="Arial" w:hAnsi="Arial" w:cs="Arial"/>
                <w:b/>
                <w:bCs/>
                <w:sz w:val="20"/>
                <w:szCs w:val="20"/>
              </w:rPr>
            </w:pPr>
            <w:r w:rsidRPr="00E9050E">
              <w:rPr>
                <w:rFonts w:ascii="Arial" w:hAnsi="Arial" w:cs="Arial"/>
                <w:b/>
                <w:bCs/>
                <w:sz w:val="20"/>
                <w:szCs w:val="20"/>
              </w:rPr>
              <w:t>Region / Context</w:t>
            </w:r>
          </w:p>
        </w:tc>
        <w:tc>
          <w:tcPr>
            <w:tcW w:w="1239" w:type="dxa"/>
            <w:tcBorders>
              <w:top w:val="single" w:sz="4" w:space="0" w:color="auto"/>
              <w:bottom w:val="single" w:sz="4" w:space="0" w:color="auto"/>
            </w:tcBorders>
          </w:tcPr>
          <w:p w14:paraId="20E58430" w14:textId="77777777" w:rsidR="00961846" w:rsidRPr="00E9050E" w:rsidRDefault="00961846" w:rsidP="001C1CDF">
            <w:pPr>
              <w:spacing w:line="480" w:lineRule="auto"/>
              <w:jc w:val="both"/>
              <w:rPr>
                <w:rFonts w:ascii="Arial" w:hAnsi="Arial" w:cs="Arial"/>
                <w:b/>
                <w:bCs/>
                <w:sz w:val="20"/>
                <w:szCs w:val="20"/>
              </w:rPr>
            </w:pPr>
            <w:r w:rsidRPr="00E9050E">
              <w:rPr>
                <w:rFonts w:ascii="Arial" w:hAnsi="Arial" w:cs="Arial"/>
                <w:b/>
                <w:bCs/>
                <w:sz w:val="20"/>
                <w:szCs w:val="20"/>
              </w:rPr>
              <w:t>Institution Type</w:t>
            </w:r>
          </w:p>
        </w:tc>
        <w:tc>
          <w:tcPr>
            <w:tcW w:w="1598" w:type="dxa"/>
            <w:tcBorders>
              <w:top w:val="single" w:sz="4" w:space="0" w:color="auto"/>
              <w:bottom w:val="single" w:sz="4" w:space="0" w:color="auto"/>
            </w:tcBorders>
          </w:tcPr>
          <w:p w14:paraId="200CDCA9" w14:textId="77777777" w:rsidR="00961846" w:rsidRPr="00E9050E" w:rsidRDefault="00961846" w:rsidP="001C1CDF">
            <w:pPr>
              <w:spacing w:line="480" w:lineRule="auto"/>
              <w:jc w:val="both"/>
              <w:rPr>
                <w:rFonts w:ascii="Arial" w:hAnsi="Arial" w:cs="Arial"/>
                <w:b/>
                <w:bCs/>
                <w:sz w:val="20"/>
                <w:szCs w:val="20"/>
              </w:rPr>
            </w:pPr>
            <w:r w:rsidRPr="00E9050E">
              <w:rPr>
                <w:rFonts w:ascii="Arial" w:hAnsi="Arial" w:cs="Arial"/>
                <w:b/>
                <w:bCs/>
                <w:sz w:val="20"/>
                <w:szCs w:val="20"/>
              </w:rPr>
              <w:t>AML Functions Targeted</w:t>
            </w:r>
          </w:p>
        </w:tc>
        <w:tc>
          <w:tcPr>
            <w:tcW w:w="1364" w:type="dxa"/>
            <w:tcBorders>
              <w:top w:val="single" w:sz="4" w:space="0" w:color="auto"/>
              <w:bottom w:val="single" w:sz="4" w:space="0" w:color="auto"/>
            </w:tcBorders>
          </w:tcPr>
          <w:p w14:paraId="287A1437" w14:textId="77777777" w:rsidR="00961846" w:rsidRPr="00E9050E" w:rsidRDefault="00961846" w:rsidP="001C1CDF">
            <w:pPr>
              <w:spacing w:line="480" w:lineRule="auto"/>
              <w:jc w:val="both"/>
              <w:rPr>
                <w:rFonts w:ascii="Arial" w:hAnsi="Arial" w:cs="Arial"/>
                <w:b/>
                <w:bCs/>
                <w:sz w:val="20"/>
                <w:szCs w:val="20"/>
              </w:rPr>
            </w:pPr>
            <w:r w:rsidRPr="00E9050E">
              <w:rPr>
                <w:rFonts w:ascii="Arial" w:hAnsi="Arial" w:cs="Arial"/>
                <w:b/>
                <w:bCs/>
                <w:sz w:val="20"/>
                <w:szCs w:val="20"/>
              </w:rPr>
              <w:t>Financial Metrics Reported</w:t>
            </w:r>
          </w:p>
        </w:tc>
        <w:tc>
          <w:tcPr>
            <w:tcW w:w="1467" w:type="dxa"/>
            <w:tcBorders>
              <w:top w:val="single" w:sz="4" w:space="0" w:color="auto"/>
              <w:bottom w:val="single" w:sz="4" w:space="0" w:color="auto"/>
            </w:tcBorders>
          </w:tcPr>
          <w:p w14:paraId="6E664D22" w14:textId="77777777" w:rsidR="00961846" w:rsidRPr="00E9050E" w:rsidRDefault="00961846" w:rsidP="001C1CDF">
            <w:pPr>
              <w:spacing w:line="480" w:lineRule="auto"/>
              <w:jc w:val="both"/>
              <w:rPr>
                <w:rFonts w:ascii="Arial" w:hAnsi="Arial" w:cs="Arial"/>
                <w:b/>
                <w:bCs/>
                <w:sz w:val="20"/>
                <w:szCs w:val="20"/>
              </w:rPr>
            </w:pPr>
            <w:r w:rsidRPr="00E9050E">
              <w:rPr>
                <w:rFonts w:ascii="Arial" w:hAnsi="Arial" w:cs="Arial"/>
                <w:b/>
                <w:bCs/>
                <w:sz w:val="20"/>
                <w:szCs w:val="20"/>
              </w:rPr>
              <w:t>Focus / Outcomes</w:t>
            </w:r>
          </w:p>
        </w:tc>
        <w:tc>
          <w:tcPr>
            <w:tcW w:w="1287" w:type="dxa"/>
            <w:tcBorders>
              <w:top w:val="single" w:sz="4" w:space="0" w:color="auto"/>
              <w:bottom w:val="single" w:sz="4" w:space="0" w:color="auto"/>
            </w:tcBorders>
          </w:tcPr>
          <w:p w14:paraId="43C19C56" w14:textId="77777777" w:rsidR="00961846" w:rsidRPr="00E9050E" w:rsidRDefault="00961846" w:rsidP="001C1CDF">
            <w:pPr>
              <w:spacing w:line="480" w:lineRule="auto"/>
              <w:jc w:val="both"/>
              <w:rPr>
                <w:rFonts w:ascii="Arial" w:hAnsi="Arial" w:cs="Arial"/>
                <w:b/>
                <w:bCs/>
                <w:sz w:val="20"/>
                <w:szCs w:val="20"/>
              </w:rPr>
            </w:pPr>
            <w:r w:rsidRPr="00E9050E">
              <w:rPr>
                <w:rFonts w:ascii="Arial" w:hAnsi="Arial" w:cs="Arial"/>
                <w:b/>
                <w:bCs/>
                <w:sz w:val="20"/>
                <w:szCs w:val="20"/>
              </w:rPr>
              <w:t>Challenges Noted</w:t>
            </w:r>
          </w:p>
        </w:tc>
        <w:tc>
          <w:tcPr>
            <w:tcW w:w="1428" w:type="dxa"/>
            <w:tcBorders>
              <w:top w:val="single" w:sz="4" w:space="0" w:color="auto"/>
              <w:bottom w:val="single" w:sz="4" w:space="0" w:color="auto"/>
            </w:tcBorders>
          </w:tcPr>
          <w:p w14:paraId="75976EB3" w14:textId="77777777" w:rsidR="00961846" w:rsidRPr="00E9050E" w:rsidRDefault="00961846" w:rsidP="001C1CDF">
            <w:pPr>
              <w:spacing w:line="480" w:lineRule="auto"/>
              <w:jc w:val="both"/>
              <w:rPr>
                <w:rFonts w:ascii="Arial" w:hAnsi="Arial" w:cs="Arial"/>
                <w:b/>
                <w:bCs/>
                <w:sz w:val="20"/>
                <w:szCs w:val="20"/>
              </w:rPr>
            </w:pPr>
            <w:r w:rsidRPr="00E9050E">
              <w:rPr>
                <w:rFonts w:ascii="Arial" w:hAnsi="Arial" w:cs="Arial"/>
                <w:b/>
                <w:bCs/>
                <w:sz w:val="20"/>
                <w:szCs w:val="20"/>
              </w:rPr>
              <w:t>Regulatory Engagement</w:t>
            </w:r>
          </w:p>
        </w:tc>
        <w:tc>
          <w:tcPr>
            <w:tcW w:w="1340" w:type="dxa"/>
            <w:tcBorders>
              <w:top w:val="single" w:sz="4" w:space="0" w:color="auto"/>
              <w:bottom w:val="single" w:sz="4" w:space="0" w:color="auto"/>
            </w:tcBorders>
          </w:tcPr>
          <w:p w14:paraId="4D7EB29A" w14:textId="77777777" w:rsidR="00961846" w:rsidRPr="00E9050E" w:rsidRDefault="00961846" w:rsidP="001C1CDF">
            <w:pPr>
              <w:spacing w:line="480" w:lineRule="auto"/>
              <w:jc w:val="both"/>
              <w:rPr>
                <w:rFonts w:ascii="Arial" w:hAnsi="Arial" w:cs="Arial"/>
                <w:b/>
                <w:bCs/>
                <w:sz w:val="20"/>
                <w:szCs w:val="20"/>
              </w:rPr>
            </w:pPr>
            <w:r w:rsidRPr="00E9050E">
              <w:rPr>
                <w:rFonts w:ascii="Arial" w:hAnsi="Arial" w:cs="Arial"/>
                <w:b/>
                <w:bCs/>
                <w:sz w:val="20"/>
                <w:szCs w:val="20"/>
              </w:rPr>
              <w:t>Impact Assessment Type</w:t>
            </w:r>
          </w:p>
        </w:tc>
        <w:tc>
          <w:tcPr>
            <w:tcW w:w="1239" w:type="dxa"/>
            <w:tcBorders>
              <w:top w:val="single" w:sz="4" w:space="0" w:color="auto"/>
              <w:bottom w:val="single" w:sz="4" w:space="0" w:color="auto"/>
            </w:tcBorders>
          </w:tcPr>
          <w:p w14:paraId="1096953D" w14:textId="77777777" w:rsidR="00961846" w:rsidRPr="00E9050E" w:rsidRDefault="00961846" w:rsidP="001C1CDF">
            <w:pPr>
              <w:spacing w:line="480" w:lineRule="auto"/>
              <w:jc w:val="both"/>
              <w:rPr>
                <w:rFonts w:ascii="Arial" w:hAnsi="Arial" w:cs="Arial"/>
                <w:b/>
                <w:bCs/>
                <w:sz w:val="20"/>
                <w:szCs w:val="20"/>
              </w:rPr>
            </w:pPr>
            <w:r w:rsidRPr="00E9050E">
              <w:rPr>
                <w:rFonts w:ascii="Arial" w:hAnsi="Arial" w:cs="Arial"/>
                <w:b/>
                <w:bCs/>
                <w:sz w:val="20"/>
                <w:szCs w:val="20"/>
              </w:rPr>
              <w:t>Scalability</w:t>
            </w:r>
          </w:p>
        </w:tc>
      </w:tr>
      <w:tr w:rsidR="00052AF0" w:rsidRPr="00E9050E" w14:paraId="25F62C53" w14:textId="77777777" w:rsidTr="00F7614A">
        <w:tc>
          <w:tcPr>
            <w:tcW w:w="1316" w:type="dxa"/>
            <w:tcBorders>
              <w:top w:val="single" w:sz="4" w:space="0" w:color="auto"/>
            </w:tcBorders>
          </w:tcPr>
          <w:p w14:paraId="0AB35959" w14:textId="77777777" w:rsidR="00961846" w:rsidRPr="00E9050E" w:rsidRDefault="00961846" w:rsidP="001C1CDF">
            <w:pPr>
              <w:spacing w:line="480" w:lineRule="auto"/>
              <w:jc w:val="both"/>
              <w:rPr>
                <w:rFonts w:ascii="Arial" w:hAnsi="Arial" w:cs="Arial"/>
                <w:b/>
                <w:bCs/>
                <w:sz w:val="20"/>
                <w:szCs w:val="20"/>
              </w:rPr>
            </w:pPr>
            <w:proofErr w:type="spellStart"/>
            <w:r w:rsidRPr="00E9050E">
              <w:rPr>
                <w:rFonts w:ascii="Arial" w:hAnsi="Arial" w:cs="Arial"/>
                <w:b/>
                <w:bCs/>
                <w:sz w:val="20"/>
                <w:szCs w:val="20"/>
              </w:rPr>
              <w:t>Bakhos</w:t>
            </w:r>
            <w:proofErr w:type="spellEnd"/>
            <w:r w:rsidRPr="00E9050E">
              <w:rPr>
                <w:rFonts w:ascii="Arial" w:hAnsi="Arial" w:cs="Arial"/>
                <w:b/>
                <w:bCs/>
                <w:sz w:val="20"/>
                <w:szCs w:val="20"/>
              </w:rPr>
              <w:t xml:space="preserve"> </w:t>
            </w:r>
            <w:proofErr w:type="spellStart"/>
            <w:r w:rsidRPr="00E9050E">
              <w:rPr>
                <w:rFonts w:ascii="Arial" w:hAnsi="Arial" w:cs="Arial"/>
                <w:b/>
                <w:bCs/>
                <w:sz w:val="20"/>
                <w:szCs w:val="20"/>
              </w:rPr>
              <w:t>Douaihy</w:t>
            </w:r>
            <w:proofErr w:type="spellEnd"/>
            <w:r w:rsidRPr="00E9050E">
              <w:rPr>
                <w:rFonts w:ascii="Arial" w:hAnsi="Arial" w:cs="Arial"/>
                <w:b/>
                <w:bCs/>
                <w:sz w:val="20"/>
                <w:szCs w:val="20"/>
              </w:rPr>
              <w:t xml:space="preserve"> &amp; Rowe (2023)</w:t>
            </w:r>
          </w:p>
        </w:tc>
        <w:tc>
          <w:tcPr>
            <w:tcW w:w="1327" w:type="dxa"/>
            <w:tcBorders>
              <w:top w:val="single" w:sz="4" w:space="0" w:color="auto"/>
            </w:tcBorders>
          </w:tcPr>
          <w:p w14:paraId="1D77670D"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RegTech-only</w:t>
            </w:r>
          </w:p>
        </w:tc>
        <w:tc>
          <w:tcPr>
            <w:tcW w:w="1011" w:type="dxa"/>
            <w:tcBorders>
              <w:top w:val="single" w:sz="4" w:space="0" w:color="auto"/>
            </w:tcBorders>
          </w:tcPr>
          <w:p w14:paraId="08B92EA6"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Lebanon</w:t>
            </w:r>
          </w:p>
        </w:tc>
        <w:tc>
          <w:tcPr>
            <w:tcW w:w="1239" w:type="dxa"/>
            <w:tcBorders>
              <w:top w:val="single" w:sz="4" w:space="0" w:color="auto"/>
            </w:tcBorders>
          </w:tcPr>
          <w:p w14:paraId="433F5060"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Banks</w:t>
            </w:r>
          </w:p>
        </w:tc>
        <w:tc>
          <w:tcPr>
            <w:tcW w:w="1598" w:type="dxa"/>
            <w:tcBorders>
              <w:top w:val="single" w:sz="4" w:space="0" w:color="auto"/>
            </w:tcBorders>
          </w:tcPr>
          <w:p w14:paraId="6EFB43F2"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Screening, Reporting</w:t>
            </w:r>
          </w:p>
        </w:tc>
        <w:tc>
          <w:tcPr>
            <w:tcW w:w="1364" w:type="dxa"/>
            <w:tcBorders>
              <w:top w:val="single" w:sz="4" w:space="0" w:color="auto"/>
            </w:tcBorders>
          </w:tcPr>
          <w:p w14:paraId="386A8949"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No</w:t>
            </w:r>
          </w:p>
        </w:tc>
        <w:tc>
          <w:tcPr>
            <w:tcW w:w="1467" w:type="dxa"/>
            <w:tcBorders>
              <w:top w:val="single" w:sz="4" w:space="0" w:color="auto"/>
            </w:tcBorders>
          </w:tcPr>
          <w:p w14:paraId="6A217E6C"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RegTech under institutional pressures</w:t>
            </w:r>
          </w:p>
        </w:tc>
        <w:tc>
          <w:tcPr>
            <w:tcW w:w="1287" w:type="dxa"/>
            <w:tcBorders>
              <w:top w:val="single" w:sz="4" w:space="0" w:color="auto"/>
            </w:tcBorders>
          </w:tcPr>
          <w:p w14:paraId="21FBEB53"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Geopolitical instability</w:t>
            </w:r>
          </w:p>
        </w:tc>
        <w:tc>
          <w:tcPr>
            <w:tcW w:w="1428" w:type="dxa"/>
            <w:tcBorders>
              <w:top w:val="single" w:sz="4" w:space="0" w:color="auto"/>
            </w:tcBorders>
          </w:tcPr>
          <w:p w14:paraId="587F8CD1"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Regulator-led</w:t>
            </w:r>
          </w:p>
        </w:tc>
        <w:tc>
          <w:tcPr>
            <w:tcW w:w="1340" w:type="dxa"/>
            <w:tcBorders>
              <w:top w:val="single" w:sz="4" w:space="0" w:color="auto"/>
            </w:tcBorders>
          </w:tcPr>
          <w:p w14:paraId="304A1A93"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Qualitative</w:t>
            </w:r>
          </w:p>
        </w:tc>
        <w:tc>
          <w:tcPr>
            <w:tcW w:w="1239" w:type="dxa"/>
            <w:tcBorders>
              <w:top w:val="single" w:sz="4" w:space="0" w:color="auto"/>
            </w:tcBorders>
          </w:tcPr>
          <w:p w14:paraId="25EA3B6B"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Low</w:t>
            </w:r>
          </w:p>
        </w:tc>
      </w:tr>
      <w:tr w:rsidR="00052AF0" w:rsidRPr="00E9050E" w14:paraId="327EBA2C" w14:textId="77777777" w:rsidTr="00F7614A">
        <w:tc>
          <w:tcPr>
            <w:tcW w:w="1316" w:type="dxa"/>
          </w:tcPr>
          <w:p w14:paraId="70007652" w14:textId="77777777" w:rsidR="00961846" w:rsidRPr="00E9050E" w:rsidRDefault="00961846" w:rsidP="001C1CDF">
            <w:pPr>
              <w:spacing w:line="480" w:lineRule="auto"/>
              <w:jc w:val="both"/>
              <w:rPr>
                <w:rFonts w:ascii="Arial" w:hAnsi="Arial" w:cs="Arial"/>
                <w:b/>
                <w:bCs/>
                <w:sz w:val="20"/>
                <w:szCs w:val="20"/>
              </w:rPr>
            </w:pPr>
            <w:proofErr w:type="spellStart"/>
            <w:r w:rsidRPr="00E9050E">
              <w:rPr>
                <w:rFonts w:ascii="Arial" w:hAnsi="Arial" w:cs="Arial"/>
                <w:b/>
                <w:bCs/>
                <w:sz w:val="20"/>
                <w:szCs w:val="20"/>
              </w:rPr>
              <w:t>Battanta</w:t>
            </w:r>
            <w:proofErr w:type="spellEnd"/>
            <w:r w:rsidRPr="00E9050E">
              <w:rPr>
                <w:rFonts w:ascii="Arial" w:hAnsi="Arial" w:cs="Arial"/>
                <w:b/>
                <w:bCs/>
                <w:sz w:val="20"/>
                <w:szCs w:val="20"/>
              </w:rPr>
              <w:t xml:space="preserve"> et al. (2020)</w:t>
            </w:r>
          </w:p>
        </w:tc>
        <w:tc>
          <w:tcPr>
            <w:tcW w:w="1327" w:type="dxa"/>
          </w:tcPr>
          <w:p w14:paraId="031DEAC5"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RegTech-only</w:t>
            </w:r>
          </w:p>
        </w:tc>
        <w:tc>
          <w:tcPr>
            <w:tcW w:w="1011" w:type="dxa"/>
          </w:tcPr>
          <w:p w14:paraId="2DC43653"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Italy</w:t>
            </w:r>
          </w:p>
        </w:tc>
        <w:tc>
          <w:tcPr>
            <w:tcW w:w="1239" w:type="dxa"/>
          </w:tcPr>
          <w:p w14:paraId="5B64CED1"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Multiple Banks</w:t>
            </w:r>
          </w:p>
        </w:tc>
        <w:tc>
          <w:tcPr>
            <w:tcW w:w="1598" w:type="dxa"/>
          </w:tcPr>
          <w:p w14:paraId="455F0F67"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KYC, TM</w:t>
            </w:r>
          </w:p>
        </w:tc>
        <w:tc>
          <w:tcPr>
            <w:tcW w:w="1364" w:type="dxa"/>
          </w:tcPr>
          <w:p w14:paraId="6ADEB656"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Yes – Operational cost insights</w:t>
            </w:r>
          </w:p>
        </w:tc>
        <w:tc>
          <w:tcPr>
            <w:tcW w:w="1467" w:type="dxa"/>
          </w:tcPr>
          <w:p w14:paraId="7D05EBDD"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RegTech adoption with banks</w:t>
            </w:r>
          </w:p>
        </w:tc>
        <w:tc>
          <w:tcPr>
            <w:tcW w:w="1287" w:type="dxa"/>
          </w:tcPr>
          <w:p w14:paraId="2D7698D1"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Vendor &amp; system mismatch</w:t>
            </w:r>
          </w:p>
        </w:tc>
        <w:tc>
          <w:tcPr>
            <w:tcW w:w="1428" w:type="dxa"/>
          </w:tcPr>
          <w:p w14:paraId="39D16231"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Industry-led</w:t>
            </w:r>
          </w:p>
        </w:tc>
        <w:tc>
          <w:tcPr>
            <w:tcW w:w="1340" w:type="dxa"/>
          </w:tcPr>
          <w:p w14:paraId="30B0CA98"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Qualitative</w:t>
            </w:r>
          </w:p>
        </w:tc>
        <w:tc>
          <w:tcPr>
            <w:tcW w:w="1239" w:type="dxa"/>
          </w:tcPr>
          <w:p w14:paraId="0958E610"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High</w:t>
            </w:r>
          </w:p>
        </w:tc>
      </w:tr>
      <w:tr w:rsidR="000B2C34" w:rsidRPr="00E9050E" w14:paraId="3AADBEBB" w14:textId="77777777" w:rsidTr="00F7614A">
        <w:tc>
          <w:tcPr>
            <w:tcW w:w="1316" w:type="dxa"/>
          </w:tcPr>
          <w:p w14:paraId="536F6187" w14:textId="49CBF967" w:rsidR="000B2C34" w:rsidRPr="00E9050E" w:rsidRDefault="000B2C34" w:rsidP="001C1CDF">
            <w:pPr>
              <w:spacing w:line="480" w:lineRule="auto"/>
              <w:jc w:val="both"/>
              <w:rPr>
                <w:rFonts w:ascii="Arial" w:hAnsi="Arial" w:cs="Arial"/>
                <w:b/>
                <w:bCs/>
                <w:sz w:val="20"/>
                <w:szCs w:val="20"/>
              </w:rPr>
            </w:pPr>
            <w:proofErr w:type="spellStart"/>
            <w:r w:rsidRPr="00E9050E">
              <w:rPr>
                <w:rFonts w:ascii="Arial" w:hAnsi="Arial" w:cs="Arial"/>
                <w:b/>
                <w:bCs/>
                <w:sz w:val="20"/>
                <w:szCs w:val="20"/>
              </w:rPr>
              <w:t>Cucari</w:t>
            </w:r>
            <w:proofErr w:type="spellEnd"/>
            <w:r w:rsidRPr="00E9050E">
              <w:rPr>
                <w:rFonts w:ascii="Arial" w:hAnsi="Arial" w:cs="Arial"/>
                <w:b/>
                <w:bCs/>
                <w:sz w:val="20"/>
                <w:szCs w:val="20"/>
              </w:rPr>
              <w:t xml:space="preserve"> et al. (2022)</w:t>
            </w:r>
          </w:p>
        </w:tc>
        <w:tc>
          <w:tcPr>
            <w:tcW w:w="1327" w:type="dxa"/>
          </w:tcPr>
          <w:p w14:paraId="72FD649C" w14:textId="59AD7210" w:rsidR="000B2C34" w:rsidRPr="00E9050E" w:rsidRDefault="000B2C34" w:rsidP="001C1CDF">
            <w:pPr>
              <w:spacing w:line="480" w:lineRule="auto"/>
              <w:jc w:val="both"/>
              <w:rPr>
                <w:rFonts w:ascii="Arial" w:hAnsi="Arial" w:cs="Arial"/>
                <w:sz w:val="20"/>
                <w:szCs w:val="20"/>
              </w:rPr>
            </w:pPr>
            <w:r w:rsidRPr="00E9050E">
              <w:rPr>
                <w:rFonts w:ascii="Arial" w:hAnsi="Arial" w:cs="Arial"/>
                <w:sz w:val="20"/>
                <w:szCs w:val="20"/>
              </w:rPr>
              <w:t>Blockchain-only</w:t>
            </w:r>
          </w:p>
        </w:tc>
        <w:tc>
          <w:tcPr>
            <w:tcW w:w="1011" w:type="dxa"/>
          </w:tcPr>
          <w:p w14:paraId="7E09BC70" w14:textId="7EE00EA9" w:rsidR="000B2C34" w:rsidRPr="00E9050E" w:rsidRDefault="000B2C34" w:rsidP="001C1CDF">
            <w:pPr>
              <w:spacing w:line="480" w:lineRule="auto"/>
              <w:jc w:val="both"/>
              <w:rPr>
                <w:rFonts w:ascii="Arial" w:hAnsi="Arial" w:cs="Arial"/>
                <w:sz w:val="20"/>
                <w:szCs w:val="20"/>
              </w:rPr>
            </w:pPr>
            <w:r w:rsidRPr="00E9050E">
              <w:rPr>
                <w:rFonts w:ascii="Arial" w:hAnsi="Arial" w:cs="Arial"/>
                <w:sz w:val="20"/>
                <w:szCs w:val="20"/>
              </w:rPr>
              <w:t>Italy</w:t>
            </w:r>
          </w:p>
        </w:tc>
        <w:tc>
          <w:tcPr>
            <w:tcW w:w="1239" w:type="dxa"/>
          </w:tcPr>
          <w:p w14:paraId="568F19FC" w14:textId="1BC14AB3" w:rsidR="000B2C34" w:rsidRPr="00E9050E" w:rsidRDefault="000B2C34" w:rsidP="001C1CDF">
            <w:pPr>
              <w:spacing w:line="480" w:lineRule="auto"/>
              <w:jc w:val="both"/>
              <w:rPr>
                <w:rFonts w:ascii="Arial" w:hAnsi="Arial" w:cs="Arial"/>
                <w:sz w:val="20"/>
                <w:szCs w:val="20"/>
              </w:rPr>
            </w:pPr>
            <w:r w:rsidRPr="00E9050E">
              <w:rPr>
                <w:rFonts w:ascii="Arial" w:hAnsi="Arial" w:cs="Arial"/>
                <w:sz w:val="20"/>
                <w:szCs w:val="20"/>
              </w:rPr>
              <w:t>Banks (Interbank)</w:t>
            </w:r>
          </w:p>
        </w:tc>
        <w:tc>
          <w:tcPr>
            <w:tcW w:w="1598" w:type="dxa"/>
          </w:tcPr>
          <w:p w14:paraId="4AE4B7C8" w14:textId="176B5F15" w:rsidR="000B2C34" w:rsidRPr="00E9050E" w:rsidRDefault="000B2C34" w:rsidP="001C1CDF">
            <w:pPr>
              <w:spacing w:line="480" w:lineRule="auto"/>
              <w:jc w:val="both"/>
              <w:rPr>
                <w:rFonts w:ascii="Arial" w:hAnsi="Arial" w:cs="Arial"/>
                <w:sz w:val="20"/>
                <w:szCs w:val="20"/>
              </w:rPr>
            </w:pPr>
            <w:r w:rsidRPr="00E9050E">
              <w:rPr>
                <w:rFonts w:ascii="Arial" w:hAnsi="Arial" w:cs="Arial"/>
                <w:sz w:val="20"/>
                <w:szCs w:val="20"/>
              </w:rPr>
              <w:t>Reconciliation, TM</w:t>
            </w:r>
          </w:p>
        </w:tc>
        <w:tc>
          <w:tcPr>
            <w:tcW w:w="1364" w:type="dxa"/>
          </w:tcPr>
          <w:p w14:paraId="436B4853" w14:textId="6C74DC1B" w:rsidR="000B2C34" w:rsidRPr="00E9050E" w:rsidRDefault="000B2C34" w:rsidP="001C1CDF">
            <w:pPr>
              <w:spacing w:line="480" w:lineRule="auto"/>
              <w:jc w:val="both"/>
              <w:rPr>
                <w:rFonts w:ascii="Arial" w:hAnsi="Arial" w:cs="Arial"/>
                <w:sz w:val="20"/>
                <w:szCs w:val="20"/>
              </w:rPr>
            </w:pPr>
            <w:r w:rsidRPr="00E9050E">
              <w:rPr>
                <w:rFonts w:ascii="Arial" w:hAnsi="Arial" w:cs="Arial"/>
                <w:sz w:val="20"/>
                <w:szCs w:val="20"/>
              </w:rPr>
              <w:t>Yes – Efficiency gains</w:t>
            </w:r>
          </w:p>
        </w:tc>
        <w:tc>
          <w:tcPr>
            <w:tcW w:w="1467" w:type="dxa"/>
          </w:tcPr>
          <w:p w14:paraId="05C27BBC" w14:textId="3E7EE748" w:rsidR="000B2C34" w:rsidRPr="00E9050E" w:rsidRDefault="000B2C34" w:rsidP="001C1CDF">
            <w:pPr>
              <w:spacing w:line="480" w:lineRule="auto"/>
              <w:jc w:val="both"/>
              <w:rPr>
                <w:rFonts w:ascii="Arial" w:hAnsi="Arial" w:cs="Arial"/>
                <w:sz w:val="20"/>
                <w:szCs w:val="20"/>
              </w:rPr>
            </w:pPr>
            <w:r w:rsidRPr="00E9050E">
              <w:rPr>
                <w:rFonts w:ascii="Arial" w:hAnsi="Arial" w:cs="Arial"/>
                <w:sz w:val="20"/>
                <w:szCs w:val="20"/>
              </w:rPr>
              <w:t>Blockchain in interbank processes</w:t>
            </w:r>
          </w:p>
        </w:tc>
        <w:tc>
          <w:tcPr>
            <w:tcW w:w="1287" w:type="dxa"/>
          </w:tcPr>
          <w:p w14:paraId="11119E23" w14:textId="6A1B767C" w:rsidR="000B2C34" w:rsidRPr="00E9050E" w:rsidRDefault="000B2C34" w:rsidP="001C1CDF">
            <w:pPr>
              <w:spacing w:line="480" w:lineRule="auto"/>
              <w:jc w:val="both"/>
              <w:rPr>
                <w:rFonts w:ascii="Arial" w:hAnsi="Arial" w:cs="Arial"/>
                <w:sz w:val="20"/>
                <w:szCs w:val="20"/>
              </w:rPr>
            </w:pPr>
            <w:r w:rsidRPr="00E9050E">
              <w:rPr>
                <w:rFonts w:ascii="Arial" w:hAnsi="Arial" w:cs="Arial"/>
                <w:sz w:val="20"/>
                <w:szCs w:val="20"/>
              </w:rPr>
              <w:t>Limited scalability</w:t>
            </w:r>
          </w:p>
        </w:tc>
        <w:tc>
          <w:tcPr>
            <w:tcW w:w="1428" w:type="dxa"/>
          </w:tcPr>
          <w:p w14:paraId="6BEC5916" w14:textId="57634187" w:rsidR="000B2C34" w:rsidRPr="00E9050E" w:rsidRDefault="000B2C34" w:rsidP="001C1CDF">
            <w:pPr>
              <w:spacing w:line="480" w:lineRule="auto"/>
              <w:jc w:val="both"/>
              <w:rPr>
                <w:rFonts w:ascii="Arial" w:hAnsi="Arial" w:cs="Arial"/>
                <w:sz w:val="20"/>
                <w:szCs w:val="20"/>
              </w:rPr>
            </w:pPr>
            <w:r w:rsidRPr="00E9050E">
              <w:rPr>
                <w:rFonts w:ascii="Arial" w:hAnsi="Arial" w:cs="Arial"/>
                <w:sz w:val="20"/>
                <w:szCs w:val="20"/>
              </w:rPr>
              <w:t>Industry-led</w:t>
            </w:r>
          </w:p>
        </w:tc>
        <w:tc>
          <w:tcPr>
            <w:tcW w:w="1340" w:type="dxa"/>
          </w:tcPr>
          <w:p w14:paraId="65229FEB" w14:textId="55224B80" w:rsidR="000B2C34" w:rsidRPr="00E9050E" w:rsidRDefault="000B2C34" w:rsidP="001C1CDF">
            <w:pPr>
              <w:spacing w:line="480" w:lineRule="auto"/>
              <w:jc w:val="both"/>
              <w:rPr>
                <w:rFonts w:ascii="Arial" w:hAnsi="Arial" w:cs="Arial"/>
                <w:sz w:val="20"/>
                <w:szCs w:val="20"/>
              </w:rPr>
            </w:pPr>
            <w:r w:rsidRPr="00E9050E">
              <w:rPr>
                <w:rFonts w:ascii="Arial" w:hAnsi="Arial" w:cs="Arial"/>
                <w:sz w:val="20"/>
                <w:szCs w:val="20"/>
              </w:rPr>
              <w:t>Quantitative</w:t>
            </w:r>
          </w:p>
        </w:tc>
        <w:tc>
          <w:tcPr>
            <w:tcW w:w="1239" w:type="dxa"/>
          </w:tcPr>
          <w:p w14:paraId="7C5DEF2E" w14:textId="1B52207D" w:rsidR="000B2C34" w:rsidRPr="00E9050E" w:rsidRDefault="000B2C34" w:rsidP="001C1CDF">
            <w:pPr>
              <w:spacing w:line="480" w:lineRule="auto"/>
              <w:jc w:val="both"/>
              <w:rPr>
                <w:rFonts w:ascii="Arial" w:hAnsi="Arial" w:cs="Arial"/>
                <w:sz w:val="20"/>
                <w:szCs w:val="20"/>
              </w:rPr>
            </w:pPr>
            <w:r w:rsidRPr="00E9050E">
              <w:rPr>
                <w:rFonts w:ascii="Arial" w:hAnsi="Arial" w:cs="Arial"/>
                <w:sz w:val="20"/>
                <w:szCs w:val="20"/>
              </w:rPr>
              <w:t>Medium</w:t>
            </w:r>
          </w:p>
        </w:tc>
      </w:tr>
      <w:tr w:rsidR="00052AF0" w:rsidRPr="00E9050E" w14:paraId="4A9FF75B" w14:textId="77777777" w:rsidTr="00F7614A">
        <w:tc>
          <w:tcPr>
            <w:tcW w:w="1316" w:type="dxa"/>
          </w:tcPr>
          <w:p w14:paraId="1F471B6B" w14:textId="77777777" w:rsidR="00961846" w:rsidRPr="00E9050E" w:rsidRDefault="00961846" w:rsidP="001C1CDF">
            <w:pPr>
              <w:spacing w:line="480" w:lineRule="auto"/>
              <w:jc w:val="both"/>
              <w:rPr>
                <w:rFonts w:ascii="Arial" w:hAnsi="Arial" w:cs="Arial"/>
                <w:b/>
                <w:bCs/>
                <w:sz w:val="20"/>
                <w:szCs w:val="20"/>
              </w:rPr>
            </w:pPr>
            <w:r w:rsidRPr="00E9050E">
              <w:rPr>
                <w:rFonts w:ascii="Arial" w:hAnsi="Arial" w:cs="Arial"/>
                <w:b/>
                <w:bCs/>
                <w:sz w:val="20"/>
                <w:szCs w:val="20"/>
              </w:rPr>
              <w:t>Grassi &amp; Lanfranchi (2022)</w:t>
            </w:r>
          </w:p>
        </w:tc>
        <w:tc>
          <w:tcPr>
            <w:tcW w:w="1327" w:type="dxa"/>
          </w:tcPr>
          <w:p w14:paraId="05F39910"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RegTech-only</w:t>
            </w:r>
          </w:p>
        </w:tc>
        <w:tc>
          <w:tcPr>
            <w:tcW w:w="1011" w:type="dxa"/>
          </w:tcPr>
          <w:p w14:paraId="6D43AF56"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Italy</w:t>
            </w:r>
          </w:p>
        </w:tc>
        <w:tc>
          <w:tcPr>
            <w:tcW w:w="1239" w:type="dxa"/>
          </w:tcPr>
          <w:p w14:paraId="58AA5CBE"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Public + Private</w:t>
            </w:r>
          </w:p>
        </w:tc>
        <w:tc>
          <w:tcPr>
            <w:tcW w:w="1598" w:type="dxa"/>
          </w:tcPr>
          <w:p w14:paraId="1AB4D173"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KYC, Reporting</w:t>
            </w:r>
          </w:p>
        </w:tc>
        <w:tc>
          <w:tcPr>
            <w:tcW w:w="1364" w:type="dxa"/>
          </w:tcPr>
          <w:p w14:paraId="25D3D5E3"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Yes – System performance</w:t>
            </w:r>
          </w:p>
        </w:tc>
        <w:tc>
          <w:tcPr>
            <w:tcW w:w="1467" w:type="dxa"/>
          </w:tcPr>
          <w:p w14:paraId="4AC12647"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RegTech-data-regulation link</w:t>
            </w:r>
          </w:p>
        </w:tc>
        <w:tc>
          <w:tcPr>
            <w:tcW w:w="1287" w:type="dxa"/>
          </w:tcPr>
          <w:p w14:paraId="6EE65033"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Sector variance</w:t>
            </w:r>
          </w:p>
        </w:tc>
        <w:tc>
          <w:tcPr>
            <w:tcW w:w="1428" w:type="dxa"/>
          </w:tcPr>
          <w:p w14:paraId="149FAFA3"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Joint</w:t>
            </w:r>
          </w:p>
        </w:tc>
        <w:tc>
          <w:tcPr>
            <w:tcW w:w="1340" w:type="dxa"/>
          </w:tcPr>
          <w:p w14:paraId="4D21C479"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Mixed</w:t>
            </w:r>
          </w:p>
        </w:tc>
        <w:tc>
          <w:tcPr>
            <w:tcW w:w="1239" w:type="dxa"/>
          </w:tcPr>
          <w:p w14:paraId="237B4201"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Medium</w:t>
            </w:r>
          </w:p>
        </w:tc>
      </w:tr>
      <w:tr w:rsidR="00052AF0" w:rsidRPr="00E9050E" w14:paraId="6F1FCDB1" w14:textId="77777777" w:rsidTr="00F7614A">
        <w:tc>
          <w:tcPr>
            <w:tcW w:w="1316" w:type="dxa"/>
          </w:tcPr>
          <w:p w14:paraId="5E4D4910" w14:textId="77777777" w:rsidR="00961846" w:rsidRPr="00E9050E" w:rsidRDefault="00961846" w:rsidP="001C1CDF">
            <w:pPr>
              <w:spacing w:line="480" w:lineRule="auto"/>
              <w:jc w:val="both"/>
              <w:rPr>
                <w:rFonts w:ascii="Arial" w:hAnsi="Arial" w:cs="Arial"/>
                <w:b/>
                <w:bCs/>
                <w:sz w:val="20"/>
                <w:szCs w:val="20"/>
              </w:rPr>
            </w:pPr>
            <w:r w:rsidRPr="00E9050E">
              <w:rPr>
                <w:rFonts w:ascii="Arial" w:hAnsi="Arial" w:cs="Arial"/>
                <w:b/>
                <w:bCs/>
                <w:sz w:val="20"/>
                <w:szCs w:val="20"/>
              </w:rPr>
              <w:t>Gurung &amp; Perlman (2018)</w:t>
            </w:r>
          </w:p>
        </w:tc>
        <w:tc>
          <w:tcPr>
            <w:tcW w:w="1327" w:type="dxa"/>
          </w:tcPr>
          <w:p w14:paraId="55F8E29F"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RegTech-only</w:t>
            </w:r>
          </w:p>
        </w:tc>
        <w:tc>
          <w:tcPr>
            <w:tcW w:w="1011" w:type="dxa"/>
          </w:tcPr>
          <w:p w14:paraId="481AD89C"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Central Banks</w:t>
            </w:r>
          </w:p>
        </w:tc>
        <w:tc>
          <w:tcPr>
            <w:tcW w:w="1239" w:type="dxa"/>
          </w:tcPr>
          <w:p w14:paraId="48F4B343"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Regulators</w:t>
            </w:r>
          </w:p>
        </w:tc>
        <w:tc>
          <w:tcPr>
            <w:tcW w:w="1598" w:type="dxa"/>
          </w:tcPr>
          <w:p w14:paraId="6E8DDBF7"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Oversight, TM</w:t>
            </w:r>
          </w:p>
        </w:tc>
        <w:tc>
          <w:tcPr>
            <w:tcW w:w="1364" w:type="dxa"/>
          </w:tcPr>
          <w:p w14:paraId="533C8FA3"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No</w:t>
            </w:r>
          </w:p>
        </w:tc>
        <w:tc>
          <w:tcPr>
            <w:tcW w:w="1467" w:type="dxa"/>
          </w:tcPr>
          <w:p w14:paraId="555F3243"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Central bank oversight via RegTech</w:t>
            </w:r>
          </w:p>
        </w:tc>
        <w:tc>
          <w:tcPr>
            <w:tcW w:w="1287" w:type="dxa"/>
          </w:tcPr>
          <w:p w14:paraId="40180A35"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 xml:space="preserve">Infrastructure &amp; </w:t>
            </w:r>
            <w:r w:rsidRPr="00E9050E">
              <w:rPr>
                <w:rFonts w:ascii="Arial" w:hAnsi="Arial" w:cs="Arial"/>
                <w:sz w:val="20"/>
                <w:szCs w:val="20"/>
              </w:rPr>
              <w:lastRenderedPageBreak/>
              <w:t>coordination</w:t>
            </w:r>
          </w:p>
        </w:tc>
        <w:tc>
          <w:tcPr>
            <w:tcW w:w="1428" w:type="dxa"/>
          </w:tcPr>
          <w:p w14:paraId="754C733C"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lastRenderedPageBreak/>
              <w:t>Regulator-led</w:t>
            </w:r>
          </w:p>
        </w:tc>
        <w:tc>
          <w:tcPr>
            <w:tcW w:w="1340" w:type="dxa"/>
          </w:tcPr>
          <w:p w14:paraId="10EDB8CA"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Qualitative</w:t>
            </w:r>
          </w:p>
        </w:tc>
        <w:tc>
          <w:tcPr>
            <w:tcW w:w="1239" w:type="dxa"/>
          </w:tcPr>
          <w:p w14:paraId="0AD6D7C1"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Medium</w:t>
            </w:r>
          </w:p>
        </w:tc>
      </w:tr>
    </w:tbl>
    <w:p w14:paraId="4B9A60A4" w14:textId="77777777" w:rsidR="001C1CDF" w:rsidRDefault="001C1CDF" w:rsidP="00637D25">
      <w:pPr>
        <w:spacing w:line="360" w:lineRule="auto"/>
        <w:jc w:val="center"/>
        <w:rPr>
          <w:rFonts w:ascii="Arial" w:hAnsi="Arial" w:cs="Arial"/>
          <w:b/>
          <w:bCs/>
          <w:sz w:val="20"/>
          <w:szCs w:val="20"/>
        </w:rPr>
      </w:pPr>
    </w:p>
    <w:p w14:paraId="0AEBB341" w14:textId="04D07162" w:rsidR="00B87316" w:rsidRPr="00E9050E" w:rsidRDefault="00B87316" w:rsidP="00637D25">
      <w:pPr>
        <w:spacing w:line="360" w:lineRule="auto"/>
        <w:jc w:val="center"/>
        <w:rPr>
          <w:rFonts w:ascii="Arial" w:hAnsi="Arial" w:cs="Arial"/>
          <w:sz w:val="20"/>
          <w:szCs w:val="20"/>
        </w:rPr>
      </w:pPr>
      <w:r w:rsidRPr="00E9050E">
        <w:rPr>
          <w:rFonts w:ascii="Arial" w:hAnsi="Arial" w:cs="Arial"/>
          <w:b/>
          <w:bCs/>
          <w:sz w:val="20"/>
          <w:szCs w:val="20"/>
        </w:rPr>
        <w:t>Table 1 Cont’d.</w:t>
      </w:r>
    </w:p>
    <w:tbl>
      <w:tblPr>
        <w:tblStyle w:val="TableGrid"/>
        <w:tblW w:w="1461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8"/>
        <w:gridCol w:w="253"/>
        <w:gridCol w:w="1005"/>
        <w:gridCol w:w="246"/>
        <w:gridCol w:w="769"/>
        <w:gridCol w:w="317"/>
        <w:gridCol w:w="989"/>
        <w:gridCol w:w="883"/>
        <w:gridCol w:w="588"/>
        <w:gridCol w:w="553"/>
        <w:gridCol w:w="814"/>
        <w:gridCol w:w="592"/>
        <w:gridCol w:w="810"/>
        <w:gridCol w:w="711"/>
        <w:gridCol w:w="741"/>
        <w:gridCol w:w="766"/>
        <w:gridCol w:w="695"/>
        <w:gridCol w:w="467"/>
        <w:gridCol w:w="941"/>
        <w:gridCol w:w="288"/>
        <w:gridCol w:w="930"/>
      </w:tblGrid>
      <w:tr w:rsidR="00B87316" w:rsidRPr="00E9050E" w14:paraId="37D56C20" w14:textId="77777777" w:rsidTr="00B87316">
        <w:tc>
          <w:tcPr>
            <w:tcW w:w="1263" w:type="dxa"/>
            <w:tcBorders>
              <w:top w:val="single" w:sz="4" w:space="0" w:color="auto"/>
              <w:bottom w:val="single" w:sz="4" w:space="0" w:color="auto"/>
            </w:tcBorders>
          </w:tcPr>
          <w:p w14:paraId="7F7C9D29" w14:textId="77777777" w:rsidR="00B87316" w:rsidRPr="00E9050E" w:rsidRDefault="00B87316" w:rsidP="001C1CDF">
            <w:pPr>
              <w:spacing w:line="480" w:lineRule="auto"/>
              <w:jc w:val="both"/>
              <w:rPr>
                <w:rFonts w:ascii="Arial" w:hAnsi="Arial" w:cs="Arial"/>
                <w:b/>
                <w:bCs/>
                <w:sz w:val="20"/>
                <w:szCs w:val="20"/>
              </w:rPr>
            </w:pPr>
            <w:r w:rsidRPr="00E9050E">
              <w:rPr>
                <w:rFonts w:ascii="Arial" w:hAnsi="Arial" w:cs="Arial"/>
                <w:b/>
                <w:bCs/>
                <w:sz w:val="20"/>
                <w:szCs w:val="20"/>
              </w:rPr>
              <w:t xml:space="preserve">Citation </w:t>
            </w:r>
          </w:p>
        </w:tc>
        <w:tc>
          <w:tcPr>
            <w:tcW w:w="1272" w:type="dxa"/>
            <w:gridSpan w:val="2"/>
            <w:tcBorders>
              <w:top w:val="single" w:sz="4" w:space="0" w:color="auto"/>
              <w:bottom w:val="single" w:sz="4" w:space="0" w:color="auto"/>
            </w:tcBorders>
          </w:tcPr>
          <w:p w14:paraId="6AA62062" w14:textId="77777777" w:rsidR="00B87316" w:rsidRPr="00E9050E" w:rsidRDefault="00B87316" w:rsidP="001C1CDF">
            <w:pPr>
              <w:spacing w:line="480" w:lineRule="auto"/>
              <w:jc w:val="both"/>
              <w:rPr>
                <w:rFonts w:ascii="Arial" w:hAnsi="Arial" w:cs="Arial"/>
                <w:b/>
                <w:bCs/>
                <w:sz w:val="20"/>
                <w:szCs w:val="20"/>
              </w:rPr>
            </w:pPr>
            <w:r w:rsidRPr="00E9050E">
              <w:rPr>
                <w:rFonts w:ascii="Arial" w:hAnsi="Arial" w:cs="Arial"/>
                <w:b/>
                <w:bCs/>
                <w:sz w:val="20"/>
                <w:szCs w:val="20"/>
              </w:rPr>
              <w:t>Tech Used</w:t>
            </w:r>
          </w:p>
        </w:tc>
        <w:tc>
          <w:tcPr>
            <w:tcW w:w="1017" w:type="dxa"/>
            <w:gridSpan w:val="2"/>
            <w:tcBorders>
              <w:top w:val="single" w:sz="4" w:space="0" w:color="auto"/>
              <w:bottom w:val="single" w:sz="4" w:space="0" w:color="auto"/>
            </w:tcBorders>
          </w:tcPr>
          <w:p w14:paraId="02353E6D" w14:textId="77777777" w:rsidR="00B87316" w:rsidRPr="00E9050E" w:rsidRDefault="00B87316" w:rsidP="001C1CDF">
            <w:pPr>
              <w:spacing w:line="480" w:lineRule="auto"/>
              <w:jc w:val="both"/>
              <w:rPr>
                <w:rFonts w:ascii="Arial" w:hAnsi="Arial" w:cs="Arial"/>
                <w:b/>
                <w:bCs/>
                <w:sz w:val="20"/>
                <w:szCs w:val="20"/>
              </w:rPr>
            </w:pPr>
            <w:r w:rsidRPr="00E9050E">
              <w:rPr>
                <w:rFonts w:ascii="Arial" w:hAnsi="Arial" w:cs="Arial"/>
                <w:b/>
                <w:bCs/>
                <w:sz w:val="20"/>
                <w:szCs w:val="20"/>
              </w:rPr>
              <w:t>Region / Context</w:t>
            </w:r>
          </w:p>
        </w:tc>
        <w:tc>
          <w:tcPr>
            <w:tcW w:w="1308" w:type="dxa"/>
            <w:gridSpan w:val="2"/>
            <w:tcBorders>
              <w:top w:val="single" w:sz="4" w:space="0" w:color="auto"/>
              <w:bottom w:val="single" w:sz="4" w:space="0" w:color="auto"/>
            </w:tcBorders>
          </w:tcPr>
          <w:p w14:paraId="4FA88183" w14:textId="77777777" w:rsidR="00B87316" w:rsidRPr="00E9050E" w:rsidRDefault="00B87316" w:rsidP="001C1CDF">
            <w:pPr>
              <w:spacing w:line="480" w:lineRule="auto"/>
              <w:jc w:val="both"/>
              <w:rPr>
                <w:rFonts w:ascii="Arial" w:hAnsi="Arial" w:cs="Arial"/>
                <w:b/>
                <w:bCs/>
                <w:sz w:val="20"/>
                <w:szCs w:val="20"/>
              </w:rPr>
            </w:pPr>
            <w:r w:rsidRPr="00E9050E">
              <w:rPr>
                <w:rFonts w:ascii="Arial" w:hAnsi="Arial" w:cs="Arial"/>
                <w:b/>
                <w:bCs/>
                <w:sz w:val="20"/>
                <w:szCs w:val="20"/>
              </w:rPr>
              <w:t>Institution Type</w:t>
            </w:r>
          </w:p>
        </w:tc>
        <w:tc>
          <w:tcPr>
            <w:tcW w:w="1482" w:type="dxa"/>
            <w:gridSpan w:val="2"/>
            <w:tcBorders>
              <w:top w:val="single" w:sz="4" w:space="0" w:color="auto"/>
              <w:bottom w:val="single" w:sz="4" w:space="0" w:color="auto"/>
            </w:tcBorders>
          </w:tcPr>
          <w:p w14:paraId="0E7D54FD" w14:textId="77777777" w:rsidR="00B87316" w:rsidRPr="00E9050E" w:rsidRDefault="00B87316" w:rsidP="001C1CDF">
            <w:pPr>
              <w:spacing w:line="480" w:lineRule="auto"/>
              <w:jc w:val="both"/>
              <w:rPr>
                <w:rFonts w:ascii="Arial" w:hAnsi="Arial" w:cs="Arial"/>
                <w:b/>
                <w:bCs/>
                <w:sz w:val="20"/>
                <w:szCs w:val="20"/>
              </w:rPr>
            </w:pPr>
            <w:r w:rsidRPr="00E9050E">
              <w:rPr>
                <w:rFonts w:ascii="Arial" w:hAnsi="Arial" w:cs="Arial"/>
                <w:b/>
                <w:bCs/>
                <w:sz w:val="20"/>
                <w:szCs w:val="20"/>
              </w:rPr>
              <w:t>AML Functions Targeted</w:t>
            </w:r>
          </w:p>
        </w:tc>
        <w:tc>
          <w:tcPr>
            <w:tcW w:w="1393" w:type="dxa"/>
            <w:gridSpan w:val="2"/>
            <w:tcBorders>
              <w:top w:val="single" w:sz="4" w:space="0" w:color="auto"/>
              <w:bottom w:val="single" w:sz="4" w:space="0" w:color="auto"/>
            </w:tcBorders>
          </w:tcPr>
          <w:p w14:paraId="79322295" w14:textId="77777777" w:rsidR="00B87316" w:rsidRPr="00E9050E" w:rsidRDefault="00B87316" w:rsidP="001C1CDF">
            <w:pPr>
              <w:spacing w:line="480" w:lineRule="auto"/>
              <w:jc w:val="both"/>
              <w:rPr>
                <w:rFonts w:ascii="Arial" w:hAnsi="Arial" w:cs="Arial"/>
                <w:b/>
                <w:bCs/>
                <w:sz w:val="20"/>
                <w:szCs w:val="20"/>
              </w:rPr>
            </w:pPr>
            <w:r w:rsidRPr="00E9050E">
              <w:rPr>
                <w:rFonts w:ascii="Arial" w:hAnsi="Arial" w:cs="Arial"/>
                <w:b/>
                <w:bCs/>
                <w:sz w:val="20"/>
                <w:szCs w:val="20"/>
              </w:rPr>
              <w:t>Financial Metrics Reported</w:t>
            </w:r>
          </w:p>
        </w:tc>
        <w:tc>
          <w:tcPr>
            <w:tcW w:w="1357" w:type="dxa"/>
            <w:gridSpan w:val="2"/>
            <w:tcBorders>
              <w:top w:val="single" w:sz="4" w:space="0" w:color="auto"/>
              <w:bottom w:val="single" w:sz="4" w:space="0" w:color="auto"/>
            </w:tcBorders>
          </w:tcPr>
          <w:p w14:paraId="1365A292" w14:textId="77777777" w:rsidR="00B87316" w:rsidRPr="00E9050E" w:rsidRDefault="00B87316" w:rsidP="001C1CDF">
            <w:pPr>
              <w:spacing w:line="480" w:lineRule="auto"/>
              <w:jc w:val="both"/>
              <w:rPr>
                <w:rFonts w:ascii="Arial" w:hAnsi="Arial" w:cs="Arial"/>
                <w:b/>
                <w:bCs/>
                <w:sz w:val="20"/>
                <w:szCs w:val="20"/>
              </w:rPr>
            </w:pPr>
            <w:r w:rsidRPr="00E9050E">
              <w:rPr>
                <w:rFonts w:ascii="Arial" w:hAnsi="Arial" w:cs="Arial"/>
                <w:b/>
                <w:bCs/>
                <w:sz w:val="20"/>
                <w:szCs w:val="20"/>
              </w:rPr>
              <w:t>Focus / Outcomes</w:t>
            </w:r>
          </w:p>
        </w:tc>
        <w:tc>
          <w:tcPr>
            <w:tcW w:w="1454" w:type="dxa"/>
            <w:gridSpan w:val="2"/>
            <w:tcBorders>
              <w:top w:val="single" w:sz="4" w:space="0" w:color="auto"/>
              <w:bottom w:val="single" w:sz="4" w:space="0" w:color="auto"/>
            </w:tcBorders>
          </w:tcPr>
          <w:p w14:paraId="3D1A7901" w14:textId="77777777" w:rsidR="00B87316" w:rsidRPr="00E9050E" w:rsidRDefault="00B87316" w:rsidP="001C1CDF">
            <w:pPr>
              <w:spacing w:line="480" w:lineRule="auto"/>
              <w:jc w:val="both"/>
              <w:rPr>
                <w:rFonts w:ascii="Arial" w:hAnsi="Arial" w:cs="Arial"/>
                <w:b/>
                <w:bCs/>
                <w:sz w:val="20"/>
                <w:szCs w:val="20"/>
              </w:rPr>
            </w:pPr>
            <w:r w:rsidRPr="00E9050E">
              <w:rPr>
                <w:rFonts w:ascii="Arial" w:hAnsi="Arial" w:cs="Arial"/>
                <w:b/>
                <w:bCs/>
                <w:sz w:val="20"/>
                <w:szCs w:val="20"/>
              </w:rPr>
              <w:t>Challenges Noted</w:t>
            </w:r>
          </w:p>
        </w:tc>
        <w:tc>
          <w:tcPr>
            <w:tcW w:w="1475" w:type="dxa"/>
            <w:gridSpan w:val="2"/>
            <w:tcBorders>
              <w:top w:val="single" w:sz="4" w:space="0" w:color="auto"/>
              <w:bottom w:val="single" w:sz="4" w:space="0" w:color="auto"/>
            </w:tcBorders>
          </w:tcPr>
          <w:p w14:paraId="3BA0FD85" w14:textId="77777777" w:rsidR="00B87316" w:rsidRPr="00E9050E" w:rsidRDefault="00B87316" w:rsidP="001C1CDF">
            <w:pPr>
              <w:spacing w:line="480" w:lineRule="auto"/>
              <w:jc w:val="both"/>
              <w:rPr>
                <w:rFonts w:ascii="Arial" w:hAnsi="Arial" w:cs="Arial"/>
                <w:b/>
                <w:bCs/>
                <w:sz w:val="20"/>
                <w:szCs w:val="20"/>
              </w:rPr>
            </w:pPr>
            <w:r w:rsidRPr="00E9050E">
              <w:rPr>
                <w:rFonts w:ascii="Arial" w:hAnsi="Arial" w:cs="Arial"/>
                <w:b/>
                <w:bCs/>
                <w:sz w:val="20"/>
                <w:szCs w:val="20"/>
              </w:rPr>
              <w:t>Regulatory Engagement</w:t>
            </w:r>
          </w:p>
        </w:tc>
        <w:tc>
          <w:tcPr>
            <w:tcW w:w="1375" w:type="dxa"/>
            <w:gridSpan w:val="2"/>
            <w:tcBorders>
              <w:top w:val="single" w:sz="4" w:space="0" w:color="auto"/>
              <w:bottom w:val="single" w:sz="4" w:space="0" w:color="auto"/>
            </w:tcBorders>
          </w:tcPr>
          <w:p w14:paraId="2A2AAF35" w14:textId="77777777" w:rsidR="00B87316" w:rsidRPr="00E9050E" w:rsidRDefault="00B87316" w:rsidP="001C1CDF">
            <w:pPr>
              <w:spacing w:line="480" w:lineRule="auto"/>
              <w:jc w:val="both"/>
              <w:rPr>
                <w:rFonts w:ascii="Arial" w:hAnsi="Arial" w:cs="Arial"/>
                <w:b/>
                <w:bCs/>
                <w:sz w:val="20"/>
                <w:szCs w:val="20"/>
              </w:rPr>
            </w:pPr>
            <w:r w:rsidRPr="00E9050E">
              <w:rPr>
                <w:rFonts w:ascii="Arial" w:hAnsi="Arial" w:cs="Arial"/>
                <w:b/>
                <w:bCs/>
                <w:sz w:val="20"/>
                <w:szCs w:val="20"/>
              </w:rPr>
              <w:t>Impact Assessment Type</w:t>
            </w:r>
          </w:p>
        </w:tc>
        <w:tc>
          <w:tcPr>
            <w:tcW w:w="1220" w:type="dxa"/>
            <w:gridSpan w:val="2"/>
            <w:tcBorders>
              <w:top w:val="single" w:sz="4" w:space="0" w:color="auto"/>
              <w:bottom w:val="single" w:sz="4" w:space="0" w:color="auto"/>
            </w:tcBorders>
          </w:tcPr>
          <w:p w14:paraId="42906091" w14:textId="77777777" w:rsidR="00B87316" w:rsidRPr="00E9050E" w:rsidRDefault="00B87316" w:rsidP="001C1CDF">
            <w:pPr>
              <w:spacing w:line="480" w:lineRule="auto"/>
              <w:jc w:val="both"/>
              <w:rPr>
                <w:rFonts w:ascii="Arial" w:hAnsi="Arial" w:cs="Arial"/>
                <w:b/>
                <w:bCs/>
                <w:sz w:val="20"/>
                <w:szCs w:val="20"/>
              </w:rPr>
            </w:pPr>
            <w:r w:rsidRPr="00E9050E">
              <w:rPr>
                <w:rFonts w:ascii="Arial" w:hAnsi="Arial" w:cs="Arial"/>
                <w:b/>
                <w:bCs/>
                <w:sz w:val="20"/>
                <w:szCs w:val="20"/>
              </w:rPr>
              <w:t>Scalability</w:t>
            </w:r>
          </w:p>
        </w:tc>
      </w:tr>
      <w:tr w:rsidR="00052AF0" w:rsidRPr="00E9050E" w14:paraId="0FE0B315" w14:textId="77777777" w:rsidTr="00B87316">
        <w:tc>
          <w:tcPr>
            <w:tcW w:w="1528" w:type="dxa"/>
            <w:gridSpan w:val="2"/>
            <w:tcBorders>
              <w:top w:val="single" w:sz="4" w:space="0" w:color="auto"/>
            </w:tcBorders>
          </w:tcPr>
          <w:p w14:paraId="4C4DC46C" w14:textId="77777777" w:rsidR="00961846" w:rsidRPr="00E9050E" w:rsidRDefault="00961846" w:rsidP="001C1CDF">
            <w:pPr>
              <w:spacing w:line="480" w:lineRule="auto"/>
              <w:jc w:val="both"/>
              <w:rPr>
                <w:rFonts w:ascii="Arial" w:hAnsi="Arial" w:cs="Arial"/>
                <w:b/>
                <w:bCs/>
                <w:sz w:val="20"/>
                <w:szCs w:val="20"/>
              </w:rPr>
            </w:pPr>
            <w:proofErr w:type="spellStart"/>
            <w:r w:rsidRPr="00E9050E">
              <w:rPr>
                <w:rFonts w:ascii="Arial" w:hAnsi="Arial" w:cs="Arial"/>
                <w:b/>
                <w:bCs/>
                <w:sz w:val="20"/>
                <w:szCs w:val="20"/>
              </w:rPr>
              <w:t>Meiryani</w:t>
            </w:r>
            <w:proofErr w:type="spellEnd"/>
            <w:r w:rsidRPr="00E9050E">
              <w:rPr>
                <w:rFonts w:ascii="Arial" w:hAnsi="Arial" w:cs="Arial"/>
                <w:b/>
                <w:bCs/>
                <w:sz w:val="20"/>
                <w:szCs w:val="20"/>
              </w:rPr>
              <w:t xml:space="preserve"> et al. (2023)</w:t>
            </w:r>
          </w:p>
        </w:tc>
        <w:tc>
          <w:tcPr>
            <w:tcW w:w="1253" w:type="dxa"/>
            <w:gridSpan w:val="2"/>
            <w:tcBorders>
              <w:top w:val="single" w:sz="4" w:space="0" w:color="auto"/>
            </w:tcBorders>
          </w:tcPr>
          <w:p w14:paraId="539DA919"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RegTech-only</w:t>
            </w:r>
          </w:p>
        </w:tc>
        <w:tc>
          <w:tcPr>
            <w:tcW w:w="1088" w:type="dxa"/>
            <w:gridSpan w:val="2"/>
            <w:tcBorders>
              <w:top w:val="single" w:sz="4" w:space="0" w:color="auto"/>
            </w:tcBorders>
          </w:tcPr>
          <w:p w14:paraId="626D08EF"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Indonesia</w:t>
            </w:r>
          </w:p>
        </w:tc>
        <w:tc>
          <w:tcPr>
            <w:tcW w:w="1883" w:type="dxa"/>
            <w:gridSpan w:val="2"/>
            <w:tcBorders>
              <w:top w:val="single" w:sz="4" w:space="0" w:color="auto"/>
            </w:tcBorders>
          </w:tcPr>
          <w:p w14:paraId="0BFCA566"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Banks</w:t>
            </w:r>
          </w:p>
        </w:tc>
        <w:tc>
          <w:tcPr>
            <w:tcW w:w="1143" w:type="dxa"/>
            <w:gridSpan w:val="2"/>
            <w:tcBorders>
              <w:top w:val="single" w:sz="4" w:space="0" w:color="auto"/>
            </w:tcBorders>
          </w:tcPr>
          <w:p w14:paraId="7661F518"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TM, KYC, Reporting</w:t>
            </w:r>
          </w:p>
        </w:tc>
        <w:tc>
          <w:tcPr>
            <w:tcW w:w="1356" w:type="dxa"/>
            <w:gridSpan w:val="2"/>
            <w:tcBorders>
              <w:top w:val="single" w:sz="4" w:space="0" w:color="auto"/>
            </w:tcBorders>
          </w:tcPr>
          <w:p w14:paraId="27049F05"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Yes – AML effectiveness</w:t>
            </w:r>
          </w:p>
        </w:tc>
        <w:tc>
          <w:tcPr>
            <w:tcW w:w="1552" w:type="dxa"/>
            <w:gridSpan w:val="2"/>
            <w:tcBorders>
              <w:top w:val="single" w:sz="4" w:space="0" w:color="auto"/>
            </w:tcBorders>
          </w:tcPr>
          <w:p w14:paraId="77553BAF"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AML compliance improvement</w:t>
            </w:r>
          </w:p>
        </w:tc>
        <w:tc>
          <w:tcPr>
            <w:tcW w:w="1509" w:type="dxa"/>
            <w:gridSpan w:val="2"/>
            <w:tcBorders>
              <w:top w:val="single" w:sz="4" w:space="0" w:color="auto"/>
            </w:tcBorders>
          </w:tcPr>
          <w:p w14:paraId="6D945509"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Resource limitations</w:t>
            </w:r>
          </w:p>
        </w:tc>
        <w:tc>
          <w:tcPr>
            <w:tcW w:w="1168" w:type="dxa"/>
            <w:gridSpan w:val="2"/>
            <w:tcBorders>
              <w:top w:val="single" w:sz="4" w:space="0" w:color="auto"/>
            </w:tcBorders>
          </w:tcPr>
          <w:p w14:paraId="6E8F3167"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Joint</w:t>
            </w:r>
          </w:p>
        </w:tc>
        <w:tc>
          <w:tcPr>
            <w:tcW w:w="1205" w:type="dxa"/>
            <w:gridSpan w:val="2"/>
            <w:tcBorders>
              <w:top w:val="single" w:sz="4" w:space="0" w:color="auto"/>
            </w:tcBorders>
          </w:tcPr>
          <w:p w14:paraId="0667356E"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Mixed</w:t>
            </w:r>
          </w:p>
        </w:tc>
        <w:tc>
          <w:tcPr>
            <w:tcW w:w="931" w:type="dxa"/>
            <w:tcBorders>
              <w:top w:val="single" w:sz="4" w:space="0" w:color="auto"/>
            </w:tcBorders>
          </w:tcPr>
          <w:p w14:paraId="40797DED" w14:textId="77777777" w:rsidR="00961846" w:rsidRPr="00E9050E" w:rsidRDefault="00961846" w:rsidP="001C1CDF">
            <w:pPr>
              <w:spacing w:line="480" w:lineRule="auto"/>
              <w:jc w:val="both"/>
              <w:rPr>
                <w:rFonts w:ascii="Arial" w:hAnsi="Arial" w:cs="Arial"/>
                <w:sz w:val="20"/>
                <w:szCs w:val="20"/>
              </w:rPr>
            </w:pPr>
            <w:r w:rsidRPr="00E9050E">
              <w:rPr>
                <w:rFonts w:ascii="Arial" w:hAnsi="Arial" w:cs="Arial"/>
                <w:sz w:val="20"/>
                <w:szCs w:val="20"/>
              </w:rPr>
              <w:t>Medium</w:t>
            </w:r>
          </w:p>
        </w:tc>
      </w:tr>
      <w:tr w:rsidR="000B2C34" w:rsidRPr="00E9050E" w14:paraId="026D82EB" w14:textId="77777777" w:rsidTr="00B87316">
        <w:tc>
          <w:tcPr>
            <w:tcW w:w="1528" w:type="dxa"/>
            <w:gridSpan w:val="2"/>
          </w:tcPr>
          <w:p w14:paraId="175217A5" w14:textId="6E5486B8" w:rsidR="00052AF0" w:rsidRPr="00E9050E" w:rsidRDefault="00052AF0" w:rsidP="001C1CDF">
            <w:pPr>
              <w:spacing w:line="480" w:lineRule="auto"/>
              <w:jc w:val="both"/>
              <w:rPr>
                <w:rFonts w:ascii="Arial" w:hAnsi="Arial" w:cs="Arial"/>
                <w:b/>
                <w:bCs/>
                <w:sz w:val="20"/>
                <w:szCs w:val="20"/>
              </w:rPr>
            </w:pPr>
            <w:r w:rsidRPr="00E9050E">
              <w:rPr>
                <w:rFonts w:ascii="Arial" w:hAnsi="Arial" w:cs="Arial"/>
                <w:b/>
                <w:bCs/>
                <w:sz w:val="20"/>
                <w:szCs w:val="20"/>
              </w:rPr>
              <w:t>Mohamed &amp; Yildirim (2021)</w:t>
            </w:r>
          </w:p>
        </w:tc>
        <w:tc>
          <w:tcPr>
            <w:tcW w:w="1253" w:type="dxa"/>
            <w:gridSpan w:val="2"/>
          </w:tcPr>
          <w:p w14:paraId="4361D6F4" w14:textId="5BC0E353"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RegTech-only</w:t>
            </w:r>
          </w:p>
        </w:tc>
        <w:tc>
          <w:tcPr>
            <w:tcW w:w="1088" w:type="dxa"/>
            <w:gridSpan w:val="2"/>
          </w:tcPr>
          <w:p w14:paraId="1B802975" w14:textId="68176FCE"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Global</w:t>
            </w:r>
          </w:p>
        </w:tc>
        <w:tc>
          <w:tcPr>
            <w:tcW w:w="1883" w:type="dxa"/>
            <w:gridSpan w:val="2"/>
          </w:tcPr>
          <w:p w14:paraId="1EC326AD" w14:textId="7758C18F"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Financial institutions</w:t>
            </w:r>
          </w:p>
        </w:tc>
        <w:tc>
          <w:tcPr>
            <w:tcW w:w="1143" w:type="dxa"/>
            <w:gridSpan w:val="2"/>
          </w:tcPr>
          <w:p w14:paraId="3FAF8507" w14:textId="77407713"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KYC, Reporting</w:t>
            </w:r>
          </w:p>
        </w:tc>
        <w:tc>
          <w:tcPr>
            <w:tcW w:w="1356" w:type="dxa"/>
            <w:gridSpan w:val="2"/>
          </w:tcPr>
          <w:p w14:paraId="4B8F30A3" w14:textId="1B5742B4"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Yes – Compliance automation</w:t>
            </w:r>
          </w:p>
        </w:tc>
        <w:tc>
          <w:tcPr>
            <w:tcW w:w="1552" w:type="dxa"/>
            <w:gridSpan w:val="2"/>
          </w:tcPr>
          <w:p w14:paraId="4F49C7EA" w14:textId="0968DF74"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Change management &amp; RegTech</w:t>
            </w:r>
          </w:p>
        </w:tc>
        <w:tc>
          <w:tcPr>
            <w:tcW w:w="1509" w:type="dxa"/>
            <w:gridSpan w:val="2"/>
          </w:tcPr>
          <w:p w14:paraId="5C8728A8" w14:textId="50FF4E5F"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Organizational resistance</w:t>
            </w:r>
          </w:p>
        </w:tc>
        <w:tc>
          <w:tcPr>
            <w:tcW w:w="1168" w:type="dxa"/>
            <w:gridSpan w:val="2"/>
          </w:tcPr>
          <w:p w14:paraId="482FAE44" w14:textId="61B02263"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Not Mentioned</w:t>
            </w:r>
          </w:p>
        </w:tc>
        <w:tc>
          <w:tcPr>
            <w:tcW w:w="1205" w:type="dxa"/>
            <w:gridSpan w:val="2"/>
          </w:tcPr>
          <w:p w14:paraId="683D3C7E" w14:textId="4C433916"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Conceptual</w:t>
            </w:r>
          </w:p>
        </w:tc>
        <w:tc>
          <w:tcPr>
            <w:tcW w:w="931" w:type="dxa"/>
          </w:tcPr>
          <w:p w14:paraId="1046AD28" w14:textId="350E36B1"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Medium</w:t>
            </w:r>
          </w:p>
        </w:tc>
      </w:tr>
      <w:tr w:rsidR="00052AF0" w:rsidRPr="00E9050E" w14:paraId="7807749F" w14:textId="77777777" w:rsidTr="00B87316">
        <w:tc>
          <w:tcPr>
            <w:tcW w:w="1528" w:type="dxa"/>
            <w:gridSpan w:val="2"/>
          </w:tcPr>
          <w:p w14:paraId="365C5249" w14:textId="77777777" w:rsidR="00052AF0" w:rsidRPr="00E9050E" w:rsidRDefault="00052AF0" w:rsidP="001C1CDF">
            <w:pPr>
              <w:spacing w:line="480" w:lineRule="auto"/>
              <w:jc w:val="both"/>
              <w:rPr>
                <w:rFonts w:ascii="Arial" w:hAnsi="Arial" w:cs="Arial"/>
                <w:b/>
                <w:bCs/>
                <w:sz w:val="20"/>
                <w:szCs w:val="20"/>
              </w:rPr>
            </w:pPr>
            <w:proofErr w:type="spellStart"/>
            <w:r w:rsidRPr="00E9050E">
              <w:rPr>
                <w:rFonts w:ascii="Arial" w:hAnsi="Arial" w:cs="Arial"/>
                <w:b/>
                <w:bCs/>
                <w:sz w:val="20"/>
                <w:szCs w:val="20"/>
              </w:rPr>
              <w:t>Thommandru</w:t>
            </w:r>
            <w:proofErr w:type="spellEnd"/>
            <w:r w:rsidRPr="00E9050E">
              <w:rPr>
                <w:rFonts w:ascii="Arial" w:hAnsi="Arial" w:cs="Arial"/>
                <w:b/>
                <w:bCs/>
                <w:sz w:val="20"/>
                <w:szCs w:val="20"/>
              </w:rPr>
              <w:t xml:space="preserve"> &amp; Chakka (2023)</w:t>
            </w:r>
          </w:p>
        </w:tc>
        <w:tc>
          <w:tcPr>
            <w:tcW w:w="1253" w:type="dxa"/>
            <w:gridSpan w:val="2"/>
          </w:tcPr>
          <w:p w14:paraId="006257DB"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Blockchain-only</w:t>
            </w:r>
          </w:p>
        </w:tc>
        <w:tc>
          <w:tcPr>
            <w:tcW w:w="1088" w:type="dxa"/>
            <w:gridSpan w:val="2"/>
          </w:tcPr>
          <w:p w14:paraId="57D11EFC"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India</w:t>
            </w:r>
          </w:p>
        </w:tc>
        <w:tc>
          <w:tcPr>
            <w:tcW w:w="1883" w:type="dxa"/>
            <w:gridSpan w:val="2"/>
          </w:tcPr>
          <w:p w14:paraId="0C9E8CC2"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Banks</w:t>
            </w:r>
          </w:p>
        </w:tc>
        <w:tc>
          <w:tcPr>
            <w:tcW w:w="1143" w:type="dxa"/>
            <w:gridSpan w:val="2"/>
          </w:tcPr>
          <w:p w14:paraId="398A9CDC"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TM, Reporting</w:t>
            </w:r>
          </w:p>
        </w:tc>
        <w:tc>
          <w:tcPr>
            <w:tcW w:w="1356" w:type="dxa"/>
            <w:gridSpan w:val="2"/>
          </w:tcPr>
          <w:p w14:paraId="15B0681C"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Partially – Risk reduction</w:t>
            </w:r>
          </w:p>
        </w:tc>
        <w:tc>
          <w:tcPr>
            <w:tcW w:w="1552" w:type="dxa"/>
            <w:gridSpan w:val="2"/>
          </w:tcPr>
          <w:p w14:paraId="2B96B8E3"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Blockchain for AML use</w:t>
            </w:r>
          </w:p>
        </w:tc>
        <w:tc>
          <w:tcPr>
            <w:tcW w:w="1509" w:type="dxa"/>
            <w:gridSpan w:val="2"/>
          </w:tcPr>
          <w:p w14:paraId="37727DCF"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Legal barriers</w:t>
            </w:r>
          </w:p>
        </w:tc>
        <w:tc>
          <w:tcPr>
            <w:tcW w:w="1168" w:type="dxa"/>
            <w:gridSpan w:val="2"/>
          </w:tcPr>
          <w:p w14:paraId="3E514E42"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Not Mentioned</w:t>
            </w:r>
          </w:p>
        </w:tc>
        <w:tc>
          <w:tcPr>
            <w:tcW w:w="1205" w:type="dxa"/>
            <w:gridSpan w:val="2"/>
          </w:tcPr>
          <w:p w14:paraId="50340E92"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Conceptual</w:t>
            </w:r>
          </w:p>
        </w:tc>
        <w:tc>
          <w:tcPr>
            <w:tcW w:w="931" w:type="dxa"/>
          </w:tcPr>
          <w:p w14:paraId="781FD3A6"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Medium</w:t>
            </w:r>
          </w:p>
        </w:tc>
      </w:tr>
      <w:tr w:rsidR="00052AF0" w:rsidRPr="00E9050E" w14:paraId="65FFB112" w14:textId="77777777" w:rsidTr="00B87316">
        <w:tc>
          <w:tcPr>
            <w:tcW w:w="1528" w:type="dxa"/>
            <w:gridSpan w:val="2"/>
          </w:tcPr>
          <w:p w14:paraId="1E42EFE5" w14:textId="77777777" w:rsidR="00052AF0" w:rsidRPr="00E9050E" w:rsidRDefault="00052AF0" w:rsidP="001C1CDF">
            <w:pPr>
              <w:spacing w:line="480" w:lineRule="auto"/>
              <w:jc w:val="both"/>
              <w:rPr>
                <w:rFonts w:ascii="Arial" w:hAnsi="Arial" w:cs="Arial"/>
                <w:b/>
                <w:bCs/>
                <w:sz w:val="20"/>
                <w:szCs w:val="20"/>
              </w:rPr>
            </w:pPr>
            <w:r w:rsidRPr="00E9050E">
              <w:rPr>
                <w:rFonts w:ascii="Arial" w:hAnsi="Arial" w:cs="Arial"/>
                <w:b/>
                <w:bCs/>
                <w:sz w:val="20"/>
                <w:szCs w:val="20"/>
              </w:rPr>
              <w:t>Turki et al. (2020)</w:t>
            </w:r>
          </w:p>
        </w:tc>
        <w:tc>
          <w:tcPr>
            <w:tcW w:w="1253" w:type="dxa"/>
            <w:gridSpan w:val="2"/>
          </w:tcPr>
          <w:p w14:paraId="769C6CB8"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RegTech-only</w:t>
            </w:r>
          </w:p>
        </w:tc>
        <w:tc>
          <w:tcPr>
            <w:tcW w:w="1088" w:type="dxa"/>
            <w:gridSpan w:val="2"/>
          </w:tcPr>
          <w:p w14:paraId="6A03B605"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GCC</w:t>
            </w:r>
          </w:p>
        </w:tc>
        <w:tc>
          <w:tcPr>
            <w:tcW w:w="1883" w:type="dxa"/>
            <w:gridSpan w:val="2"/>
          </w:tcPr>
          <w:p w14:paraId="2B6ABC4D"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Islamic &amp; Conventional Banks</w:t>
            </w:r>
          </w:p>
        </w:tc>
        <w:tc>
          <w:tcPr>
            <w:tcW w:w="1143" w:type="dxa"/>
            <w:gridSpan w:val="2"/>
          </w:tcPr>
          <w:p w14:paraId="38C6B1B0"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KYC, TM, CDD</w:t>
            </w:r>
          </w:p>
        </w:tc>
        <w:tc>
          <w:tcPr>
            <w:tcW w:w="1356" w:type="dxa"/>
            <w:gridSpan w:val="2"/>
          </w:tcPr>
          <w:p w14:paraId="399B6D00"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No</w:t>
            </w:r>
          </w:p>
        </w:tc>
        <w:tc>
          <w:tcPr>
            <w:tcW w:w="1552" w:type="dxa"/>
            <w:gridSpan w:val="2"/>
          </w:tcPr>
          <w:p w14:paraId="1AB17E75"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AML via RegTech in Islamic finance</w:t>
            </w:r>
          </w:p>
        </w:tc>
        <w:tc>
          <w:tcPr>
            <w:tcW w:w="1509" w:type="dxa"/>
            <w:gridSpan w:val="2"/>
          </w:tcPr>
          <w:p w14:paraId="72FB8FBC"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AML process differences</w:t>
            </w:r>
          </w:p>
        </w:tc>
        <w:tc>
          <w:tcPr>
            <w:tcW w:w="1168" w:type="dxa"/>
            <w:gridSpan w:val="2"/>
          </w:tcPr>
          <w:p w14:paraId="37C6013B"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Joint</w:t>
            </w:r>
          </w:p>
        </w:tc>
        <w:tc>
          <w:tcPr>
            <w:tcW w:w="1205" w:type="dxa"/>
            <w:gridSpan w:val="2"/>
          </w:tcPr>
          <w:p w14:paraId="4229F77F"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Qualitative</w:t>
            </w:r>
          </w:p>
        </w:tc>
        <w:tc>
          <w:tcPr>
            <w:tcW w:w="931" w:type="dxa"/>
          </w:tcPr>
          <w:p w14:paraId="5F088C6A"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Low</w:t>
            </w:r>
          </w:p>
        </w:tc>
      </w:tr>
      <w:tr w:rsidR="00052AF0" w:rsidRPr="00E9050E" w14:paraId="1E85FF24" w14:textId="77777777" w:rsidTr="00B87316">
        <w:tc>
          <w:tcPr>
            <w:tcW w:w="1528" w:type="dxa"/>
            <w:gridSpan w:val="2"/>
          </w:tcPr>
          <w:p w14:paraId="6C14FD8B" w14:textId="77777777" w:rsidR="00052AF0" w:rsidRPr="00E9050E" w:rsidRDefault="00052AF0" w:rsidP="001C1CDF">
            <w:pPr>
              <w:spacing w:line="480" w:lineRule="auto"/>
              <w:jc w:val="both"/>
              <w:rPr>
                <w:rFonts w:ascii="Arial" w:hAnsi="Arial" w:cs="Arial"/>
                <w:b/>
                <w:bCs/>
                <w:sz w:val="20"/>
                <w:szCs w:val="20"/>
              </w:rPr>
            </w:pPr>
            <w:r w:rsidRPr="00E9050E">
              <w:rPr>
                <w:rFonts w:ascii="Arial" w:hAnsi="Arial" w:cs="Arial"/>
                <w:b/>
                <w:bCs/>
                <w:sz w:val="20"/>
                <w:szCs w:val="20"/>
              </w:rPr>
              <w:lastRenderedPageBreak/>
              <w:t xml:space="preserve">Rambaud &amp; </w:t>
            </w:r>
            <w:proofErr w:type="spellStart"/>
            <w:r w:rsidRPr="00E9050E">
              <w:rPr>
                <w:rFonts w:ascii="Arial" w:hAnsi="Arial" w:cs="Arial"/>
                <w:b/>
                <w:bCs/>
                <w:sz w:val="20"/>
                <w:szCs w:val="20"/>
              </w:rPr>
              <w:t>Gázquez</w:t>
            </w:r>
            <w:proofErr w:type="spellEnd"/>
            <w:r w:rsidRPr="00E9050E">
              <w:rPr>
                <w:rFonts w:ascii="Arial" w:hAnsi="Arial" w:cs="Arial"/>
                <w:b/>
                <w:bCs/>
                <w:sz w:val="20"/>
                <w:szCs w:val="20"/>
              </w:rPr>
              <w:t xml:space="preserve"> (2022)</w:t>
            </w:r>
          </w:p>
        </w:tc>
        <w:tc>
          <w:tcPr>
            <w:tcW w:w="1253" w:type="dxa"/>
            <w:gridSpan w:val="2"/>
          </w:tcPr>
          <w:p w14:paraId="15EEBEAA"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RegTech-only</w:t>
            </w:r>
          </w:p>
        </w:tc>
        <w:tc>
          <w:tcPr>
            <w:tcW w:w="1088" w:type="dxa"/>
            <w:gridSpan w:val="2"/>
          </w:tcPr>
          <w:p w14:paraId="03152AB2"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Spain</w:t>
            </w:r>
          </w:p>
        </w:tc>
        <w:tc>
          <w:tcPr>
            <w:tcW w:w="1883" w:type="dxa"/>
            <w:gridSpan w:val="2"/>
          </w:tcPr>
          <w:p w14:paraId="5E13A536"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Regulator/FinTech</w:t>
            </w:r>
          </w:p>
        </w:tc>
        <w:tc>
          <w:tcPr>
            <w:tcW w:w="1143" w:type="dxa"/>
            <w:gridSpan w:val="2"/>
          </w:tcPr>
          <w:p w14:paraId="32B5EB73"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Reporting, ESG</w:t>
            </w:r>
          </w:p>
        </w:tc>
        <w:tc>
          <w:tcPr>
            <w:tcW w:w="1356" w:type="dxa"/>
            <w:gridSpan w:val="2"/>
          </w:tcPr>
          <w:p w14:paraId="08167BAA"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Yes – Compliance benefits</w:t>
            </w:r>
          </w:p>
        </w:tc>
        <w:tc>
          <w:tcPr>
            <w:tcW w:w="1552" w:type="dxa"/>
            <w:gridSpan w:val="2"/>
          </w:tcPr>
          <w:p w14:paraId="6192D6E9"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FinTech sustainability case</w:t>
            </w:r>
          </w:p>
        </w:tc>
        <w:tc>
          <w:tcPr>
            <w:tcW w:w="1509" w:type="dxa"/>
            <w:gridSpan w:val="2"/>
          </w:tcPr>
          <w:p w14:paraId="45F865BF"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Governance clarity</w:t>
            </w:r>
          </w:p>
        </w:tc>
        <w:tc>
          <w:tcPr>
            <w:tcW w:w="1168" w:type="dxa"/>
            <w:gridSpan w:val="2"/>
          </w:tcPr>
          <w:p w14:paraId="65642A60"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Joint</w:t>
            </w:r>
          </w:p>
        </w:tc>
        <w:tc>
          <w:tcPr>
            <w:tcW w:w="1205" w:type="dxa"/>
            <w:gridSpan w:val="2"/>
          </w:tcPr>
          <w:p w14:paraId="4EBA847C"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Mixed</w:t>
            </w:r>
          </w:p>
        </w:tc>
        <w:tc>
          <w:tcPr>
            <w:tcW w:w="931" w:type="dxa"/>
          </w:tcPr>
          <w:p w14:paraId="64795A31"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Medium</w:t>
            </w:r>
          </w:p>
        </w:tc>
      </w:tr>
      <w:tr w:rsidR="00052AF0" w:rsidRPr="00E9050E" w14:paraId="3DC3343A" w14:textId="77777777" w:rsidTr="00B87316">
        <w:tc>
          <w:tcPr>
            <w:tcW w:w="1528" w:type="dxa"/>
            <w:gridSpan w:val="2"/>
          </w:tcPr>
          <w:p w14:paraId="72E4302C" w14:textId="77777777" w:rsidR="00052AF0" w:rsidRPr="00E9050E" w:rsidRDefault="00052AF0" w:rsidP="001C1CDF">
            <w:pPr>
              <w:spacing w:line="480" w:lineRule="auto"/>
              <w:jc w:val="both"/>
              <w:rPr>
                <w:rFonts w:ascii="Arial" w:hAnsi="Arial" w:cs="Arial"/>
                <w:b/>
                <w:bCs/>
                <w:sz w:val="20"/>
                <w:szCs w:val="20"/>
              </w:rPr>
            </w:pPr>
            <w:r w:rsidRPr="00E9050E">
              <w:rPr>
                <w:rFonts w:ascii="Arial" w:hAnsi="Arial" w:cs="Arial"/>
                <w:b/>
                <w:bCs/>
                <w:sz w:val="20"/>
                <w:szCs w:val="20"/>
              </w:rPr>
              <w:t xml:space="preserve">Utami &amp; </w:t>
            </w:r>
            <w:proofErr w:type="spellStart"/>
            <w:r w:rsidRPr="00E9050E">
              <w:rPr>
                <w:rFonts w:ascii="Arial" w:hAnsi="Arial" w:cs="Arial"/>
                <w:b/>
                <w:bCs/>
                <w:sz w:val="20"/>
                <w:szCs w:val="20"/>
              </w:rPr>
              <w:t>Septivani</w:t>
            </w:r>
            <w:proofErr w:type="spellEnd"/>
            <w:r w:rsidRPr="00E9050E">
              <w:rPr>
                <w:rFonts w:ascii="Arial" w:hAnsi="Arial" w:cs="Arial"/>
                <w:b/>
                <w:bCs/>
                <w:sz w:val="20"/>
                <w:szCs w:val="20"/>
              </w:rPr>
              <w:t xml:space="preserve"> (2022)</w:t>
            </w:r>
          </w:p>
        </w:tc>
        <w:tc>
          <w:tcPr>
            <w:tcW w:w="1253" w:type="dxa"/>
            <w:gridSpan w:val="2"/>
          </w:tcPr>
          <w:p w14:paraId="3718FEBF"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RegTech-only</w:t>
            </w:r>
          </w:p>
        </w:tc>
        <w:tc>
          <w:tcPr>
            <w:tcW w:w="1088" w:type="dxa"/>
            <w:gridSpan w:val="2"/>
          </w:tcPr>
          <w:p w14:paraId="54F1BB7A"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Indonesia</w:t>
            </w:r>
          </w:p>
        </w:tc>
        <w:tc>
          <w:tcPr>
            <w:tcW w:w="1883" w:type="dxa"/>
            <w:gridSpan w:val="2"/>
          </w:tcPr>
          <w:p w14:paraId="58B22C35"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National banks</w:t>
            </w:r>
          </w:p>
        </w:tc>
        <w:tc>
          <w:tcPr>
            <w:tcW w:w="1143" w:type="dxa"/>
            <w:gridSpan w:val="2"/>
          </w:tcPr>
          <w:p w14:paraId="4656D4E1"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KYC, TM</w:t>
            </w:r>
          </w:p>
        </w:tc>
        <w:tc>
          <w:tcPr>
            <w:tcW w:w="1356" w:type="dxa"/>
            <w:gridSpan w:val="2"/>
          </w:tcPr>
          <w:p w14:paraId="0C319D99"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Yes – Regulatory efficiency</w:t>
            </w:r>
          </w:p>
        </w:tc>
        <w:tc>
          <w:tcPr>
            <w:tcW w:w="1552" w:type="dxa"/>
            <w:gridSpan w:val="2"/>
          </w:tcPr>
          <w:p w14:paraId="6677B299"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AML prevention via RegTech</w:t>
            </w:r>
          </w:p>
        </w:tc>
        <w:tc>
          <w:tcPr>
            <w:tcW w:w="1509" w:type="dxa"/>
            <w:gridSpan w:val="2"/>
          </w:tcPr>
          <w:p w14:paraId="190B8461"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Funding and structure</w:t>
            </w:r>
          </w:p>
        </w:tc>
        <w:tc>
          <w:tcPr>
            <w:tcW w:w="1168" w:type="dxa"/>
            <w:gridSpan w:val="2"/>
          </w:tcPr>
          <w:p w14:paraId="69E24D2F"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Joint</w:t>
            </w:r>
          </w:p>
        </w:tc>
        <w:tc>
          <w:tcPr>
            <w:tcW w:w="1205" w:type="dxa"/>
            <w:gridSpan w:val="2"/>
          </w:tcPr>
          <w:p w14:paraId="29B7FD03"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Mixed</w:t>
            </w:r>
          </w:p>
        </w:tc>
        <w:tc>
          <w:tcPr>
            <w:tcW w:w="931" w:type="dxa"/>
          </w:tcPr>
          <w:p w14:paraId="12721603" w14:textId="777777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Low</w:t>
            </w:r>
          </w:p>
        </w:tc>
      </w:tr>
      <w:tr w:rsidR="00052AF0" w:rsidRPr="00E9050E" w14:paraId="646ADE6F" w14:textId="77777777" w:rsidTr="00B87316">
        <w:tc>
          <w:tcPr>
            <w:tcW w:w="1528" w:type="dxa"/>
            <w:gridSpan w:val="2"/>
          </w:tcPr>
          <w:p w14:paraId="1DA9169F" w14:textId="606B8DFA" w:rsidR="00052AF0" w:rsidRPr="00E9050E" w:rsidRDefault="00052AF0" w:rsidP="001C1CDF">
            <w:pPr>
              <w:spacing w:line="480" w:lineRule="auto"/>
              <w:jc w:val="both"/>
              <w:rPr>
                <w:rFonts w:ascii="Arial" w:hAnsi="Arial" w:cs="Arial"/>
                <w:b/>
                <w:bCs/>
                <w:sz w:val="20"/>
                <w:szCs w:val="20"/>
              </w:rPr>
            </w:pPr>
            <w:r w:rsidRPr="00E9050E">
              <w:rPr>
                <w:rFonts w:ascii="Arial" w:hAnsi="Arial" w:cs="Arial"/>
                <w:b/>
                <w:bCs/>
                <w:sz w:val="20"/>
                <w:szCs w:val="20"/>
              </w:rPr>
              <w:t>Von Solms (2021)</w:t>
            </w:r>
          </w:p>
        </w:tc>
        <w:tc>
          <w:tcPr>
            <w:tcW w:w="1253" w:type="dxa"/>
            <w:gridSpan w:val="2"/>
          </w:tcPr>
          <w:p w14:paraId="7AD5A47B" w14:textId="7054766D"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RegTech-only</w:t>
            </w:r>
          </w:p>
        </w:tc>
        <w:tc>
          <w:tcPr>
            <w:tcW w:w="1088" w:type="dxa"/>
            <w:gridSpan w:val="2"/>
          </w:tcPr>
          <w:p w14:paraId="7113F0E7" w14:textId="1A270648"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South Africa</w:t>
            </w:r>
          </w:p>
        </w:tc>
        <w:tc>
          <w:tcPr>
            <w:tcW w:w="1883" w:type="dxa"/>
            <w:gridSpan w:val="2"/>
          </w:tcPr>
          <w:p w14:paraId="250DAF40" w14:textId="2BB97F1F"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Bank Treasury</w:t>
            </w:r>
          </w:p>
        </w:tc>
        <w:tc>
          <w:tcPr>
            <w:tcW w:w="1143" w:type="dxa"/>
            <w:gridSpan w:val="2"/>
          </w:tcPr>
          <w:p w14:paraId="1909024B" w14:textId="70A57A20"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KYC, Reporting</w:t>
            </w:r>
          </w:p>
        </w:tc>
        <w:tc>
          <w:tcPr>
            <w:tcW w:w="1356" w:type="dxa"/>
            <w:gridSpan w:val="2"/>
          </w:tcPr>
          <w:p w14:paraId="09A9BB23" w14:textId="513CB20A"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Yes – Cost reduction</w:t>
            </w:r>
          </w:p>
        </w:tc>
        <w:tc>
          <w:tcPr>
            <w:tcW w:w="1552" w:type="dxa"/>
            <w:gridSpan w:val="2"/>
          </w:tcPr>
          <w:p w14:paraId="4F7CD08E" w14:textId="5276F97B"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Treasury tech transformation</w:t>
            </w:r>
          </w:p>
        </w:tc>
        <w:tc>
          <w:tcPr>
            <w:tcW w:w="1509" w:type="dxa"/>
            <w:gridSpan w:val="2"/>
          </w:tcPr>
          <w:p w14:paraId="0259C330" w14:textId="3D71C06A"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Integration legacy tech</w:t>
            </w:r>
          </w:p>
        </w:tc>
        <w:tc>
          <w:tcPr>
            <w:tcW w:w="1168" w:type="dxa"/>
            <w:gridSpan w:val="2"/>
          </w:tcPr>
          <w:p w14:paraId="48A1B59E" w14:textId="5C54C403"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Industry-led</w:t>
            </w:r>
          </w:p>
        </w:tc>
        <w:tc>
          <w:tcPr>
            <w:tcW w:w="1205" w:type="dxa"/>
            <w:gridSpan w:val="2"/>
          </w:tcPr>
          <w:p w14:paraId="7EC15C8B" w14:textId="60ED598E"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Qualitative</w:t>
            </w:r>
          </w:p>
        </w:tc>
        <w:tc>
          <w:tcPr>
            <w:tcW w:w="931" w:type="dxa"/>
          </w:tcPr>
          <w:p w14:paraId="5B0831C9" w14:textId="4F6EE877" w:rsidR="00052AF0" w:rsidRPr="00E9050E" w:rsidRDefault="00052AF0" w:rsidP="001C1CDF">
            <w:pPr>
              <w:spacing w:line="480" w:lineRule="auto"/>
              <w:jc w:val="both"/>
              <w:rPr>
                <w:rFonts w:ascii="Arial" w:hAnsi="Arial" w:cs="Arial"/>
                <w:sz w:val="20"/>
                <w:szCs w:val="20"/>
              </w:rPr>
            </w:pPr>
            <w:r w:rsidRPr="00E9050E">
              <w:rPr>
                <w:rFonts w:ascii="Arial" w:hAnsi="Arial" w:cs="Arial"/>
                <w:sz w:val="20"/>
                <w:szCs w:val="20"/>
              </w:rPr>
              <w:t>Medium</w:t>
            </w:r>
          </w:p>
        </w:tc>
      </w:tr>
      <w:bookmarkEnd w:id="0"/>
    </w:tbl>
    <w:p w14:paraId="2F5A163F" w14:textId="77777777" w:rsidR="00B91873" w:rsidRPr="00E9050E" w:rsidRDefault="00B91873" w:rsidP="0012134B">
      <w:pPr>
        <w:spacing w:line="360" w:lineRule="auto"/>
        <w:jc w:val="right"/>
        <w:rPr>
          <w:rFonts w:ascii="Arial" w:hAnsi="Arial" w:cs="Arial"/>
          <w:sz w:val="20"/>
          <w:szCs w:val="20"/>
        </w:rPr>
      </w:pPr>
    </w:p>
    <w:p w14:paraId="10A909AA" w14:textId="77777777" w:rsidR="00D030CE" w:rsidRPr="00E9050E" w:rsidRDefault="0012134B" w:rsidP="0012134B">
      <w:pPr>
        <w:spacing w:line="360" w:lineRule="auto"/>
        <w:jc w:val="both"/>
        <w:rPr>
          <w:rFonts w:ascii="Arial" w:hAnsi="Arial" w:cs="Arial"/>
          <w:sz w:val="20"/>
          <w:szCs w:val="20"/>
        </w:rPr>
      </w:pPr>
      <w:r w:rsidRPr="00E9050E">
        <w:rPr>
          <w:rFonts w:ascii="Arial" w:hAnsi="Arial" w:cs="Arial"/>
          <w:sz w:val="20"/>
          <w:szCs w:val="20"/>
        </w:rPr>
        <w:tab/>
      </w:r>
    </w:p>
    <w:p w14:paraId="4066DC40" w14:textId="2CCEB2AB" w:rsidR="0012134B" w:rsidRPr="00E9050E" w:rsidRDefault="00D030CE" w:rsidP="00D030CE">
      <w:pPr>
        <w:spacing w:line="360" w:lineRule="auto"/>
        <w:jc w:val="center"/>
        <w:rPr>
          <w:rFonts w:ascii="Arial" w:hAnsi="Arial" w:cs="Arial"/>
          <w:sz w:val="20"/>
          <w:szCs w:val="20"/>
        </w:rPr>
      </w:pPr>
      <w:r w:rsidRPr="00E9050E">
        <w:rPr>
          <w:rFonts w:ascii="Arial" w:hAnsi="Arial" w:cs="Arial"/>
          <w:noProof/>
          <w:sz w:val="20"/>
          <w:szCs w:val="20"/>
        </w:rPr>
        <w:lastRenderedPageBreak/>
        <w:drawing>
          <wp:inline distT="0" distB="0" distL="0" distR="0" wp14:anchorId="47CB3E11" wp14:editId="045CA240">
            <wp:extent cx="7574280" cy="3771900"/>
            <wp:effectExtent l="0" t="0" r="7620" b="0"/>
            <wp:docPr id="1310716155" name="Chart 1">
              <a:extLst xmlns:a="http://schemas.openxmlformats.org/drawingml/2006/main">
                <a:ext uri="{FF2B5EF4-FFF2-40B4-BE49-F238E27FC236}">
                  <a16:creationId xmlns:a16="http://schemas.microsoft.com/office/drawing/2014/main" id="{68A306F0-C1A9-D228-F9A2-3E91A6BB0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AA90380" w14:textId="6C248E72" w:rsidR="00D030CE" w:rsidRPr="00E9050E" w:rsidRDefault="0012134B" w:rsidP="00D030CE">
      <w:pPr>
        <w:spacing w:line="360" w:lineRule="auto"/>
        <w:jc w:val="center"/>
        <w:rPr>
          <w:rFonts w:ascii="Arial" w:hAnsi="Arial" w:cs="Arial"/>
          <w:sz w:val="20"/>
          <w:szCs w:val="20"/>
        </w:rPr>
      </w:pPr>
      <w:r w:rsidRPr="00E9050E">
        <w:rPr>
          <w:rFonts w:ascii="Arial" w:hAnsi="Arial" w:cs="Arial"/>
          <w:b/>
          <w:bCs/>
          <w:sz w:val="20"/>
          <w:szCs w:val="20"/>
        </w:rPr>
        <w:t>Figure 3</w:t>
      </w:r>
      <w:r w:rsidRPr="00E9050E">
        <w:rPr>
          <w:rFonts w:ascii="Arial" w:hAnsi="Arial" w:cs="Arial"/>
          <w:sz w:val="20"/>
          <w:szCs w:val="20"/>
        </w:rPr>
        <w:t xml:space="preserve">: </w:t>
      </w:r>
      <w:r w:rsidR="00D030CE" w:rsidRPr="00E9050E">
        <w:rPr>
          <w:rFonts w:ascii="Arial" w:hAnsi="Arial" w:cs="Arial"/>
          <w:sz w:val="20"/>
          <w:szCs w:val="20"/>
        </w:rPr>
        <w:t>Summary of RegTech &amp; Blockchain integration in AML Compliance (Case study themes)</w:t>
      </w:r>
    </w:p>
    <w:p w14:paraId="4F4E56F5" w14:textId="10F7EE0A" w:rsidR="0012134B" w:rsidRPr="00E9050E" w:rsidRDefault="0012134B" w:rsidP="0012134B">
      <w:pPr>
        <w:spacing w:line="360" w:lineRule="auto"/>
        <w:jc w:val="both"/>
        <w:rPr>
          <w:rFonts w:ascii="Arial" w:hAnsi="Arial" w:cs="Arial"/>
          <w:sz w:val="20"/>
          <w:szCs w:val="20"/>
        </w:rPr>
      </w:pPr>
    </w:p>
    <w:p w14:paraId="58EF5EFF" w14:textId="77777777" w:rsidR="0012134B" w:rsidRPr="00E9050E" w:rsidRDefault="0012134B" w:rsidP="0012134B">
      <w:pPr>
        <w:rPr>
          <w:rFonts w:ascii="Arial" w:hAnsi="Arial" w:cs="Arial"/>
          <w:sz w:val="20"/>
          <w:szCs w:val="20"/>
        </w:rPr>
      </w:pPr>
    </w:p>
    <w:p w14:paraId="5710AFB9" w14:textId="4D75BC41" w:rsidR="0012134B" w:rsidRPr="00E9050E" w:rsidRDefault="0012134B" w:rsidP="0012134B">
      <w:pPr>
        <w:rPr>
          <w:rFonts w:ascii="Arial" w:hAnsi="Arial" w:cs="Arial"/>
          <w:sz w:val="20"/>
          <w:szCs w:val="20"/>
        </w:rPr>
        <w:sectPr w:rsidR="0012134B" w:rsidRPr="00E9050E" w:rsidSect="00825F97">
          <w:pgSz w:w="15840" w:h="12240" w:orient="landscape"/>
          <w:pgMar w:top="720" w:right="720" w:bottom="720" w:left="720" w:header="720" w:footer="720" w:gutter="0"/>
          <w:cols w:space="720"/>
          <w:docGrid w:linePitch="360"/>
        </w:sectPr>
      </w:pPr>
    </w:p>
    <w:p w14:paraId="143C4739" w14:textId="77777777" w:rsidR="00A020E3" w:rsidRPr="00E9050E" w:rsidRDefault="00A020E3" w:rsidP="00637D25">
      <w:pPr>
        <w:spacing w:line="360" w:lineRule="auto"/>
        <w:jc w:val="both"/>
        <w:rPr>
          <w:rFonts w:ascii="Arial" w:hAnsi="Arial" w:cs="Arial"/>
          <w:b/>
          <w:bCs/>
          <w:sz w:val="20"/>
          <w:szCs w:val="20"/>
        </w:rPr>
      </w:pPr>
      <w:r w:rsidRPr="00E9050E">
        <w:rPr>
          <w:rFonts w:ascii="Arial" w:hAnsi="Arial" w:cs="Arial"/>
          <w:b/>
          <w:bCs/>
          <w:sz w:val="20"/>
          <w:szCs w:val="20"/>
        </w:rPr>
        <w:lastRenderedPageBreak/>
        <w:t>4.2 Discussion</w:t>
      </w:r>
    </w:p>
    <w:p w14:paraId="334008F4" w14:textId="5F4D66F9" w:rsidR="00DC6925" w:rsidRPr="00DC6925" w:rsidRDefault="00DC6925" w:rsidP="00DC6925">
      <w:pPr>
        <w:spacing w:line="360" w:lineRule="auto"/>
        <w:jc w:val="both"/>
        <w:rPr>
          <w:rFonts w:ascii="Arial" w:hAnsi="Arial" w:cs="Arial"/>
          <w:sz w:val="20"/>
          <w:szCs w:val="20"/>
        </w:rPr>
      </w:pPr>
      <w:r w:rsidRPr="00DC6925">
        <w:rPr>
          <w:rFonts w:ascii="Arial" w:hAnsi="Arial" w:cs="Arial"/>
          <w:sz w:val="20"/>
          <w:szCs w:val="20"/>
        </w:rPr>
        <w:t xml:space="preserve">As demonstrated in many of the reviewed studies, such as </w:t>
      </w:r>
      <w:proofErr w:type="spellStart"/>
      <w:r w:rsidRPr="00DC6925">
        <w:rPr>
          <w:rFonts w:ascii="Arial" w:hAnsi="Arial" w:cs="Arial"/>
          <w:sz w:val="20"/>
          <w:szCs w:val="20"/>
        </w:rPr>
        <w:t>Meiryani</w:t>
      </w:r>
      <w:proofErr w:type="spellEnd"/>
      <w:r w:rsidRPr="00DC6925">
        <w:rPr>
          <w:rFonts w:ascii="Arial" w:hAnsi="Arial" w:cs="Arial"/>
          <w:sz w:val="20"/>
          <w:szCs w:val="20"/>
        </w:rPr>
        <w:t xml:space="preserve"> et al. (2023) in Indonesia and Grassi &amp; Lanfranchi (2022) in Italy, RegTech has helped to greatly improve AML outcomes</w:t>
      </w:r>
      <w:r>
        <w:rPr>
          <w:rFonts w:ascii="Arial" w:hAnsi="Arial" w:cs="Arial"/>
          <w:sz w:val="20"/>
          <w:szCs w:val="20"/>
        </w:rPr>
        <w:t>,</w:t>
      </w:r>
      <w:r w:rsidRPr="00DC6925">
        <w:rPr>
          <w:rFonts w:ascii="Arial" w:hAnsi="Arial" w:cs="Arial"/>
          <w:sz w:val="20"/>
          <w:szCs w:val="20"/>
        </w:rPr>
        <w:t xml:space="preserve"> such as improved transaction monitoring and KYC. This is consistent with </w:t>
      </w:r>
      <w:r>
        <w:rPr>
          <w:rFonts w:ascii="Arial" w:hAnsi="Arial" w:cs="Arial"/>
          <w:sz w:val="20"/>
          <w:szCs w:val="20"/>
        </w:rPr>
        <w:t xml:space="preserve">the </w:t>
      </w:r>
      <w:r w:rsidRPr="00DC6925">
        <w:rPr>
          <w:rFonts w:ascii="Arial" w:hAnsi="Arial" w:cs="Arial"/>
          <w:sz w:val="20"/>
          <w:szCs w:val="20"/>
        </w:rPr>
        <w:t xml:space="preserve">broader international trend. For instance, Wibowo &amp; </w:t>
      </w:r>
      <w:proofErr w:type="spellStart"/>
      <w:r w:rsidRPr="00DC6925">
        <w:rPr>
          <w:rFonts w:ascii="Arial" w:hAnsi="Arial" w:cs="Arial"/>
          <w:sz w:val="20"/>
          <w:szCs w:val="20"/>
        </w:rPr>
        <w:t>Setijaningsih</w:t>
      </w:r>
      <w:proofErr w:type="spellEnd"/>
      <w:r w:rsidRPr="00DC6925">
        <w:rPr>
          <w:rFonts w:ascii="Arial" w:hAnsi="Arial" w:cs="Arial"/>
          <w:sz w:val="20"/>
          <w:szCs w:val="20"/>
        </w:rPr>
        <w:t xml:space="preserve"> (2024) found that transaction monitoring and regulatory infrastructure (not e-KYC) were the most impactful factors in deterrence from money laundering in local banking institutions (Wibowo &amp; </w:t>
      </w:r>
      <w:proofErr w:type="spellStart"/>
      <w:r w:rsidRPr="00DC6925">
        <w:rPr>
          <w:rFonts w:ascii="Arial" w:hAnsi="Arial" w:cs="Arial"/>
          <w:sz w:val="20"/>
          <w:szCs w:val="20"/>
        </w:rPr>
        <w:t>Setijaningsih</w:t>
      </w:r>
      <w:proofErr w:type="spellEnd"/>
      <w:r w:rsidRPr="00DC6925">
        <w:rPr>
          <w:rFonts w:ascii="Arial" w:hAnsi="Arial" w:cs="Arial"/>
          <w:sz w:val="20"/>
          <w:szCs w:val="20"/>
        </w:rPr>
        <w:t>, 2024). In similar lines, Kuram (2020) confirmed that AI-powered RegTech greatly enhances AML detection, but also ascertained with global expert interviews, the escalating sophistication of laundering techniques (</w:t>
      </w:r>
      <w:proofErr w:type="spellStart"/>
      <w:r w:rsidRPr="00DC6925">
        <w:rPr>
          <w:rFonts w:ascii="Arial" w:hAnsi="Arial" w:cs="Arial"/>
          <w:sz w:val="20"/>
          <w:szCs w:val="20"/>
        </w:rPr>
        <w:t>Kurum</w:t>
      </w:r>
      <w:proofErr w:type="spellEnd"/>
      <w:r w:rsidRPr="00DC6925">
        <w:rPr>
          <w:rFonts w:ascii="Arial" w:hAnsi="Arial" w:cs="Arial"/>
          <w:sz w:val="20"/>
          <w:szCs w:val="20"/>
        </w:rPr>
        <w:t xml:space="preserve">, 2020). Similar to </w:t>
      </w:r>
      <w:proofErr w:type="spellStart"/>
      <w:r w:rsidRPr="00DC6925">
        <w:rPr>
          <w:rFonts w:ascii="Arial" w:hAnsi="Arial" w:cs="Arial"/>
          <w:sz w:val="20"/>
          <w:szCs w:val="20"/>
        </w:rPr>
        <w:t>Thommandru</w:t>
      </w:r>
      <w:proofErr w:type="spellEnd"/>
      <w:r w:rsidRPr="00DC6925">
        <w:rPr>
          <w:rFonts w:ascii="Arial" w:hAnsi="Arial" w:cs="Arial"/>
          <w:sz w:val="20"/>
          <w:szCs w:val="20"/>
        </w:rPr>
        <w:t xml:space="preserve"> &amp; Chakka (2023), which specifically mentioned blockchain in the context of AML traceability in India, a study in Saudi Arabia emphasized that blockchain is a double-edged sword in the same context. Since blockchain is a compliance facilitator as well as </w:t>
      </w:r>
      <w:r>
        <w:rPr>
          <w:rFonts w:ascii="Arial" w:hAnsi="Arial" w:cs="Arial"/>
          <w:sz w:val="20"/>
          <w:szCs w:val="20"/>
        </w:rPr>
        <w:t xml:space="preserve">a </w:t>
      </w:r>
      <w:r w:rsidRPr="00DC6925">
        <w:rPr>
          <w:rFonts w:ascii="Arial" w:hAnsi="Arial" w:cs="Arial"/>
          <w:sz w:val="20"/>
          <w:szCs w:val="20"/>
        </w:rPr>
        <w:t>regulatory risk (</w:t>
      </w:r>
      <w:proofErr w:type="spellStart"/>
      <w:r w:rsidRPr="00DC6925">
        <w:rPr>
          <w:rFonts w:ascii="Arial" w:hAnsi="Arial" w:cs="Arial"/>
          <w:sz w:val="20"/>
          <w:szCs w:val="20"/>
        </w:rPr>
        <w:t>Alhejaili</w:t>
      </w:r>
      <w:proofErr w:type="spellEnd"/>
      <w:r w:rsidRPr="00DC6925">
        <w:rPr>
          <w:rFonts w:ascii="Arial" w:hAnsi="Arial" w:cs="Arial"/>
          <w:sz w:val="20"/>
          <w:szCs w:val="20"/>
        </w:rPr>
        <w:t>, 2025)</w:t>
      </w:r>
      <w:r>
        <w:rPr>
          <w:rFonts w:ascii="Arial" w:hAnsi="Arial" w:cs="Arial"/>
          <w:sz w:val="20"/>
          <w:szCs w:val="20"/>
        </w:rPr>
        <w:t>,</w:t>
      </w:r>
      <w:r w:rsidRPr="00DC6925">
        <w:rPr>
          <w:rFonts w:ascii="Arial" w:hAnsi="Arial" w:cs="Arial"/>
          <w:sz w:val="20"/>
          <w:szCs w:val="20"/>
        </w:rPr>
        <w:t xml:space="preserve"> due to the legal ambiguity and regulating DeFi platforms being difficult.</w:t>
      </w:r>
    </w:p>
    <w:p w14:paraId="7D026FFC" w14:textId="21D7FF16" w:rsidR="00DC6925" w:rsidRPr="00DC6925" w:rsidRDefault="00DC6925" w:rsidP="00DC6925">
      <w:pPr>
        <w:spacing w:line="360" w:lineRule="auto"/>
        <w:jc w:val="both"/>
        <w:rPr>
          <w:rFonts w:ascii="Arial" w:hAnsi="Arial" w:cs="Arial"/>
          <w:sz w:val="20"/>
          <w:szCs w:val="20"/>
        </w:rPr>
      </w:pPr>
      <w:proofErr w:type="spellStart"/>
      <w:r>
        <w:rPr>
          <w:rFonts w:ascii="Arial" w:hAnsi="Arial" w:cs="Arial"/>
          <w:sz w:val="20"/>
          <w:szCs w:val="20"/>
        </w:rPr>
        <w:t>Analysing</w:t>
      </w:r>
      <w:proofErr w:type="spellEnd"/>
      <w:r w:rsidRPr="00DC6925">
        <w:rPr>
          <w:rFonts w:ascii="Arial" w:hAnsi="Arial" w:cs="Arial"/>
          <w:sz w:val="20"/>
          <w:szCs w:val="20"/>
        </w:rPr>
        <w:t xml:space="preserve"> the outcomes of the given case studies, such as </w:t>
      </w:r>
      <w:proofErr w:type="spellStart"/>
      <w:r w:rsidRPr="00DC6925">
        <w:rPr>
          <w:rFonts w:ascii="Arial" w:hAnsi="Arial" w:cs="Arial"/>
          <w:sz w:val="20"/>
          <w:szCs w:val="20"/>
        </w:rPr>
        <w:t>Battanta</w:t>
      </w:r>
      <w:proofErr w:type="spellEnd"/>
      <w:r w:rsidRPr="00DC6925">
        <w:rPr>
          <w:rFonts w:ascii="Arial" w:hAnsi="Arial" w:cs="Arial"/>
          <w:sz w:val="20"/>
          <w:szCs w:val="20"/>
        </w:rPr>
        <w:t xml:space="preserve"> et al. (2020) and Von Solms (2021), I found that they also provided measurable financial benefits, cost reduction and efficiency gain. What these results resonate with is recent international studies. For example, Ajayi et al. (2024) mentioned that the adoption of RegTech by Sub-Saharan Africa has greatly reduced compliance costs and reduced the amount of manual </w:t>
      </w:r>
      <w:proofErr w:type="spellStart"/>
      <w:r>
        <w:rPr>
          <w:rFonts w:ascii="Arial" w:hAnsi="Arial" w:cs="Arial"/>
          <w:sz w:val="20"/>
          <w:szCs w:val="20"/>
        </w:rPr>
        <w:t>labour</w:t>
      </w:r>
      <w:proofErr w:type="spellEnd"/>
      <w:r w:rsidRPr="00DC6925">
        <w:rPr>
          <w:rFonts w:ascii="Arial" w:hAnsi="Arial" w:cs="Arial"/>
          <w:sz w:val="20"/>
          <w:szCs w:val="20"/>
        </w:rPr>
        <w:t xml:space="preserve"> needed for institutions to meet complex regulatory requirements (Olawale et al., 2024). El Khoury et al. (2024) highlighted that the integration of RegTech with AI and Blockchain reduced operational efficiency of banks in the UK, Germany, and the Netherlands, making this system more technically complex and causing </w:t>
      </w:r>
      <w:r>
        <w:rPr>
          <w:rFonts w:ascii="Arial" w:hAnsi="Arial" w:cs="Arial"/>
          <w:sz w:val="20"/>
          <w:szCs w:val="20"/>
        </w:rPr>
        <w:t>a</w:t>
      </w:r>
      <w:r w:rsidRPr="00DC6925">
        <w:rPr>
          <w:rFonts w:ascii="Arial" w:hAnsi="Arial" w:cs="Arial"/>
          <w:sz w:val="20"/>
          <w:szCs w:val="20"/>
        </w:rPr>
        <w:t xml:space="preserve"> high level of data governance in managing RegTech. Not all is positive, however, regarding the financial impact. </w:t>
      </w:r>
      <w:proofErr w:type="spellStart"/>
      <w:r w:rsidRPr="00DC6925">
        <w:rPr>
          <w:rFonts w:ascii="Arial" w:hAnsi="Arial" w:cs="Arial"/>
          <w:sz w:val="20"/>
          <w:szCs w:val="20"/>
        </w:rPr>
        <w:t>Bakhos</w:t>
      </w:r>
      <w:proofErr w:type="spellEnd"/>
      <w:r w:rsidRPr="00DC6925">
        <w:rPr>
          <w:rFonts w:ascii="Arial" w:hAnsi="Arial" w:cs="Arial"/>
          <w:sz w:val="20"/>
          <w:szCs w:val="20"/>
        </w:rPr>
        <w:t xml:space="preserve"> </w:t>
      </w:r>
      <w:proofErr w:type="spellStart"/>
      <w:r w:rsidRPr="00DC6925">
        <w:rPr>
          <w:rFonts w:ascii="Arial" w:hAnsi="Arial" w:cs="Arial"/>
          <w:sz w:val="20"/>
          <w:szCs w:val="20"/>
        </w:rPr>
        <w:t>Douaihy</w:t>
      </w:r>
      <w:proofErr w:type="spellEnd"/>
      <w:r w:rsidRPr="00DC6925">
        <w:rPr>
          <w:rFonts w:ascii="Arial" w:hAnsi="Arial" w:cs="Arial"/>
          <w:sz w:val="20"/>
          <w:szCs w:val="20"/>
        </w:rPr>
        <w:t xml:space="preserve"> &amp; Rowe (2023) showed that in Lebanon, RegTech investments could not be beneficial in the presence of economic instability and institutional fragmentation. These are a result of challenges noted by Matari (2024) in Tanzania</w:t>
      </w:r>
      <w:r>
        <w:rPr>
          <w:rFonts w:ascii="Arial" w:hAnsi="Arial" w:cs="Arial"/>
          <w:sz w:val="20"/>
          <w:szCs w:val="20"/>
        </w:rPr>
        <w:t>,</w:t>
      </w:r>
      <w:r w:rsidRPr="00DC6925">
        <w:rPr>
          <w:rFonts w:ascii="Arial" w:hAnsi="Arial" w:cs="Arial"/>
          <w:sz w:val="20"/>
          <w:szCs w:val="20"/>
        </w:rPr>
        <w:t xml:space="preserve"> where RegTech</w:t>
      </w:r>
      <w:r>
        <w:rPr>
          <w:rFonts w:ascii="Arial" w:hAnsi="Arial" w:cs="Arial"/>
          <w:sz w:val="20"/>
          <w:szCs w:val="20"/>
        </w:rPr>
        <w:t>,</w:t>
      </w:r>
      <w:r w:rsidRPr="00DC6925">
        <w:rPr>
          <w:rFonts w:ascii="Arial" w:hAnsi="Arial" w:cs="Arial"/>
          <w:sz w:val="20"/>
          <w:szCs w:val="20"/>
        </w:rPr>
        <w:t xml:space="preserve"> along with generative AI</w:t>
      </w:r>
      <w:r>
        <w:rPr>
          <w:rFonts w:ascii="Arial" w:hAnsi="Arial" w:cs="Arial"/>
          <w:sz w:val="20"/>
          <w:szCs w:val="20"/>
        </w:rPr>
        <w:t>,</w:t>
      </w:r>
      <w:r w:rsidRPr="00DC6925">
        <w:rPr>
          <w:rFonts w:ascii="Arial" w:hAnsi="Arial" w:cs="Arial"/>
          <w:sz w:val="20"/>
          <w:szCs w:val="20"/>
        </w:rPr>
        <w:t xml:space="preserve"> held some promise</w:t>
      </w:r>
      <w:r>
        <w:rPr>
          <w:rFonts w:ascii="Arial" w:hAnsi="Arial" w:cs="Arial"/>
          <w:sz w:val="20"/>
          <w:szCs w:val="20"/>
        </w:rPr>
        <w:t>;</w:t>
      </w:r>
      <w:r w:rsidRPr="00DC6925">
        <w:rPr>
          <w:rFonts w:ascii="Arial" w:hAnsi="Arial" w:cs="Arial"/>
          <w:sz w:val="20"/>
          <w:szCs w:val="20"/>
        </w:rPr>
        <w:t xml:space="preserve"> however, infrastructure and regulatory fragmentation limited its financial return.</w:t>
      </w:r>
    </w:p>
    <w:p w14:paraId="618F22E3" w14:textId="44D15460" w:rsidR="00DC6925" w:rsidRPr="00DC6925" w:rsidRDefault="00DC6925" w:rsidP="00DC6925">
      <w:pPr>
        <w:spacing w:line="360" w:lineRule="auto"/>
        <w:jc w:val="both"/>
        <w:rPr>
          <w:rFonts w:ascii="Arial" w:hAnsi="Arial" w:cs="Arial"/>
          <w:sz w:val="20"/>
          <w:szCs w:val="20"/>
        </w:rPr>
      </w:pPr>
      <w:r w:rsidRPr="00DC6925">
        <w:rPr>
          <w:rFonts w:ascii="Arial" w:hAnsi="Arial" w:cs="Arial"/>
          <w:sz w:val="20"/>
          <w:szCs w:val="20"/>
        </w:rPr>
        <w:t xml:space="preserve">This phenomenon of </w:t>
      </w:r>
      <w:r>
        <w:rPr>
          <w:rFonts w:ascii="Arial" w:hAnsi="Arial" w:cs="Arial"/>
          <w:sz w:val="20"/>
          <w:szCs w:val="20"/>
        </w:rPr>
        <w:t xml:space="preserve">the </w:t>
      </w:r>
      <w:r w:rsidRPr="00DC6925">
        <w:rPr>
          <w:rFonts w:ascii="Arial" w:hAnsi="Arial" w:cs="Arial"/>
          <w:sz w:val="20"/>
          <w:szCs w:val="20"/>
        </w:rPr>
        <w:t xml:space="preserve">challenge of implementation is one of the prominent phenomena found in all global studies. The common issues in this review included: legacy IT systems, misalignment with vendors, funding limitations and jurisdictional complexities in Turki </w:t>
      </w:r>
      <w:r>
        <w:rPr>
          <w:rFonts w:ascii="Arial" w:hAnsi="Arial" w:cs="Arial"/>
          <w:sz w:val="20"/>
          <w:szCs w:val="20"/>
        </w:rPr>
        <w:t>et</w:t>
      </w:r>
      <w:r w:rsidRPr="00DC6925">
        <w:rPr>
          <w:rFonts w:ascii="Arial" w:hAnsi="Arial" w:cs="Arial"/>
          <w:sz w:val="20"/>
          <w:szCs w:val="20"/>
        </w:rPr>
        <w:t xml:space="preserve"> al. (2020) and Utami &amp; </w:t>
      </w:r>
      <w:proofErr w:type="spellStart"/>
      <w:r w:rsidRPr="00DC6925">
        <w:rPr>
          <w:rFonts w:ascii="Arial" w:hAnsi="Arial" w:cs="Arial"/>
          <w:sz w:val="20"/>
          <w:szCs w:val="20"/>
        </w:rPr>
        <w:t>Septivani</w:t>
      </w:r>
      <w:proofErr w:type="spellEnd"/>
      <w:r w:rsidRPr="00DC6925">
        <w:rPr>
          <w:rFonts w:ascii="Arial" w:hAnsi="Arial" w:cs="Arial"/>
          <w:sz w:val="20"/>
          <w:szCs w:val="20"/>
        </w:rPr>
        <w:t xml:space="preserve"> (2022). Similar challenges are reported globally. As an example, Obeng et al. (2024) highlighted how FinTech-based AML tools make it challenging for regulators to adapt in the face of FinTech being used </w:t>
      </w:r>
      <w:r>
        <w:rPr>
          <w:rFonts w:ascii="Arial" w:hAnsi="Arial" w:cs="Arial"/>
          <w:sz w:val="20"/>
          <w:szCs w:val="20"/>
        </w:rPr>
        <w:t>cross-jurisdictionally</w:t>
      </w:r>
      <w:r w:rsidRPr="00DC6925">
        <w:rPr>
          <w:rFonts w:ascii="Arial" w:hAnsi="Arial" w:cs="Arial"/>
          <w:sz w:val="20"/>
          <w:szCs w:val="20"/>
        </w:rPr>
        <w:t xml:space="preserve"> in the absence of </w:t>
      </w:r>
      <w:proofErr w:type="spellStart"/>
      <w:r w:rsidRPr="00DC6925">
        <w:rPr>
          <w:rFonts w:ascii="Arial" w:hAnsi="Arial" w:cs="Arial"/>
          <w:sz w:val="20"/>
          <w:szCs w:val="20"/>
        </w:rPr>
        <w:t>harmonised</w:t>
      </w:r>
      <w:proofErr w:type="spellEnd"/>
      <w:r w:rsidRPr="00DC6925">
        <w:rPr>
          <w:rFonts w:ascii="Arial" w:hAnsi="Arial" w:cs="Arial"/>
          <w:sz w:val="20"/>
          <w:szCs w:val="20"/>
        </w:rPr>
        <w:t xml:space="preserve"> standards.</w:t>
      </w:r>
    </w:p>
    <w:p w14:paraId="4B3A408C" w14:textId="77777777" w:rsidR="00DC6925" w:rsidRPr="00DC6925" w:rsidRDefault="00DC6925" w:rsidP="00DC6925">
      <w:pPr>
        <w:spacing w:line="360" w:lineRule="auto"/>
        <w:jc w:val="both"/>
        <w:rPr>
          <w:rFonts w:ascii="Arial" w:hAnsi="Arial" w:cs="Arial"/>
          <w:sz w:val="20"/>
          <w:szCs w:val="20"/>
        </w:rPr>
      </w:pPr>
      <w:r w:rsidRPr="00DC6925">
        <w:rPr>
          <w:rFonts w:ascii="Arial" w:hAnsi="Arial" w:cs="Arial"/>
          <w:sz w:val="20"/>
          <w:szCs w:val="20"/>
        </w:rPr>
        <w:t>The most serious hurdle to blockchain’s wide adoption is also its legal uncertainty. As has been described by Hasan et al. (2024), crypto regulations vary greatly between countries; therefore, any AML compliance efforts based on blockchain-based identity or smart contract systems are significantly complicated (Hasan et al., 2024). It corresponds to the implementation gaps identified in the review’s case from India and the Middle East.</w:t>
      </w:r>
    </w:p>
    <w:p w14:paraId="4561BB6E" w14:textId="378ACA6F" w:rsidR="00DC6925" w:rsidRPr="00DC6925" w:rsidRDefault="00DC6925" w:rsidP="00DC6925">
      <w:pPr>
        <w:spacing w:line="360" w:lineRule="auto"/>
        <w:jc w:val="both"/>
        <w:rPr>
          <w:rFonts w:ascii="Arial" w:hAnsi="Arial" w:cs="Arial"/>
          <w:sz w:val="20"/>
          <w:szCs w:val="20"/>
        </w:rPr>
      </w:pPr>
      <w:r w:rsidRPr="00DC6925">
        <w:rPr>
          <w:rFonts w:ascii="Arial" w:hAnsi="Arial" w:cs="Arial"/>
          <w:sz w:val="20"/>
          <w:szCs w:val="20"/>
        </w:rPr>
        <w:t xml:space="preserve">Among other things, the review found that </w:t>
      </w:r>
      <w:r>
        <w:rPr>
          <w:rFonts w:ascii="Arial" w:hAnsi="Arial" w:cs="Arial"/>
          <w:sz w:val="20"/>
          <w:szCs w:val="20"/>
        </w:rPr>
        <w:t>regulator-only</w:t>
      </w:r>
      <w:r w:rsidRPr="00DC6925">
        <w:rPr>
          <w:rFonts w:ascii="Arial" w:hAnsi="Arial" w:cs="Arial"/>
          <w:sz w:val="20"/>
          <w:szCs w:val="20"/>
        </w:rPr>
        <w:t xml:space="preserve"> or </w:t>
      </w:r>
      <w:r>
        <w:rPr>
          <w:rFonts w:ascii="Arial" w:hAnsi="Arial" w:cs="Arial"/>
          <w:sz w:val="20"/>
          <w:szCs w:val="20"/>
        </w:rPr>
        <w:t>industry-only</w:t>
      </w:r>
      <w:r w:rsidRPr="00DC6925">
        <w:rPr>
          <w:rFonts w:ascii="Arial" w:hAnsi="Arial" w:cs="Arial"/>
          <w:sz w:val="20"/>
          <w:szCs w:val="20"/>
        </w:rPr>
        <w:t xml:space="preserve"> efforts tend to be less effective at adoption and scalability than joint </w:t>
      </w:r>
      <w:r>
        <w:rPr>
          <w:rFonts w:ascii="Arial" w:hAnsi="Arial" w:cs="Arial"/>
          <w:sz w:val="20"/>
          <w:szCs w:val="20"/>
        </w:rPr>
        <w:t>public-private</w:t>
      </w:r>
      <w:r w:rsidRPr="00DC6925">
        <w:rPr>
          <w:rFonts w:ascii="Arial" w:hAnsi="Arial" w:cs="Arial"/>
          <w:sz w:val="20"/>
          <w:szCs w:val="20"/>
        </w:rPr>
        <w:t xml:space="preserve"> initiatives (i.e. in Indonesia and Spain). This is very in line with what Nanda (2024) found</w:t>
      </w:r>
      <w:r>
        <w:rPr>
          <w:rFonts w:ascii="Arial" w:hAnsi="Arial" w:cs="Arial"/>
          <w:sz w:val="20"/>
          <w:szCs w:val="20"/>
        </w:rPr>
        <w:t>,</w:t>
      </w:r>
      <w:r w:rsidRPr="00DC6925">
        <w:rPr>
          <w:rFonts w:ascii="Arial" w:hAnsi="Arial" w:cs="Arial"/>
          <w:sz w:val="20"/>
          <w:szCs w:val="20"/>
        </w:rPr>
        <w:t xml:space="preserve"> shouting out the importance of regulatory support and stakeholder alignment for </w:t>
      </w:r>
      <w:r>
        <w:rPr>
          <w:rFonts w:ascii="Arial" w:hAnsi="Arial" w:cs="Arial"/>
          <w:sz w:val="20"/>
          <w:szCs w:val="20"/>
        </w:rPr>
        <w:t xml:space="preserve">the </w:t>
      </w:r>
      <w:r w:rsidRPr="00DC6925">
        <w:rPr>
          <w:rFonts w:ascii="Arial" w:hAnsi="Arial" w:cs="Arial"/>
          <w:sz w:val="20"/>
          <w:szCs w:val="20"/>
        </w:rPr>
        <w:t xml:space="preserve">successful scaling of RegTech into the inclusive financial ecosystem. Moreover, according to Olaiya et al. (2024), regulatory collaboration was a necessary condition for </w:t>
      </w:r>
      <w:proofErr w:type="spellStart"/>
      <w:r w:rsidRPr="00DC6925">
        <w:rPr>
          <w:rFonts w:ascii="Arial" w:hAnsi="Arial" w:cs="Arial"/>
          <w:sz w:val="20"/>
          <w:szCs w:val="20"/>
        </w:rPr>
        <w:t>realising</w:t>
      </w:r>
      <w:proofErr w:type="spellEnd"/>
      <w:r w:rsidRPr="00DC6925">
        <w:rPr>
          <w:rFonts w:ascii="Arial" w:hAnsi="Arial" w:cs="Arial"/>
          <w:sz w:val="20"/>
          <w:szCs w:val="20"/>
        </w:rPr>
        <w:t xml:space="preserve"> compliance outcomes as well as sustainable objectives in Sub-Saharan Africa. While still inhibited by weak infrastructure and fractured policy in countries where it is not, scalability is on the rise in countries where regulatory </w:t>
      </w:r>
      <w:r w:rsidRPr="00DC6925">
        <w:rPr>
          <w:rFonts w:ascii="Arial" w:hAnsi="Arial" w:cs="Arial"/>
          <w:sz w:val="20"/>
          <w:szCs w:val="20"/>
        </w:rPr>
        <w:lastRenderedPageBreak/>
        <w:t xml:space="preserve">and </w:t>
      </w:r>
      <w:proofErr w:type="spellStart"/>
      <w:r w:rsidRPr="00DC6925">
        <w:rPr>
          <w:rFonts w:ascii="Arial" w:hAnsi="Arial" w:cs="Arial"/>
          <w:sz w:val="20"/>
          <w:szCs w:val="20"/>
        </w:rPr>
        <w:t>digitalisation</w:t>
      </w:r>
      <w:proofErr w:type="spellEnd"/>
      <w:r w:rsidRPr="00DC6925">
        <w:rPr>
          <w:rFonts w:ascii="Arial" w:hAnsi="Arial" w:cs="Arial"/>
          <w:sz w:val="20"/>
          <w:szCs w:val="20"/>
        </w:rPr>
        <w:t xml:space="preserve"> push is real. In Italy, for example, </w:t>
      </w:r>
      <w:proofErr w:type="spellStart"/>
      <w:r w:rsidRPr="00DC6925">
        <w:rPr>
          <w:rFonts w:ascii="Arial" w:hAnsi="Arial" w:cs="Arial"/>
          <w:sz w:val="20"/>
          <w:szCs w:val="20"/>
        </w:rPr>
        <w:t>Cucari</w:t>
      </w:r>
      <w:proofErr w:type="spellEnd"/>
      <w:r w:rsidRPr="00DC6925">
        <w:rPr>
          <w:rFonts w:ascii="Arial" w:hAnsi="Arial" w:cs="Arial"/>
          <w:sz w:val="20"/>
          <w:szCs w:val="20"/>
        </w:rPr>
        <w:t xml:space="preserve"> et al. (2022) describe the Interbank Spunta Project, an example of a blockchain and RegTech system that drives high scalability within a </w:t>
      </w:r>
      <w:proofErr w:type="spellStart"/>
      <w:r w:rsidR="00D13091">
        <w:rPr>
          <w:rFonts w:ascii="Arial" w:hAnsi="Arial" w:cs="Arial"/>
          <w:sz w:val="20"/>
          <w:szCs w:val="20"/>
        </w:rPr>
        <w:t>harmonised</w:t>
      </w:r>
      <w:proofErr w:type="spellEnd"/>
      <w:r w:rsidRPr="00DC6925">
        <w:rPr>
          <w:rFonts w:ascii="Arial" w:hAnsi="Arial" w:cs="Arial"/>
          <w:sz w:val="20"/>
          <w:szCs w:val="20"/>
        </w:rPr>
        <w:t xml:space="preserve"> rule set environment</w:t>
      </w:r>
      <w:r w:rsidR="00D13091">
        <w:rPr>
          <w:rFonts w:ascii="Arial" w:hAnsi="Arial" w:cs="Arial"/>
          <w:sz w:val="20"/>
          <w:szCs w:val="20"/>
        </w:rPr>
        <w:t>,</w:t>
      </w:r>
      <w:r w:rsidRPr="00DC6925">
        <w:rPr>
          <w:rFonts w:ascii="Arial" w:hAnsi="Arial" w:cs="Arial"/>
          <w:sz w:val="20"/>
          <w:szCs w:val="20"/>
        </w:rPr>
        <w:t xml:space="preserve"> which has been advanced further in Europe.</w:t>
      </w:r>
    </w:p>
    <w:p w14:paraId="6F63B267" w14:textId="4C8FD817" w:rsidR="0021033F" w:rsidRPr="00E9050E" w:rsidRDefault="0021033F" w:rsidP="00DC6925">
      <w:pPr>
        <w:spacing w:line="360" w:lineRule="auto"/>
        <w:jc w:val="both"/>
        <w:rPr>
          <w:rFonts w:ascii="Arial" w:hAnsi="Arial" w:cs="Arial"/>
          <w:b/>
          <w:bCs/>
          <w:sz w:val="20"/>
          <w:szCs w:val="20"/>
        </w:rPr>
      </w:pPr>
      <w:r w:rsidRPr="00E9050E">
        <w:rPr>
          <w:rFonts w:ascii="Arial" w:hAnsi="Arial" w:cs="Arial"/>
          <w:b/>
          <w:bCs/>
          <w:sz w:val="20"/>
          <w:szCs w:val="20"/>
        </w:rPr>
        <w:t>5.0 Conclusion and recommendations for future studies</w:t>
      </w:r>
    </w:p>
    <w:p w14:paraId="6BF9C1E9" w14:textId="77777777" w:rsidR="00307415" w:rsidRPr="00E9050E" w:rsidRDefault="00307415" w:rsidP="00637D25">
      <w:pPr>
        <w:spacing w:line="360" w:lineRule="auto"/>
        <w:jc w:val="both"/>
        <w:rPr>
          <w:rFonts w:ascii="Arial" w:hAnsi="Arial" w:cs="Arial"/>
          <w:b/>
          <w:bCs/>
          <w:sz w:val="20"/>
          <w:szCs w:val="20"/>
        </w:rPr>
      </w:pPr>
      <w:r w:rsidRPr="00E9050E">
        <w:rPr>
          <w:rFonts w:ascii="Arial" w:hAnsi="Arial" w:cs="Arial"/>
          <w:b/>
          <w:bCs/>
          <w:sz w:val="20"/>
          <w:szCs w:val="20"/>
        </w:rPr>
        <w:t>5.1 Conclusion</w:t>
      </w:r>
    </w:p>
    <w:p w14:paraId="07B5927B" w14:textId="66836B9A" w:rsidR="00D53CC9" w:rsidRDefault="00D53CC9" w:rsidP="00637D25">
      <w:pPr>
        <w:spacing w:line="360" w:lineRule="auto"/>
        <w:jc w:val="both"/>
        <w:rPr>
          <w:rFonts w:ascii="Arial" w:hAnsi="Arial" w:cs="Arial"/>
          <w:sz w:val="20"/>
          <w:szCs w:val="20"/>
        </w:rPr>
      </w:pPr>
      <w:r w:rsidRPr="00D53CC9">
        <w:rPr>
          <w:rFonts w:ascii="Arial" w:hAnsi="Arial" w:cs="Arial"/>
          <w:sz w:val="20"/>
          <w:szCs w:val="20"/>
        </w:rPr>
        <w:t xml:space="preserve">This review has discussed the application of Regulatory Technology (RegTech) and blockchain technology in building Anti Money Laundering (AML) compliance, </w:t>
      </w:r>
      <w:r w:rsidR="008E370F">
        <w:rPr>
          <w:rFonts w:ascii="Arial" w:hAnsi="Arial" w:cs="Arial"/>
          <w:sz w:val="20"/>
          <w:szCs w:val="20"/>
        </w:rPr>
        <w:t>concerning</w:t>
      </w:r>
      <w:r w:rsidRPr="00D53CC9">
        <w:rPr>
          <w:rFonts w:ascii="Arial" w:hAnsi="Arial" w:cs="Arial"/>
          <w:sz w:val="20"/>
          <w:szCs w:val="20"/>
        </w:rPr>
        <w:t xml:space="preserve"> effectiveness and financial and implementation investments across jurisdictions. Through the results of 1</w:t>
      </w:r>
      <w:r w:rsidR="008E370F">
        <w:rPr>
          <w:rFonts w:ascii="Arial" w:hAnsi="Arial" w:cs="Arial"/>
          <w:sz w:val="20"/>
          <w:szCs w:val="20"/>
        </w:rPr>
        <w:t>2</w:t>
      </w:r>
      <w:r w:rsidRPr="00D53CC9">
        <w:rPr>
          <w:rFonts w:ascii="Arial" w:hAnsi="Arial" w:cs="Arial"/>
          <w:sz w:val="20"/>
          <w:szCs w:val="20"/>
        </w:rPr>
        <w:t xml:space="preserve"> </w:t>
      </w:r>
      <w:r w:rsidR="008E370F" w:rsidRPr="00D53CC9">
        <w:rPr>
          <w:rFonts w:ascii="Arial" w:hAnsi="Arial" w:cs="Arial"/>
          <w:sz w:val="20"/>
          <w:szCs w:val="20"/>
        </w:rPr>
        <w:t>case-based</w:t>
      </w:r>
      <w:r w:rsidRPr="00D53CC9">
        <w:rPr>
          <w:rFonts w:ascii="Arial" w:hAnsi="Arial" w:cs="Arial"/>
          <w:sz w:val="20"/>
          <w:szCs w:val="20"/>
        </w:rPr>
        <w:t xml:space="preserve"> studies, findings reveal that RegTech has improved the accuracy and productivity of the AML processes, especially in areas like KYC, Transaction monitoring and reporting of compliance. Although blockchain is in its infancy when it comes to </w:t>
      </w:r>
      <w:r w:rsidR="008E370F">
        <w:rPr>
          <w:rFonts w:ascii="Arial" w:hAnsi="Arial" w:cs="Arial"/>
          <w:sz w:val="20"/>
          <w:szCs w:val="20"/>
        </w:rPr>
        <w:t>applications</w:t>
      </w:r>
      <w:r w:rsidRPr="00D53CC9">
        <w:rPr>
          <w:rFonts w:ascii="Arial" w:hAnsi="Arial" w:cs="Arial"/>
          <w:sz w:val="20"/>
          <w:szCs w:val="20"/>
        </w:rPr>
        <w:t xml:space="preserve">, it could aid </w:t>
      </w:r>
      <w:r w:rsidR="00D13091">
        <w:rPr>
          <w:rFonts w:ascii="Arial" w:hAnsi="Arial" w:cs="Arial"/>
          <w:sz w:val="20"/>
          <w:szCs w:val="20"/>
        </w:rPr>
        <w:t>in</w:t>
      </w:r>
      <w:r w:rsidRPr="00D53CC9">
        <w:rPr>
          <w:rFonts w:ascii="Arial" w:hAnsi="Arial" w:cs="Arial"/>
          <w:sz w:val="20"/>
          <w:szCs w:val="20"/>
        </w:rPr>
        <w:t xml:space="preserve"> improving transaction traceability and enhancing the value of the compliance process. If well supported, institutions can successfully implement collaborative implementation frameworks with government regulators, depending on the example of countries such as Italy, Indonesia, and Spain</w:t>
      </w:r>
      <w:r w:rsidR="008E370F">
        <w:rPr>
          <w:rFonts w:ascii="Arial" w:hAnsi="Arial" w:cs="Arial"/>
          <w:sz w:val="20"/>
          <w:szCs w:val="20"/>
        </w:rPr>
        <w:t>.</w:t>
      </w:r>
      <w:r w:rsidRPr="00D53CC9">
        <w:rPr>
          <w:rFonts w:ascii="Arial" w:hAnsi="Arial" w:cs="Arial"/>
          <w:sz w:val="20"/>
          <w:szCs w:val="20"/>
        </w:rPr>
        <w:t xml:space="preserve"> such technology has already led to significant increases in the performance of AML programs. Despite that, the review also reveals flaws in adopting technology across various regions. However, legal uncertainty, the presence of outmoded legacy systems, geopolitical uncertainty, lack of digital infrastructure (facilities and resources) impede the implementation</w:t>
      </w:r>
      <w:r w:rsidR="008E370F">
        <w:rPr>
          <w:rFonts w:ascii="Arial" w:hAnsi="Arial" w:cs="Arial"/>
          <w:sz w:val="20"/>
          <w:szCs w:val="20"/>
        </w:rPr>
        <w:t>,</w:t>
      </w:r>
      <w:r w:rsidRPr="00D53CC9">
        <w:rPr>
          <w:rFonts w:ascii="Arial" w:hAnsi="Arial" w:cs="Arial"/>
          <w:sz w:val="20"/>
          <w:szCs w:val="20"/>
        </w:rPr>
        <w:t xml:space="preserve"> especially in developing economies. Moreover, while there are still many areas of scalability limitation, such as funding constraints, institutional fragmentation and lack of technical expertise to implement and adopt blocks and RegTech in such places as Lebanon, the financial benefits of RegTech and blocks adoption are very much present. Consequently, they become powerful tools that </w:t>
      </w:r>
      <w:proofErr w:type="spellStart"/>
      <w:r w:rsidR="008E370F">
        <w:rPr>
          <w:rFonts w:ascii="Arial" w:hAnsi="Arial" w:cs="Arial"/>
          <w:sz w:val="20"/>
          <w:szCs w:val="20"/>
        </w:rPr>
        <w:t>modernise</w:t>
      </w:r>
      <w:proofErr w:type="spellEnd"/>
      <w:r w:rsidRPr="00D53CC9">
        <w:rPr>
          <w:rFonts w:ascii="Arial" w:hAnsi="Arial" w:cs="Arial"/>
          <w:sz w:val="20"/>
          <w:szCs w:val="20"/>
        </w:rPr>
        <w:t xml:space="preserve"> AML compliance, however</w:t>
      </w:r>
      <w:r w:rsidR="008E370F">
        <w:rPr>
          <w:rFonts w:ascii="Arial" w:hAnsi="Arial" w:cs="Arial"/>
          <w:sz w:val="20"/>
          <w:szCs w:val="20"/>
        </w:rPr>
        <w:t>,</w:t>
      </w:r>
      <w:r w:rsidRPr="00D53CC9">
        <w:rPr>
          <w:rFonts w:ascii="Arial" w:hAnsi="Arial" w:cs="Arial"/>
          <w:sz w:val="20"/>
          <w:szCs w:val="20"/>
        </w:rPr>
        <w:t xml:space="preserve"> only when cohesive regulatory edges, capacity building and investment in technological infrastructure are incorporated.</w:t>
      </w:r>
    </w:p>
    <w:p w14:paraId="00943682" w14:textId="530BD34A" w:rsidR="0008549A" w:rsidRPr="00E9050E" w:rsidRDefault="0008549A" w:rsidP="00637D25">
      <w:pPr>
        <w:spacing w:line="360" w:lineRule="auto"/>
        <w:jc w:val="both"/>
        <w:rPr>
          <w:rFonts w:ascii="Arial" w:hAnsi="Arial" w:cs="Arial"/>
          <w:b/>
          <w:bCs/>
          <w:sz w:val="20"/>
          <w:szCs w:val="20"/>
        </w:rPr>
      </w:pPr>
      <w:r w:rsidRPr="00E9050E">
        <w:rPr>
          <w:rFonts w:ascii="Arial" w:hAnsi="Arial" w:cs="Arial"/>
          <w:b/>
          <w:bCs/>
          <w:sz w:val="20"/>
          <w:szCs w:val="20"/>
        </w:rPr>
        <w:t>5.2 Limitations of the Study</w:t>
      </w:r>
    </w:p>
    <w:p w14:paraId="6ACB9C24" w14:textId="378AF4D8" w:rsidR="008E370F" w:rsidRDefault="008E370F" w:rsidP="00637D25">
      <w:pPr>
        <w:spacing w:line="360" w:lineRule="auto"/>
        <w:jc w:val="both"/>
        <w:rPr>
          <w:rFonts w:ascii="Arial" w:hAnsi="Arial" w:cs="Arial"/>
          <w:sz w:val="20"/>
          <w:szCs w:val="20"/>
        </w:rPr>
      </w:pPr>
      <w:r w:rsidRPr="008E370F">
        <w:rPr>
          <w:rFonts w:ascii="Arial" w:hAnsi="Arial" w:cs="Arial"/>
          <w:sz w:val="20"/>
          <w:szCs w:val="20"/>
        </w:rPr>
        <w:t>A significant limitation of this review is that it relies on publicly available sources—case studies and academic reports—of which these can be of varying quality when it comes to depicting what is happening with RegTech and blockchain technologies within financial institutions. Institutions</w:t>
      </w:r>
      <w:r>
        <w:rPr>
          <w:rFonts w:ascii="Arial" w:hAnsi="Arial" w:cs="Arial"/>
          <w:sz w:val="20"/>
          <w:szCs w:val="20"/>
        </w:rPr>
        <w:t>,</w:t>
      </w:r>
      <w:r w:rsidRPr="008E370F">
        <w:rPr>
          <w:rFonts w:ascii="Arial" w:hAnsi="Arial" w:cs="Arial"/>
          <w:sz w:val="20"/>
          <w:szCs w:val="20"/>
        </w:rPr>
        <w:t xml:space="preserve"> particularly in financial crime compliance, operate under such strict confidentiality that is, you cannot access some real data set or the like</w:t>
      </w:r>
      <w:r>
        <w:rPr>
          <w:rFonts w:ascii="Arial" w:hAnsi="Arial" w:cs="Arial"/>
          <w:sz w:val="20"/>
          <w:szCs w:val="20"/>
        </w:rPr>
        <w:t>,</w:t>
      </w:r>
      <w:r w:rsidRPr="008E370F">
        <w:rPr>
          <w:rFonts w:ascii="Arial" w:hAnsi="Arial" w:cs="Arial"/>
          <w:sz w:val="20"/>
          <w:szCs w:val="20"/>
        </w:rPr>
        <w:t xml:space="preserve"> for that matter. Thus, the review may suffer from </w:t>
      </w:r>
      <w:r>
        <w:rPr>
          <w:rFonts w:ascii="Arial" w:hAnsi="Arial" w:cs="Arial"/>
          <w:sz w:val="20"/>
          <w:szCs w:val="20"/>
        </w:rPr>
        <w:t>underrepresentation</w:t>
      </w:r>
      <w:r w:rsidRPr="008E370F">
        <w:rPr>
          <w:rFonts w:ascii="Arial" w:hAnsi="Arial" w:cs="Arial"/>
          <w:sz w:val="20"/>
          <w:szCs w:val="20"/>
        </w:rPr>
        <w:t xml:space="preserve"> of successful or unsuccessful </w:t>
      </w:r>
      <w:r>
        <w:rPr>
          <w:rFonts w:ascii="Arial" w:hAnsi="Arial" w:cs="Arial"/>
          <w:sz w:val="20"/>
          <w:szCs w:val="20"/>
        </w:rPr>
        <w:t>real-life</w:t>
      </w:r>
      <w:r w:rsidRPr="008E370F">
        <w:rPr>
          <w:rFonts w:ascii="Arial" w:hAnsi="Arial" w:cs="Arial"/>
          <w:sz w:val="20"/>
          <w:szCs w:val="20"/>
        </w:rPr>
        <w:t xml:space="preserve"> cases not documented in academic or grey literature. The review focuses on the financial and operational impact, but very few </w:t>
      </w:r>
      <w:r>
        <w:rPr>
          <w:rFonts w:ascii="Arial" w:hAnsi="Arial" w:cs="Arial"/>
          <w:sz w:val="20"/>
          <w:szCs w:val="20"/>
        </w:rPr>
        <w:t>provide</w:t>
      </w:r>
      <w:r w:rsidRPr="008E370F">
        <w:rPr>
          <w:rFonts w:ascii="Arial" w:hAnsi="Arial" w:cs="Arial"/>
          <w:sz w:val="20"/>
          <w:szCs w:val="20"/>
        </w:rPr>
        <w:t xml:space="preserve"> rigorous quantification of cost savings, ROI or risk mitigation and some of the answers are based on subjective or qualitative perspectives. </w:t>
      </w:r>
    </w:p>
    <w:p w14:paraId="18BFD5D4" w14:textId="2674D2E7" w:rsidR="0008549A" w:rsidRPr="00E9050E" w:rsidRDefault="0008549A" w:rsidP="00637D25">
      <w:pPr>
        <w:spacing w:line="360" w:lineRule="auto"/>
        <w:jc w:val="both"/>
        <w:rPr>
          <w:rFonts w:ascii="Arial" w:hAnsi="Arial" w:cs="Arial"/>
          <w:b/>
          <w:bCs/>
          <w:sz w:val="20"/>
          <w:szCs w:val="20"/>
        </w:rPr>
      </w:pPr>
      <w:r w:rsidRPr="00E9050E">
        <w:rPr>
          <w:rFonts w:ascii="Arial" w:hAnsi="Arial" w:cs="Arial"/>
          <w:b/>
          <w:bCs/>
          <w:sz w:val="20"/>
          <w:szCs w:val="20"/>
        </w:rPr>
        <w:t>5.3 Recommendations for Future Research</w:t>
      </w:r>
    </w:p>
    <w:p w14:paraId="5F24D7D9" w14:textId="79CC2542" w:rsidR="00D53CC9" w:rsidRDefault="008E370F" w:rsidP="00637D25">
      <w:pPr>
        <w:spacing w:line="360" w:lineRule="auto"/>
        <w:jc w:val="both"/>
        <w:rPr>
          <w:rFonts w:ascii="Arial" w:hAnsi="Arial" w:cs="Arial"/>
          <w:sz w:val="20"/>
          <w:szCs w:val="20"/>
        </w:rPr>
      </w:pPr>
      <w:r w:rsidRPr="008E370F">
        <w:rPr>
          <w:rFonts w:ascii="Arial" w:hAnsi="Arial" w:cs="Arial"/>
          <w:sz w:val="20"/>
          <w:szCs w:val="20"/>
        </w:rPr>
        <w:t xml:space="preserve">The current data gaps are also a target for future research that should include </w:t>
      </w:r>
      <w:r>
        <w:rPr>
          <w:rFonts w:ascii="Arial" w:hAnsi="Arial" w:cs="Arial"/>
          <w:sz w:val="20"/>
          <w:szCs w:val="20"/>
        </w:rPr>
        <w:t>an</w:t>
      </w:r>
      <w:r w:rsidRPr="008E370F">
        <w:rPr>
          <w:rFonts w:ascii="Arial" w:hAnsi="Arial" w:cs="Arial"/>
          <w:sz w:val="20"/>
          <w:szCs w:val="20"/>
        </w:rPr>
        <w:t xml:space="preserve"> </w:t>
      </w:r>
      <w:r>
        <w:rPr>
          <w:rFonts w:ascii="Arial" w:hAnsi="Arial" w:cs="Arial"/>
          <w:sz w:val="20"/>
          <w:szCs w:val="20"/>
        </w:rPr>
        <w:t>in-depth</w:t>
      </w:r>
      <w:r w:rsidRPr="008E370F">
        <w:rPr>
          <w:rFonts w:ascii="Arial" w:hAnsi="Arial" w:cs="Arial"/>
          <w:sz w:val="20"/>
          <w:szCs w:val="20"/>
        </w:rPr>
        <w:t xml:space="preserve"> longitudinal case study of how RegTech and blockchain systems have adopted and performed over time. Such research would be helped by being able to view internal compliance data such as false positive rates, time to resolution and compliance costs to perform a more accurate financial analysis of these technologies. Furthermore, other research opportunities exist </w:t>
      </w:r>
      <w:r>
        <w:rPr>
          <w:rFonts w:ascii="Arial" w:hAnsi="Arial" w:cs="Arial"/>
          <w:sz w:val="20"/>
          <w:szCs w:val="20"/>
        </w:rPr>
        <w:t>regarding</w:t>
      </w:r>
      <w:r w:rsidRPr="008E370F">
        <w:rPr>
          <w:rFonts w:ascii="Arial" w:hAnsi="Arial" w:cs="Arial"/>
          <w:sz w:val="20"/>
          <w:szCs w:val="20"/>
        </w:rPr>
        <w:t xml:space="preserve"> integrating RegTech and blockchain in a more harmonious fashion, i.e. how RegTech and blockchain can be </w:t>
      </w:r>
      <w:proofErr w:type="spellStart"/>
      <w:r>
        <w:rPr>
          <w:rFonts w:ascii="Arial" w:hAnsi="Arial" w:cs="Arial"/>
          <w:sz w:val="20"/>
          <w:szCs w:val="20"/>
        </w:rPr>
        <w:t>utilised</w:t>
      </w:r>
      <w:proofErr w:type="spellEnd"/>
      <w:r w:rsidRPr="008E370F">
        <w:rPr>
          <w:rFonts w:ascii="Arial" w:hAnsi="Arial" w:cs="Arial"/>
          <w:sz w:val="20"/>
          <w:szCs w:val="20"/>
        </w:rPr>
        <w:t xml:space="preserve"> synergistically to form a single AML ecosystem. Finally, </w:t>
      </w:r>
      <w:r>
        <w:rPr>
          <w:rFonts w:ascii="Arial" w:hAnsi="Arial" w:cs="Arial"/>
          <w:sz w:val="20"/>
          <w:szCs w:val="20"/>
        </w:rPr>
        <w:t>policy research</w:t>
      </w:r>
      <w:r w:rsidRPr="008E370F">
        <w:rPr>
          <w:rFonts w:ascii="Arial" w:hAnsi="Arial" w:cs="Arial"/>
          <w:sz w:val="20"/>
          <w:szCs w:val="20"/>
        </w:rPr>
        <w:t xml:space="preserve"> focused on how global regulatory </w:t>
      </w:r>
      <w:proofErr w:type="spellStart"/>
      <w:r w:rsidRPr="008E370F">
        <w:rPr>
          <w:rFonts w:ascii="Arial" w:hAnsi="Arial" w:cs="Arial"/>
          <w:sz w:val="20"/>
          <w:szCs w:val="20"/>
        </w:rPr>
        <w:t>harmonisation</w:t>
      </w:r>
      <w:proofErr w:type="spellEnd"/>
      <w:r w:rsidRPr="008E370F">
        <w:rPr>
          <w:rFonts w:ascii="Arial" w:hAnsi="Arial" w:cs="Arial"/>
          <w:sz w:val="20"/>
          <w:szCs w:val="20"/>
        </w:rPr>
        <w:t xml:space="preserve"> and international </w:t>
      </w:r>
      <w:r w:rsidRPr="008E370F">
        <w:rPr>
          <w:rFonts w:ascii="Arial" w:hAnsi="Arial" w:cs="Arial"/>
          <w:sz w:val="20"/>
          <w:szCs w:val="20"/>
        </w:rPr>
        <w:lastRenderedPageBreak/>
        <w:t xml:space="preserve">cooperation can lead to these technologies </w:t>
      </w:r>
      <w:r>
        <w:rPr>
          <w:rFonts w:ascii="Arial" w:hAnsi="Arial" w:cs="Arial"/>
          <w:sz w:val="20"/>
          <w:szCs w:val="20"/>
        </w:rPr>
        <w:t>being</w:t>
      </w:r>
      <w:r w:rsidRPr="008E370F">
        <w:rPr>
          <w:rFonts w:ascii="Arial" w:hAnsi="Arial" w:cs="Arial"/>
          <w:sz w:val="20"/>
          <w:szCs w:val="20"/>
        </w:rPr>
        <w:t xml:space="preserve"> scaled and lead to the wider adoption and uniform standards will be necessary.</w:t>
      </w:r>
    </w:p>
    <w:p w14:paraId="26320FE6" w14:textId="77777777" w:rsidR="000C2389" w:rsidRDefault="000C2389" w:rsidP="00637D25">
      <w:pPr>
        <w:spacing w:line="360" w:lineRule="auto"/>
        <w:jc w:val="both"/>
        <w:rPr>
          <w:rFonts w:ascii="Arial" w:hAnsi="Arial" w:cs="Arial"/>
          <w:sz w:val="20"/>
          <w:szCs w:val="20"/>
        </w:rPr>
      </w:pPr>
    </w:p>
    <w:p w14:paraId="6D4D87E6" w14:textId="77777777" w:rsidR="000C2389" w:rsidRPr="000C2389" w:rsidRDefault="000C2389" w:rsidP="000C2389">
      <w:pPr>
        <w:spacing w:line="360" w:lineRule="auto"/>
        <w:jc w:val="both"/>
        <w:rPr>
          <w:rFonts w:ascii="Arial" w:hAnsi="Arial" w:cs="Arial"/>
          <w:sz w:val="20"/>
          <w:szCs w:val="20"/>
        </w:rPr>
      </w:pPr>
      <w:r w:rsidRPr="000C2389">
        <w:rPr>
          <w:rFonts w:ascii="Arial" w:hAnsi="Arial" w:cs="Arial"/>
          <w:sz w:val="20"/>
          <w:szCs w:val="20"/>
        </w:rPr>
        <w:t>COMPETING INTERESTS DISCLAIMER:</w:t>
      </w:r>
    </w:p>
    <w:p w14:paraId="526365E9" w14:textId="77777777" w:rsidR="000C2389" w:rsidRPr="000C2389" w:rsidRDefault="000C2389" w:rsidP="000C2389">
      <w:pPr>
        <w:spacing w:line="360" w:lineRule="auto"/>
        <w:jc w:val="both"/>
        <w:rPr>
          <w:rFonts w:ascii="Arial" w:hAnsi="Arial" w:cs="Arial"/>
          <w:sz w:val="20"/>
          <w:szCs w:val="20"/>
        </w:rPr>
      </w:pPr>
      <w:r w:rsidRPr="000C2389">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4A497017" w14:textId="77777777" w:rsidR="000C2389" w:rsidRPr="000C2389" w:rsidRDefault="000C2389" w:rsidP="000C2389">
      <w:pPr>
        <w:spacing w:line="360" w:lineRule="auto"/>
        <w:jc w:val="both"/>
        <w:rPr>
          <w:rFonts w:ascii="Arial" w:hAnsi="Arial" w:cs="Arial"/>
          <w:sz w:val="20"/>
          <w:szCs w:val="20"/>
        </w:rPr>
      </w:pPr>
    </w:p>
    <w:p w14:paraId="2303FBC4" w14:textId="77777777" w:rsidR="000C2389" w:rsidRDefault="000C2389" w:rsidP="00637D25">
      <w:pPr>
        <w:spacing w:line="360" w:lineRule="auto"/>
        <w:jc w:val="both"/>
        <w:rPr>
          <w:rFonts w:ascii="Arial" w:hAnsi="Arial" w:cs="Arial"/>
          <w:sz w:val="20"/>
          <w:szCs w:val="20"/>
        </w:rPr>
      </w:pPr>
    </w:p>
    <w:p w14:paraId="16819F39" w14:textId="77777777" w:rsidR="008E370F" w:rsidRPr="00E9050E" w:rsidRDefault="008E370F" w:rsidP="00637D25">
      <w:pPr>
        <w:spacing w:line="360" w:lineRule="auto"/>
        <w:jc w:val="both"/>
        <w:rPr>
          <w:rFonts w:ascii="Arial" w:hAnsi="Arial" w:cs="Arial"/>
          <w:sz w:val="20"/>
          <w:szCs w:val="20"/>
        </w:rPr>
      </w:pPr>
    </w:p>
    <w:p w14:paraId="1033B1B0" w14:textId="3BA05828" w:rsidR="00FC42E2" w:rsidRPr="00E9050E" w:rsidRDefault="00FC42E2" w:rsidP="00637D25">
      <w:pPr>
        <w:spacing w:line="360" w:lineRule="auto"/>
        <w:jc w:val="both"/>
        <w:rPr>
          <w:rFonts w:ascii="Arial" w:hAnsi="Arial" w:cs="Arial"/>
          <w:b/>
          <w:bCs/>
          <w:sz w:val="20"/>
          <w:szCs w:val="20"/>
        </w:rPr>
      </w:pPr>
      <w:r w:rsidRPr="00E9050E">
        <w:rPr>
          <w:rFonts w:ascii="Arial" w:hAnsi="Arial" w:cs="Arial"/>
          <w:b/>
          <w:bCs/>
          <w:sz w:val="20"/>
          <w:szCs w:val="20"/>
        </w:rPr>
        <w:t>References</w:t>
      </w:r>
    </w:p>
    <w:p w14:paraId="2A3453FA"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 xml:space="preserve">Adewale, T. T., Olorunyomi, T. D., &amp; </w:t>
      </w:r>
      <w:proofErr w:type="spellStart"/>
      <w:r w:rsidRPr="00E9050E">
        <w:rPr>
          <w:rFonts w:ascii="Arial" w:hAnsi="Arial" w:cs="Arial"/>
          <w:sz w:val="20"/>
          <w:szCs w:val="20"/>
        </w:rPr>
        <w:t>Odonkor</w:t>
      </w:r>
      <w:proofErr w:type="spellEnd"/>
      <w:r w:rsidRPr="00E9050E">
        <w:rPr>
          <w:rFonts w:ascii="Arial" w:hAnsi="Arial" w:cs="Arial"/>
          <w:sz w:val="20"/>
          <w:szCs w:val="20"/>
        </w:rPr>
        <w:t>, T. N. (2022). Blockchain-enhanced financial transparency: A conceptual approach to reporting and compliance. </w:t>
      </w:r>
      <w:r w:rsidRPr="00E9050E">
        <w:rPr>
          <w:rFonts w:ascii="Arial" w:hAnsi="Arial" w:cs="Arial"/>
          <w:i/>
          <w:iCs/>
          <w:sz w:val="20"/>
          <w:szCs w:val="20"/>
        </w:rPr>
        <w:t>Int J Front Sci Technol Res</w:t>
      </w:r>
      <w:r w:rsidRPr="00E9050E">
        <w:rPr>
          <w:rFonts w:ascii="Arial" w:hAnsi="Arial" w:cs="Arial"/>
          <w:sz w:val="20"/>
          <w:szCs w:val="20"/>
        </w:rPr>
        <w:t>, </w:t>
      </w:r>
      <w:r w:rsidRPr="00E9050E">
        <w:rPr>
          <w:rFonts w:ascii="Arial" w:hAnsi="Arial" w:cs="Arial"/>
          <w:i/>
          <w:iCs/>
          <w:sz w:val="20"/>
          <w:szCs w:val="20"/>
        </w:rPr>
        <w:t>2</w:t>
      </w:r>
      <w:r w:rsidRPr="00E9050E">
        <w:rPr>
          <w:rFonts w:ascii="Arial" w:hAnsi="Arial" w:cs="Arial"/>
          <w:sz w:val="20"/>
          <w:szCs w:val="20"/>
        </w:rPr>
        <w:t>(1), 024-45.</w:t>
      </w:r>
    </w:p>
    <w:p w14:paraId="348669A6" w14:textId="77777777" w:rsidR="00FC42E2" w:rsidRPr="00E9050E" w:rsidRDefault="00FC42E2" w:rsidP="00637D25">
      <w:pPr>
        <w:spacing w:line="360" w:lineRule="auto"/>
        <w:jc w:val="both"/>
        <w:rPr>
          <w:rFonts w:ascii="Arial" w:hAnsi="Arial" w:cs="Arial"/>
          <w:sz w:val="20"/>
          <w:szCs w:val="20"/>
        </w:rPr>
      </w:pPr>
      <w:proofErr w:type="spellStart"/>
      <w:r w:rsidRPr="00E9050E">
        <w:rPr>
          <w:rFonts w:ascii="Arial" w:hAnsi="Arial" w:cs="Arial"/>
          <w:sz w:val="20"/>
          <w:szCs w:val="20"/>
        </w:rPr>
        <w:t>Alhejaili</w:t>
      </w:r>
      <w:proofErr w:type="spellEnd"/>
      <w:r w:rsidRPr="00E9050E">
        <w:rPr>
          <w:rFonts w:ascii="Arial" w:hAnsi="Arial" w:cs="Arial"/>
          <w:sz w:val="20"/>
          <w:szCs w:val="20"/>
        </w:rPr>
        <w:t>, M. O. M. (2025). Integrating smart contracts into the legal framework of Saudi Arabia. </w:t>
      </w:r>
      <w:r w:rsidRPr="00E9050E">
        <w:rPr>
          <w:rFonts w:ascii="Arial" w:hAnsi="Arial" w:cs="Arial"/>
          <w:i/>
          <w:iCs/>
          <w:sz w:val="20"/>
          <w:szCs w:val="20"/>
        </w:rPr>
        <w:t>International Journal of Law and Management</w:t>
      </w:r>
      <w:r w:rsidRPr="00E9050E">
        <w:rPr>
          <w:rFonts w:ascii="Arial" w:hAnsi="Arial" w:cs="Arial"/>
          <w:sz w:val="20"/>
          <w:szCs w:val="20"/>
        </w:rPr>
        <w:t>, </w:t>
      </w:r>
      <w:r w:rsidRPr="00E9050E">
        <w:rPr>
          <w:rFonts w:ascii="Arial" w:hAnsi="Arial" w:cs="Arial"/>
          <w:i/>
          <w:iCs/>
          <w:sz w:val="20"/>
          <w:szCs w:val="20"/>
        </w:rPr>
        <w:t>67</w:t>
      </w:r>
      <w:r w:rsidRPr="00E9050E">
        <w:rPr>
          <w:rFonts w:ascii="Arial" w:hAnsi="Arial" w:cs="Arial"/>
          <w:sz w:val="20"/>
          <w:szCs w:val="20"/>
        </w:rPr>
        <w:t>(2), 230-248.</w:t>
      </w:r>
    </w:p>
    <w:p w14:paraId="7A8771D8" w14:textId="77777777" w:rsidR="00D53CC9" w:rsidRDefault="00D53CC9" w:rsidP="00637D25">
      <w:pPr>
        <w:spacing w:line="360" w:lineRule="auto"/>
        <w:jc w:val="both"/>
        <w:rPr>
          <w:rFonts w:ascii="Arial" w:hAnsi="Arial" w:cs="Arial"/>
          <w:sz w:val="20"/>
          <w:szCs w:val="20"/>
        </w:rPr>
      </w:pPr>
      <w:r w:rsidRPr="00D53CC9">
        <w:rPr>
          <w:rFonts w:ascii="Arial" w:hAnsi="Arial" w:cs="Arial"/>
          <w:sz w:val="20"/>
          <w:szCs w:val="20"/>
        </w:rPr>
        <w:t xml:space="preserve">Alliy Adewale </w:t>
      </w:r>
      <w:proofErr w:type="gramStart"/>
      <w:r w:rsidRPr="00D53CC9">
        <w:rPr>
          <w:rFonts w:ascii="Arial" w:hAnsi="Arial" w:cs="Arial"/>
          <w:sz w:val="20"/>
          <w:szCs w:val="20"/>
        </w:rPr>
        <w:t>Bello ,</w:t>
      </w:r>
      <w:proofErr w:type="gramEnd"/>
      <w:r w:rsidRPr="00D53CC9">
        <w:rPr>
          <w:rFonts w:ascii="Arial" w:hAnsi="Arial" w:cs="Arial"/>
          <w:sz w:val="20"/>
          <w:szCs w:val="20"/>
        </w:rPr>
        <w:t xml:space="preserve"> David Amoah </w:t>
      </w:r>
      <w:proofErr w:type="gramStart"/>
      <w:r w:rsidRPr="00D53CC9">
        <w:rPr>
          <w:rFonts w:ascii="Arial" w:hAnsi="Arial" w:cs="Arial"/>
          <w:sz w:val="20"/>
          <w:szCs w:val="20"/>
        </w:rPr>
        <w:t>Oduro ,</w:t>
      </w:r>
      <w:proofErr w:type="gramEnd"/>
      <w:r w:rsidRPr="00D53CC9">
        <w:rPr>
          <w:rFonts w:ascii="Arial" w:hAnsi="Arial" w:cs="Arial"/>
          <w:sz w:val="20"/>
          <w:szCs w:val="20"/>
        </w:rPr>
        <w:t xml:space="preserve"> Emmanuel Opoku </w:t>
      </w:r>
      <w:proofErr w:type="gramStart"/>
      <w:r w:rsidRPr="00D53CC9">
        <w:rPr>
          <w:rFonts w:ascii="Arial" w:hAnsi="Arial" w:cs="Arial"/>
          <w:sz w:val="20"/>
          <w:szCs w:val="20"/>
        </w:rPr>
        <w:t>Manu ,</w:t>
      </w:r>
      <w:proofErr w:type="gramEnd"/>
      <w:r w:rsidRPr="00D53CC9">
        <w:rPr>
          <w:rFonts w:ascii="Arial" w:hAnsi="Arial" w:cs="Arial"/>
          <w:sz w:val="20"/>
          <w:szCs w:val="20"/>
        </w:rPr>
        <w:t xml:space="preserve"> </w:t>
      </w:r>
      <w:proofErr w:type="spellStart"/>
      <w:r w:rsidRPr="00D53CC9">
        <w:rPr>
          <w:rFonts w:ascii="Arial" w:hAnsi="Arial" w:cs="Arial"/>
          <w:sz w:val="20"/>
          <w:szCs w:val="20"/>
        </w:rPr>
        <w:t>Adepeju</w:t>
      </w:r>
      <w:proofErr w:type="spellEnd"/>
      <w:r w:rsidRPr="00D53CC9">
        <w:rPr>
          <w:rFonts w:ascii="Arial" w:hAnsi="Arial" w:cs="Arial"/>
          <w:sz w:val="20"/>
          <w:szCs w:val="20"/>
        </w:rPr>
        <w:t xml:space="preserve"> Deborah Bello; Adeniji Omotayo </w:t>
      </w:r>
      <w:proofErr w:type="gramStart"/>
      <w:r w:rsidRPr="00D53CC9">
        <w:rPr>
          <w:rFonts w:ascii="Arial" w:hAnsi="Arial" w:cs="Arial"/>
          <w:sz w:val="20"/>
          <w:szCs w:val="20"/>
        </w:rPr>
        <w:t>Leo ,</w:t>
      </w:r>
      <w:proofErr w:type="gramEnd"/>
      <w:r w:rsidRPr="00D53CC9">
        <w:rPr>
          <w:rFonts w:ascii="Arial" w:hAnsi="Arial" w:cs="Arial"/>
          <w:sz w:val="20"/>
          <w:szCs w:val="20"/>
        </w:rPr>
        <w:t xml:space="preserve"> Chioma Emmanuela </w:t>
      </w:r>
      <w:proofErr w:type="spellStart"/>
      <w:r w:rsidRPr="00D53CC9">
        <w:rPr>
          <w:rFonts w:ascii="Arial" w:hAnsi="Arial" w:cs="Arial"/>
          <w:sz w:val="20"/>
          <w:szCs w:val="20"/>
        </w:rPr>
        <w:t>Ukatu</w:t>
      </w:r>
      <w:proofErr w:type="spellEnd"/>
      <w:r w:rsidRPr="00D53CC9">
        <w:rPr>
          <w:rFonts w:ascii="Arial" w:hAnsi="Arial" w:cs="Arial"/>
          <w:sz w:val="20"/>
          <w:szCs w:val="20"/>
        </w:rPr>
        <w:t xml:space="preserve">; Nonso </w:t>
      </w:r>
      <w:proofErr w:type="spellStart"/>
      <w:r w:rsidRPr="00D53CC9">
        <w:rPr>
          <w:rFonts w:ascii="Arial" w:hAnsi="Arial" w:cs="Arial"/>
          <w:sz w:val="20"/>
          <w:szCs w:val="20"/>
        </w:rPr>
        <w:t>Okika</w:t>
      </w:r>
      <w:proofErr w:type="spellEnd"/>
      <w:r w:rsidRPr="00D53CC9">
        <w:rPr>
          <w:rFonts w:ascii="Arial" w:hAnsi="Arial" w:cs="Arial"/>
          <w:sz w:val="20"/>
          <w:szCs w:val="20"/>
        </w:rPr>
        <w:t xml:space="preserve"> "Enhancing Know Your Customer (KYC) and Anti-Money Laundering (AML) Compliance Using Blockchain: A Business Analysis Approach" Iconic Research </w:t>
      </w:r>
      <w:proofErr w:type="gramStart"/>
      <w:r w:rsidRPr="00D53CC9">
        <w:rPr>
          <w:rFonts w:ascii="Arial" w:hAnsi="Arial" w:cs="Arial"/>
          <w:sz w:val="20"/>
          <w:szCs w:val="20"/>
        </w:rPr>
        <w:t>And</w:t>
      </w:r>
      <w:proofErr w:type="gramEnd"/>
      <w:r w:rsidRPr="00D53CC9">
        <w:rPr>
          <w:rFonts w:ascii="Arial" w:hAnsi="Arial" w:cs="Arial"/>
          <w:sz w:val="20"/>
          <w:szCs w:val="20"/>
        </w:rPr>
        <w:t xml:space="preserve"> Engineering Journals Volume 8 Issue 9 2025 Page 297-305</w:t>
      </w:r>
    </w:p>
    <w:p w14:paraId="238FD841" w14:textId="0398086A"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 xml:space="preserve">Arif, Z., </w:t>
      </w:r>
      <w:proofErr w:type="spellStart"/>
      <w:r w:rsidRPr="00E9050E">
        <w:rPr>
          <w:rFonts w:ascii="Arial" w:hAnsi="Arial" w:cs="Arial"/>
          <w:sz w:val="20"/>
          <w:szCs w:val="20"/>
        </w:rPr>
        <w:t>Supyadillah</w:t>
      </w:r>
      <w:proofErr w:type="spellEnd"/>
      <w:r w:rsidRPr="00E9050E">
        <w:rPr>
          <w:rFonts w:ascii="Arial" w:hAnsi="Arial" w:cs="Arial"/>
          <w:sz w:val="20"/>
          <w:szCs w:val="20"/>
        </w:rPr>
        <w:t>, A., Irfan, A. and Taufik, A., 2024. The Revolution of Blockchain in Digital Payment Systems: Legal Implications and Regulatory Challenges. </w:t>
      </w:r>
      <w:r w:rsidRPr="00E9050E">
        <w:rPr>
          <w:rFonts w:ascii="Arial" w:hAnsi="Arial" w:cs="Arial"/>
          <w:i/>
          <w:iCs/>
          <w:sz w:val="20"/>
          <w:szCs w:val="20"/>
        </w:rPr>
        <w:t xml:space="preserve">Journal of </w:t>
      </w:r>
      <w:proofErr w:type="spellStart"/>
      <w:r w:rsidRPr="00E9050E">
        <w:rPr>
          <w:rFonts w:ascii="Arial" w:hAnsi="Arial" w:cs="Arial"/>
          <w:i/>
          <w:iCs/>
          <w:sz w:val="20"/>
          <w:szCs w:val="20"/>
        </w:rPr>
        <w:t>Ecohumanism</w:t>
      </w:r>
      <w:proofErr w:type="spellEnd"/>
      <w:r w:rsidRPr="00E9050E">
        <w:rPr>
          <w:rFonts w:ascii="Arial" w:hAnsi="Arial" w:cs="Arial"/>
          <w:sz w:val="20"/>
          <w:szCs w:val="20"/>
        </w:rPr>
        <w:t>, </w:t>
      </w:r>
      <w:r w:rsidRPr="00E9050E">
        <w:rPr>
          <w:rFonts w:ascii="Arial" w:hAnsi="Arial" w:cs="Arial"/>
          <w:i/>
          <w:iCs/>
          <w:sz w:val="20"/>
          <w:szCs w:val="20"/>
        </w:rPr>
        <w:t>3</w:t>
      </w:r>
      <w:r w:rsidRPr="00E9050E">
        <w:rPr>
          <w:rFonts w:ascii="Arial" w:hAnsi="Arial" w:cs="Arial"/>
          <w:sz w:val="20"/>
          <w:szCs w:val="20"/>
        </w:rPr>
        <w:t>(8), pp.12269-12284.</w:t>
      </w:r>
    </w:p>
    <w:p w14:paraId="6067EC02" w14:textId="4CB4B3E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 xml:space="preserve">Arner, D. W., Barberis, J., &amp; Buckey, R. P. (2016). FinTech, </w:t>
      </w:r>
      <w:proofErr w:type="spellStart"/>
      <w:r w:rsidRPr="00E9050E">
        <w:rPr>
          <w:rFonts w:ascii="Arial" w:hAnsi="Arial" w:cs="Arial"/>
          <w:sz w:val="20"/>
          <w:szCs w:val="20"/>
        </w:rPr>
        <w:t>RegTech</w:t>
      </w:r>
      <w:proofErr w:type="spellEnd"/>
      <w:r w:rsidRPr="00E9050E">
        <w:rPr>
          <w:rFonts w:ascii="Arial" w:hAnsi="Arial" w:cs="Arial"/>
          <w:sz w:val="20"/>
          <w:szCs w:val="20"/>
        </w:rPr>
        <w:t xml:space="preserve">, and the </w:t>
      </w:r>
      <w:proofErr w:type="spellStart"/>
      <w:r w:rsidR="00785164">
        <w:rPr>
          <w:rFonts w:ascii="Arial" w:hAnsi="Arial" w:cs="Arial"/>
          <w:sz w:val="20"/>
          <w:szCs w:val="20"/>
        </w:rPr>
        <w:t>reconceptualisation</w:t>
      </w:r>
      <w:proofErr w:type="spellEnd"/>
      <w:r w:rsidRPr="00E9050E">
        <w:rPr>
          <w:rFonts w:ascii="Arial" w:hAnsi="Arial" w:cs="Arial"/>
          <w:sz w:val="20"/>
          <w:szCs w:val="20"/>
        </w:rPr>
        <w:t xml:space="preserve"> of financial regulation. </w:t>
      </w:r>
      <w:r w:rsidRPr="00E9050E">
        <w:rPr>
          <w:rFonts w:ascii="Arial" w:hAnsi="Arial" w:cs="Arial"/>
          <w:i/>
          <w:iCs/>
          <w:sz w:val="20"/>
          <w:szCs w:val="20"/>
        </w:rPr>
        <w:t>Nw. J. Int'l L. &amp; Bus.</w:t>
      </w:r>
      <w:r w:rsidRPr="00E9050E">
        <w:rPr>
          <w:rFonts w:ascii="Arial" w:hAnsi="Arial" w:cs="Arial"/>
          <w:sz w:val="20"/>
          <w:szCs w:val="20"/>
        </w:rPr>
        <w:t>, </w:t>
      </w:r>
      <w:r w:rsidRPr="00E9050E">
        <w:rPr>
          <w:rFonts w:ascii="Arial" w:hAnsi="Arial" w:cs="Arial"/>
          <w:i/>
          <w:iCs/>
          <w:sz w:val="20"/>
          <w:szCs w:val="20"/>
        </w:rPr>
        <w:t>37</w:t>
      </w:r>
      <w:r w:rsidRPr="00E9050E">
        <w:rPr>
          <w:rFonts w:ascii="Arial" w:hAnsi="Arial" w:cs="Arial"/>
          <w:sz w:val="20"/>
          <w:szCs w:val="20"/>
        </w:rPr>
        <w:t>, 371.</w:t>
      </w:r>
    </w:p>
    <w:p w14:paraId="0DD603FD" w14:textId="77777777" w:rsidR="00FC42E2" w:rsidRPr="00E9050E" w:rsidRDefault="00FC42E2" w:rsidP="00637D25">
      <w:pPr>
        <w:spacing w:line="360" w:lineRule="auto"/>
        <w:jc w:val="both"/>
        <w:rPr>
          <w:rFonts w:ascii="Arial" w:hAnsi="Arial" w:cs="Arial"/>
          <w:sz w:val="20"/>
          <w:szCs w:val="20"/>
        </w:rPr>
      </w:pPr>
      <w:proofErr w:type="spellStart"/>
      <w:r w:rsidRPr="00E9050E">
        <w:rPr>
          <w:rFonts w:ascii="Arial" w:hAnsi="Arial" w:cs="Arial"/>
          <w:sz w:val="20"/>
          <w:szCs w:val="20"/>
        </w:rPr>
        <w:t>Bakhos</w:t>
      </w:r>
      <w:proofErr w:type="spellEnd"/>
      <w:r w:rsidRPr="00E9050E">
        <w:rPr>
          <w:rFonts w:ascii="Arial" w:hAnsi="Arial" w:cs="Arial"/>
          <w:sz w:val="20"/>
          <w:szCs w:val="20"/>
        </w:rPr>
        <w:t xml:space="preserve"> </w:t>
      </w:r>
      <w:proofErr w:type="spellStart"/>
      <w:r w:rsidRPr="00E9050E">
        <w:rPr>
          <w:rFonts w:ascii="Arial" w:hAnsi="Arial" w:cs="Arial"/>
          <w:sz w:val="20"/>
          <w:szCs w:val="20"/>
        </w:rPr>
        <w:t>Douaihy</w:t>
      </w:r>
      <w:proofErr w:type="spellEnd"/>
      <w:r w:rsidRPr="00E9050E">
        <w:rPr>
          <w:rFonts w:ascii="Arial" w:hAnsi="Arial" w:cs="Arial"/>
          <w:sz w:val="20"/>
          <w:szCs w:val="20"/>
        </w:rPr>
        <w:t>, H., &amp; Rowe, F. (2023). Institutional pressures and RegTech challenges for banking: The case of money laundering and terrorist financing in Lebanon. </w:t>
      </w:r>
      <w:r w:rsidRPr="00E9050E">
        <w:rPr>
          <w:rFonts w:ascii="Arial" w:hAnsi="Arial" w:cs="Arial"/>
          <w:i/>
          <w:iCs/>
          <w:sz w:val="20"/>
          <w:szCs w:val="20"/>
        </w:rPr>
        <w:t>Journal of Information Technology</w:t>
      </w:r>
      <w:r w:rsidRPr="00E9050E">
        <w:rPr>
          <w:rFonts w:ascii="Arial" w:hAnsi="Arial" w:cs="Arial"/>
          <w:sz w:val="20"/>
          <w:szCs w:val="20"/>
        </w:rPr>
        <w:t>, </w:t>
      </w:r>
      <w:r w:rsidRPr="00E9050E">
        <w:rPr>
          <w:rFonts w:ascii="Arial" w:hAnsi="Arial" w:cs="Arial"/>
          <w:i/>
          <w:iCs/>
          <w:sz w:val="20"/>
          <w:szCs w:val="20"/>
        </w:rPr>
        <w:t>38</w:t>
      </w:r>
      <w:r w:rsidRPr="00E9050E">
        <w:rPr>
          <w:rFonts w:ascii="Arial" w:hAnsi="Arial" w:cs="Arial"/>
          <w:sz w:val="20"/>
          <w:szCs w:val="20"/>
        </w:rPr>
        <w:t>(3), 304-318.</w:t>
      </w:r>
    </w:p>
    <w:p w14:paraId="1877B50F" w14:textId="77777777" w:rsidR="00785164" w:rsidRDefault="00785164" w:rsidP="00637D25">
      <w:pPr>
        <w:spacing w:line="360" w:lineRule="auto"/>
        <w:jc w:val="both"/>
        <w:rPr>
          <w:rFonts w:ascii="Arial" w:hAnsi="Arial" w:cs="Arial"/>
          <w:sz w:val="20"/>
          <w:szCs w:val="20"/>
        </w:rPr>
      </w:pPr>
      <w:r w:rsidRPr="00785164">
        <w:rPr>
          <w:rFonts w:ascii="Arial" w:hAnsi="Arial" w:cs="Arial"/>
          <w:sz w:val="20"/>
          <w:szCs w:val="20"/>
        </w:rPr>
        <w:t xml:space="preserve">Balakrishnan, A., Jain, V., </w:t>
      </w:r>
      <w:proofErr w:type="spellStart"/>
      <w:r w:rsidRPr="00785164">
        <w:rPr>
          <w:rFonts w:ascii="Arial" w:hAnsi="Arial" w:cs="Arial"/>
          <w:sz w:val="20"/>
          <w:szCs w:val="20"/>
        </w:rPr>
        <w:t>Chintale</w:t>
      </w:r>
      <w:proofErr w:type="spellEnd"/>
      <w:r w:rsidRPr="00785164">
        <w:rPr>
          <w:rFonts w:ascii="Arial" w:hAnsi="Arial" w:cs="Arial"/>
          <w:sz w:val="20"/>
          <w:szCs w:val="20"/>
        </w:rPr>
        <w:t xml:space="preserve">, P., </w:t>
      </w:r>
      <w:proofErr w:type="spellStart"/>
      <w:r w:rsidRPr="00785164">
        <w:rPr>
          <w:rFonts w:ascii="Arial" w:hAnsi="Arial" w:cs="Arial"/>
          <w:sz w:val="20"/>
          <w:szCs w:val="20"/>
        </w:rPr>
        <w:t>Gadiparthi</w:t>
      </w:r>
      <w:proofErr w:type="spellEnd"/>
      <w:r w:rsidRPr="00785164">
        <w:rPr>
          <w:rFonts w:ascii="Arial" w:hAnsi="Arial" w:cs="Arial"/>
          <w:sz w:val="20"/>
          <w:szCs w:val="20"/>
        </w:rPr>
        <w:t>, S., &amp; Najana, M. (2024). Blockchain Empowerment in Sanctions and AML Compliance: A Transparent Approach. </w:t>
      </w:r>
      <w:r w:rsidRPr="00785164">
        <w:rPr>
          <w:rFonts w:ascii="Arial" w:hAnsi="Arial" w:cs="Arial"/>
          <w:i/>
          <w:iCs/>
          <w:sz w:val="20"/>
          <w:szCs w:val="20"/>
        </w:rPr>
        <w:t>International Journal of Computer Trends and Technology</w:t>
      </w:r>
      <w:r w:rsidRPr="00785164">
        <w:rPr>
          <w:rFonts w:ascii="Arial" w:hAnsi="Arial" w:cs="Arial"/>
          <w:sz w:val="20"/>
          <w:szCs w:val="20"/>
        </w:rPr>
        <w:t>.</w:t>
      </w:r>
    </w:p>
    <w:p w14:paraId="6663ACAB" w14:textId="277A4361" w:rsidR="00FC42E2" w:rsidRPr="00E9050E" w:rsidRDefault="00FC42E2" w:rsidP="00637D25">
      <w:pPr>
        <w:spacing w:line="360" w:lineRule="auto"/>
        <w:jc w:val="both"/>
        <w:rPr>
          <w:rFonts w:ascii="Arial" w:hAnsi="Arial" w:cs="Arial"/>
          <w:sz w:val="20"/>
          <w:szCs w:val="20"/>
        </w:rPr>
      </w:pPr>
      <w:proofErr w:type="spellStart"/>
      <w:r w:rsidRPr="00E9050E">
        <w:rPr>
          <w:rFonts w:ascii="Arial" w:hAnsi="Arial" w:cs="Arial"/>
          <w:sz w:val="20"/>
          <w:szCs w:val="20"/>
        </w:rPr>
        <w:t>Battanta</w:t>
      </w:r>
      <w:proofErr w:type="spellEnd"/>
      <w:r w:rsidRPr="00E9050E">
        <w:rPr>
          <w:rFonts w:ascii="Arial" w:hAnsi="Arial" w:cs="Arial"/>
          <w:sz w:val="20"/>
          <w:szCs w:val="20"/>
        </w:rPr>
        <w:t xml:space="preserve">, L., Giorgino, M., Grassi, L., &amp; Lanfranchi, D. (2020, September). </w:t>
      </w:r>
      <w:proofErr w:type="spellStart"/>
      <w:r w:rsidRPr="00E9050E">
        <w:rPr>
          <w:rFonts w:ascii="Arial" w:hAnsi="Arial" w:cs="Arial"/>
          <w:sz w:val="20"/>
          <w:szCs w:val="20"/>
        </w:rPr>
        <w:t>Regtech</w:t>
      </w:r>
      <w:proofErr w:type="spellEnd"/>
      <w:r w:rsidRPr="00E9050E">
        <w:rPr>
          <w:rFonts w:ascii="Arial" w:hAnsi="Arial" w:cs="Arial"/>
          <w:sz w:val="20"/>
          <w:szCs w:val="20"/>
        </w:rPr>
        <w:t xml:space="preserve">: Case studies of cooperation with banks in </w:t>
      </w:r>
      <w:proofErr w:type="spellStart"/>
      <w:r w:rsidRPr="00E9050E">
        <w:rPr>
          <w:rFonts w:ascii="Arial" w:hAnsi="Arial" w:cs="Arial"/>
          <w:sz w:val="20"/>
          <w:szCs w:val="20"/>
        </w:rPr>
        <w:t>italy</w:t>
      </w:r>
      <w:proofErr w:type="spellEnd"/>
      <w:r w:rsidRPr="00E9050E">
        <w:rPr>
          <w:rFonts w:ascii="Arial" w:hAnsi="Arial" w:cs="Arial"/>
          <w:sz w:val="20"/>
          <w:szCs w:val="20"/>
        </w:rPr>
        <w:t>. In </w:t>
      </w:r>
      <w:r w:rsidRPr="00E9050E">
        <w:rPr>
          <w:rFonts w:ascii="Arial" w:hAnsi="Arial" w:cs="Arial"/>
          <w:i/>
          <w:iCs/>
          <w:sz w:val="20"/>
          <w:szCs w:val="20"/>
        </w:rPr>
        <w:t>European Conference on Innovation and Entrepreneurship</w:t>
      </w:r>
      <w:r w:rsidRPr="00E9050E">
        <w:rPr>
          <w:rFonts w:ascii="Arial" w:hAnsi="Arial" w:cs="Arial"/>
          <w:sz w:val="20"/>
          <w:szCs w:val="20"/>
        </w:rPr>
        <w:t> (pp. 112-119). Academic Conferences International Limited.</w:t>
      </w:r>
    </w:p>
    <w:p w14:paraId="0A762386" w14:textId="77777777" w:rsidR="008E370F" w:rsidRDefault="008E370F" w:rsidP="00637D25">
      <w:pPr>
        <w:spacing w:line="360" w:lineRule="auto"/>
        <w:jc w:val="both"/>
        <w:rPr>
          <w:rFonts w:ascii="Arial" w:hAnsi="Arial" w:cs="Arial"/>
          <w:sz w:val="20"/>
          <w:szCs w:val="20"/>
        </w:rPr>
      </w:pPr>
      <w:r w:rsidRPr="008E370F">
        <w:rPr>
          <w:rFonts w:ascii="Arial" w:hAnsi="Arial" w:cs="Arial"/>
          <w:sz w:val="20"/>
          <w:szCs w:val="20"/>
        </w:rPr>
        <w:lastRenderedPageBreak/>
        <w:t xml:space="preserve">Bello, A. A., Oduro, D. A., Manu, E. O., Bello, A. D., Leo, A. O., </w:t>
      </w:r>
      <w:proofErr w:type="spellStart"/>
      <w:r w:rsidRPr="008E370F">
        <w:rPr>
          <w:rFonts w:ascii="Arial" w:hAnsi="Arial" w:cs="Arial"/>
          <w:sz w:val="20"/>
          <w:szCs w:val="20"/>
        </w:rPr>
        <w:t>Ukatu</w:t>
      </w:r>
      <w:proofErr w:type="spellEnd"/>
      <w:r w:rsidRPr="008E370F">
        <w:rPr>
          <w:rFonts w:ascii="Arial" w:hAnsi="Arial" w:cs="Arial"/>
          <w:sz w:val="20"/>
          <w:szCs w:val="20"/>
        </w:rPr>
        <w:t xml:space="preserve">, C. E., &amp; </w:t>
      </w:r>
      <w:proofErr w:type="spellStart"/>
      <w:r w:rsidRPr="008E370F">
        <w:rPr>
          <w:rFonts w:ascii="Arial" w:hAnsi="Arial" w:cs="Arial"/>
          <w:sz w:val="20"/>
          <w:szCs w:val="20"/>
        </w:rPr>
        <w:t>Okika</w:t>
      </w:r>
      <w:proofErr w:type="spellEnd"/>
      <w:r w:rsidRPr="008E370F">
        <w:rPr>
          <w:rFonts w:ascii="Arial" w:hAnsi="Arial" w:cs="Arial"/>
          <w:sz w:val="20"/>
          <w:szCs w:val="20"/>
        </w:rPr>
        <w:t xml:space="preserve">, N. (2025). Enhancing Know Your Customer (KYC) and Anti-Money Laundering (AML) compliance using blockchain: A business analysis approach. </w:t>
      </w:r>
      <w:r w:rsidRPr="008E370F">
        <w:rPr>
          <w:rFonts w:ascii="Arial" w:hAnsi="Arial" w:cs="Arial"/>
          <w:i/>
          <w:iCs/>
          <w:sz w:val="20"/>
          <w:szCs w:val="20"/>
        </w:rPr>
        <w:t>Iconic Research and Engineering Journals, 8</w:t>
      </w:r>
      <w:r w:rsidRPr="008E370F">
        <w:rPr>
          <w:rFonts w:ascii="Arial" w:hAnsi="Arial" w:cs="Arial"/>
          <w:sz w:val="20"/>
          <w:szCs w:val="20"/>
        </w:rPr>
        <w:t>(9), 297–305.</w:t>
      </w:r>
    </w:p>
    <w:p w14:paraId="1041372C" w14:textId="0B81B7D5" w:rsidR="00785164" w:rsidRDefault="00785164" w:rsidP="00637D25">
      <w:pPr>
        <w:spacing w:line="360" w:lineRule="auto"/>
        <w:jc w:val="both"/>
        <w:rPr>
          <w:rFonts w:ascii="Arial" w:hAnsi="Arial" w:cs="Arial"/>
          <w:sz w:val="20"/>
          <w:szCs w:val="20"/>
        </w:rPr>
      </w:pPr>
      <w:r w:rsidRPr="00785164">
        <w:rPr>
          <w:rFonts w:ascii="Arial" w:hAnsi="Arial" w:cs="Arial"/>
          <w:sz w:val="20"/>
          <w:szCs w:val="20"/>
        </w:rPr>
        <w:t xml:space="preserve">Christiansen, N., Jaber, V. L., </w:t>
      </w:r>
      <w:proofErr w:type="spellStart"/>
      <w:r w:rsidRPr="00785164">
        <w:rPr>
          <w:rFonts w:ascii="Arial" w:hAnsi="Arial" w:cs="Arial"/>
          <w:sz w:val="20"/>
          <w:szCs w:val="20"/>
        </w:rPr>
        <w:t>Rabenn</w:t>
      </w:r>
      <w:proofErr w:type="spellEnd"/>
      <w:r w:rsidRPr="00785164">
        <w:rPr>
          <w:rFonts w:ascii="Arial" w:hAnsi="Arial" w:cs="Arial"/>
          <w:sz w:val="20"/>
          <w:szCs w:val="20"/>
        </w:rPr>
        <w:t>, G., &amp; Strait, M. (2023). AML for a blockchain age. </w:t>
      </w:r>
      <w:r w:rsidRPr="00785164">
        <w:rPr>
          <w:rFonts w:ascii="Arial" w:hAnsi="Arial" w:cs="Arial"/>
          <w:i/>
          <w:iCs/>
          <w:sz w:val="20"/>
          <w:szCs w:val="20"/>
        </w:rPr>
        <w:t>Journal of Financial Compliance</w:t>
      </w:r>
      <w:r w:rsidRPr="00785164">
        <w:rPr>
          <w:rFonts w:ascii="Arial" w:hAnsi="Arial" w:cs="Arial"/>
          <w:sz w:val="20"/>
          <w:szCs w:val="20"/>
        </w:rPr>
        <w:t>, </w:t>
      </w:r>
      <w:r w:rsidRPr="00785164">
        <w:rPr>
          <w:rFonts w:ascii="Arial" w:hAnsi="Arial" w:cs="Arial"/>
          <w:i/>
          <w:iCs/>
          <w:sz w:val="20"/>
          <w:szCs w:val="20"/>
        </w:rPr>
        <w:t>7</w:t>
      </w:r>
      <w:r w:rsidRPr="00785164">
        <w:rPr>
          <w:rFonts w:ascii="Arial" w:hAnsi="Arial" w:cs="Arial"/>
          <w:sz w:val="20"/>
          <w:szCs w:val="20"/>
        </w:rPr>
        <w:t>(2), 148-159.</w:t>
      </w:r>
    </w:p>
    <w:p w14:paraId="18E3F8F6" w14:textId="5084C332" w:rsidR="00FC42E2" w:rsidRPr="00E9050E" w:rsidRDefault="00FC42E2" w:rsidP="00637D25">
      <w:pPr>
        <w:spacing w:line="360" w:lineRule="auto"/>
        <w:jc w:val="both"/>
        <w:rPr>
          <w:rFonts w:ascii="Arial" w:hAnsi="Arial" w:cs="Arial"/>
          <w:sz w:val="20"/>
          <w:szCs w:val="20"/>
        </w:rPr>
      </w:pPr>
      <w:proofErr w:type="spellStart"/>
      <w:r w:rsidRPr="00E9050E">
        <w:rPr>
          <w:rFonts w:ascii="Arial" w:hAnsi="Arial" w:cs="Arial"/>
          <w:sz w:val="20"/>
          <w:szCs w:val="20"/>
        </w:rPr>
        <w:t>Cucari</w:t>
      </w:r>
      <w:proofErr w:type="spellEnd"/>
      <w:r w:rsidRPr="00E9050E">
        <w:rPr>
          <w:rFonts w:ascii="Arial" w:hAnsi="Arial" w:cs="Arial"/>
          <w:sz w:val="20"/>
          <w:szCs w:val="20"/>
        </w:rPr>
        <w:t xml:space="preserve">, N., </w:t>
      </w:r>
      <w:proofErr w:type="spellStart"/>
      <w:r w:rsidRPr="00E9050E">
        <w:rPr>
          <w:rFonts w:ascii="Arial" w:hAnsi="Arial" w:cs="Arial"/>
          <w:sz w:val="20"/>
          <w:szCs w:val="20"/>
        </w:rPr>
        <w:t>Lagasio</w:t>
      </w:r>
      <w:proofErr w:type="spellEnd"/>
      <w:r w:rsidRPr="00E9050E">
        <w:rPr>
          <w:rFonts w:ascii="Arial" w:hAnsi="Arial" w:cs="Arial"/>
          <w:sz w:val="20"/>
          <w:szCs w:val="20"/>
        </w:rPr>
        <w:t xml:space="preserve">, V., Lia, G., &amp; </w:t>
      </w:r>
      <w:proofErr w:type="spellStart"/>
      <w:r w:rsidRPr="00E9050E">
        <w:rPr>
          <w:rFonts w:ascii="Arial" w:hAnsi="Arial" w:cs="Arial"/>
          <w:sz w:val="20"/>
          <w:szCs w:val="20"/>
        </w:rPr>
        <w:t>Torriero</w:t>
      </w:r>
      <w:proofErr w:type="spellEnd"/>
      <w:r w:rsidRPr="00E9050E">
        <w:rPr>
          <w:rFonts w:ascii="Arial" w:hAnsi="Arial" w:cs="Arial"/>
          <w:sz w:val="20"/>
          <w:szCs w:val="20"/>
        </w:rPr>
        <w:t>, C. (2022). The impact of blockchain in banking processes: The Interbank Spunta case study. </w:t>
      </w:r>
      <w:r w:rsidRPr="00E9050E">
        <w:rPr>
          <w:rFonts w:ascii="Arial" w:hAnsi="Arial" w:cs="Arial"/>
          <w:i/>
          <w:iCs/>
          <w:sz w:val="20"/>
          <w:szCs w:val="20"/>
        </w:rPr>
        <w:t>Technology Analysis &amp; Strategic Management</w:t>
      </w:r>
      <w:r w:rsidRPr="00E9050E">
        <w:rPr>
          <w:rFonts w:ascii="Arial" w:hAnsi="Arial" w:cs="Arial"/>
          <w:sz w:val="20"/>
          <w:szCs w:val="20"/>
        </w:rPr>
        <w:t>, </w:t>
      </w:r>
      <w:r w:rsidRPr="00E9050E">
        <w:rPr>
          <w:rFonts w:ascii="Arial" w:hAnsi="Arial" w:cs="Arial"/>
          <w:i/>
          <w:iCs/>
          <w:sz w:val="20"/>
          <w:szCs w:val="20"/>
        </w:rPr>
        <w:t>34</w:t>
      </w:r>
      <w:r w:rsidRPr="00E9050E">
        <w:rPr>
          <w:rFonts w:ascii="Arial" w:hAnsi="Arial" w:cs="Arial"/>
          <w:sz w:val="20"/>
          <w:szCs w:val="20"/>
        </w:rPr>
        <w:t>(2), 138-150.</w:t>
      </w:r>
    </w:p>
    <w:p w14:paraId="7CD2AADD"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 xml:space="preserve">El Khoury, R., </w:t>
      </w:r>
      <w:proofErr w:type="spellStart"/>
      <w:r w:rsidRPr="00E9050E">
        <w:rPr>
          <w:rFonts w:ascii="Arial" w:hAnsi="Arial" w:cs="Arial"/>
          <w:sz w:val="20"/>
          <w:szCs w:val="20"/>
        </w:rPr>
        <w:t>Alshater</w:t>
      </w:r>
      <w:proofErr w:type="spellEnd"/>
      <w:r w:rsidRPr="00E9050E">
        <w:rPr>
          <w:rFonts w:ascii="Arial" w:hAnsi="Arial" w:cs="Arial"/>
          <w:sz w:val="20"/>
          <w:szCs w:val="20"/>
        </w:rPr>
        <w:t>, M.M. and Joshipura, M., 2024. RegTech advancements-a comprehensive review of its evolution, challenges, and implications for financial regulation and compliance. </w:t>
      </w:r>
      <w:r w:rsidRPr="00E9050E">
        <w:rPr>
          <w:rFonts w:ascii="Arial" w:hAnsi="Arial" w:cs="Arial"/>
          <w:i/>
          <w:iCs/>
          <w:sz w:val="20"/>
          <w:szCs w:val="20"/>
        </w:rPr>
        <w:t>Journal of Financial Reporting and Accounting</w:t>
      </w:r>
      <w:r w:rsidRPr="00E9050E">
        <w:rPr>
          <w:rFonts w:ascii="Arial" w:hAnsi="Arial" w:cs="Arial"/>
          <w:sz w:val="20"/>
          <w:szCs w:val="20"/>
        </w:rPr>
        <w:t>.</w:t>
      </w:r>
    </w:p>
    <w:p w14:paraId="67883480" w14:textId="50CC0D42" w:rsidR="00017477" w:rsidRDefault="00017477" w:rsidP="00637D25">
      <w:pPr>
        <w:spacing w:line="360" w:lineRule="auto"/>
        <w:jc w:val="both"/>
        <w:rPr>
          <w:rFonts w:ascii="Arial" w:hAnsi="Arial" w:cs="Arial"/>
          <w:sz w:val="20"/>
          <w:szCs w:val="20"/>
        </w:rPr>
      </w:pPr>
      <w:proofErr w:type="spellStart"/>
      <w:r w:rsidRPr="00017477">
        <w:rPr>
          <w:rFonts w:ascii="Arial" w:hAnsi="Arial" w:cs="Arial"/>
          <w:sz w:val="20"/>
          <w:szCs w:val="20"/>
        </w:rPr>
        <w:t>Gafarov</w:t>
      </w:r>
      <w:proofErr w:type="spellEnd"/>
      <w:r w:rsidRPr="00017477">
        <w:rPr>
          <w:rFonts w:ascii="Arial" w:hAnsi="Arial" w:cs="Arial"/>
          <w:sz w:val="20"/>
          <w:szCs w:val="20"/>
        </w:rPr>
        <w:t>, N. (2024). </w:t>
      </w:r>
      <w:r w:rsidRPr="00017477">
        <w:rPr>
          <w:rFonts w:ascii="Arial" w:hAnsi="Arial" w:cs="Arial"/>
          <w:i/>
          <w:iCs/>
          <w:sz w:val="20"/>
          <w:szCs w:val="20"/>
        </w:rPr>
        <w:t>The Role of Blockchain in Securing Financial Transactions</w:t>
      </w:r>
      <w:r w:rsidRPr="00017477">
        <w:rPr>
          <w:rFonts w:ascii="Arial" w:hAnsi="Arial" w:cs="Arial"/>
          <w:sz w:val="20"/>
          <w:szCs w:val="20"/>
        </w:rPr>
        <w:t>. </w:t>
      </w:r>
      <w:r w:rsidRPr="00017477">
        <w:rPr>
          <w:rFonts w:ascii="Arial" w:hAnsi="Arial" w:cs="Arial"/>
          <w:i/>
          <w:iCs/>
          <w:sz w:val="20"/>
          <w:szCs w:val="20"/>
        </w:rPr>
        <w:t>8</w:t>
      </w:r>
      <w:r w:rsidRPr="00017477">
        <w:rPr>
          <w:rFonts w:ascii="Arial" w:hAnsi="Arial" w:cs="Arial"/>
          <w:sz w:val="20"/>
          <w:szCs w:val="20"/>
        </w:rPr>
        <w:t xml:space="preserve">(1), 105. </w:t>
      </w:r>
      <w:hyperlink r:id="rId17" w:history="1">
        <w:r w:rsidRPr="009F03B5">
          <w:rPr>
            <w:rStyle w:val="Hyperlink"/>
            <w:rFonts w:ascii="Arial" w:hAnsi="Arial" w:cs="Arial"/>
            <w:sz w:val="20"/>
            <w:szCs w:val="20"/>
          </w:rPr>
          <w:t>https://doi.org/10.62802/2ad9q749</w:t>
        </w:r>
      </w:hyperlink>
    </w:p>
    <w:p w14:paraId="38F1D4A6" w14:textId="18F0C37C"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George, E. P. E., Idemudia, C., &amp; Ige, A. B. (2024). Blockchain technology in financial services: enhancing security, transparency, and efficiency in transactions and services. </w:t>
      </w:r>
      <w:r w:rsidRPr="00E9050E">
        <w:rPr>
          <w:rFonts w:ascii="Arial" w:hAnsi="Arial" w:cs="Arial"/>
          <w:i/>
          <w:iCs/>
          <w:sz w:val="20"/>
          <w:szCs w:val="20"/>
        </w:rPr>
        <w:t>Open Access Research Journal of Multidisciplinary Studies</w:t>
      </w:r>
      <w:r w:rsidRPr="00E9050E">
        <w:rPr>
          <w:rFonts w:ascii="Arial" w:hAnsi="Arial" w:cs="Arial"/>
          <w:sz w:val="20"/>
          <w:szCs w:val="20"/>
        </w:rPr>
        <w:t>, </w:t>
      </w:r>
      <w:r w:rsidRPr="00E9050E">
        <w:rPr>
          <w:rFonts w:ascii="Arial" w:hAnsi="Arial" w:cs="Arial"/>
          <w:i/>
          <w:iCs/>
          <w:sz w:val="20"/>
          <w:szCs w:val="20"/>
        </w:rPr>
        <w:t>8</w:t>
      </w:r>
      <w:r w:rsidRPr="00E9050E">
        <w:rPr>
          <w:rFonts w:ascii="Arial" w:hAnsi="Arial" w:cs="Arial"/>
          <w:sz w:val="20"/>
          <w:szCs w:val="20"/>
        </w:rPr>
        <w:t>(01), 026-035.</w:t>
      </w:r>
    </w:p>
    <w:p w14:paraId="7D60DC64" w14:textId="77777777" w:rsidR="00D10094" w:rsidRDefault="00D10094" w:rsidP="00637D25">
      <w:pPr>
        <w:spacing w:line="360" w:lineRule="auto"/>
        <w:jc w:val="both"/>
        <w:rPr>
          <w:rFonts w:ascii="Arial" w:hAnsi="Arial" w:cs="Arial"/>
          <w:sz w:val="20"/>
          <w:szCs w:val="20"/>
        </w:rPr>
      </w:pPr>
      <w:r w:rsidRPr="00D10094">
        <w:rPr>
          <w:rFonts w:ascii="Arial" w:hAnsi="Arial" w:cs="Arial"/>
          <w:sz w:val="20"/>
          <w:szCs w:val="20"/>
        </w:rPr>
        <w:t xml:space="preserve">Gilson, C. (2024). Are the old ways of transaction monitoring </w:t>
      </w:r>
      <w:proofErr w:type="gramStart"/>
      <w:r w:rsidRPr="00D10094">
        <w:rPr>
          <w:rFonts w:ascii="Arial" w:hAnsi="Arial" w:cs="Arial"/>
          <w:sz w:val="20"/>
          <w:szCs w:val="20"/>
        </w:rPr>
        <w:t>dead?.</w:t>
      </w:r>
      <w:proofErr w:type="gramEnd"/>
      <w:r w:rsidRPr="00D10094">
        <w:rPr>
          <w:rFonts w:ascii="Arial" w:hAnsi="Arial" w:cs="Arial"/>
          <w:sz w:val="20"/>
          <w:szCs w:val="20"/>
        </w:rPr>
        <w:t> </w:t>
      </w:r>
      <w:r w:rsidRPr="00D10094">
        <w:rPr>
          <w:rFonts w:ascii="Arial" w:hAnsi="Arial" w:cs="Arial"/>
          <w:i/>
          <w:iCs/>
          <w:sz w:val="20"/>
          <w:szCs w:val="20"/>
        </w:rPr>
        <w:t>Journal of Financial Compliance</w:t>
      </w:r>
      <w:r w:rsidRPr="00D10094">
        <w:rPr>
          <w:rFonts w:ascii="Arial" w:hAnsi="Arial" w:cs="Arial"/>
          <w:sz w:val="20"/>
          <w:szCs w:val="20"/>
        </w:rPr>
        <w:t>, </w:t>
      </w:r>
      <w:r w:rsidRPr="00D10094">
        <w:rPr>
          <w:rFonts w:ascii="Arial" w:hAnsi="Arial" w:cs="Arial"/>
          <w:i/>
          <w:iCs/>
          <w:sz w:val="20"/>
          <w:szCs w:val="20"/>
        </w:rPr>
        <w:t>8</w:t>
      </w:r>
      <w:r w:rsidRPr="00D10094">
        <w:rPr>
          <w:rFonts w:ascii="Arial" w:hAnsi="Arial" w:cs="Arial"/>
          <w:sz w:val="20"/>
          <w:szCs w:val="20"/>
        </w:rPr>
        <w:t>(2), 102-111.</w:t>
      </w:r>
    </w:p>
    <w:p w14:paraId="3CE34433" w14:textId="77777777" w:rsidR="00934BE7" w:rsidRDefault="00934BE7" w:rsidP="00637D25">
      <w:pPr>
        <w:spacing w:line="360" w:lineRule="auto"/>
        <w:jc w:val="both"/>
        <w:rPr>
          <w:rFonts w:ascii="Arial" w:hAnsi="Arial" w:cs="Arial"/>
          <w:sz w:val="20"/>
          <w:szCs w:val="20"/>
        </w:rPr>
      </w:pPr>
      <w:r w:rsidRPr="00934BE7">
        <w:rPr>
          <w:rFonts w:ascii="Arial" w:hAnsi="Arial" w:cs="Arial"/>
          <w:sz w:val="20"/>
          <w:szCs w:val="20"/>
        </w:rPr>
        <w:t>Giordano, M. T. (2020). Blockchain and the GDPR: new challenges for privacy and security. In </w:t>
      </w:r>
      <w:r w:rsidRPr="00934BE7">
        <w:rPr>
          <w:rFonts w:ascii="Arial" w:hAnsi="Arial" w:cs="Arial"/>
          <w:i/>
          <w:iCs/>
          <w:sz w:val="20"/>
          <w:szCs w:val="20"/>
        </w:rPr>
        <w:t>Blockchain, law and governance</w:t>
      </w:r>
      <w:r w:rsidRPr="00934BE7">
        <w:rPr>
          <w:rFonts w:ascii="Arial" w:hAnsi="Arial" w:cs="Arial"/>
          <w:sz w:val="20"/>
          <w:szCs w:val="20"/>
        </w:rPr>
        <w:t> (pp. 275-286). Cham: Springer International Publishing.</w:t>
      </w:r>
    </w:p>
    <w:p w14:paraId="3077C197" w14:textId="64481890"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Gozman, D., Liebenau, J., &amp; Aste, T. (2020). A case study of using blockchain technology in regulatory technology. </w:t>
      </w:r>
      <w:r w:rsidRPr="00E9050E">
        <w:rPr>
          <w:rFonts w:ascii="Arial" w:hAnsi="Arial" w:cs="Arial"/>
          <w:i/>
          <w:iCs/>
          <w:sz w:val="20"/>
          <w:szCs w:val="20"/>
        </w:rPr>
        <w:t>MIS Quarterly Executive</w:t>
      </w:r>
      <w:r w:rsidRPr="00E9050E">
        <w:rPr>
          <w:rFonts w:ascii="Arial" w:hAnsi="Arial" w:cs="Arial"/>
          <w:sz w:val="20"/>
          <w:szCs w:val="20"/>
        </w:rPr>
        <w:t>, </w:t>
      </w:r>
      <w:r w:rsidRPr="00E9050E">
        <w:rPr>
          <w:rFonts w:ascii="Arial" w:hAnsi="Arial" w:cs="Arial"/>
          <w:i/>
          <w:iCs/>
          <w:sz w:val="20"/>
          <w:szCs w:val="20"/>
        </w:rPr>
        <w:t>19</w:t>
      </w:r>
      <w:r w:rsidRPr="00E9050E">
        <w:rPr>
          <w:rFonts w:ascii="Arial" w:hAnsi="Arial" w:cs="Arial"/>
          <w:sz w:val="20"/>
          <w:szCs w:val="20"/>
        </w:rPr>
        <w:t>(1), 19-37.</w:t>
      </w:r>
    </w:p>
    <w:p w14:paraId="7D4A9D29"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Grassi, L., &amp; Lanfranchi, D. (2022). RegTech in public and private sectors: the nexus between data, technology and regulation. </w:t>
      </w:r>
      <w:r w:rsidRPr="00E9050E">
        <w:rPr>
          <w:rFonts w:ascii="Arial" w:hAnsi="Arial" w:cs="Arial"/>
          <w:i/>
          <w:iCs/>
          <w:sz w:val="20"/>
          <w:szCs w:val="20"/>
        </w:rPr>
        <w:t>Journal of Industrial and Business Economics</w:t>
      </w:r>
      <w:r w:rsidRPr="00E9050E">
        <w:rPr>
          <w:rFonts w:ascii="Arial" w:hAnsi="Arial" w:cs="Arial"/>
          <w:sz w:val="20"/>
          <w:szCs w:val="20"/>
        </w:rPr>
        <w:t>, </w:t>
      </w:r>
      <w:r w:rsidRPr="00E9050E">
        <w:rPr>
          <w:rFonts w:ascii="Arial" w:hAnsi="Arial" w:cs="Arial"/>
          <w:i/>
          <w:iCs/>
          <w:sz w:val="20"/>
          <w:szCs w:val="20"/>
        </w:rPr>
        <w:t>49</w:t>
      </w:r>
      <w:r w:rsidRPr="00E9050E">
        <w:rPr>
          <w:rFonts w:ascii="Arial" w:hAnsi="Arial" w:cs="Arial"/>
          <w:sz w:val="20"/>
          <w:szCs w:val="20"/>
        </w:rPr>
        <w:t>(3), 441-479.</w:t>
      </w:r>
    </w:p>
    <w:p w14:paraId="327C2FE5"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Gurung, N., &amp; Perlman, L. (2018). Use of RegTech by Central Banks and its impact on financial inclusion. </w:t>
      </w:r>
      <w:r w:rsidRPr="00E9050E">
        <w:rPr>
          <w:rFonts w:ascii="Arial" w:hAnsi="Arial" w:cs="Arial"/>
          <w:i/>
          <w:iCs/>
          <w:sz w:val="20"/>
          <w:szCs w:val="20"/>
        </w:rPr>
        <w:t>Available at SSRN 3285985</w:t>
      </w:r>
      <w:r w:rsidRPr="00E9050E">
        <w:rPr>
          <w:rFonts w:ascii="Arial" w:hAnsi="Arial" w:cs="Arial"/>
          <w:sz w:val="20"/>
          <w:szCs w:val="20"/>
        </w:rPr>
        <w:t>.</w:t>
      </w:r>
    </w:p>
    <w:p w14:paraId="614643B9" w14:textId="77777777" w:rsidR="00FC42E2" w:rsidRPr="00E9050E" w:rsidRDefault="00FC42E2" w:rsidP="00637D25">
      <w:pPr>
        <w:spacing w:line="360" w:lineRule="auto"/>
        <w:jc w:val="both"/>
        <w:rPr>
          <w:rFonts w:ascii="Arial" w:hAnsi="Arial" w:cs="Arial"/>
          <w:sz w:val="20"/>
          <w:szCs w:val="20"/>
        </w:rPr>
      </w:pPr>
      <w:proofErr w:type="spellStart"/>
      <w:r w:rsidRPr="00E9050E">
        <w:rPr>
          <w:rFonts w:ascii="Arial" w:hAnsi="Arial" w:cs="Arial"/>
          <w:sz w:val="20"/>
          <w:szCs w:val="20"/>
        </w:rPr>
        <w:t>Haigner</w:t>
      </w:r>
      <w:proofErr w:type="spellEnd"/>
      <w:r w:rsidRPr="00E9050E">
        <w:rPr>
          <w:rFonts w:ascii="Arial" w:hAnsi="Arial" w:cs="Arial"/>
          <w:sz w:val="20"/>
          <w:szCs w:val="20"/>
        </w:rPr>
        <w:t xml:space="preserve">, S., Schneider, F., &amp; </w:t>
      </w:r>
      <w:proofErr w:type="spellStart"/>
      <w:r w:rsidRPr="00E9050E">
        <w:rPr>
          <w:rFonts w:ascii="Arial" w:hAnsi="Arial" w:cs="Arial"/>
          <w:sz w:val="20"/>
          <w:szCs w:val="20"/>
        </w:rPr>
        <w:t>Wakolbinger</w:t>
      </w:r>
      <w:proofErr w:type="spellEnd"/>
      <w:r w:rsidRPr="00E9050E">
        <w:rPr>
          <w:rFonts w:ascii="Arial" w:hAnsi="Arial" w:cs="Arial"/>
          <w:sz w:val="20"/>
          <w:szCs w:val="20"/>
        </w:rPr>
        <w:t>, F. (2012). </w:t>
      </w:r>
      <w:r w:rsidRPr="00E9050E">
        <w:rPr>
          <w:rFonts w:ascii="Arial" w:hAnsi="Arial" w:cs="Arial"/>
          <w:i/>
          <w:iCs/>
          <w:sz w:val="20"/>
          <w:szCs w:val="20"/>
        </w:rPr>
        <w:t>Combating Money Laundering and Terrorist Financing</w:t>
      </w:r>
      <w:r w:rsidRPr="00E9050E">
        <w:rPr>
          <w:rFonts w:ascii="Arial" w:hAnsi="Arial" w:cs="Arial"/>
          <w:sz w:val="20"/>
          <w:szCs w:val="20"/>
        </w:rPr>
        <w:t> (No. 18). EUSECON Policy Briefing.</w:t>
      </w:r>
    </w:p>
    <w:p w14:paraId="44DA5295" w14:textId="77777777" w:rsidR="00D10094" w:rsidRDefault="00D10094" w:rsidP="00637D25">
      <w:pPr>
        <w:spacing w:line="360" w:lineRule="auto"/>
        <w:jc w:val="both"/>
        <w:rPr>
          <w:rFonts w:ascii="Arial" w:hAnsi="Arial" w:cs="Arial"/>
          <w:sz w:val="20"/>
          <w:szCs w:val="20"/>
        </w:rPr>
      </w:pPr>
      <w:r w:rsidRPr="00D10094">
        <w:rPr>
          <w:rFonts w:ascii="Arial" w:hAnsi="Arial" w:cs="Arial"/>
          <w:sz w:val="20"/>
          <w:szCs w:val="20"/>
        </w:rPr>
        <w:t xml:space="preserve">Han, J., Barman, U., Hayes, J., Du, J., Burgin, E., &amp; Wan, D. (2018). Nextgen </w:t>
      </w:r>
      <w:proofErr w:type="spellStart"/>
      <w:r w:rsidRPr="00D10094">
        <w:rPr>
          <w:rFonts w:ascii="Arial" w:hAnsi="Arial" w:cs="Arial"/>
          <w:sz w:val="20"/>
          <w:szCs w:val="20"/>
        </w:rPr>
        <w:t>aml</w:t>
      </w:r>
      <w:proofErr w:type="spellEnd"/>
      <w:r w:rsidRPr="00D10094">
        <w:rPr>
          <w:rFonts w:ascii="Arial" w:hAnsi="Arial" w:cs="Arial"/>
          <w:sz w:val="20"/>
          <w:szCs w:val="20"/>
        </w:rPr>
        <w:t>: Distributed deep learning based language technologies to augment anti money laundering investigation. Association for Computational Linguistics.</w:t>
      </w:r>
    </w:p>
    <w:p w14:paraId="5FA100BF" w14:textId="599BB0CB"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 xml:space="preserve">Hasan, Z., </w:t>
      </w:r>
      <w:proofErr w:type="spellStart"/>
      <w:r w:rsidRPr="00E9050E">
        <w:rPr>
          <w:rFonts w:ascii="Arial" w:hAnsi="Arial" w:cs="Arial"/>
          <w:sz w:val="20"/>
          <w:szCs w:val="20"/>
        </w:rPr>
        <w:t>Wiryadi</w:t>
      </w:r>
      <w:proofErr w:type="spellEnd"/>
      <w:r w:rsidRPr="00E9050E">
        <w:rPr>
          <w:rFonts w:ascii="Arial" w:hAnsi="Arial" w:cs="Arial"/>
          <w:sz w:val="20"/>
          <w:szCs w:val="20"/>
        </w:rPr>
        <w:t xml:space="preserve">, W., </w:t>
      </w:r>
      <w:proofErr w:type="spellStart"/>
      <w:r w:rsidRPr="00E9050E">
        <w:rPr>
          <w:rFonts w:ascii="Arial" w:hAnsi="Arial" w:cs="Arial"/>
          <w:sz w:val="20"/>
          <w:szCs w:val="20"/>
        </w:rPr>
        <w:t>Fadhulrrahman</w:t>
      </w:r>
      <w:proofErr w:type="spellEnd"/>
      <w:r w:rsidRPr="00E9050E">
        <w:rPr>
          <w:rFonts w:ascii="Arial" w:hAnsi="Arial" w:cs="Arial"/>
          <w:sz w:val="20"/>
          <w:szCs w:val="20"/>
        </w:rPr>
        <w:t xml:space="preserve">, A., Dimas, M., &amp; Al Jabbar, R. D. (2024). </w:t>
      </w:r>
      <w:proofErr w:type="spellStart"/>
      <w:r w:rsidRPr="00E9050E">
        <w:rPr>
          <w:rFonts w:ascii="Arial" w:hAnsi="Arial" w:cs="Arial"/>
          <w:sz w:val="20"/>
          <w:szCs w:val="20"/>
        </w:rPr>
        <w:t>Regulasi</w:t>
      </w:r>
      <w:proofErr w:type="spellEnd"/>
      <w:r w:rsidRPr="00E9050E">
        <w:rPr>
          <w:rFonts w:ascii="Arial" w:hAnsi="Arial" w:cs="Arial"/>
          <w:sz w:val="20"/>
          <w:szCs w:val="20"/>
        </w:rPr>
        <w:t xml:space="preserve"> </w:t>
      </w:r>
      <w:proofErr w:type="spellStart"/>
      <w:r w:rsidRPr="00E9050E">
        <w:rPr>
          <w:rFonts w:ascii="Arial" w:hAnsi="Arial" w:cs="Arial"/>
          <w:sz w:val="20"/>
          <w:szCs w:val="20"/>
        </w:rPr>
        <w:t>Penggunaan</w:t>
      </w:r>
      <w:proofErr w:type="spellEnd"/>
      <w:r w:rsidRPr="00E9050E">
        <w:rPr>
          <w:rFonts w:ascii="Arial" w:hAnsi="Arial" w:cs="Arial"/>
          <w:sz w:val="20"/>
          <w:szCs w:val="20"/>
        </w:rPr>
        <w:t xml:space="preserve"> </w:t>
      </w:r>
      <w:proofErr w:type="spellStart"/>
      <w:r w:rsidRPr="00E9050E">
        <w:rPr>
          <w:rFonts w:ascii="Arial" w:hAnsi="Arial" w:cs="Arial"/>
          <w:sz w:val="20"/>
          <w:szCs w:val="20"/>
        </w:rPr>
        <w:t>Teknologi</w:t>
      </w:r>
      <w:proofErr w:type="spellEnd"/>
      <w:r w:rsidRPr="00E9050E">
        <w:rPr>
          <w:rFonts w:ascii="Arial" w:hAnsi="Arial" w:cs="Arial"/>
          <w:sz w:val="20"/>
          <w:szCs w:val="20"/>
        </w:rPr>
        <w:t xml:space="preserve"> Blockchain Dan Mata Uang </w:t>
      </w:r>
      <w:proofErr w:type="spellStart"/>
      <w:r w:rsidRPr="00E9050E">
        <w:rPr>
          <w:rFonts w:ascii="Arial" w:hAnsi="Arial" w:cs="Arial"/>
          <w:sz w:val="20"/>
          <w:szCs w:val="20"/>
        </w:rPr>
        <w:t>Kripto</w:t>
      </w:r>
      <w:proofErr w:type="spellEnd"/>
      <w:r w:rsidRPr="00E9050E">
        <w:rPr>
          <w:rFonts w:ascii="Arial" w:hAnsi="Arial" w:cs="Arial"/>
          <w:sz w:val="20"/>
          <w:szCs w:val="20"/>
        </w:rPr>
        <w:t xml:space="preserve"> </w:t>
      </w:r>
      <w:proofErr w:type="spellStart"/>
      <w:r w:rsidRPr="00E9050E">
        <w:rPr>
          <w:rFonts w:ascii="Arial" w:hAnsi="Arial" w:cs="Arial"/>
          <w:sz w:val="20"/>
          <w:szCs w:val="20"/>
        </w:rPr>
        <w:t>Sebagai</w:t>
      </w:r>
      <w:proofErr w:type="spellEnd"/>
      <w:r w:rsidRPr="00E9050E">
        <w:rPr>
          <w:rFonts w:ascii="Arial" w:hAnsi="Arial" w:cs="Arial"/>
          <w:sz w:val="20"/>
          <w:szCs w:val="20"/>
        </w:rPr>
        <w:t xml:space="preserve"> </w:t>
      </w:r>
      <w:proofErr w:type="spellStart"/>
      <w:r w:rsidRPr="00E9050E">
        <w:rPr>
          <w:rFonts w:ascii="Arial" w:hAnsi="Arial" w:cs="Arial"/>
          <w:sz w:val="20"/>
          <w:szCs w:val="20"/>
        </w:rPr>
        <w:t>Tantangan</w:t>
      </w:r>
      <w:proofErr w:type="spellEnd"/>
      <w:r w:rsidRPr="00E9050E">
        <w:rPr>
          <w:rFonts w:ascii="Arial" w:hAnsi="Arial" w:cs="Arial"/>
          <w:sz w:val="20"/>
          <w:szCs w:val="20"/>
        </w:rPr>
        <w:t xml:space="preserve"> Di Masa </w:t>
      </w:r>
      <w:proofErr w:type="spellStart"/>
      <w:r w:rsidRPr="00E9050E">
        <w:rPr>
          <w:rFonts w:ascii="Arial" w:hAnsi="Arial" w:cs="Arial"/>
          <w:sz w:val="20"/>
          <w:szCs w:val="20"/>
        </w:rPr>
        <w:t>Depan</w:t>
      </w:r>
      <w:proofErr w:type="spellEnd"/>
      <w:r w:rsidRPr="00E9050E">
        <w:rPr>
          <w:rFonts w:ascii="Arial" w:hAnsi="Arial" w:cs="Arial"/>
          <w:sz w:val="20"/>
          <w:szCs w:val="20"/>
        </w:rPr>
        <w:t xml:space="preserve"> Dalam Hukum Siber. </w:t>
      </w:r>
      <w:proofErr w:type="spellStart"/>
      <w:r w:rsidRPr="00E9050E">
        <w:rPr>
          <w:rFonts w:ascii="Arial" w:hAnsi="Arial" w:cs="Arial"/>
          <w:i/>
          <w:iCs/>
          <w:sz w:val="20"/>
          <w:szCs w:val="20"/>
        </w:rPr>
        <w:t>Birokrasi</w:t>
      </w:r>
      <w:proofErr w:type="spellEnd"/>
      <w:r w:rsidRPr="00E9050E">
        <w:rPr>
          <w:rFonts w:ascii="Arial" w:hAnsi="Arial" w:cs="Arial"/>
          <w:i/>
          <w:iCs/>
          <w:sz w:val="20"/>
          <w:szCs w:val="20"/>
        </w:rPr>
        <w:t xml:space="preserve">: </w:t>
      </w:r>
      <w:proofErr w:type="spellStart"/>
      <w:r w:rsidRPr="00E9050E">
        <w:rPr>
          <w:rFonts w:ascii="Arial" w:hAnsi="Arial" w:cs="Arial"/>
          <w:i/>
          <w:iCs/>
          <w:sz w:val="20"/>
          <w:szCs w:val="20"/>
        </w:rPr>
        <w:t>Jurnal</w:t>
      </w:r>
      <w:proofErr w:type="spellEnd"/>
      <w:r w:rsidRPr="00E9050E">
        <w:rPr>
          <w:rFonts w:ascii="Arial" w:hAnsi="Arial" w:cs="Arial"/>
          <w:i/>
          <w:iCs/>
          <w:sz w:val="20"/>
          <w:szCs w:val="20"/>
        </w:rPr>
        <w:t xml:space="preserve"> </w:t>
      </w:r>
      <w:proofErr w:type="spellStart"/>
      <w:r w:rsidRPr="00E9050E">
        <w:rPr>
          <w:rFonts w:ascii="Arial" w:hAnsi="Arial" w:cs="Arial"/>
          <w:i/>
          <w:iCs/>
          <w:sz w:val="20"/>
          <w:szCs w:val="20"/>
        </w:rPr>
        <w:t>Ilmu</w:t>
      </w:r>
      <w:proofErr w:type="spellEnd"/>
      <w:r w:rsidRPr="00E9050E">
        <w:rPr>
          <w:rFonts w:ascii="Arial" w:hAnsi="Arial" w:cs="Arial"/>
          <w:i/>
          <w:iCs/>
          <w:sz w:val="20"/>
          <w:szCs w:val="20"/>
        </w:rPr>
        <w:t xml:space="preserve"> Hukum Dan Tata Negara</w:t>
      </w:r>
      <w:r w:rsidRPr="00E9050E">
        <w:rPr>
          <w:rFonts w:ascii="Arial" w:hAnsi="Arial" w:cs="Arial"/>
          <w:sz w:val="20"/>
          <w:szCs w:val="20"/>
        </w:rPr>
        <w:t>, </w:t>
      </w:r>
      <w:r w:rsidRPr="00E9050E">
        <w:rPr>
          <w:rFonts w:ascii="Arial" w:hAnsi="Arial" w:cs="Arial"/>
          <w:i/>
          <w:iCs/>
          <w:sz w:val="20"/>
          <w:szCs w:val="20"/>
        </w:rPr>
        <w:t>2</w:t>
      </w:r>
      <w:r w:rsidRPr="00E9050E">
        <w:rPr>
          <w:rFonts w:ascii="Arial" w:hAnsi="Arial" w:cs="Arial"/>
          <w:sz w:val="20"/>
          <w:szCs w:val="20"/>
        </w:rPr>
        <w:t>(2), 55-69.</w:t>
      </w:r>
    </w:p>
    <w:p w14:paraId="525B6D5D" w14:textId="77777777" w:rsidR="00CC363E" w:rsidRDefault="00CC363E" w:rsidP="00637D25">
      <w:pPr>
        <w:spacing w:line="360" w:lineRule="auto"/>
        <w:jc w:val="both"/>
        <w:rPr>
          <w:rFonts w:ascii="Arial" w:hAnsi="Arial" w:cs="Arial"/>
          <w:sz w:val="20"/>
          <w:szCs w:val="20"/>
        </w:rPr>
      </w:pPr>
      <w:r w:rsidRPr="00CC363E">
        <w:rPr>
          <w:rFonts w:ascii="Arial" w:hAnsi="Arial" w:cs="Arial"/>
          <w:sz w:val="20"/>
          <w:szCs w:val="20"/>
        </w:rPr>
        <w:t xml:space="preserve">Haque, A. B., Islam, A. N., </w:t>
      </w:r>
      <w:proofErr w:type="spellStart"/>
      <w:r w:rsidRPr="00CC363E">
        <w:rPr>
          <w:rFonts w:ascii="Arial" w:hAnsi="Arial" w:cs="Arial"/>
          <w:sz w:val="20"/>
          <w:szCs w:val="20"/>
        </w:rPr>
        <w:t>Hyrynsalmi</w:t>
      </w:r>
      <w:proofErr w:type="spellEnd"/>
      <w:r w:rsidRPr="00CC363E">
        <w:rPr>
          <w:rFonts w:ascii="Arial" w:hAnsi="Arial" w:cs="Arial"/>
          <w:sz w:val="20"/>
          <w:szCs w:val="20"/>
        </w:rPr>
        <w:t xml:space="preserve">, S., Naqvi, B., &amp; </w:t>
      </w:r>
      <w:proofErr w:type="spellStart"/>
      <w:r w:rsidRPr="00CC363E">
        <w:rPr>
          <w:rFonts w:ascii="Arial" w:hAnsi="Arial" w:cs="Arial"/>
          <w:sz w:val="20"/>
          <w:szCs w:val="20"/>
        </w:rPr>
        <w:t>Smolander</w:t>
      </w:r>
      <w:proofErr w:type="spellEnd"/>
      <w:r w:rsidRPr="00CC363E">
        <w:rPr>
          <w:rFonts w:ascii="Arial" w:hAnsi="Arial" w:cs="Arial"/>
          <w:sz w:val="20"/>
          <w:szCs w:val="20"/>
        </w:rPr>
        <w:t>, K. (2021). GDPR compliant blockchains–a systematic literature review. </w:t>
      </w:r>
      <w:proofErr w:type="spellStart"/>
      <w:r w:rsidRPr="00CC363E">
        <w:rPr>
          <w:rFonts w:ascii="Arial" w:hAnsi="Arial" w:cs="Arial"/>
          <w:i/>
          <w:iCs/>
          <w:sz w:val="20"/>
          <w:szCs w:val="20"/>
        </w:rPr>
        <w:t>Ieee</w:t>
      </w:r>
      <w:proofErr w:type="spellEnd"/>
      <w:r w:rsidRPr="00CC363E">
        <w:rPr>
          <w:rFonts w:ascii="Arial" w:hAnsi="Arial" w:cs="Arial"/>
          <w:i/>
          <w:iCs/>
          <w:sz w:val="20"/>
          <w:szCs w:val="20"/>
        </w:rPr>
        <w:t xml:space="preserve"> Access</w:t>
      </w:r>
      <w:r w:rsidRPr="00CC363E">
        <w:rPr>
          <w:rFonts w:ascii="Arial" w:hAnsi="Arial" w:cs="Arial"/>
          <w:sz w:val="20"/>
          <w:szCs w:val="20"/>
        </w:rPr>
        <w:t>, </w:t>
      </w:r>
      <w:r w:rsidRPr="00CC363E">
        <w:rPr>
          <w:rFonts w:ascii="Arial" w:hAnsi="Arial" w:cs="Arial"/>
          <w:i/>
          <w:iCs/>
          <w:sz w:val="20"/>
          <w:szCs w:val="20"/>
        </w:rPr>
        <w:t>9</w:t>
      </w:r>
      <w:r w:rsidRPr="00CC363E">
        <w:rPr>
          <w:rFonts w:ascii="Arial" w:hAnsi="Arial" w:cs="Arial"/>
          <w:sz w:val="20"/>
          <w:szCs w:val="20"/>
        </w:rPr>
        <w:t>, 50593-50606.</w:t>
      </w:r>
    </w:p>
    <w:p w14:paraId="3EA698D9" w14:textId="4A58F929"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lastRenderedPageBreak/>
        <w:t>Holbrook, E. (2011). Anti-money laundering. </w:t>
      </w:r>
      <w:r w:rsidRPr="00E9050E">
        <w:rPr>
          <w:rFonts w:ascii="Arial" w:hAnsi="Arial" w:cs="Arial"/>
          <w:i/>
          <w:iCs/>
          <w:sz w:val="20"/>
          <w:szCs w:val="20"/>
        </w:rPr>
        <w:t>Risk Management</w:t>
      </w:r>
      <w:r w:rsidRPr="00E9050E">
        <w:rPr>
          <w:rFonts w:ascii="Arial" w:hAnsi="Arial" w:cs="Arial"/>
          <w:sz w:val="20"/>
          <w:szCs w:val="20"/>
        </w:rPr>
        <w:t>, </w:t>
      </w:r>
      <w:r w:rsidRPr="00E9050E">
        <w:rPr>
          <w:rFonts w:ascii="Arial" w:hAnsi="Arial" w:cs="Arial"/>
          <w:i/>
          <w:iCs/>
          <w:sz w:val="20"/>
          <w:szCs w:val="20"/>
        </w:rPr>
        <w:t>58</w:t>
      </w:r>
      <w:r w:rsidRPr="00E9050E">
        <w:rPr>
          <w:rFonts w:ascii="Arial" w:hAnsi="Arial" w:cs="Arial"/>
          <w:sz w:val="20"/>
          <w:szCs w:val="20"/>
        </w:rPr>
        <w:t>(7), 45-46.</w:t>
      </w:r>
    </w:p>
    <w:p w14:paraId="196B7293" w14:textId="77777777" w:rsidR="00521ACC" w:rsidRDefault="00521ACC" w:rsidP="00637D25">
      <w:pPr>
        <w:spacing w:line="360" w:lineRule="auto"/>
        <w:jc w:val="both"/>
        <w:rPr>
          <w:rFonts w:ascii="Arial" w:hAnsi="Arial" w:cs="Arial"/>
          <w:sz w:val="20"/>
          <w:szCs w:val="20"/>
        </w:rPr>
      </w:pPr>
      <w:r w:rsidRPr="00521ACC">
        <w:rPr>
          <w:rFonts w:ascii="Arial" w:hAnsi="Arial" w:cs="Arial"/>
          <w:sz w:val="20"/>
          <w:szCs w:val="20"/>
        </w:rPr>
        <w:t>Kothandapani, H. P. (2024). Automating financial compliance with AI: A New Era in regulatory technology (RegTech).</w:t>
      </w:r>
    </w:p>
    <w:p w14:paraId="1842812B" w14:textId="2CCB96F8" w:rsidR="00FC42E2" w:rsidRPr="00E9050E" w:rsidRDefault="00FC42E2" w:rsidP="00637D25">
      <w:pPr>
        <w:spacing w:line="360" w:lineRule="auto"/>
        <w:jc w:val="both"/>
        <w:rPr>
          <w:rFonts w:ascii="Arial" w:hAnsi="Arial" w:cs="Arial"/>
          <w:sz w:val="20"/>
          <w:szCs w:val="20"/>
        </w:rPr>
      </w:pPr>
      <w:proofErr w:type="spellStart"/>
      <w:r w:rsidRPr="00E9050E">
        <w:rPr>
          <w:rFonts w:ascii="Arial" w:hAnsi="Arial" w:cs="Arial"/>
          <w:sz w:val="20"/>
          <w:szCs w:val="20"/>
        </w:rPr>
        <w:t>Kurum</w:t>
      </w:r>
      <w:proofErr w:type="spellEnd"/>
      <w:r w:rsidRPr="00E9050E">
        <w:rPr>
          <w:rFonts w:ascii="Arial" w:hAnsi="Arial" w:cs="Arial"/>
          <w:sz w:val="20"/>
          <w:szCs w:val="20"/>
        </w:rPr>
        <w:t xml:space="preserve">, E. (2023). RegTech solutions and AML compliance: what future for financial </w:t>
      </w:r>
      <w:proofErr w:type="gramStart"/>
      <w:r w:rsidRPr="00E9050E">
        <w:rPr>
          <w:rFonts w:ascii="Arial" w:hAnsi="Arial" w:cs="Arial"/>
          <w:sz w:val="20"/>
          <w:szCs w:val="20"/>
        </w:rPr>
        <w:t>crime?.</w:t>
      </w:r>
      <w:proofErr w:type="gramEnd"/>
      <w:r w:rsidRPr="00E9050E">
        <w:rPr>
          <w:rFonts w:ascii="Arial" w:hAnsi="Arial" w:cs="Arial"/>
          <w:sz w:val="20"/>
          <w:szCs w:val="20"/>
        </w:rPr>
        <w:t> </w:t>
      </w:r>
      <w:r w:rsidRPr="00E9050E">
        <w:rPr>
          <w:rFonts w:ascii="Arial" w:hAnsi="Arial" w:cs="Arial"/>
          <w:i/>
          <w:iCs/>
          <w:sz w:val="20"/>
          <w:szCs w:val="20"/>
        </w:rPr>
        <w:t>Journal of Financial Crime</w:t>
      </w:r>
      <w:r w:rsidRPr="00E9050E">
        <w:rPr>
          <w:rFonts w:ascii="Arial" w:hAnsi="Arial" w:cs="Arial"/>
          <w:sz w:val="20"/>
          <w:szCs w:val="20"/>
        </w:rPr>
        <w:t>, </w:t>
      </w:r>
      <w:r w:rsidRPr="00E9050E">
        <w:rPr>
          <w:rFonts w:ascii="Arial" w:hAnsi="Arial" w:cs="Arial"/>
          <w:i/>
          <w:iCs/>
          <w:sz w:val="20"/>
          <w:szCs w:val="20"/>
        </w:rPr>
        <w:t>30</w:t>
      </w:r>
      <w:r w:rsidRPr="00E9050E">
        <w:rPr>
          <w:rFonts w:ascii="Arial" w:hAnsi="Arial" w:cs="Arial"/>
          <w:sz w:val="20"/>
          <w:szCs w:val="20"/>
        </w:rPr>
        <w:t>(3), 776-794.</w:t>
      </w:r>
    </w:p>
    <w:p w14:paraId="4DD34723" w14:textId="77777777" w:rsidR="00521ACC" w:rsidRDefault="00521ACC" w:rsidP="00637D25">
      <w:pPr>
        <w:spacing w:line="360" w:lineRule="auto"/>
        <w:jc w:val="both"/>
        <w:rPr>
          <w:rFonts w:ascii="Arial" w:hAnsi="Arial" w:cs="Arial"/>
          <w:sz w:val="20"/>
          <w:szCs w:val="20"/>
        </w:rPr>
      </w:pPr>
      <w:r w:rsidRPr="00521ACC">
        <w:rPr>
          <w:rFonts w:ascii="Arial" w:hAnsi="Arial" w:cs="Arial"/>
          <w:sz w:val="20"/>
          <w:szCs w:val="20"/>
        </w:rPr>
        <w:t>Liang, P. (2024). Leveraging artificial intelligence in Regulatory Technology (RegTech) for financial compliance. </w:t>
      </w:r>
      <w:r w:rsidRPr="00521ACC">
        <w:rPr>
          <w:rFonts w:ascii="Arial" w:hAnsi="Arial" w:cs="Arial"/>
          <w:i/>
          <w:iCs/>
          <w:sz w:val="20"/>
          <w:szCs w:val="20"/>
        </w:rPr>
        <w:t>Applied and Computational Engineering</w:t>
      </w:r>
      <w:r w:rsidRPr="00521ACC">
        <w:rPr>
          <w:rFonts w:ascii="Arial" w:hAnsi="Arial" w:cs="Arial"/>
          <w:sz w:val="20"/>
          <w:szCs w:val="20"/>
        </w:rPr>
        <w:t>, </w:t>
      </w:r>
      <w:r w:rsidRPr="00521ACC">
        <w:rPr>
          <w:rFonts w:ascii="Arial" w:hAnsi="Arial" w:cs="Arial"/>
          <w:i/>
          <w:iCs/>
          <w:sz w:val="20"/>
          <w:szCs w:val="20"/>
        </w:rPr>
        <w:t>93</w:t>
      </w:r>
      <w:r w:rsidRPr="00521ACC">
        <w:rPr>
          <w:rFonts w:ascii="Arial" w:hAnsi="Arial" w:cs="Arial"/>
          <w:sz w:val="20"/>
          <w:szCs w:val="20"/>
        </w:rPr>
        <w:t>, 166-171.</w:t>
      </w:r>
    </w:p>
    <w:p w14:paraId="4A621B46" w14:textId="70A38FDF"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Liebenau, J. (2020). The role of blockchain regulatory technology: lessons from Project Maison. </w:t>
      </w:r>
      <w:r w:rsidRPr="00E9050E">
        <w:rPr>
          <w:rFonts w:ascii="Arial" w:hAnsi="Arial" w:cs="Arial"/>
          <w:i/>
          <w:iCs/>
          <w:sz w:val="20"/>
          <w:szCs w:val="20"/>
        </w:rPr>
        <w:t>MIS Quarterly Executive</w:t>
      </w:r>
      <w:r w:rsidRPr="00E9050E">
        <w:rPr>
          <w:rFonts w:ascii="Arial" w:hAnsi="Arial" w:cs="Arial"/>
          <w:sz w:val="20"/>
          <w:szCs w:val="20"/>
        </w:rPr>
        <w:t>, </w:t>
      </w:r>
      <w:r w:rsidRPr="00E9050E">
        <w:rPr>
          <w:rFonts w:ascii="Arial" w:hAnsi="Arial" w:cs="Arial"/>
          <w:i/>
          <w:iCs/>
          <w:sz w:val="20"/>
          <w:szCs w:val="20"/>
        </w:rPr>
        <w:t>19</w:t>
      </w:r>
      <w:r w:rsidRPr="00E9050E">
        <w:rPr>
          <w:rFonts w:ascii="Arial" w:hAnsi="Arial" w:cs="Arial"/>
          <w:sz w:val="20"/>
          <w:szCs w:val="20"/>
        </w:rPr>
        <w:t>(1).</w:t>
      </w:r>
    </w:p>
    <w:p w14:paraId="30BD1F4D"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Lin, T. C. (2016). Compliance, technology, and modern finance. </w:t>
      </w:r>
      <w:r w:rsidRPr="00E9050E">
        <w:rPr>
          <w:rFonts w:ascii="Arial" w:hAnsi="Arial" w:cs="Arial"/>
          <w:i/>
          <w:iCs/>
          <w:sz w:val="20"/>
          <w:szCs w:val="20"/>
        </w:rPr>
        <w:t>Brook. J. Corp. Fin. &amp; Com. L.</w:t>
      </w:r>
      <w:r w:rsidRPr="00E9050E">
        <w:rPr>
          <w:rFonts w:ascii="Arial" w:hAnsi="Arial" w:cs="Arial"/>
          <w:sz w:val="20"/>
          <w:szCs w:val="20"/>
        </w:rPr>
        <w:t>, </w:t>
      </w:r>
      <w:r w:rsidRPr="00E9050E">
        <w:rPr>
          <w:rFonts w:ascii="Arial" w:hAnsi="Arial" w:cs="Arial"/>
          <w:i/>
          <w:iCs/>
          <w:sz w:val="20"/>
          <w:szCs w:val="20"/>
        </w:rPr>
        <w:t>11</w:t>
      </w:r>
      <w:r w:rsidRPr="00E9050E">
        <w:rPr>
          <w:rFonts w:ascii="Arial" w:hAnsi="Arial" w:cs="Arial"/>
          <w:sz w:val="20"/>
          <w:szCs w:val="20"/>
        </w:rPr>
        <w:t>, 159.</w:t>
      </w:r>
    </w:p>
    <w:p w14:paraId="6266A2C4"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Matari, D. F. (2024). Impact of Dynamic Compliance Framework on the Integration and Application of Generative Artificial Intelligence in Financial Regulatory Technology (</w:t>
      </w:r>
      <w:proofErr w:type="spellStart"/>
      <w:r w:rsidRPr="00E9050E">
        <w:rPr>
          <w:rFonts w:ascii="Arial" w:hAnsi="Arial" w:cs="Arial"/>
          <w:sz w:val="20"/>
          <w:szCs w:val="20"/>
        </w:rPr>
        <w:t>Regtech</w:t>
      </w:r>
      <w:proofErr w:type="spellEnd"/>
      <w:r w:rsidRPr="00E9050E">
        <w:rPr>
          <w:rFonts w:ascii="Arial" w:hAnsi="Arial" w:cs="Arial"/>
          <w:sz w:val="20"/>
          <w:szCs w:val="20"/>
        </w:rPr>
        <w:t>), Tanzania. </w:t>
      </w:r>
      <w:r w:rsidRPr="00E9050E">
        <w:rPr>
          <w:rFonts w:ascii="Arial" w:hAnsi="Arial" w:cs="Arial"/>
          <w:i/>
          <w:iCs/>
          <w:sz w:val="20"/>
          <w:szCs w:val="20"/>
        </w:rPr>
        <w:t>International Journal of Research and Innovation in Social Science</w:t>
      </w:r>
      <w:r w:rsidRPr="00E9050E">
        <w:rPr>
          <w:rFonts w:ascii="Arial" w:hAnsi="Arial" w:cs="Arial"/>
          <w:sz w:val="20"/>
          <w:szCs w:val="20"/>
        </w:rPr>
        <w:t>, </w:t>
      </w:r>
      <w:r w:rsidRPr="00E9050E">
        <w:rPr>
          <w:rFonts w:ascii="Arial" w:hAnsi="Arial" w:cs="Arial"/>
          <w:i/>
          <w:iCs/>
          <w:sz w:val="20"/>
          <w:szCs w:val="20"/>
        </w:rPr>
        <w:t>8</w:t>
      </w:r>
      <w:r w:rsidRPr="00E9050E">
        <w:rPr>
          <w:rFonts w:ascii="Arial" w:hAnsi="Arial" w:cs="Arial"/>
          <w:sz w:val="20"/>
          <w:szCs w:val="20"/>
        </w:rPr>
        <w:t>(4), 880-886.</w:t>
      </w:r>
    </w:p>
    <w:p w14:paraId="167F1239" w14:textId="77777777" w:rsidR="00FC42E2" w:rsidRPr="00E9050E" w:rsidRDefault="00FC42E2" w:rsidP="00637D25">
      <w:pPr>
        <w:spacing w:line="360" w:lineRule="auto"/>
        <w:jc w:val="both"/>
        <w:rPr>
          <w:rFonts w:ascii="Arial" w:hAnsi="Arial" w:cs="Arial"/>
          <w:sz w:val="20"/>
          <w:szCs w:val="20"/>
        </w:rPr>
      </w:pPr>
      <w:proofErr w:type="spellStart"/>
      <w:r w:rsidRPr="00E9050E">
        <w:rPr>
          <w:rFonts w:ascii="Arial" w:hAnsi="Arial" w:cs="Arial"/>
          <w:sz w:val="20"/>
          <w:szCs w:val="20"/>
        </w:rPr>
        <w:t>McGlosson</w:t>
      </w:r>
      <w:proofErr w:type="spellEnd"/>
      <w:r w:rsidRPr="00E9050E">
        <w:rPr>
          <w:rFonts w:ascii="Arial" w:hAnsi="Arial" w:cs="Arial"/>
          <w:sz w:val="20"/>
          <w:szCs w:val="20"/>
        </w:rPr>
        <w:t>, C., &amp; Enriquez, M. (2020). Financial industry compliance with Big Data and analytics. </w:t>
      </w:r>
      <w:r w:rsidRPr="00E9050E">
        <w:rPr>
          <w:rFonts w:ascii="Arial" w:hAnsi="Arial" w:cs="Arial"/>
          <w:i/>
          <w:iCs/>
          <w:sz w:val="20"/>
          <w:szCs w:val="20"/>
        </w:rPr>
        <w:t>Journal of Financial Compliance</w:t>
      </w:r>
      <w:r w:rsidRPr="00E9050E">
        <w:rPr>
          <w:rFonts w:ascii="Arial" w:hAnsi="Arial" w:cs="Arial"/>
          <w:sz w:val="20"/>
          <w:szCs w:val="20"/>
        </w:rPr>
        <w:t>, </w:t>
      </w:r>
      <w:r w:rsidRPr="00E9050E">
        <w:rPr>
          <w:rFonts w:ascii="Arial" w:hAnsi="Arial" w:cs="Arial"/>
          <w:i/>
          <w:iCs/>
          <w:sz w:val="20"/>
          <w:szCs w:val="20"/>
        </w:rPr>
        <w:t>3</w:t>
      </w:r>
      <w:r w:rsidRPr="00E9050E">
        <w:rPr>
          <w:rFonts w:ascii="Arial" w:hAnsi="Arial" w:cs="Arial"/>
          <w:sz w:val="20"/>
          <w:szCs w:val="20"/>
        </w:rPr>
        <w:t>(2), 103-117.</w:t>
      </w:r>
    </w:p>
    <w:p w14:paraId="23EAC018" w14:textId="77777777" w:rsidR="00FC42E2" w:rsidRPr="00E9050E" w:rsidRDefault="00FC42E2" w:rsidP="00637D25">
      <w:pPr>
        <w:spacing w:line="360" w:lineRule="auto"/>
        <w:jc w:val="both"/>
        <w:rPr>
          <w:rFonts w:ascii="Arial" w:hAnsi="Arial" w:cs="Arial"/>
          <w:sz w:val="20"/>
          <w:szCs w:val="20"/>
        </w:rPr>
      </w:pPr>
      <w:proofErr w:type="spellStart"/>
      <w:r w:rsidRPr="00E9050E">
        <w:rPr>
          <w:rFonts w:ascii="Arial" w:hAnsi="Arial" w:cs="Arial"/>
          <w:sz w:val="20"/>
          <w:szCs w:val="20"/>
        </w:rPr>
        <w:t>Meiryani</w:t>
      </w:r>
      <w:proofErr w:type="spellEnd"/>
      <w:r w:rsidRPr="00E9050E">
        <w:rPr>
          <w:rFonts w:ascii="Arial" w:hAnsi="Arial" w:cs="Arial"/>
          <w:sz w:val="20"/>
          <w:szCs w:val="20"/>
        </w:rPr>
        <w:t xml:space="preserve">, M., </w:t>
      </w:r>
      <w:proofErr w:type="spellStart"/>
      <w:r w:rsidRPr="00E9050E">
        <w:rPr>
          <w:rFonts w:ascii="Arial" w:hAnsi="Arial" w:cs="Arial"/>
          <w:sz w:val="20"/>
          <w:szCs w:val="20"/>
        </w:rPr>
        <w:t>Soepriyanto</w:t>
      </w:r>
      <w:proofErr w:type="spellEnd"/>
      <w:r w:rsidRPr="00E9050E">
        <w:rPr>
          <w:rFonts w:ascii="Arial" w:hAnsi="Arial" w:cs="Arial"/>
          <w:sz w:val="20"/>
          <w:szCs w:val="20"/>
        </w:rPr>
        <w:t>, G., &amp; Audrelia, J. (2023). Effectiveness of regulatory technology implementation in Indonesian banking sector to prevent money laundering and terrorist financing. </w:t>
      </w:r>
      <w:r w:rsidRPr="00E9050E">
        <w:rPr>
          <w:rFonts w:ascii="Arial" w:hAnsi="Arial" w:cs="Arial"/>
          <w:i/>
          <w:iCs/>
          <w:sz w:val="20"/>
          <w:szCs w:val="20"/>
        </w:rPr>
        <w:t>Journal of Money Laundering Control</w:t>
      </w:r>
      <w:r w:rsidRPr="00E9050E">
        <w:rPr>
          <w:rFonts w:ascii="Arial" w:hAnsi="Arial" w:cs="Arial"/>
          <w:sz w:val="20"/>
          <w:szCs w:val="20"/>
        </w:rPr>
        <w:t>, </w:t>
      </w:r>
      <w:r w:rsidRPr="00E9050E">
        <w:rPr>
          <w:rFonts w:ascii="Arial" w:hAnsi="Arial" w:cs="Arial"/>
          <w:i/>
          <w:iCs/>
          <w:sz w:val="20"/>
          <w:szCs w:val="20"/>
        </w:rPr>
        <w:t>26</w:t>
      </w:r>
      <w:r w:rsidRPr="00E9050E">
        <w:rPr>
          <w:rFonts w:ascii="Arial" w:hAnsi="Arial" w:cs="Arial"/>
          <w:sz w:val="20"/>
          <w:szCs w:val="20"/>
        </w:rPr>
        <w:t>(4), 892-908.</w:t>
      </w:r>
    </w:p>
    <w:p w14:paraId="7FD812B6"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Miller, R. S., &amp; Rosen, L. W. (2017). </w:t>
      </w:r>
      <w:r w:rsidRPr="00E9050E">
        <w:rPr>
          <w:rFonts w:ascii="Arial" w:hAnsi="Arial" w:cs="Arial"/>
          <w:i/>
          <w:iCs/>
          <w:sz w:val="20"/>
          <w:szCs w:val="20"/>
        </w:rPr>
        <w:t>Anti-money laundering: an overview for Congress</w:t>
      </w:r>
      <w:r w:rsidRPr="00E9050E">
        <w:rPr>
          <w:rFonts w:ascii="Arial" w:hAnsi="Arial" w:cs="Arial"/>
          <w:sz w:val="20"/>
          <w:szCs w:val="20"/>
        </w:rPr>
        <w:t>. Congressional Research Service.</w:t>
      </w:r>
    </w:p>
    <w:p w14:paraId="60342693" w14:textId="77777777" w:rsidR="00934BE7" w:rsidRDefault="00934BE7" w:rsidP="00637D25">
      <w:pPr>
        <w:spacing w:line="360" w:lineRule="auto"/>
        <w:jc w:val="both"/>
        <w:rPr>
          <w:rFonts w:ascii="Arial" w:hAnsi="Arial" w:cs="Arial"/>
          <w:sz w:val="20"/>
          <w:szCs w:val="20"/>
        </w:rPr>
      </w:pPr>
      <w:proofErr w:type="spellStart"/>
      <w:r w:rsidRPr="00934BE7">
        <w:rPr>
          <w:rFonts w:ascii="Arial" w:hAnsi="Arial" w:cs="Arial"/>
          <w:sz w:val="20"/>
          <w:szCs w:val="20"/>
        </w:rPr>
        <w:t>Moerel</w:t>
      </w:r>
      <w:proofErr w:type="spellEnd"/>
      <w:r w:rsidRPr="00934BE7">
        <w:rPr>
          <w:rFonts w:ascii="Arial" w:hAnsi="Arial" w:cs="Arial"/>
          <w:sz w:val="20"/>
          <w:szCs w:val="20"/>
        </w:rPr>
        <w:t>, L. (2018). Blockchain &amp; data protection… and why they are not on a collision course. </w:t>
      </w:r>
      <w:r w:rsidRPr="00934BE7">
        <w:rPr>
          <w:rFonts w:ascii="Arial" w:hAnsi="Arial" w:cs="Arial"/>
          <w:i/>
          <w:iCs/>
          <w:sz w:val="20"/>
          <w:szCs w:val="20"/>
        </w:rPr>
        <w:t>European review of private law</w:t>
      </w:r>
      <w:r w:rsidRPr="00934BE7">
        <w:rPr>
          <w:rFonts w:ascii="Arial" w:hAnsi="Arial" w:cs="Arial"/>
          <w:sz w:val="20"/>
          <w:szCs w:val="20"/>
        </w:rPr>
        <w:t>, </w:t>
      </w:r>
      <w:r w:rsidRPr="00934BE7">
        <w:rPr>
          <w:rFonts w:ascii="Arial" w:hAnsi="Arial" w:cs="Arial"/>
          <w:i/>
          <w:iCs/>
          <w:sz w:val="20"/>
          <w:szCs w:val="20"/>
        </w:rPr>
        <w:t>26</w:t>
      </w:r>
      <w:r w:rsidRPr="00934BE7">
        <w:rPr>
          <w:rFonts w:ascii="Arial" w:hAnsi="Arial" w:cs="Arial"/>
          <w:sz w:val="20"/>
          <w:szCs w:val="20"/>
        </w:rPr>
        <w:t>(6).</w:t>
      </w:r>
    </w:p>
    <w:p w14:paraId="1F52C096" w14:textId="1A08D731"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 xml:space="preserve">Mohamed, H., &amp; Yildirim, R. (2021). </w:t>
      </w:r>
      <w:proofErr w:type="spellStart"/>
      <w:r w:rsidRPr="00E9050E">
        <w:rPr>
          <w:rFonts w:ascii="Arial" w:hAnsi="Arial" w:cs="Arial"/>
          <w:sz w:val="20"/>
          <w:szCs w:val="20"/>
        </w:rPr>
        <w:t>Regtech</w:t>
      </w:r>
      <w:proofErr w:type="spellEnd"/>
      <w:r w:rsidRPr="00E9050E">
        <w:rPr>
          <w:rFonts w:ascii="Arial" w:hAnsi="Arial" w:cs="Arial"/>
          <w:sz w:val="20"/>
          <w:szCs w:val="20"/>
        </w:rPr>
        <w:t xml:space="preserve"> and regulatory change management for financial institutions. In </w:t>
      </w:r>
      <w:r w:rsidRPr="00E9050E">
        <w:rPr>
          <w:rFonts w:ascii="Arial" w:hAnsi="Arial" w:cs="Arial"/>
          <w:i/>
          <w:iCs/>
          <w:sz w:val="20"/>
          <w:szCs w:val="20"/>
        </w:rPr>
        <w:t>The Fourth Industrial Revolution: Implementation of Artificial Intelligence for Growing Business Success</w:t>
      </w:r>
      <w:r w:rsidRPr="00E9050E">
        <w:rPr>
          <w:rFonts w:ascii="Arial" w:hAnsi="Arial" w:cs="Arial"/>
          <w:sz w:val="20"/>
          <w:szCs w:val="20"/>
        </w:rPr>
        <w:t> (pp. 153-168). Cham: Springer International Publishing.</w:t>
      </w:r>
    </w:p>
    <w:p w14:paraId="44B306B2"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Nanda, A. S. (2024). Harnessing RegTech for Financial Inclusion: Enhancing Compliance and Security in the Modern Financial Landscape. </w:t>
      </w:r>
      <w:r w:rsidRPr="00E9050E">
        <w:rPr>
          <w:rFonts w:ascii="Arial" w:hAnsi="Arial" w:cs="Arial"/>
          <w:i/>
          <w:iCs/>
          <w:sz w:val="20"/>
          <w:szCs w:val="20"/>
        </w:rPr>
        <w:t>International Journal of Finance</w:t>
      </w:r>
      <w:r w:rsidRPr="00E9050E">
        <w:rPr>
          <w:rFonts w:ascii="Arial" w:hAnsi="Arial" w:cs="Arial"/>
          <w:sz w:val="20"/>
          <w:szCs w:val="20"/>
        </w:rPr>
        <w:t>, </w:t>
      </w:r>
      <w:r w:rsidRPr="00E9050E">
        <w:rPr>
          <w:rFonts w:ascii="Arial" w:hAnsi="Arial" w:cs="Arial"/>
          <w:i/>
          <w:iCs/>
          <w:sz w:val="20"/>
          <w:szCs w:val="20"/>
        </w:rPr>
        <w:t>9</w:t>
      </w:r>
      <w:r w:rsidRPr="00E9050E">
        <w:rPr>
          <w:rFonts w:ascii="Arial" w:hAnsi="Arial" w:cs="Arial"/>
          <w:sz w:val="20"/>
          <w:szCs w:val="20"/>
        </w:rPr>
        <w:t>(5), 71-84.</w:t>
      </w:r>
    </w:p>
    <w:p w14:paraId="2314AA17"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 xml:space="preserve">Obeng, S., </w:t>
      </w:r>
      <w:proofErr w:type="spellStart"/>
      <w:r w:rsidRPr="00E9050E">
        <w:rPr>
          <w:rFonts w:ascii="Arial" w:hAnsi="Arial" w:cs="Arial"/>
          <w:sz w:val="20"/>
          <w:szCs w:val="20"/>
        </w:rPr>
        <w:t>Iyelolu</w:t>
      </w:r>
      <w:proofErr w:type="spellEnd"/>
      <w:r w:rsidRPr="00E9050E">
        <w:rPr>
          <w:rFonts w:ascii="Arial" w:hAnsi="Arial" w:cs="Arial"/>
          <w:sz w:val="20"/>
          <w:szCs w:val="20"/>
        </w:rPr>
        <w:t xml:space="preserve">, T. V., </w:t>
      </w:r>
      <w:proofErr w:type="spellStart"/>
      <w:r w:rsidRPr="00E9050E">
        <w:rPr>
          <w:rFonts w:ascii="Arial" w:hAnsi="Arial" w:cs="Arial"/>
          <w:sz w:val="20"/>
          <w:szCs w:val="20"/>
        </w:rPr>
        <w:t>Akinsulire</w:t>
      </w:r>
      <w:proofErr w:type="spellEnd"/>
      <w:r w:rsidRPr="00E9050E">
        <w:rPr>
          <w:rFonts w:ascii="Arial" w:hAnsi="Arial" w:cs="Arial"/>
          <w:sz w:val="20"/>
          <w:szCs w:val="20"/>
        </w:rPr>
        <w:t>, A. A., &amp; Idemudia, C. (2024). The transformative impact of financial technology (FinTech) on regulatory compliance in the banking sector. </w:t>
      </w:r>
      <w:r w:rsidRPr="00E9050E">
        <w:rPr>
          <w:rFonts w:ascii="Arial" w:hAnsi="Arial" w:cs="Arial"/>
          <w:i/>
          <w:iCs/>
          <w:sz w:val="20"/>
          <w:szCs w:val="20"/>
        </w:rPr>
        <w:t>World Journal of Advanced Research and Reviews</w:t>
      </w:r>
      <w:r w:rsidRPr="00E9050E">
        <w:rPr>
          <w:rFonts w:ascii="Arial" w:hAnsi="Arial" w:cs="Arial"/>
          <w:sz w:val="20"/>
          <w:szCs w:val="20"/>
        </w:rPr>
        <w:t>, </w:t>
      </w:r>
      <w:r w:rsidRPr="00E9050E">
        <w:rPr>
          <w:rFonts w:ascii="Arial" w:hAnsi="Arial" w:cs="Arial"/>
          <w:i/>
          <w:iCs/>
          <w:sz w:val="20"/>
          <w:szCs w:val="20"/>
        </w:rPr>
        <w:t>23</w:t>
      </w:r>
      <w:r w:rsidRPr="00E9050E">
        <w:rPr>
          <w:rFonts w:ascii="Arial" w:hAnsi="Arial" w:cs="Arial"/>
          <w:sz w:val="20"/>
          <w:szCs w:val="20"/>
        </w:rPr>
        <w:t>(1), 2008-2018.</w:t>
      </w:r>
    </w:p>
    <w:p w14:paraId="6ACDFC82" w14:textId="77777777" w:rsidR="00FC42E2" w:rsidRPr="00E9050E" w:rsidRDefault="00FC42E2" w:rsidP="00637D25">
      <w:pPr>
        <w:spacing w:line="360" w:lineRule="auto"/>
        <w:jc w:val="both"/>
        <w:rPr>
          <w:rFonts w:ascii="Arial" w:hAnsi="Arial" w:cs="Arial"/>
          <w:sz w:val="20"/>
          <w:szCs w:val="20"/>
        </w:rPr>
      </w:pPr>
      <w:proofErr w:type="spellStart"/>
      <w:r w:rsidRPr="00E9050E">
        <w:rPr>
          <w:rFonts w:ascii="Arial" w:hAnsi="Arial" w:cs="Arial"/>
          <w:sz w:val="20"/>
          <w:szCs w:val="20"/>
        </w:rPr>
        <w:t>Ochigbo</w:t>
      </w:r>
      <w:proofErr w:type="spellEnd"/>
      <w:r w:rsidRPr="00E9050E">
        <w:rPr>
          <w:rFonts w:ascii="Arial" w:hAnsi="Arial" w:cs="Arial"/>
          <w:sz w:val="20"/>
          <w:szCs w:val="20"/>
        </w:rPr>
        <w:t xml:space="preserve">, A. D., </w:t>
      </w:r>
      <w:proofErr w:type="spellStart"/>
      <w:r w:rsidRPr="00E9050E">
        <w:rPr>
          <w:rFonts w:ascii="Arial" w:hAnsi="Arial" w:cs="Arial"/>
          <w:sz w:val="20"/>
          <w:szCs w:val="20"/>
        </w:rPr>
        <w:t>Tuboalabo</w:t>
      </w:r>
      <w:proofErr w:type="spellEnd"/>
      <w:r w:rsidRPr="00E9050E">
        <w:rPr>
          <w:rFonts w:ascii="Arial" w:hAnsi="Arial" w:cs="Arial"/>
          <w:sz w:val="20"/>
          <w:szCs w:val="20"/>
        </w:rPr>
        <w:t xml:space="preserve">, A., </w:t>
      </w:r>
      <w:proofErr w:type="spellStart"/>
      <w:r w:rsidRPr="00E9050E">
        <w:rPr>
          <w:rFonts w:ascii="Arial" w:hAnsi="Arial" w:cs="Arial"/>
          <w:sz w:val="20"/>
          <w:szCs w:val="20"/>
        </w:rPr>
        <w:t>Labake</w:t>
      </w:r>
      <w:proofErr w:type="spellEnd"/>
      <w:r w:rsidRPr="00E9050E">
        <w:rPr>
          <w:rFonts w:ascii="Arial" w:hAnsi="Arial" w:cs="Arial"/>
          <w:sz w:val="20"/>
          <w:szCs w:val="20"/>
        </w:rPr>
        <w:t xml:space="preserve">, T. T., </w:t>
      </w:r>
      <w:proofErr w:type="spellStart"/>
      <w:r w:rsidRPr="00E9050E">
        <w:rPr>
          <w:rFonts w:ascii="Arial" w:hAnsi="Arial" w:cs="Arial"/>
          <w:sz w:val="20"/>
          <w:szCs w:val="20"/>
        </w:rPr>
        <w:t>Buinwi</w:t>
      </w:r>
      <w:proofErr w:type="spellEnd"/>
      <w:r w:rsidRPr="00E9050E">
        <w:rPr>
          <w:rFonts w:ascii="Arial" w:hAnsi="Arial" w:cs="Arial"/>
          <w:sz w:val="20"/>
          <w:szCs w:val="20"/>
        </w:rPr>
        <w:t xml:space="preserve">, U., </w:t>
      </w:r>
      <w:proofErr w:type="spellStart"/>
      <w:r w:rsidRPr="00E9050E">
        <w:rPr>
          <w:rFonts w:ascii="Arial" w:hAnsi="Arial" w:cs="Arial"/>
          <w:sz w:val="20"/>
          <w:szCs w:val="20"/>
        </w:rPr>
        <w:t>Layode</w:t>
      </w:r>
      <w:proofErr w:type="spellEnd"/>
      <w:r w:rsidRPr="00E9050E">
        <w:rPr>
          <w:rFonts w:ascii="Arial" w:hAnsi="Arial" w:cs="Arial"/>
          <w:sz w:val="20"/>
          <w:szCs w:val="20"/>
        </w:rPr>
        <w:t xml:space="preserve">, O., &amp; </w:t>
      </w:r>
      <w:proofErr w:type="spellStart"/>
      <w:r w:rsidRPr="00E9050E">
        <w:rPr>
          <w:rFonts w:ascii="Arial" w:hAnsi="Arial" w:cs="Arial"/>
          <w:sz w:val="20"/>
          <w:szCs w:val="20"/>
        </w:rPr>
        <w:t>Buinwi</w:t>
      </w:r>
      <w:proofErr w:type="spellEnd"/>
      <w:r w:rsidRPr="00E9050E">
        <w:rPr>
          <w:rFonts w:ascii="Arial" w:hAnsi="Arial" w:cs="Arial"/>
          <w:sz w:val="20"/>
          <w:szCs w:val="20"/>
        </w:rPr>
        <w:t>, J. A. (2024). Legal frameworks for digital transactions: Analyzing the impact of Blockchain technology. </w:t>
      </w:r>
      <w:r w:rsidRPr="00E9050E">
        <w:rPr>
          <w:rFonts w:ascii="Arial" w:hAnsi="Arial" w:cs="Arial"/>
          <w:i/>
          <w:iCs/>
          <w:sz w:val="20"/>
          <w:szCs w:val="20"/>
        </w:rPr>
        <w:t>Finance &amp; Accounting Research Journal</w:t>
      </w:r>
      <w:r w:rsidRPr="00E9050E">
        <w:rPr>
          <w:rFonts w:ascii="Arial" w:hAnsi="Arial" w:cs="Arial"/>
          <w:sz w:val="20"/>
          <w:szCs w:val="20"/>
        </w:rPr>
        <w:t>, </w:t>
      </w:r>
      <w:r w:rsidRPr="00E9050E">
        <w:rPr>
          <w:rFonts w:ascii="Arial" w:hAnsi="Arial" w:cs="Arial"/>
          <w:i/>
          <w:iCs/>
          <w:sz w:val="20"/>
          <w:szCs w:val="20"/>
        </w:rPr>
        <w:t>6</w:t>
      </w:r>
      <w:r w:rsidRPr="00E9050E">
        <w:rPr>
          <w:rFonts w:ascii="Arial" w:hAnsi="Arial" w:cs="Arial"/>
          <w:sz w:val="20"/>
          <w:szCs w:val="20"/>
        </w:rPr>
        <w:t>(7), 1205-1223.</w:t>
      </w:r>
    </w:p>
    <w:p w14:paraId="7B5D045B" w14:textId="77777777" w:rsidR="00FC42E2" w:rsidRPr="00E9050E" w:rsidRDefault="00FC42E2" w:rsidP="00637D25">
      <w:pPr>
        <w:spacing w:line="360" w:lineRule="auto"/>
        <w:jc w:val="both"/>
        <w:rPr>
          <w:rFonts w:ascii="Arial" w:hAnsi="Arial" w:cs="Arial"/>
          <w:sz w:val="20"/>
          <w:szCs w:val="20"/>
        </w:rPr>
      </w:pPr>
      <w:bookmarkStart w:id="1" w:name="_Hlk195582707"/>
      <w:r w:rsidRPr="00E9050E">
        <w:rPr>
          <w:rFonts w:ascii="Arial" w:hAnsi="Arial" w:cs="Arial"/>
          <w:sz w:val="20"/>
          <w:szCs w:val="20"/>
        </w:rPr>
        <w:t>Olaiya</w:t>
      </w:r>
      <w:bookmarkEnd w:id="1"/>
      <w:r w:rsidRPr="00E9050E">
        <w:rPr>
          <w:rFonts w:ascii="Arial" w:hAnsi="Arial" w:cs="Arial"/>
          <w:sz w:val="20"/>
          <w:szCs w:val="20"/>
        </w:rPr>
        <w:t xml:space="preserve">, O. P., </w:t>
      </w:r>
      <w:proofErr w:type="spellStart"/>
      <w:r w:rsidRPr="00E9050E">
        <w:rPr>
          <w:rFonts w:ascii="Arial" w:hAnsi="Arial" w:cs="Arial"/>
          <w:sz w:val="20"/>
          <w:szCs w:val="20"/>
        </w:rPr>
        <w:t>Adesoga</w:t>
      </w:r>
      <w:proofErr w:type="spellEnd"/>
      <w:r w:rsidRPr="00E9050E">
        <w:rPr>
          <w:rFonts w:ascii="Arial" w:hAnsi="Arial" w:cs="Arial"/>
          <w:sz w:val="20"/>
          <w:szCs w:val="20"/>
        </w:rPr>
        <w:t xml:space="preserve">, T. O., Pieterson, K., &amp; </w:t>
      </w:r>
      <w:proofErr w:type="spellStart"/>
      <w:r w:rsidRPr="00E9050E">
        <w:rPr>
          <w:rFonts w:ascii="Arial" w:hAnsi="Arial" w:cs="Arial"/>
          <w:sz w:val="20"/>
          <w:szCs w:val="20"/>
        </w:rPr>
        <w:t>Qazeem</w:t>
      </w:r>
      <w:proofErr w:type="spellEnd"/>
      <w:r w:rsidRPr="00E9050E">
        <w:rPr>
          <w:rFonts w:ascii="Arial" w:hAnsi="Arial" w:cs="Arial"/>
          <w:sz w:val="20"/>
          <w:szCs w:val="20"/>
        </w:rPr>
        <w:t>, O. (2024). RegTech Solutions: Enhancing compliance and risk management in the financial industry. </w:t>
      </w:r>
      <w:r w:rsidRPr="00E9050E">
        <w:rPr>
          <w:rFonts w:ascii="Arial" w:hAnsi="Arial" w:cs="Arial"/>
          <w:i/>
          <w:iCs/>
          <w:sz w:val="20"/>
          <w:szCs w:val="20"/>
        </w:rPr>
        <w:t>GSC Advanced Research and Reviews</w:t>
      </w:r>
      <w:r w:rsidRPr="00E9050E">
        <w:rPr>
          <w:rFonts w:ascii="Arial" w:hAnsi="Arial" w:cs="Arial"/>
          <w:sz w:val="20"/>
          <w:szCs w:val="20"/>
        </w:rPr>
        <w:t>, </w:t>
      </w:r>
      <w:r w:rsidRPr="00E9050E">
        <w:rPr>
          <w:rFonts w:ascii="Arial" w:hAnsi="Arial" w:cs="Arial"/>
          <w:i/>
          <w:iCs/>
          <w:sz w:val="20"/>
          <w:szCs w:val="20"/>
        </w:rPr>
        <w:t>20</w:t>
      </w:r>
      <w:r w:rsidRPr="00E9050E">
        <w:rPr>
          <w:rFonts w:ascii="Arial" w:hAnsi="Arial" w:cs="Arial"/>
          <w:sz w:val="20"/>
          <w:szCs w:val="20"/>
        </w:rPr>
        <w:t>(2).</w:t>
      </w:r>
    </w:p>
    <w:p w14:paraId="3A7CFE16"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lastRenderedPageBreak/>
        <w:t xml:space="preserve">Olawale, O., Ajayi, F. A., Udeh, C. A., &amp; </w:t>
      </w:r>
      <w:proofErr w:type="spellStart"/>
      <w:r w:rsidRPr="00E9050E">
        <w:rPr>
          <w:rFonts w:ascii="Arial" w:hAnsi="Arial" w:cs="Arial"/>
          <w:sz w:val="20"/>
          <w:szCs w:val="20"/>
        </w:rPr>
        <w:t>Odejide</w:t>
      </w:r>
      <w:proofErr w:type="spellEnd"/>
      <w:r w:rsidRPr="00E9050E">
        <w:rPr>
          <w:rFonts w:ascii="Arial" w:hAnsi="Arial" w:cs="Arial"/>
          <w:sz w:val="20"/>
          <w:szCs w:val="20"/>
        </w:rPr>
        <w:t>, O. A. (2024). RegTech innovations streamlining compliance, reducing costs in the financial sector. </w:t>
      </w:r>
      <w:r w:rsidRPr="00E9050E">
        <w:rPr>
          <w:rFonts w:ascii="Arial" w:hAnsi="Arial" w:cs="Arial"/>
          <w:i/>
          <w:iCs/>
          <w:sz w:val="20"/>
          <w:szCs w:val="20"/>
        </w:rPr>
        <w:t>GSC Advanced Research and Reviews</w:t>
      </w:r>
      <w:r w:rsidRPr="00E9050E">
        <w:rPr>
          <w:rFonts w:ascii="Arial" w:hAnsi="Arial" w:cs="Arial"/>
          <w:sz w:val="20"/>
          <w:szCs w:val="20"/>
        </w:rPr>
        <w:t>, </w:t>
      </w:r>
      <w:r w:rsidRPr="00E9050E">
        <w:rPr>
          <w:rFonts w:ascii="Arial" w:hAnsi="Arial" w:cs="Arial"/>
          <w:i/>
          <w:iCs/>
          <w:sz w:val="20"/>
          <w:szCs w:val="20"/>
        </w:rPr>
        <w:t>19</w:t>
      </w:r>
      <w:r w:rsidRPr="00E9050E">
        <w:rPr>
          <w:rFonts w:ascii="Arial" w:hAnsi="Arial" w:cs="Arial"/>
          <w:sz w:val="20"/>
          <w:szCs w:val="20"/>
        </w:rPr>
        <w:t>(1), 114-131.</w:t>
      </w:r>
    </w:p>
    <w:p w14:paraId="7F321574" w14:textId="77777777" w:rsidR="00D10094" w:rsidRDefault="00D10094" w:rsidP="00637D25">
      <w:pPr>
        <w:spacing w:line="360" w:lineRule="auto"/>
        <w:jc w:val="both"/>
        <w:rPr>
          <w:rFonts w:ascii="Arial" w:hAnsi="Arial" w:cs="Arial"/>
          <w:sz w:val="20"/>
          <w:szCs w:val="20"/>
        </w:rPr>
      </w:pPr>
      <w:proofErr w:type="spellStart"/>
      <w:r w:rsidRPr="00D10094">
        <w:rPr>
          <w:rFonts w:ascii="Arial" w:hAnsi="Arial" w:cs="Arial"/>
          <w:sz w:val="20"/>
          <w:szCs w:val="20"/>
        </w:rPr>
        <w:t>Oztas</w:t>
      </w:r>
      <w:proofErr w:type="spellEnd"/>
      <w:r w:rsidRPr="00D10094">
        <w:rPr>
          <w:rFonts w:ascii="Arial" w:hAnsi="Arial" w:cs="Arial"/>
          <w:sz w:val="20"/>
          <w:szCs w:val="20"/>
        </w:rPr>
        <w:t>, B., Cetinkaya, D., Adedoyin, F., Budka, M., Dogan, H., &amp; Aksu, G. (2023, November). Perspectives from experts on developing transaction monitoring methods for anti-money laundering. In </w:t>
      </w:r>
      <w:r w:rsidRPr="00D10094">
        <w:rPr>
          <w:rFonts w:ascii="Arial" w:hAnsi="Arial" w:cs="Arial"/>
          <w:i/>
          <w:iCs/>
          <w:sz w:val="20"/>
          <w:szCs w:val="20"/>
        </w:rPr>
        <w:t>2023 IEEE International Conference on e-Business Engineering (ICEBE)</w:t>
      </w:r>
      <w:r w:rsidRPr="00D10094">
        <w:rPr>
          <w:rFonts w:ascii="Arial" w:hAnsi="Arial" w:cs="Arial"/>
          <w:sz w:val="20"/>
          <w:szCs w:val="20"/>
        </w:rPr>
        <w:t> (pp. 39-46). IEEE.</w:t>
      </w:r>
    </w:p>
    <w:p w14:paraId="682C628A" w14:textId="44BC19AF"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Pavlidis, G. (2021). RegTech and the Fight against Money Laundering: Mapping the Challenges.</w:t>
      </w:r>
    </w:p>
    <w:p w14:paraId="6EA03F22" w14:textId="77777777" w:rsidR="00D10094" w:rsidRDefault="00D10094" w:rsidP="00637D25">
      <w:pPr>
        <w:spacing w:line="360" w:lineRule="auto"/>
        <w:jc w:val="both"/>
        <w:rPr>
          <w:rFonts w:ascii="Arial" w:hAnsi="Arial" w:cs="Arial"/>
          <w:sz w:val="20"/>
          <w:szCs w:val="20"/>
        </w:rPr>
      </w:pPr>
      <w:r w:rsidRPr="00D10094">
        <w:rPr>
          <w:rFonts w:ascii="Arial" w:hAnsi="Arial" w:cs="Arial"/>
          <w:sz w:val="20"/>
          <w:szCs w:val="20"/>
        </w:rPr>
        <w:t>Phillips, C. (2023). Future state AML: Using advanced technology to reimagine transaction monitoring. </w:t>
      </w:r>
      <w:r w:rsidRPr="00D10094">
        <w:rPr>
          <w:rFonts w:ascii="Arial" w:hAnsi="Arial" w:cs="Arial"/>
          <w:i/>
          <w:iCs/>
          <w:sz w:val="20"/>
          <w:szCs w:val="20"/>
        </w:rPr>
        <w:t>Journal of Financial Compliance</w:t>
      </w:r>
      <w:r w:rsidRPr="00D10094">
        <w:rPr>
          <w:rFonts w:ascii="Arial" w:hAnsi="Arial" w:cs="Arial"/>
          <w:sz w:val="20"/>
          <w:szCs w:val="20"/>
        </w:rPr>
        <w:t>, </w:t>
      </w:r>
      <w:r w:rsidRPr="00D10094">
        <w:rPr>
          <w:rFonts w:ascii="Arial" w:hAnsi="Arial" w:cs="Arial"/>
          <w:i/>
          <w:iCs/>
          <w:sz w:val="20"/>
          <w:szCs w:val="20"/>
        </w:rPr>
        <w:t>7</w:t>
      </w:r>
      <w:r w:rsidRPr="00D10094">
        <w:rPr>
          <w:rFonts w:ascii="Arial" w:hAnsi="Arial" w:cs="Arial"/>
          <w:sz w:val="20"/>
          <w:szCs w:val="20"/>
        </w:rPr>
        <w:t>(3), 256-267.</w:t>
      </w:r>
    </w:p>
    <w:p w14:paraId="5EC80A60" w14:textId="66949EE2" w:rsidR="00D10094" w:rsidRDefault="00D10094" w:rsidP="00637D25">
      <w:pPr>
        <w:spacing w:line="360" w:lineRule="auto"/>
        <w:jc w:val="both"/>
        <w:rPr>
          <w:rFonts w:ascii="Arial" w:hAnsi="Arial" w:cs="Arial"/>
          <w:sz w:val="20"/>
          <w:szCs w:val="20"/>
        </w:rPr>
      </w:pPr>
      <w:r w:rsidRPr="00D10094">
        <w:rPr>
          <w:rFonts w:ascii="Arial" w:hAnsi="Arial" w:cs="Arial"/>
          <w:sz w:val="20"/>
          <w:szCs w:val="20"/>
        </w:rPr>
        <w:t>Ray, A. (2021). Applying AI in anti-money laundering operations. </w:t>
      </w:r>
      <w:r w:rsidRPr="00D10094">
        <w:rPr>
          <w:rFonts w:ascii="Arial" w:hAnsi="Arial" w:cs="Arial"/>
          <w:i/>
          <w:iCs/>
          <w:sz w:val="20"/>
          <w:szCs w:val="20"/>
        </w:rPr>
        <w:t>Journal of AI, Robotics &amp; Workplace Automation</w:t>
      </w:r>
      <w:r w:rsidRPr="00D10094">
        <w:rPr>
          <w:rFonts w:ascii="Arial" w:hAnsi="Arial" w:cs="Arial"/>
          <w:sz w:val="20"/>
          <w:szCs w:val="20"/>
        </w:rPr>
        <w:t>, </w:t>
      </w:r>
      <w:r w:rsidRPr="00D10094">
        <w:rPr>
          <w:rFonts w:ascii="Arial" w:hAnsi="Arial" w:cs="Arial"/>
          <w:i/>
          <w:iCs/>
          <w:sz w:val="20"/>
          <w:szCs w:val="20"/>
        </w:rPr>
        <w:t>1</w:t>
      </w:r>
      <w:r w:rsidRPr="00D10094">
        <w:rPr>
          <w:rFonts w:ascii="Arial" w:hAnsi="Arial" w:cs="Arial"/>
          <w:sz w:val="20"/>
          <w:szCs w:val="20"/>
        </w:rPr>
        <w:t>(2), 197-209.</w:t>
      </w:r>
    </w:p>
    <w:p w14:paraId="09CD2C17" w14:textId="0964100A"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Robertson, R. A., &amp; Delhomme, M. S. (2002). Anti</w:t>
      </w:r>
      <w:r w:rsidRPr="00E9050E">
        <w:rPr>
          <w:rFonts w:ascii="Cambria Math" w:hAnsi="Cambria Math" w:cs="Cambria Math"/>
          <w:sz w:val="20"/>
          <w:szCs w:val="20"/>
        </w:rPr>
        <w:t>‐</w:t>
      </w:r>
      <w:r w:rsidRPr="00E9050E">
        <w:rPr>
          <w:rFonts w:ascii="Arial" w:hAnsi="Arial" w:cs="Arial"/>
          <w:sz w:val="20"/>
          <w:szCs w:val="20"/>
        </w:rPr>
        <w:t>money laundering compliance for the mutual fund industry. </w:t>
      </w:r>
      <w:r w:rsidRPr="00E9050E">
        <w:rPr>
          <w:rFonts w:ascii="Arial" w:hAnsi="Arial" w:cs="Arial"/>
          <w:i/>
          <w:iCs/>
          <w:sz w:val="20"/>
          <w:szCs w:val="20"/>
        </w:rPr>
        <w:t>Journal of Investment Compliance</w:t>
      </w:r>
      <w:r w:rsidRPr="00E9050E">
        <w:rPr>
          <w:rFonts w:ascii="Arial" w:hAnsi="Arial" w:cs="Arial"/>
          <w:sz w:val="20"/>
          <w:szCs w:val="20"/>
        </w:rPr>
        <w:t>, </w:t>
      </w:r>
      <w:r w:rsidRPr="00E9050E">
        <w:rPr>
          <w:rFonts w:ascii="Arial" w:hAnsi="Arial" w:cs="Arial"/>
          <w:i/>
          <w:iCs/>
          <w:sz w:val="20"/>
          <w:szCs w:val="20"/>
        </w:rPr>
        <w:t>3</w:t>
      </w:r>
      <w:r w:rsidRPr="00E9050E">
        <w:rPr>
          <w:rFonts w:ascii="Arial" w:hAnsi="Arial" w:cs="Arial"/>
          <w:sz w:val="20"/>
          <w:szCs w:val="20"/>
        </w:rPr>
        <w:t>(2), 31-39.</w:t>
      </w:r>
    </w:p>
    <w:p w14:paraId="5E1AF385" w14:textId="77777777" w:rsidR="008C549D" w:rsidRDefault="008C549D" w:rsidP="00637D25">
      <w:pPr>
        <w:spacing w:line="360" w:lineRule="auto"/>
        <w:jc w:val="both"/>
        <w:rPr>
          <w:rFonts w:ascii="Arial" w:hAnsi="Arial" w:cs="Arial"/>
          <w:sz w:val="20"/>
          <w:szCs w:val="20"/>
        </w:rPr>
      </w:pPr>
      <w:r w:rsidRPr="008C549D">
        <w:rPr>
          <w:rFonts w:ascii="Arial" w:hAnsi="Arial" w:cs="Arial"/>
          <w:sz w:val="20"/>
          <w:szCs w:val="20"/>
        </w:rPr>
        <w:t>Singh, H. (2022). Adopting RegTech: A practical guide. </w:t>
      </w:r>
      <w:r w:rsidRPr="008C549D">
        <w:rPr>
          <w:rFonts w:ascii="Arial" w:hAnsi="Arial" w:cs="Arial"/>
          <w:i/>
          <w:iCs/>
          <w:sz w:val="20"/>
          <w:szCs w:val="20"/>
        </w:rPr>
        <w:t>Journal of Financial Compliance</w:t>
      </w:r>
      <w:r w:rsidRPr="008C549D">
        <w:rPr>
          <w:rFonts w:ascii="Arial" w:hAnsi="Arial" w:cs="Arial"/>
          <w:sz w:val="20"/>
          <w:szCs w:val="20"/>
        </w:rPr>
        <w:t>, </w:t>
      </w:r>
      <w:r w:rsidRPr="008C549D">
        <w:rPr>
          <w:rFonts w:ascii="Arial" w:hAnsi="Arial" w:cs="Arial"/>
          <w:i/>
          <w:iCs/>
          <w:sz w:val="20"/>
          <w:szCs w:val="20"/>
        </w:rPr>
        <w:t>6</w:t>
      </w:r>
      <w:r w:rsidRPr="008C549D">
        <w:rPr>
          <w:rFonts w:ascii="Arial" w:hAnsi="Arial" w:cs="Arial"/>
          <w:sz w:val="20"/>
          <w:szCs w:val="20"/>
        </w:rPr>
        <w:t>(1), 80-94.</w:t>
      </w:r>
    </w:p>
    <w:p w14:paraId="1F212DAC" w14:textId="3F2A8AC8"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Smith, M., &amp; Tiwari, M. (2024). The implications of national blockchain infrastructure for financial crime. </w:t>
      </w:r>
      <w:r w:rsidRPr="00E9050E">
        <w:rPr>
          <w:rFonts w:ascii="Arial" w:hAnsi="Arial" w:cs="Arial"/>
          <w:i/>
          <w:iCs/>
          <w:sz w:val="20"/>
          <w:szCs w:val="20"/>
        </w:rPr>
        <w:t>Journal of Financial Crime</w:t>
      </w:r>
      <w:r w:rsidRPr="00E9050E">
        <w:rPr>
          <w:rFonts w:ascii="Arial" w:hAnsi="Arial" w:cs="Arial"/>
          <w:sz w:val="20"/>
          <w:szCs w:val="20"/>
        </w:rPr>
        <w:t>, </w:t>
      </w:r>
      <w:r w:rsidRPr="00E9050E">
        <w:rPr>
          <w:rFonts w:ascii="Arial" w:hAnsi="Arial" w:cs="Arial"/>
          <w:i/>
          <w:iCs/>
          <w:sz w:val="20"/>
          <w:szCs w:val="20"/>
        </w:rPr>
        <w:t>31</w:t>
      </w:r>
      <w:r w:rsidRPr="00E9050E">
        <w:rPr>
          <w:rFonts w:ascii="Arial" w:hAnsi="Arial" w:cs="Arial"/>
          <w:sz w:val="20"/>
          <w:szCs w:val="20"/>
        </w:rPr>
        <w:t>(2), 236-248.</w:t>
      </w:r>
    </w:p>
    <w:p w14:paraId="56E1E59E"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Sullivan, K. (2023). Building a Quality AML Program for Financial Institutions. In </w:t>
      </w:r>
      <w:r w:rsidRPr="00E9050E">
        <w:rPr>
          <w:rFonts w:ascii="Arial" w:hAnsi="Arial" w:cs="Arial"/>
          <w:i/>
          <w:iCs/>
          <w:sz w:val="20"/>
          <w:szCs w:val="20"/>
        </w:rPr>
        <w:t>Anti-Money Laundering in a Nutshell: Awareness and Compliance for Financial Personnel and Business Managers</w:t>
      </w:r>
      <w:r w:rsidRPr="00E9050E">
        <w:rPr>
          <w:rFonts w:ascii="Arial" w:hAnsi="Arial" w:cs="Arial"/>
          <w:sz w:val="20"/>
          <w:szCs w:val="20"/>
        </w:rPr>
        <w:t xml:space="preserve"> (pp. 95-126). Berkeley, CA: </w:t>
      </w:r>
      <w:proofErr w:type="spellStart"/>
      <w:r w:rsidRPr="00E9050E">
        <w:rPr>
          <w:rFonts w:ascii="Arial" w:hAnsi="Arial" w:cs="Arial"/>
          <w:sz w:val="20"/>
          <w:szCs w:val="20"/>
        </w:rPr>
        <w:t>Apress</w:t>
      </w:r>
      <w:proofErr w:type="spellEnd"/>
      <w:r w:rsidRPr="00E9050E">
        <w:rPr>
          <w:rFonts w:ascii="Arial" w:hAnsi="Arial" w:cs="Arial"/>
          <w:sz w:val="20"/>
          <w:szCs w:val="20"/>
        </w:rPr>
        <w:t>.</w:t>
      </w:r>
    </w:p>
    <w:p w14:paraId="7532FC72" w14:textId="77777777" w:rsidR="008C549D" w:rsidRDefault="008C549D" w:rsidP="00637D25">
      <w:pPr>
        <w:spacing w:line="360" w:lineRule="auto"/>
        <w:jc w:val="both"/>
        <w:rPr>
          <w:rFonts w:ascii="Arial" w:hAnsi="Arial" w:cs="Arial"/>
          <w:sz w:val="20"/>
          <w:szCs w:val="20"/>
        </w:rPr>
      </w:pPr>
      <w:proofErr w:type="spellStart"/>
      <w:r w:rsidRPr="008C549D">
        <w:rPr>
          <w:rFonts w:ascii="Arial" w:hAnsi="Arial" w:cs="Arial"/>
          <w:sz w:val="20"/>
          <w:szCs w:val="20"/>
        </w:rPr>
        <w:t>Sumkovski</w:t>
      </w:r>
      <w:proofErr w:type="spellEnd"/>
      <w:r w:rsidRPr="008C549D">
        <w:rPr>
          <w:rFonts w:ascii="Arial" w:hAnsi="Arial" w:cs="Arial"/>
          <w:sz w:val="20"/>
          <w:szCs w:val="20"/>
        </w:rPr>
        <w:t>, I. (2023). The use of RegTech in fighting financial crime. </w:t>
      </w:r>
      <w:r w:rsidRPr="008C549D">
        <w:rPr>
          <w:rFonts w:ascii="Arial" w:hAnsi="Arial" w:cs="Arial"/>
          <w:i/>
          <w:iCs/>
          <w:sz w:val="20"/>
          <w:szCs w:val="20"/>
        </w:rPr>
        <w:t>Journal of Financial Compliance</w:t>
      </w:r>
      <w:r w:rsidRPr="008C549D">
        <w:rPr>
          <w:rFonts w:ascii="Arial" w:hAnsi="Arial" w:cs="Arial"/>
          <w:sz w:val="20"/>
          <w:szCs w:val="20"/>
        </w:rPr>
        <w:t>, </w:t>
      </w:r>
      <w:r w:rsidRPr="008C549D">
        <w:rPr>
          <w:rFonts w:ascii="Arial" w:hAnsi="Arial" w:cs="Arial"/>
          <w:i/>
          <w:iCs/>
          <w:sz w:val="20"/>
          <w:szCs w:val="20"/>
        </w:rPr>
        <w:t>6</w:t>
      </w:r>
      <w:r w:rsidRPr="008C549D">
        <w:rPr>
          <w:rFonts w:ascii="Arial" w:hAnsi="Arial" w:cs="Arial"/>
          <w:sz w:val="20"/>
          <w:szCs w:val="20"/>
        </w:rPr>
        <w:t>(2), 138-147.</w:t>
      </w:r>
    </w:p>
    <w:p w14:paraId="3BB2A204" w14:textId="0FF2EB21" w:rsidR="00521ACC" w:rsidRDefault="00521ACC" w:rsidP="00637D25">
      <w:pPr>
        <w:spacing w:line="360" w:lineRule="auto"/>
        <w:jc w:val="both"/>
        <w:rPr>
          <w:rFonts w:ascii="Arial" w:hAnsi="Arial" w:cs="Arial"/>
          <w:sz w:val="20"/>
          <w:szCs w:val="20"/>
        </w:rPr>
      </w:pPr>
      <w:r w:rsidRPr="00521ACC">
        <w:rPr>
          <w:rFonts w:ascii="Arial" w:hAnsi="Arial" w:cs="Arial"/>
          <w:sz w:val="20"/>
          <w:szCs w:val="20"/>
        </w:rPr>
        <w:t xml:space="preserve">Syed, Z., </w:t>
      </w:r>
      <w:proofErr w:type="spellStart"/>
      <w:r w:rsidRPr="00521ACC">
        <w:rPr>
          <w:rFonts w:ascii="Arial" w:hAnsi="Arial" w:cs="Arial"/>
          <w:sz w:val="20"/>
          <w:szCs w:val="20"/>
        </w:rPr>
        <w:t>Okegbola</w:t>
      </w:r>
      <w:proofErr w:type="spellEnd"/>
      <w:r w:rsidRPr="00521ACC">
        <w:rPr>
          <w:rFonts w:ascii="Arial" w:hAnsi="Arial" w:cs="Arial"/>
          <w:sz w:val="20"/>
          <w:szCs w:val="20"/>
        </w:rPr>
        <w:t xml:space="preserve">, O., &amp; </w:t>
      </w:r>
      <w:proofErr w:type="spellStart"/>
      <w:r w:rsidRPr="00521ACC">
        <w:rPr>
          <w:rFonts w:ascii="Arial" w:hAnsi="Arial" w:cs="Arial"/>
          <w:sz w:val="20"/>
          <w:szCs w:val="20"/>
        </w:rPr>
        <w:t>Akiotu</w:t>
      </w:r>
      <w:proofErr w:type="spellEnd"/>
      <w:r w:rsidRPr="00521ACC">
        <w:rPr>
          <w:rFonts w:ascii="Arial" w:hAnsi="Arial" w:cs="Arial"/>
          <w:sz w:val="20"/>
          <w:szCs w:val="20"/>
        </w:rPr>
        <w:t xml:space="preserve">, C. A. (2025). </w:t>
      </w:r>
      <w:proofErr w:type="spellStart"/>
      <w:r w:rsidRPr="00521ACC">
        <w:rPr>
          <w:rFonts w:ascii="Arial" w:hAnsi="Arial" w:cs="Arial"/>
          <w:sz w:val="20"/>
          <w:szCs w:val="20"/>
        </w:rPr>
        <w:t>Utilising</w:t>
      </w:r>
      <w:proofErr w:type="spellEnd"/>
      <w:r w:rsidRPr="00521ACC">
        <w:rPr>
          <w:rFonts w:ascii="Arial" w:hAnsi="Arial" w:cs="Arial"/>
          <w:sz w:val="20"/>
          <w:szCs w:val="20"/>
        </w:rPr>
        <w:t xml:space="preserve"> Artificial Intelligence and Machine Learning for Regulatory Compliance in Financial Institutions. In </w:t>
      </w:r>
      <w:r w:rsidRPr="00521ACC">
        <w:rPr>
          <w:rFonts w:ascii="Arial" w:hAnsi="Arial" w:cs="Arial"/>
          <w:i/>
          <w:iCs/>
          <w:sz w:val="20"/>
          <w:szCs w:val="20"/>
        </w:rPr>
        <w:t>Perspectives on Digital Transformation in Contemporary Business</w:t>
      </w:r>
      <w:r w:rsidRPr="00521ACC">
        <w:rPr>
          <w:rFonts w:ascii="Arial" w:hAnsi="Arial" w:cs="Arial"/>
          <w:sz w:val="20"/>
          <w:szCs w:val="20"/>
        </w:rPr>
        <w:t> (pp. 269-296). IGI Global Scientific Publishing.</w:t>
      </w:r>
    </w:p>
    <w:p w14:paraId="3332B8D7" w14:textId="1477317F" w:rsidR="00FC42E2" w:rsidRPr="00E9050E" w:rsidRDefault="00FC42E2" w:rsidP="00637D25">
      <w:pPr>
        <w:spacing w:line="360" w:lineRule="auto"/>
        <w:jc w:val="both"/>
        <w:rPr>
          <w:rFonts w:ascii="Arial" w:hAnsi="Arial" w:cs="Arial"/>
          <w:sz w:val="20"/>
          <w:szCs w:val="20"/>
        </w:rPr>
      </w:pPr>
      <w:proofErr w:type="spellStart"/>
      <w:r w:rsidRPr="00E9050E">
        <w:rPr>
          <w:rFonts w:ascii="Arial" w:hAnsi="Arial" w:cs="Arial"/>
          <w:sz w:val="20"/>
          <w:szCs w:val="20"/>
        </w:rPr>
        <w:t>Thommandru</w:t>
      </w:r>
      <w:proofErr w:type="spellEnd"/>
      <w:r w:rsidRPr="00E9050E">
        <w:rPr>
          <w:rFonts w:ascii="Arial" w:hAnsi="Arial" w:cs="Arial"/>
          <w:sz w:val="20"/>
          <w:szCs w:val="20"/>
        </w:rPr>
        <w:t>, A., &amp; Chakka, B. (2023). Recalibrating the banking sector with blockchain technology for effective anti-money laundering compliances by banks. </w:t>
      </w:r>
      <w:r w:rsidRPr="00E9050E">
        <w:rPr>
          <w:rFonts w:ascii="Arial" w:hAnsi="Arial" w:cs="Arial"/>
          <w:i/>
          <w:iCs/>
          <w:sz w:val="20"/>
          <w:szCs w:val="20"/>
        </w:rPr>
        <w:t>Sustainable Futures</w:t>
      </w:r>
      <w:r w:rsidRPr="00E9050E">
        <w:rPr>
          <w:rFonts w:ascii="Arial" w:hAnsi="Arial" w:cs="Arial"/>
          <w:sz w:val="20"/>
          <w:szCs w:val="20"/>
        </w:rPr>
        <w:t>, </w:t>
      </w:r>
      <w:r w:rsidRPr="00E9050E">
        <w:rPr>
          <w:rFonts w:ascii="Arial" w:hAnsi="Arial" w:cs="Arial"/>
          <w:i/>
          <w:iCs/>
          <w:sz w:val="20"/>
          <w:szCs w:val="20"/>
        </w:rPr>
        <w:t>5</w:t>
      </w:r>
      <w:r w:rsidRPr="00E9050E">
        <w:rPr>
          <w:rFonts w:ascii="Arial" w:hAnsi="Arial" w:cs="Arial"/>
          <w:sz w:val="20"/>
          <w:szCs w:val="20"/>
        </w:rPr>
        <w:t>, 100107.</w:t>
      </w:r>
    </w:p>
    <w:p w14:paraId="3BE9CCCC"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 xml:space="preserve">Turki, M., Hamdan, A., Cummings, R. T., Sarea, A., Karolak, M., &amp; </w:t>
      </w:r>
      <w:proofErr w:type="spellStart"/>
      <w:r w:rsidRPr="00E9050E">
        <w:rPr>
          <w:rFonts w:ascii="Arial" w:hAnsi="Arial" w:cs="Arial"/>
          <w:sz w:val="20"/>
          <w:szCs w:val="20"/>
        </w:rPr>
        <w:t>Anasweh</w:t>
      </w:r>
      <w:proofErr w:type="spellEnd"/>
      <w:r w:rsidRPr="00E9050E">
        <w:rPr>
          <w:rFonts w:ascii="Arial" w:hAnsi="Arial" w:cs="Arial"/>
          <w:sz w:val="20"/>
          <w:szCs w:val="20"/>
        </w:rPr>
        <w:t>, M. (2020). The regulatory technology “RegTech” and money laundering prevention in Islamic and conventional banking industry. </w:t>
      </w:r>
      <w:proofErr w:type="spellStart"/>
      <w:r w:rsidRPr="00E9050E">
        <w:rPr>
          <w:rFonts w:ascii="Arial" w:hAnsi="Arial" w:cs="Arial"/>
          <w:i/>
          <w:iCs/>
          <w:sz w:val="20"/>
          <w:szCs w:val="20"/>
        </w:rPr>
        <w:t>Heliyon</w:t>
      </w:r>
      <w:proofErr w:type="spellEnd"/>
      <w:r w:rsidRPr="00E9050E">
        <w:rPr>
          <w:rFonts w:ascii="Arial" w:hAnsi="Arial" w:cs="Arial"/>
          <w:sz w:val="20"/>
          <w:szCs w:val="20"/>
        </w:rPr>
        <w:t>, </w:t>
      </w:r>
      <w:r w:rsidRPr="00E9050E">
        <w:rPr>
          <w:rFonts w:ascii="Arial" w:hAnsi="Arial" w:cs="Arial"/>
          <w:i/>
          <w:iCs/>
          <w:sz w:val="20"/>
          <w:szCs w:val="20"/>
        </w:rPr>
        <w:t>6</w:t>
      </w:r>
      <w:r w:rsidRPr="00E9050E">
        <w:rPr>
          <w:rFonts w:ascii="Arial" w:hAnsi="Arial" w:cs="Arial"/>
          <w:sz w:val="20"/>
          <w:szCs w:val="20"/>
        </w:rPr>
        <w:t>(10).</w:t>
      </w:r>
    </w:p>
    <w:p w14:paraId="13628CE6"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 xml:space="preserve">Utami, A. M., &amp; </w:t>
      </w:r>
      <w:proofErr w:type="spellStart"/>
      <w:r w:rsidRPr="00E9050E">
        <w:rPr>
          <w:rFonts w:ascii="Arial" w:hAnsi="Arial" w:cs="Arial"/>
          <w:sz w:val="20"/>
          <w:szCs w:val="20"/>
        </w:rPr>
        <w:t>Septivani</w:t>
      </w:r>
      <w:proofErr w:type="spellEnd"/>
      <w:r w:rsidRPr="00E9050E">
        <w:rPr>
          <w:rFonts w:ascii="Arial" w:hAnsi="Arial" w:cs="Arial"/>
          <w:sz w:val="20"/>
          <w:szCs w:val="20"/>
        </w:rPr>
        <w:t>, M. D. (2022). Regulatory Technology (RegTech): The Solution to Prevent Money Laundering in Indonesia. </w:t>
      </w:r>
      <w:proofErr w:type="spellStart"/>
      <w:r w:rsidRPr="00E9050E">
        <w:rPr>
          <w:rFonts w:ascii="Arial" w:hAnsi="Arial" w:cs="Arial"/>
          <w:i/>
          <w:iCs/>
          <w:sz w:val="20"/>
          <w:szCs w:val="20"/>
        </w:rPr>
        <w:t>Telaah</w:t>
      </w:r>
      <w:proofErr w:type="spellEnd"/>
      <w:r w:rsidRPr="00E9050E">
        <w:rPr>
          <w:rFonts w:ascii="Arial" w:hAnsi="Arial" w:cs="Arial"/>
          <w:i/>
          <w:iCs/>
          <w:sz w:val="20"/>
          <w:szCs w:val="20"/>
        </w:rPr>
        <w:t xml:space="preserve"> </w:t>
      </w:r>
      <w:proofErr w:type="spellStart"/>
      <w:r w:rsidRPr="00E9050E">
        <w:rPr>
          <w:rFonts w:ascii="Arial" w:hAnsi="Arial" w:cs="Arial"/>
          <w:i/>
          <w:iCs/>
          <w:sz w:val="20"/>
          <w:szCs w:val="20"/>
        </w:rPr>
        <w:t>Bisnis</w:t>
      </w:r>
      <w:proofErr w:type="spellEnd"/>
      <w:r w:rsidRPr="00E9050E">
        <w:rPr>
          <w:rFonts w:ascii="Arial" w:hAnsi="Arial" w:cs="Arial"/>
          <w:sz w:val="20"/>
          <w:szCs w:val="20"/>
        </w:rPr>
        <w:t>, </w:t>
      </w:r>
      <w:r w:rsidRPr="00E9050E">
        <w:rPr>
          <w:rFonts w:ascii="Arial" w:hAnsi="Arial" w:cs="Arial"/>
          <w:i/>
          <w:iCs/>
          <w:sz w:val="20"/>
          <w:szCs w:val="20"/>
        </w:rPr>
        <w:t>23</w:t>
      </w:r>
      <w:r w:rsidRPr="00E9050E">
        <w:rPr>
          <w:rFonts w:ascii="Arial" w:hAnsi="Arial" w:cs="Arial"/>
          <w:sz w:val="20"/>
          <w:szCs w:val="20"/>
        </w:rPr>
        <w:t>(1), 86-98.</w:t>
      </w:r>
    </w:p>
    <w:p w14:paraId="46C3FE6A"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Von Solms, J. (2021). Integrating Regulatory Technology (RegTech) into the digital transformation of a bank Treasury. </w:t>
      </w:r>
      <w:r w:rsidRPr="00E9050E">
        <w:rPr>
          <w:rFonts w:ascii="Arial" w:hAnsi="Arial" w:cs="Arial"/>
          <w:i/>
          <w:iCs/>
          <w:sz w:val="20"/>
          <w:szCs w:val="20"/>
        </w:rPr>
        <w:t>Journal of Banking Regulation</w:t>
      </w:r>
      <w:r w:rsidRPr="00E9050E">
        <w:rPr>
          <w:rFonts w:ascii="Arial" w:hAnsi="Arial" w:cs="Arial"/>
          <w:sz w:val="20"/>
          <w:szCs w:val="20"/>
        </w:rPr>
        <w:t>, </w:t>
      </w:r>
      <w:r w:rsidRPr="00E9050E">
        <w:rPr>
          <w:rFonts w:ascii="Arial" w:hAnsi="Arial" w:cs="Arial"/>
          <w:i/>
          <w:iCs/>
          <w:sz w:val="20"/>
          <w:szCs w:val="20"/>
        </w:rPr>
        <w:t>22</w:t>
      </w:r>
      <w:r w:rsidRPr="00E9050E">
        <w:rPr>
          <w:rFonts w:ascii="Arial" w:hAnsi="Arial" w:cs="Arial"/>
          <w:sz w:val="20"/>
          <w:szCs w:val="20"/>
        </w:rPr>
        <w:t>(2), 152-168.</w:t>
      </w:r>
    </w:p>
    <w:p w14:paraId="6803FE73"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 xml:space="preserve">Walshe, J., &amp; Cropper, T. (2018). Should you be banking on </w:t>
      </w:r>
      <w:proofErr w:type="gramStart"/>
      <w:r w:rsidRPr="00E9050E">
        <w:rPr>
          <w:rFonts w:ascii="Arial" w:hAnsi="Arial" w:cs="Arial"/>
          <w:sz w:val="20"/>
          <w:szCs w:val="20"/>
        </w:rPr>
        <w:t>RegTech?.</w:t>
      </w:r>
      <w:proofErr w:type="gramEnd"/>
      <w:r w:rsidRPr="00E9050E">
        <w:rPr>
          <w:rFonts w:ascii="Arial" w:hAnsi="Arial" w:cs="Arial"/>
          <w:sz w:val="20"/>
          <w:szCs w:val="20"/>
        </w:rPr>
        <w:t> </w:t>
      </w:r>
      <w:r w:rsidRPr="00E9050E">
        <w:rPr>
          <w:rFonts w:ascii="Arial" w:hAnsi="Arial" w:cs="Arial"/>
          <w:i/>
          <w:iCs/>
          <w:sz w:val="20"/>
          <w:szCs w:val="20"/>
        </w:rPr>
        <w:t>Journal of Securities Operations &amp; Custody</w:t>
      </w:r>
      <w:r w:rsidRPr="00E9050E">
        <w:rPr>
          <w:rFonts w:ascii="Arial" w:hAnsi="Arial" w:cs="Arial"/>
          <w:sz w:val="20"/>
          <w:szCs w:val="20"/>
        </w:rPr>
        <w:t>, </w:t>
      </w:r>
      <w:r w:rsidRPr="00E9050E">
        <w:rPr>
          <w:rFonts w:ascii="Arial" w:hAnsi="Arial" w:cs="Arial"/>
          <w:i/>
          <w:iCs/>
          <w:sz w:val="20"/>
          <w:szCs w:val="20"/>
        </w:rPr>
        <w:t>10</w:t>
      </w:r>
      <w:r w:rsidRPr="00E9050E">
        <w:rPr>
          <w:rFonts w:ascii="Arial" w:hAnsi="Arial" w:cs="Arial"/>
          <w:sz w:val="20"/>
          <w:szCs w:val="20"/>
        </w:rPr>
        <w:t>(2), 167-175.</w:t>
      </w:r>
    </w:p>
    <w:p w14:paraId="7C4568BA"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lastRenderedPageBreak/>
        <w:t xml:space="preserve">Weber, R. H. (2017). </w:t>
      </w:r>
      <w:proofErr w:type="spellStart"/>
      <w:r w:rsidRPr="00E9050E">
        <w:rPr>
          <w:rFonts w:ascii="Arial" w:hAnsi="Arial" w:cs="Arial"/>
          <w:sz w:val="20"/>
          <w:szCs w:val="20"/>
        </w:rPr>
        <w:t>Regtech</w:t>
      </w:r>
      <w:proofErr w:type="spellEnd"/>
      <w:r w:rsidRPr="00E9050E">
        <w:rPr>
          <w:rFonts w:ascii="Arial" w:hAnsi="Arial" w:cs="Arial"/>
          <w:sz w:val="20"/>
          <w:szCs w:val="20"/>
        </w:rPr>
        <w:t xml:space="preserve"> as a new legal challenge. </w:t>
      </w:r>
      <w:r w:rsidRPr="00E9050E">
        <w:rPr>
          <w:rFonts w:ascii="Arial" w:hAnsi="Arial" w:cs="Arial"/>
          <w:i/>
          <w:iCs/>
          <w:sz w:val="20"/>
          <w:szCs w:val="20"/>
        </w:rPr>
        <w:t>Journal of Financial Transformation</w:t>
      </w:r>
      <w:r w:rsidRPr="00E9050E">
        <w:rPr>
          <w:rFonts w:ascii="Arial" w:hAnsi="Arial" w:cs="Arial"/>
          <w:sz w:val="20"/>
          <w:szCs w:val="20"/>
        </w:rPr>
        <w:t>, </w:t>
      </w:r>
      <w:r w:rsidRPr="00E9050E">
        <w:rPr>
          <w:rFonts w:ascii="Arial" w:hAnsi="Arial" w:cs="Arial"/>
          <w:i/>
          <w:iCs/>
          <w:sz w:val="20"/>
          <w:szCs w:val="20"/>
        </w:rPr>
        <w:t>46</w:t>
      </w:r>
      <w:r w:rsidRPr="00E9050E">
        <w:rPr>
          <w:rFonts w:ascii="Arial" w:hAnsi="Arial" w:cs="Arial"/>
          <w:sz w:val="20"/>
          <w:szCs w:val="20"/>
        </w:rPr>
        <w:t>, 10-17.</w:t>
      </w:r>
    </w:p>
    <w:p w14:paraId="0DCF9771" w14:textId="77777777" w:rsidR="00FC42E2" w:rsidRPr="00E9050E" w:rsidRDefault="00FC42E2" w:rsidP="00637D25">
      <w:pPr>
        <w:spacing w:line="360" w:lineRule="auto"/>
        <w:jc w:val="both"/>
        <w:rPr>
          <w:rFonts w:ascii="Arial" w:hAnsi="Arial" w:cs="Arial"/>
          <w:sz w:val="20"/>
          <w:szCs w:val="20"/>
        </w:rPr>
      </w:pPr>
      <w:r w:rsidRPr="00E9050E">
        <w:rPr>
          <w:rFonts w:ascii="Arial" w:hAnsi="Arial" w:cs="Arial"/>
          <w:sz w:val="20"/>
          <w:szCs w:val="20"/>
        </w:rPr>
        <w:t xml:space="preserve">Wibowo, I. G., &amp; </w:t>
      </w:r>
      <w:proofErr w:type="spellStart"/>
      <w:r w:rsidRPr="00E9050E">
        <w:rPr>
          <w:rFonts w:ascii="Arial" w:hAnsi="Arial" w:cs="Arial"/>
          <w:sz w:val="20"/>
          <w:szCs w:val="20"/>
        </w:rPr>
        <w:t>Setijaningsih</w:t>
      </w:r>
      <w:proofErr w:type="spellEnd"/>
      <w:r w:rsidRPr="00E9050E">
        <w:rPr>
          <w:rFonts w:ascii="Arial" w:hAnsi="Arial" w:cs="Arial"/>
          <w:sz w:val="20"/>
          <w:szCs w:val="20"/>
        </w:rPr>
        <w:t>, H. T. (2024). Navigating Compliance: Regulatory Technology's Role in Anti-Money Laundering in Indonesia Banking. </w:t>
      </w:r>
      <w:r w:rsidRPr="00E9050E">
        <w:rPr>
          <w:rFonts w:ascii="Arial" w:hAnsi="Arial" w:cs="Arial"/>
          <w:i/>
          <w:iCs/>
          <w:sz w:val="20"/>
          <w:szCs w:val="20"/>
        </w:rPr>
        <w:t>Dinasti International Journal of Economics, Finance &amp; Accounting (DIJEFA)</w:t>
      </w:r>
      <w:r w:rsidRPr="00E9050E">
        <w:rPr>
          <w:rFonts w:ascii="Arial" w:hAnsi="Arial" w:cs="Arial"/>
          <w:sz w:val="20"/>
          <w:szCs w:val="20"/>
        </w:rPr>
        <w:t>, </w:t>
      </w:r>
      <w:r w:rsidRPr="00E9050E">
        <w:rPr>
          <w:rFonts w:ascii="Arial" w:hAnsi="Arial" w:cs="Arial"/>
          <w:i/>
          <w:iCs/>
          <w:sz w:val="20"/>
          <w:szCs w:val="20"/>
        </w:rPr>
        <w:t>5</w:t>
      </w:r>
      <w:r w:rsidRPr="00E9050E">
        <w:rPr>
          <w:rFonts w:ascii="Arial" w:hAnsi="Arial" w:cs="Arial"/>
          <w:sz w:val="20"/>
          <w:szCs w:val="20"/>
        </w:rPr>
        <w:t>(4).</w:t>
      </w:r>
    </w:p>
    <w:p w14:paraId="44A35B57" w14:textId="77777777" w:rsidR="00934BE7" w:rsidRDefault="00934BE7" w:rsidP="00637D25">
      <w:pPr>
        <w:spacing w:line="360" w:lineRule="auto"/>
        <w:jc w:val="both"/>
        <w:rPr>
          <w:rFonts w:ascii="Arial" w:hAnsi="Arial" w:cs="Arial"/>
          <w:sz w:val="20"/>
          <w:szCs w:val="20"/>
        </w:rPr>
      </w:pPr>
      <w:r w:rsidRPr="00934BE7">
        <w:rPr>
          <w:rFonts w:ascii="Arial" w:hAnsi="Arial" w:cs="Arial"/>
          <w:sz w:val="20"/>
          <w:szCs w:val="20"/>
        </w:rPr>
        <w:t xml:space="preserve">Wright, S., &amp; </w:t>
      </w:r>
      <w:proofErr w:type="spellStart"/>
      <w:r w:rsidRPr="00934BE7">
        <w:rPr>
          <w:rFonts w:ascii="Arial" w:hAnsi="Arial" w:cs="Arial"/>
          <w:sz w:val="20"/>
          <w:szCs w:val="20"/>
        </w:rPr>
        <w:t>Pilavci</w:t>
      </w:r>
      <w:proofErr w:type="spellEnd"/>
      <w:r w:rsidRPr="00934BE7">
        <w:rPr>
          <w:rFonts w:ascii="Arial" w:hAnsi="Arial" w:cs="Arial"/>
          <w:sz w:val="20"/>
          <w:szCs w:val="20"/>
        </w:rPr>
        <w:t>, E. (2019). Personal data protection in blockchain. </w:t>
      </w:r>
      <w:r w:rsidRPr="00934BE7">
        <w:rPr>
          <w:rFonts w:ascii="Arial" w:hAnsi="Arial" w:cs="Arial"/>
          <w:i/>
          <w:iCs/>
          <w:sz w:val="20"/>
          <w:szCs w:val="20"/>
        </w:rPr>
        <w:t>Journal of Data Protection &amp; Privacy</w:t>
      </w:r>
      <w:r w:rsidRPr="00934BE7">
        <w:rPr>
          <w:rFonts w:ascii="Arial" w:hAnsi="Arial" w:cs="Arial"/>
          <w:sz w:val="20"/>
          <w:szCs w:val="20"/>
        </w:rPr>
        <w:t>, </w:t>
      </w:r>
      <w:r w:rsidRPr="00934BE7">
        <w:rPr>
          <w:rFonts w:ascii="Arial" w:hAnsi="Arial" w:cs="Arial"/>
          <w:i/>
          <w:iCs/>
          <w:sz w:val="20"/>
          <w:szCs w:val="20"/>
        </w:rPr>
        <w:t>3</w:t>
      </w:r>
      <w:r w:rsidRPr="00934BE7">
        <w:rPr>
          <w:rFonts w:ascii="Arial" w:hAnsi="Arial" w:cs="Arial"/>
          <w:sz w:val="20"/>
          <w:szCs w:val="20"/>
        </w:rPr>
        <w:t>(1), 43-47.</w:t>
      </w:r>
    </w:p>
    <w:p w14:paraId="6FF184DE" w14:textId="54330714" w:rsidR="00FC42E2" w:rsidRDefault="00FC42E2" w:rsidP="00637D25">
      <w:pPr>
        <w:spacing w:line="360" w:lineRule="auto"/>
        <w:jc w:val="both"/>
        <w:rPr>
          <w:rFonts w:ascii="Arial" w:hAnsi="Arial" w:cs="Arial"/>
          <w:sz w:val="20"/>
          <w:szCs w:val="20"/>
        </w:rPr>
      </w:pPr>
      <w:r w:rsidRPr="00E9050E">
        <w:rPr>
          <w:rFonts w:ascii="Arial" w:hAnsi="Arial" w:cs="Arial"/>
          <w:sz w:val="20"/>
          <w:szCs w:val="20"/>
        </w:rPr>
        <w:t xml:space="preserve">Yusoff, Y. H., Azlan, N. A. F., </w:t>
      </w:r>
      <w:proofErr w:type="spellStart"/>
      <w:r w:rsidRPr="00E9050E">
        <w:rPr>
          <w:rFonts w:ascii="Arial" w:hAnsi="Arial" w:cs="Arial"/>
          <w:sz w:val="20"/>
          <w:szCs w:val="20"/>
        </w:rPr>
        <w:t>Zamzuri</w:t>
      </w:r>
      <w:proofErr w:type="spellEnd"/>
      <w:r w:rsidRPr="00E9050E">
        <w:rPr>
          <w:rFonts w:ascii="Arial" w:hAnsi="Arial" w:cs="Arial"/>
          <w:sz w:val="20"/>
          <w:szCs w:val="20"/>
        </w:rPr>
        <w:t>, N. N. M., Sufian, N., Kurniawan, S. N. R., &amp; Hassan, R. (2023). Areas of technology that helps in combating money laundering: A concept paper. </w:t>
      </w:r>
      <w:r w:rsidRPr="00E9050E">
        <w:rPr>
          <w:rFonts w:ascii="Arial" w:hAnsi="Arial" w:cs="Arial"/>
          <w:i/>
          <w:iCs/>
          <w:sz w:val="20"/>
          <w:szCs w:val="20"/>
        </w:rPr>
        <w:t>Journal of Academic Research in Business and Social Sciences</w:t>
      </w:r>
      <w:r w:rsidRPr="00E9050E">
        <w:rPr>
          <w:rFonts w:ascii="Arial" w:hAnsi="Arial" w:cs="Arial"/>
          <w:sz w:val="20"/>
          <w:szCs w:val="20"/>
        </w:rPr>
        <w:t>, </w:t>
      </w:r>
      <w:r w:rsidRPr="00E9050E">
        <w:rPr>
          <w:rFonts w:ascii="Arial" w:hAnsi="Arial" w:cs="Arial"/>
          <w:i/>
          <w:iCs/>
          <w:sz w:val="20"/>
          <w:szCs w:val="20"/>
        </w:rPr>
        <w:t>13</w:t>
      </w:r>
      <w:r w:rsidRPr="00E9050E">
        <w:rPr>
          <w:rFonts w:ascii="Arial" w:hAnsi="Arial" w:cs="Arial"/>
          <w:sz w:val="20"/>
          <w:szCs w:val="20"/>
        </w:rPr>
        <w:t>(5), 949-959.</w:t>
      </w:r>
    </w:p>
    <w:p w14:paraId="1F83290B" w14:textId="36C1E20A" w:rsidR="00FC42E2" w:rsidRPr="00E9050E" w:rsidRDefault="00CC363E" w:rsidP="00637D25">
      <w:pPr>
        <w:spacing w:line="360" w:lineRule="auto"/>
        <w:jc w:val="both"/>
        <w:rPr>
          <w:rFonts w:ascii="Arial" w:hAnsi="Arial" w:cs="Arial"/>
          <w:sz w:val="20"/>
          <w:szCs w:val="20"/>
        </w:rPr>
      </w:pPr>
      <w:r w:rsidRPr="00CC363E">
        <w:rPr>
          <w:rFonts w:ascii="Arial" w:hAnsi="Arial" w:cs="Arial"/>
          <w:sz w:val="20"/>
          <w:szCs w:val="20"/>
        </w:rPr>
        <w:t>Zentgraf, CKJ (2024). </w:t>
      </w:r>
      <w:r w:rsidRPr="00CC363E">
        <w:rPr>
          <w:rFonts w:ascii="Arial" w:hAnsi="Arial" w:cs="Arial"/>
          <w:i/>
          <w:iCs/>
          <w:sz w:val="20"/>
          <w:szCs w:val="20"/>
        </w:rPr>
        <w:t xml:space="preserve">Blockchain in the context of European data protection </w:t>
      </w:r>
      <w:proofErr w:type="gramStart"/>
      <w:r w:rsidRPr="00CC363E">
        <w:rPr>
          <w:rFonts w:ascii="Arial" w:hAnsi="Arial" w:cs="Arial"/>
          <w:i/>
          <w:iCs/>
          <w:sz w:val="20"/>
          <w:szCs w:val="20"/>
        </w:rPr>
        <w:t>law</w:t>
      </w:r>
      <w:r w:rsidRPr="00CC363E">
        <w:rPr>
          <w:rFonts w:ascii="Arial" w:hAnsi="Arial" w:cs="Arial"/>
          <w:sz w:val="20"/>
          <w:szCs w:val="20"/>
        </w:rPr>
        <w:t> .</w:t>
      </w:r>
      <w:proofErr w:type="gramEnd"/>
      <w:r w:rsidRPr="00CC363E">
        <w:rPr>
          <w:rFonts w:ascii="Arial" w:hAnsi="Arial" w:cs="Arial"/>
          <w:sz w:val="20"/>
          <w:szCs w:val="20"/>
        </w:rPr>
        <w:t xml:space="preserve"> Nomos </w:t>
      </w:r>
      <w:proofErr w:type="spellStart"/>
      <w:r w:rsidRPr="00CC363E">
        <w:rPr>
          <w:rFonts w:ascii="Arial" w:hAnsi="Arial" w:cs="Arial"/>
          <w:sz w:val="20"/>
          <w:szCs w:val="20"/>
        </w:rPr>
        <w:t>Verlagsgesellschaft</w:t>
      </w:r>
      <w:proofErr w:type="spellEnd"/>
      <w:r w:rsidRPr="00CC363E">
        <w:rPr>
          <w:rFonts w:ascii="Arial" w:hAnsi="Arial" w:cs="Arial"/>
          <w:sz w:val="20"/>
          <w:szCs w:val="20"/>
        </w:rPr>
        <w:t xml:space="preserve"> </w:t>
      </w:r>
      <w:proofErr w:type="spellStart"/>
      <w:r w:rsidRPr="00CC363E">
        <w:rPr>
          <w:rFonts w:ascii="Arial" w:hAnsi="Arial" w:cs="Arial"/>
          <w:sz w:val="20"/>
          <w:szCs w:val="20"/>
        </w:rPr>
        <w:t>mbH</w:t>
      </w:r>
      <w:proofErr w:type="spellEnd"/>
      <w:r w:rsidRPr="00CC363E">
        <w:rPr>
          <w:rFonts w:ascii="Arial" w:hAnsi="Arial" w:cs="Arial"/>
          <w:sz w:val="20"/>
          <w:szCs w:val="20"/>
        </w:rPr>
        <w:t xml:space="preserve"> &amp; Co. KG.</w:t>
      </w:r>
    </w:p>
    <w:p w14:paraId="05CA5029" w14:textId="77777777" w:rsidR="00FC42E2" w:rsidRPr="00E9050E" w:rsidRDefault="00FC42E2" w:rsidP="00637D25">
      <w:pPr>
        <w:spacing w:line="360" w:lineRule="auto"/>
        <w:jc w:val="both"/>
        <w:rPr>
          <w:rFonts w:ascii="Arial" w:hAnsi="Arial" w:cs="Arial"/>
          <w:sz w:val="20"/>
          <w:szCs w:val="20"/>
        </w:rPr>
      </w:pPr>
    </w:p>
    <w:p w14:paraId="4A914DBF" w14:textId="77777777" w:rsidR="00FC42E2" w:rsidRPr="00E9050E" w:rsidRDefault="00FC42E2" w:rsidP="00637D25">
      <w:pPr>
        <w:spacing w:line="360" w:lineRule="auto"/>
        <w:jc w:val="both"/>
        <w:rPr>
          <w:rFonts w:ascii="Arial" w:hAnsi="Arial" w:cs="Arial"/>
          <w:sz w:val="20"/>
          <w:szCs w:val="20"/>
        </w:rPr>
      </w:pPr>
    </w:p>
    <w:sectPr w:rsidR="00FC42E2" w:rsidRPr="00E9050E" w:rsidSect="00B9187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B9D24" w14:textId="77777777" w:rsidR="005C6A10" w:rsidRDefault="005C6A10" w:rsidP="006C650F">
      <w:pPr>
        <w:spacing w:after="0" w:line="240" w:lineRule="auto"/>
      </w:pPr>
      <w:r>
        <w:separator/>
      </w:r>
    </w:p>
  </w:endnote>
  <w:endnote w:type="continuationSeparator" w:id="0">
    <w:p w14:paraId="6D0EDF6C" w14:textId="77777777" w:rsidR="005C6A10" w:rsidRDefault="005C6A10" w:rsidP="006C6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9D5B" w14:textId="77777777" w:rsidR="008F4725" w:rsidRDefault="008F4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7910" w14:textId="77777777" w:rsidR="008F4725" w:rsidRDefault="008F47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2D17" w14:textId="77777777" w:rsidR="008F4725" w:rsidRDefault="008F4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BE583" w14:textId="77777777" w:rsidR="005C6A10" w:rsidRDefault="005C6A10" w:rsidP="006C650F">
      <w:pPr>
        <w:spacing w:after="0" w:line="240" w:lineRule="auto"/>
      </w:pPr>
      <w:r>
        <w:separator/>
      </w:r>
    </w:p>
  </w:footnote>
  <w:footnote w:type="continuationSeparator" w:id="0">
    <w:p w14:paraId="54FB6615" w14:textId="77777777" w:rsidR="005C6A10" w:rsidRDefault="005C6A10" w:rsidP="006C6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5709" w14:textId="73658041" w:rsidR="008F4725" w:rsidRDefault="008F4725">
    <w:pPr>
      <w:pStyle w:val="Header"/>
    </w:pPr>
    <w:r>
      <w:rPr>
        <w:noProof/>
      </w:rPr>
      <w:pict w14:anchorId="013BE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89079" o:spid="_x0000_s1026" type="#_x0000_t136" style="position:absolute;margin-left:0;margin-top:0;width:676.8pt;height:84.6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DCF2" w14:textId="79E04604" w:rsidR="008F4725" w:rsidRDefault="008F4725">
    <w:pPr>
      <w:pStyle w:val="Header"/>
    </w:pPr>
    <w:r>
      <w:rPr>
        <w:noProof/>
      </w:rPr>
      <w:pict w14:anchorId="68F0D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89080" o:spid="_x0000_s1027" type="#_x0000_t136" style="position:absolute;margin-left:0;margin-top:0;width:676.8pt;height:84.6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95AEB" w14:textId="378D3261" w:rsidR="008F4725" w:rsidRDefault="008F4725">
    <w:pPr>
      <w:pStyle w:val="Header"/>
    </w:pPr>
    <w:r>
      <w:rPr>
        <w:noProof/>
      </w:rPr>
      <w:pict w14:anchorId="2B24A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489078" o:spid="_x0000_s1025" type="#_x0000_t136" style="position:absolute;margin-left:0;margin-top:0;width:676.8pt;height:84.6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1266F8A"/>
    <w:multiLevelType w:val="hybridMultilevel"/>
    <w:tmpl w:val="D8605C66"/>
    <w:lvl w:ilvl="0" w:tplc="9F1A21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15B7B"/>
    <w:multiLevelType w:val="hybridMultilevel"/>
    <w:tmpl w:val="AA922774"/>
    <w:lvl w:ilvl="0" w:tplc="12DABC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5C25E2"/>
    <w:multiLevelType w:val="multilevel"/>
    <w:tmpl w:val="54C0A0F6"/>
    <w:lvl w:ilvl="0">
      <w:start w:val="1"/>
      <w:numFmt w:val="decimal"/>
      <w:lvlText w:val="%1."/>
      <w:lvlJc w:val="left"/>
      <w:pPr>
        <w:ind w:left="720" w:hanging="360"/>
      </w:pPr>
      <w:rPr>
        <w:rFonts w:hint="default"/>
      </w:rPr>
    </w:lvl>
    <w:lvl w:ilv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6A37DB"/>
    <w:multiLevelType w:val="multilevel"/>
    <w:tmpl w:val="2A265E5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370255376">
    <w:abstractNumId w:val="8"/>
  </w:num>
  <w:num w:numId="2" w16cid:durableId="131676311">
    <w:abstractNumId w:val="6"/>
  </w:num>
  <w:num w:numId="3" w16cid:durableId="982000374">
    <w:abstractNumId w:val="5"/>
  </w:num>
  <w:num w:numId="4" w16cid:durableId="1125732615">
    <w:abstractNumId w:val="4"/>
  </w:num>
  <w:num w:numId="5" w16cid:durableId="781387995">
    <w:abstractNumId w:val="7"/>
  </w:num>
  <w:num w:numId="6" w16cid:durableId="127746845">
    <w:abstractNumId w:val="3"/>
  </w:num>
  <w:num w:numId="7" w16cid:durableId="830757321">
    <w:abstractNumId w:val="2"/>
  </w:num>
  <w:num w:numId="8" w16cid:durableId="1144198416">
    <w:abstractNumId w:val="1"/>
  </w:num>
  <w:num w:numId="9" w16cid:durableId="1375811234">
    <w:abstractNumId w:val="0"/>
  </w:num>
  <w:num w:numId="10" w16cid:durableId="1022435139">
    <w:abstractNumId w:val="11"/>
  </w:num>
  <w:num w:numId="11" w16cid:durableId="364906857">
    <w:abstractNumId w:val="12"/>
  </w:num>
  <w:num w:numId="12" w16cid:durableId="1164081662">
    <w:abstractNumId w:val="10"/>
  </w:num>
  <w:num w:numId="13" w16cid:durableId="19819568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477"/>
    <w:rsid w:val="00034616"/>
    <w:rsid w:val="000425AE"/>
    <w:rsid w:val="00052AF0"/>
    <w:rsid w:val="0006063C"/>
    <w:rsid w:val="0008549A"/>
    <w:rsid w:val="00086450"/>
    <w:rsid w:val="000B0621"/>
    <w:rsid w:val="000B2C34"/>
    <w:rsid w:val="000C2389"/>
    <w:rsid w:val="000D34E9"/>
    <w:rsid w:val="000E05D3"/>
    <w:rsid w:val="00101C5B"/>
    <w:rsid w:val="0011795E"/>
    <w:rsid w:val="0012134B"/>
    <w:rsid w:val="0015074B"/>
    <w:rsid w:val="0015511B"/>
    <w:rsid w:val="00155E00"/>
    <w:rsid w:val="00182845"/>
    <w:rsid w:val="001A47C2"/>
    <w:rsid w:val="001C1CDF"/>
    <w:rsid w:val="00200202"/>
    <w:rsid w:val="002019EA"/>
    <w:rsid w:val="0021033F"/>
    <w:rsid w:val="002266E6"/>
    <w:rsid w:val="00233166"/>
    <w:rsid w:val="00235A3E"/>
    <w:rsid w:val="00266489"/>
    <w:rsid w:val="0029639D"/>
    <w:rsid w:val="002C4820"/>
    <w:rsid w:val="002E6ED0"/>
    <w:rsid w:val="00307415"/>
    <w:rsid w:val="00326F90"/>
    <w:rsid w:val="0033172B"/>
    <w:rsid w:val="003451E8"/>
    <w:rsid w:val="00357C6C"/>
    <w:rsid w:val="003B732B"/>
    <w:rsid w:val="003E76E5"/>
    <w:rsid w:val="00496A84"/>
    <w:rsid w:val="004B12F6"/>
    <w:rsid w:val="004F649B"/>
    <w:rsid w:val="004F6A5F"/>
    <w:rsid w:val="004F72A7"/>
    <w:rsid w:val="00500763"/>
    <w:rsid w:val="00520A4C"/>
    <w:rsid w:val="005217B4"/>
    <w:rsid w:val="00521ACC"/>
    <w:rsid w:val="00534C8D"/>
    <w:rsid w:val="005620C5"/>
    <w:rsid w:val="005A3F8A"/>
    <w:rsid w:val="005A70EA"/>
    <w:rsid w:val="005C6A10"/>
    <w:rsid w:val="005D0655"/>
    <w:rsid w:val="005D7B9D"/>
    <w:rsid w:val="006148C2"/>
    <w:rsid w:val="00623944"/>
    <w:rsid w:val="00634B2D"/>
    <w:rsid w:val="00637D25"/>
    <w:rsid w:val="00657C0A"/>
    <w:rsid w:val="006A33C7"/>
    <w:rsid w:val="006C650F"/>
    <w:rsid w:val="006E72D5"/>
    <w:rsid w:val="007229D0"/>
    <w:rsid w:val="00737C55"/>
    <w:rsid w:val="00760A27"/>
    <w:rsid w:val="00785164"/>
    <w:rsid w:val="0079052A"/>
    <w:rsid w:val="007906AE"/>
    <w:rsid w:val="0079276A"/>
    <w:rsid w:val="007970C5"/>
    <w:rsid w:val="007B41D1"/>
    <w:rsid w:val="007B63B0"/>
    <w:rsid w:val="007C2EAF"/>
    <w:rsid w:val="007C3330"/>
    <w:rsid w:val="007C3D09"/>
    <w:rsid w:val="007D2D37"/>
    <w:rsid w:val="007F7716"/>
    <w:rsid w:val="00806382"/>
    <w:rsid w:val="00825F97"/>
    <w:rsid w:val="00826A54"/>
    <w:rsid w:val="008404D4"/>
    <w:rsid w:val="00841258"/>
    <w:rsid w:val="00856A30"/>
    <w:rsid w:val="008C3400"/>
    <w:rsid w:val="008C549D"/>
    <w:rsid w:val="008E370F"/>
    <w:rsid w:val="008E472D"/>
    <w:rsid w:val="008F4725"/>
    <w:rsid w:val="00921A62"/>
    <w:rsid w:val="00934BE7"/>
    <w:rsid w:val="009500AB"/>
    <w:rsid w:val="00952A88"/>
    <w:rsid w:val="00961846"/>
    <w:rsid w:val="00A020E3"/>
    <w:rsid w:val="00A33FA6"/>
    <w:rsid w:val="00A92173"/>
    <w:rsid w:val="00AA1D8D"/>
    <w:rsid w:val="00AB3AC1"/>
    <w:rsid w:val="00AE6C40"/>
    <w:rsid w:val="00B055C0"/>
    <w:rsid w:val="00B155D5"/>
    <w:rsid w:val="00B303FE"/>
    <w:rsid w:val="00B47730"/>
    <w:rsid w:val="00B77DCF"/>
    <w:rsid w:val="00B86C8A"/>
    <w:rsid w:val="00B87316"/>
    <w:rsid w:val="00B91873"/>
    <w:rsid w:val="00BC6311"/>
    <w:rsid w:val="00C03621"/>
    <w:rsid w:val="00C06DD6"/>
    <w:rsid w:val="00C1334F"/>
    <w:rsid w:val="00C3365B"/>
    <w:rsid w:val="00C60F22"/>
    <w:rsid w:val="00CB0664"/>
    <w:rsid w:val="00CC363E"/>
    <w:rsid w:val="00CF7D27"/>
    <w:rsid w:val="00D030CE"/>
    <w:rsid w:val="00D10094"/>
    <w:rsid w:val="00D13091"/>
    <w:rsid w:val="00D36A59"/>
    <w:rsid w:val="00D53CC9"/>
    <w:rsid w:val="00D71ED9"/>
    <w:rsid w:val="00D94251"/>
    <w:rsid w:val="00DB53D7"/>
    <w:rsid w:val="00DC57F4"/>
    <w:rsid w:val="00DC6925"/>
    <w:rsid w:val="00E312A9"/>
    <w:rsid w:val="00E52FF6"/>
    <w:rsid w:val="00E9050E"/>
    <w:rsid w:val="00EC5E4A"/>
    <w:rsid w:val="00EC7367"/>
    <w:rsid w:val="00EE2492"/>
    <w:rsid w:val="00EE25AE"/>
    <w:rsid w:val="00F50CDE"/>
    <w:rsid w:val="00F6020F"/>
    <w:rsid w:val="00F7614A"/>
    <w:rsid w:val="00FC4044"/>
    <w:rsid w:val="00FC42E2"/>
    <w:rsid w:val="00FC693F"/>
    <w:rsid w:val="00FD0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4EE403"/>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D030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17477"/>
    <w:rPr>
      <w:color w:val="0000FF" w:themeColor="hyperlink"/>
      <w:u w:val="single"/>
    </w:rPr>
  </w:style>
  <w:style w:type="character" w:styleId="UnresolvedMention">
    <w:name w:val="Unresolved Mention"/>
    <w:basedOn w:val="DefaultParagraphFont"/>
    <w:uiPriority w:val="99"/>
    <w:semiHidden/>
    <w:unhideWhenUsed/>
    <w:rsid w:val="00017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11798">
      <w:bodyDiv w:val="1"/>
      <w:marLeft w:val="0"/>
      <w:marRight w:val="0"/>
      <w:marTop w:val="0"/>
      <w:marBottom w:val="0"/>
      <w:divBdr>
        <w:top w:val="none" w:sz="0" w:space="0" w:color="auto"/>
        <w:left w:val="none" w:sz="0" w:space="0" w:color="auto"/>
        <w:bottom w:val="none" w:sz="0" w:space="0" w:color="auto"/>
        <w:right w:val="none" w:sz="0" w:space="0" w:color="auto"/>
      </w:divBdr>
    </w:div>
    <w:div w:id="330378467">
      <w:bodyDiv w:val="1"/>
      <w:marLeft w:val="0"/>
      <w:marRight w:val="0"/>
      <w:marTop w:val="0"/>
      <w:marBottom w:val="0"/>
      <w:divBdr>
        <w:top w:val="none" w:sz="0" w:space="0" w:color="auto"/>
        <w:left w:val="none" w:sz="0" w:space="0" w:color="auto"/>
        <w:bottom w:val="none" w:sz="0" w:space="0" w:color="auto"/>
        <w:right w:val="none" w:sz="0" w:space="0" w:color="auto"/>
      </w:divBdr>
    </w:div>
    <w:div w:id="1368018910">
      <w:bodyDiv w:val="1"/>
      <w:marLeft w:val="0"/>
      <w:marRight w:val="0"/>
      <w:marTop w:val="0"/>
      <w:marBottom w:val="0"/>
      <w:divBdr>
        <w:top w:val="none" w:sz="0" w:space="0" w:color="auto"/>
        <w:left w:val="none" w:sz="0" w:space="0" w:color="auto"/>
        <w:bottom w:val="none" w:sz="0" w:space="0" w:color="auto"/>
        <w:right w:val="none" w:sz="0" w:space="0" w:color="auto"/>
      </w:divBdr>
    </w:div>
    <w:div w:id="1778018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62802/2ad9q749" TargetMode="Externa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GREATWARE\Downloads\RegTech_Blockchain_AML_Summar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Summary of RegTech &amp; Blockchain integration </a:t>
            </a:r>
            <a:r>
              <a:rPr lang="en-US" sz="1200" baseline="0"/>
              <a:t> in AML Compliance (Case study themes) </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Supporting Case Studies</c:v>
                </c:pt>
              </c:strCache>
            </c:strRef>
          </c:tx>
          <c:spPr>
            <a:solidFill>
              <a:schemeClr val="accent1"/>
            </a:solidFill>
            <a:ln>
              <a:noFill/>
            </a:ln>
            <a:effectLst/>
          </c:spPr>
          <c:invertIfNegative val="0"/>
          <c:cat>
            <c:strRef>
              <c:f>Sheet1!$A$2:$A$6</c:f>
              <c:strCache>
                <c:ptCount val="5"/>
                <c:pt idx="0">
                  <c:v>Improved AML Functions (KYC, Monitoring, Reporting)</c:v>
                </c:pt>
                <c:pt idx="1">
                  <c:v>Positive Financial Impact (Cost Savings, Efficiency)</c:v>
                </c:pt>
                <c:pt idx="2">
                  <c:v>Key Challenges (Legacy Systems, Regulations)</c:v>
                </c:pt>
                <c:pt idx="3">
                  <c:v>Successful Collaboration (Regulators + Institutions)</c:v>
                </c:pt>
                <c:pt idx="4">
                  <c:v>Scalability Issues (Funding, Infrastructure)</c:v>
                </c:pt>
              </c:strCache>
            </c:strRef>
          </c:cat>
          <c:val>
            <c:numRef>
              <c:f>Sheet1!$B$2:$B$6</c:f>
              <c:numCache>
                <c:formatCode>General</c:formatCode>
                <c:ptCount val="5"/>
                <c:pt idx="0">
                  <c:v>6</c:v>
                </c:pt>
                <c:pt idx="1">
                  <c:v>5</c:v>
                </c:pt>
                <c:pt idx="2">
                  <c:v>6</c:v>
                </c:pt>
                <c:pt idx="3">
                  <c:v>4</c:v>
                </c:pt>
                <c:pt idx="4">
                  <c:v>3</c:v>
                </c:pt>
              </c:numCache>
            </c:numRef>
          </c:val>
          <c:extLst>
            <c:ext xmlns:c16="http://schemas.microsoft.com/office/drawing/2014/chart" uri="{C3380CC4-5D6E-409C-BE32-E72D297353CC}">
              <c16:uniqueId val="{00000000-5883-49D1-9719-DAF865AB41E8}"/>
            </c:ext>
          </c:extLst>
        </c:ser>
        <c:dLbls>
          <c:showLegendKey val="0"/>
          <c:showVal val="0"/>
          <c:showCatName val="0"/>
          <c:showSerName val="0"/>
          <c:showPercent val="0"/>
          <c:showBubbleSize val="0"/>
        </c:dLbls>
        <c:gapWidth val="150"/>
        <c:overlap val="100"/>
        <c:axId val="1457084048"/>
        <c:axId val="1457085488"/>
      </c:barChart>
      <c:catAx>
        <c:axId val="1457084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7085488"/>
        <c:crosses val="autoZero"/>
        <c:auto val="1"/>
        <c:lblAlgn val="ctr"/>
        <c:lblOffset val="100"/>
        <c:noMultiLvlLbl val="0"/>
      </c:catAx>
      <c:valAx>
        <c:axId val="1457085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a:t>
                </a:r>
                <a:r>
                  <a:rPr lang="en-US" baseline="0"/>
                  <a:t> of Supporting case studies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70840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8479C-076D-4817-8852-7EBAFE34E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6994</Words>
  <Characters>39871</Characters>
  <Application>Microsoft Office Word</Application>
  <DocSecurity>0</DocSecurity>
  <Lines>332</Lines>
  <Paragraphs>93</Paragraphs>
  <ScaleCrop>false</ScaleCrop>
  <Manager/>
  <Company/>
  <LinksUpToDate>false</LinksUpToDate>
  <CharactersWithSpaces>46772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2025-05-03T02:36:00Z</dcterms:created>
  <dcterms:modified xsi:type="dcterms:W3CDTF">2025-05-03T10:44:00Z</dcterms:modified>
  <cp:category/>
</cp:coreProperties>
</file>