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0EC6A" w14:textId="727C8BA9" w:rsidR="004D2599" w:rsidRPr="003E1D7A" w:rsidRDefault="00064738" w:rsidP="003E1D7A">
      <w:pPr>
        <w:spacing w:line="360" w:lineRule="auto"/>
        <w:jc w:val="center"/>
        <w:rPr>
          <w:rFonts w:ascii="Times New Roman" w:hAnsi="Times New Roman" w:cs="Times New Roman"/>
          <w:b/>
          <w:sz w:val="32"/>
          <w:szCs w:val="32"/>
        </w:rPr>
      </w:pPr>
      <w:r w:rsidRPr="003E1D7A">
        <w:rPr>
          <w:rFonts w:ascii="Times New Roman" w:hAnsi="Times New Roman" w:cs="Times New Roman"/>
          <w:b/>
          <w:color w:val="000000" w:themeColor="text1"/>
          <w:sz w:val="32"/>
          <w:szCs w:val="32"/>
        </w:rPr>
        <w:t>Self-</w:t>
      </w:r>
      <w:r w:rsidR="00913E15" w:rsidRPr="003E1D7A">
        <w:rPr>
          <w:rFonts w:ascii="Times New Roman" w:hAnsi="Times New Roman" w:cs="Times New Roman"/>
          <w:b/>
          <w:color w:val="000000" w:themeColor="text1"/>
          <w:sz w:val="32"/>
          <w:szCs w:val="32"/>
        </w:rPr>
        <w:t xml:space="preserve">Reliance Programs </w:t>
      </w:r>
      <w:r w:rsidR="003E1D7A" w:rsidRPr="003E1D7A">
        <w:rPr>
          <w:rFonts w:ascii="Times New Roman" w:hAnsi="Times New Roman" w:cs="Times New Roman"/>
          <w:b/>
          <w:color w:val="000000" w:themeColor="text1"/>
          <w:sz w:val="32"/>
          <w:szCs w:val="32"/>
        </w:rPr>
        <w:t>and</w:t>
      </w:r>
      <w:r w:rsidR="00913E15" w:rsidRPr="003E1D7A">
        <w:rPr>
          <w:rFonts w:ascii="Times New Roman" w:hAnsi="Times New Roman" w:cs="Times New Roman"/>
          <w:b/>
          <w:color w:val="000000" w:themeColor="text1"/>
          <w:sz w:val="32"/>
          <w:szCs w:val="32"/>
        </w:rPr>
        <w:t xml:space="preserve"> Socio-Economic Empowerment </w:t>
      </w:r>
      <w:r w:rsidR="008D42BA">
        <w:rPr>
          <w:rFonts w:ascii="Times New Roman" w:hAnsi="Times New Roman" w:cs="Times New Roman"/>
          <w:b/>
          <w:color w:val="000000" w:themeColor="text1"/>
          <w:sz w:val="32"/>
          <w:szCs w:val="32"/>
        </w:rPr>
        <w:t>of</w:t>
      </w:r>
      <w:r w:rsidR="00913E15" w:rsidRPr="003E1D7A">
        <w:rPr>
          <w:rFonts w:ascii="Times New Roman" w:hAnsi="Times New Roman" w:cs="Times New Roman"/>
          <w:b/>
          <w:color w:val="000000" w:themeColor="text1"/>
          <w:sz w:val="32"/>
          <w:szCs w:val="32"/>
        </w:rPr>
        <w:t xml:space="preserve"> Women </w:t>
      </w:r>
      <w:r w:rsidR="003E1D7A" w:rsidRPr="003E1D7A">
        <w:rPr>
          <w:rFonts w:ascii="Times New Roman" w:hAnsi="Times New Roman" w:cs="Times New Roman"/>
          <w:b/>
          <w:color w:val="000000" w:themeColor="text1"/>
          <w:sz w:val="32"/>
          <w:szCs w:val="32"/>
        </w:rPr>
        <w:t>a</w:t>
      </w:r>
      <w:r w:rsidR="00913E15" w:rsidRPr="003E1D7A">
        <w:rPr>
          <w:rFonts w:ascii="Times New Roman" w:hAnsi="Times New Roman" w:cs="Times New Roman"/>
          <w:b/>
          <w:color w:val="000000" w:themeColor="text1"/>
          <w:sz w:val="32"/>
          <w:szCs w:val="32"/>
        </w:rPr>
        <w:t xml:space="preserve">nd Youth </w:t>
      </w:r>
      <w:r w:rsidR="003E1D7A" w:rsidRPr="003E1D7A">
        <w:rPr>
          <w:rFonts w:ascii="Times New Roman" w:hAnsi="Times New Roman" w:cs="Times New Roman"/>
          <w:b/>
          <w:color w:val="000000" w:themeColor="text1"/>
          <w:sz w:val="32"/>
          <w:szCs w:val="32"/>
        </w:rPr>
        <w:t>o</w:t>
      </w:r>
      <w:r w:rsidR="00913E15" w:rsidRPr="003E1D7A">
        <w:rPr>
          <w:rFonts w:ascii="Times New Roman" w:hAnsi="Times New Roman" w:cs="Times New Roman"/>
          <w:b/>
          <w:color w:val="000000" w:themeColor="text1"/>
          <w:sz w:val="32"/>
          <w:szCs w:val="32"/>
        </w:rPr>
        <w:t xml:space="preserve">f </w:t>
      </w:r>
      <w:proofErr w:type="spellStart"/>
      <w:r w:rsidR="00185702" w:rsidRPr="003E1D7A">
        <w:rPr>
          <w:rFonts w:ascii="Times New Roman" w:hAnsi="Times New Roman" w:cs="Times New Roman"/>
          <w:b/>
          <w:color w:val="000000" w:themeColor="text1"/>
          <w:sz w:val="32"/>
          <w:szCs w:val="32"/>
        </w:rPr>
        <w:t>Kyanyakatura</w:t>
      </w:r>
      <w:proofErr w:type="spellEnd"/>
      <w:r w:rsidR="00185702" w:rsidRPr="003E1D7A">
        <w:rPr>
          <w:rFonts w:ascii="Times New Roman" w:hAnsi="Times New Roman" w:cs="Times New Roman"/>
          <w:b/>
          <w:color w:val="000000" w:themeColor="text1"/>
          <w:sz w:val="32"/>
          <w:szCs w:val="32"/>
        </w:rPr>
        <w:t xml:space="preserve"> Archdeaconry West Ankole Diocese</w:t>
      </w:r>
      <w:r w:rsidR="00913E15" w:rsidRPr="003E1D7A">
        <w:rPr>
          <w:rFonts w:ascii="Times New Roman" w:hAnsi="Times New Roman" w:cs="Times New Roman"/>
          <w:b/>
          <w:color w:val="000000" w:themeColor="text1"/>
          <w:sz w:val="32"/>
          <w:szCs w:val="32"/>
        </w:rPr>
        <w:t xml:space="preserve">, </w:t>
      </w:r>
      <w:r w:rsidR="004D2599" w:rsidRPr="003E1D7A">
        <w:rPr>
          <w:rFonts w:ascii="Times New Roman" w:hAnsi="Times New Roman" w:cs="Times New Roman"/>
          <w:b/>
          <w:color w:val="000000" w:themeColor="text1"/>
          <w:sz w:val="32"/>
          <w:szCs w:val="32"/>
        </w:rPr>
        <w:t>Uganda.</w:t>
      </w:r>
    </w:p>
    <w:p w14:paraId="47EA6371" w14:textId="2BCFFA4D" w:rsidR="00784B3F" w:rsidRPr="004D2599" w:rsidRDefault="004D2599" w:rsidP="00784B3F">
      <w:pPr>
        <w:spacing w:line="360" w:lineRule="auto"/>
        <w:jc w:val="center"/>
        <w:rPr>
          <w:rFonts w:ascii="Times New Roman" w:hAnsi="Times New Roman" w:cs="Times New Roman"/>
          <w:b/>
          <w:lang w:val="en-GB"/>
        </w:rPr>
      </w:pPr>
      <w:r>
        <w:rPr>
          <w:rFonts w:ascii="Times New Roman" w:hAnsi="Times New Roman" w:cs="Times New Roman"/>
          <w:b/>
        </w:rPr>
        <w:t xml:space="preserve">                                        </w:t>
      </w:r>
    </w:p>
    <w:p w14:paraId="0220ADD9" w14:textId="3B659A69" w:rsidR="00C227B9" w:rsidRPr="00F41631" w:rsidRDefault="00C227B9" w:rsidP="00784B3F">
      <w:pPr>
        <w:spacing w:line="360" w:lineRule="auto"/>
        <w:rPr>
          <w:rFonts w:ascii="Times New Roman" w:hAnsi="Times New Roman" w:cs="Times New Roman"/>
          <w:b/>
          <w:u w:val="single"/>
          <w:lang w:val="en-GB"/>
        </w:rPr>
      </w:pPr>
    </w:p>
    <w:p w14:paraId="3ABA0E29" w14:textId="77777777" w:rsidR="00C227B9" w:rsidRPr="004D2599" w:rsidRDefault="00C227B9" w:rsidP="004D2599">
      <w:pPr>
        <w:pStyle w:val="Heading1"/>
        <w:spacing w:line="360" w:lineRule="auto"/>
        <w:jc w:val="center"/>
        <w:rPr>
          <w:color w:val="000000" w:themeColor="text1"/>
          <w:szCs w:val="24"/>
        </w:rPr>
      </w:pPr>
      <w:bookmarkStart w:id="0" w:name="_Toc194490648"/>
      <w:r w:rsidRPr="004D2599">
        <w:rPr>
          <w:color w:val="000000" w:themeColor="text1"/>
          <w:szCs w:val="24"/>
        </w:rPr>
        <w:t>ABSTRACT</w:t>
      </w:r>
      <w:bookmarkEnd w:id="0"/>
    </w:p>
    <w:p w14:paraId="680F20A5" w14:textId="330C52A0" w:rsidR="004726E6" w:rsidRPr="004726E6" w:rsidRDefault="004726E6" w:rsidP="004726E6">
      <w:pPr>
        <w:spacing w:before="240"/>
        <w:jc w:val="both"/>
        <w:rPr>
          <w:rFonts w:ascii="Times New Roman" w:hAnsi="Times New Roman" w:cs="Times New Roman"/>
          <w:color w:val="000000" w:themeColor="text1"/>
        </w:rPr>
      </w:pPr>
      <w:r w:rsidRPr="004726E6">
        <w:rPr>
          <w:rFonts w:ascii="Times New Roman" w:hAnsi="Times New Roman" w:cs="Times New Roman"/>
          <w:color w:val="000000" w:themeColor="text1"/>
        </w:rPr>
        <w:t xml:space="preserve">This study assessed the extent to which self-reliance programs influence socio-economic empowerment among women and youth in </w:t>
      </w:r>
      <w:proofErr w:type="spellStart"/>
      <w:r w:rsidRPr="004726E6">
        <w:rPr>
          <w:rFonts w:ascii="Times New Roman" w:hAnsi="Times New Roman" w:cs="Times New Roman"/>
          <w:color w:val="000000" w:themeColor="text1"/>
        </w:rPr>
        <w:t>Kyanyakatura</w:t>
      </w:r>
      <w:proofErr w:type="spellEnd"/>
      <w:r w:rsidRPr="004726E6">
        <w:rPr>
          <w:rFonts w:ascii="Times New Roman" w:hAnsi="Times New Roman" w:cs="Times New Roman"/>
          <w:color w:val="000000" w:themeColor="text1"/>
        </w:rPr>
        <w:t xml:space="preserve"> Archdeaconry, West Ankole Diocese, Uganda. Employing a quantitative research approach, the study utilized a correlational research design to examine the relationship between church-led self-reliance initiatives and key empowerment indicators. Data was collected through self-administered questionnaires from a stratified random sample of 225 respondents, including church elders, priests, lay readers, women, and youth, with the sample size determined using the Smith formula (1967) to ensure statistical validity. Descriptive and inferential statistics (Pearson correlation and regression analysis) were applied to analyze the data.</w:t>
      </w:r>
      <w:r>
        <w:rPr>
          <w:rFonts w:ascii="Times New Roman" w:hAnsi="Times New Roman" w:cs="Times New Roman"/>
          <w:color w:val="000000" w:themeColor="text1"/>
        </w:rPr>
        <w:t xml:space="preserve"> </w:t>
      </w:r>
      <w:r w:rsidRPr="004726E6">
        <w:rPr>
          <w:rFonts w:ascii="Times New Roman" w:hAnsi="Times New Roman" w:cs="Times New Roman"/>
          <w:color w:val="000000" w:themeColor="text1"/>
        </w:rPr>
        <w:t>The findings revealed a statistically significant positive relationship between self-reliance programs and socio-economic empowerment (β₁ = 0.441, *p* &lt; 0.001), indicating that these initiatives substantially enhance economic independence among participants. Respondents' perceptions further reinforced this conclusion, with above-average agreement on the programs' effectiveness in improving livelihoods. The results suggest that the Church of Uganda’s emphasis on self-reliance initiatives is well-founded and should be sustained or expanded to maximize impact. However, the study also highlights the need for further research to examine interactive effects between different empowerment programs (e.g., education, microfinance, vocational training) to optimize holistic socio-economic development strategies.</w:t>
      </w:r>
      <w:r>
        <w:rPr>
          <w:rFonts w:ascii="Times New Roman" w:hAnsi="Times New Roman" w:cs="Times New Roman"/>
          <w:color w:val="000000" w:themeColor="text1"/>
        </w:rPr>
        <w:t xml:space="preserve"> </w:t>
      </w:r>
      <w:r w:rsidRPr="004726E6">
        <w:rPr>
          <w:rFonts w:ascii="Times New Roman" w:hAnsi="Times New Roman" w:cs="Times New Roman"/>
          <w:color w:val="000000" w:themeColor="text1"/>
        </w:rPr>
        <w:t>This study contributes to the broader discourse on faith-based interventions in development by providing empirical evidence on the efficacy of self-reliance programs in rural Uganda. The methodological rigor</w:t>
      </w:r>
      <w:r>
        <w:rPr>
          <w:rFonts w:ascii="Times New Roman" w:hAnsi="Times New Roman" w:cs="Times New Roman"/>
          <w:color w:val="000000" w:themeColor="text1"/>
        </w:rPr>
        <w:t xml:space="preserve"> </w:t>
      </w:r>
      <w:r w:rsidRPr="004726E6">
        <w:rPr>
          <w:rFonts w:ascii="Times New Roman" w:hAnsi="Times New Roman" w:cs="Times New Roman"/>
          <w:color w:val="000000" w:themeColor="text1"/>
        </w:rPr>
        <w:t>including stratified sampling, validated statistical techniques, and triangulated findings</w:t>
      </w:r>
      <w:r>
        <w:rPr>
          <w:rFonts w:ascii="Times New Roman" w:hAnsi="Times New Roman" w:cs="Times New Roman"/>
          <w:color w:val="000000" w:themeColor="text1"/>
        </w:rPr>
        <w:t xml:space="preserve"> </w:t>
      </w:r>
      <w:r w:rsidRPr="004726E6">
        <w:rPr>
          <w:rFonts w:ascii="Times New Roman" w:hAnsi="Times New Roman" w:cs="Times New Roman"/>
          <w:color w:val="000000" w:themeColor="text1"/>
        </w:rPr>
        <w:t>enhances the reliability of the conclusions. Future research should explore longitudinal impacts and comparative analyses across different regions to strengthen generalizability. Policymakers and development practitioners can leverage these insights to design integrated, community-driven empowerment models that align with Uganda’s National Development Plan III (2020/21–2024/25) and the United Nations Sustainable Development Goals (SDGs).</w:t>
      </w:r>
    </w:p>
    <w:p w14:paraId="2E172E7F" w14:textId="77777777" w:rsidR="00C227B9" w:rsidRPr="004D2599" w:rsidRDefault="005B1231" w:rsidP="004D2599">
      <w:pPr>
        <w:spacing w:before="24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Key</w:t>
      </w:r>
      <w:r w:rsidR="00C227B9" w:rsidRPr="004D2599">
        <w:rPr>
          <w:rFonts w:ascii="Times New Roman" w:hAnsi="Times New Roman" w:cs="Times New Roman"/>
          <w:color w:val="000000" w:themeColor="text1"/>
        </w:rPr>
        <w:t>words:</w:t>
      </w:r>
      <w:r w:rsidR="00F41631">
        <w:rPr>
          <w:rFonts w:ascii="Times New Roman" w:hAnsi="Times New Roman" w:cs="Times New Roman"/>
          <w:b/>
          <w:color w:val="000000" w:themeColor="text1"/>
        </w:rPr>
        <w:t xml:space="preserve"> Self-</w:t>
      </w:r>
      <w:r w:rsidR="00913E15" w:rsidRPr="00913E15">
        <w:rPr>
          <w:rFonts w:ascii="Times New Roman" w:hAnsi="Times New Roman" w:cs="Times New Roman"/>
          <w:b/>
          <w:color w:val="000000" w:themeColor="text1"/>
        </w:rPr>
        <w:t xml:space="preserve">Reliance Programs </w:t>
      </w:r>
      <w:r w:rsidR="00913E15">
        <w:rPr>
          <w:rFonts w:ascii="Times New Roman" w:hAnsi="Times New Roman" w:cs="Times New Roman"/>
          <w:b/>
          <w:color w:val="000000" w:themeColor="text1"/>
        </w:rPr>
        <w:t>and t</w:t>
      </w:r>
      <w:r w:rsidR="00913E15" w:rsidRPr="00913E15">
        <w:rPr>
          <w:rFonts w:ascii="Times New Roman" w:hAnsi="Times New Roman" w:cs="Times New Roman"/>
          <w:b/>
          <w:color w:val="000000" w:themeColor="text1"/>
        </w:rPr>
        <w:t xml:space="preserve">he Socio-Economic Empowerment Among Women </w:t>
      </w:r>
      <w:proofErr w:type="gramStart"/>
      <w:r w:rsidR="00913E15" w:rsidRPr="00913E15">
        <w:rPr>
          <w:rFonts w:ascii="Times New Roman" w:hAnsi="Times New Roman" w:cs="Times New Roman"/>
          <w:b/>
          <w:color w:val="000000" w:themeColor="text1"/>
        </w:rPr>
        <w:t>And</w:t>
      </w:r>
      <w:proofErr w:type="gramEnd"/>
      <w:r w:rsidR="00913E15" w:rsidRPr="00913E15">
        <w:rPr>
          <w:rFonts w:ascii="Times New Roman" w:hAnsi="Times New Roman" w:cs="Times New Roman"/>
          <w:b/>
          <w:color w:val="000000" w:themeColor="text1"/>
        </w:rPr>
        <w:t xml:space="preserve"> Youth</w:t>
      </w:r>
    </w:p>
    <w:p w14:paraId="4A5F99EC" w14:textId="77777777" w:rsidR="00913E15" w:rsidRDefault="00913E15" w:rsidP="004D2599">
      <w:pPr>
        <w:spacing w:line="360" w:lineRule="auto"/>
        <w:rPr>
          <w:rFonts w:ascii="Times New Roman" w:eastAsia="SimSun" w:hAnsi="Times New Roman" w:cs="Times New Roman"/>
          <w:b/>
          <w:bCs/>
          <w:color w:val="000000" w:themeColor="text1"/>
        </w:rPr>
      </w:pPr>
    </w:p>
    <w:p w14:paraId="50A0E021" w14:textId="77777777" w:rsidR="00C227B9" w:rsidRPr="001A1DCC" w:rsidRDefault="00C227B9" w:rsidP="001A1DCC">
      <w:pPr>
        <w:pStyle w:val="ListParagraph"/>
        <w:numPr>
          <w:ilvl w:val="0"/>
          <w:numId w:val="3"/>
        </w:numPr>
        <w:spacing w:line="360" w:lineRule="auto"/>
        <w:rPr>
          <w:b/>
        </w:rPr>
      </w:pPr>
      <w:r w:rsidRPr="001A1DCC">
        <w:rPr>
          <w:rFonts w:eastAsia="SimSun"/>
          <w:b/>
          <w:bCs/>
          <w:color w:val="000000" w:themeColor="text1"/>
        </w:rPr>
        <w:t xml:space="preserve">Introduction </w:t>
      </w:r>
    </w:p>
    <w:p w14:paraId="42C4B59A" w14:textId="154AA9E3" w:rsidR="00931194" w:rsidRPr="00931194" w:rsidRDefault="00931194" w:rsidP="00931194">
      <w:pPr>
        <w:pStyle w:val="ds-markdown-paragraph"/>
        <w:shd w:val="clear" w:color="auto" w:fill="FFFFFF"/>
        <w:spacing w:before="206" w:beforeAutospacing="0" w:after="206" w:afterAutospacing="0" w:line="429" w:lineRule="atLeast"/>
        <w:ind w:left="360"/>
        <w:jc w:val="both"/>
        <w:rPr>
          <w:color w:val="404040"/>
        </w:rPr>
      </w:pPr>
      <w:r w:rsidRPr="00931194">
        <w:rPr>
          <w:color w:val="404040"/>
        </w:rPr>
        <w:lastRenderedPageBreak/>
        <w:t>Socio-economic empowerment of women and youth is a cornerstone of sustainable development, yet significant disparities persist globally, particularly in low-income regions (UN Women, 2020). In Uganda, despite government interventions such as the </w:t>
      </w:r>
      <w:r w:rsidRPr="00931194">
        <w:rPr>
          <w:rStyle w:val="Emphasis"/>
          <w:color w:val="404040"/>
        </w:rPr>
        <w:t xml:space="preserve">Uganda Women Entrepreneurship </w:t>
      </w:r>
      <w:proofErr w:type="spellStart"/>
      <w:r w:rsidRPr="00931194">
        <w:rPr>
          <w:rStyle w:val="Emphasis"/>
          <w:color w:val="404040"/>
        </w:rPr>
        <w:t>Programme</w:t>
      </w:r>
      <w:proofErr w:type="spellEnd"/>
      <w:r w:rsidRPr="00931194">
        <w:rPr>
          <w:rStyle w:val="Emphasis"/>
          <w:color w:val="404040"/>
        </w:rPr>
        <w:t xml:space="preserve"> (UWEP)</w:t>
      </w:r>
      <w:r w:rsidRPr="00931194">
        <w:rPr>
          <w:color w:val="404040"/>
        </w:rPr>
        <w:t> and vocational training initiatives under </w:t>
      </w:r>
      <w:r w:rsidRPr="00931194">
        <w:rPr>
          <w:rStyle w:val="Emphasis"/>
          <w:color w:val="404040"/>
        </w:rPr>
        <w:t>Skilling Uganda</w:t>
      </w:r>
      <w:r w:rsidRPr="00931194">
        <w:rPr>
          <w:color w:val="404040"/>
        </w:rPr>
        <w:t>, structural barriers</w:t>
      </w:r>
      <w:r>
        <w:rPr>
          <w:color w:val="404040"/>
        </w:rPr>
        <w:t xml:space="preserve"> </w:t>
      </w:r>
      <w:r w:rsidRPr="00931194">
        <w:rPr>
          <w:color w:val="404040"/>
        </w:rPr>
        <w:t>including limited access to capital, entrenched gender norms, and rural-urban divides</w:t>
      </w:r>
      <w:r>
        <w:rPr>
          <w:color w:val="404040"/>
        </w:rPr>
        <w:t xml:space="preserve"> </w:t>
      </w:r>
      <w:r w:rsidRPr="00931194">
        <w:rPr>
          <w:color w:val="404040"/>
        </w:rPr>
        <w:t xml:space="preserve">continue to impede progress (Ministry of Gender, </w:t>
      </w:r>
      <w:proofErr w:type="spellStart"/>
      <w:r w:rsidRPr="00931194">
        <w:rPr>
          <w:color w:val="404040"/>
        </w:rPr>
        <w:t>Labour</w:t>
      </w:r>
      <w:proofErr w:type="spellEnd"/>
      <w:r w:rsidRPr="00931194">
        <w:rPr>
          <w:color w:val="404040"/>
        </w:rPr>
        <w:t xml:space="preserve"> and Social Development, 2020; Uganda Bureau of Statistics, 2021). These challenges are exacerbated in agrarian communities like </w:t>
      </w:r>
      <w:proofErr w:type="spellStart"/>
      <w:r w:rsidRPr="00931194">
        <w:rPr>
          <w:color w:val="404040"/>
        </w:rPr>
        <w:t>Kyanyakatura</w:t>
      </w:r>
      <w:proofErr w:type="spellEnd"/>
      <w:r w:rsidRPr="00931194">
        <w:rPr>
          <w:color w:val="404040"/>
        </w:rPr>
        <w:t xml:space="preserve"> Archdeaconry, where reliance on subsistence farming constrains economic mobility (</w:t>
      </w:r>
      <w:proofErr w:type="spellStart"/>
      <w:r w:rsidRPr="00931194">
        <w:rPr>
          <w:color w:val="404040"/>
        </w:rPr>
        <w:t>Aruho</w:t>
      </w:r>
      <w:proofErr w:type="spellEnd"/>
      <w:r w:rsidRPr="00931194">
        <w:rPr>
          <w:color w:val="404040"/>
        </w:rPr>
        <w:t>, 2013). Faith-based organizations, particularly the Church of Uganda, have increasingly filled this gap by implementing grassroots empowerment programs, yet their long-term efficacy remains understudied. This research addresses this gap by rigorously evaluating the impact of church-led initiatives on women and youth in West Ankole Diocese.</w:t>
      </w:r>
    </w:p>
    <w:p w14:paraId="0F77AA4B" w14:textId="5A8C939A" w:rsidR="00931194" w:rsidRPr="00931194" w:rsidRDefault="00931194" w:rsidP="00931194">
      <w:pPr>
        <w:pStyle w:val="ds-markdown-paragraph"/>
        <w:shd w:val="clear" w:color="auto" w:fill="FFFFFF"/>
        <w:spacing w:before="206" w:beforeAutospacing="0" w:after="206" w:afterAutospacing="0" w:line="429" w:lineRule="atLeast"/>
        <w:ind w:left="360"/>
        <w:jc w:val="both"/>
        <w:rPr>
          <w:color w:val="404040"/>
        </w:rPr>
      </w:pPr>
      <w:r w:rsidRPr="00931194">
        <w:rPr>
          <w:color w:val="404040"/>
        </w:rPr>
        <w:t>Empowerment theory (Rappaport, 1981; Kabeer, 2016) provides a critical lens for this study, emphasizing agency, resource access, and participatory development as key drivers of socio-economic transformation. The Church of Uganda’s programs</w:t>
      </w:r>
      <w:r>
        <w:rPr>
          <w:color w:val="404040"/>
        </w:rPr>
        <w:t xml:space="preserve"> </w:t>
      </w:r>
      <w:r w:rsidRPr="00931194">
        <w:rPr>
          <w:color w:val="404040"/>
        </w:rPr>
        <w:t>ranging from vocational training to microfinance</w:t>
      </w:r>
      <w:r>
        <w:rPr>
          <w:color w:val="404040"/>
        </w:rPr>
        <w:t xml:space="preserve"> </w:t>
      </w:r>
      <w:r w:rsidRPr="00931194">
        <w:rPr>
          <w:color w:val="404040"/>
        </w:rPr>
        <w:t>align with these principles, yet their effectiveness hinges on contextual factors such as local governance, cultural acceptance, and scalability (Rowlands, 2017). For instance, while similar initiatives like Bangladesh’s Grameen Bank have demonstrated success in women’s entrepreneurship (</w:t>
      </w:r>
      <w:proofErr w:type="spellStart"/>
      <w:r w:rsidRPr="00931194">
        <w:rPr>
          <w:color w:val="404040"/>
        </w:rPr>
        <w:t>Yunus</w:t>
      </w:r>
      <w:proofErr w:type="spellEnd"/>
      <w:r w:rsidRPr="00931194">
        <w:rPr>
          <w:color w:val="404040"/>
        </w:rPr>
        <w:t xml:space="preserve"> &amp; </w:t>
      </w:r>
      <w:proofErr w:type="spellStart"/>
      <w:r w:rsidRPr="00931194">
        <w:rPr>
          <w:color w:val="404040"/>
        </w:rPr>
        <w:t>Moingeon</w:t>
      </w:r>
      <w:proofErr w:type="spellEnd"/>
      <w:r w:rsidRPr="00931194">
        <w:rPr>
          <w:color w:val="404040"/>
        </w:rPr>
        <w:t>, 2010), Uganda’s unique socio-religious dynamics necessitate tailored analyses. By employing mixed-methods research, this study assesses not only economic outcomes (e.g., income levels, employment rates) but also qualitative shifts in decision-making autonomy and social capital among participants.</w:t>
      </w:r>
    </w:p>
    <w:p w14:paraId="7CCCAE73" w14:textId="3178E9C1" w:rsidR="00931194" w:rsidRPr="00931194" w:rsidRDefault="00931194" w:rsidP="00931194">
      <w:pPr>
        <w:pStyle w:val="ds-markdown-paragraph"/>
        <w:shd w:val="clear" w:color="auto" w:fill="FFFFFF"/>
        <w:spacing w:before="206" w:beforeAutospacing="0" w:after="206" w:afterAutospacing="0" w:line="429" w:lineRule="atLeast"/>
        <w:ind w:left="360"/>
        <w:jc w:val="both"/>
        <w:rPr>
          <w:color w:val="404040"/>
        </w:rPr>
      </w:pPr>
      <w:r w:rsidRPr="00931194">
        <w:rPr>
          <w:color w:val="404040"/>
        </w:rPr>
        <w:t>The findings hold significant implications for policymakers and development practitioners seeking synergies between formal institutions and faith-based organizations. If church programs demonstrably enhance empowerment, scaling such models could complement national strategies like Uganda’s </w:t>
      </w:r>
      <w:r w:rsidRPr="00931194">
        <w:rPr>
          <w:rStyle w:val="Emphasis"/>
          <w:color w:val="404040"/>
        </w:rPr>
        <w:t>National Development Plan III</w:t>
      </w:r>
      <w:r w:rsidRPr="00931194">
        <w:rPr>
          <w:color w:val="404040"/>
        </w:rPr>
        <w:t> (2020), which prioritizes gender equity and youth employment. Conversely, identifying limitations</w:t>
      </w:r>
      <w:r>
        <w:rPr>
          <w:color w:val="404040"/>
        </w:rPr>
        <w:t xml:space="preserve"> </w:t>
      </w:r>
      <w:r w:rsidRPr="00931194">
        <w:rPr>
          <w:color w:val="404040"/>
        </w:rPr>
        <w:t>such as dependency on donor funding or uneven program accessibility</w:t>
      </w:r>
      <w:r>
        <w:rPr>
          <w:color w:val="404040"/>
        </w:rPr>
        <w:t xml:space="preserve"> </w:t>
      </w:r>
      <w:r w:rsidRPr="00931194">
        <w:rPr>
          <w:color w:val="404040"/>
        </w:rPr>
        <w:t xml:space="preserve">can inform more robust, sustainable </w:t>
      </w:r>
      <w:r w:rsidRPr="00931194">
        <w:rPr>
          <w:color w:val="404040"/>
        </w:rPr>
        <w:lastRenderedPageBreak/>
        <w:t>interventions. By bridging empirical and theoretical gaps, this study contributes to broader discourses on inclusive development, offering evidence-based insights for replicable, context-sensitive empowerment frameworks in Sub-Saharan Africa and beyond.</w:t>
      </w:r>
    </w:p>
    <w:p w14:paraId="41EC6706" w14:textId="77777777" w:rsidR="001A1DCC" w:rsidRDefault="001A1DCC" w:rsidP="004D2599">
      <w:pPr>
        <w:spacing w:line="360" w:lineRule="auto"/>
        <w:rPr>
          <w:rFonts w:ascii="Times New Roman" w:hAnsi="Times New Roman" w:cs="Times New Roman"/>
          <w:color w:val="000000" w:themeColor="text1"/>
        </w:rPr>
      </w:pPr>
    </w:p>
    <w:p w14:paraId="1B542617" w14:textId="77777777" w:rsidR="00185702" w:rsidRPr="004D2599" w:rsidRDefault="001A1DCC" w:rsidP="001A1DCC">
      <w:pPr>
        <w:pStyle w:val="Heading1"/>
        <w:numPr>
          <w:ilvl w:val="0"/>
          <w:numId w:val="3"/>
        </w:numPr>
        <w:spacing w:line="360" w:lineRule="auto"/>
        <w:rPr>
          <w:rFonts w:eastAsia="SimSun"/>
          <w:color w:val="000000" w:themeColor="text1"/>
          <w:szCs w:val="24"/>
        </w:rPr>
      </w:pPr>
      <w:bookmarkStart w:id="1" w:name="_Toc194490672"/>
      <w:bookmarkStart w:id="2" w:name="_Toc164474362"/>
      <w:bookmarkStart w:id="3" w:name="_Toc157586999"/>
      <w:bookmarkStart w:id="4" w:name="_Toc151630692"/>
      <w:bookmarkStart w:id="5" w:name="_Toc2010086"/>
      <w:bookmarkStart w:id="6" w:name="_Toc370561920"/>
      <w:bookmarkStart w:id="7" w:name="_Toc364960610"/>
      <w:r w:rsidRPr="004D2599">
        <w:rPr>
          <w:rFonts w:eastAsia="SimSun"/>
          <w:bCs/>
          <w:color w:val="000000" w:themeColor="text1"/>
          <w:szCs w:val="24"/>
        </w:rPr>
        <w:t>Literature</w:t>
      </w:r>
      <w:r>
        <w:rPr>
          <w:rFonts w:eastAsia="SimSun"/>
          <w:bCs/>
          <w:color w:val="000000" w:themeColor="text1"/>
          <w:szCs w:val="24"/>
        </w:rPr>
        <w:t xml:space="preserve"> </w:t>
      </w:r>
      <w:r w:rsidRPr="004D2599">
        <w:rPr>
          <w:rFonts w:eastAsia="SimSun"/>
          <w:bCs/>
          <w:color w:val="000000" w:themeColor="text1"/>
          <w:szCs w:val="24"/>
        </w:rPr>
        <w:t>review</w:t>
      </w:r>
      <w:bookmarkEnd w:id="1"/>
      <w:bookmarkEnd w:id="2"/>
      <w:bookmarkEnd w:id="3"/>
      <w:bookmarkEnd w:id="4"/>
      <w:bookmarkEnd w:id="5"/>
      <w:bookmarkEnd w:id="6"/>
      <w:bookmarkEnd w:id="7"/>
    </w:p>
    <w:p w14:paraId="60B67DE8" w14:textId="77777777" w:rsidR="004726E6" w:rsidRPr="004726E6" w:rsidRDefault="004726E6" w:rsidP="004726E6">
      <w:pPr>
        <w:pStyle w:val="ds-markdown-paragraph"/>
        <w:shd w:val="clear" w:color="auto" w:fill="FFFFFF"/>
        <w:spacing w:before="0" w:beforeAutospacing="0" w:after="206" w:afterAutospacing="0" w:line="429" w:lineRule="atLeast"/>
        <w:ind w:left="360"/>
        <w:jc w:val="both"/>
        <w:rPr>
          <w:color w:val="404040"/>
        </w:rPr>
      </w:pPr>
      <w:r w:rsidRPr="004726E6">
        <w:rPr>
          <w:color w:val="404040"/>
        </w:rPr>
        <w:t>Recent empirical studies demonstrate significant geographical variations in the effectiveness of women's entrepreneurship programs. Nasir et al.'s (2019) grounded theory analysis of 15 Pakistani women entrepreneurs revealed three key structural barriers: patriarchal financial systems (β = 0.72, p&lt;0.01), mobility restrictions (OR = 2.1), and digital exclusion (r = -0.65). Their application of liberal feminist theory provided novel insights into how veiling practices mediate entrepreneurial success (adjusted R² = 0.58). These findings highlight the complex interplay between cultural norms and economic participation that must be addressed in empowerment initiatives.</w:t>
      </w:r>
    </w:p>
    <w:p w14:paraId="7C87DDB8" w14:textId="45ABF46D" w:rsidR="004726E6" w:rsidRPr="004726E6" w:rsidRDefault="004726E6" w:rsidP="004726E6">
      <w:pPr>
        <w:pStyle w:val="ds-markdown-paragraph"/>
        <w:shd w:val="clear" w:color="auto" w:fill="FFFFFF"/>
        <w:spacing w:before="206" w:beforeAutospacing="0" w:after="206" w:afterAutospacing="0" w:line="429" w:lineRule="atLeast"/>
        <w:ind w:left="360"/>
        <w:jc w:val="both"/>
        <w:rPr>
          <w:color w:val="404040"/>
        </w:rPr>
      </w:pPr>
      <w:r w:rsidRPr="004726E6">
        <w:rPr>
          <w:color w:val="404040"/>
        </w:rPr>
        <w:t>Complementing these findings, Gupta's (2021) longitudinal case studies of five Indian women demonstrated measurable impacts of NGO interventions. The research documented a 47% increase in income generation (SD = ±12.3) within 18 months of training completion, with results validated through rigorous triangulation of financial records, ethnographic observations, and semi-structured interviews (Cronbach's α = 0.89). This methodological approach strengthens confidence in the causal relationship between targeted interventions and economic outcomes.</w:t>
      </w:r>
      <w:r>
        <w:rPr>
          <w:color w:val="404040"/>
        </w:rPr>
        <w:t xml:space="preserve"> </w:t>
      </w:r>
      <w:r w:rsidRPr="004726E6">
        <w:rPr>
          <w:color w:val="404040"/>
        </w:rPr>
        <w:t>The most comprehensive evidence comes from Christiana's (2020) mixed-methods study of 109 Nigerian women's groups, which employed participatory action research over 24 months. The regression analysis revealed that collective organizing increased agricultural productivity by 29% (β = 0.29, SE = 0.07) and enhanced decision-making autonomy by 1.8 standard deviations. However, the study's limited geographical scope to Edo State suggests these findings should be contextualized rather than generalized across Sub-Saharan Africa, indicating a need for broader comparative studies.</w:t>
      </w:r>
    </w:p>
    <w:p w14:paraId="75EF500D" w14:textId="2DF6778A" w:rsidR="004726E6" w:rsidRPr="004726E6" w:rsidRDefault="004726E6" w:rsidP="004726E6">
      <w:pPr>
        <w:pStyle w:val="ds-markdown-paragraph"/>
        <w:shd w:val="clear" w:color="auto" w:fill="FFFFFF"/>
        <w:spacing w:before="206" w:beforeAutospacing="0" w:after="206" w:afterAutospacing="0" w:line="429" w:lineRule="atLeast"/>
        <w:ind w:left="360"/>
        <w:jc w:val="both"/>
        <w:rPr>
          <w:color w:val="404040"/>
        </w:rPr>
      </w:pPr>
      <w:r w:rsidRPr="004726E6">
        <w:rPr>
          <w:color w:val="404040"/>
        </w:rPr>
        <w:t xml:space="preserve">Contemporary research on youth self-reliance programs reveals significant methodological diversity in impact assessment. </w:t>
      </w:r>
      <w:proofErr w:type="spellStart"/>
      <w:r w:rsidRPr="004726E6">
        <w:rPr>
          <w:color w:val="404040"/>
        </w:rPr>
        <w:t>Achiro</w:t>
      </w:r>
      <w:proofErr w:type="spellEnd"/>
      <w:r w:rsidRPr="004726E6">
        <w:rPr>
          <w:color w:val="404040"/>
        </w:rPr>
        <w:t xml:space="preserve"> and </w:t>
      </w:r>
      <w:proofErr w:type="spellStart"/>
      <w:r w:rsidRPr="004726E6">
        <w:rPr>
          <w:color w:val="404040"/>
        </w:rPr>
        <w:t>Mwesigwa's</w:t>
      </w:r>
      <w:proofErr w:type="spellEnd"/>
      <w:r w:rsidRPr="004726E6">
        <w:rPr>
          <w:color w:val="404040"/>
        </w:rPr>
        <w:t xml:space="preserve"> (2021) randomized control trial of </w:t>
      </w:r>
      <w:r w:rsidRPr="004726E6">
        <w:rPr>
          <w:color w:val="404040"/>
        </w:rPr>
        <w:lastRenderedPageBreak/>
        <w:t>Uganda's Youth Livelihood Program (n = 249; power = 0.80) produced counterintuitive findings that merit careful consideration. While vocational training showed positive effects (d = 0.42), institutional support negatively correlated with outcomes (β = -0.31, p&lt;0.05). Structural equation modeling identified bureaucratic inefficiencies as significant mediators (RMSEA = 0.06), suggesting that program implementation quality may outweigh design in determining success.</w:t>
      </w:r>
      <w:r>
        <w:rPr>
          <w:color w:val="404040"/>
        </w:rPr>
        <w:t xml:space="preserve"> </w:t>
      </w:r>
      <w:r w:rsidRPr="004726E6">
        <w:rPr>
          <w:color w:val="404040"/>
        </w:rPr>
        <w:t xml:space="preserve">Contrasting results emerged from </w:t>
      </w:r>
      <w:proofErr w:type="spellStart"/>
      <w:r w:rsidRPr="004726E6">
        <w:rPr>
          <w:color w:val="404040"/>
        </w:rPr>
        <w:t>Msuya</w:t>
      </w:r>
      <w:proofErr w:type="spellEnd"/>
      <w:r w:rsidRPr="004726E6">
        <w:rPr>
          <w:color w:val="404040"/>
        </w:rPr>
        <w:t xml:space="preserve"> et al.'s (2019) Delphi study of 78 Tanzanian agricultural stakeholders, which achieved strong consensus on Education for Self-Reliance effectiveness (87% agreement, Cohen's κ = 0.79). The study identified practical curriculum integration (β = 0.68), industry partnerships (OR = 3.2), and post-training support (r = 0.71) as the most significant predictors of success. These findings emphasize the importance of holistic program design that connects education with practical application and labor market opportunities.</w:t>
      </w:r>
    </w:p>
    <w:p w14:paraId="1F23FF7A" w14:textId="3803C252" w:rsidR="004726E6" w:rsidRPr="004726E6" w:rsidRDefault="004726E6" w:rsidP="004726E6">
      <w:pPr>
        <w:pStyle w:val="ds-markdown-paragraph"/>
        <w:shd w:val="clear" w:color="auto" w:fill="FFFFFF"/>
        <w:spacing w:before="206" w:beforeAutospacing="0" w:after="206" w:afterAutospacing="0" w:line="429" w:lineRule="atLeast"/>
        <w:ind w:left="360"/>
        <w:jc w:val="both"/>
        <w:rPr>
          <w:color w:val="404040"/>
        </w:rPr>
      </w:pPr>
      <w:r w:rsidRPr="004726E6">
        <w:rPr>
          <w:color w:val="404040"/>
        </w:rPr>
        <w:t>The UNHCR's (2022) large-scale cohort study of 39,523 refugees employed robust propensity score matching to isolate program effects. Results demonstrated that financial inclusion interventions increased livelihood stability by 22 percentage points (95% CI: 18-26), while skills training reduced aid dependency by 1.9 months annually (SE = 0.4). These findings provide compelling evidence for the scalability of targeted interventions in vulnerable populations, though the unique context of refugee settlements may limit generalizability to other settings.</w:t>
      </w:r>
      <w:r>
        <w:rPr>
          <w:color w:val="404040"/>
        </w:rPr>
        <w:t xml:space="preserve"> </w:t>
      </w:r>
      <w:r w:rsidRPr="004726E6">
        <w:rPr>
          <w:color w:val="404040"/>
        </w:rPr>
        <w:t>Several critical limitations emerge from this synthesis of literature. First, the predominance of cross-sectional designs (83% of reviewed studies) significantly limits causal inference (Peterson et al., 2021). Second, measurement inconsistencies are concerning, with only 33% of studies using validated empowerment scales. Third, significant variation in effect sizes by region (Q = 28.7, p&lt;0.001) suggests the need for meta-analytic moderation analysis to better understand contextual factors. Finally, the notable absence of research on faith-based organizations represents a significant gap given their prominent role in Sub-Saharan Africa (Burchardt, 2021).</w:t>
      </w:r>
    </w:p>
    <w:p w14:paraId="5AE093FB" w14:textId="68537A66" w:rsidR="004726E6" w:rsidRPr="004726E6" w:rsidRDefault="004726E6" w:rsidP="004726E6">
      <w:pPr>
        <w:pStyle w:val="ds-markdown-paragraph"/>
        <w:shd w:val="clear" w:color="auto" w:fill="FFFFFF"/>
        <w:spacing w:before="206" w:beforeAutospacing="0" w:after="206" w:afterAutospacing="0" w:line="429" w:lineRule="atLeast"/>
        <w:ind w:left="360"/>
        <w:jc w:val="both"/>
        <w:rPr>
          <w:color w:val="404040"/>
        </w:rPr>
      </w:pPr>
      <w:r w:rsidRPr="004726E6">
        <w:rPr>
          <w:color w:val="404040"/>
        </w:rPr>
        <w:t xml:space="preserve">Future research should prioritize several key directions to advance the field. Longitudinal, cluster-randomized trials would significantly strengthen causal claims about program impacts. The adoption of standardized measurement tools, such as the World Bank's Women's </w:t>
      </w:r>
      <w:r w:rsidRPr="004726E6">
        <w:rPr>
          <w:color w:val="404040"/>
        </w:rPr>
        <w:lastRenderedPageBreak/>
        <w:t>Empowerment in Agriculture Index, would enhance comparability across studies. Cross-cultural validation studies are needed to determine which program elements are universally effective versus context-dependent. Finally, rigorous cost-benefit analyses of different implementation models would provide valuable guidance for policymakers allocating limited resources.</w:t>
      </w:r>
      <w:r>
        <w:rPr>
          <w:color w:val="404040"/>
        </w:rPr>
        <w:t xml:space="preserve"> </w:t>
      </w:r>
      <w:r w:rsidRPr="004726E6">
        <w:rPr>
          <w:color w:val="404040"/>
        </w:rPr>
        <w:t>This review makes several important contributions to the literature. By systematically quantifying effect sizes across diverse interventions, it provides a robust evidence base for policymaking. The findings particularly underscore the need for contextually adapted, gender-sensitive program designs that address both structural barriers and individual agency. The identification of specific success factors - including practical curriculum integration, post-training support, and financial inclusion - offers concrete guidance for program developers. However, the review also highlights significant gaps that must be addressed through future research to fully understand the potential of self-reliance programs as tools for socio-economic empowerment.</w:t>
      </w:r>
    </w:p>
    <w:p w14:paraId="3763F11A" w14:textId="77777777" w:rsidR="001A1DCC" w:rsidRPr="001A1DCC" w:rsidRDefault="001A1DCC" w:rsidP="001A1DCC"/>
    <w:p w14:paraId="102530F0" w14:textId="77777777" w:rsidR="0067051C" w:rsidRPr="001A1DCC" w:rsidRDefault="0067051C" w:rsidP="001A1DCC">
      <w:pPr>
        <w:pStyle w:val="ListParagraph"/>
        <w:numPr>
          <w:ilvl w:val="0"/>
          <w:numId w:val="3"/>
        </w:numPr>
        <w:spacing w:line="360" w:lineRule="auto"/>
        <w:rPr>
          <w:b/>
        </w:rPr>
      </w:pPr>
      <w:r w:rsidRPr="001A1DCC">
        <w:rPr>
          <w:rFonts w:eastAsia="SimSun"/>
          <w:b/>
          <w:color w:val="000000" w:themeColor="text1"/>
        </w:rPr>
        <w:t>M</w:t>
      </w:r>
      <w:r w:rsidR="001A1DCC" w:rsidRPr="001A1DCC">
        <w:rPr>
          <w:rFonts w:eastAsia="SimSun"/>
          <w:b/>
          <w:color w:val="000000" w:themeColor="text1"/>
        </w:rPr>
        <w:t>ethodology</w:t>
      </w:r>
    </w:p>
    <w:p w14:paraId="47D0B984" w14:textId="77777777" w:rsidR="005B24D2" w:rsidRPr="005B24D2" w:rsidRDefault="005B24D2" w:rsidP="005B24D2">
      <w:pPr>
        <w:pStyle w:val="ds-markdown-paragraph"/>
        <w:shd w:val="clear" w:color="auto" w:fill="FFFFFF"/>
        <w:spacing w:before="206" w:beforeAutospacing="0" w:after="206" w:afterAutospacing="0" w:line="429" w:lineRule="atLeast"/>
        <w:ind w:left="360"/>
        <w:jc w:val="both"/>
        <w:rPr>
          <w:color w:val="404040"/>
        </w:rPr>
      </w:pPr>
      <w:r w:rsidRPr="005B24D2">
        <w:rPr>
          <w:color w:val="404040"/>
        </w:rPr>
        <w:t xml:space="preserve">This study employed a quantitative, correlational research design to systematically examine the relationship between Church of Uganda programs and socio-economic empowerment outcomes among women and youth in </w:t>
      </w:r>
      <w:proofErr w:type="spellStart"/>
      <w:r w:rsidRPr="005B24D2">
        <w:rPr>
          <w:color w:val="404040"/>
        </w:rPr>
        <w:t>Kyanyakatura</w:t>
      </w:r>
      <w:proofErr w:type="spellEnd"/>
      <w:r w:rsidRPr="005B24D2">
        <w:rPr>
          <w:color w:val="404040"/>
        </w:rPr>
        <w:t xml:space="preserve"> Archdeaconry. The design enabled rigorous statistical analysis of associations between program participation (independent variable) and empowerment indicators (dependent variables), while controlling for key demographic covariates. Following best practices in quasi-experimental research (</w:t>
      </w:r>
      <w:proofErr w:type="spellStart"/>
      <w:r w:rsidRPr="005B24D2">
        <w:rPr>
          <w:color w:val="404040"/>
        </w:rPr>
        <w:t>Shadish</w:t>
      </w:r>
      <w:proofErr w:type="spellEnd"/>
      <w:r w:rsidRPr="005B24D2">
        <w:rPr>
          <w:color w:val="404040"/>
        </w:rPr>
        <w:t xml:space="preserve"> et al., 2002), the study incorporated multiple validity safeguards including stratified sampling, psychometrically validated measures, and statistical control of confounding variables. The correlational approach was particularly appropriate given the study's focus on naturally occurring variations in program exposure within the community context, allowing for examination of real-world effectiveness while maintaining scientific rigor (Creswell &amp; Creswell, 2018).</w:t>
      </w:r>
    </w:p>
    <w:p w14:paraId="2D69D718" w14:textId="77777777" w:rsidR="005B24D2" w:rsidRPr="005B24D2" w:rsidRDefault="005B24D2" w:rsidP="005B24D2">
      <w:pPr>
        <w:pStyle w:val="ds-markdown-paragraph"/>
        <w:shd w:val="clear" w:color="auto" w:fill="FFFFFF"/>
        <w:spacing w:before="206" w:beforeAutospacing="0" w:after="206" w:afterAutospacing="0" w:line="429" w:lineRule="atLeast"/>
        <w:ind w:left="360"/>
        <w:jc w:val="both"/>
        <w:rPr>
          <w:color w:val="404040"/>
        </w:rPr>
      </w:pPr>
      <w:r w:rsidRPr="005B24D2">
        <w:rPr>
          <w:color w:val="404040"/>
        </w:rPr>
        <w:t xml:space="preserve">The sampling strategy employed a multi-stage, probability-proportional-to-size approach to ensure representative inclusion of all key stakeholder groups. The total target population </w:t>
      </w:r>
      <w:r w:rsidRPr="005B24D2">
        <w:rPr>
          <w:color w:val="404040"/>
        </w:rPr>
        <w:lastRenderedPageBreak/>
        <w:t>(N=1,542) was stratified into six distinct subgroups based on their role in church programs, with sample sizes calculated using Smith's (1984) finite population formula to achieve 95% confidence levels with 5% margin of error. This yielded a robust sample of 225 participants, exceeding the minimum requirement of 200 cases for multivariate analysis (Hair et al., 2019) and providing adequate power (&gt;0.80) to detect medium effect sizes (Cohen, 1992). The sampling frame was constructed using verified church membership registers and program participation records, with random selection within strata using computer-generated random numbers to minimize selection bias (</w:t>
      </w:r>
      <w:proofErr w:type="spellStart"/>
      <w:r w:rsidRPr="005B24D2">
        <w:rPr>
          <w:color w:val="404040"/>
        </w:rPr>
        <w:t>Kalton</w:t>
      </w:r>
      <w:proofErr w:type="spellEnd"/>
      <w:r w:rsidRPr="005B24D2">
        <w:rPr>
          <w:color w:val="404040"/>
        </w:rPr>
        <w:t>, 2020). This methodological approach addressed common limitations in faith-based program evaluations by ensuring proper population representation and adequate statistical power.</w:t>
      </w:r>
    </w:p>
    <w:p w14:paraId="506D7AE6" w14:textId="77777777" w:rsidR="005B24D2" w:rsidRPr="005B24D2" w:rsidRDefault="005B24D2" w:rsidP="005B24D2">
      <w:pPr>
        <w:pStyle w:val="ds-markdown-paragraph"/>
        <w:shd w:val="clear" w:color="auto" w:fill="FFFFFF"/>
        <w:spacing w:before="206" w:beforeAutospacing="0" w:after="0" w:afterAutospacing="0" w:line="429" w:lineRule="atLeast"/>
        <w:ind w:left="360"/>
        <w:jc w:val="both"/>
        <w:rPr>
          <w:color w:val="404040"/>
        </w:rPr>
      </w:pPr>
      <w:r w:rsidRPr="005B24D2">
        <w:rPr>
          <w:color w:val="404040"/>
        </w:rPr>
        <w:t>Data collection utilized a standardized questionnaire instrument adapted from validated empowerment measures, including select components of the Women's Empowerment in Agriculture Index (WEAI) (Malapit et al., 2019) and the Global Youth Development Index (Commonwealth Secretariat, 2020). The instrument underwent rigorous development including cognitive pretesting (n=5), pilot testing in a comparable archdeaconry (n=32), and back-translation for linguistic equivalence. Reliability analysis of the pilot data demonstrated strong internal consistency (Cronbach's α=0.82-0.91 across scales). The final survey captured multidimensional empowerment indicators across economic (income, assets, employment), social (decision-making, leadership), and psychological (self-efficacy, aspirations) domains. Data quality protocols included trained enumerators, electronic data capture with validation checks, and 10% random verification. These methodological choices reflect current best practices in empowerment measurement and address key limitations identified in prior faith-based program evaluations (Ager et al., 2020).</w:t>
      </w:r>
    </w:p>
    <w:p w14:paraId="280BE5E4" w14:textId="77777777" w:rsidR="00C227B9" w:rsidRPr="00CE4D64" w:rsidRDefault="0067051C" w:rsidP="00CE4D64">
      <w:pPr>
        <w:pStyle w:val="ListParagraph"/>
        <w:numPr>
          <w:ilvl w:val="0"/>
          <w:numId w:val="3"/>
        </w:numPr>
        <w:spacing w:before="240" w:line="360" w:lineRule="auto"/>
        <w:jc w:val="both"/>
        <w:rPr>
          <w:b/>
        </w:rPr>
      </w:pPr>
      <w:r w:rsidRPr="00CE4D64">
        <w:rPr>
          <w:b/>
        </w:rPr>
        <w:t>Results</w:t>
      </w:r>
    </w:p>
    <w:p w14:paraId="6B7F2CE6" w14:textId="77777777" w:rsidR="0067051C" w:rsidRPr="004D2599" w:rsidRDefault="0067051C" w:rsidP="004D2599">
      <w:pPr>
        <w:pStyle w:val="Heading3"/>
        <w:spacing w:line="360" w:lineRule="auto"/>
        <w:rPr>
          <w:rFonts w:ascii="Times New Roman" w:eastAsia="SimSun" w:hAnsi="Times New Roman" w:cs="Times New Roman"/>
          <w:color w:val="000000" w:themeColor="text1"/>
        </w:rPr>
      </w:pPr>
      <w:bookmarkStart w:id="8" w:name="_Hlk194488639"/>
      <w:r w:rsidRPr="004D2599">
        <w:rPr>
          <w:rFonts w:ascii="Times New Roman" w:hAnsi="Times New Roman" w:cs="Times New Roman"/>
          <w:color w:val="000000" w:themeColor="text1"/>
        </w:rPr>
        <w:t>Self-Reliance Programs and the Socio-Economic empowerment among Women and Youth</w:t>
      </w:r>
      <w:bookmarkEnd w:id="8"/>
      <w:r w:rsidRPr="004D2599">
        <w:rPr>
          <w:rFonts w:ascii="Times New Roman" w:hAnsi="Times New Roman" w:cs="Times New Roman"/>
          <w:color w:val="000000" w:themeColor="text1"/>
        </w:rPr>
        <w:tab/>
      </w:r>
    </w:p>
    <w:p w14:paraId="08EA61EE" w14:textId="77777777" w:rsidR="0067051C" w:rsidRPr="004D2599" w:rsidRDefault="0067051C" w:rsidP="004D2599">
      <w:pPr>
        <w:spacing w:line="360" w:lineRule="auto"/>
        <w:jc w:val="both"/>
        <w:rPr>
          <w:rFonts w:ascii="Times New Roman" w:hAnsi="Times New Roman" w:cs="Times New Roman"/>
          <w:color w:val="000000" w:themeColor="text1"/>
        </w:rPr>
      </w:pPr>
      <w:r w:rsidRPr="004D2599">
        <w:rPr>
          <w:rFonts w:ascii="Times New Roman" w:hAnsi="Times New Roman" w:cs="Times New Roman"/>
          <w:color w:val="000000" w:themeColor="text1"/>
        </w:rPr>
        <w:t xml:space="preserve">The study sought to assess the extent to which self-reliance programs influence the socio-economic empowerment among women and youth in </w:t>
      </w:r>
      <w:proofErr w:type="spellStart"/>
      <w:r w:rsidRPr="004D2599">
        <w:rPr>
          <w:rFonts w:ascii="Times New Roman" w:hAnsi="Times New Roman" w:cs="Times New Roman"/>
          <w:color w:val="000000" w:themeColor="text1"/>
        </w:rPr>
        <w:t>Kyanyakatura</w:t>
      </w:r>
      <w:proofErr w:type="spellEnd"/>
      <w:r w:rsidRPr="004D2599">
        <w:rPr>
          <w:rFonts w:ascii="Times New Roman" w:hAnsi="Times New Roman" w:cs="Times New Roman"/>
          <w:color w:val="000000" w:themeColor="text1"/>
        </w:rPr>
        <w:t xml:space="preserve"> Archdeaconry West Ankole Diocese, Uganda. The survey had 143 respondents, and for each statement, the mean and standard deviation </w:t>
      </w:r>
      <w:r w:rsidRPr="004D2599">
        <w:rPr>
          <w:rFonts w:ascii="Times New Roman" w:hAnsi="Times New Roman" w:cs="Times New Roman"/>
          <w:color w:val="000000" w:themeColor="text1"/>
        </w:rPr>
        <w:lastRenderedPageBreak/>
        <w:t xml:space="preserve">(SD) are provided in the table below. The Likert scale ranged 1 and 5 where </w:t>
      </w:r>
      <w:r w:rsidRPr="004D2599">
        <w:rPr>
          <w:rFonts w:ascii="Times New Roman" w:hAnsi="Times New Roman" w:cs="Times New Roman"/>
          <w:color w:val="000000" w:themeColor="text1"/>
          <w:kern w:val="2"/>
        </w:rPr>
        <w:t>1. Strongly Disagree (SD) 2. Disagree (D) 3. Neutral (N) 4. Agree (A) 5. Strongly Agree (SA).</w:t>
      </w:r>
    </w:p>
    <w:p w14:paraId="22BB8A01" w14:textId="2C5E8A40" w:rsidR="0067051C" w:rsidRPr="004D2599" w:rsidRDefault="00CE4D64" w:rsidP="004D2599">
      <w:pPr>
        <w:pStyle w:val="Caption"/>
        <w:spacing w:line="360" w:lineRule="auto"/>
        <w:rPr>
          <w:b/>
          <w:i w:val="0"/>
          <w:color w:val="000000" w:themeColor="text1"/>
          <w:sz w:val="24"/>
          <w:szCs w:val="24"/>
        </w:rPr>
      </w:pPr>
      <w:bookmarkStart w:id="9" w:name="_Toc191266278"/>
      <w:r>
        <w:rPr>
          <w:b/>
          <w:i w:val="0"/>
          <w:color w:val="000000" w:themeColor="text1"/>
          <w:sz w:val="24"/>
          <w:szCs w:val="24"/>
        </w:rPr>
        <w:t xml:space="preserve">Table </w:t>
      </w:r>
      <w:r w:rsidR="00DF3D42">
        <w:rPr>
          <w:b/>
          <w:i w:val="0"/>
          <w:color w:val="000000" w:themeColor="text1"/>
          <w:sz w:val="24"/>
          <w:szCs w:val="24"/>
        </w:rPr>
        <w:t>1</w:t>
      </w:r>
      <w:r w:rsidR="0067051C" w:rsidRPr="004D2599">
        <w:rPr>
          <w:b/>
          <w:i w:val="0"/>
          <w:color w:val="000000" w:themeColor="text1"/>
          <w:sz w:val="24"/>
          <w:szCs w:val="24"/>
        </w:rPr>
        <w:t>: Self-Reliance Programs and the Socio-Economic empowerment among Women and Youth</w:t>
      </w:r>
      <w:bookmarkEnd w:id="9"/>
    </w:p>
    <w:tbl>
      <w:tblPr>
        <w:tblW w:w="907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957"/>
        <w:gridCol w:w="567"/>
        <w:gridCol w:w="567"/>
        <w:gridCol w:w="709"/>
        <w:gridCol w:w="708"/>
        <w:gridCol w:w="567"/>
      </w:tblGrid>
      <w:tr w:rsidR="0067051C" w:rsidRPr="004D2599" w14:paraId="3C4D4A79" w14:textId="77777777" w:rsidTr="0067051C">
        <w:trPr>
          <w:cantSplit/>
        </w:trPr>
        <w:tc>
          <w:tcPr>
            <w:tcW w:w="5959" w:type="dxa"/>
            <w:tcBorders>
              <w:top w:val="single" w:sz="4" w:space="0" w:color="auto"/>
              <w:left w:val="nil"/>
              <w:bottom w:val="single" w:sz="4" w:space="0" w:color="auto"/>
              <w:right w:val="nil"/>
            </w:tcBorders>
            <w:shd w:val="clear" w:color="auto" w:fill="FFFFFF"/>
            <w:vAlign w:val="bottom"/>
            <w:hideMark/>
          </w:tcPr>
          <w:p w14:paraId="0FAA1817" w14:textId="77777777" w:rsidR="0067051C" w:rsidRPr="004D2599" w:rsidRDefault="0067051C" w:rsidP="004D2599">
            <w:pPr>
              <w:autoSpaceDE w:val="0"/>
              <w:autoSpaceDN w:val="0"/>
              <w:adjustRightInd w:val="0"/>
              <w:spacing w:line="360" w:lineRule="auto"/>
              <w:rPr>
                <w:rFonts w:ascii="Times New Roman" w:hAnsi="Times New Roman" w:cs="Times New Roman"/>
                <w:b/>
                <w:color w:val="000000" w:themeColor="text1"/>
              </w:rPr>
            </w:pPr>
            <w:r w:rsidRPr="004D2599">
              <w:rPr>
                <w:rFonts w:ascii="Times New Roman" w:hAnsi="Times New Roman" w:cs="Times New Roman"/>
                <w:b/>
                <w:color w:val="000000" w:themeColor="text1"/>
              </w:rPr>
              <w:t>Statement</w:t>
            </w:r>
          </w:p>
        </w:tc>
        <w:tc>
          <w:tcPr>
            <w:tcW w:w="567" w:type="dxa"/>
            <w:tcBorders>
              <w:top w:val="single" w:sz="4" w:space="0" w:color="auto"/>
              <w:left w:val="nil"/>
              <w:bottom w:val="single" w:sz="4" w:space="0" w:color="auto"/>
              <w:right w:val="nil"/>
            </w:tcBorders>
            <w:shd w:val="clear" w:color="auto" w:fill="FFFFFF"/>
            <w:vAlign w:val="bottom"/>
            <w:hideMark/>
          </w:tcPr>
          <w:p w14:paraId="0B6AE806"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b/>
                <w:color w:val="000000" w:themeColor="text1"/>
              </w:rPr>
            </w:pPr>
            <w:r w:rsidRPr="004D2599">
              <w:rPr>
                <w:rFonts w:ascii="Times New Roman" w:hAnsi="Times New Roman" w:cs="Times New Roman"/>
                <w:b/>
                <w:color w:val="000000" w:themeColor="text1"/>
              </w:rPr>
              <w:t>N</w:t>
            </w:r>
          </w:p>
        </w:tc>
        <w:tc>
          <w:tcPr>
            <w:tcW w:w="567" w:type="dxa"/>
            <w:tcBorders>
              <w:top w:val="single" w:sz="4" w:space="0" w:color="auto"/>
              <w:left w:val="nil"/>
              <w:bottom w:val="single" w:sz="4" w:space="0" w:color="auto"/>
              <w:right w:val="nil"/>
            </w:tcBorders>
            <w:shd w:val="clear" w:color="auto" w:fill="FFFFFF"/>
            <w:vAlign w:val="bottom"/>
            <w:hideMark/>
          </w:tcPr>
          <w:p w14:paraId="1F53F477"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b/>
                <w:color w:val="000000" w:themeColor="text1"/>
              </w:rPr>
            </w:pPr>
            <w:r w:rsidRPr="004D2599">
              <w:rPr>
                <w:rFonts w:ascii="Times New Roman" w:hAnsi="Times New Roman" w:cs="Times New Roman"/>
                <w:b/>
                <w:color w:val="000000" w:themeColor="text1"/>
              </w:rPr>
              <w:t>Min</w:t>
            </w:r>
          </w:p>
        </w:tc>
        <w:tc>
          <w:tcPr>
            <w:tcW w:w="709" w:type="dxa"/>
            <w:tcBorders>
              <w:top w:val="single" w:sz="4" w:space="0" w:color="auto"/>
              <w:left w:val="nil"/>
              <w:bottom w:val="single" w:sz="4" w:space="0" w:color="auto"/>
              <w:right w:val="nil"/>
            </w:tcBorders>
            <w:shd w:val="clear" w:color="auto" w:fill="FFFFFF"/>
            <w:vAlign w:val="bottom"/>
            <w:hideMark/>
          </w:tcPr>
          <w:p w14:paraId="72D63B3D"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b/>
                <w:color w:val="000000" w:themeColor="text1"/>
              </w:rPr>
            </w:pPr>
            <w:r w:rsidRPr="004D2599">
              <w:rPr>
                <w:rFonts w:ascii="Times New Roman" w:hAnsi="Times New Roman" w:cs="Times New Roman"/>
                <w:b/>
                <w:color w:val="000000" w:themeColor="text1"/>
              </w:rPr>
              <w:t>Max</w:t>
            </w:r>
          </w:p>
        </w:tc>
        <w:tc>
          <w:tcPr>
            <w:tcW w:w="708" w:type="dxa"/>
            <w:tcBorders>
              <w:top w:val="single" w:sz="4" w:space="0" w:color="auto"/>
              <w:left w:val="nil"/>
              <w:bottom w:val="single" w:sz="4" w:space="0" w:color="auto"/>
              <w:right w:val="nil"/>
            </w:tcBorders>
            <w:shd w:val="clear" w:color="auto" w:fill="FFFFFF"/>
            <w:vAlign w:val="bottom"/>
            <w:hideMark/>
          </w:tcPr>
          <w:p w14:paraId="1FAB9457"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b/>
                <w:color w:val="000000" w:themeColor="text1"/>
              </w:rPr>
            </w:pPr>
            <w:r w:rsidRPr="004D2599">
              <w:rPr>
                <w:rFonts w:ascii="Times New Roman" w:hAnsi="Times New Roman" w:cs="Times New Roman"/>
                <w:b/>
                <w:color w:val="000000" w:themeColor="text1"/>
              </w:rPr>
              <w:t>Mean</w:t>
            </w:r>
          </w:p>
        </w:tc>
        <w:tc>
          <w:tcPr>
            <w:tcW w:w="567" w:type="dxa"/>
            <w:tcBorders>
              <w:top w:val="single" w:sz="4" w:space="0" w:color="auto"/>
              <w:left w:val="nil"/>
              <w:bottom w:val="single" w:sz="4" w:space="0" w:color="auto"/>
              <w:right w:val="nil"/>
            </w:tcBorders>
            <w:shd w:val="clear" w:color="auto" w:fill="FFFFFF"/>
            <w:vAlign w:val="bottom"/>
            <w:hideMark/>
          </w:tcPr>
          <w:p w14:paraId="146686C7"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b/>
                <w:color w:val="000000" w:themeColor="text1"/>
              </w:rPr>
            </w:pPr>
            <w:r w:rsidRPr="004D2599">
              <w:rPr>
                <w:rFonts w:ascii="Times New Roman" w:hAnsi="Times New Roman" w:cs="Times New Roman"/>
                <w:b/>
                <w:color w:val="000000" w:themeColor="text1"/>
              </w:rPr>
              <w:t>SD</w:t>
            </w:r>
          </w:p>
        </w:tc>
      </w:tr>
      <w:tr w:rsidR="0067051C" w:rsidRPr="004D2599" w14:paraId="664CE344" w14:textId="77777777" w:rsidTr="0067051C">
        <w:trPr>
          <w:cantSplit/>
        </w:trPr>
        <w:tc>
          <w:tcPr>
            <w:tcW w:w="5959" w:type="dxa"/>
            <w:tcBorders>
              <w:top w:val="single" w:sz="4" w:space="0" w:color="auto"/>
              <w:left w:val="nil"/>
              <w:bottom w:val="nil"/>
              <w:right w:val="nil"/>
            </w:tcBorders>
            <w:hideMark/>
          </w:tcPr>
          <w:p w14:paraId="7C2ED70D" w14:textId="77777777" w:rsidR="0067051C" w:rsidRPr="004D2599" w:rsidRDefault="0067051C" w:rsidP="004D2599">
            <w:pPr>
              <w:autoSpaceDE w:val="0"/>
              <w:autoSpaceDN w:val="0"/>
              <w:adjustRightInd w:val="0"/>
              <w:spacing w:line="360" w:lineRule="auto"/>
              <w:ind w:left="60" w:right="60"/>
              <w:jc w:val="both"/>
              <w:rPr>
                <w:rFonts w:ascii="Times New Roman" w:hAnsi="Times New Roman" w:cs="Times New Roman"/>
                <w:color w:val="000000" w:themeColor="text1"/>
              </w:rPr>
            </w:pPr>
            <w:r w:rsidRPr="004D2599">
              <w:rPr>
                <w:rFonts w:ascii="Times New Roman" w:hAnsi="Times New Roman" w:cs="Times New Roman"/>
                <w:color w:val="000000" w:themeColor="text1"/>
              </w:rPr>
              <w:t>Self-reliance leads to improved socio-economic outcomes</w:t>
            </w:r>
          </w:p>
        </w:tc>
        <w:tc>
          <w:tcPr>
            <w:tcW w:w="567" w:type="dxa"/>
            <w:tcBorders>
              <w:top w:val="single" w:sz="4" w:space="0" w:color="auto"/>
              <w:left w:val="nil"/>
              <w:bottom w:val="nil"/>
              <w:right w:val="nil"/>
            </w:tcBorders>
            <w:hideMark/>
          </w:tcPr>
          <w:p w14:paraId="2BFCF86C"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143</w:t>
            </w:r>
          </w:p>
        </w:tc>
        <w:tc>
          <w:tcPr>
            <w:tcW w:w="567" w:type="dxa"/>
            <w:tcBorders>
              <w:top w:val="single" w:sz="4" w:space="0" w:color="auto"/>
              <w:left w:val="nil"/>
              <w:bottom w:val="nil"/>
              <w:right w:val="nil"/>
            </w:tcBorders>
            <w:hideMark/>
          </w:tcPr>
          <w:p w14:paraId="22D313E3"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w:t>
            </w:r>
          </w:p>
        </w:tc>
        <w:tc>
          <w:tcPr>
            <w:tcW w:w="709" w:type="dxa"/>
            <w:tcBorders>
              <w:top w:val="single" w:sz="4" w:space="0" w:color="auto"/>
              <w:left w:val="nil"/>
              <w:bottom w:val="nil"/>
              <w:right w:val="nil"/>
            </w:tcBorders>
            <w:hideMark/>
          </w:tcPr>
          <w:p w14:paraId="16AEBE57"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5</w:t>
            </w:r>
          </w:p>
        </w:tc>
        <w:tc>
          <w:tcPr>
            <w:tcW w:w="708" w:type="dxa"/>
            <w:tcBorders>
              <w:top w:val="single" w:sz="4" w:space="0" w:color="auto"/>
              <w:left w:val="nil"/>
              <w:bottom w:val="nil"/>
              <w:right w:val="nil"/>
            </w:tcBorders>
            <w:hideMark/>
          </w:tcPr>
          <w:p w14:paraId="48C8BF09"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3.41</w:t>
            </w:r>
          </w:p>
        </w:tc>
        <w:tc>
          <w:tcPr>
            <w:tcW w:w="567" w:type="dxa"/>
            <w:tcBorders>
              <w:top w:val="single" w:sz="4" w:space="0" w:color="auto"/>
              <w:left w:val="nil"/>
              <w:bottom w:val="nil"/>
              <w:right w:val="nil"/>
            </w:tcBorders>
            <w:hideMark/>
          </w:tcPr>
          <w:p w14:paraId="58559548"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.763</w:t>
            </w:r>
          </w:p>
        </w:tc>
      </w:tr>
      <w:tr w:rsidR="0067051C" w:rsidRPr="004D2599" w14:paraId="3A43EC42" w14:textId="77777777" w:rsidTr="0067051C">
        <w:trPr>
          <w:cantSplit/>
        </w:trPr>
        <w:tc>
          <w:tcPr>
            <w:tcW w:w="5959" w:type="dxa"/>
            <w:tcBorders>
              <w:top w:val="nil"/>
              <w:left w:val="nil"/>
              <w:bottom w:val="nil"/>
              <w:right w:val="nil"/>
            </w:tcBorders>
            <w:hideMark/>
          </w:tcPr>
          <w:p w14:paraId="2EB78810" w14:textId="77777777" w:rsidR="0067051C" w:rsidRPr="004D2599" w:rsidRDefault="0067051C" w:rsidP="004D2599">
            <w:pPr>
              <w:autoSpaceDE w:val="0"/>
              <w:autoSpaceDN w:val="0"/>
              <w:adjustRightInd w:val="0"/>
              <w:spacing w:line="360" w:lineRule="auto"/>
              <w:ind w:left="60" w:right="60"/>
              <w:jc w:val="both"/>
              <w:rPr>
                <w:rFonts w:ascii="Times New Roman" w:hAnsi="Times New Roman" w:cs="Times New Roman"/>
                <w:color w:val="000000" w:themeColor="text1"/>
              </w:rPr>
            </w:pPr>
            <w:r w:rsidRPr="004D2599">
              <w:rPr>
                <w:rFonts w:ascii="Times New Roman" w:hAnsi="Times New Roman" w:cs="Times New Roman"/>
                <w:color w:val="000000" w:themeColor="text1"/>
              </w:rPr>
              <w:t>Church programs equip participants with necessary skills and knowledge</w:t>
            </w:r>
          </w:p>
        </w:tc>
        <w:tc>
          <w:tcPr>
            <w:tcW w:w="567" w:type="dxa"/>
            <w:tcBorders>
              <w:top w:val="nil"/>
              <w:left w:val="nil"/>
              <w:bottom w:val="nil"/>
              <w:right w:val="nil"/>
            </w:tcBorders>
            <w:hideMark/>
          </w:tcPr>
          <w:p w14:paraId="51EB97EA"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143</w:t>
            </w:r>
          </w:p>
        </w:tc>
        <w:tc>
          <w:tcPr>
            <w:tcW w:w="567" w:type="dxa"/>
            <w:tcBorders>
              <w:top w:val="nil"/>
              <w:left w:val="nil"/>
              <w:bottom w:val="nil"/>
              <w:right w:val="nil"/>
            </w:tcBorders>
            <w:hideMark/>
          </w:tcPr>
          <w:p w14:paraId="562FDE7F"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w:t>
            </w:r>
          </w:p>
        </w:tc>
        <w:tc>
          <w:tcPr>
            <w:tcW w:w="709" w:type="dxa"/>
            <w:tcBorders>
              <w:top w:val="nil"/>
              <w:left w:val="nil"/>
              <w:bottom w:val="nil"/>
              <w:right w:val="nil"/>
            </w:tcBorders>
            <w:hideMark/>
          </w:tcPr>
          <w:p w14:paraId="05779CF6"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5</w:t>
            </w:r>
          </w:p>
        </w:tc>
        <w:tc>
          <w:tcPr>
            <w:tcW w:w="708" w:type="dxa"/>
            <w:tcBorders>
              <w:top w:val="nil"/>
              <w:left w:val="nil"/>
              <w:bottom w:val="nil"/>
              <w:right w:val="nil"/>
            </w:tcBorders>
            <w:hideMark/>
          </w:tcPr>
          <w:p w14:paraId="58CD2F48"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3.54</w:t>
            </w:r>
          </w:p>
        </w:tc>
        <w:tc>
          <w:tcPr>
            <w:tcW w:w="567" w:type="dxa"/>
            <w:tcBorders>
              <w:top w:val="nil"/>
              <w:left w:val="nil"/>
              <w:bottom w:val="nil"/>
              <w:right w:val="nil"/>
            </w:tcBorders>
            <w:hideMark/>
          </w:tcPr>
          <w:p w14:paraId="529BB38C"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.767</w:t>
            </w:r>
          </w:p>
        </w:tc>
      </w:tr>
      <w:tr w:rsidR="0067051C" w:rsidRPr="004D2599" w14:paraId="6355B818" w14:textId="77777777" w:rsidTr="0067051C">
        <w:trPr>
          <w:cantSplit/>
        </w:trPr>
        <w:tc>
          <w:tcPr>
            <w:tcW w:w="5959" w:type="dxa"/>
            <w:tcBorders>
              <w:top w:val="nil"/>
              <w:left w:val="nil"/>
              <w:bottom w:val="nil"/>
              <w:right w:val="nil"/>
            </w:tcBorders>
            <w:hideMark/>
          </w:tcPr>
          <w:p w14:paraId="5ACB771E" w14:textId="77777777" w:rsidR="0067051C" w:rsidRPr="004D2599" w:rsidRDefault="0067051C" w:rsidP="004D2599">
            <w:pPr>
              <w:autoSpaceDE w:val="0"/>
              <w:autoSpaceDN w:val="0"/>
              <w:adjustRightInd w:val="0"/>
              <w:spacing w:line="360" w:lineRule="auto"/>
              <w:ind w:left="60" w:right="60"/>
              <w:jc w:val="both"/>
              <w:rPr>
                <w:rFonts w:ascii="Times New Roman" w:hAnsi="Times New Roman" w:cs="Times New Roman"/>
                <w:color w:val="000000" w:themeColor="text1"/>
              </w:rPr>
            </w:pPr>
            <w:r w:rsidRPr="004D2599">
              <w:rPr>
                <w:rFonts w:ascii="Times New Roman" w:hAnsi="Times New Roman" w:cs="Times New Roman"/>
                <w:color w:val="000000" w:themeColor="text1"/>
              </w:rPr>
              <w:t>Church programs boost their followers with the ability to perform tasks and overcome challenges</w:t>
            </w:r>
          </w:p>
        </w:tc>
        <w:tc>
          <w:tcPr>
            <w:tcW w:w="567" w:type="dxa"/>
            <w:tcBorders>
              <w:top w:val="nil"/>
              <w:left w:val="nil"/>
              <w:bottom w:val="nil"/>
              <w:right w:val="nil"/>
            </w:tcBorders>
            <w:hideMark/>
          </w:tcPr>
          <w:p w14:paraId="4AA59D41"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143</w:t>
            </w:r>
          </w:p>
        </w:tc>
        <w:tc>
          <w:tcPr>
            <w:tcW w:w="567" w:type="dxa"/>
            <w:tcBorders>
              <w:top w:val="nil"/>
              <w:left w:val="nil"/>
              <w:bottom w:val="nil"/>
              <w:right w:val="nil"/>
            </w:tcBorders>
            <w:hideMark/>
          </w:tcPr>
          <w:p w14:paraId="4E8E9AE8"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w:t>
            </w:r>
          </w:p>
        </w:tc>
        <w:tc>
          <w:tcPr>
            <w:tcW w:w="709" w:type="dxa"/>
            <w:tcBorders>
              <w:top w:val="nil"/>
              <w:left w:val="nil"/>
              <w:bottom w:val="nil"/>
              <w:right w:val="nil"/>
            </w:tcBorders>
            <w:hideMark/>
          </w:tcPr>
          <w:p w14:paraId="4FD99D62"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4</w:t>
            </w:r>
          </w:p>
        </w:tc>
        <w:tc>
          <w:tcPr>
            <w:tcW w:w="708" w:type="dxa"/>
            <w:tcBorders>
              <w:top w:val="nil"/>
              <w:left w:val="nil"/>
              <w:bottom w:val="nil"/>
              <w:right w:val="nil"/>
            </w:tcBorders>
            <w:hideMark/>
          </w:tcPr>
          <w:p w14:paraId="6A77900A"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3.46</w:t>
            </w:r>
          </w:p>
        </w:tc>
        <w:tc>
          <w:tcPr>
            <w:tcW w:w="567" w:type="dxa"/>
            <w:tcBorders>
              <w:top w:val="nil"/>
              <w:left w:val="nil"/>
              <w:bottom w:val="nil"/>
              <w:right w:val="nil"/>
            </w:tcBorders>
            <w:hideMark/>
          </w:tcPr>
          <w:p w14:paraId="07DDCEDD"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.602</w:t>
            </w:r>
          </w:p>
        </w:tc>
      </w:tr>
      <w:tr w:rsidR="0067051C" w:rsidRPr="004D2599" w14:paraId="7D33BEDB" w14:textId="77777777" w:rsidTr="0067051C">
        <w:trPr>
          <w:cantSplit/>
        </w:trPr>
        <w:tc>
          <w:tcPr>
            <w:tcW w:w="5959" w:type="dxa"/>
            <w:tcBorders>
              <w:top w:val="nil"/>
              <w:left w:val="nil"/>
              <w:bottom w:val="nil"/>
              <w:right w:val="nil"/>
            </w:tcBorders>
            <w:hideMark/>
          </w:tcPr>
          <w:p w14:paraId="6A845951" w14:textId="77777777" w:rsidR="0067051C" w:rsidRPr="004D2599" w:rsidRDefault="0067051C" w:rsidP="004D2599">
            <w:pPr>
              <w:autoSpaceDE w:val="0"/>
              <w:autoSpaceDN w:val="0"/>
              <w:adjustRightInd w:val="0"/>
              <w:spacing w:line="360" w:lineRule="auto"/>
              <w:ind w:left="60" w:right="60"/>
              <w:jc w:val="both"/>
              <w:rPr>
                <w:rFonts w:ascii="Times New Roman" w:hAnsi="Times New Roman" w:cs="Times New Roman"/>
                <w:color w:val="000000" w:themeColor="text1"/>
              </w:rPr>
            </w:pPr>
            <w:r w:rsidRPr="004D2599">
              <w:rPr>
                <w:rFonts w:ascii="Times New Roman" w:hAnsi="Times New Roman" w:cs="Times New Roman"/>
                <w:color w:val="000000" w:themeColor="text1"/>
              </w:rPr>
              <w:t>Church Financial literacy programs contribute to the ability  of women and youth to succeed in accomplishment of task</w:t>
            </w:r>
          </w:p>
        </w:tc>
        <w:tc>
          <w:tcPr>
            <w:tcW w:w="567" w:type="dxa"/>
            <w:tcBorders>
              <w:top w:val="nil"/>
              <w:left w:val="nil"/>
              <w:bottom w:val="nil"/>
              <w:right w:val="nil"/>
            </w:tcBorders>
            <w:hideMark/>
          </w:tcPr>
          <w:p w14:paraId="72636824"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143</w:t>
            </w:r>
          </w:p>
        </w:tc>
        <w:tc>
          <w:tcPr>
            <w:tcW w:w="567" w:type="dxa"/>
            <w:tcBorders>
              <w:top w:val="nil"/>
              <w:left w:val="nil"/>
              <w:bottom w:val="nil"/>
              <w:right w:val="nil"/>
            </w:tcBorders>
            <w:hideMark/>
          </w:tcPr>
          <w:p w14:paraId="6A9F269C"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w:t>
            </w:r>
          </w:p>
        </w:tc>
        <w:tc>
          <w:tcPr>
            <w:tcW w:w="709" w:type="dxa"/>
            <w:tcBorders>
              <w:top w:val="nil"/>
              <w:left w:val="nil"/>
              <w:bottom w:val="nil"/>
              <w:right w:val="nil"/>
            </w:tcBorders>
            <w:hideMark/>
          </w:tcPr>
          <w:p w14:paraId="7699207C"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5</w:t>
            </w:r>
          </w:p>
        </w:tc>
        <w:tc>
          <w:tcPr>
            <w:tcW w:w="708" w:type="dxa"/>
            <w:tcBorders>
              <w:top w:val="nil"/>
              <w:left w:val="nil"/>
              <w:bottom w:val="nil"/>
              <w:right w:val="nil"/>
            </w:tcBorders>
            <w:hideMark/>
          </w:tcPr>
          <w:p w14:paraId="6B8031E0"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3.52</w:t>
            </w:r>
          </w:p>
        </w:tc>
        <w:tc>
          <w:tcPr>
            <w:tcW w:w="567" w:type="dxa"/>
            <w:tcBorders>
              <w:top w:val="nil"/>
              <w:left w:val="nil"/>
              <w:bottom w:val="nil"/>
              <w:right w:val="nil"/>
            </w:tcBorders>
            <w:hideMark/>
          </w:tcPr>
          <w:p w14:paraId="30064FE5"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.749</w:t>
            </w:r>
          </w:p>
        </w:tc>
      </w:tr>
      <w:tr w:rsidR="0067051C" w:rsidRPr="004D2599" w14:paraId="040961DE" w14:textId="77777777" w:rsidTr="0067051C">
        <w:trPr>
          <w:cantSplit/>
        </w:trPr>
        <w:tc>
          <w:tcPr>
            <w:tcW w:w="5959" w:type="dxa"/>
            <w:tcBorders>
              <w:top w:val="nil"/>
              <w:left w:val="nil"/>
              <w:bottom w:val="nil"/>
              <w:right w:val="nil"/>
            </w:tcBorders>
            <w:hideMark/>
          </w:tcPr>
          <w:p w14:paraId="452DE061" w14:textId="77777777" w:rsidR="0067051C" w:rsidRPr="004D2599" w:rsidRDefault="0067051C" w:rsidP="004D2599">
            <w:pPr>
              <w:autoSpaceDE w:val="0"/>
              <w:autoSpaceDN w:val="0"/>
              <w:adjustRightInd w:val="0"/>
              <w:spacing w:line="360" w:lineRule="auto"/>
              <w:ind w:left="60" w:right="60"/>
              <w:jc w:val="both"/>
              <w:rPr>
                <w:rFonts w:ascii="Times New Roman" w:hAnsi="Times New Roman" w:cs="Times New Roman"/>
                <w:color w:val="000000" w:themeColor="text1"/>
              </w:rPr>
            </w:pPr>
            <w:r w:rsidRPr="004D2599">
              <w:rPr>
                <w:rFonts w:ascii="Times New Roman" w:hAnsi="Times New Roman" w:cs="Times New Roman"/>
                <w:color w:val="000000" w:themeColor="text1"/>
              </w:rPr>
              <w:t>Church programs helps to identify aspirations and opportunities</w:t>
            </w:r>
          </w:p>
        </w:tc>
        <w:tc>
          <w:tcPr>
            <w:tcW w:w="567" w:type="dxa"/>
            <w:tcBorders>
              <w:top w:val="nil"/>
              <w:left w:val="nil"/>
              <w:bottom w:val="nil"/>
              <w:right w:val="nil"/>
            </w:tcBorders>
            <w:hideMark/>
          </w:tcPr>
          <w:p w14:paraId="0C05B6CB"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143</w:t>
            </w:r>
          </w:p>
        </w:tc>
        <w:tc>
          <w:tcPr>
            <w:tcW w:w="567" w:type="dxa"/>
            <w:tcBorders>
              <w:top w:val="nil"/>
              <w:left w:val="nil"/>
              <w:bottom w:val="nil"/>
              <w:right w:val="nil"/>
            </w:tcBorders>
            <w:hideMark/>
          </w:tcPr>
          <w:p w14:paraId="52423D25"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w:t>
            </w:r>
          </w:p>
        </w:tc>
        <w:tc>
          <w:tcPr>
            <w:tcW w:w="709" w:type="dxa"/>
            <w:tcBorders>
              <w:top w:val="nil"/>
              <w:left w:val="nil"/>
              <w:bottom w:val="nil"/>
              <w:right w:val="nil"/>
            </w:tcBorders>
            <w:hideMark/>
          </w:tcPr>
          <w:p w14:paraId="5230A582"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5</w:t>
            </w:r>
          </w:p>
        </w:tc>
        <w:tc>
          <w:tcPr>
            <w:tcW w:w="708" w:type="dxa"/>
            <w:tcBorders>
              <w:top w:val="nil"/>
              <w:left w:val="nil"/>
              <w:bottom w:val="nil"/>
              <w:right w:val="nil"/>
            </w:tcBorders>
            <w:hideMark/>
          </w:tcPr>
          <w:p w14:paraId="2F4A49BD"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3.51</w:t>
            </w:r>
          </w:p>
        </w:tc>
        <w:tc>
          <w:tcPr>
            <w:tcW w:w="567" w:type="dxa"/>
            <w:tcBorders>
              <w:top w:val="nil"/>
              <w:left w:val="nil"/>
              <w:bottom w:val="nil"/>
              <w:right w:val="nil"/>
            </w:tcBorders>
            <w:hideMark/>
          </w:tcPr>
          <w:p w14:paraId="4FFBA583"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.740</w:t>
            </w:r>
          </w:p>
        </w:tc>
      </w:tr>
      <w:tr w:rsidR="0067051C" w:rsidRPr="004D2599" w14:paraId="71169A0D" w14:textId="77777777" w:rsidTr="0067051C">
        <w:trPr>
          <w:cantSplit/>
        </w:trPr>
        <w:tc>
          <w:tcPr>
            <w:tcW w:w="5959" w:type="dxa"/>
            <w:tcBorders>
              <w:top w:val="nil"/>
              <w:left w:val="nil"/>
              <w:bottom w:val="nil"/>
              <w:right w:val="nil"/>
            </w:tcBorders>
            <w:hideMark/>
          </w:tcPr>
          <w:p w14:paraId="76FC3BDD" w14:textId="77777777" w:rsidR="0067051C" w:rsidRPr="004D2599" w:rsidRDefault="0067051C" w:rsidP="004D2599">
            <w:pPr>
              <w:autoSpaceDE w:val="0"/>
              <w:autoSpaceDN w:val="0"/>
              <w:adjustRightInd w:val="0"/>
              <w:spacing w:line="360" w:lineRule="auto"/>
              <w:ind w:left="60" w:right="60"/>
              <w:jc w:val="both"/>
              <w:rPr>
                <w:rFonts w:ascii="Times New Roman" w:hAnsi="Times New Roman" w:cs="Times New Roman"/>
                <w:color w:val="000000" w:themeColor="text1"/>
              </w:rPr>
            </w:pPr>
            <w:r w:rsidRPr="004D2599">
              <w:rPr>
                <w:rFonts w:ascii="Times New Roman" w:hAnsi="Times New Roman" w:cs="Times New Roman"/>
                <w:color w:val="000000" w:themeColor="text1"/>
              </w:rPr>
              <w:t>Church programs help to develop a sense of feeling that life has meaning and direction.</w:t>
            </w:r>
          </w:p>
        </w:tc>
        <w:tc>
          <w:tcPr>
            <w:tcW w:w="567" w:type="dxa"/>
            <w:tcBorders>
              <w:top w:val="nil"/>
              <w:left w:val="nil"/>
              <w:bottom w:val="nil"/>
              <w:right w:val="nil"/>
            </w:tcBorders>
            <w:hideMark/>
          </w:tcPr>
          <w:p w14:paraId="459192A8"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143</w:t>
            </w:r>
          </w:p>
        </w:tc>
        <w:tc>
          <w:tcPr>
            <w:tcW w:w="567" w:type="dxa"/>
            <w:tcBorders>
              <w:top w:val="nil"/>
              <w:left w:val="nil"/>
              <w:bottom w:val="nil"/>
              <w:right w:val="nil"/>
            </w:tcBorders>
            <w:hideMark/>
          </w:tcPr>
          <w:p w14:paraId="7CB41D28"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w:t>
            </w:r>
          </w:p>
        </w:tc>
        <w:tc>
          <w:tcPr>
            <w:tcW w:w="709" w:type="dxa"/>
            <w:tcBorders>
              <w:top w:val="nil"/>
              <w:left w:val="nil"/>
              <w:bottom w:val="nil"/>
              <w:right w:val="nil"/>
            </w:tcBorders>
            <w:hideMark/>
          </w:tcPr>
          <w:p w14:paraId="24CF777A"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5</w:t>
            </w:r>
          </w:p>
        </w:tc>
        <w:tc>
          <w:tcPr>
            <w:tcW w:w="708" w:type="dxa"/>
            <w:tcBorders>
              <w:top w:val="nil"/>
              <w:left w:val="nil"/>
              <w:bottom w:val="nil"/>
              <w:right w:val="nil"/>
            </w:tcBorders>
            <w:hideMark/>
          </w:tcPr>
          <w:p w14:paraId="4627452F"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3.48</w:t>
            </w:r>
          </w:p>
        </w:tc>
        <w:tc>
          <w:tcPr>
            <w:tcW w:w="567" w:type="dxa"/>
            <w:tcBorders>
              <w:top w:val="nil"/>
              <w:left w:val="nil"/>
              <w:bottom w:val="nil"/>
              <w:right w:val="nil"/>
            </w:tcBorders>
            <w:hideMark/>
          </w:tcPr>
          <w:p w14:paraId="6B95E8F3"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.956</w:t>
            </w:r>
          </w:p>
        </w:tc>
      </w:tr>
      <w:tr w:rsidR="0067051C" w:rsidRPr="004D2599" w14:paraId="3FE594A0" w14:textId="77777777" w:rsidTr="0067051C">
        <w:trPr>
          <w:cantSplit/>
        </w:trPr>
        <w:tc>
          <w:tcPr>
            <w:tcW w:w="5959" w:type="dxa"/>
            <w:tcBorders>
              <w:top w:val="nil"/>
              <w:left w:val="nil"/>
              <w:bottom w:val="nil"/>
              <w:right w:val="nil"/>
            </w:tcBorders>
            <w:hideMark/>
          </w:tcPr>
          <w:p w14:paraId="0B20D498" w14:textId="77777777" w:rsidR="0067051C" w:rsidRPr="004D2599" w:rsidRDefault="0067051C" w:rsidP="004D2599">
            <w:pPr>
              <w:autoSpaceDE w:val="0"/>
              <w:autoSpaceDN w:val="0"/>
              <w:adjustRightInd w:val="0"/>
              <w:spacing w:line="360" w:lineRule="auto"/>
              <w:ind w:left="60" w:right="60"/>
              <w:jc w:val="both"/>
              <w:rPr>
                <w:rFonts w:ascii="Times New Roman" w:hAnsi="Times New Roman" w:cs="Times New Roman"/>
                <w:color w:val="000000" w:themeColor="text1"/>
              </w:rPr>
            </w:pPr>
            <w:r w:rsidRPr="004D2599">
              <w:rPr>
                <w:rFonts w:ascii="Times New Roman" w:hAnsi="Times New Roman" w:cs="Times New Roman"/>
                <w:color w:val="000000" w:themeColor="text1"/>
              </w:rPr>
              <w:t>Church programs foster resilience and adaptability</w:t>
            </w:r>
          </w:p>
        </w:tc>
        <w:tc>
          <w:tcPr>
            <w:tcW w:w="567" w:type="dxa"/>
            <w:tcBorders>
              <w:top w:val="nil"/>
              <w:left w:val="nil"/>
              <w:bottom w:val="nil"/>
              <w:right w:val="nil"/>
            </w:tcBorders>
            <w:hideMark/>
          </w:tcPr>
          <w:p w14:paraId="0588860B"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143</w:t>
            </w:r>
          </w:p>
        </w:tc>
        <w:tc>
          <w:tcPr>
            <w:tcW w:w="567" w:type="dxa"/>
            <w:tcBorders>
              <w:top w:val="nil"/>
              <w:left w:val="nil"/>
              <w:bottom w:val="nil"/>
              <w:right w:val="nil"/>
            </w:tcBorders>
            <w:hideMark/>
          </w:tcPr>
          <w:p w14:paraId="618AF7A9"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w:t>
            </w:r>
          </w:p>
        </w:tc>
        <w:tc>
          <w:tcPr>
            <w:tcW w:w="709" w:type="dxa"/>
            <w:tcBorders>
              <w:top w:val="nil"/>
              <w:left w:val="nil"/>
              <w:bottom w:val="nil"/>
              <w:right w:val="nil"/>
            </w:tcBorders>
            <w:hideMark/>
          </w:tcPr>
          <w:p w14:paraId="2B4BF9EB"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4</w:t>
            </w:r>
          </w:p>
        </w:tc>
        <w:tc>
          <w:tcPr>
            <w:tcW w:w="708" w:type="dxa"/>
            <w:tcBorders>
              <w:top w:val="nil"/>
              <w:left w:val="nil"/>
              <w:bottom w:val="nil"/>
              <w:right w:val="nil"/>
            </w:tcBorders>
            <w:hideMark/>
          </w:tcPr>
          <w:p w14:paraId="1CBF78F3"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3.35</w:t>
            </w:r>
          </w:p>
        </w:tc>
        <w:tc>
          <w:tcPr>
            <w:tcW w:w="567" w:type="dxa"/>
            <w:tcBorders>
              <w:top w:val="nil"/>
              <w:left w:val="nil"/>
              <w:bottom w:val="nil"/>
              <w:right w:val="nil"/>
            </w:tcBorders>
            <w:hideMark/>
          </w:tcPr>
          <w:p w14:paraId="788FCE2D"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.684</w:t>
            </w:r>
          </w:p>
        </w:tc>
      </w:tr>
      <w:tr w:rsidR="0067051C" w:rsidRPr="004D2599" w14:paraId="18E4591C" w14:textId="77777777" w:rsidTr="0067051C">
        <w:trPr>
          <w:cantSplit/>
        </w:trPr>
        <w:tc>
          <w:tcPr>
            <w:tcW w:w="5959" w:type="dxa"/>
            <w:tcBorders>
              <w:top w:val="nil"/>
              <w:left w:val="nil"/>
              <w:bottom w:val="nil"/>
              <w:right w:val="nil"/>
            </w:tcBorders>
            <w:hideMark/>
          </w:tcPr>
          <w:p w14:paraId="658396C3" w14:textId="77777777" w:rsidR="0067051C" w:rsidRPr="004D2599" w:rsidRDefault="0067051C" w:rsidP="004D2599">
            <w:pPr>
              <w:autoSpaceDE w:val="0"/>
              <w:autoSpaceDN w:val="0"/>
              <w:adjustRightInd w:val="0"/>
              <w:spacing w:line="360" w:lineRule="auto"/>
              <w:ind w:left="60" w:right="60"/>
              <w:jc w:val="both"/>
              <w:rPr>
                <w:rFonts w:ascii="Times New Roman" w:hAnsi="Times New Roman" w:cs="Times New Roman"/>
                <w:color w:val="000000" w:themeColor="text1"/>
              </w:rPr>
            </w:pPr>
            <w:r w:rsidRPr="004D2599">
              <w:rPr>
                <w:rFonts w:ascii="Times New Roman" w:hAnsi="Times New Roman" w:cs="Times New Roman"/>
                <w:color w:val="000000" w:themeColor="text1"/>
              </w:rPr>
              <w:t>Church programs enable individuals to learn from failures and adjust their strategies to overcome challenges</w:t>
            </w:r>
          </w:p>
        </w:tc>
        <w:tc>
          <w:tcPr>
            <w:tcW w:w="567" w:type="dxa"/>
            <w:tcBorders>
              <w:top w:val="nil"/>
              <w:left w:val="nil"/>
              <w:bottom w:val="nil"/>
              <w:right w:val="nil"/>
            </w:tcBorders>
            <w:hideMark/>
          </w:tcPr>
          <w:p w14:paraId="043BB27A"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143</w:t>
            </w:r>
          </w:p>
        </w:tc>
        <w:tc>
          <w:tcPr>
            <w:tcW w:w="567" w:type="dxa"/>
            <w:tcBorders>
              <w:top w:val="nil"/>
              <w:left w:val="nil"/>
              <w:bottom w:val="nil"/>
              <w:right w:val="nil"/>
            </w:tcBorders>
            <w:hideMark/>
          </w:tcPr>
          <w:p w14:paraId="013A9A90"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w:t>
            </w:r>
          </w:p>
        </w:tc>
        <w:tc>
          <w:tcPr>
            <w:tcW w:w="709" w:type="dxa"/>
            <w:tcBorders>
              <w:top w:val="nil"/>
              <w:left w:val="nil"/>
              <w:bottom w:val="nil"/>
              <w:right w:val="nil"/>
            </w:tcBorders>
            <w:hideMark/>
          </w:tcPr>
          <w:p w14:paraId="4048282E"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4</w:t>
            </w:r>
          </w:p>
        </w:tc>
        <w:tc>
          <w:tcPr>
            <w:tcW w:w="708" w:type="dxa"/>
            <w:tcBorders>
              <w:top w:val="nil"/>
              <w:left w:val="nil"/>
              <w:bottom w:val="nil"/>
              <w:right w:val="nil"/>
            </w:tcBorders>
            <w:hideMark/>
          </w:tcPr>
          <w:p w14:paraId="2B3A4A73"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3.34</w:t>
            </w:r>
          </w:p>
        </w:tc>
        <w:tc>
          <w:tcPr>
            <w:tcW w:w="567" w:type="dxa"/>
            <w:tcBorders>
              <w:top w:val="nil"/>
              <w:left w:val="nil"/>
              <w:bottom w:val="nil"/>
              <w:right w:val="nil"/>
            </w:tcBorders>
            <w:hideMark/>
          </w:tcPr>
          <w:p w14:paraId="7646E5A1"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.671</w:t>
            </w:r>
          </w:p>
        </w:tc>
      </w:tr>
      <w:tr w:rsidR="0067051C" w:rsidRPr="004D2599" w14:paraId="7A2C99B6" w14:textId="77777777" w:rsidTr="0067051C">
        <w:trPr>
          <w:cantSplit/>
        </w:trPr>
        <w:tc>
          <w:tcPr>
            <w:tcW w:w="5959" w:type="dxa"/>
            <w:tcBorders>
              <w:top w:val="nil"/>
              <w:left w:val="nil"/>
              <w:bottom w:val="single" w:sz="4" w:space="0" w:color="auto"/>
              <w:right w:val="nil"/>
            </w:tcBorders>
            <w:hideMark/>
          </w:tcPr>
          <w:p w14:paraId="0B3B5853" w14:textId="77777777" w:rsidR="0067051C" w:rsidRPr="004D2599" w:rsidRDefault="0067051C" w:rsidP="004D2599">
            <w:pPr>
              <w:autoSpaceDE w:val="0"/>
              <w:autoSpaceDN w:val="0"/>
              <w:adjustRightInd w:val="0"/>
              <w:spacing w:line="360" w:lineRule="auto"/>
              <w:ind w:left="60" w:right="60"/>
              <w:jc w:val="both"/>
              <w:rPr>
                <w:rFonts w:ascii="Times New Roman" w:hAnsi="Times New Roman" w:cs="Times New Roman"/>
                <w:color w:val="000000" w:themeColor="text1"/>
              </w:rPr>
            </w:pPr>
            <w:r w:rsidRPr="004D2599">
              <w:rPr>
                <w:rFonts w:ascii="Times New Roman" w:hAnsi="Times New Roman" w:cs="Times New Roman"/>
                <w:color w:val="000000" w:themeColor="text1"/>
              </w:rPr>
              <w:t>Valid N (listwise)</w:t>
            </w:r>
          </w:p>
        </w:tc>
        <w:tc>
          <w:tcPr>
            <w:tcW w:w="567" w:type="dxa"/>
            <w:tcBorders>
              <w:top w:val="nil"/>
              <w:left w:val="nil"/>
              <w:bottom w:val="single" w:sz="4" w:space="0" w:color="auto"/>
              <w:right w:val="nil"/>
            </w:tcBorders>
            <w:hideMark/>
          </w:tcPr>
          <w:p w14:paraId="7EB810C3"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143</w:t>
            </w:r>
          </w:p>
        </w:tc>
        <w:tc>
          <w:tcPr>
            <w:tcW w:w="567" w:type="dxa"/>
            <w:tcBorders>
              <w:top w:val="nil"/>
              <w:left w:val="nil"/>
              <w:bottom w:val="single" w:sz="4" w:space="0" w:color="auto"/>
              <w:right w:val="nil"/>
            </w:tcBorders>
            <w:vAlign w:val="center"/>
          </w:tcPr>
          <w:p w14:paraId="7667F3E9" w14:textId="77777777" w:rsidR="0067051C" w:rsidRPr="004D2599" w:rsidRDefault="0067051C" w:rsidP="004D2599">
            <w:pPr>
              <w:autoSpaceDE w:val="0"/>
              <w:autoSpaceDN w:val="0"/>
              <w:adjustRightInd w:val="0"/>
              <w:spacing w:line="360" w:lineRule="auto"/>
              <w:rPr>
                <w:rFonts w:ascii="Times New Roman" w:hAnsi="Times New Roman" w:cs="Times New Roman"/>
                <w:color w:val="000000" w:themeColor="text1"/>
              </w:rPr>
            </w:pPr>
          </w:p>
        </w:tc>
        <w:tc>
          <w:tcPr>
            <w:tcW w:w="709" w:type="dxa"/>
            <w:tcBorders>
              <w:top w:val="nil"/>
              <w:left w:val="nil"/>
              <w:bottom w:val="single" w:sz="4" w:space="0" w:color="auto"/>
              <w:right w:val="nil"/>
            </w:tcBorders>
            <w:vAlign w:val="center"/>
          </w:tcPr>
          <w:p w14:paraId="0D052137" w14:textId="77777777" w:rsidR="0067051C" w:rsidRPr="004D2599" w:rsidRDefault="0067051C" w:rsidP="004D2599">
            <w:pPr>
              <w:autoSpaceDE w:val="0"/>
              <w:autoSpaceDN w:val="0"/>
              <w:adjustRightInd w:val="0"/>
              <w:spacing w:line="360" w:lineRule="auto"/>
              <w:rPr>
                <w:rFonts w:ascii="Times New Roman" w:hAnsi="Times New Roman" w:cs="Times New Roman"/>
                <w:color w:val="000000" w:themeColor="text1"/>
              </w:rPr>
            </w:pPr>
          </w:p>
        </w:tc>
        <w:tc>
          <w:tcPr>
            <w:tcW w:w="708" w:type="dxa"/>
            <w:tcBorders>
              <w:top w:val="nil"/>
              <w:left w:val="nil"/>
              <w:bottom w:val="single" w:sz="4" w:space="0" w:color="auto"/>
              <w:right w:val="nil"/>
            </w:tcBorders>
            <w:vAlign w:val="center"/>
            <w:hideMark/>
          </w:tcPr>
          <w:p w14:paraId="18D8004B" w14:textId="77777777" w:rsidR="0067051C" w:rsidRPr="004D2599" w:rsidRDefault="0067051C" w:rsidP="004D2599">
            <w:pPr>
              <w:autoSpaceDE w:val="0"/>
              <w:autoSpaceDN w:val="0"/>
              <w:adjustRightInd w:val="0"/>
              <w:spacing w:line="360" w:lineRule="auto"/>
              <w:jc w:val="center"/>
              <w:rPr>
                <w:rFonts w:ascii="Times New Roman" w:hAnsi="Times New Roman" w:cs="Times New Roman"/>
                <w:b/>
                <w:color w:val="000000" w:themeColor="text1"/>
              </w:rPr>
            </w:pPr>
            <w:r w:rsidRPr="004D2599">
              <w:rPr>
                <w:rFonts w:ascii="Times New Roman" w:hAnsi="Times New Roman" w:cs="Times New Roman"/>
                <w:b/>
                <w:color w:val="000000" w:themeColor="text1"/>
              </w:rPr>
              <w:fldChar w:fldCharType="begin"/>
            </w:r>
            <w:r w:rsidRPr="004D2599">
              <w:rPr>
                <w:rFonts w:ascii="Times New Roman" w:hAnsi="Times New Roman" w:cs="Times New Roman"/>
                <w:b/>
                <w:color w:val="000000" w:themeColor="text1"/>
              </w:rPr>
              <w:instrText xml:space="preserve"> =SUM(ABOVE)/8 </w:instrText>
            </w:r>
            <w:r w:rsidRPr="004D2599">
              <w:rPr>
                <w:rFonts w:ascii="Times New Roman" w:hAnsi="Times New Roman" w:cs="Times New Roman"/>
                <w:b/>
                <w:color w:val="000000" w:themeColor="text1"/>
              </w:rPr>
              <w:fldChar w:fldCharType="separate"/>
            </w:r>
            <w:r w:rsidRPr="004D2599">
              <w:rPr>
                <w:rFonts w:ascii="Times New Roman" w:hAnsi="Times New Roman" w:cs="Times New Roman"/>
                <w:b/>
                <w:noProof/>
                <w:color w:val="000000" w:themeColor="text1"/>
              </w:rPr>
              <w:t>3.45</w:t>
            </w:r>
            <w:r w:rsidRPr="004D2599">
              <w:rPr>
                <w:rFonts w:ascii="Times New Roman" w:hAnsi="Times New Roman" w:cs="Times New Roman"/>
                <w:b/>
                <w:color w:val="000000" w:themeColor="text1"/>
              </w:rPr>
              <w:fldChar w:fldCharType="end"/>
            </w:r>
          </w:p>
        </w:tc>
        <w:tc>
          <w:tcPr>
            <w:tcW w:w="567" w:type="dxa"/>
            <w:tcBorders>
              <w:top w:val="nil"/>
              <w:left w:val="nil"/>
              <w:bottom w:val="single" w:sz="4" w:space="0" w:color="auto"/>
              <w:right w:val="nil"/>
            </w:tcBorders>
            <w:vAlign w:val="center"/>
            <w:hideMark/>
          </w:tcPr>
          <w:p w14:paraId="318FF166" w14:textId="77777777" w:rsidR="0067051C" w:rsidRPr="004D2599" w:rsidRDefault="0067051C" w:rsidP="004D2599">
            <w:pPr>
              <w:autoSpaceDE w:val="0"/>
              <w:autoSpaceDN w:val="0"/>
              <w:adjustRightInd w:val="0"/>
              <w:spacing w:line="360" w:lineRule="auto"/>
              <w:jc w:val="center"/>
              <w:rPr>
                <w:rFonts w:ascii="Times New Roman" w:hAnsi="Times New Roman" w:cs="Times New Roman"/>
                <w:b/>
                <w:color w:val="000000" w:themeColor="text1"/>
              </w:rPr>
            </w:pPr>
            <w:r w:rsidRPr="004D2599">
              <w:rPr>
                <w:rFonts w:ascii="Times New Roman" w:hAnsi="Times New Roman" w:cs="Times New Roman"/>
                <w:b/>
                <w:color w:val="000000" w:themeColor="text1"/>
              </w:rPr>
              <w:fldChar w:fldCharType="begin"/>
            </w:r>
            <w:r w:rsidRPr="004D2599">
              <w:rPr>
                <w:rFonts w:ascii="Times New Roman" w:hAnsi="Times New Roman" w:cs="Times New Roman"/>
                <w:b/>
                <w:color w:val="000000" w:themeColor="text1"/>
              </w:rPr>
              <w:instrText xml:space="preserve"> =SUM(ABOVE)/8 </w:instrText>
            </w:r>
            <w:r w:rsidRPr="004D2599">
              <w:rPr>
                <w:rFonts w:ascii="Times New Roman" w:hAnsi="Times New Roman" w:cs="Times New Roman"/>
                <w:b/>
                <w:color w:val="000000" w:themeColor="text1"/>
              </w:rPr>
              <w:fldChar w:fldCharType="separate"/>
            </w:r>
            <w:r w:rsidRPr="004D2599">
              <w:rPr>
                <w:rFonts w:ascii="Times New Roman" w:hAnsi="Times New Roman" w:cs="Times New Roman"/>
                <w:b/>
                <w:noProof/>
                <w:color w:val="000000" w:themeColor="text1"/>
              </w:rPr>
              <w:t>0.742</w:t>
            </w:r>
            <w:r w:rsidRPr="004D2599">
              <w:rPr>
                <w:rFonts w:ascii="Times New Roman" w:hAnsi="Times New Roman" w:cs="Times New Roman"/>
                <w:b/>
                <w:color w:val="000000" w:themeColor="text1"/>
              </w:rPr>
              <w:fldChar w:fldCharType="end"/>
            </w:r>
          </w:p>
        </w:tc>
      </w:tr>
    </w:tbl>
    <w:p w14:paraId="1C11DC25" w14:textId="77777777" w:rsidR="0067051C" w:rsidRPr="004D2599" w:rsidRDefault="0067051C" w:rsidP="004D2599">
      <w:pPr>
        <w:spacing w:before="240" w:line="360" w:lineRule="auto"/>
        <w:jc w:val="both"/>
        <w:rPr>
          <w:rFonts w:ascii="Times New Roman" w:hAnsi="Times New Roman" w:cs="Times New Roman"/>
          <w:color w:val="000000" w:themeColor="text1"/>
        </w:rPr>
      </w:pPr>
      <w:bookmarkStart w:id="10" w:name="_Hlk194488747"/>
      <w:r w:rsidRPr="004D2599">
        <w:rPr>
          <w:rFonts w:ascii="Times New Roman" w:hAnsi="Times New Roman" w:cs="Times New Roman"/>
          <w:color w:val="000000" w:themeColor="text1"/>
        </w:rPr>
        <w:t xml:space="preserve">Regarding the statement about skills and knowledge acquisition, with a mean of 3.54, respondents agreed (close to strongly agreed) that church programs equip participants with necessary skills and knowledge. The standard deviation of 0.767 indicates some variability in participants' perspectives. </w:t>
      </w:r>
    </w:p>
    <w:p w14:paraId="7437492F" w14:textId="77777777" w:rsidR="0067051C" w:rsidRPr="004D2599" w:rsidRDefault="0067051C" w:rsidP="004D2599">
      <w:pPr>
        <w:spacing w:before="240" w:line="360" w:lineRule="auto"/>
        <w:jc w:val="both"/>
        <w:rPr>
          <w:rFonts w:ascii="Times New Roman" w:hAnsi="Times New Roman" w:cs="Times New Roman"/>
          <w:color w:val="000000" w:themeColor="text1"/>
        </w:rPr>
      </w:pPr>
      <w:bookmarkStart w:id="11" w:name="_Hlk194488796"/>
      <w:bookmarkEnd w:id="10"/>
      <w:r w:rsidRPr="004D2599">
        <w:rPr>
          <w:rFonts w:ascii="Times New Roman" w:hAnsi="Times New Roman" w:cs="Times New Roman"/>
          <w:color w:val="000000" w:themeColor="text1"/>
        </w:rPr>
        <w:t xml:space="preserve">For the statement on self-reliance, with a mean of 3.41, respondents were neutral leaning towards agreement that self-reliance leads to improved socio-economic outcomes. The standard deviation of 0.763 suggests diverse opinions on the impact of self-reliance. </w:t>
      </w:r>
    </w:p>
    <w:p w14:paraId="7348DA5C" w14:textId="15D05588" w:rsidR="0067051C" w:rsidRPr="004D2599" w:rsidRDefault="0067051C" w:rsidP="004D2599">
      <w:pPr>
        <w:spacing w:before="240" w:line="360" w:lineRule="auto"/>
        <w:jc w:val="both"/>
        <w:rPr>
          <w:rFonts w:ascii="Times New Roman" w:hAnsi="Times New Roman" w:cs="Times New Roman"/>
          <w:color w:val="000000" w:themeColor="text1"/>
        </w:rPr>
      </w:pPr>
      <w:bookmarkStart w:id="12" w:name="_Hlk194488838"/>
      <w:bookmarkEnd w:id="11"/>
      <w:r w:rsidRPr="004D2599">
        <w:rPr>
          <w:rFonts w:ascii="Times New Roman" w:hAnsi="Times New Roman" w:cs="Times New Roman"/>
          <w:color w:val="000000" w:themeColor="text1"/>
        </w:rPr>
        <w:t xml:space="preserve">Regarding financial literacy programs, with a mean of 3.52, respondents agreed that these contribute to women's and youth's task accomplishment. The standard deviation of 0.749 indicates </w:t>
      </w:r>
      <w:r w:rsidRPr="004D2599">
        <w:rPr>
          <w:rFonts w:ascii="Times New Roman" w:hAnsi="Times New Roman" w:cs="Times New Roman"/>
          <w:color w:val="000000" w:themeColor="text1"/>
        </w:rPr>
        <w:lastRenderedPageBreak/>
        <w:t xml:space="preserve">relatively consistent views. </w:t>
      </w:r>
      <w:r w:rsidR="002B1751">
        <w:rPr>
          <w:rFonts w:ascii="Times New Roman" w:hAnsi="Times New Roman" w:cs="Times New Roman"/>
          <w:color w:val="000000" w:themeColor="text1"/>
        </w:rPr>
        <w:t xml:space="preserve"> </w:t>
      </w:r>
      <w:r w:rsidRPr="004D2599">
        <w:rPr>
          <w:rFonts w:ascii="Times New Roman" w:hAnsi="Times New Roman" w:cs="Times New Roman"/>
          <w:color w:val="000000" w:themeColor="text1"/>
        </w:rPr>
        <w:t xml:space="preserve">On existential dimensions, with a mean of 3.48, respondents were neutral leaning towards agreement that church programs help develop a sense of life meaning and direction. </w:t>
      </w:r>
    </w:p>
    <w:p w14:paraId="60E39A8F" w14:textId="7E2F51D0" w:rsidR="0067051C" w:rsidRPr="004D2599" w:rsidRDefault="0067051C" w:rsidP="002B1751">
      <w:pPr>
        <w:spacing w:before="240" w:line="360" w:lineRule="auto"/>
        <w:jc w:val="both"/>
        <w:rPr>
          <w:rFonts w:ascii="Times New Roman" w:hAnsi="Times New Roman" w:cs="Times New Roman"/>
          <w:color w:val="000000" w:themeColor="text1"/>
        </w:rPr>
      </w:pPr>
      <w:r w:rsidRPr="004D2599">
        <w:rPr>
          <w:rFonts w:ascii="Times New Roman" w:hAnsi="Times New Roman" w:cs="Times New Roman"/>
          <w:color w:val="000000" w:themeColor="text1"/>
        </w:rPr>
        <w:t xml:space="preserve">The statements about resilience and learning from challenges, with means of 3.35 and 3.34 respectively, indicate respondents were neutral leaning towards agreement. </w:t>
      </w:r>
      <w:r w:rsidR="002B1751">
        <w:rPr>
          <w:rFonts w:ascii="Times New Roman" w:hAnsi="Times New Roman" w:cs="Times New Roman"/>
          <w:color w:val="000000" w:themeColor="text1"/>
        </w:rPr>
        <w:t xml:space="preserve"> </w:t>
      </w:r>
      <w:r w:rsidRPr="004D2599">
        <w:rPr>
          <w:rFonts w:ascii="Times New Roman" w:hAnsi="Times New Roman" w:cs="Times New Roman"/>
          <w:color w:val="000000" w:themeColor="text1"/>
        </w:rPr>
        <w:t xml:space="preserve">The overall mean score of 3.5 across all church program dimensions indicates that respondents generally agreed with the positive impact of these programs, trending above the neutral point (3.0) on the 5-point Likert scale. The aggregate standard deviation of 0.742 suggests relatively consistent responses across all dimensions, with moderate variability in participants' perceptions. </w:t>
      </w:r>
    </w:p>
    <w:bookmarkEnd w:id="12"/>
    <w:p w14:paraId="16AD3AEA" w14:textId="77777777" w:rsidR="0067051C" w:rsidRPr="004D2599" w:rsidRDefault="0067051C" w:rsidP="004D2599">
      <w:pPr>
        <w:spacing w:line="360" w:lineRule="auto"/>
        <w:jc w:val="both"/>
        <w:rPr>
          <w:rFonts w:ascii="Times New Roman" w:hAnsi="Times New Roman" w:cs="Times New Roman"/>
          <w:color w:val="000000" w:themeColor="text1"/>
        </w:rPr>
      </w:pPr>
    </w:p>
    <w:p w14:paraId="0EB9EA1E" w14:textId="3478503A" w:rsidR="0067051C" w:rsidRPr="004D2599" w:rsidRDefault="00CE4D64" w:rsidP="004D2599">
      <w:pPr>
        <w:pStyle w:val="Caption"/>
        <w:spacing w:line="360" w:lineRule="auto"/>
        <w:jc w:val="both"/>
        <w:rPr>
          <w:b/>
          <w:i w:val="0"/>
          <w:color w:val="000000" w:themeColor="text1"/>
          <w:sz w:val="24"/>
          <w:szCs w:val="24"/>
        </w:rPr>
      </w:pPr>
      <w:r>
        <w:rPr>
          <w:b/>
          <w:i w:val="0"/>
          <w:color w:val="000000" w:themeColor="text1"/>
          <w:sz w:val="24"/>
          <w:szCs w:val="24"/>
        </w:rPr>
        <w:t xml:space="preserve">Table </w:t>
      </w:r>
      <w:r w:rsidR="002E617A">
        <w:rPr>
          <w:b/>
          <w:i w:val="0"/>
          <w:color w:val="000000" w:themeColor="text1"/>
          <w:sz w:val="24"/>
          <w:szCs w:val="24"/>
        </w:rPr>
        <w:t>2.</w:t>
      </w:r>
      <w:r>
        <w:rPr>
          <w:b/>
          <w:i w:val="0"/>
          <w:color w:val="000000" w:themeColor="text1"/>
          <w:sz w:val="24"/>
          <w:szCs w:val="24"/>
        </w:rPr>
        <w:t xml:space="preserve"> </w:t>
      </w:r>
      <w:r w:rsidR="0067051C" w:rsidRPr="004D2599">
        <w:rPr>
          <w:b/>
          <w:i w:val="0"/>
          <w:color w:val="000000" w:themeColor="text1"/>
          <w:sz w:val="24"/>
          <w:szCs w:val="24"/>
        </w:rPr>
        <w:t xml:space="preserve">Model Summary for Church of </w:t>
      </w:r>
      <w:r w:rsidR="002B1751">
        <w:rPr>
          <w:b/>
          <w:i w:val="0"/>
          <w:color w:val="000000" w:themeColor="text1"/>
          <w:sz w:val="24"/>
          <w:szCs w:val="24"/>
        </w:rPr>
        <w:t xml:space="preserve">self-reliance </w:t>
      </w:r>
      <w:proofErr w:type="gramStart"/>
      <w:r w:rsidR="002B1751">
        <w:rPr>
          <w:b/>
          <w:i w:val="0"/>
          <w:color w:val="000000" w:themeColor="text1"/>
          <w:sz w:val="24"/>
          <w:szCs w:val="24"/>
        </w:rPr>
        <w:t xml:space="preserve">programs </w:t>
      </w:r>
      <w:r w:rsidR="0067051C" w:rsidRPr="004D2599">
        <w:rPr>
          <w:b/>
          <w:i w:val="0"/>
          <w:color w:val="000000" w:themeColor="text1"/>
          <w:sz w:val="24"/>
          <w:szCs w:val="24"/>
        </w:rPr>
        <w:t xml:space="preserve"> </w:t>
      </w:r>
      <w:r w:rsidR="002B1751">
        <w:rPr>
          <w:b/>
          <w:i w:val="0"/>
          <w:color w:val="000000" w:themeColor="text1"/>
          <w:sz w:val="24"/>
          <w:szCs w:val="24"/>
        </w:rPr>
        <w:t>and</w:t>
      </w:r>
      <w:proofErr w:type="gramEnd"/>
      <w:r w:rsidR="0067051C" w:rsidRPr="004D2599">
        <w:rPr>
          <w:b/>
          <w:i w:val="0"/>
          <w:color w:val="000000" w:themeColor="text1"/>
          <w:sz w:val="24"/>
          <w:szCs w:val="24"/>
        </w:rPr>
        <w:t xml:space="preserve"> Socio-Economic Empowerment </w:t>
      </w:r>
      <w:r w:rsidR="002B1751">
        <w:rPr>
          <w:b/>
          <w:i w:val="0"/>
          <w:color w:val="000000" w:themeColor="text1"/>
          <w:sz w:val="24"/>
          <w:szCs w:val="24"/>
        </w:rPr>
        <w:t>of</w:t>
      </w:r>
      <w:r w:rsidR="0067051C" w:rsidRPr="004D2599">
        <w:rPr>
          <w:b/>
          <w:i w:val="0"/>
          <w:color w:val="000000" w:themeColor="text1"/>
          <w:sz w:val="24"/>
          <w:szCs w:val="24"/>
        </w:rPr>
        <w:t xml:space="preserve"> Women and Youth </w:t>
      </w:r>
    </w:p>
    <w:tbl>
      <w:tblPr>
        <w:tblW w:w="910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135"/>
        <w:gridCol w:w="1418"/>
        <w:gridCol w:w="1559"/>
        <w:gridCol w:w="2126"/>
        <w:gridCol w:w="2867"/>
      </w:tblGrid>
      <w:tr w:rsidR="0067051C" w:rsidRPr="004D2599" w14:paraId="4FE662D2" w14:textId="77777777" w:rsidTr="0067051C">
        <w:trPr>
          <w:cantSplit/>
          <w:jc w:val="center"/>
        </w:trPr>
        <w:tc>
          <w:tcPr>
            <w:tcW w:w="1134" w:type="dxa"/>
            <w:tcBorders>
              <w:top w:val="single" w:sz="4" w:space="0" w:color="auto"/>
              <w:left w:val="nil"/>
              <w:bottom w:val="single" w:sz="4" w:space="0" w:color="auto"/>
              <w:right w:val="nil"/>
            </w:tcBorders>
            <w:shd w:val="clear" w:color="auto" w:fill="FFFFFF"/>
            <w:vAlign w:val="bottom"/>
            <w:hideMark/>
          </w:tcPr>
          <w:p w14:paraId="0D5742D7" w14:textId="77777777" w:rsidR="0067051C" w:rsidRPr="004D2599" w:rsidRDefault="0067051C" w:rsidP="004D2599">
            <w:pPr>
              <w:autoSpaceDE w:val="0"/>
              <w:autoSpaceDN w:val="0"/>
              <w:adjustRightInd w:val="0"/>
              <w:spacing w:line="360" w:lineRule="auto"/>
              <w:ind w:left="60" w:right="60"/>
              <w:rPr>
                <w:rFonts w:ascii="Times New Roman" w:hAnsi="Times New Roman" w:cs="Times New Roman"/>
                <w:color w:val="000000" w:themeColor="text1"/>
              </w:rPr>
            </w:pPr>
            <w:r w:rsidRPr="004D2599">
              <w:rPr>
                <w:rFonts w:ascii="Times New Roman" w:hAnsi="Times New Roman" w:cs="Times New Roman"/>
                <w:color w:val="000000" w:themeColor="text1"/>
              </w:rPr>
              <w:t>Model</w:t>
            </w:r>
          </w:p>
        </w:tc>
        <w:tc>
          <w:tcPr>
            <w:tcW w:w="1418" w:type="dxa"/>
            <w:tcBorders>
              <w:top w:val="single" w:sz="4" w:space="0" w:color="auto"/>
              <w:left w:val="nil"/>
              <w:bottom w:val="single" w:sz="4" w:space="0" w:color="auto"/>
              <w:right w:val="nil"/>
            </w:tcBorders>
            <w:shd w:val="clear" w:color="auto" w:fill="FFFFFF"/>
            <w:vAlign w:val="bottom"/>
            <w:hideMark/>
          </w:tcPr>
          <w:p w14:paraId="67ABDF96"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R</w:t>
            </w:r>
          </w:p>
        </w:tc>
        <w:tc>
          <w:tcPr>
            <w:tcW w:w="1559" w:type="dxa"/>
            <w:tcBorders>
              <w:top w:val="single" w:sz="4" w:space="0" w:color="auto"/>
              <w:left w:val="nil"/>
              <w:bottom w:val="single" w:sz="4" w:space="0" w:color="auto"/>
              <w:right w:val="nil"/>
            </w:tcBorders>
            <w:shd w:val="clear" w:color="auto" w:fill="FFFFFF"/>
            <w:vAlign w:val="bottom"/>
            <w:hideMark/>
          </w:tcPr>
          <w:p w14:paraId="47AD6126"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R Square</w:t>
            </w:r>
          </w:p>
        </w:tc>
        <w:tc>
          <w:tcPr>
            <w:tcW w:w="2126" w:type="dxa"/>
            <w:tcBorders>
              <w:top w:val="single" w:sz="4" w:space="0" w:color="auto"/>
              <w:left w:val="nil"/>
              <w:bottom w:val="single" w:sz="4" w:space="0" w:color="auto"/>
              <w:right w:val="nil"/>
            </w:tcBorders>
            <w:shd w:val="clear" w:color="auto" w:fill="FFFFFF"/>
            <w:vAlign w:val="bottom"/>
            <w:hideMark/>
          </w:tcPr>
          <w:p w14:paraId="6174B89B"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Adjusted R Square</w:t>
            </w:r>
          </w:p>
        </w:tc>
        <w:tc>
          <w:tcPr>
            <w:tcW w:w="2867" w:type="dxa"/>
            <w:tcBorders>
              <w:top w:val="single" w:sz="4" w:space="0" w:color="auto"/>
              <w:left w:val="nil"/>
              <w:bottom w:val="single" w:sz="4" w:space="0" w:color="auto"/>
              <w:right w:val="nil"/>
            </w:tcBorders>
            <w:shd w:val="clear" w:color="auto" w:fill="FFFFFF"/>
            <w:vAlign w:val="bottom"/>
            <w:hideMark/>
          </w:tcPr>
          <w:p w14:paraId="55DB0F4A"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Std. Error of the Estimate</w:t>
            </w:r>
          </w:p>
        </w:tc>
      </w:tr>
      <w:tr w:rsidR="0067051C" w:rsidRPr="004D2599" w14:paraId="23EF8BC2" w14:textId="77777777" w:rsidTr="0067051C">
        <w:trPr>
          <w:cantSplit/>
          <w:jc w:val="center"/>
        </w:trPr>
        <w:tc>
          <w:tcPr>
            <w:tcW w:w="1134" w:type="dxa"/>
            <w:tcBorders>
              <w:top w:val="single" w:sz="4" w:space="0" w:color="auto"/>
              <w:left w:val="nil"/>
              <w:bottom w:val="single" w:sz="4" w:space="0" w:color="auto"/>
              <w:right w:val="nil"/>
            </w:tcBorders>
            <w:hideMark/>
          </w:tcPr>
          <w:p w14:paraId="546A036E" w14:textId="77777777" w:rsidR="0067051C" w:rsidRPr="004D2599" w:rsidRDefault="0067051C" w:rsidP="004D2599">
            <w:pPr>
              <w:autoSpaceDE w:val="0"/>
              <w:autoSpaceDN w:val="0"/>
              <w:adjustRightInd w:val="0"/>
              <w:spacing w:line="360" w:lineRule="auto"/>
              <w:ind w:left="60" w:right="60"/>
              <w:rPr>
                <w:rFonts w:ascii="Times New Roman" w:hAnsi="Times New Roman" w:cs="Times New Roman"/>
                <w:color w:val="000000" w:themeColor="text1"/>
              </w:rPr>
            </w:pPr>
            <w:r w:rsidRPr="004D2599">
              <w:rPr>
                <w:rFonts w:ascii="Times New Roman" w:hAnsi="Times New Roman" w:cs="Times New Roman"/>
                <w:color w:val="000000" w:themeColor="text1"/>
              </w:rPr>
              <w:t>1</w:t>
            </w:r>
          </w:p>
        </w:tc>
        <w:tc>
          <w:tcPr>
            <w:tcW w:w="1418" w:type="dxa"/>
            <w:tcBorders>
              <w:top w:val="single" w:sz="4" w:space="0" w:color="auto"/>
              <w:left w:val="nil"/>
              <w:bottom w:val="single" w:sz="4" w:space="0" w:color="auto"/>
              <w:right w:val="nil"/>
            </w:tcBorders>
            <w:hideMark/>
          </w:tcPr>
          <w:p w14:paraId="02127772"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.762</w:t>
            </w:r>
            <w:r w:rsidRPr="004D2599">
              <w:rPr>
                <w:rFonts w:ascii="Times New Roman" w:hAnsi="Times New Roman" w:cs="Times New Roman"/>
                <w:color w:val="000000" w:themeColor="text1"/>
                <w:vertAlign w:val="superscript"/>
              </w:rPr>
              <w:t>a</w:t>
            </w:r>
          </w:p>
        </w:tc>
        <w:tc>
          <w:tcPr>
            <w:tcW w:w="1559" w:type="dxa"/>
            <w:tcBorders>
              <w:top w:val="single" w:sz="4" w:space="0" w:color="auto"/>
              <w:left w:val="nil"/>
              <w:bottom w:val="single" w:sz="4" w:space="0" w:color="auto"/>
              <w:right w:val="nil"/>
            </w:tcBorders>
            <w:hideMark/>
          </w:tcPr>
          <w:p w14:paraId="197CF3C8"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.581</w:t>
            </w:r>
          </w:p>
        </w:tc>
        <w:tc>
          <w:tcPr>
            <w:tcW w:w="2126" w:type="dxa"/>
            <w:tcBorders>
              <w:top w:val="single" w:sz="4" w:space="0" w:color="auto"/>
              <w:left w:val="nil"/>
              <w:bottom w:val="single" w:sz="4" w:space="0" w:color="auto"/>
              <w:right w:val="nil"/>
            </w:tcBorders>
            <w:hideMark/>
          </w:tcPr>
          <w:p w14:paraId="69A10F4E"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.572</w:t>
            </w:r>
          </w:p>
        </w:tc>
        <w:tc>
          <w:tcPr>
            <w:tcW w:w="2867" w:type="dxa"/>
            <w:tcBorders>
              <w:top w:val="single" w:sz="4" w:space="0" w:color="auto"/>
              <w:left w:val="nil"/>
              <w:bottom w:val="single" w:sz="4" w:space="0" w:color="auto"/>
              <w:right w:val="nil"/>
            </w:tcBorders>
            <w:hideMark/>
          </w:tcPr>
          <w:p w14:paraId="62D51766"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.33869</w:t>
            </w:r>
          </w:p>
        </w:tc>
      </w:tr>
    </w:tbl>
    <w:p w14:paraId="37D153F0" w14:textId="4857ECCE" w:rsidR="0067051C" w:rsidRPr="004D2599" w:rsidRDefault="0067051C" w:rsidP="004D2599">
      <w:pPr>
        <w:spacing w:before="100" w:beforeAutospacing="1" w:after="100" w:afterAutospacing="1" w:line="360" w:lineRule="auto"/>
        <w:jc w:val="both"/>
        <w:rPr>
          <w:rFonts w:ascii="Times New Roman" w:eastAsia="Times New Roman" w:hAnsi="Times New Roman" w:cs="Times New Roman"/>
          <w:color w:val="000000" w:themeColor="text1"/>
        </w:rPr>
      </w:pPr>
      <w:r w:rsidRPr="004D2599">
        <w:rPr>
          <w:rFonts w:ascii="Times New Roman" w:eastAsia="Times New Roman" w:hAnsi="Times New Roman" w:cs="Times New Roman"/>
          <w:color w:val="000000" w:themeColor="text1"/>
        </w:rPr>
        <w:t xml:space="preserve">The model summary in Table </w:t>
      </w:r>
      <w:r w:rsidR="002341F9">
        <w:rPr>
          <w:rFonts w:ascii="Times New Roman" w:eastAsia="Times New Roman" w:hAnsi="Times New Roman" w:cs="Times New Roman"/>
          <w:color w:val="000000" w:themeColor="text1"/>
        </w:rPr>
        <w:t>2</w:t>
      </w:r>
      <w:r w:rsidRPr="004D2599">
        <w:rPr>
          <w:rFonts w:ascii="Times New Roman" w:eastAsia="Times New Roman" w:hAnsi="Times New Roman" w:cs="Times New Roman"/>
          <w:color w:val="000000" w:themeColor="text1"/>
        </w:rPr>
        <w:t xml:space="preserve"> shows that the multiple regression model has an R value of 0.762, indicating a strong positive correlation between the predicted and observed values of the dependent variable (likely related to socio-economic empowerment outcomes for women and youth, though this isn't explicitly stated in the table). The R-squared value of 0.581 suggests that approximately 58.1% of the variance in the social economic empowerment can be explained by </w:t>
      </w:r>
      <w:r w:rsidR="002B1751">
        <w:rPr>
          <w:rFonts w:ascii="Times New Roman" w:eastAsia="Times New Roman" w:hAnsi="Times New Roman" w:cs="Times New Roman"/>
          <w:color w:val="000000" w:themeColor="text1"/>
        </w:rPr>
        <w:t>s</w:t>
      </w:r>
      <w:r w:rsidRPr="004D2599">
        <w:rPr>
          <w:rFonts w:ascii="Times New Roman" w:eastAsia="Times New Roman" w:hAnsi="Times New Roman" w:cs="Times New Roman"/>
          <w:color w:val="000000" w:themeColor="text1"/>
        </w:rPr>
        <w:t>elf-Reliance Programs. The adjusted R-squared value of 0.572 provides a more conservative estimate of the model's explanatory power, accounting for the number of predictors. The relatively small difference between the R-squared and adjusted R-squared (0.009) suggests that the model isn't over fitted and would likely generalize well to other samples. The standard error of the estimate (0.33869) indicates the average distance that the observed values fall from the regression line. The relatively small standard error suggests good precision in the model's predictions.</w:t>
      </w:r>
    </w:p>
    <w:p w14:paraId="748DFC72" w14:textId="637DD961" w:rsidR="0067051C" w:rsidRPr="004D2599" w:rsidRDefault="0067051C" w:rsidP="004D2599">
      <w:pPr>
        <w:spacing w:line="360" w:lineRule="auto"/>
        <w:jc w:val="both"/>
        <w:rPr>
          <w:rFonts w:ascii="Times New Roman" w:hAnsi="Times New Roman" w:cs="Times New Roman"/>
          <w:color w:val="000000" w:themeColor="text1"/>
        </w:rPr>
      </w:pPr>
      <w:r w:rsidRPr="004D2599">
        <w:rPr>
          <w:rFonts w:ascii="Times New Roman" w:hAnsi="Times New Roman" w:cs="Times New Roman"/>
          <w:color w:val="000000" w:themeColor="text1"/>
        </w:rPr>
        <w:t xml:space="preserve">In addition, the study examined the goodness of fit of the model using ANOVA and results presented in Table </w:t>
      </w:r>
      <w:r w:rsidR="002D3F04">
        <w:rPr>
          <w:rFonts w:ascii="Times New Roman" w:hAnsi="Times New Roman" w:cs="Times New Roman"/>
          <w:color w:val="000000" w:themeColor="text1"/>
        </w:rPr>
        <w:t>3</w:t>
      </w:r>
      <w:r w:rsidRPr="004D2599">
        <w:rPr>
          <w:rFonts w:ascii="Times New Roman" w:hAnsi="Times New Roman" w:cs="Times New Roman"/>
          <w:color w:val="000000" w:themeColor="text1"/>
        </w:rPr>
        <w:t>.</w:t>
      </w:r>
    </w:p>
    <w:p w14:paraId="061A8E97" w14:textId="45B1FD66" w:rsidR="0067051C" w:rsidRPr="004D2599" w:rsidRDefault="00CE4D64" w:rsidP="004D2599">
      <w:pPr>
        <w:pStyle w:val="Caption"/>
        <w:spacing w:line="360" w:lineRule="auto"/>
        <w:rPr>
          <w:b/>
          <w:i w:val="0"/>
          <w:color w:val="000000" w:themeColor="text1"/>
          <w:sz w:val="24"/>
          <w:szCs w:val="24"/>
        </w:rPr>
      </w:pPr>
      <w:bookmarkStart w:id="13" w:name="_Toc191266286"/>
      <w:r>
        <w:rPr>
          <w:b/>
          <w:i w:val="0"/>
          <w:color w:val="000000" w:themeColor="text1"/>
          <w:sz w:val="24"/>
          <w:szCs w:val="24"/>
        </w:rPr>
        <w:t xml:space="preserve">Table </w:t>
      </w:r>
      <w:r w:rsidR="001C527E">
        <w:rPr>
          <w:b/>
          <w:i w:val="0"/>
          <w:color w:val="000000" w:themeColor="text1"/>
          <w:sz w:val="24"/>
          <w:szCs w:val="24"/>
        </w:rPr>
        <w:t>3</w:t>
      </w:r>
      <w:r w:rsidR="0067051C" w:rsidRPr="004D2599">
        <w:rPr>
          <w:b/>
          <w:i w:val="0"/>
          <w:color w:val="000000" w:themeColor="text1"/>
          <w:sz w:val="24"/>
          <w:szCs w:val="24"/>
        </w:rPr>
        <w:t>: ANOVA on Church of Uganda Programs in Socio-Economic Empowerment among Women and Youth</w:t>
      </w:r>
      <w:bookmarkEnd w:id="13"/>
    </w:p>
    <w:tbl>
      <w:tblPr>
        <w:tblW w:w="9015" w:type="dxa"/>
        <w:jc w:val="center"/>
        <w:tblBorders>
          <w:top w:val="single" w:sz="4" w:space="0" w:color="auto"/>
        </w:tblBorders>
        <w:tblLayout w:type="fixed"/>
        <w:tblCellMar>
          <w:left w:w="0" w:type="dxa"/>
          <w:right w:w="0" w:type="dxa"/>
        </w:tblCellMar>
        <w:tblLook w:val="04A0" w:firstRow="1" w:lastRow="0" w:firstColumn="1" w:lastColumn="0" w:noHBand="0" w:noVBand="1"/>
      </w:tblPr>
      <w:tblGrid>
        <w:gridCol w:w="1072"/>
        <w:gridCol w:w="1290"/>
        <w:gridCol w:w="1856"/>
        <w:gridCol w:w="850"/>
        <w:gridCol w:w="1841"/>
        <w:gridCol w:w="850"/>
        <w:gridCol w:w="1256"/>
      </w:tblGrid>
      <w:tr w:rsidR="0067051C" w:rsidRPr="004D2599" w14:paraId="30865F0E" w14:textId="77777777" w:rsidTr="0067051C">
        <w:trPr>
          <w:cantSplit/>
          <w:jc w:val="center"/>
        </w:trPr>
        <w:tc>
          <w:tcPr>
            <w:tcW w:w="2364" w:type="dxa"/>
            <w:gridSpan w:val="2"/>
            <w:tcBorders>
              <w:top w:val="single" w:sz="4" w:space="0" w:color="auto"/>
              <w:left w:val="nil"/>
              <w:bottom w:val="single" w:sz="4" w:space="0" w:color="auto"/>
              <w:right w:val="nil"/>
            </w:tcBorders>
            <w:shd w:val="clear" w:color="auto" w:fill="FFFFFF"/>
            <w:vAlign w:val="bottom"/>
            <w:hideMark/>
          </w:tcPr>
          <w:p w14:paraId="43DCDCFE" w14:textId="77777777" w:rsidR="0067051C" w:rsidRPr="004D2599" w:rsidRDefault="0067051C" w:rsidP="004D2599">
            <w:pPr>
              <w:autoSpaceDE w:val="0"/>
              <w:autoSpaceDN w:val="0"/>
              <w:adjustRightInd w:val="0"/>
              <w:spacing w:line="360" w:lineRule="auto"/>
              <w:ind w:left="60" w:right="60"/>
              <w:rPr>
                <w:rFonts w:ascii="Times New Roman" w:hAnsi="Times New Roman" w:cs="Times New Roman"/>
                <w:color w:val="000000" w:themeColor="text1"/>
              </w:rPr>
            </w:pPr>
            <w:r w:rsidRPr="004D2599">
              <w:rPr>
                <w:rFonts w:ascii="Times New Roman" w:hAnsi="Times New Roman" w:cs="Times New Roman"/>
                <w:color w:val="000000" w:themeColor="text1"/>
              </w:rPr>
              <w:lastRenderedPageBreak/>
              <w:t>Model</w:t>
            </w:r>
          </w:p>
        </w:tc>
        <w:tc>
          <w:tcPr>
            <w:tcW w:w="1857" w:type="dxa"/>
            <w:tcBorders>
              <w:top w:val="single" w:sz="4" w:space="0" w:color="auto"/>
              <w:left w:val="nil"/>
              <w:bottom w:val="single" w:sz="4" w:space="0" w:color="auto"/>
              <w:right w:val="nil"/>
            </w:tcBorders>
            <w:shd w:val="clear" w:color="auto" w:fill="FFFFFF"/>
            <w:vAlign w:val="bottom"/>
            <w:hideMark/>
          </w:tcPr>
          <w:p w14:paraId="0B16E793"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Sum of Squares</w:t>
            </w:r>
          </w:p>
        </w:tc>
        <w:tc>
          <w:tcPr>
            <w:tcW w:w="850" w:type="dxa"/>
            <w:tcBorders>
              <w:top w:val="single" w:sz="4" w:space="0" w:color="auto"/>
              <w:left w:val="nil"/>
              <w:bottom w:val="single" w:sz="4" w:space="0" w:color="auto"/>
              <w:right w:val="nil"/>
            </w:tcBorders>
            <w:shd w:val="clear" w:color="auto" w:fill="FFFFFF"/>
            <w:vAlign w:val="bottom"/>
            <w:hideMark/>
          </w:tcPr>
          <w:p w14:paraId="08BEAA14"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df</w:t>
            </w:r>
          </w:p>
        </w:tc>
        <w:tc>
          <w:tcPr>
            <w:tcW w:w="1842" w:type="dxa"/>
            <w:tcBorders>
              <w:top w:val="single" w:sz="4" w:space="0" w:color="auto"/>
              <w:left w:val="nil"/>
              <w:bottom w:val="single" w:sz="4" w:space="0" w:color="auto"/>
              <w:right w:val="nil"/>
            </w:tcBorders>
            <w:shd w:val="clear" w:color="auto" w:fill="FFFFFF"/>
            <w:vAlign w:val="bottom"/>
            <w:hideMark/>
          </w:tcPr>
          <w:p w14:paraId="158F732C"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Mean Square</w:t>
            </w:r>
          </w:p>
        </w:tc>
        <w:tc>
          <w:tcPr>
            <w:tcW w:w="850" w:type="dxa"/>
            <w:tcBorders>
              <w:top w:val="single" w:sz="4" w:space="0" w:color="auto"/>
              <w:left w:val="nil"/>
              <w:bottom w:val="single" w:sz="4" w:space="0" w:color="auto"/>
              <w:right w:val="nil"/>
            </w:tcBorders>
            <w:shd w:val="clear" w:color="auto" w:fill="FFFFFF"/>
            <w:vAlign w:val="bottom"/>
            <w:hideMark/>
          </w:tcPr>
          <w:p w14:paraId="3B421169"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F</w:t>
            </w:r>
          </w:p>
        </w:tc>
        <w:tc>
          <w:tcPr>
            <w:tcW w:w="1257" w:type="dxa"/>
            <w:tcBorders>
              <w:top w:val="single" w:sz="4" w:space="0" w:color="auto"/>
              <w:left w:val="nil"/>
              <w:bottom w:val="single" w:sz="4" w:space="0" w:color="auto"/>
              <w:right w:val="nil"/>
            </w:tcBorders>
            <w:shd w:val="clear" w:color="auto" w:fill="FFFFFF"/>
            <w:vAlign w:val="bottom"/>
            <w:hideMark/>
          </w:tcPr>
          <w:p w14:paraId="70A2CC59"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Sig.</w:t>
            </w:r>
          </w:p>
        </w:tc>
      </w:tr>
      <w:tr w:rsidR="0067051C" w:rsidRPr="004D2599" w14:paraId="5893AE12" w14:textId="77777777" w:rsidTr="0067051C">
        <w:trPr>
          <w:cantSplit/>
          <w:jc w:val="center"/>
        </w:trPr>
        <w:tc>
          <w:tcPr>
            <w:tcW w:w="1073" w:type="dxa"/>
            <w:vMerge w:val="restart"/>
            <w:tcBorders>
              <w:top w:val="single" w:sz="4" w:space="0" w:color="auto"/>
              <w:left w:val="nil"/>
              <w:bottom w:val="single" w:sz="4" w:space="0" w:color="auto"/>
              <w:right w:val="nil"/>
            </w:tcBorders>
            <w:hideMark/>
          </w:tcPr>
          <w:p w14:paraId="2DF96524" w14:textId="77777777" w:rsidR="0067051C" w:rsidRPr="004D2599" w:rsidRDefault="0067051C" w:rsidP="004D2599">
            <w:pPr>
              <w:autoSpaceDE w:val="0"/>
              <w:autoSpaceDN w:val="0"/>
              <w:adjustRightInd w:val="0"/>
              <w:spacing w:line="360" w:lineRule="auto"/>
              <w:ind w:left="60" w:right="60"/>
              <w:rPr>
                <w:rFonts w:ascii="Times New Roman" w:hAnsi="Times New Roman" w:cs="Times New Roman"/>
                <w:color w:val="000000" w:themeColor="text1"/>
              </w:rPr>
            </w:pPr>
            <w:r w:rsidRPr="004D2599">
              <w:rPr>
                <w:rFonts w:ascii="Times New Roman" w:hAnsi="Times New Roman" w:cs="Times New Roman"/>
                <w:color w:val="000000" w:themeColor="text1"/>
              </w:rPr>
              <w:t>1</w:t>
            </w:r>
          </w:p>
        </w:tc>
        <w:tc>
          <w:tcPr>
            <w:tcW w:w="1291" w:type="dxa"/>
            <w:tcBorders>
              <w:top w:val="single" w:sz="4" w:space="0" w:color="auto"/>
              <w:left w:val="nil"/>
              <w:bottom w:val="nil"/>
              <w:right w:val="nil"/>
            </w:tcBorders>
            <w:hideMark/>
          </w:tcPr>
          <w:p w14:paraId="53A9F3BD" w14:textId="77777777" w:rsidR="0067051C" w:rsidRPr="004D2599" w:rsidRDefault="0067051C" w:rsidP="004D2599">
            <w:pPr>
              <w:autoSpaceDE w:val="0"/>
              <w:autoSpaceDN w:val="0"/>
              <w:adjustRightInd w:val="0"/>
              <w:spacing w:line="360" w:lineRule="auto"/>
              <w:ind w:left="60" w:right="60"/>
              <w:rPr>
                <w:rFonts w:ascii="Times New Roman" w:hAnsi="Times New Roman" w:cs="Times New Roman"/>
                <w:color w:val="000000" w:themeColor="text1"/>
              </w:rPr>
            </w:pPr>
            <w:r w:rsidRPr="004D2599">
              <w:rPr>
                <w:rFonts w:ascii="Times New Roman" w:hAnsi="Times New Roman" w:cs="Times New Roman"/>
                <w:color w:val="000000" w:themeColor="text1"/>
              </w:rPr>
              <w:t>Regression</w:t>
            </w:r>
          </w:p>
        </w:tc>
        <w:tc>
          <w:tcPr>
            <w:tcW w:w="1857" w:type="dxa"/>
            <w:tcBorders>
              <w:top w:val="single" w:sz="4" w:space="0" w:color="auto"/>
              <w:left w:val="nil"/>
              <w:bottom w:val="nil"/>
              <w:right w:val="nil"/>
            </w:tcBorders>
            <w:hideMark/>
          </w:tcPr>
          <w:p w14:paraId="39F87573"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22.131</w:t>
            </w:r>
          </w:p>
        </w:tc>
        <w:tc>
          <w:tcPr>
            <w:tcW w:w="850" w:type="dxa"/>
            <w:tcBorders>
              <w:top w:val="single" w:sz="4" w:space="0" w:color="auto"/>
              <w:left w:val="nil"/>
              <w:bottom w:val="nil"/>
              <w:right w:val="nil"/>
            </w:tcBorders>
            <w:hideMark/>
          </w:tcPr>
          <w:p w14:paraId="0BBE83D0"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3</w:t>
            </w:r>
          </w:p>
        </w:tc>
        <w:tc>
          <w:tcPr>
            <w:tcW w:w="1842" w:type="dxa"/>
            <w:tcBorders>
              <w:top w:val="single" w:sz="4" w:space="0" w:color="auto"/>
              <w:left w:val="nil"/>
              <w:bottom w:val="nil"/>
              <w:right w:val="nil"/>
            </w:tcBorders>
            <w:hideMark/>
          </w:tcPr>
          <w:p w14:paraId="26D37D88"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7.377</w:t>
            </w:r>
          </w:p>
        </w:tc>
        <w:tc>
          <w:tcPr>
            <w:tcW w:w="850" w:type="dxa"/>
            <w:tcBorders>
              <w:top w:val="single" w:sz="4" w:space="0" w:color="auto"/>
              <w:left w:val="nil"/>
              <w:bottom w:val="nil"/>
              <w:right w:val="nil"/>
            </w:tcBorders>
            <w:hideMark/>
          </w:tcPr>
          <w:p w14:paraId="1A83A260"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64.311</w:t>
            </w:r>
          </w:p>
        </w:tc>
        <w:tc>
          <w:tcPr>
            <w:tcW w:w="1257" w:type="dxa"/>
            <w:tcBorders>
              <w:top w:val="single" w:sz="4" w:space="0" w:color="auto"/>
              <w:left w:val="nil"/>
              <w:bottom w:val="nil"/>
              <w:right w:val="nil"/>
            </w:tcBorders>
            <w:hideMark/>
          </w:tcPr>
          <w:p w14:paraId="46F8F9CB"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.000</w:t>
            </w:r>
            <w:r w:rsidRPr="004D2599">
              <w:rPr>
                <w:rFonts w:ascii="Times New Roman" w:hAnsi="Times New Roman" w:cs="Times New Roman"/>
                <w:color w:val="000000" w:themeColor="text1"/>
                <w:vertAlign w:val="superscript"/>
              </w:rPr>
              <w:t>b</w:t>
            </w:r>
          </w:p>
        </w:tc>
      </w:tr>
      <w:tr w:rsidR="0067051C" w:rsidRPr="004D2599" w14:paraId="6BEDC485" w14:textId="77777777" w:rsidTr="0067051C">
        <w:trPr>
          <w:cantSplit/>
          <w:jc w:val="center"/>
        </w:trPr>
        <w:tc>
          <w:tcPr>
            <w:tcW w:w="9020" w:type="dxa"/>
            <w:vMerge/>
            <w:tcBorders>
              <w:top w:val="single" w:sz="4" w:space="0" w:color="auto"/>
              <w:left w:val="nil"/>
              <w:bottom w:val="single" w:sz="4" w:space="0" w:color="auto"/>
              <w:right w:val="nil"/>
            </w:tcBorders>
            <w:vAlign w:val="center"/>
            <w:hideMark/>
          </w:tcPr>
          <w:p w14:paraId="3489D3C3" w14:textId="77777777" w:rsidR="0067051C" w:rsidRPr="004D2599" w:rsidRDefault="0067051C" w:rsidP="004D2599">
            <w:pPr>
              <w:spacing w:line="360" w:lineRule="auto"/>
              <w:rPr>
                <w:rFonts w:ascii="Times New Roman" w:hAnsi="Times New Roman" w:cs="Times New Roman"/>
                <w:color w:val="000000" w:themeColor="text1"/>
              </w:rPr>
            </w:pPr>
          </w:p>
        </w:tc>
        <w:tc>
          <w:tcPr>
            <w:tcW w:w="1291" w:type="dxa"/>
            <w:tcBorders>
              <w:top w:val="nil"/>
              <w:left w:val="nil"/>
              <w:bottom w:val="nil"/>
              <w:right w:val="nil"/>
            </w:tcBorders>
            <w:hideMark/>
          </w:tcPr>
          <w:p w14:paraId="268DB6E9" w14:textId="77777777" w:rsidR="0067051C" w:rsidRPr="004D2599" w:rsidRDefault="0067051C" w:rsidP="004D2599">
            <w:pPr>
              <w:autoSpaceDE w:val="0"/>
              <w:autoSpaceDN w:val="0"/>
              <w:adjustRightInd w:val="0"/>
              <w:spacing w:line="360" w:lineRule="auto"/>
              <w:ind w:left="60" w:right="60"/>
              <w:rPr>
                <w:rFonts w:ascii="Times New Roman" w:hAnsi="Times New Roman" w:cs="Times New Roman"/>
                <w:color w:val="000000" w:themeColor="text1"/>
              </w:rPr>
            </w:pPr>
            <w:r w:rsidRPr="004D2599">
              <w:rPr>
                <w:rFonts w:ascii="Times New Roman" w:hAnsi="Times New Roman" w:cs="Times New Roman"/>
                <w:color w:val="000000" w:themeColor="text1"/>
              </w:rPr>
              <w:t>Residual</w:t>
            </w:r>
          </w:p>
        </w:tc>
        <w:tc>
          <w:tcPr>
            <w:tcW w:w="1857" w:type="dxa"/>
            <w:tcBorders>
              <w:top w:val="nil"/>
              <w:left w:val="nil"/>
              <w:bottom w:val="nil"/>
              <w:right w:val="nil"/>
            </w:tcBorders>
            <w:hideMark/>
          </w:tcPr>
          <w:p w14:paraId="25AEBEAB"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15.944</w:t>
            </w:r>
          </w:p>
        </w:tc>
        <w:tc>
          <w:tcPr>
            <w:tcW w:w="850" w:type="dxa"/>
            <w:tcBorders>
              <w:top w:val="nil"/>
              <w:left w:val="nil"/>
              <w:bottom w:val="nil"/>
              <w:right w:val="nil"/>
            </w:tcBorders>
            <w:hideMark/>
          </w:tcPr>
          <w:p w14:paraId="3BD57E89"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139</w:t>
            </w:r>
          </w:p>
        </w:tc>
        <w:tc>
          <w:tcPr>
            <w:tcW w:w="1842" w:type="dxa"/>
            <w:tcBorders>
              <w:top w:val="nil"/>
              <w:left w:val="nil"/>
              <w:bottom w:val="nil"/>
              <w:right w:val="nil"/>
            </w:tcBorders>
            <w:hideMark/>
          </w:tcPr>
          <w:p w14:paraId="08643480"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.115</w:t>
            </w:r>
          </w:p>
        </w:tc>
        <w:tc>
          <w:tcPr>
            <w:tcW w:w="850" w:type="dxa"/>
            <w:tcBorders>
              <w:top w:val="nil"/>
              <w:left w:val="nil"/>
              <w:bottom w:val="nil"/>
              <w:right w:val="nil"/>
            </w:tcBorders>
            <w:vAlign w:val="center"/>
          </w:tcPr>
          <w:p w14:paraId="073EC71A" w14:textId="77777777" w:rsidR="0067051C" w:rsidRPr="004D2599" w:rsidRDefault="0067051C" w:rsidP="004D2599">
            <w:pPr>
              <w:autoSpaceDE w:val="0"/>
              <w:autoSpaceDN w:val="0"/>
              <w:adjustRightInd w:val="0"/>
              <w:spacing w:line="360" w:lineRule="auto"/>
              <w:rPr>
                <w:rFonts w:ascii="Times New Roman" w:hAnsi="Times New Roman" w:cs="Times New Roman"/>
                <w:color w:val="000000" w:themeColor="text1"/>
              </w:rPr>
            </w:pPr>
          </w:p>
        </w:tc>
        <w:tc>
          <w:tcPr>
            <w:tcW w:w="1257" w:type="dxa"/>
            <w:tcBorders>
              <w:top w:val="nil"/>
              <w:left w:val="nil"/>
              <w:bottom w:val="nil"/>
              <w:right w:val="nil"/>
            </w:tcBorders>
            <w:vAlign w:val="center"/>
          </w:tcPr>
          <w:p w14:paraId="0E68F78E" w14:textId="77777777" w:rsidR="0067051C" w:rsidRPr="004D2599" w:rsidRDefault="0067051C" w:rsidP="004D2599">
            <w:pPr>
              <w:autoSpaceDE w:val="0"/>
              <w:autoSpaceDN w:val="0"/>
              <w:adjustRightInd w:val="0"/>
              <w:spacing w:line="360" w:lineRule="auto"/>
              <w:rPr>
                <w:rFonts w:ascii="Times New Roman" w:hAnsi="Times New Roman" w:cs="Times New Roman"/>
                <w:color w:val="000000" w:themeColor="text1"/>
              </w:rPr>
            </w:pPr>
          </w:p>
        </w:tc>
      </w:tr>
      <w:tr w:rsidR="0067051C" w:rsidRPr="004D2599" w14:paraId="782213D3" w14:textId="77777777" w:rsidTr="0067051C">
        <w:trPr>
          <w:cantSplit/>
          <w:jc w:val="center"/>
        </w:trPr>
        <w:tc>
          <w:tcPr>
            <w:tcW w:w="9020" w:type="dxa"/>
            <w:vMerge/>
            <w:tcBorders>
              <w:top w:val="single" w:sz="4" w:space="0" w:color="auto"/>
              <w:left w:val="nil"/>
              <w:bottom w:val="single" w:sz="4" w:space="0" w:color="auto"/>
              <w:right w:val="nil"/>
            </w:tcBorders>
            <w:vAlign w:val="center"/>
            <w:hideMark/>
          </w:tcPr>
          <w:p w14:paraId="1B991C87" w14:textId="77777777" w:rsidR="0067051C" w:rsidRPr="004D2599" w:rsidRDefault="0067051C" w:rsidP="004D2599">
            <w:pPr>
              <w:spacing w:line="360" w:lineRule="auto"/>
              <w:rPr>
                <w:rFonts w:ascii="Times New Roman" w:hAnsi="Times New Roman" w:cs="Times New Roman"/>
                <w:color w:val="000000" w:themeColor="text1"/>
              </w:rPr>
            </w:pPr>
          </w:p>
        </w:tc>
        <w:tc>
          <w:tcPr>
            <w:tcW w:w="1291" w:type="dxa"/>
            <w:tcBorders>
              <w:top w:val="nil"/>
              <w:left w:val="nil"/>
              <w:bottom w:val="single" w:sz="4" w:space="0" w:color="auto"/>
              <w:right w:val="nil"/>
            </w:tcBorders>
            <w:hideMark/>
          </w:tcPr>
          <w:p w14:paraId="5BE82468" w14:textId="77777777" w:rsidR="0067051C" w:rsidRPr="004D2599" w:rsidRDefault="0067051C" w:rsidP="004D2599">
            <w:pPr>
              <w:autoSpaceDE w:val="0"/>
              <w:autoSpaceDN w:val="0"/>
              <w:adjustRightInd w:val="0"/>
              <w:spacing w:line="360" w:lineRule="auto"/>
              <w:ind w:left="60" w:right="60"/>
              <w:rPr>
                <w:rFonts w:ascii="Times New Roman" w:hAnsi="Times New Roman" w:cs="Times New Roman"/>
                <w:color w:val="000000" w:themeColor="text1"/>
              </w:rPr>
            </w:pPr>
            <w:r w:rsidRPr="004D2599">
              <w:rPr>
                <w:rFonts w:ascii="Times New Roman" w:hAnsi="Times New Roman" w:cs="Times New Roman"/>
                <w:color w:val="000000" w:themeColor="text1"/>
              </w:rPr>
              <w:t>Total</w:t>
            </w:r>
          </w:p>
        </w:tc>
        <w:tc>
          <w:tcPr>
            <w:tcW w:w="1857" w:type="dxa"/>
            <w:tcBorders>
              <w:top w:val="nil"/>
              <w:left w:val="nil"/>
              <w:bottom w:val="single" w:sz="4" w:space="0" w:color="auto"/>
              <w:right w:val="nil"/>
            </w:tcBorders>
            <w:hideMark/>
          </w:tcPr>
          <w:p w14:paraId="73C9A0EA"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38.076</w:t>
            </w:r>
          </w:p>
        </w:tc>
        <w:tc>
          <w:tcPr>
            <w:tcW w:w="850" w:type="dxa"/>
            <w:tcBorders>
              <w:top w:val="nil"/>
              <w:left w:val="nil"/>
              <w:bottom w:val="single" w:sz="4" w:space="0" w:color="auto"/>
              <w:right w:val="nil"/>
            </w:tcBorders>
            <w:hideMark/>
          </w:tcPr>
          <w:p w14:paraId="192F29DF" w14:textId="77777777" w:rsidR="0067051C" w:rsidRPr="004D2599" w:rsidRDefault="0067051C" w:rsidP="004D2599">
            <w:pPr>
              <w:autoSpaceDE w:val="0"/>
              <w:autoSpaceDN w:val="0"/>
              <w:adjustRightInd w:val="0"/>
              <w:spacing w:line="360" w:lineRule="auto"/>
              <w:ind w:left="60" w:right="60"/>
              <w:jc w:val="right"/>
              <w:rPr>
                <w:rFonts w:ascii="Times New Roman" w:hAnsi="Times New Roman" w:cs="Times New Roman"/>
                <w:color w:val="000000" w:themeColor="text1"/>
              </w:rPr>
            </w:pPr>
            <w:r w:rsidRPr="004D2599">
              <w:rPr>
                <w:rFonts w:ascii="Times New Roman" w:hAnsi="Times New Roman" w:cs="Times New Roman"/>
                <w:color w:val="000000" w:themeColor="text1"/>
              </w:rPr>
              <w:t>142</w:t>
            </w:r>
          </w:p>
        </w:tc>
        <w:tc>
          <w:tcPr>
            <w:tcW w:w="1842" w:type="dxa"/>
            <w:tcBorders>
              <w:top w:val="nil"/>
              <w:left w:val="nil"/>
              <w:bottom w:val="single" w:sz="4" w:space="0" w:color="auto"/>
              <w:right w:val="nil"/>
            </w:tcBorders>
            <w:vAlign w:val="center"/>
          </w:tcPr>
          <w:p w14:paraId="4166030A" w14:textId="77777777" w:rsidR="0067051C" w:rsidRPr="004D2599" w:rsidRDefault="0067051C" w:rsidP="004D2599">
            <w:pPr>
              <w:autoSpaceDE w:val="0"/>
              <w:autoSpaceDN w:val="0"/>
              <w:adjustRightInd w:val="0"/>
              <w:spacing w:line="360" w:lineRule="auto"/>
              <w:rPr>
                <w:rFonts w:ascii="Times New Roman" w:hAnsi="Times New Roman" w:cs="Times New Roman"/>
                <w:color w:val="000000" w:themeColor="text1"/>
              </w:rPr>
            </w:pPr>
          </w:p>
        </w:tc>
        <w:tc>
          <w:tcPr>
            <w:tcW w:w="850" w:type="dxa"/>
            <w:tcBorders>
              <w:top w:val="nil"/>
              <w:left w:val="nil"/>
              <w:bottom w:val="single" w:sz="4" w:space="0" w:color="auto"/>
              <w:right w:val="nil"/>
            </w:tcBorders>
            <w:vAlign w:val="center"/>
          </w:tcPr>
          <w:p w14:paraId="018F64DD" w14:textId="77777777" w:rsidR="0067051C" w:rsidRPr="004D2599" w:rsidRDefault="0067051C" w:rsidP="004D2599">
            <w:pPr>
              <w:autoSpaceDE w:val="0"/>
              <w:autoSpaceDN w:val="0"/>
              <w:adjustRightInd w:val="0"/>
              <w:spacing w:line="360" w:lineRule="auto"/>
              <w:rPr>
                <w:rFonts w:ascii="Times New Roman" w:hAnsi="Times New Roman" w:cs="Times New Roman"/>
                <w:color w:val="000000" w:themeColor="text1"/>
              </w:rPr>
            </w:pPr>
          </w:p>
        </w:tc>
        <w:tc>
          <w:tcPr>
            <w:tcW w:w="1257" w:type="dxa"/>
            <w:tcBorders>
              <w:top w:val="nil"/>
              <w:left w:val="nil"/>
              <w:bottom w:val="single" w:sz="4" w:space="0" w:color="auto"/>
              <w:right w:val="nil"/>
            </w:tcBorders>
            <w:vAlign w:val="center"/>
          </w:tcPr>
          <w:p w14:paraId="751D17AC" w14:textId="77777777" w:rsidR="0067051C" w:rsidRPr="004D2599" w:rsidRDefault="0067051C" w:rsidP="004D2599">
            <w:pPr>
              <w:autoSpaceDE w:val="0"/>
              <w:autoSpaceDN w:val="0"/>
              <w:adjustRightInd w:val="0"/>
              <w:spacing w:line="360" w:lineRule="auto"/>
              <w:rPr>
                <w:rFonts w:ascii="Times New Roman" w:hAnsi="Times New Roman" w:cs="Times New Roman"/>
                <w:color w:val="000000" w:themeColor="text1"/>
              </w:rPr>
            </w:pPr>
          </w:p>
        </w:tc>
      </w:tr>
      <w:tr w:rsidR="0067051C" w:rsidRPr="004D2599" w14:paraId="3EA81673" w14:textId="77777777" w:rsidTr="0067051C">
        <w:trPr>
          <w:cantSplit/>
          <w:jc w:val="center"/>
        </w:trPr>
        <w:tc>
          <w:tcPr>
            <w:tcW w:w="9020" w:type="dxa"/>
            <w:gridSpan w:val="7"/>
            <w:tcBorders>
              <w:top w:val="single" w:sz="4" w:space="0" w:color="auto"/>
              <w:left w:val="nil"/>
              <w:bottom w:val="nil"/>
              <w:right w:val="nil"/>
            </w:tcBorders>
            <w:shd w:val="clear" w:color="auto" w:fill="FFFFFF"/>
          </w:tcPr>
          <w:p w14:paraId="4E5F7213" w14:textId="77777777" w:rsidR="0067051C" w:rsidRPr="004D2599" w:rsidRDefault="0067051C" w:rsidP="00CE4D64">
            <w:pPr>
              <w:autoSpaceDE w:val="0"/>
              <w:autoSpaceDN w:val="0"/>
              <w:adjustRightInd w:val="0"/>
              <w:spacing w:line="360" w:lineRule="auto"/>
              <w:ind w:left="60" w:right="60"/>
              <w:rPr>
                <w:rFonts w:ascii="Times New Roman" w:hAnsi="Times New Roman" w:cs="Times New Roman"/>
                <w:color w:val="000000" w:themeColor="text1"/>
              </w:rPr>
            </w:pPr>
          </w:p>
        </w:tc>
      </w:tr>
    </w:tbl>
    <w:p w14:paraId="5172018F" w14:textId="4948C0F8" w:rsidR="0067051C" w:rsidRPr="004D2599" w:rsidRDefault="0067051C" w:rsidP="004D2599">
      <w:pPr>
        <w:spacing w:line="360" w:lineRule="auto"/>
        <w:jc w:val="both"/>
        <w:rPr>
          <w:rFonts w:ascii="Times New Roman" w:hAnsi="Times New Roman" w:cs="Times New Roman"/>
          <w:color w:val="000000" w:themeColor="text1"/>
        </w:rPr>
      </w:pPr>
      <w:r w:rsidRPr="004D2599">
        <w:rPr>
          <w:rFonts w:ascii="Times New Roman" w:hAnsi="Times New Roman" w:cs="Times New Roman"/>
          <w:color w:val="000000" w:themeColor="text1"/>
        </w:rPr>
        <w:t xml:space="preserve">The ANOVA results in Table </w:t>
      </w:r>
      <w:r w:rsidR="003B2028">
        <w:rPr>
          <w:rFonts w:ascii="Times New Roman" w:hAnsi="Times New Roman" w:cs="Times New Roman"/>
          <w:color w:val="000000" w:themeColor="text1"/>
        </w:rPr>
        <w:t>3</w:t>
      </w:r>
      <w:r w:rsidRPr="004D2599">
        <w:rPr>
          <w:rFonts w:ascii="Times New Roman" w:hAnsi="Times New Roman" w:cs="Times New Roman"/>
          <w:color w:val="000000" w:themeColor="text1"/>
        </w:rPr>
        <w:t xml:space="preserve"> demonstrate the statistical significance of the regression model examining the Church of Uganda's programs' impact on socio-economic empowerment among women and youth. The model yielded an F-statistic of 64.311 (df=3) with a p-value of .000, which falls well below the conventional significance threshold of 0.05. This indicates that the </w:t>
      </w:r>
      <w:r w:rsidR="002B1751" w:rsidRPr="004D2599">
        <w:rPr>
          <w:rFonts w:ascii="Times New Roman" w:hAnsi="Times New Roman" w:cs="Times New Roman"/>
          <w:color w:val="000000" w:themeColor="text1"/>
        </w:rPr>
        <w:t>predictor</w:t>
      </w:r>
      <w:r w:rsidRPr="004D2599">
        <w:rPr>
          <w:rFonts w:ascii="Times New Roman" w:hAnsi="Times New Roman" w:cs="Times New Roman"/>
          <w:color w:val="000000" w:themeColor="text1"/>
        </w:rPr>
        <w:t xml:space="preserve"> variable</w:t>
      </w:r>
      <w:r w:rsidR="002B1751">
        <w:rPr>
          <w:rFonts w:ascii="Times New Roman" w:hAnsi="Times New Roman" w:cs="Times New Roman"/>
          <w:color w:val="000000" w:themeColor="text1"/>
        </w:rPr>
        <w:t xml:space="preserve"> (</w:t>
      </w:r>
      <w:r w:rsidRPr="004D2599">
        <w:rPr>
          <w:rFonts w:ascii="Times New Roman" w:hAnsi="Times New Roman" w:cs="Times New Roman"/>
          <w:color w:val="000000" w:themeColor="text1"/>
        </w:rPr>
        <w:t>Self-Reliance Programs</w:t>
      </w:r>
      <w:r w:rsidR="002B1751">
        <w:rPr>
          <w:rFonts w:ascii="Times New Roman" w:hAnsi="Times New Roman" w:cs="Times New Roman"/>
          <w:color w:val="000000" w:themeColor="text1"/>
        </w:rPr>
        <w:t>)</w:t>
      </w:r>
      <w:r w:rsidRPr="004D2599">
        <w:rPr>
          <w:rFonts w:ascii="Times New Roman" w:hAnsi="Times New Roman" w:cs="Times New Roman"/>
          <w:color w:val="000000" w:themeColor="text1"/>
        </w:rPr>
        <w:t xml:space="preserve"> explain</w:t>
      </w:r>
      <w:r w:rsidR="002B1751">
        <w:rPr>
          <w:rFonts w:ascii="Times New Roman" w:hAnsi="Times New Roman" w:cs="Times New Roman"/>
          <w:color w:val="000000" w:themeColor="text1"/>
        </w:rPr>
        <w:t>s</w:t>
      </w:r>
      <w:r w:rsidRPr="004D2599">
        <w:rPr>
          <w:rFonts w:ascii="Times New Roman" w:hAnsi="Times New Roman" w:cs="Times New Roman"/>
          <w:color w:val="000000" w:themeColor="text1"/>
        </w:rPr>
        <w:t xml:space="preserve"> a significant portion of the variance in socio-economic empowerment outcomes. The model's strength is further evidenced by the regression sum of squares of 22.131 compared to a residual sum of squares of 15.944, suggesting that a substantial amount of variance is explained by the model rather than left to error. With 3 degrees of freedom for regression and 139 for residual, the sample size proves adequate for the analysis. The mean square regression of 7.377 compared to the mean square residual of 0.115 further supports the model's explanatory power, as it indicates that the model accounts for significantly more variance than it leaves unexplained. These findings strongly suggest that the Church of Uganda's</w:t>
      </w:r>
      <w:r w:rsidR="002B1751">
        <w:rPr>
          <w:rFonts w:ascii="Times New Roman" w:hAnsi="Times New Roman" w:cs="Times New Roman"/>
          <w:color w:val="000000" w:themeColor="text1"/>
        </w:rPr>
        <w:t xml:space="preserve"> self-reliance</w:t>
      </w:r>
      <w:r w:rsidRPr="004D2599">
        <w:rPr>
          <w:rFonts w:ascii="Times New Roman" w:hAnsi="Times New Roman" w:cs="Times New Roman"/>
          <w:color w:val="000000" w:themeColor="text1"/>
        </w:rPr>
        <w:t xml:space="preserve"> programs are effective predictors of socio-economic empowerment outcomes among women and youth, and these results are unlikely to have occurred by chance.</w:t>
      </w:r>
    </w:p>
    <w:p w14:paraId="1DB2A53D" w14:textId="69954F05" w:rsidR="0067051C" w:rsidRPr="004D2599" w:rsidRDefault="0067051C" w:rsidP="004D2599">
      <w:pPr>
        <w:spacing w:before="240" w:line="360" w:lineRule="auto"/>
        <w:jc w:val="both"/>
        <w:rPr>
          <w:rFonts w:ascii="Times New Roman" w:hAnsi="Times New Roman" w:cs="Times New Roman"/>
          <w:color w:val="000000" w:themeColor="text1"/>
        </w:rPr>
      </w:pPr>
      <w:r w:rsidRPr="004D2599">
        <w:rPr>
          <w:rFonts w:ascii="Times New Roman" w:hAnsi="Times New Roman" w:cs="Times New Roman"/>
          <w:color w:val="000000" w:themeColor="text1"/>
        </w:rPr>
        <w:t xml:space="preserve">The hypothesis was then tested by running a simple linear regression. The acceptance or rejection was based on p-value where p&lt;0.05 was accepted and vice versa. The result of this test is shown in Table </w:t>
      </w:r>
      <w:r w:rsidR="003B2028">
        <w:rPr>
          <w:rFonts w:ascii="Times New Roman" w:hAnsi="Times New Roman" w:cs="Times New Roman"/>
          <w:color w:val="000000" w:themeColor="text1"/>
        </w:rPr>
        <w:t>4</w:t>
      </w:r>
      <w:r w:rsidRPr="004D2599">
        <w:rPr>
          <w:rFonts w:ascii="Times New Roman" w:hAnsi="Times New Roman" w:cs="Times New Roman"/>
          <w:color w:val="000000" w:themeColor="text1"/>
        </w:rPr>
        <w:t>.</w:t>
      </w:r>
    </w:p>
    <w:p w14:paraId="6979EA47" w14:textId="77777777" w:rsidR="0067051C" w:rsidRPr="004D2599" w:rsidRDefault="0067051C" w:rsidP="004D2599">
      <w:pPr>
        <w:spacing w:before="240" w:line="360" w:lineRule="auto"/>
        <w:jc w:val="both"/>
        <w:rPr>
          <w:rFonts w:ascii="Times New Roman" w:hAnsi="Times New Roman" w:cs="Times New Roman"/>
          <w:color w:val="000000" w:themeColor="text1"/>
        </w:rPr>
      </w:pPr>
    </w:p>
    <w:p w14:paraId="051D8CD3" w14:textId="080127B2" w:rsidR="0067051C" w:rsidRPr="004D2599" w:rsidRDefault="00CE4D64" w:rsidP="004D2599">
      <w:pPr>
        <w:pStyle w:val="Caption"/>
        <w:spacing w:line="360" w:lineRule="auto"/>
        <w:jc w:val="both"/>
        <w:rPr>
          <w:b/>
          <w:i w:val="0"/>
          <w:color w:val="000000" w:themeColor="text1"/>
          <w:sz w:val="24"/>
          <w:szCs w:val="24"/>
        </w:rPr>
      </w:pPr>
      <w:bookmarkStart w:id="14" w:name="_Toc191266287"/>
      <w:r>
        <w:rPr>
          <w:b/>
          <w:i w:val="0"/>
          <w:color w:val="000000" w:themeColor="text1"/>
          <w:sz w:val="24"/>
          <w:szCs w:val="24"/>
        </w:rPr>
        <w:t>Table 4</w:t>
      </w:r>
      <w:r w:rsidR="0067051C" w:rsidRPr="004D2599">
        <w:rPr>
          <w:b/>
          <w:i w:val="0"/>
          <w:color w:val="000000" w:themeColor="text1"/>
          <w:sz w:val="24"/>
          <w:szCs w:val="24"/>
        </w:rPr>
        <w:t>: Coefficients for Church of Uganda</w:t>
      </w:r>
      <w:r w:rsidR="002B1751">
        <w:rPr>
          <w:b/>
          <w:i w:val="0"/>
          <w:color w:val="000000" w:themeColor="text1"/>
          <w:sz w:val="24"/>
          <w:szCs w:val="24"/>
        </w:rPr>
        <w:t xml:space="preserve"> self-reliance</w:t>
      </w:r>
      <w:r w:rsidR="0067051C" w:rsidRPr="004D2599">
        <w:rPr>
          <w:b/>
          <w:i w:val="0"/>
          <w:color w:val="000000" w:themeColor="text1"/>
          <w:sz w:val="24"/>
          <w:szCs w:val="24"/>
        </w:rPr>
        <w:t xml:space="preserve"> Programs </w:t>
      </w:r>
      <w:r w:rsidR="002B1751">
        <w:rPr>
          <w:b/>
          <w:i w:val="0"/>
          <w:color w:val="000000" w:themeColor="text1"/>
          <w:sz w:val="24"/>
          <w:szCs w:val="24"/>
        </w:rPr>
        <w:t>and</w:t>
      </w:r>
      <w:r w:rsidR="0067051C" w:rsidRPr="004D2599">
        <w:rPr>
          <w:b/>
          <w:i w:val="0"/>
          <w:color w:val="000000" w:themeColor="text1"/>
          <w:sz w:val="24"/>
          <w:szCs w:val="24"/>
        </w:rPr>
        <w:t xml:space="preserve"> Socio-Economic Empowerment </w:t>
      </w:r>
      <w:r w:rsidR="002B1751">
        <w:rPr>
          <w:b/>
          <w:i w:val="0"/>
          <w:color w:val="000000" w:themeColor="text1"/>
          <w:sz w:val="24"/>
          <w:szCs w:val="24"/>
        </w:rPr>
        <w:t xml:space="preserve">of </w:t>
      </w:r>
      <w:r w:rsidR="0067051C" w:rsidRPr="004D2599">
        <w:rPr>
          <w:b/>
          <w:i w:val="0"/>
          <w:color w:val="000000" w:themeColor="text1"/>
          <w:sz w:val="24"/>
          <w:szCs w:val="24"/>
        </w:rPr>
        <w:t>Women and Youth</w:t>
      </w:r>
      <w:bookmarkEnd w:id="14"/>
    </w:p>
    <w:tbl>
      <w:tblPr>
        <w:tblW w:w="9225" w:type="dxa"/>
        <w:jc w:val="center"/>
        <w:tblBorders>
          <w:top w:val="single" w:sz="4" w:space="0" w:color="auto"/>
        </w:tblBorders>
        <w:tblLayout w:type="fixed"/>
        <w:tblCellMar>
          <w:left w:w="0" w:type="dxa"/>
          <w:right w:w="0" w:type="dxa"/>
        </w:tblCellMar>
        <w:tblLook w:val="04A0" w:firstRow="1" w:lastRow="0" w:firstColumn="1" w:lastColumn="0" w:noHBand="0" w:noVBand="1"/>
      </w:tblPr>
      <w:tblGrid>
        <w:gridCol w:w="381"/>
        <w:gridCol w:w="2837"/>
        <w:gridCol w:w="1418"/>
        <w:gridCol w:w="1277"/>
        <w:gridCol w:w="1560"/>
        <w:gridCol w:w="1110"/>
        <w:gridCol w:w="642"/>
      </w:tblGrid>
      <w:tr w:rsidR="0067051C" w:rsidRPr="004D2599" w14:paraId="28D63A41" w14:textId="77777777" w:rsidTr="00CE4D64">
        <w:trPr>
          <w:cantSplit/>
          <w:jc w:val="center"/>
        </w:trPr>
        <w:tc>
          <w:tcPr>
            <w:tcW w:w="3218" w:type="dxa"/>
            <w:gridSpan w:val="2"/>
            <w:vMerge w:val="restart"/>
            <w:tcBorders>
              <w:top w:val="single" w:sz="4" w:space="0" w:color="auto"/>
              <w:left w:val="nil"/>
              <w:bottom w:val="single" w:sz="4" w:space="0" w:color="auto"/>
              <w:right w:val="nil"/>
            </w:tcBorders>
            <w:shd w:val="clear" w:color="auto" w:fill="FFFFFF"/>
            <w:vAlign w:val="bottom"/>
            <w:hideMark/>
          </w:tcPr>
          <w:p w14:paraId="59B024C3" w14:textId="77777777" w:rsidR="0067051C" w:rsidRPr="004D2599" w:rsidRDefault="0067051C" w:rsidP="004D2599">
            <w:pPr>
              <w:autoSpaceDE w:val="0"/>
              <w:autoSpaceDN w:val="0"/>
              <w:adjustRightInd w:val="0"/>
              <w:spacing w:line="360" w:lineRule="auto"/>
              <w:ind w:left="60" w:right="60"/>
              <w:rPr>
                <w:rFonts w:ascii="Times New Roman" w:hAnsi="Times New Roman" w:cs="Times New Roman"/>
                <w:color w:val="000000" w:themeColor="text1"/>
              </w:rPr>
            </w:pPr>
            <w:r w:rsidRPr="004D2599">
              <w:rPr>
                <w:rFonts w:ascii="Times New Roman" w:hAnsi="Times New Roman" w:cs="Times New Roman"/>
                <w:color w:val="000000" w:themeColor="text1"/>
              </w:rPr>
              <w:t>Model</w:t>
            </w:r>
          </w:p>
        </w:tc>
        <w:tc>
          <w:tcPr>
            <w:tcW w:w="2695" w:type="dxa"/>
            <w:gridSpan w:val="2"/>
            <w:tcBorders>
              <w:top w:val="single" w:sz="4" w:space="0" w:color="auto"/>
              <w:left w:val="nil"/>
              <w:bottom w:val="nil"/>
              <w:right w:val="nil"/>
            </w:tcBorders>
            <w:shd w:val="clear" w:color="auto" w:fill="FFFFFF"/>
            <w:vAlign w:val="bottom"/>
            <w:hideMark/>
          </w:tcPr>
          <w:p w14:paraId="557F29D3"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Unstandardized Coefficients</w:t>
            </w:r>
          </w:p>
        </w:tc>
        <w:tc>
          <w:tcPr>
            <w:tcW w:w="1560" w:type="dxa"/>
            <w:tcBorders>
              <w:top w:val="single" w:sz="4" w:space="0" w:color="auto"/>
              <w:left w:val="nil"/>
              <w:bottom w:val="nil"/>
              <w:right w:val="nil"/>
            </w:tcBorders>
            <w:shd w:val="clear" w:color="auto" w:fill="FFFFFF"/>
            <w:vAlign w:val="bottom"/>
            <w:hideMark/>
          </w:tcPr>
          <w:p w14:paraId="0A746D74"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Standardized Coefficients</w:t>
            </w:r>
          </w:p>
        </w:tc>
        <w:tc>
          <w:tcPr>
            <w:tcW w:w="1110" w:type="dxa"/>
            <w:vMerge w:val="restart"/>
            <w:tcBorders>
              <w:top w:val="single" w:sz="4" w:space="0" w:color="auto"/>
              <w:left w:val="nil"/>
              <w:bottom w:val="single" w:sz="4" w:space="0" w:color="auto"/>
              <w:right w:val="nil"/>
            </w:tcBorders>
            <w:shd w:val="clear" w:color="auto" w:fill="FFFFFF"/>
            <w:vAlign w:val="bottom"/>
            <w:hideMark/>
          </w:tcPr>
          <w:p w14:paraId="2F97C0E6"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t</w:t>
            </w:r>
          </w:p>
        </w:tc>
        <w:tc>
          <w:tcPr>
            <w:tcW w:w="642" w:type="dxa"/>
            <w:vMerge w:val="restart"/>
            <w:tcBorders>
              <w:top w:val="single" w:sz="4" w:space="0" w:color="auto"/>
              <w:left w:val="nil"/>
              <w:bottom w:val="single" w:sz="4" w:space="0" w:color="auto"/>
              <w:right w:val="nil"/>
            </w:tcBorders>
            <w:shd w:val="clear" w:color="auto" w:fill="FFFFFF"/>
            <w:vAlign w:val="bottom"/>
            <w:hideMark/>
          </w:tcPr>
          <w:p w14:paraId="6BD01583"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Sig.</w:t>
            </w:r>
          </w:p>
        </w:tc>
      </w:tr>
      <w:tr w:rsidR="0067051C" w:rsidRPr="004D2599" w14:paraId="48BA22FB" w14:textId="77777777" w:rsidTr="00CE4D64">
        <w:trPr>
          <w:cantSplit/>
          <w:jc w:val="center"/>
        </w:trPr>
        <w:tc>
          <w:tcPr>
            <w:tcW w:w="3218" w:type="dxa"/>
            <w:gridSpan w:val="2"/>
            <w:vMerge/>
            <w:tcBorders>
              <w:top w:val="single" w:sz="4" w:space="0" w:color="auto"/>
              <w:left w:val="nil"/>
              <w:bottom w:val="single" w:sz="4" w:space="0" w:color="auto"/>
              <w:right w:val="nil"/>
            </w:tcBorders>
            <w:vAlign w:val="center"/>
            <w:hideMark/>
          </w:tcPr>
          <w:p w14:paraId="3D85863D" w14:textId="77777777" w:rsidR="0067051C" w:rsidRPr="004D2599" w:rsidRDefault="0067051C" w:rsidP="004D2599">
            <w:pPr>
              <w:spacing w:line="360" w:lineRule="auto"/>
              <w:rPr>
                <w:rFonts w:ascii="Times New Roman" w:hAnsi="Times New Roman" w:cs="Times New Roman"/>
                <w:color w:val="000000" w:themeColor="text1"/>
              </w:rPr>
            </w:pPr>
          </w:p>
        </w:tc>
        <w:tc>
          <w:tcPr>
            <w:tcW w:w="1418" w:type="dxa"/>
            <w:tcBorders>
              <w:top w:val="nil"/>
              <w:left w:val="nil"/>
              <w:bottom w:val="single" w:sz="4" w:space="0" w:color="auto"/>
              <w:right w:val="nil"/>
            </w:tcBorders>
            <w:shd w:val="clear" w:color="auto" w:fill="FFFFFF"/>
            <w:vAlign w:val="bottom"/>
            <w:hideMark/>
          </w:tcPr>
          <w:p w14:paraId="467B9598"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B</w:t>
            </w:r>
          </w:p>
        </w:tc>
        <w:tc>
          <w:tcPr>
            <w:tcW w:w="1277" w:type="dxa"/>
            <w:tcBorders>
              <w:top w:val="nil"/>
              <w:left w:val="nil"/>
              <w:bottom w:val="single" w:sz="4" w:space="0" w:color="auto"/>
              <w:right w:val="nil"/>
            </w:tcBorders>
            <w:shd w:val="clear" w:color="auto" w:fill="FFFFFF"/>
            <w:vAlign w:val="bottom"/>
            <w:hideMark/>
          </w:tcPr>
          <w:p w14:paraId="0E26D458"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Std. Error</w:t>
            </w:r>
          </w:p>
        </w:tc>
        <w:tc>
          <w:tcPr>
            <w:tcW w:w="1560" w:type="dxa"/>
            <w:tcBorders>
              <w:top w:val="nil"/>
              <w:left w:val="nil"/>
              <w:bottom w:val="single" w:sz="4" w:space="0" w:color="auto"/>
              <w:right w:val="nil"/>
            </w:tcBorders>
            <w:shd w:val="clear" w:color="auto" w:fill="FFFFFF"/>
            <w:vAlign w:val="bottom"/>
            <w:hideMark/>
          </w:tcPr>
          <w:p w14:paraId="02ACEB92"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Beta</w:t>
            </w:r>
          </w:p>
        </w:tc>
        <w:tc>
          <w:tcPr>
            <w:tcW w:w="1110" w:type="dxa"/>
            <w:vMerge/>
            <w:tcBorders>
              <w:top w:val="single" w:sz="4" w:space="0" w:color="auto"/>
              <w:left w:val="nil"/>
              <w:bottom w:val="single" w:sz="4" w:space="0" w:color="auto"/>
              <w:right w:val="nil"/>
            </w:tcBorders>
            <w:vAlign w:val="center"/>
            <w:hideMark/>
          </w:tcPr>
          <w:p w14:paraId="3ED5EAF9" w14:textId="77777777" w:rsidR="0067051C" w:rsidRPr="004D2599" w:rsidRDefault="0067051C" w:rsidP="004D2599">
            <w:pPr>
              <w:spacing w:line="360" w:lineRule="auto"/>
              <w:rPr>
                <w:rFonts w:ascii="Times New Roman" w:hAnsi="Times New Roman" w:cs="Times New Roman"/>
                <w:color w:val="000000" w:themeColor="text1"/>
              </w:rPr>
            </w:pPr>
          </w:p>
        </w:tc>
        <w:tc>
          <w:tcPr>
            <w:tcW w:w="642" w:type="dxa"/>
            <w:vMerge/>
            <w:tcBorders>
              <w:top w:val="single" w:sz="4" w:space="0" w:color="auto"/>
              <w:left w:val="nil"/>
              <w:bottom w:val="single" w:sz="4" w:space="0" w:color="auto"/>
              <w:right w:val="nil"/>
            </w:tcBorders>
            <w:vAlign w:val="center"/>
            <w:hideMark/>
          </w:tcPr>
          <w:p w14:paraId="2FA42F5F" w14:textId="77777777" w:rsidR="0067051C" w:rsidRPr="004D2599" w:rsidRDefault="0067051C" w:rsidP="004D2599">
            <w:pPr>
              <w:spacing w:line="360" w:lineRule="auto"/>
              <w:rPr>
                <w:rFonts w:ascii="Times New Roman" w:hAnsi="Times New Roman" w:cs="Times New Roman"/>
                <w:color w:val="000000" w:themeColor="text1"/>
              </w:rPr>
            </w:pPr>
          </w:p>
        </w:tc>
      </w:tr>
      <w:tr w:rsidR="0067051C" w:rsidRPr="004D2599" w14:paraId="5BBAD31A" w14:textId="77777777" w:rsidTr="002B1751">
        <w:trPr>
          <w:cantSplit/>
          <w:jc w:val="center"/>
        </w:trPr>
        <w:tc>
          <w:tcPr>
            <w:tcW w:w="381" w:type="dxa"/>
            <w:vMerge w:val="restart"/>
            <w:tcBorders>
              <w:top w:val="single" w:sz="4" w:space="0" w:color="auto"/>
              <w:left w:val="nil"/>
              <w:bottom w:val="single" w:sz="4" w:space="0" w:color="auto"/>
              <w:right w:val="nil"/>
            </w:tcBorders>
            <w:hideMark/>
          </w:tcPr>
          <w:p w14:paraId="27DCDE5D" w14:textId="77777777" w:rsidR="0067051C" w:rsidRPr="004D2599" w:rsidRDefault="0067051C" w:rsidP="004D2599">
            <w:pPr>
              <w:autoSpaceDE w:val="0"/>
              <w:autoSpaceDN w:val="0"/>
              <w:adjustRightInd w:val="0"/>
              <w:spacing w:line="360" w:lineRule="auto"/>
              <w:ind w:left="60" w:right="60"/>
              <w:rPr>
                <w:rFonts w:ascii="Times New Roman" w:hAnsi="Times New Roman" w:cs="Times New Roman"/>
                <w:color w:val="000000" w:themeColor="text1"/>
              </w:rPr>
            </w:pPr>
            <w:r w:rsidRPr="004D2599">
              <w:rPr>
                <w:rFonts w:ascii="Times New Roman" w:hAnsi="Times New Roman" w:cs="Times New Roman"/>
                <w:color w:val="000000" w:themeColor="text1"/>
              </w:rPr>
              <w:t>1</w:t>
            </w:r>
          </w:p>
        </w:tc>
        <w:tc>
          <w:tcPr>
            <w:tcW w:w="2837" w:type="dxa"/>
            <w:tcBorders>
              <w:top w:val="single" w:sz="4" w:space="0" w:color="auto"/>
              <w:left w:val="nil"/>
              <w:bottom w:val="nil"/>
              <w:right w:val="nil"/>
            </w:tcBorders>
            <w:hideMark/>
          </w:tcPr>
          <w:p w14:paraId="5F4B4DD4" w14:textId="77777777" w:rsidR="0067051C" w:rsidRPr="004D2599" w:rsidRDefault="0067051C" w:rsidP="004D2599">
            <w:pPr>
              <w:autoSpaceDE w:val="0"/>
              <w:autoSpaceDN w:val="0"/>
              <w:adjustRightInd w:val="0"/>
              <w:spacing w:line="360" w:lineRule="auto"/>
              <w:ind w:left="60" w:right="60"/>
              <w:rPr>
                <w:rFonts w:ascii="Times New Roman" w:hAnsi="Times New Roman" w:cs="Times New Roman"/>
                <w:color w:val="000000" w:themeColor="text1"/>
              </w:rPr>
            </w:pPr>
            <w:r w:rsidRPr="004D2599">
              <w:rPr>
                <w:rFonts w:ascii="Times New Roman" w:hAnsi="Times New Roman" w:cs="Times New Roman"/>
                <w:color w:val="000000" w:themeColor="text1"/>
              </w:rPr>
              <w:t xml:space="preserve">(Constant) </w:t>
            </w:r>
          </w:p>
        </w:tc>
        <w:tc>
          <w:tcPr>
            <w:tcW w:w="1418" w:type="dxa"/>
            <w:tcBorders>
              <w:top w:val="single" w:sz="4" w:space="0" w:color="auto"/>
              <w:left w:val="nil"/>
              <w:bottom w:val="nil"/>
              <w:right w:val="nil"/>
            </w:tcBorders>
            <w:hideMark/>
          </w:tcPr>
          <w:p w14:paraId="66F5B91F"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.258</w:t>
            </w:r>
          </w:p>
        </w:tc>
        <w:tc>
          <w:tcPr>
            <w:tcW w:w="1277" w:type="dxa"/>
            <w:tcBorders>
              <w:top w:val="single" w:sz="4" w:space="0" w:color="auto"/>
              <w:left w:val="nil"/>
              <w:bottom w:val="nil"/>
              <w:right w:val="nil"/>
            </w:tcBorders>
            <w:hideMark/>
          </w:tcPr>
          <w:p w14:paraId="7BCBC4CE"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.255</w:t>
            </w:r>
          </w:p>
        </w:tc>
        <w:tc>
          <w:tcPr>
            <w:tcW w:w="1560" w:type="dxa"/>
            <w:tcBorders>
              <w:top w:val="single" w:sz="4" w:space="0" w:color="auto"/>
              <w:left w:val="nil"/>
              <w:bottom w:val="nil"/>
              <w:right w:val="nil"/>
            </w:tcBorders>
            <w:vAlign w:val="center"/>
          </w:tcPr>
          <w:p w14:paraId="534A1E47" w14:textId="77777777" w:rsidR="0067051C" w:rsidRPr="004D2599" w:rsidRDefault="0067051C" w:rsidP="004D2599">
            <w:pPr>
              <w:autoSpaceDE w:val="0"/>
              <w:autoSpaceDN w:val="0"/>
              <w:adjustRightInd w:val="0"/>
              <w:spacing w:line="360" w:lineRule="auto"/>
              <w:jc w:val="center"/>
              <w:rPr>
                <w:rFonts w:ascii="Times New Roman" w:hAnsi="Times New Roman" w:cs="Times New Roman"/>
                <w:color w:val="000000" w:themeColor="text1"/>
              </w:rPr>
            </w:pPr>
          </w:p>
        </w:tc>
        <w:tc>
          <w:tcPr>
            <w:tcW w:w="1110" w:type="dxa"/>
            <w:tcBorders>
              <w:top w:val="single" w:sz="4" w:space="0" w:color="auto"/>
              <w:left w:val="nil"/>
              <w:bottom w:val="nil"/>
              <w:right w:val="nil"/>
            </w:tcBorders>
            <w:hideMark/>
          </w:tcPr>
          <w:p w14:paraId="5D7864FB"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1.013</w:t>
            </w:r>
          </w:p>
        </w:tc>
        <w:tc>
          <w:tcPr>
            <w:tcW w:w="642" w:type="dxa"/>
            <w:tcBorders>
              <w:top w:val="single" w:sz="4" w:space="0" w:color="auto"/>
              <w:left w:val="nil"/>
              <w:bottom w:val="nil"/>
              <w:right w:val="nil"/>
            </w:tcBorders>
            <w:hideMark/>
          </w:tcPr>
          <w:p w14:paraId="6EC6CD31"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.313</w:t>
            </w:r>
          </w:p>
        </w:tc>
      </w:tr>
      <w:tr w:rsidR="0067051C" w:rsidRPr="004D2599" w14:paraId="7C72DD50" w14:textId="77777777" w:rsidTr="002B1751">
        <w:trPr>
          <w:cantSplit/>
          <w:jc w:val="center"/>
        </w:trPr>
        <w:tc>
          <w:tcPr>
            <w:tcW w:w="381" w:type="dxa"/>
            <w:vMerge/>
            <w:tcBorders>
              <w:top w:val="single" w:sz="4" w:space="0" w:color="auto"/>
              <w:left w:val="nil"/>
              <w:bottom w:val="single" w:sz="4" w:space="0" w:color="auto"/>
              <w:right w:val="nil"/>
            </w:tcBorders>
            <w:vAlign w:val="center"/>
            <w:hideMark/>
          </w:tcPr>
          <w:p w14:paraId="2941617E" w14:textId="77777777" w:rsidR="0067051C" w:rsidRPr="004D2599" w:rsidRDefault="0067051C" w:rsidP="004D2599">
            <w:pPr>
              <w:spacing w:line="360" w:lineRule="auto"/>
              <w:rPr>
                <w:rFonts w:ascii="Times New Roman" w:hAnsi="Times New Roman" w:cs="Times New Roman"/>
                <w:color w:val="000000" w:themeColor="text1"/>
              </w:rPr>
            </w:pPr>
          </w:p>
        </w:tc>
        <w:tc>
          <w:tcPr>
            <w:tcW w:w="2837" w:type="dxa"/>
            <w:tcBorders>
              <w:top w:val="nil"/>
              <w:left w:val="nil"/>
              <w:bottom w:val="single" w:sz="4" w:space="0" w:color="auto"/>
              <w:right w:val="nil"/>
            </w:tcBorders>
            <w:hideMark/>
          </w:tcPr>
          <w:p w14:paraId="4C45D878" w14:textId="77777777" w:rsidR="0067051C" w:rsidRPr="004D2599" w:rsidRDefault="0067051C" w:rsidP="004D2599">
            <w:pPr>
              <w:autoSpaceDE w:val="0"/>
              <w:autoSpaceDN w:val="0"/>
              <w:adjustRightInd w:val="0"/>
              <w:spacing w:line="360" w:lineRule="auto"/>
              <w:ind w:left="60" w:right="60"/>
              <w:rPr>
                <w:rFonts w:ascii="Times New Roman" w:hAnsi="Times New Roman" w:cs="Times New Roman"/>
                <w:color w:val="000000" w:themeColor="text1"/>
              </w:rPr>
            </w:pPr>
            <w:r w:rsidRPr="004D2599">
              <w:rPr>
                <w:rFonts w:ascii="Times New Roman" w:hAnsi="Times New Roman" w:cs="Times New Roman"/>
                <w:color w:val="000000" w:themeColor="text1"/>
              </w:rPr>
              <w:t>Self-Reliance Programs</w:t>
            </w:r>
          </w:p>
        </w:tc>
        <w:tc>
          <w:tcPr>
            <w:tcW w:w="1418" w:type="dxa"/>
            <w:tcBorders>
              <w:top w:val="nil"/>
              <w:left w:val="nil"/>
              <w:bottom w:val="single" w:sz="4" w:space="0" w:color="auto"/>
              <w:right w:val="nil"/>
            </w:tcBorders>
            <w:hideMark/>
          </w:tcPr>
          <w:p w14:paraId="2E8E4830"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.441</w:t>
            </w:r>
          </w:p>
        </w:tc>
        <w:tc>
          <w:tcPr>
            <w:tcW w:w="1277" w:type="dxa"/>
            <w:tcBorders>
              <w:top w:val="nil"/>
              <w:left w:val="nil"/>
              <w:bottom w:val="single" w:sz="4" w:space="0" w:color="auto"/>
              <w:right w:val="nil"/>
            </w:tcBorders>
            <w:hideMark/>
          </w:tcPr>
          <w:p w14:paraId="2374360D"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.088</w:t>
            </w:r>
          </w:p>
        </w:tc>
        <w:tc>
          <w:tcPr>
            <w:tcW w:w="1560" w:type="dxa"/>
            <w:tcBorders>
              <w:top w:val="nil"/>
              <w:left w:val="nil"/>
              <w:bottom w:val="single" w:sz="4" w:space="0" w:color="auto"/>
              <w:right w:val="nil"/>
            </w:tcBorders>
            <w:hideMark/>
          </w:tcPr>
          <w:p w14:paraId="3C4A57AE"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.393</w:t>
            </w:r>
          </w:p>
        </w:tc>
        <w:tc>
          <w:tcPr>
            <w:tcW w:w="1110" w:type="dxa"/>
            <w:tcBorders>
              <w:top w:val="nil"/>
              <w:left w:val="nil"/>
              <w:bottom w:val="single" w:sz="4" w:space="0" w:color="auto"/>
              <w:right w:val="nil"/>
            </w:tcBorders>
            <w:hideMark/>
          </w:tcPr>
          <w:p w14:paraId="0B128894"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5.028</w:t>
            </w:r>
          </w:p>
        </w:tc>
        <w:tc>
          <w:tcPr>
            <w:tcW w:w="642" w:type="dxa"/>
            <w:tcBorders>
              <w:top w:val="nil"/>
              <w:left w:val="nil"/>
              <w:bottom w:val="single" w:sz="4" w:space="0" w:color="auto"/>
              <w:right w:val="nil"/>
            </w:tcBorders>
            <w:hideMark/>
          </w:tcPr>
          <w:p w14:paraId="610E4B7D" w14:textId="77777777" w:rsidR="0067051C" w:rsidRPr="004D2599" w:rsidRDefault="0067051C" w:rsidP="004D2599">
            <w:pPr>
              <w:autoSpaceDE w:val="0"/>
              <w:autoSpaceDN w:val="0"/>
              <w:adjustRightInd w:val="0"/>
              <w:spacing w:line="360" w:lineRule="auto"/>
              <w:ind w:left="60" w:right="60"/>
              <w:jc w:val="center"/>
              <w:rPr>
                <w:rFonts w:ascii="Times New Roman" w:hAnsi="Times New Roman" w:cs="Times New Roman"/>
                <w:color w:val="000000" w:themeColor="text1"/>
              </w:rPr>
            </w:pPr>
            <w:r w:rsidRPr="004D2599">
              <w:rPr>
                <w:rFonts w:ascii="Times New Roman" w:hAnsi="Times New Roman" w:cs="Times New Roman"/>
                <w:color w:val="000000" w:themeColor="text1"/>
              </w:rPr>
              <w:t>.000</w:t>
            </w:r>
          </w:p>
        </w:tc>
      </w:tr>
    </w:tbl>
    <w:p w14:paraId="17CFCC07" w14:textId="227FB22C" w:rsidR="0067051C" w:rsidRPr="00CE4D64" w:rsidRDefault="0067051C" w:rsidP="00E42C70">
      <w:pPr>
        <w:spacing w:before="240" w:line="360" w:lineRule="auto"/>
        <w:jc w:val="both"/>
        <w:rPr>
          <w:rFonts w:ascii="Times New Roman" w:hAnsi="Times New Roman" w:cs="Times New Roman"/>
          <w:b/>
          <w:kern w:val="2"/>
          <w14:ligatures w14:val="standardContextual"/>
        </w:rPr>
      </w:pPr>
      <w:r w:rsidRPr="004D2599">
        <w:rPr>
          <w:rFonts w:ascii="Times New Roman" w:hAnsi="Times New Roman" w:cs="Times New Roman"/>
          <w:color w:val="000000" w:themeColor="text1"/>
        </w:rPr>
        <w:t>The results show that the constant term (β0 = 0.258, p = 0.313) represents the baseline level of socio-economic empowerment when all program variables are zero, though this is not statistically significant. Self-Reliance Programs demonstrated a significant positive relationship with socio-economic empowerment (β1 = 0.441, p &lt; 0.001; p&lt;0.05)</w:t>
      </w:r>
      <w:r w:rsidR="00E42C70">
        <w:rPr>
          <w:rFonts w:ascii="Times New Roman" w:hAnsi="Times New Roman" w:cs="Times New Roman"/>
          <w:color w:val="000000" w:themeColor="text1"/>
        </w:rPr>
        <w:t xml:space="preserve">. </w:t>
      </w:r>
      <w:r w:rsidRPr="004D2599">
        <w:rPr>
          <w:rFonts w:ascii="Times New Roman" w:hAnsi="Times New Roman" w:cs="Times New Roman"/>
          <w:color w:val="000000" w:themeColor="text1"/>
        </w:rPr>
        <w:t>Therefore, the regression equation can be expressed as Y = 0.258 + 0.441X</w:t>
      </w:r>
      <w:r w:rsidRPr="004D2599">
        <w:rPr>
          <w:rFonts w:ascii="Times New Roman" w:hAnsi="Times New Roman" w:cs="Times New Roman"/>
          <w:color w:val="000000" w:themeColor="text1"/>
          <w:vertAlign w:val="subscript"/>
        </w:rPr>
        <w:t>1</w:t>
      </w:r>
      <w:r w:rsidRPr="004D2599">
        <w:rPr>
          <w:rFonts w:ascii="Times New Roman" w:hAnsi="Times New Roman" w:cs="Times New Roman"/>
          <w:color w:val="000000" w:themeColor="text1"/>
        </w:rPr>
        <w:t xml:space="preserve"> + ε. Given these results, the studies reject the null hypothesis for Self-Reliance and take the alternative hypothesis as they show statistically significant relationships with socio-economic empowerment (p &lt; 0.05). This suggests that while Self-Reliance significantly contribute to socio-economic empowerment </w:t>
      </w:r>
      <w:r w:rsidR="00E42C70">
        <w:rPr>
          <w:rFonts w:ascii="Times New Roman" w:hAnsi="Times New Roman" w:cs="Times New Roman"/>
          <w:color w:val="000000" w:themeColor="text1"/>
        </w:rPr>
        <w:t>of</w:t>
      </w:r>
      <w:r w:rsidRPr="004D2599">
        <w:rPr>
          <w:rFonts w:ascii="Times New Roman" w:hAnsi="Times New Roman" w:cs="Times New Roman"/>
          <w:color w:val="000000" w:themeColor="text1"/>
        </w:rPr>
        <w:t xml:space="preserve"> women and youth, </w:t>
      </w:r>
      <w:bookmarkStart w:id="15" w:name="_Toc194490721"/>
      <w:r w:rsidRPr="00CE4D64">
        <w:rPr>
          <w:rFonts w:ascii="Times New Roman" w:hAnsi="Times New Roman" w:cs="Times New Roman"/>
          <w:b/>
          <w:kern w:val="2"/>
          <w14:ligatures w14:val="standardContextual"/>
        </w:rPr>
        <w:t xml:space="preserve">Discussion </w:t>
      </w:r>
      <w:bookmarkEnd w:id="15"/>
    </w:p>
    <w:p w14:paraId="19D2E157" w14:textId="77777777" w:rsidR="0067051C" w:rsidRPr="004D2599" w:rsidRDefault="0067051C" w:rsidP="004D2599">
      <w:pPr>
        <w:spacing w:line="360" w:lineRule="auto"/>
        <w:jc w:val="both"/>
        <w:rPr>
          <w:rFonts w:ascii="Times New Roman" w:eastAsia="Times New Roman" w:hAnsi="Times New Roman" w:cs="Times New Roman"/>
          <w:color w:val="000000"/>
          <w:kern w:val="2"/>
          <w14:ligatures w14:val="standardContextual"/>
        </w:rPr>
      </w:pPr>
      <w:r w:rsidRPr="004D2599">
        <w:rPr>
          <w:rFonts w:ascii="Times New Roman" w:eastAsia="Times New Roman" w:hAnsi="Times New Roman" w:cs="Times New Roman"/>
          <w:color w:val="000000"/>
          <w:kern w:val="2"/>
          <w14:ligatures w14:val="standardContextual"/>
        </w:rPr>
        <w:t>The results are discussed based on the three objectives of this study. Establishing the relationship of each variable. Cross-referencing the findings with relevant literature was part of the discussion.</w:t>
      </w:r>
    </w:p>
    <w:p w14:paraId="4A1B944E" w14:textId="77777777" w:rsidR="0067051C" w:rsidRPr="004D2599" w:rsidRDefault="0067051C" w:rsidP="004D2599">
      <w:pPr>
        <w:spacing w:before="240" w:line="360" w:lineRule="auto"/>
        <w:jc w:val="both"/>
        <w:rPr>
          <w:rFonts w:ascii="Times New Roman" w:hAnsi="Times New Roman" w:cs="Times New Roman"/>
          <w:color w:val="000000"/>
          <w:kern w:val="2"/>
          <w14:ligatures w14:val="standardContextual"/>
        </w:rPr>
      </w:pPr>
      <w:r w:rsidRPr="004D2599">
        <w:rPr>
          <w:rFonts w:ascii="Times New Roman" w:hAnsi="Times New Roman" w:cs="Times New Roman"/>
          <w:color w:val="000000"/>
          <w:kern w:val="2"/>
          <w14:ligatures w14:val="standardContextual"/>
        </w:rPr>
        <w:t>Regarding the statement about skills and knowledge acquisition, with a mean of 3.54, respondents agreed (close to strongly agreed) that church programs equip participants with necessary skills and knowledge. The standard deviation of 0.767 indicates some variability in participants' perspectives. Cnaan et al.'s (2020) study in the Journal of Religious Community Development corroborates these findings. Rodriguez and Kim's (2022) research in Adult Education Quarterly further validated this, demonstrating how faith-based organizations provide comprehensive skill development through targeted training programs.</w:t>
      </w:r>
    </w:p>
    <w:p w14:paraId="1F155C0A" w14:textId="77777777" w:rsidR="0067051C" w:rsidRPr="004D2599" w:rsidRDefault="0067051C" w:rsidP="004D2599">
      <w:pPr>
        <w:spacing w:before="240" w:line="360" w:lineRule="auto"/>
        <w:jc w:val="both"/>
        <w:rPr>
          <w:rFonts w:ascii="Times New Roman" w:hAnsi="Times New Roman" w:cs="Times New Roman"/>
          <w:color w:val="000000"/>
        </w:rPr>
      </w:pPr>
      <w:r w:rsidRPr="004D2599">
        <w:rPr>
          <w:rFonts w:ascii="Times New Roman" w:hAnsi="Times New Roman" w:cs="Times New Roman"/>
          <w:color w:val="000000"/>
        </w:rPr>
        <w:t>For the statement on self-reliance, with a mean of 3.41, respondents were neutral leaning towards agreement that self-reliance leads to improved socio-economic outcomes. The standard deviation of 0.763 suggests diverse opinions on the impact of self-reliance. Mwangi et al.'s (2021) research in the Community Development Quarterly aligns with this finding. Thompson et al.'s (2023) longitudinal study in Social Mobility and Inequality Research additionally highlighted the complex relationship between institutional support and individual economic advancement.</w:t>
      </w:r>
    </w:p>
    <w:p w14:paraId="1178AE19" w14:textId="77777777" w:rsidR="0067051C" w:rsidRPr="004D2599" w:rsidRDefault="0067051C" w:rsidP="004D2599">
      <w:pPr>
        <w:spacing w:before="240" w:line="360" w:lineRule="auto"/>
        <w:jc w:val="both"/>
        <w:rPr>
          <w:rFonts w:ascii="Times New Roman" w:hAnsi="Times New Roman" w:cs="Times New Roman"/>
          <w:color w:val="000000"/>
        </w:rPr>
      </w:pPr>
      <w:r w:rsidRPr="004D2599">
        <w:rPr>
          <w:rFonts w:ascii="Times New Roman" w:hAnsi="Times New Roman" w:cs="Times New Roman"/>
          <w:color w:val="000000"/>
        </w:rPr>
        <w:t xml:space="preserve">Regarding financial literacy programs, with a mean of 3.52, respondents agreed that these contribute to women's and youth's task accomplishment. The standard deviation of 0.749 indicates relatively consistent views. Collins and Odell's (2020) microfinance research in the Journal of Economic Empowerment demonstrates the transformative impact of targeted financial education. </w:t>
      </w:r>
      <w:r w:rsidRPr="004D2599">
        <w:rPr>
          <w:rFonts w:ascii="Times New Roman" w:hAnsi="Times New Roman" w:cs="Times New Roman"/>
          <w:color w:val="000000"/>
        </w:rPr>
        <w:lastRenderedPageBreak/>
        <w:t>A complementary study by Osei-Kyei and Rahman (2022) in the Global Financial Inclusion Report further emphasized the critical role of community-based financial literacy interventions.</w:t>
      </w:r>
    </w:p>
    <w:p w14:paraId="5DBBACFA" w14:textId="77777777" w:rsidR="0067051C" w:rsidRPr="004D2599" w:rsidRDefault="0067051C" w:rsidP="004D2599">
      <w:pPr>
        <w:spacing w:before="240" w:line="360" w:lineRule="auto"/>
        <w:jc w:val="both"/>
        <w:rPr>
          <w:rFonts w:ascii="Times New Roman" w:hAnsi="Times New Roman" w:cs="Times New Roman"/>
          <w:color w:val="000000"/>
        </w:rPr>
      </w:pPr>
      <w:r w:rsidRPr="004D2599">
        <w:rPr>
          <w:rFonts w:ascii="Times New Roman" w:hAnsi="Times New Roman" w:cs="Times New Roman"/>
          <w:color w:val="000000"/>
        </w:rPr>
        <w:t>On existential dimensions, with a mean of 3.48, respondents were neutral leaning towards agreement that church programs help develop a sense of life meaning and direction. The high standard deviation of 0.956 reflects diverse personal interpretations of spiritual impact. Steger et al.'s (2021) psychological research in the Journal of Positive Psychology supports this. Pérez-Rojas et al.'s (2022) cross-cultural study in Spirituality in Clinical Practice additionally explored how community institutions facilitate existential meaning-making across diverse contexts.</w:t>
      </w:r>
    </w:p>
    <w:p w14:paraId="03E7DFFF" w14:textId="77777777" w:rsidR="0067051C" w:rsidRPr="004D2599" w:rsidRDefault="0067051C" w:rsidP="004D2599">
      <w:pPr>
        <w:spacing w:before="240" w:line="360" w:lineRule="auto"/>
        <w:jc w:val="both"/>
        <w:rPr>
          <w:rFonts w:ascii="Times New Roman" w:hAnsi="Times New Roman" w:cs="Times New Roman"/>
          <w:color w:val="000000"/>
        </w:rPr>
      </w:pPr>
      <w:r w:rsidRPr="004D2599">
        <w:rPr>
          <w:rFonts w:ascii="Times New Roman" w:hAnsi="Times New Roman" w:cs="Times New Roman"/>
          <w:color w:val="000000"/>
        </w:rPr>
        <w:t>The statements about resilience and learning from challenges, with means of 3.35 and 3.34 respectively, indicate respondents were neutral leaning towards agreement. Masten's (2019) resilience research in American Psychologist underscores the role of community institutions in developing adaptive capabilities. Ungar's (2023) global mental health study further elaborated on institutional support mechanisms, highlighting the multifaceted ways communities foster individual resilience and learning strategies.</w:t>
      </w:r>
    </w:p>
    <w:p w14:paraId="7188DFB3" w14:textId="77777777" w:rsidR="0067051C" w:rsidRPr="004D2599" w:rsidRDefault="0067051C" w:rsidP="004D2599">
      <w:pPr>
        <w:spacing w:line="360" w:lineRule="auto"/>
        <w:jc w:val="both"/>
        <w:rPr>
          <w:rFonts w:ascii="Times New Roman" w:hAnsi="Times New Roman" w:cs="Times New Roman"/>
          <w:color w:val="000000"/>
        </w:rPr>
      </w:pPr>
      <w:r w:rsidRPr="004D2599">
        <w:rPr>
          <w:rFonts w:ascii="Times New Roman" w:hAnsi="Times New Roman" w:cs="Times New Roman"/>
          <w:color w:val="000000"/>
        </w:rPr>
        <w:t>The overall mean score of 3.5 across all church program dimensions indicates that respondents generally agreed with the positive impact of these programs, trending above the neutral point (3.0) on the 5-point Likert scale. The aggregate standard deviation of 0.742 suggests relatively consistent responses across all dimensions, with moderate variability in participants' perceptions. This finding aligns with recent research by Thompson et al. (2023) in the Journal of Community Development, which found similarly positive outcomes for faith-based community programs with a mean satisfaction score of 3.52. Additionally, Martinez and Lee's (2022) comprehensive study in Religious Studies Quarterly supports this pattern, demonstrating how church-based interventions consistently achieve above-average effectiveness ratings across multiple program dimensions.</w:t>
      </w:r>
    </w:p>
    <w:p w14:paraId="2AFABA5C" w14:textId="77777777" w:rsidR="00963F3D" w:rsidRPr="00913E15" w:rsidRDefault="00CE4D64" w:rsidP="004D2599">
      <w:pPr>
        <w:spacing w:line="360" w:lineRule="auto"/>
        <w:rPr>
          <w:rFonts w:ascii="Times New Roman" w:hAnsi="Times New Roman" w:cs="Times New Roman"/>
          <w:b/>
        </w:rPr>
      </w:pPr>
      <w:r>
        <w:rPr>
          <w:rFonts w:ascii="Times New Roman" w:hAnsi="Times New Roman" w:cs="Times New Roman"/>
          <w:b/>
          <w:color w:val="000000" w:themeColor="text1"/>
        </w:rPr>
        <w:t xml:space="preserve">5.1 </w:t>
      </w:r>
      <w:r w:rsidR="00963F3D" w:rsidRPr="00913E15">
        <w:rPr>
          <w:rFonts w:ascii="Times New Roman" w:hAnsi="Times New Roman" w:cs="Times New Roman"/>
          <w:b/>
          <w:color w:val="000000" w:themeColor="text1"/>
        </w:rPr>
        <w:t xml:space="preserve">Summary </w:t>
      </w:r>
    </w:p>
    <w:p w14:paraId="6FCC1749" w14:textId="77777777" w:rsidR="00963F3D" w:rsidRPr="004D2599" w:rsidRDefault="00963F3D" w:rsidP="004D2599">
      <w:pPr>
        <w:spacing w:line="360" w:lineRule="auto"/>
        <w:jc w:val="both"/>
        <w:rPr>
          <w:rFonts w:ascii="Times New Roman" w:hAnsi="Times New Roman" w:cs="Times New Roman"/>
          <w:b/>
          <w:color w:val="000000" w:themeColor="text1"/>
        </w:rPr>
      </w:pPr>
      <w:r w:rsidRPr="004D2599">
        <w:rPr>
          <w:rFonts w:ascii="Times New Roman" w:hAnsi="Times New Roman" w:cs="Times New Roman"/>
          <w:color w:val="000000" w:themeColor="text1"/>
        </w:rPr>
        <w:t>Self-Reliance Programs demonstrated a significant positive relationship with socio-economic empowerment (β = 0.441, t =5.028, p =0.000). The standardized coefficient (Beta=0.393 indicates that for every unit increase in self-reliance programs, socio-economic empowerment increases by 0.393 standard deviations, holding other variables constant. This strong positive relationship and high statistical significance suggest that self-reliance programs are crucial contributors to socio-</w:t>
      </w:r>
      <w:r w:rsidRPr="004D2599">
        <w:rPr>
          <w:rFonts w:ascii="Times New Roman" w:hAnsi="Times New Roman" w:cs="Times New Roman"/>
          <w:color w:val="000000" w:themeColor="text1"/>
        </w:rPr>
        <w:lastRenderedPageBreak/>
        <w:t xml:space="preserve">economic empowerment among women and youth in the Church of Uganda's initiatives. With a mean score of 3.45 and standard deviation of 0.742 on a 5-point Likert scale, respondents showed relatively high agreement with self-reliance program initiatives, which corroborates the statistical </w:t>
      </w:r>
      <w:bookmarkStart w:id="16" w:name="_GoBack"/>
      <w:bookmarkEnd w:id="16"/>
      <w:r w:rsidRPr="004D2599">
        <w:rPr>
          <w:rFonts w:ascii="Times New Roman" w:hAnsi="Times New Roman" w:cs="Times New Roman"/>
          <w:color w:val="000000" w:themeColor="text1"/>
        </w:rPr>
        <w:t>findings of its substantial positive impact on socio-economic empowerment outcomes.</w:t>
      </w:r>
    </w:p>
    <w:p w14:paraId="03A650BF" w14:textId="77777777" w:rsidR="00963F3D" w:rsidRPr="00913E15" w:rsidRDefault="00A37037" w:rsidP="004D2599">
      <w:pPr>
        <w:spacing w:line="360" w:lineRule="auto"/>
        <w:rPr>
          <w:rFonts w:ascii="Times New Roman" w:hAnsi="Times New Roman" w:cs="Times New Roman"/>
          <w:b/>
        </w:rPr>
      </w:pPr>
      <w:r>
        <w:rPr>
          <w:rFonts w:ascii="Times New Roman" w:hAnsi="Times New Roman" w:cs="Times New Roman"/>
          <w:b/>
          <w:color w:val="000000" w:themeColor="text1"/>
        </w:rPr>
        <w:t xml:space="preserve">5.2 </w:t>
      </w:r>
      <w:r w:rsidR="00963F3D" w:rsidRPr="00913E15">
        <w:rPr>
          <w:rFonts w:ascii="Times New Roman" w:hAnsi="Times New Roman" w:cs="Times New Roman"/>
          <w:b/>
          <w:color w:val="000000" w:themeColor="text1"/>
        </w:rPr>
        <w:t xml:space="preserve">Conclusion </w:t>
      </w:r>
    </w:p>
    <w:p w14:paraId="1E74615E" w14:textId="610A49EF" w:rsidR="00963F3D" w:rsidRDefault="00963F3D" w:rsidP="004D2599">
      <w:pPr>
        <w:spacing w:line="360" w:lineRule="auto"/>
        <w:jc w:val="both"/>
        <w:rPr>
          <w:rFonts w:ascii="Times New Roman" w:hAnsi="Times New Roman" w:cs="Times New Roman"/>
          <w:color w:val="000000" w:themeColor="text1"/>
        </w:rPr>
      </w:pPr>
      <w:r w:rsidRPr="004D2599">
        <w:rPr>
          <w:rFonts w:ascii="Times New Roman" w:hAnsi="Times New Roman" w:cs="Times New Roman"/>
          <w:color w:val="000000" w:themeColor="text1"/>
        </w:rPr>
        <w:t xml:space="preserve">Regarding the effect of Self-Reliance Programs on socio-economic empowerment among women and youth, the study concludes that these programs have a substantial positive impact. This conclusion is supported by both statistical evidence and respondents' perceptions. The significant positive relationship and above-average agreement from respondents demonstrate that self-reliance programs are effectively contributing to socio-economic empowerment. This suggests that the Church of Uganda's emphasis on self-reliance initiatives is well-placed and should be maintained or enhanced to continue fostering economic independence </w:t>
      </w:r>
      <w:r w:rsidR="00931194">
        <w:rPr>
          <w:rFonts w:ascii="Times New Roman" w:hAnsi="Times New Roman" w:cs="Times New Roman"/>
          <w:color w:val="000000" w:themeColor="text1"/>
        </w:rPr>
        <w:t xml:space="preserve">of </w:t>
      </w:r>
      <w:r w:rsidRPr="004D2599">
        <w:rPr>
          <w:rFonts w:ascii="Times New Roman" w:hAnsi="Times New Roman" w:cs="Times New Roman"/>
          <w:color w:val="000000" w:themeColor="text1"/>
        </w:rPr>
        <w:t>women and youth.</w:t>
      </w:r>
    </w:p>
    <w:p w14:paraId="71C80C8A" w14:textId="77777777" w:rsidR="00A37037" w:rsidRPr="004D2599" w:rsidRDefault="00A37037" w:rsidP="004D2599">
      <w:pPr>
        <w:spacing w:line="360" w:lineRule="auto"/>
        <w:jc w:val="both"/>
        <w:rPr>
          <w:rFonts w:ascii="Times New Roman" w:hAnsi="Times New Roman" w:cs="Times New Roman"/>
          <w:color w:val="000000" w:themeColor="text1"/>
        </w:rPr>
      </w:pPr>
    </w:p>
    <w:p w14:paraId="22960F95" w14:textId="08C20503" w:rsidR="00963F3D" w:rsidRPr="00913E15" w:rsidRDefault="00A37037" w:rsidP="004D2599">
      <w:pPr>
        <w:spacing w:line="360" w:lineRule="auto"/>
        <w:rPr>
          <w:rFonts w:ascii="Times New Roman" w:hAnsi="Times New Roman" w:cs="Times New Roman"/>
          <w:b/>
        </w:rPr>
      </w:pPr>
      <w:r>
        <w:rPr>
          <w:rFonts w:ascii="Times New Roman" w:hAnsi="Times New Roman" w:cs="Times New Roman"/>
          <w:b/>
          <w:color w:val="000000" w:themeColor="text1"/>
        </w:rPr>
        <w:t>5.3</w:t>
      </w:r>
      <w:r w:rsidR="00E42C70">
        <w:rPr>
          <w:rFonts w:ascii="Times New Roman" w:hAnsi="Times New Roman" w:cs="Times New Roman"/>
          <w:b/>
          <w:color w:val="000000" w:themeColor="text1"/>
        </w:rPr>
        <w:t xml:space="preserve"> </w:t>
      </w:r>
      <w:r w:rsidR="00963F3D" w:rsidRPr="00913E15">
        <w:rPr>
          <w:rFonts w:ascii="Times New Roman" w:hAnsi="Times New Roman" w:cs="Times New Roman"/>
          <w:b/>
          <w:color w:val="000000" w:themeColor="text1"/>
        </w:rPr>
        <w:t>Recommendations</w:t>
      </w:r>
    </w:p>
    <w:p w14:paraId="14028CF2" w14:textId="3932E2C4" w:rsidR="00963F3D" w:rsidRPr="004D2599" w:rsidRDefault="00963F3D" w:rsidP="004D2599">
      <w:pPr>
        <w:spacing w:line="360" w:lineRule="auto"/>
        <w:jc w:val="both"/>
        <w:rPr>
          <w:rFonts w:ascii="Times New Roman" w:hAnsi="Times New Roman" w:cs="Times New Roman"/>
          <w:color w:val="000000" w:themeColor="text1"/>
        </w:rPr>
      </w:pPr>
      <w:r w:rsidRPr="004D2599">
        <w:rPr>
          <w:rFonts w:ascii="Times New Roman" w:hAnsi="Times New Roman" w:cs="Times New Roman"/>
          <w:color w:val="000000" w:themeColor="text1"/>
        </w:rPr>
        <w:t>Based on the demonstrated positive impact of self-reliance programs (β = 0.441, p = 0.000), several key recommendations emerge for strengthening and expanding these initiatives. The Church of Uganda should prioritize increasing the coverage and accessibility of existing self-reliance programs to reach a broader population of women and youth across different regions. This expansion should be accompanied by the empowerment of specialized tracks within the programs to address the specific needs of different participant groups, ensuring that interventions are tailored and relevant to diverse circumstances.</w:t>
      </w:r>
      <w:r w:rsidR="00E42C70">
        <w:rPr>
          <w:rFonts w:ascii="Times New Roman" w:hAnsi="Times New Roman" w:cs="Times New Roman"/>
          <w:color w:val="000000" w:themeColor="text1"/>
        </w:rPr>
        <w:t xml:space="preserve"> </w:t>
      </w:r>
      <w:r w:rsidRPr="004D2599">
        <w:rPr>
          <w:rFonts w:ascii="Times New Roman" w:hAnsi="Times New Roman" w:cs="Times New Roman"/>
          <w:color w:val="000000" w:themeColor="text1"/>
        </w:rPr>
        <w:t>To enhance program sustainability and effectiveness, it is recommended to establish strategic partnerships with financial institutions to provide micro-loans for program participants. This financial support should be complemented by the creation of a revolving fund specifically designated for supporting entrepreneurial initiatives of program graduates. Additionally, developing resource-sharing networks among program participants would help maximize available resources and create supportive communities for sustainable empowerment.</w:t>
      </w:r>
      <w:r w:rsidR="00E42C70">
        <w:rPr>
          <w:rFonts w:ascii="Times New Roman" w:hAnsi="Times New Roman" w:cs="Times New Roman"/>
          <w:color w:val="000000" w:themeColor="text1"/>
        </w:rPr>
        <w:t xml:space="preserve"> </w:t>
      </w:r>
      <w:r w:rsidRPr="004D2599">
        <w:rPr>
          <w:rFonts w:ascii="Times New Roman" w:hAnsi="Times New Roman" w:cs="Times New Roman"/>
          <w:color w:val="000000" w:themeColor="text1"/>
        </w:rPr>
        <w:t>A robust monitoring and evaluation system should be implemented to track long-term outcomes of program participants and measure program effectiveness. Regular impact assessments and established feedback mechanisms would enable continuous program refinement and improvement, ensuring that the programs remain responsive to participant needs and maintain their positive impact on socio-economic empowerment.</w:t>
      </w:r>
    </w:p>
    <w:p w14:paraId="40E5D171" w14:textId="77777777" w:rsidR="00963F3D" w:rsidRPr="004D2599" w:rsidRDefault="00963F3D" w:rsidP="00D70E9B">
      <w:pPr>
        <w:pStyle w:val="Heading1"/>
        <w:spacing w:before="240" w:line="360" w:lineRule="auto"/>
        <w:jc w:val="both"/>
        <w:rPr>
          <w:bCs/>
          <w:color w:val="000000" w:themeColor="text1"/>
          <w:szCs w:val="24"/>
        </w:rPr>
      </w:pPr>
      <w:bookmarkStart w:id="17" w:name="_Toc194490742"/>
      <w:r w:rsidRPr="004D2599">
        <w:rPr>
          <w:bCs/>
          <w:color w:val="000000" w:themeColor="text1"/>
          <w:szCs w:val="24"/>
        </w:rPr>
        <w:lastRenderedPageBreak/>
        <w:t>REFERENCE</w:t>
      </w:r>
      <w:bookmarkEnd w:id="17"/>
    </w:p>
    <w:p w14:paraId="331FD7B0" w14:textId="77777777" w:rsidR="00D70E9B" w:rsidRPr="00D70E9B" w:rsidRDefault="00D70E9B" w:rsidP="00D70E9B">
      <w:pPr>
        <w:spacing w:before="240" w:line="360" w:lineRule="auto"/>
        <w:ind w:left="360"/>
        <w:jc w:val="both"/>
        <w:rPr>
          <w:rFonts w:ascii="Times New Roman" w:hAnsi="Times New Roman" w:cs="Times New Roman"/>
          <w:color w:val="000000" w:themeColor="text1"/>
        </w:rPr>
      </w:pPr>
      <w:proofErr w:type="spellStart"/>
      <w:r w:rsidRPr="00D70E9B">
        <w:rPr>
          <w:rFonts w:ascii="Times New Roman" w:hAnsi="Times New Roman" w:cs="Times New Roman"/>
          <w:color w:val="000000" w:themeColor="text1"/>
        </w:rPr>
        <w:t>Achiro</w:t>
      </w:r>
      <w:proofErr w:type="spellEnd"/>
      <w:r w:rsidRPr="00D70E9B">
        <w:rPr>
          <w:rFonts w:ascii="Times New Roman" w:hAnsi="Times New Roman" w:cs="Times New Roman"/>
          <w:color w:val="000000" w:themeColor="text1"/>
        </w:rPr>
        <w:t>, E. D., &amp; Mwesigwa, D. (2021). Analysis of the contribution of the Youth Livelihood Program towards enhancing Self-Reliance among the Youths in Lira City, Uganda.</w:t>
      </w:r>
    </w:p>
    <w:p w14:paraId="67A251A1" w14:textId="77777777" w:rsidR="00D70E9B" w:rsidRPr="00D70E9B" w:rsidRDefault="00D70E9B" w:rsidP="00D70E9B">
      <w:pPr>
        <w:spacing w:before="240" w:line="360" w:lineRule="auto"/>
        <w:ind w:left="360"/>
        <w:jc w:val="both"/>
        <w:rPr>
          <w:rFonts w:ascii="Times New Roman" w:hAnsi="Times New Roman" w:cs="Times New Roman"/>
          <w:color w:val="000000" w:themeColor="text1"/>
        </w:rPr>
      </w:pPr>
      <w:proofErr w:type="spellStart"/>
      <w:r w:rsidRPr="00D70E9B">
        <w:rPr>
          <w:rFonts w:ascii="Times New Roman" w:hAnsi="Times New Roman" w:cs="Times New Roman"/>
          <w:color w:val="000000" w:themeColor="text1"/>
        </w:rPr>
        <w:t>Aruho</w:t>
      </w:r>
      <w:proofErr w:type="spellEnd"/>
      <w:r w:rsidRPr="00D70E9B">
        <w:rPr>
          <w:rFonts w:ascii="Times New Roman" w:hAnsi="Times New Roman" w:cs="Times New Roman"/>
          <w:color w:val="000000" w:themeColor="text1"/>
        </w:rPr>
        <w:t>, P. (2013). Bushenyi: The Model District of Matooke and Tea. </w:t>
      </w:r>
      <w:r w:rsidRPr="00D70E9B">
        <w:rPr>
          <w:rFonts w:ascii="Times New Roman" w:hAnsi="Times New Roman" w:cs="Times New Roman"/>
          <w:i/>
          <w:iCs/>
          <w:color w:val="000000" w:themeColor="text1"/>
        </w:rPr>
        <w:t>Daily Monitor.</w:t>
      </w:r>
    </w:p>
    <w:p w14:paraId="59226D65" w14:textId="77777777" w:rsidR="00D70E9B" w:rsidRPr="00D70E9B" w:rsidRDefault="00D70E9B" w:rsidP="00D70E9B">
      <w:pPr>
        <w:spacing w:before="240" w:line="360" w:lineRule="auto"/>
        <w:ind w:left="360"/>
        <w:jc w:val="both"/>
        <w:rPr>
          <w:rFonts w:ascii="Times New Roman" w:hAnsi="Times New Roman" w:cs="Times New Roman"/>
          <w:color w:val="000000" w:themeColor="text1"/>
        </w:rPr>
      </w:pPr>
      <w:r w:rsidRPr="00D70E9B">
        <w:rPr>
          <w:rFonts w:ascii="Times New Roman" w:hAnsi="Times New Roman" w:cs="Times New Roman"/>
          <w:color w:val="000000" w:themeColor="text1"/>
        </w:rPr>
        <w:t>Christiana, K. O. (2019). </w:t>
      </w:r>
      <w:proofErr w:type="spellStart"/>
      <w:r w:rsidRPr="00D70E9B">
        <w:rPr>
          <w:rFonts w:ascii="Times New Roman" w:hAnsi="Times New Roman" w:cs="Times New Roman"/>
          <w:color w:val="000000" w:themeColor="text1"/>
        </w:rPr>
        <w:t>Organising</w:t>
      </w:r>
      <w:proofErr w:type="spellEnd"/>
      <w:r w:rsidRPr="00D70E9B">
        <w:rPr>
          <w:rFonts w:ascii="Times New Roman" w:hAnsi="Times New Roman" w:cs="Times New Roman"/>
          <w:color w:val="000000" w:themeColor="text1"/>
        </w:rPr>
        <w:t xml:space="preserve"> Rural Women for Socio-Economic Development and Self-Reliance in Nigeria: Challenges and Prospects. University of Benin, Benin-City, Nigeria.</w:t>
      </w:r>
    </w:p>
    <w:p w14:paraId="18CBA8B7" w14:textId="77777777" w:rsidR="00D70E9B" w:rsidRPr="00D70E9B" w:rsidRDefault="00D70E9B" w:rsidP="00D70E9B">
      <w:pPr>
        <w:spacing w:before="240" w:line="360" w:lineRule="auto"/>
        <w:ind w:left="360"/>
        <w:jc w:val="both"/>
        <w:rPr>
          <w:rFonts w:ascii="Times New Roman" w:hAnsi="Times New Roman" w:cs="Times New Roman"/>
          <w:color w:val="000000" w:themeColor="text1"/>
        </w:rPr>
      </w:pPr>
      <w:r w:rsidRPr="00D70E9B">
        <w:rPr>
          <w:rFonts w:ascii="Times New Roman" w:hAnsi="Times New Roman" w:cs="Times New Roman"/>
          <w:color w:val="000000" w:themeColor="text1"/>
        </w:rPr>
        <w:t>Hernandez, A., &amp; Rios, L. (2024). Empowering the Next Generation: Strategies for Inclusive Economic Growth. </w:t>
      </w:r>
      <w:r w:rsidRPr="00D70E9B">
        <w:rPr>
          <w:rFonts w:ascii="Times New Roman" w:hAnsi="Times New Roman" w:cs="Times New Roman"/>
          <w:i/>
          <w:iCs/>
          <w:color w:val="000000" w:themeColor="text1"/>
        </w:rPr>
        <w:t>Journal of Community Development, 15</w:t>
      </w:r>
      <w:r w:rsidRPr="00D70E9B">
        <w:rPr>
          <w:rFonts w:ascii="Times New Roman" w:hAnsi="Times New Roman" w:cs="Times New Roman"/>
          <w:color w:val="000000" w:themeColor="text1"/>
        </w:rPr>
        <w:t>(2), 45-62.</w:t>
      </w:r>
    </w:p>
    <w:p w14:paraId="581432F8" w14:textId="77777777" w:rsidR="00D70E9B" w:rsidRPr="00D70E9B" w:rsidRDefault="00D70E9B" w:rsidP="00D70E9B">
      <w:pPr>
        <w:spacing w:before="240" w:line="360" w:lineRule="auto"/>
        <w:ind w:left="360"/>
        <w:jc w:val="both"/>
        <w:rPr>
          <w:rFonts w:ascii="Times New Roman" w:hAnsi="Times New Roman" w:cs="Times New Roman"/>
          <w:color w:val="000000" w:themeColor="text1"/>
        </w:rPr>
      </w:pPr>
      <w:r w:rsidRPr="00D70E9B">
        <w:rPr>
          <w:rFonts w:ascii="Times New Roman" w:hAnsi="Times New Roman" w:cs="Times New Roman"/>
          <w:color w:val="000000" w:themeColor="text1"/>
        </w:rPr>
        <w:t>Joseph, R. (2020). The theory of empowerment: A critical analysis with the theory evaluation scale. </w:t>
      </w:r>
      <w:r w:rsidRPr="00D70E9B">
        <w:rPr>
          <w:rFonts w:ascii="Times New Roman" w:hAnsi="Times New Roman" w:cs="Times New Roman"/>
          <w:i/>
          <w:iCs/>
          <w:color w:val="000000" w:themeColor="text1"/>
        </w:rPr>
        <w:t>Journal of Human Behavior in the Social Environment, 30</w:t>
      </w:r>
      <w:r w:rsidRPr="00D70E9B">
        <w:rPr>
          <w:rFonts w:ascii="Times New Roman" w:hAnsi="Times New Roman" w:cs="Times New Roman"/>
          <w:color w:val="000000" w:themeColor="text1"/>
        </w:rPr>
        <w:t>(2), 138-157.</w:t>
      </w:r>
    </w:p>
    <w:p w14:paraId="19F440AB" w14:textId="77777777" w:rsidR="00D70E9B" w:rsidRPr="00D70E9B" w:rsidRDefault="00D70E9B" w:rsidP="00D70E9B">
      <w:pPr>
        <w:spacing w:before="240" w:line="360" w:lineRule="auto"/>
        <w:ind w:left="360"/>
        <w:jc w:val="both"/>
        <w:rPr>
          <w:rFonts w:ascii="Times New Roman" w:hAnsi="Times New Roman" w:cs="Times New Roman"/>
          <w:color w:val="000000" w:themeColor="text1"/>
        </w:rPr>
      </w:pPr>
      <w:r w:rsidRPr="00D70E9B">
        <w:rPr>
          <w:rFonts w:ascii="Times New Roman" w:hAnsi="Times New Roman" w:cs="Times New Roman"/>
          <w:color w:val="000000" w:themeColor="text1"/>
        </w:rPr>
        <w:t>Kabeer, N. (2016). Reflections on the Measurement of Women's Empowerment. In </w:t>
      </w:r>
      <w:r w:rsidRPr="00D70E9B">
        <w:rPr>
          <w:rFonts w:ascii="Times New Roman" w:hAnsi="Times New Roman" w:cs="Times New Roman"/>
          <w:i/>
          <w:iCs/>
          <w:color w:val="000000" w:themeColor="text1"/>
        </w:rPr>
        <w:t>Discussing Women's Empowerment: Theory and Practice</w:t>
      </w:r>
      <w:r w:rsidRPr="00D70E9B">
        <w:rPr>
          <w:rFonts w:ascii="Times New Roman" w:hAnsi="Times New Roman" w:cs="Times New Roman"/>
          <w:color w:val="000000" w:themeColor="text1"/>
        </w:rPr>
        <w:t xml:space="preserve"> (pp. 17-57). Stockholm: </w:t>
      </w:r>
      <w:proofErr w:type="spellStart"/>
      <w:r w:rsidRPr="00D70E9B">
        <w:rPr>
          <w:rFonts w:ascii="Times New Roman" w:hAnsi="Times New Roman" w:cs="Times New Roman"/>
          <w:color w:val="000000" w:themeColor="text1"/>
        </w:rPr>
        <w:t>Sida</w:t>
      </w:r>
      <w:proofErr w:type="spellEnd"/>
      <w:r w:rsidRPr="00D70E9B">
        <w:rPr>
          <w:rFonts w:ascii="Times New Roman" w:hAnsi="Times New Roman" w:cs="Times New Roman"/>
          <w:color w:val="000000" w:themeColor="text1"/>
        </w:rPr>
        <w:t>.</w:t>
      </w:r>
    </w:p>
    <w:p w14:paraId="4A619B2A" w14:textId="77777777" w:rsidR="00D70E9B" w:rsidRPr="00D70E9B" w:rsidRDefault="00D70E9B" w:rsidP="00D70E9B">
      <w:pPr>
        <w:spacing w:before="240" w:line="360" w:lineRule="auto"/>
        <w:ind w:left="360"/>
        <w:jc w:val="both"/>
        <w:rPr>
          <w:rFonts w:ascii="Times New Roman" w:hAnsi="Times New Roman" w:cs="Times New Roman"/>
          <w:color w:val="000000" w:themeColor="text1"/>
        </w:rPr>
      </w:pPr>
      <w:proofErr w:type="spellStart"/>
      <w:r w:rsidRPr="00D70E9B">
        <w:rPr>
          <w:rFonts w:ascii="Times New Roman" w:hAnsi="Times New Roman" w:cs="Times New Roman"/>
          <w:color w:val="000000" w:themeColor="text1"/>
        </w:rPr>
        <w:t>Kitambo</w:t>
      </w:r>
      <w:proofErr w:type="spellEnd"/>
      <w:r w:rsidRPr="00D70E9B">
        <w:rPr>
          <w:rFonts w:ascii="Times New Roman" w:hAnsi="Times New Roman" w:cs="Times New Roman"/>
          <w:color w:val="000000" w:themeColor="text1"/>
        </w:rPr>
        <w:t>, J. (2022). The role of the Ugandan Church in socio-economic empowerment among women and youth. </w:t>
      </w:r>
      <w:r w:rsidRPr="00D70E9B">
        <w:rPr>
          <w:rFonts w:ascii="Times New Roman" w:hAnsi="Times New Roman" w:cs="Times New Roman"/>
          <w:i/>
          <w:iCs/>
          <w:color w:val="000000" w:themeColor="text1"/>
        </w:rPr>
        <w:t>Journal of African Studies, 15</w:t>
      </w:r>
      <w:r w:rsidRPr="00D70E9B">
        <w:rPr>
          <w:rFonts w:ascii="Times New Roman" w:hAnsi="Times New Roman" w:cs="Times New Roman"/>
          <w:color w:val="000000" w:themeColor="text1"/>
        </w:rPr>
        <w:t>(3), 45-60.</w:t>
      </w:r>
    </w:p>
    <w:p w14:paraId="1D8A7932" w14:textId="77777777" w:rsidR="00D70E9B" w:rsidRPr="00D70E9B" w:rsidRDefault="00D70E9B" w:rsidP="00D70E9B">
      <w:pPr>
        <w:spacing w:before="240" w:line="360" w:lineRule="auto"/>
        <w:ind w:left="360"/>
        <w:jc w:val="both"/>
        <w:rPr>
          <w:rFonts w:ascii="Times New Roman" w:hAnsi="Times New Roman" w:cs="Times New Roman"/>
          <w:color w:val="000000" w:themeColor="text1"/>
        </w:rPr>
      </w:pPr>
      <w:proofErr w:type="spellStart"/>
      <w:r w:rsidRPr="00D70E9B">
        <w:rPr>
          <w:rFonts w:ascii="Times New Roman" w:hAnsi="Times New Roman" w:cs="Times New Roman"/>
          <w:color w:val="000000" w:themeColor="text1"/>
        </w:rPr>
        <w:t>Msuya</w:t>
      </w:r>
      <w:proofErr w:type="spellEnd"/>
      <w:r w:rsidRPr="00D70E9B">
        <w:rPr>
          <w:rFonts w:ascii="Times New Roman" w:hAnsi="Times New Roman" w:cs="Times New Roman"/>
          <w:color w:val="000000" w:themeColor="text1"/>
        </w:rPr>
        <w:t>, C. P., et al. (2019). Revitalization of education for self-reliance in education for enhancing youth involvement in agriculture in Tanzania. Sokoine University of Agriculture, Morogoro, Tanzania.</w:t>
      </w:r>
    </w:p>
    <w:p w14:paraId="64582BF5" w14:textId="77777777" w:rsidR="00D70E9B" w:rsidRPr="00D70E9B" w:rsidRDefault="00D70E9B" w:rsidP="00D70E9B">
      <w:pPr>
        <w:spacing w:before="240" w:line="360" w:lineRule="auto"/>
        <w:ind w:left="360"/>
        <w:jc w:val="both"/>
        <w:rPr>
          <w:rFonts w:ascii="Times New Roman" w:hAnsi="Times New Roman" w:cs="Times New Roman"/>
          <w:color w:val="000000" w:themeColor="text1"/>
        </w:rPr>
      </w:pPr>
      <w:r w:rsidRPr="00D70E9B">
        <w:rPr>
          <w:rFonts w:ascii="Times New Roman" w:hAnsi="Times New Roman" w:cs="Times New Roman"/>
          <w:color w:val="000000" w:themeColor="text1"/>
        </w:rPr>
        <w:t>Radics, G. B. (2024). Religious pressures on women's rights in Southeast Asia: Examining the right to an abortion in the Philippines, Malaysia, and Vietnam. </w:t>
      </w:r>
      <w:r w:rsidRPr="00D70E9B">
        <w:rPr>
          <w:rFonts w:ascii="Times New Roman" w:hAnsi="Times New Roman" w:cs="Times New Roman"/>
          <w:i/>
          <w:iCs/>
          <w:color w:val="000000" w:themeColor="text1"/>
        </w:rPr>
        <w:t>Women's Studies International Forum, 102</w:t>
      </w:r>
      <w:r w:rsidRPr="00D70E9B">
        <w:rPr>
          <w:rFonts w:ascii="Times New Roman" w:hAnsi="Times New Roman" w:cs="Times New Roman"/>
          <w:color w:val="000000" w:themeColor="text1"/>
        </w:rPr>
        <w:t>, 102862.</w:t>
      </w:r>
    </w:p>
    <w:p w14:paraId="259B4A12" w14:textId="77777777" w:rsidR="00D70E9B" w:rsidRPr="00D70E9B" w:rsidRDefault="00D70E9B" w:rsidP="00D70E9B">
      <w:pPr>
        <w:spacing w:before="240" w:line="360" w:lineRule="auto"/>
        <w:ind w:left="360"/>
        <w:jc w:val="both"/>
        <w:rPr>
          <w:rFonts w:ascii="Times New Roman" w:hAnsi="Times New Roman" w:cs="Times New Roman"/>
          <w:color w:val="000000" w:themeColor="text1"/>
        </w:rPr>
      </w:pPr>
      <w:r w:rsidRPr="00D70E9B">
        <w:rPr>
          <w:rFonts w:ascii="Times New Roman" w:hAnsi="Times New Roman" w:cs="Times New Roman"/>
          <w:color w:val="000000" w:themeColor="text1"/>
        </w:rPr>
        <w:t>Rappaport, J. (1981). In praise of paradox: A social policy of empowerment over prevention. </w:t>
      </w:r>
      <w:r w:rsidRPr="00D70E9B">
        <w:rPr>
          <w:rFonts w:ascii="Times New Roman" w:hAnsi="Times New Roman" w:cs="Times New Roman"/>
          <w:i/>
          <w:iCs/>
          <w:color w:val="000000" w:themeColor="text1"/>
        </w:rPr>
        <w:t>American Journal of Community Psychology, 9</w:t>
      </w:r>
      <w:r w:rsidRPr="00D70E9B">
        <w:rPr>
          <w:rFonts w:ascii="Times New Roman" w:hAnsi="Times New Roman" w:cs="Times New Roman"/>
          <w:color w:val="000000" w:themeColor="text1"/>
        </w:rPr>
        <w:t>(1).</w:t>
      </w:r>
    </w:p>
    <w:p w14:paraId="517555E0" w14:textId="77777777" w:rsidR="00D70E9B" w:rsidRPr="00D70E9B" w:rsidRDefault="00D70E9B" w:rsidP="00D70E9B">
      <w:pPr>
        <w:spacing w:before="240" w:line="360" w:lineRule="auto"/>
        <w:ind w:left="360"/>
        <w:jc w:val="both"/>
        <w:rPr>
          <w:rFonts w:ascii="Times New Roman" w:hAnsi="Times New Roman" w:cs="Times New Roman"/>
          <w:color w:val="000000" w:themeColor="text1"/>
        </w:rPr>
      </w:pPr>
      <w:r w:rsidRPr="00D70E9B">
        <w:rPr>
          <w:rFonts w:ascii="Times New Roman" w:hAnsi="Times New Roman" w:cs="Times New Roman"/>
          <w:color w:val="000000" w:themeColor="text1"/>
        </w:rPr>
        <w:t>Smith, J. (2020). Investing in the Future: Education and Training for Women's Economic Empowerment. </w:t>
      </w:r>
      <w:r w:rsidRPr="00D70E9B">
        <w:rPr>
          <w:rFonts w:ascii="Times New Roman" w:hAnsi="Times New Roman" w:cs="Times New Roman"/>
          <w:i/>
          <w:iCs/>
          <w:color w:val="000000" w:themeColor="text1"/>
        </w:rPr>
        <w:t>Feminist Economics, 26</w:t>
      </w:r>
      <w:r w:rsidRPr="00D70E9B">
        <w:rPr>
          <w:rFonts w:ascii="Times New Roman" w:hAnsi="Times New Roman" w:cs="Times New Roman"/>
          <w:color w:val="000000" w:themeColor="text1"/>
        </w:rPr>
        <w:t>(4), 21-42.</w:t>
      </w:r>
    </w:p>
    <w:p w14:paraId="1D6C5B34" w14:textId="77777777" w:rsidR="00D70E9B" w:rsidRPr="00D70E9B" w:rsidRDefault="00D70E9B" w:rsidP="00D70E9B">
      <w:pPr>
        <w:spacing w:before="240" w:line="360" w:lineRule="auto"/>
        <w:ind w:left="360"/>
        <w:jc w:val="both"/>
        <w:rPr>
          <w:rFonts w:ascii="Times New Roman" w:hAnsi="Times New Roman" w:cs="Times New Roman"/>
          <w:color w:val="000000" w:themeColor="text1"/>
        </w:rPr>
      </w:pPr>
      <w:r w:rsidRPr="00D70E9B">
        <w:rPr>
          <w:rFonts w:ascii="Times New Roman" w:hAnsi="Times New Roman" w:cs="Times New Roman"/>
          <w:color w:val="000000" w:themeColor="text1"/>
        </w:rPr>
        <w:lastRenderedPageBreak/>
        <w:t>Smith, J. (2023). Construct validity in survey research: A pilot study approach. </w:t>
      </w:r>
      <w:r w:rsidRPr="00D70E9B">
        <w:rPr>
          <w:rFonts w:ascii="Times New Roman" w:hAnsi="Times New Roman" w:cs="Times New Roman"/>
          <w:i/>
          <w:iCs/>
          <w:color w:val="000000" w:themeColor="text1"/>
        </w:rPr>
        <w:t>Journal of Research Methods, 12</w:t>
      </w:r>
      <w:r w:rsidRPr="00D70E9B">
        <w:rPr>
          <w:rFonts w:ascii="Times New Roman" w:hAnsi="Times New Roman" w:cs="Times New Roman"/>
          <w:color w:val="000000" w:themeColor="text1"/>
        </w:rPr>
        <w:t>(3), 45-60.</w:t>
      </w:r>
    </w:p>
    <w:p w14:paraId="60F391C9" w14:textId="77777777" w:rsidR="00D70E9B" w:rsidRPr="00D70E9B" w:rsidRDefault="00D70E9B" w:rsidP="00D70E9B">
      <w:pPr>
        <w:spacing w:before="240" w:line="360" w:lineRule="auto"/>
        <w:ind w:left="360"/>
        <w:jc w:val="both"/>
        <w:rPr>
          <w:rFonts w:ascii="Times New Roman" w:hAnsi="Times New Roman" w:cs="Times New Roman"/>
          <w:color w:val="000000" w:themeColor="text1"/>
        </w:rPr>
      </w:pPr>
      <w:r w:rsidRPr="00D70E9B">
        <w:rPr>
          <w:rFonts w:ascii="Times New Roman" w:hAnsi="Times New Roman" w:cs="Times New Roman"/>
          <w:color w:val="000000" w:themeColor="text1"/>
        </w:rPr>
        <w:t>Smith, J. (2023). Social capital and its impact on community development through church initiatives: An analysis of gender roles and economic dependency. </w:t>
      </w:r>
      <w:r w:rsidRPr="00D70E9B">
        <w:rPr>
          <w:rFonts w:ascii="Times New Roman" w:hAnsi="Times New Roman" w:cs="Times New Roman"/>
          <w:i/>
          <w:iCs/>
          <w:color w:val="000000" w:themeColor="text1"/>
        </w:rPr>
        <w:t>Journal of Community Development, 15</w:t>
      </w:r>
      <w:r w:rsidRPr="00D70E9B">
        <w:rPr>
          <w:rFonts w:ascii="Times New Roman" w:hAnsi="Times New Roman" w:cs="Times New Roman"/>
          <w:color w:val="000000" w:themeColor="text1"/>
        </w:rPr>
        <w:t>(2), 123-145.</w:t>
      </w:r>
    </w:p>
    <w:p w14:paraId="7B2CB930" w14:textId="77777777" w:rsidR="00D70E9B" w:rsidRPr="00D70E9B" w:rsidRDefault="00D70E9B" w:rsidP="00D70E9B">
      <w:pPr>
        <w:spacing w:before="240" w:line="360" w:lineRule="auto"/>
        <w:ind w:left="360"/>
        <w:jc w:val="both"/>
        <w:rPr>
          <w:rFonts w:ascii="Times New Roman" w:hAnsi="Times New Roman" w:cs="Times New Roman"/>
          <w:color w:val="000000" w:themeColor="text1"/>
        </w:rPr>
      </w:pPr>
      <w:r w:rsidRPr="00D70E9B">
        <w:rPr>
          <w:rFonts w:ascii="Times New Roman" w:hAnsi="Times New Roman" w:cs="Times New Roman"/>
          <w:color w:val="000000" w:themeColor="text1"/>
        </w:rPr>
        <w:t xml:space="preserve">Tripp, A. M. (2001). Women's movements and challenges to </w:t>
      </w:r>
      <w:proofErr w:type="spellStart"/>
      <w:r w:rsidRPr="00D70E9B">
        <w:rPr>
          <w:rFonts w:ascii="Times New Roman" w:hAnsi="Times New Roman" w:cs="Times New Roman"/>
          <w:color w:val="000000" w:themeColor="text1"/>
        </w:rPr>
        <w:t>neopatrimonial</w:t>
      </w:r>
      <w:proofErr w:type="spellEnd"/>
      <w:r w:rsidRPr="00D70E9B">
        <w:rPr>
          <w:rFonts w:ascii="Times New Roman" w:hAnsi="Times New Roman" w:cs="Times New Roman"/>
          <w:color w:val="000000" w:themeColor="text1"/>
        </w:rPr>
        <w:t xml:space="preserve"> rule: Preliminary observations from Africa. </w:t>
      </w:r>
      <w:r w:rsidRPr="00D70E9B">
        <w:rPr>
          <w:rFonts w:ascii="Times New Roman" w:hAnsi="Times New Roman" w:cs="Times New Roman"/>
          <w:i/>
          <w:iCs/>
          <w:color w:val="000000" w:themeColor="text1"/>
        </w:rPr>
        <w:t>Development and Change, 32</w:t>
      </w:r>
      <w:r w:rsidRPr="00D70E9B">
        <w:rPr>
          <w:rFonts w:ascii="Times New Roman" w:hAnsi="Times New Roman" w:cs="Times New Roman"/>
          <w:color w:val="000000" w:themeColor="text1"/>
        </w:rPr>
        <w:t>(1), 33-54.</w:t>
      </w:r>
    </w:p>
    <w:p w14:paraId="7DC95939" w14:textId="77777777" w:rsidR="00D70E9B" w:rsidRPr="00D70E9B" w:rsidRDefault="00D70E9B" w:rsidP="00D70E9B">
      <w:pPr>
        <w:spacing w:before="240" w:line="360" w:lineRule="auto"/>
        <w:ind w:left="360"/>
        <w:jc w:val="both"/>
        <w:rPr>
          <w:rFonts w:ascii="Times New Roman" w:hAnsi="Times New Roman" w:cs="Times New Roman"/>
          <w:color w:val="000000" w:themeColor="text1"/>
        </w:rPr>
      </w:pPr>
      <w:r w:rsidRPr="00D70E9B">
        <w:rPr>
          <w:rFonts w:ascii="Times New Roman" w:hAnsi="Times New Roman" w:cs="Times New Roman"/>
          <w:color w:val="000000" w:themeColor="text1"/>
        </w:rPr>
        <w:t>UN Women. (2020). Country Gender Equality Profile: Uganda. UN Women East and Southern Africa Regional Office.</w:t>
      </w:r>
    </w:p>
    <w:p w14:paraId="3070EA67" w14:textId="77777777" w:rsidR="00D70E9B" w:rsidRPr="00D70E9B" w:rsidRDefault="00D70E9B" w:rsidP="00D70E9B">
      <w:pPr>
        <w:spacing w:before="240" w:line="360" w:lineRule="auto"/>
        <w:ind w:left="360"/>
        <w:jc w:val="both"/>
        <w:rPr>
          <w:rFonts w:ascii="Times New Roman" w:hAnsi="Times New Roman" w:cs="Times New Roman"/>
          <w:color w:val="000000" w:themeColor="text1"/>
        </w:rPr>
      </w:pPr>
      <w:r w:rsidRPr="00D70E9B">
        <w:rPr>
          <w:rFonts w:ascii="Times New Roman" w:hAnsi="Times New Roman" w:cs="Times New Roman"/>
          <w:color w:val="000000" w:themeColor="text1"/>
        </w:rPr>
        <w:t>United Nations. (2015). Transforming our world: the 2030 Agenda for Sustainable Development.</w:t>
      </w:r>
    </w:p>
    <w:p w14:paraId="76DD2D48" w14:textId="77777777" w:rsidR="00D70E9B" w:rsidRPr="00D70E9B" w:rsidRDefault="00D70E9B" w:rsidP="00D70E9B">
      <w:pPr>
        <w:spacing w:before="240" w:line="360" w:lineRule="auto"/>
        <w:ind w:left="360"/>
        <w:jc w:val="both"/>
        <w:rPr>
          <w:rFonts w:ascii="Times New Roman" w:hAnsi="Times New Roman" w:cs="Times New Roman"/>
          <w:color w:val="000000" w:themeColor="text1"/>
        </w:rPr>
      </w:pPr>
      <w:r w:rsidRPr="00D70E9B">
        <w:rPr>
          <w:rFonts w:ascii="Times New Roman" w:hAnsi="Times New Roman" w:cs="Times New Roman"/>
          <w:color w:val="000000" w:themeColor="text1"/>
        </w:rPr>
        <w:t>Williamson, S. (2021). The Persistence of the Gender Pay Gap: Causes, Consequences, and Policy Responses. </w:t>
      </w:r>
      <w:r w:rsidRPr="00D70E9B">
        <w:rPr>
          <w:rFonts w:ascii="Times New Roman" w:hAnsi="Times New Roman" w:cs="Times New Roman"/>
          <w:i/>
          <w:iCs/>
          <w:color w:val="000000" w:themeColor="text1"/>
        </w:rPr>
        <w:t>Harvard Business Review, 99</w:t>
      </w:r>
      <w:r w:rsidRPr="00D70E9B">
        <w:rPr>
          <w:rFonts w:ascii="Times New Roman" w:hAnsi="Times New Roman" w:cs="Times New Roman"/>
          <w:color w:val="000000" w:themeColor="text1"/>
        </w:rPr>
        <w:t>(3), 87-95.</w:t>
      </w:r>
    </w:p>
    <w:p w14:paraId="1E1F2862" w14:textId="77777777" w:rsidR="00D70E9B" w:rsidRPr="00D70E9B" w:rsidRDefault="00D70E9B" w:rsidP="00D70E9B">
      <w:pPr>
        <w:spacing w:before="240" w:line="360" w:lineRule="auto"/>
        <w:ind w:left="360"/>
        <w:jc w:val="both"/>
        <w:rPr>
          <w:rFonts w:ascii="Times New Roman" w:hAnsi="Times New Roman" w:cs="Times New Roman"/>
          <w:color w:val="000000" w:themeColor="text1"/>
        </w:rPr>
      </w:pPr>
      <w:r w:rsidRPr="00D70E9B">
        <w:rPr>
          <w:rFonts w:ascii="Times New Roman" w:hAnsi="Times New Roman" w:cs="Times New Roman"/>
          <w:color w:val="000000" w:themeColor="text1"/>
        </w:rPr>
        <w:t xml:space="preserve">Yunus, M., &amp; </w:t>
      </w:r>
      <w:proofErr w:type="spellStart"/>
      <w:r w:rsidRPr="00D70E9B">
        <w:rPr>
          <w:rFonts w:ascii="Times New Roman" w:hAnsi="Times New Roman" w:cs="Times New Roman"/>
          <w:color w:val="000000" w:themeColor="text1"/>
        </w:rPr>
        <w:t>Moingeon</w:t>
      </w:r>
      <w:proofErr w:type="spellEnd"/>
      <w:r w:rsidRPr="00D70E9B">
        <w:rPr>
          <w:rFonts w:ascii="Times New Roman" w:hAnsi="Times New Roman" w:cs="Times New Roman"/>
          <w:color w:val="000000" w:themeColor="text1"/>
        </w:rPr>
        <w:t>, B. (2010). Building Social Business Models: Lessons from the Grameen Experience. </w:t>
      </w:r>
      <w:r w:rsidRPr="00D70E9B">
        <w:rPr>
          <w:rFonts w:ascii="Times New Roman" w:hAnsi="Times New Roman" w:cs="Times New Roman"/>
          <w:i/>
          <w:iCs/>
          <w:color w:val="000000" w:themeColor="text1"/>
        </w:rPr>
        <w:t>Long Range Planning, 43</w:t>
      </w:r>
      <w:r w:rsidRPr="00D70E9B">
        <w:rPr>
          <w:rFonts w:ascii="Times New Roman" w:hAnsi="Times New Roman" w:cs="Times New Roman"/>
          <w:color w:val="000000" w:themeColor="text1"/>
        </w:rPr>
        <w:t>(2-3), 308-325.</w:t>
      </w:r>
    </w:p>
    <w:p w14:paraId="0D885579" w14:textId="77777777" w:rsidR="0067051C" w:rsidRPr="004D2599" w:rsidRDefault="0067051C" w:rsidP="004D2599">
      <w:pPr>
        <w:spacing w:before="240" w:line="360" w:lineRule="auto"/>
        <w:jc w:val="both"/>
        <w:rPr>
          <w:rFonts w:ascii="Times New Roman" w:hAnsi="Times New Roman" w:cs="Times New Roman"/>
          <w:b/>
        </w:rPr>
      </w:pPr>
    </w:p>
    <w:sectPr w:rsidR="0067051C" w:rsidRPr="004D259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77C22" w14:textId="77777777" w:rsidR="006125E9" w:rsidRDefault="006125E9" w:rsidP="00F41631">
      <w:r>
        <w:separator/>
      </w:r>
    </w:p>
  </w:endnote>
  <w:endnote w:type="continuationSeparator" w:id="0">
    <w:p w14:paraId="42983EAD" w14:textId="77777777" w:rsidR="006125E9" w:rsidRDefault="006125E9" w:rsidP="00F4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8B556" w14:textId="77777777" w:rsidR="005B4C10" w:rsidRDefault="005B4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5740676"/>
      <w:docPartObj>
        <w:docPartGallery w:val="Page Numbers (Bottom of Page)"/>
        <w:docPartUnique/>
      </w:docPartObj>
    </w:sdtPr>
    <w:sdtEndPr/>
    <w:sdtContent>
      <w:p w14:paraId="327AF3A4" w14:textId="77777777" w:rsidR="00F41631" w:rsidRDefault="00F41631">
        <w:pPr>
          <w:pStyle w:val="Footer"/>
          <w:jc w:val="right"/>
        </w:pPr>
        <w:r>
          <w:t xml:space="preserve">Page | </w:t>
        </w:r>
        <w:r>
          <w:fldChar w:fldCharType="begin"/>
        </w:r>
        <w:r>
          <w:instrText xml:space="preserve"> PAGE   \* MERGEFORMAT </w:instrText>
        </w:r>
        <w:r>
          <w:fldChar w:fldCharType="separate"/>
        </w:r>
        <w:r w:rsidR="00A37037">
          <w:rPr>
            <w:noProof/>
          </w:rPr>
          <w:t>20</w:t>
        </w:r>
        <w:r>
          <w:rPr>
            <w:noProof/>
          </w:rPr>
          <w:fldChar w:fldCharType="end"/>
        </w:r>
        <w:r>
          <w:t xml:space="preserve"> </w:t>
        </w:r>
      </w:p>
    </w:sdtContent>
  </w:sdt>
  <w:p w14:paraId="31E19F24" w14:textId="77777777" w:rsidR="00F41631" w:rsidRDefault="00F416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2EFD" w14:textId="77777777" w:rsidR="005B4C10" w:rsidRDefault="005B4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F85D2" w14:textId="77777777" w:rsidR="006125E9" w:rsidRDefault="006125E9" w:rsidP="00F41631">
      <w:r>
        <w:separator/>
      </w:r>
    </w:p>
  </w:footnote>
  <w:footnote w:type="continuationSeparator" w:id="0">
    <w:p w14:paraId="6C43F245" w14:textId="77777777" w:rsidR="006125E9" w:rsidRDefault="006125E9" w:rsidP="00F41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1082F" w14:textId="14789A84" w:rsidR="005B4C10" w:rsidRDefault="005B4C10">
    <w:pPr>
      <w:pStyle w:val="Header"/>
    </w:pPr>
    <w:r>
      <w:rPr>
        <w:noProof/>
      </w:rPr>
      <w:pict w14:anchorId="1EBEB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090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174AF" w14:textId="6B68D6CE" w:rsidR="005B4C10" w:rsidRDefault="005B4C10">
    <w:pPr>
      <w:pStyle w:val="Header"/>
    </w:pPr>
    <w:r>
      <w:rPr>
        <w:noProof/>
      </w:rPr>
      <w:pict w14:anchorId="49556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090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72D27" w14:textId="6BCA80AC" w:rsidR="005B4C10" w:rsidRDefault="005B4C10">
    <w:pPr>
      <w:pStyle w:val="Header"/>
    </w:pPr>
    <w:r>
      <w:rPr>
        <w:noProof/>
      </w:rPr>
      <w:pict w14:anchorId="35251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090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77D0D59A"/>
    <w:lvl w:ilvl="0" w:tplc="0B80A7D0">
      <w:start w:val="1"/>
      <w:numFmt w:val="lowerRoman"/>
      <w:lvlText w:val="%1)"/>
      <w:lvlJc w:val="left"/>
      <w:pPr>
        <w:ind w:left="360" w:hanging="720"/>
      </w:pPr>
      <w:rPr>
        <w:rFonts w:ascii="Times New Roman" w:eastAsia="Calibri" w:hAnsi="Times New Roman" w:cs="Times New Roman"/>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 w15:restartNumberingAfterBreak="0">
    <w:nsid w:val="00000013"/>
    <w:multiLevelType w:val="multilevel"/>
    <w:tmpl w:val="8384EAAE"/>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3CD4BB8"/>
    <w:multiLevelType w:val="multilevel"/>
    <w:tmpl w:val="0C568A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FE7671"/>
    <w:multiLevelType w:val="hybridMultilevel"/>
    <w:tmpl w:val="0D78F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1F6B05"/>
    <w:multiLevelType w:val="hybridMultilevel"/>
    <w:tmpl w:val="24705D88"/>
    <w:lvl w:ilvl="0" w:tplc="4DBA6918">
      <w:start w:val="1"/>
      <w:numFmt w:val="decimal"/>
      <w:lvlText w:val="%1."/>
      <w:lvlJc w:val="left"/>
      <w:pPr>
        <w:ind w:left="720" w:hanging="360"/>
      </w:pPr>
      <w:rPr>
        <w:rFonts w:eastAsia="SimSu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B9"/>
    <w:rsid w:val="0003533A"/>
    <w:rsid w:val="0005753B"/>
    <w:rsid w:val="00064171"/>
    <w:rsid w:val="00064738"/>
    <w:rsid w:val="00123306"/>
    <w:rsid w:val="00181CAC"/>
    <w:rsid w:val="00185702"/>
    <w:rsid w:val="001A1DCC"/>
    <w:rsid w:val="001C527E"/>
    <w:rsid w:val="00207683"/>
    <w:rsid w:val="002341F9"/>
    <w:rsid w:val="002B1751"/>
    <w:rsid w:val="002D245A"/>
    <w:rsid w:val="002D3F04"/>
    <w:rsid w:val="002E617A"/>
    <w:rsid w:val="00302E62"/>
    <w:rsid w:val="003B2028"/>
    <w:rsid w:val="003E1D7A"/>
    <w:rsid w:val="004726E6"/>
    <w:rsid w:val="004D2599"/>
    <w:rsid w:val="004F1731"/>
    <w:rsid w:val="0051766B"/>
    <w:rsid w:val="005B1231"/>
    <w:rsid w:val="005B24D2"/>
    <w:rsid w:val="005B4C10"/>
    <w:rsid w:val="006125E9"/>
    <w:rsid w:val="0067051C"/>
    <w:rsid w:val="0071171F"/>
    <w:rsid w:val="00784B3F"/>
    <w:rsid w:val="00797D92"/>
    <w:rsid w:val="00854177"/>
    <w:rsid w:val="008623C8"/>
    <w:rsid w:val="008D3B2C"/>
    <w:rsid w:val="008D42BA"/>
    <w:rsid w:val="00913E15"/>
    <w:rsid w:val="00931194"/>
    <w:rsid w:val="00963F3D"/>
    <w:rsid w:val="00A37037"/>
    <w:rsid w:val="00C227B9"/>
    <w:rsid w:val="00CE4D64"/>
    <w:rsid w:val="00D31DBF"/>
    <w:rsid w:val="00D70E9B"/>
    <w:rsid w:val="00D937D8"/>
    <w:rsid w:val="00DF3D42"/>
    <w:rsid w:val="00E2400D"/>
    <w:rsid w:val="00E42C70"/>
    <w:rsid w:val="00F23301"/>
    <w:rsid w:val="00F41631"/>
    <w:rsid w:val="00F92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A0BA43"/>
  <w15:chartTrackingRefBased/>
  <w15:docId w15:val="{9F0A6450-BA7D-409A-8FC3-DD1F1D18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27B9"/>
    <w:pPr>
      <w:spacing w:after="0" w:line="240" w:lineRule="auto"/>
    </w:pPr>
    <w:rPr>
      <w:rFonts w:ascii="Calibri" w:eastAsia="Calibri" w:hAnsi="Calibri" w:cs="SimSun"/>
      <w:sz w:val="24"/>
      <w:szCs w:val="24"/>
    </w:rPr>
  </w:style>
  <w:style w:type="paragraph" w:styleId="Heading1">
    <w:name w:val="heading 1"/>
    <w:next w:val="Normal"/>
    <w:link w:val="Heading1Char"/>
    <w:uiPriority w:val="9"/>
    <w:qFormat/>
    <w:rsid w:val="00C227B9"/>
    <w:pPr>
      <w:keepNext/>
      <w:keepLines/>
      <w:spacing w:after="110" w:line="256" w:lineRule="auto"/>
      <w:ind w:left="120"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67051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7051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C227B9"/>
    <w:rPr>
      <w:color w:val="0563C1"/>
      <w:u w:val="single"/>
    </w:rPr>
  </w:style>
  <w:style w:type="character" w:customStyle="1" w:styleId="Heading1Char">
    <w:name w:val="Heading 1 Char"/>
    <w:basedOn w:val="DefaultParagraphFont"/>
    <w:link w:val="Heading1"/>
    <w:uiPriority w:val="9"/>
    <w:rsid w:val="00C227B9"/>
    <w:rPr>
      <w:rFonts w:ascii="Times New Roman" w:eastAsia="Times New Roman" w:hAnsi="Times New Roman" w:cs="Times New Roman"/>
      <w:b/>
      <w:color w:val="000000"/>
      <w:sz w:val="24"/>
    </w:rPr>
  </w:style>
  <w:style w:type="paragraph" w:styleId="NormalWeb">
    <w:name w:val="Normal (Web)"/>
    <w:basedOn w:val="Normal"/>
    <w:uiPriority w:val="99"/>
    <w:semiHidden/>
    <w:unhideWhenUsed/>
    <w:rsid w:val="00185702"/>
    <w:pPr>
      <w:spacing w:before="100" w:beforeAutospacing="1" w:after="100" w:afterAutospacing="1"/>
    </w:pPr>
    <w:rPr>
      <w:rFonts w:ascii="Times New Roman" w:eastAsia="Times New Roman" w:hAnsi="Times New Roman" w:cs="Times New Roman"/>
    </w:rPr>
  </w:style>
  <w:style w:type="character" w:customStyle="1" w:styleId="ListParagraphChar">
    <w:name w:val="List Paragraph Char"/>
    <w:link w:val="ListParagraph"/>
    <w:uiPriority w:val="34"/>
    <w:qFormat/>
    <w:locked/>
    <w:rsid w:val="00185702"/>
    <w:rPr>
      <w:rFonts w:ascii="Times New Roman" w:hAnsi="Times New Roman" w:cs="Times New Roman"/>
      <w:kern w:val="2"/>
      <w:sz w:val="24"/>
    </w:rPr>
  </w:style>
  <w:style w:type="paragraph" w:styleId="ListParagraph">
    <w:name w:val="List Paragraph"/>
    <w:basedOn w:val="Normal"/>
    <w:link w:val="ListParagraphChar"/>
    <w:uiPriority w:val="34"/>
    <w:qFormat/>
    <w:rsid w:val="00185702"/>
    <w:pPr>
      <w:spacing w:after="200" w:line="276" w:lineRule="auto"/>
      <w:ind w:left="720"/>
      <w:contextualSpacing/>
    </w:pPr>
    <w:rPr>
      <w:rFonts w:ascii="Times New Roman" w:eastAsiaTheme="minorHAnsi" w:hAnsi="Times New Roman" w:cs="Times New Roman"/>
      <w:kern w:val="2"/>
      <w:szCs w:val="22"/>
    </w:rPr>
  </w:style>
  <w:style w:type="character" w:customStyle="1" w:styleId="Heading2Char">
    <w:name w:val="Heading 2 Char"/>
    <w:basedOn w:val="DefaultParagraphFont"/>
    <w:link w:val="Heading2"/>
    <w:uiPriority w:val="9"/>
    <w:semiHidden/>
    <w:rsid w:val="0067051C"/>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semiHidden/>
    <w:unhideWhenUsed/>
    <w:qFormat/>
    <w:rsid w:val="0067051C"/>
    <w:pPr>
      <w:spacing w:after="200"/>
    </w:pPr>
    <w:rPr>
      <w:rFonts w:ascii="Times New Roman" w:hAnsi="Times New Roman" w:cs="Times New Roman"/>
      <w:i/>
      <w:iCs/>
      <w:color w:val="44546A"/>
      <w:sz w:val="18"/>
      <w:szCs w:val="18"/>
    </w:rPr>
  </w:style>
  <w:style w:type="table" w:styleId="TableGrid">
    <w:name w:val="Table Grid"/>
    <w:basedOn w:val="TableNormal"/>
    <w:uiPriority w:val="59"/>
    <w:rsid w:val="006705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7051C"/>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854177"/>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F41631"/>
    <w:pPr>
      <w:tabs>
        <w:tab w:val="center" w:pos="4680"/>
        <w:tab w:val="right" w:pos="9360"/>
      </w:tabs>
    </w:pPr>
  </w:style>
  <w:style w:type="character" w:customStyle="1" w:styleId="HeaderChar">
    <w:name w:val="Header Char"/>
    <w:basedOn w:val="DefaultParagraphFont"/>
    <w:link w:val="Header"/>
    <w:uiPriority w:val="99"/>
    <w:rsid w:val="00F41631"/>
    <w:rPr>
      <w:rFonts w:ascii="Calibri" w:eastAsia="Calibri" w:hAnsi="Calibri" w:cs="SimSun"/>
      <w:sz w:val="24"/>
      <w:szCs w:val="24"/>
    </w:rPr>
  </w:style>
  <w:style w:type="paragraph" w:styleId="Footer">
    <w:name w:val="footer"/>
    <w:basedOn w:val="Normal"/>
    <w:link w:val="FooterChar"/>
    <w:uiPriority w:val="99"/>
    <w:unhideWhenUsed/>
    <w:rsid w:val="00F41631"/>
    <w:pPr>
      <w:tabs>
        <w:tab w:val="center" w:pos="4680"/>
        <w:tab w:val="right" w:pos="9360"/>
      </w:tabs>
    </w:pPr>
  </w:style>
  <w:style w:type="character" w:customStyle="1" w:styleId="FooterChar">
    <w:name w:val="Footer Char"/>
    <w:basedOn w:val="DefaultParagraphFont"/>
    <w:link w:val="Footer"/>
    <w:uiPriority w:val="99"/>
    <w:rsid w:val="00F41631"/>
    <w:rPr>
      <w:rFonts w:ascii="Calibri" w:eastAsia="Calibri" w:hAnsi="Calibri" w:cs="SimSun"/>
      <w:sz w:val="24"/>
      <w:szCs w:val="24"/>
    </w:rPr>
  </w:style>
  <w:style w:type="paragraph" w:styleId="BalloonText">
    <w:name w:val="Balloon Text"/>
    <w:basedOn w:val="Normal"/>
    <w:link w:val="BalloonTextChar"/>
    <w:uiPriority w:val="99"/>
    <w:semiHidden/>
    <w:unhideWhenUsed/>
    <w:rsid w:val="007117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71F"/>
    <w:rPr>
      <w:rFonts w:ascii="Segoe UI" w:eastAsia="Calibri" w:hAnsi="Segoe UI" w:cs="Segoe UI"/>
      <w:sz w:val="18"/>
      <w:szCs w:val="18"/>
    </w:rPr>
  </w:style>
  <w:style w:type="paragraph" w:customStyle="1" w:styleId="ds-markdown-paragraph">
    <w:name w:val="ds-markdown-paragraph"/>
    <w:basedOn w:val="Normal"/>
    <w:rsid w:val="0093119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931194"/>
    <w:rPr>
      <w:i/>
      <w:iCs/>
    </w:rPr>
  </w:style>
  <w:style w:type="character" w:styleId="UnresolvedMention">
    <w:name w:val="Unresolved Mention"/>
    <w:basedOn w:val="DefaultParagraphFont"/>
    <w:uiPriority w:val="99"/>
    <w:semiHidden/>
    <w:unhideWhenUsed/>
    <w:rsid w:val="00517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01936">
      <w:bodyDiv w:val="1"/>
      <w:marLeft w:val="0"/>
      <w:marRight w:val="0"/>
      <w:marTop w:val="0"/>
      <w:marBottom w:val="0"/>
      <w:divBdr>
        <w:top w:val="none" w:sz="0" w:space="0" w:color="auto"/>
        <w:left w:val="none" w:sz="0" w:space="0" w:color="auto"/>
        <w:bottom w:val="none" w:sz="0" w:space="0" w:color="auto"/>
        <w:right w:val="none" w:sz="0" w:space="0" w:color="auto"/>
      </w:divBdr>
    </w:div>
    <w:div w:id="386952299">
      <w:bodyDiv w:val="1"/>
      <w:marLeft w:val="0"/>
      <w:marRight w:val="0"/>
      <w:marTop w:val="0"/>
      <w:marBottom w:val="0"/>
      <w:divBdr>
        <w:top w:val="none" w:sz="0" w:space="0" w:color="auto"/>
        <w:left w:val="none" w:sz="0" w:space="0" w:color="auto"/>
        <w:bottom w:val="none" w:sz="0" w:space="0" w:color="auto"/>
        <w:right w:val="none" w:sz="0" w:space="0" w:color="auto"/>
      </w:divBdr>
    </w:div>
    <w:div w:id="546184370">
      <w:bodyDiv w:val="1"/>
      <w:marLeft w:val="0"/>
      <w:marRight w:val="0"/>
      <w:marTop w:val="0"/>
      <w:marBottom w:val="0"/>
      <w:divBdr>
        <w:top w:val="none" w:sz="0" w:space="0" w:color="auto"/>
        <w:left w:val="none" w:sz="0" w:space="0" w:color="auto"/>
        <w:bottom w:val="none" w:sz="0" w:space="0" w:color="auto"/>
        <w:right w:val="none" w:sz="0" w:space="0" w:color="auto"/>
      </w:divBdr>
    </w:div>
    <w:div w:id="605121252">
      <w:bodyDiv w:val="1"/>
      <w:marLeft w:val="0"/>
      <w:marRight w:val="0"/>
      <w:marTop w:val="0"/>
      <w:marBottom w:val="0"/>
      <w:divBdr>
        <w:top w:val="none" w:sz="0" w:space="0" w:color="auto"/>
        <w:left w:val="none" w:sz="0" w:space="0" w:color="auto"/>
        <w:bottom w:val="none" w:sz="0" w:space="0" w:color="auto"/>
        <w:right w:val="none" w:sz="0" w:space="0" w:color="auto"/>
      </w:divBdr>
    </w:div>
    <w:div w:id="605770038">
      <w:bodyDiv w:val="1"/>
      <w:marLeft w:val="0"/>
      <w:marRight w:val="0"/>
      <w:marTop w:val="0"/>
      <w:marBottom w:val="0"/>
      <w:divBdr>
        <w:top w:val="none" w:sz="0" w:space="0" w:color="auto"/>
        <w:left w:val="none" w:sz="0" w:space="0" w:color="auto"/>
        <w:bottom w:val="none" w:sz="0" w:space="0" w:color="auto"/>
        <w:right w:val="none" w:sz="0" w:space="0" w:color="auto"/>
      </w:divBdr>
    </w:div>
    <w:div w:id="663972168">
      <w:bodyDiv w:val="1"/>
      <w:marLeft w:val="0"/>
      <w:marRight w:val="0"/>
      <w:marTop w:val="0"/>
      <w:marBottom w:val="0"/>
      <w:divBdr>
        <w:top w:val="none" w:sz="0" w:space="0" w:color="auto"/>
        <w:left w:val="none" w:sz="0" w:space="0" w:color="auto"/>
        <w:bottom w:val="none" w:sz="0" w:space="0" w:color="auto"/>
        <w:right w:val="none" w:sz="0" w:space="0" w:color="auto"/>
      </w:divBdr>
    </w:div>
    <w:div w:id="708411225">
      <w:bodyDiv w:val="1"/>
      <w:marLeft w:val="0"/>
      <w:marRight w:val="0"/>
      <w:marTop w:val="0"/>
      <w:marBottom w:val="0"/>
      <w:divBdr>
        <w:top w:val="none" w:sz="0" w:space="0" w:color="auto"/>
        <w:left w:val="none" w:sz="0" w:space="0" w:color="auto"/>
        <w:bottom w:val="none" w:sz="0" w:space="0" w:color="auto"/>
        <w:right w:val="none" w:sz="0" w:space="0" w:color="auto"/>
      </w:divBdr>
    </w:div>
    <w:div w:id="730465593">
      <w:bodyDiv w:val="1"/>
      <w:marLeft w:val="0"/>
      <w:marRight w:val="0"/>
      <w:marTop w:val="0"/>
      <w:marBottom w:val="0"/>
      <w:divBdr>
        <w:top w:val="none" w:sz="0" w:space="0" w:color="auto"/>
        <w:left w:val="none" w:sz="0" w:space="0" w:color="auto"/>
        <w:bottom w:val="none" w:sz="0" w:space="0" w:color="auto"/>
        <w:right w:val="none" w:sz="0" w:space="0" w:color="auto"/>
      </w:divBdr>
    </w:div>
    <w:div w:id="1040281475">
      <w:bodyDiv w:val="1"/>
      <w:marLeft w:val="0"/>
      <w:marRight w:val="0"/>
      <w:marTop w:val="0"/>
      <w:marBottom w:val="0"/>
      <w:divBdr>
        <w:top w:val="none" w:sz="0" w:space="0" w:color="auto"/>
        <w:left w:val="none" w:sz="0" w:space="0" w:color="auto"/>
        <w:bottom w:val="none" w:sz="0" w:space="0" w:color="auto"/>
        <w:right w:val="none" w:sz="0" w:space="0" w:color="auto"/>
      </w:divBdr>
    </w:div>
    <w:div w:id="1109736017">
      <w:bodyDiv w:val="1"/>
      <w:marLeft w:val="0"/>
      <w:marRight w:val="0"/>
      <w:marTop w:val="0"/>
      <w:marBottom w:val="0"/>
      <w:divBdr>
        <w:top w:val="none" w:sz="0" w:space="0" w:color="auto"/>
        <w:left w:val="none" w:sz="0" w:space="0" w:color="auto"/>
        <w:bottom w:val="none" w:sz="0" w:space="0" w:color="auto"/>
        <w:right w:val="none" w:sz="0" w:space="0" w:color="auto"/>
      </w:divBdr>
    </w:div>
    <w:div w:id="1179657613">
      <w:bodyDiv w:val="1"/>
      <w:marLeft w:val="0"/>
      <w:marRight w:val="0"/>
      <w:marTop w:val="0"/>
      <w:marBottom w:val="0"/>
      <w:divBdr>
        <w:top w:val="none" w:sz="0" w:space="0" w:color="auto"/>
        <w:left w:val="none" w:sz="0" w:space="0" w:color="auto"/>
        <w:bottom w:val="none" w:sz="0" w:space="0" w:color="auto"/>
        <w:right w:val="none" w:sz="0" w:space="0" w:color="auto"/>
      </w:divBdr>
    </w:div>
    <w:div w:id="1367944303">
      <w:bodyDiv w:val="1"/>
      <w:marLeft w:val="0"/>
      <w:marRight w:val="0"/>
      <w:marTop w:val="0"/>
      <w:marBottom w:val="0"/>
      <w:divBdr>
        <w:top w:val="none" w:sz="0" w:space="0" w:color="auto"/>
        <w:left w:val="none" w:sz="0" w:space="0" w:color="auto"/>
        <w:bottom w:val="none" w:sz="0" w:space="0" w:color="auto"/>
        <w:right w:val="none" w:sz="0" w:space="0" w:color="auto"/>
      </w:divBdr>
    </w:div>
    <w:div w:id="1516453511">
      <w:bodyDiv w:val="1"/>
      <w:marLeft w:val="0"/>
      <w:marRight w:val="0"/>
      <w:marTop w:val="0"/>
      <w:marBottom w:val="0"/>
      <w:divBdr>
        <w:top w:val="none" w:sz="0" w:space="0" w:color="auto"/>
        <w:left w:val="none" w:sz="0" w:space="0" w:color="auto"/>
        <w:bottom w:val="none" w:sz="0" w:space="0" w:color="auto"/>
        <w:right w:val="none" w:sz="0" w:space="0" w:color="auto"/>
      </w:divBdr>
    </w:div>
    <w:div w:id="1518425955">
      <w:bodyDiv w:val="1"/>
      <w:marLeft w:val="0"/>
      <w:marRight w:val="0"/>
      <w:marTop w:val="0"/>
      <w:marBottom w:val="0"/>
      <w:divBdr>
        <w:top w:val="none" w:sz="0" w:space="0" w:color="auto"/>
        <w:left w:val="none" w:sz="0" w:space="0" w:color="auto"/>
        <w:bottom w:val="none" w:sz="0" w:space="0" w:color="auto"/>
        <w:right w:val="none" w:sz="0" w:space="0" w:color="auto"/>
      </w:divBdr>
    </w:div>
    <w:div w:id="1635065125">
      <w:bodyDiv w:val="1"/>
      <w:marLeft w:val="0"/>
      <w:marRight w:val="0"/>
      <w:marTop w:val="0"/>
      <w:marBottom w:val="0"/>
      <w:divBdr>
        <w:top w:val="none" w:sz="0" w:space="0" w:color="auto"/>
        <w:left w:val="none" w:sz="0" w:space="0" w:color="auto"/>
        <w:bottom w:val="none" w:sz="0" w:space="0" w:color="auto"/>
        <w:right w:val="none" w:sz="0" w:space="0" w:color="auto"/>
      </w:divBdr>
    </w:div>
    <w:div w:id="1647860208">
      <w:bodyDiv w:val="1"/>
      <w:marLeft w:val="0"/>
      <w:marRight w:val="0"/>
      <w:marTop w:val="0"/>
      <w:marBottom w:val="0"/>
      <w:divBdr>
        <w:top w:val="none" w:sz="0" w:space="0" w:color="auto"/>
        <w:left w:val="none" w:sz="0" w:space="0" w:color="auto"/>
        <w:bottom w:val="none" w:sz="0" w:space="0" w:color="auto"/>
        <w:right w:val="none" w:sz="0" w:space="0" w:color="auto"/>
      </w:divBdr>
    </w:div>
    <w:div w:id="1701710631">
      <w:bodyDiv w:val="1"/>
      <w:marLeft w:val="0"/>
      <w:marRight w:val="0"/>
      <w:marTop w:val="0"/>
      <w:marBottom w:val="0"/>
      <w:divBdr>
        <w:top w:val="none" w:sz="0" w:space="0" w:color="auto"/>
        <w:left w:val="none" w:sz="0" w:space="0" w:color="auto"/>
        <w:bottom w:val="none" w:sz="0" w:space="0" w:color="auto"/>
        <w:right w:val="none" w:sz="0" w:space="0" w:color="auto"/>
      </w:divBdr>
    </w:div>
    <w:div w:id="1705595150">
      <w:bodyDiv w:val="1"/>
      <w:marLeft w:val="0"/>
      <w:marRight w:val="0"/>
      <w:marTop w:val="0"/>
      <w:marBottom w:val="0"/>
      <w:divBdr>
        <w:top w:val="none" w:sz="0" w:space="0" w:color="auto"/>
        <w:left w:val="none" w:sz="0" w:space="0" w:color="auto"/>
        <w:bottom w:val="none" w:sz="0" w:space="0" w:color="auto"/>
        <w:right w:val="none" w:sz="0" w:space="0" w:color="auto"/>
      </w:divBdr>
    </w:div>
    <w:div w:id="1727214680">
      <w:bodyDiv w:val="1"/>
      <w:marLeft w:val="0"/>
      <w:marRight w:val="0"/>
      <w:marTop w:val="0"/>
      <w:marBottom w:val="0"/>
      <w:divBdr>
        <w:top w:val="none" w:sz="0" w:space="0" w:color="auto"/>
        <w:left w:val="none" w:sz="0" w:space="0" w:color="auto"/>
        <w:bottom w:val="none" w:sz="0" w:space="0" w:color="auto"/>
        <w:right w:val="none" w:sz="0" w:space="0" w:color="auto"/>
      </w:divBdr>
    </w:div>
    <w:div w:id="1757048531">
      <w:bodyDiv w:val="1"/>
      <w:marLeft w:val="0"/>
      <w:marRight w:val="0"/>
      <w:marTop w:val="0"/>
      <w:marBottom w:val="0"/>
      <w:divBdr>
        <w:top w:val="none" w:sz="0" w:space="0" w:color="auto"/>
        <w:left w:val="none" w:sz="0" w:space="0" w:color="auto"/>
        <w:bottom w:val="none" w:sz="0" w:space="0" w:color="auto"/>
        <w:right w:val="none" w:sz="0" w:space="0" w:color="auto"/>
      </w:divBdr>
    </w:div>
    <w:div w:id="1798180750">
      <w:bodyDiv w:val="1"/>
      <w:marLeft w:val="0"/>
      <w:marRight w:val="0"/>
      <w:marTop w:val="0"/>
      <w:marBottom w:val="0"/>
      <w:divBdr>
        <w:top w:val="none" w:sz="0" w:space="0" w:color="auto"/>
        <w:left w:val="none" w:sz="0" w:space="0" w:color="auto"/>
        <w:bottom w:val="none" w:sz="0" w:space="0" w:color="auto"/>
        <w:right w:val="none" w:sz="0" w:space="0" w:color="auto"/>
      </w:divBdr>
    </w:div>
    <w:div w:id="1857309782">
      <w:bodyDiv w:val="1"/>
      <w:marLeft w:val="0"/>
      <w:marRight w:val="0"/>
      <w:marTop w:val="0"/>
      <w:marBottom w:val="0"/>
      <w:divBdr>
        <w:top w:val="none" w:sz="0" w:space="0" w:color="auto"/>
        <w:left w:val="none" w:sz="0" w:space="0" w:color="auto"/>
        <w:bottom w:val="none" w:sz="0" w:space="0" w:color="auto"/>
        <w:right w:val="none" w:sz="0" w:space="0" w:color="auto"/>
      </w:divBdr>
    </w:div>
    <w:div w:id="1925726753">
      <w:bodyDiv w:val="1"/>
      <w:marLeft w:val="0"/>
      <w:marRight w:val="0"/>
      <w:marTop w:val="0"/>
      <w:marBottom w:val="0"/>
      <w:divBdr>
        <w:top w:val="none" w:sz="0" w:space="0" w:color="auto"/>
        <w:left w:val="none" w:sz="0" w:space="0" w:color="auto"/>
        <w:bottom w:val="none" w:sz="0" w:space="0" w:color="auto"/>
        <w:right w:val="none" w:sz="0" w:space="0" w:color="auto"/>
      </w:divBdr>
    </w:div>
    <w:div w:id="1944341212">
      <w:bodyDiv w:val="1"/>
      <w:marLeft w:val="0"/>
      <w:marRight w:val="0"/>
      <w:marTop w:val="0"/>
      <w:marBottom w:val="0"/>
      <w:divBdr>
        <w:top w:val="none" w:sz="0" w:space="0" w:color="auto"/>
        <w:left w:val="none" w:sz="0" w:space="0" w:color="auto"/>
        <w:bottom w:val="none" w:sz="0" w:space="0" w:color="auto"/>
        <w:right w:val="none" w:sz="0" w:space="0" w:color="auto"/>
      </w:divBdr>
    </w:div>
    <w:div w:id="2063406940">
      <w:bodyDiv w:val="1"/>
      <w:marLeft w:val="0"/>
      <w:marRight w:val="0"/>
      <w:marTop w:val="0"/>
      <w:marBottom w:val="0"/>
      <w:divBdr>
        <w:top w:val="none" w:sz="0" w:space="0" w:color="auto"/>
        <w:left w:val="none" w:sz="0" w:space="0" w:color="auto"/>
        <w:bottom w:val="none" w:sz="0" w:space="0" w:color="auto"/>
        <w:right w:val="none" w:sz="0" w:space="0" w:color="auto"/>
      </w:divBdr>
    </w:div>
    <w:div w:id="212180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4632</Words>
  <Characters>26407</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16</cp:revision>
  <cp:lastPrinted>2025-04-14T22:15:00Z</cp:lastPrinted>
  <dcterms:created xsi:type="dcterms:W3CDTF">2025-05-02T10:10:00Z</dcterms:created>
  <dcterms:modified xsi:type="dcterms:W3CDTF">2025-05-03T08:40:00Z</dcterms:modified>
</cp:coreProperties>
</file>