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DEB1" w14:textId="3A3B814C" w:rsidR="008E79BA" w:rsidRDefault="002759D5" w:rsidP="00A67CDE">
      <w:pPr>
        <w:jc w:val="right"/>
        <w:rPr>
          <w:rFonts w:ascii="Arial" w:hAnsi="Arial" w:cs="Arial"/>
          <w:color w:val="000000" w:themeColor="text1"/>
          <w:sz w:val="36"/>
          <w:szCs w:val="36"/>
        </w:rPr>
      </w:pPr>
      <w:r w:rsidRPr="00F871AA">
        <w:rPr>
          <w:rFonts w:ascii="Arial" w:hAnsi="Arial" w:cs="Arial"/>
          <w:color w:val="000000" w:themeColor="text1"/>
          <w:sz w:val="36"/>
          <w:szCs w:val="36"/>
        </w:rPr>
        <w:t xml:space="preserve">Inhibitory Effects of </w:t>
      </w:r>
      <w:proofErr w:type="spellStart"/>
      <w:r w:rsidRPr="00F871AA">
        <w:rPr>
          <w:rFonts w:ascii="Arial" w:hAnsi="Arial" w:cs="Arial"/>
          <w:color w:val="000000" w:themeColor="text1"/>
          <w:sz w:val="36"/>
          <w:szCs w:val="36"/>
        </w:rPr>
        <w:t>Cogongrass</w:t>
      </w:r>
      <w:proofErr w:type="spellEnd"/>
      <w:r w:rsidRPr="00F871AA">
        <w:rPr>
          <w:rFonts w:ascii="Arial" w:hAnsi="Arial" w:cs="Arial"/>
          <w:color w:val="000000" w:themeColor="text1"/>
          <w:sz w:val="36"/>
          <w:szCs w:val="36"/>
        </w:rPr>
        <w:t xml:space="preserve"> </w:t>
      </w:r>
      <w:r w:rsidR="008E79BA">
        <w:rPr>
          <w:rFonts w:ascii="Arial" w:hAnsi="Arial" w:cs="Arial"/>
          <w:color w:val="000000" w:themeColor="text1"/>
          <w:sz w:val="36"/>
          <w:szCs w:val="36"/>
        </w:rPr>
        <w:t>(</w:t>
      </w:r>
      <w:proofErr w:type="spellStart"/>
      <w:r w:rsidR="008E79BA" w:rsidRPr="008E79BA">
        <w:rPr>
          <w:rFonts w:ascii="Arial" w:hAnsi="Arial" w:cs="Arial"/>
          <w:i/>
          <w:color w:val="000000" w:themeColor="text1"/>
          <w:sz w:val="36"/>
          <w:szCs w:val="36"/>
        </w:rPr>
        <w:t>Imperata</w:t>
      </w:r>
      <w:proofErr w:type="spellEnd"/>
      <w:r w:rsidR="008E79BA">
        <w:rPr>
          <w:rFonts w:ascii="Arial" w:hAnsi="Arial" w:cs="Arial"/>
          <w:color w:val="000000" w:themeColor="text1"/>
          <w:sz w:val="36"/>
          <w:szCs w:val="36"/>
        </w:rPr>
        <w:t xml:space="preserve"> </w:t>
      </w:r>
      <w:r w:rsidR="008E79BA" w:rsidRPr="008E79BA">
        <w:rPr>
          <w:rFonts w:ascii="Arial" w:hAnsi="Arial" w:cs="Arial"/>
          <w:i/>
          <w:color w:val="000000" w:themeColor="text1"/>
          <w:sz w:val="36"/>
          <w:szCs w:val="36"/>
        </w:rPr>
        <w:t>cylindrica</w:t>
      </w:r>
      <w:r w:rsidR="008E79BA">
        <w:rPr>
          <w:rFonts w:ascii="Arial" w:hAnsi="Arial" w:cs="Arial"/>
          <w:color w:val="000000" w:themeColor="text1"/>
          <w:sz w:val="36"/>
          <w:szCs w:val="36"/>
        </w:rPr>
        <w:t xml:space="preserve"> L.) </w:t>
      </w:r>
      <w:r w:rsidRPr="00F871AA">
        <w:rPr>
          <w:rFonts w:ascii="Arial" w:hAnsi="Arial" w:cs="Arial"/>
          <w:color w:val="000000" w:themeColor="text1"/>
          <w:sz w:val="36"/>
          <w:szCs w:val="36"/>
        </w:rPr>
        <w:t xml:space="preserve">Allelopathy on Seedling </w:t>
      </w:r>
    </w:p>
    <w:p w14:paraId="79651319" w14:textId="77777777" w:rsidR="008E79BA" w:rsidRDefault="002759D5" w:rsidP="002759D5">
      <w:pPr>
        <w:jc w:val="right"/>
        <w:rPr>
          <w:rFonts w:ascii="Arial" w:hAnsi="Arial" w:cs="Arial"/>
          <w:color w:val="000000" w:themeColor="text1"/>
          <w:sz w:val="36"/>
          <w:szCs w:val="36"/>
        </w:rPr>
      </w:pPr>
      <w:r w:rsidRPr="00F871AA">
        <w:rPr>
          <w:rFonts w:ascii="Arial" w:hAnsi="Arial" w:cs="Arial"/>
          <w:color w:val="000000" w:themeColor="text1"/>
          <w:sz w:val="36"/>
          <w:szCs w:val="36"/>
        </w:rPr>
        <w:t xml:space="preserve">Development and Productivity of </w:t>
      </w:r>
    </w:p>
    <w:p w14:paraId="359AAE61" w14:textId="77777777" w:rsidR="002759D5" w:rsidRPr="00F871AA" w:rsidRDefault="002759D5" w:rsidP="002759D5">
      <w:pPr>
        <w:jc w:val="right"/>
        <w:rPr>
          <w:rFonts w:ascii="Arial" w:hAnsi="Arial" w:cs="Arial"/>
          <w:color w:val="000000" w:themeColor="text1"/>
          <w:sz w:val="36"/>
          <w:szCs w:val="36"/>
        </w:rPr>
      </w:pPr>
      <w:r w:rsidRPr="00F871AA">
        <w:rPr>
          <w:rFonts w:ascii="Arial" w:hAnsi="Arial" w:cs="Arial"/>
          <w:color w:val="000000" w:themeColor="text1"/>
          <w:sz w:val="36"/>
          <w:szCs w:val="36"/>
        </w:rPr>
        <w:t>Cucumber Test Plant</w:t>
      </w:r>
    </w:p>
    <w:p w14:paraId="0A20824D" w14:textId="77777777" w:rsidR="001826F4" w:rsidRPr="00A67CDE" w:rsidRDefault="001E641B" w:rsidP="00A67CDE">
      <w:pPr>
        <w:jc w:val="right"/>
        <w:rPr>
          <w:rFonts w:ascii="Arial" w:hAnsi="Arial" w:cs="Arial"/>
          <w:color w:val="000000" w:themeColor="text1"/>
          <w:sz w:val="28"/>
        </w:rPr>
      </w:pPr>
      <w:r w:rsidRPr="00F871AA">
        <w:rPr>
          <w:rFonts w:ascii="Arial" w:hAnsi="Arial" w:cs="Arial"/>
          <w:color w:val="000000" w:themeColor="text1"/>
          <w:sz w:val="28"/>
        </w:rPr>
        <w:t xml:space="preserve"> </w:t>
      </w:r>
    </w:p>
    <w:p w14:paraId="097AF2AA" w14:textId="77777777" w:rsidR="001003B7" w:rsidRPr="00C15A0D" w:rsidRDefault="001003B7" w:rsidP="00C15A0D">
      <w:pPr>
        <w:jc w:val="right"/>
        <w:rPr>
          <w:rFonts w:ascii="Times New Roman" w:hAnsi="Times New Roman"/>
          <w:bCs/>
          <w:kern w:val="2"/>
          <w:szCs w:val="24"/>
          <w:lang w:val="en-ID" w:bidi="th-TH"/>
        </w:rPr>
      </w:pPr>
    </w:p>
    <w:p w14:paraId="75DB4864" w14:textId="77777777" w:rsidR="00B01FCD" w:rsidRPr="00FB3A86" w:rsidRDefault="00305722" w:rsidP="00441B6F">
      <w:pPr>
        <w:pStyle w:val="Copyright"/>
        <w:spacing w:after="0" w:line="240" w:lineRule="auto"/>
        <w:jc w:val="both"/>
        <w:rPr>
          <w:rFonts w:ascii="Arial" w:hAnsi="Arial" w:cs="Arial"/>
        </w:rPr>
        <w:sectPr w:rsidR="00B01FCD" w:rsidRPr="00FB3A86" w:rsidSect="00E572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8D94ED" wp14:editId="4997360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89458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78750DAD" w14:textId="77777777" w:rsidR="001826F4" w:rsidRDefault="001826F4"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826F4" w14:paraId="6D603AD1" w14:textId="77777777" w:rsidTr="00F265DC">
        <w:tc>
          <w:tcPr>
            <w:tcW w:w="8424" w:type="dxa"/>
            <w:shd w:val="clear" w:color="auto" w:fill="F2F2F2"/>
          </w:tcPr>
          <w:p w14:paraId="3D9A8EAC" w14:textId="1A691A80" w:rsidR="001826F4" w:rsidRPr="00F617AD" w:rsidRDefault="002F5167" w:rsidP="007005A7">
            <w:pPr>
              <w:ind w:left="-17"/>
              <w:jc w:val="both"/>
              <w:rPr>
                <w:rFonts w:ascii="Arial" w:hAnsi="Arial" w:cs="Arial"/>
              </w:rPr>
            </w:pPr>
            <w:r w:rsidRPr="002F5167">
              <w:rPr>
                <w:rFonts w:ascii="Arial" w:eastAsia="Calibri" w:hAnsi="Arial" w:cs="Arial"/>
                <w:szCs w:val="22"/>
              </w:rPr>
              <w:t xml:space="preserve">This study aimed to determine the effective concentration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w:t>
            </w:r>
            <w:proofErr w:type="spellStart"/>
            <w:r w:rsidRPr="00DD5498">
              <w:rPr>
                <w:rFonts w:ascii="Arial" w:eastAsia="Calibri" w:hAnsi="Arial" w:cs="Arial"/>
                <w:i/>
                <w:szCs w:val="22"/>
              </w:rPr>
              <w:t>Imperata</w:t>
            </w:r>
            <w:proofErr w:type="spellEnd"/>
            <w:r w:rsidRPr="002F5167">
              <w:rPr>
                <w:rFonts w:ascii="Arial" w:eastAsia="Calibri" w:hAnsi="Arial" w:cs="Arial"/>
                <w:szCs w:val="22"/>
              </w:rPr>
              <w:t xml:space="preserve"> </w:t>
            </w:r>
            <w:r w:rsidRPr="00DD5498">
              <w:rPr>
                <w:rFonts w:ascii="Arial" w:eastAsia="Calibri" w:hAnsi="Arial" w:cs="Arial"/>
                <w:i/>
                <w:szCs w:val="22"/>
              </w:rPr>
              <w:t>cylindrica</w:t>
            </w:r>
            <w:r w:rsidRPr="002F5167">
              <w:rPr>
                <w:rFonts w:ascii="Arial" w:eastAsia="Calibri" w:hAnsi="Arial" w:cs="Arial"/>
                <w:szCs w:val="22"/>
              </w:rPr>
              <w:t>) extract in inhibiting the germination, vegetative growth, and yield of cucumber (</w:t>
            </w:r>
            <w:r w:rsidRPr="00DD5498">
              <w:rPr>
                <w:rFonts w:ascii="Arial" w:eastAsia="Calibri" w:hAnsi="Arial" w:cs="Arial"/>
                <w:i/>
                <w:szCs w:val="22"/>
              </w:rPr>
              <w:t>Cucumis</w:t>
            </w:r>
            <w:r w:rsidRPr="002F5167">
              <w:rPr>
                <w:rFonts w:ascii="Arial" w:eastAsia="Calibri" w:hAnsi="Arial" w:cs="Arial"/>
                <w:szCs w:val="22"/>
              </w:rPr>
              <w:t xml:space="preserve"> </w:t>
            </w:r>
            <w:r w:rsidRPr="00DD5498">
              <w:rPr>
                <w:rFonts w:ascii="Arial" w:eastAsia="Calibri" w:hAnsi="Arial" w:cs="Arial"/>
                <w:i/>
                <w:szCs w:val="22"/>
              </w:rPr>
              <w:t>sativus</w:t>
            </w:r>
            <w:r w:rsidRPr="002F5167">
              <w:rPr>
                <w:rFonts w:ascii="Arial" w:eastAsia="Calibri" w:hAnsi="Arial" w:cs="Arial"/>
                <w:szCs w:val="22"/>
              </w:rPr>
              <w:t xml:space="preserve"> L.)</w:t>
            </w:r>
            <w:r w:rsidR="00D01611">
              <w:rPr>
                <w:rFonts w:ascii="Arial" w:eastAsia="Calibri" w:hAnsi="Arial" w:cs="Arial"/>
                <w:szCs w:val="22"/>
              </w:rPr>
              <w:t xml:space="preserve"> test plant</w:t>
            </w:r>
            <w:r w:rsidRPr="002F5167">
              <w:rPr>
                <w:rFonts w:ascii="Arial" w:eastAsia="Calibri" w:hAnsi="Arial" w:cs="Arial"/>
                <w:szCs w:val="22"/>
              </w:rPr>
              <w:t>, and to calculate the IC</w:t>
            </w:r>
            <w:r w:rsidRPr="002F5167">
              <w:rPr>
                <w:rFonts w:ascii="Cambria Math" w:eastAsia="Calibri" w:hAnsi="Cambria Math" w:cs="Cambria Math"/>
                <w:szCs w:val="22"/>
              </w:rPr>
              <w:t>₅₀</w:t>
            </w:r>
            <w:r w:rsidRPr="002F5167">
              <w:rPr>
                <w:rFonts w:ascii="Arial" w:eastAsia="Calibri" w:hAnsi="Arial" w:cs="Arial"/>
                <w:szCs w:val="22"/>
              </w:rPr>
              <w:t xml:space="preserve"> value as an indicator of its allelopathic potential. A Completely Randomized Design (CRD) was employed with five concentrations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extract (0%, 2.5%, 5%, 7.5%, and 10%), and the experiments were conducted in both laboratory and greenhouse settings. The study took place from November 2024 to January 2025 at the Agronomy Laboratory and Medan Baru Experimental Station, </w:t>
            </w:r>
            <w:proofErr w:type="spellStart"/>
            <w:r w:rsidRPr="002F5167">
              <w:rPr>
                <w:rFonts w:ascii="Arial" w:eastAsia="Calibri" w:hAnsi="Arial" w:cs="Arial"/>
                <w:szCs w:val="22"/>
              </w:rPr>
              <w:t>Kandang</w:t>
            </w:r>
            <w:proofErr w:type="spellEnd"/>
            <w:r w:rsidRPr="002F5167">
              <w:rPr>
                <w:rFonts w:ascii="Arial" w:eastAsia="Calibri" w:hAnsi="Arial" w:cs="Arial"/>
                <w:szCs w:val="22"/>
              </w:rPr>
              <w:t xml:space="preserve"> </w:t>
            </w:r>
            <w:proofErr w:type="spellStart"/>
            <w:r w:rsidRPr="002F5167">
              <w:rPr>
                <w:rFonts w:ascii="Arial" w:eastAsia="Calibri" w:hAnsi="Arial" w:cs="Arial"/>
                <w:szCs w:val="22"/>
              </w:rPr>
              <w:t>Limun</w:t>
            </w:r>
            <w:proofErr w:type="spellEnd"/>
            <w:r w:rsidRPr="002F5167">
              <w:rPr>
                <w:rFonts w:ascii="Arial" w:eastAsia="Calibri" w:hAnsi="Arial" w:cs="Arial"/>
                <w:szCs w:val="22"/>
              </w:rPr>
              <w:t xml:space="preserve"> District, Bengkulu City, Indonesia. The study consisted of two stages. In the laboratory, 25 cucumber seeds were placed in Petri dishes containing varying extract concentrations and observed for seven days to evaluate germination and early growth. Germinated seedlings were then transplanted into a soil-manure mixture in a greenhouse to assess further growth and yield. Data were analyzed using ANOVA, followed by polynomial regression and LSD tests. The IC</w:t>
            </w:r>
            <w:r w:rsidRPr="002F5167">
              <w:rPr>
                <w:rFonts w:ascii="Cambria Math" w:eastAsia="Calibri" w:hAnsi="Cambria Math" w:cs="Cambria Math"/>
                <w:szCs w:val="22"/>
              </w:rPr>
              <w:t>₅₀</w:t>
            </w:r>
            <w:r w:rsidRPr="002F5167">
              <w:rPr>
                <w:rFonts w:ascii="Arial" w:eastAsia="Calibri" w:hAnsi="Arial" w:cs="Arial"/>
                <w:szCs w:val="22"/>
              </w:rPr>
              <w:t xml:space="preserve"> values were calculated to assess the allelopathic strength of the extract. The extract significantly reduced germination rate, radicle and plumule length, and seedling dry biomass. The lowest IC</w:t>
            </w:r>
            <w:r w:rsidRPr="002F5167">
              <w:rPr>
                <w:rFonts w:ascii="Cambria Math" w:eastAsia="Calibri" w:hAnsi="Cambria Math" w:cs="Cambria Math"/>
                <w:szCs w:val="22"/>
              </w:rPr>
              <w:t>₅₀</w:t>
            </w:r>
            <w:r w:rsidRPr="002F5167">
              <w:rPr>
                <w:rFonts w:ascii="Arial" w:eastAsia="Calibri" w:hAnsi="Arial" w:cs="Arial"/>
                <w:szCs w:val="22"/>
              </w:rPr>
              <w:t xml:space="preserve"> value was found for abnormal seedling percentage (6.33%), indicating high sensitivity of cucumber to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allelochemicals. In the greenhouse, the 10% extract significantly reduced plant height, leaf number, root and shoot biomass, leaf greenness, and yield.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exhibited strong allelopathic effects on cucumber, even at low concentrations. Compounds such as phenols, flavonoids, and alkaloids are suspected to be the primary agents disrupting plant physiological processes. These findings suggest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has potential as a natural bioherbicide for sustainable weed management</w:t>
            </w:r>
            <w:r w:rsidR="001826F4">
              <w:t>.</w:t>
            </w:r>
          </w:p>
        </w:tc>
      </w:tr>
    </w:tbl>
    <w:p w14:paraId="1FBD5811" w14:textId="77777777" w:rsidR="00505F06" w:rsidRPr="00F265DC" w:rsidRDefault="00F265DC" w:rsidP="00F265DC">
      <w:pPr>
        <w:spacing w:line="276" w:lineRule="auto"/>
        <w:jc w:val="both"/>
        <w:rPr>
          <w:rFonts w:ascii="Times New Roman" w:hAnsi="Times New Roman"/>
          <w:i/>
        </w:rPr>
      </w:pPr>
      <w:r w:rsidRPr="00F265DC">
        <w:rPr>
          <w:rStyle w:val="Strong"/>
          <w:rFonts w:ascii="Times New Roman" w:hAnsi="Times New Roman"/>
          <w:i/>
        </w:rPr>
        <w:t xml:space="preserve">Keywords: </w:t>
      </w:r>
      <w:r w:rsidRPr="00F265DC">
        <w:rPr>
          <w:rFonts w:ascii="Times New Roman" w:hAnsi="Times New Roman"/>
          <w:i/>
        </w:rPr>
        <w:t>Allelopathy</w:t>
      </w:r>
      <w:r w:rsidRPr="00F265DC">
        <w:rPr>
          <w:rFonts w:ascii="Times New Roman" w:hAnsi="Times New Roman"/>
        </w:rPr>
        <w:t xml:space="preserve">, </w:t>
      </w:r>
      <w:proofErr w:type="spellStart"/>
      <w:r w:rsidRPr="00F265DC">
        <w:rPr>
          <w:rStyle w:val="Emphasis"/>
          <w:rFonts w:ascii="Times New Roman" w:hAnsi="Times New Roman"/>
        </w:rPr>
        <w:t>Imperata</w:t>
      </w:r>
      <w:proofErr w:type="spellEnd"/>
      <w:r w:rsidRPr="00F265DC">
        <w:rPr>
          <w:rStyle w:val="Emphasis"/>
          <w:rFonts w:ascii="Times New Roman" w:hAnsi="Times New Roman"/>
        </w:rPr>
        <w:t xml:space="preserve"> cylindrica</w:t>
      </w:r>
      <w:r w:rsidRPr="00F265DC">
        <w:rPr>
          <w:rFonts w:ascii="Times New Roman" w:hAnsi="Times New Roman"/>
          <w:i/>
        </w:rPr>
        <w:t>, cucumber, bioherbicide, seedling inhibition.</w:t>
      </w:r>
    </w:p>
    <w:p w14:paraId="3DE84CA2" w14:textId="77777777" w:rsidR="00A25B14" w:rsidRPr="00A24E7E" w:rsidRDefault="00A25B14" w:rsidP="00441B6F">
      <w:pPr>
        <w:pStyle w:val="Body"/>
        <w:spacing w:after="0"/>
        <w:rPr>
          <w:rFonts w:ascii="Arial" w:hAnsi="Arial" w:cs="Arial"/>
          <w:i/>
        </w:rPr>
      </w:pPr>
    </w:p>
    <w:p w14:paraId="13D0AF22" w14:textId="77777777" w:rsidR="00A477D6" w:rsidRPr="00A477D6" w:rsidRDefault="00902823" w:rsidP="00A477D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05722">
        <w:rPr>
          <w:rFonts w:ascii="Arial" w:hAnsi="Arial" w:cs="Arial"/>
        </w:rPr>
        <w:t xml:space="preserve"> </w:t>
      </w:r>
    </w:p>
    <w:p w14:paraId="47DB5B61" w14:textId="25CE18D8" w:rsidR="002F5167" w:rsidRDefault="002F5167" w:rsidP="00A477D6">
      <w:pPr>
        <w:spacing w:line="276" w:lineRule="auto"/>
        <w:ind w:firstLine="567"/>
        <w:jc w:val="both"/>
        <w:rPr>
          <w:rFonts w:ascii="Arial" w:hAnsi="Arial" w:cs="Arial"/>
        </w:rPr>
      </w:pPr>
      <w:r w:rsidRPr="002F5167">
        <w:rPr>
          <w:rFonts w:ascii="Arial" w:hAnsi="Arial" w:cs="Arial"/>
        </w:rPr>
        <w:t>Weeds are unwanted plants that grow in agricultural fields, competing with crops for essential resources such as nutrients, water, sunlight, and space (</w:t>
      </w:r>
      <w:proofErr w:type="spellStart"/>
      <w:r w:rsidRPr="002F5167">
        <w:rPr>
          <w:rFonts w:ascii="Arial" w:hAnsi="Arial" w:cs="Arial"/>
        </w:rPr>
        <w:t>Kilkoda</w:t>
      </w:r>
      <w:proofErr w:type="spellEnd"/>
      <w:r w:rsidRPr="002F5167">
        <w:rPr>
          <w:rFonts w:ascii="Arial" w:hAnsi="Arial" w:cs="Arial"/>
        </w:rPr>
        <w:t xml:space="preserve"> </w:t>
      </w:r>
      <w:r w:rsidR="003A0BD8" w:rsidRPr="003A0BD8">
        <w:rPr>
          <w:rFonts w:ascii="Arial" w:hAnsi="Arial" w:cs="Arial"/>
          <w:i/>
          <w:iCs/>
        </w:rPr>
        <w:t>et al</w:t>
      </w:r>
      <w:r w:rsidRPr="002F5167">
        <w:rPr>
          <w:rFonts w:ascii="Arial" w:hAnsi="Arial" w:cs="Arial"/>
        </w:rPr>
        <w:t>., 2015). Beyond this competition, certain weeds exhibit allelopathy, releasing biochemical compounds that disrupt the growth and physiological functions of cultivated plants (</w:t>
      </w:r>
      <w:proofErr w:type="spellStart"/>
      <w:r w:rsidRPr="002F5167">
        <w:rPr>
          <w:rFonts w:ascii="Arial" w:hAnsi="Arial" w:cs="Arial"/>
        </w:rPr>
        <w:t>Yunasfi</w:t>
      </w:r>
      <w:proofErr w:type="spellEnd"/>
      <w:r w:rsidRPr="002F5167">
        <w:rPr>
          <w:rFonts w:ascii="Arial" w:hAnsi="Arial" w:cs="Arial"/>
        </w:rPr>
        <w:t>, 2008). Such adverse effects can gradually reduce crop yields and overall productivity (</w:t>
      </w:r>
      <w:proofErr w:type="spellStart"/>
      <w:r w:rsidRPr="002F5167">
        <w:rPr>
          <w:rFonts w:ascii="Arial" w:hAnsi="Arial" w:cs="Arial"/>
        </w:rPr>
        <w:t>Sembodo</w:t>
      </w:r>
      <w:proofErr w:type="spellEnd"/>
      <w:r w:rsidRPr="002F5167">
        <w:rPr>
          <w:rFonts w:ascii="Arial" w:hAnsi="Arial" w:cs="Arial"/>
        </w:rPr>
        <w:t>, 2010). Therefore, effective weed management is essential to mitigate these negative impacts.</w:t>
      </w:r>
    </w:p>
    <w:p w14:paraId="454D82A3" w14:textId="34E10086" w:rsidR="007D627B" w:rsidRDefault="006B0628" w:rsidP="00A477D6">
      <w:pPr>
        <w:spacing w:line="276" w:lineRule="auto"/>
        <w:ind w:firstLine="567"/>
        <w:jc w:val="both"/>
        <w:rPr>
          <w:rFonts w:ascii="Arial" w:hAnsi="Arial" w:cs="Arial"/>
        </w:rPr>
      </w:pPr>
      <w:r w:rsidRPr="006B0628">
        <w:rPr>
          <w:rFonts w:ascii="Arial" w:hAnsi="Arial" w:cs="Arial"/>
        </w:rPr>
        <w:t xml:space="preserve">While synthetic herbicides are commonly used in weed control, their overuse has led to herbicide resistance in weed species, environmental contamination, and adverse effects on soil organisms and human health (Erida </w:t>
      </w:r>
      <w:r w:rsidR="003A0BD8" w:rsidRPr="003A0BD8">
        <w:rPr>
          <w:rFonts w:ascii="Arial" w:hAnsi="Arial" w:cs="Arial"/>
          <w:i/>
          <w:iCs/>
        </w:rPr>
        <w:t>et al</w:t>
      </w:r>
      <w:r w:rsidRPr="006B0628">
        <w:rPr>
          <w:rFonts w:ascii="Arial" w:hAnsi="Arial" w:cs="Arial"/>
        </w:rPr>
        <w:t>., 2019). Certain plants, including sorghum (</w:t>
      </w:r>
      <w:r w:rsidRPr="00DD5498">
        <w:rPr>
          <w:rFonts w:ascii="Arial" w:hAnsi="Arial" w:cs="Arial"/>
          <w:i/>
        </w:rPr>
        <w:t>Sorghum bicolor</w:t>
      </w:r>
      <w:r w:rsidRPr="006B0628">
        <w:rPr>
          <w:rFonts w:ascii="Arial" w:hAnsi="Arial" w:cs="Arial"/>
        </w:rPr>
        <w:t>) (</w:t>
      </w:r>
      <w:proofErr w:type="spellStart"/>
      <w:r w:rsidRPr="006B0628">
        <w:rPr>
          <w:rFonts w:ascii="Arial" w:hAnsi="Arial" w:cs="Arial"/>
        </w:rPr>
        <w:t>Nurjanah</w:t>
      </w:r>
      <w:proofErr w:type="spellEnd"/>
      <w:r w:rsidRPr="006B062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2024; Susilo </w:t>
      </w:r>
      <w:r w:rsidR="003A0BD8" w:rsidRPr="003A0BD8">
        <w:rPr>
          <w:rFonts w:ascii="Arial" w:hAnsi="Arial" w:cs="Arial"/>
          <w:i/>
          <w:iCs/>
        </w:rPr>
        <w:t>et al</w:t>
      </w:r>
      <w:r w:rsidRPr="006B0628">
        <w:rPr>
          <w:rFonts w:ascii="Arial" w:hAnsi="Arial" w:cs="Arial"/>
        </w:rPr>
        <w:t>., 2025a) and goat weed (</w:t>
      </w:r>
      <w:r w:rsidRPr="00DD5498">
        <w:rPr>
          <w:rFonts w:ascii="Arial" w:hAnsi="Arial" w:cs="Arial"/>
          <w:i/>
        </w:rPr>
        <w:t>Ageratum</w:t>
      </w:r>
      <w:r w:rsidRPr="006B0628">
        <w:rPr>
          <w:rFonts w:ascii="Arial" w:hAnsi="Arial" w:cs="Arial"/>
        </w:rPr>
        <w:t xml:space="preserve"> </w:t>
      </w:r>
      <w:proofErr w:type="spellStart"/>
      <w:r w:rsidRPr="00DD5498">
        <w:rPr>
          <w:rFonts w:ascii="Arial" w:hAnsi="Arial" w:cs="Arial"/>
          <w:i/>
        </w:rPr>
        <w:t>conyzoides</w:t>
      </w:r>
      <w:proofErr w:type="spellEnd"/>
      <w:r w:rsidRPr="006B0628">
        <w:rPr>
          <w:rFonts w:ascii="Arial" w:hAnsi="Arial" w:cs="Arial"/>
        </w:rPr>
        <w:t xml:space="preserve"> L.) (</w:t>
      </w:r>
      <w:proofErr w:type="spellStart"/>
      <w:r w:rsidRPr="006B0628">
        <w:rPr>
          <w:rFonts w:ascii="Arial" w:hAnsi="Arial" w:cs="Arial"/>
        </w:rPr>
        <w:t>Setyowati</w:t>
      </w:r>
      <w:proofErr w:type="spellEnd"/>
      <w:r w:rsidR="003A0BD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2025), exhibit allelopathic properties, releasing biochemicals that inhibit nearby plant growth, and </w:t>
      </w:r>
      <w:proofErr w:type="spellStart"/>
      <w:r w:rsidRPr="006B0628">
        <w:rPr>
          <w:rFonts w:ascii="Arial" w:hAnsi="Arial" w:cs="Arial"/>
        </w:rPr>
        <w:t>cogongrass</w:t>
      </w:r>
      <w:proofErr w:type="spellEnd"/>
      <w:r w:rsidRPr="006B0628">
        <w:rPr>
          <w:rFonts w:ascii="Arial" w:hAnsi="Arial" w:cs="Arial"/>
        </w:rPr>
        <w:t xml:space="preserve"> (</w:t>
      </w:r>
      <w:proofErr w:type="spellStart"/>
      <w:r w:rsidRPr="00DD5498">
        <w:rPr>
          <w:rFonts w:ascii="Arial" w:hAnsi="Arial" w:cs="Arial"/>
          <w:i/>
        </w:rPr>
        <w:t>Imperata</w:t>
      </w:r>
      <w:proofErr w:type="spellEnd"/>
      <w:r w:rsidRPr="00DD5498">
        <w:rPr>
          <w:rFonts w:ascii="Arial" w:hAnsi="Arial" w:cs="Arial"/>
          <w:i/>
        </w:rPr>
        <w:t xml:space="preserve"> cylindrica</w:t>
      </w:r>
      <w:r w:rsidRPr="006B0628">
        <w:rPr>
          <w:rFonts w:ascii="Arial" w:hAnsi="Arial" w:cs="Arial"/>
        </w:rPr>
        <w:t xml:space="preserve"> L.), which contains compounds that can suppress weed growth (Suzuki </w:t>
      </w:r>
      <w:r w:rsidR="003A0BD8" w:rsidRPr="003A0BD8">
        <w:rPr>
          <w:rFonts w:ascii="Arial" w:hAnsi="Arial" w:cs="Arial"/>
          <w:i/>
          <w:iCs/>
        </w:rPr>
        <w:t>et al</w:t>
      </w:r>
      <w:r w:rsidRPr="006B0628">
        <w:rPr>
          <w:rFonts w:ascii="Arial" w:hAnsi="Arial" w:cs="Arial"/>
        </w:rPr>
        <w:t xml:space="preserve">., 2018). The intensity and </w:t>
      </w:r>
      <w:r w:rsidRPr="006B0628">
        <w:rPr>
          <w:rFonts w:ascii="Arial" w:hAnsi="Arial" w:cs="Arial"/>
        </w:rPr>
        <w:lastRenderedPageBreak/>
        <w:t xml:space="preserve">nature of allelopathic effects depend on factors such as plant genotype (Susilo </w:t>
      </w:r>
      <w:r w:rsidR="003A0BD8" w:rsidRPr="003A0BD8">
        <w:rPr>
          <w:rFonts w:ascii="Arial" w:hAnsi="Arial" w:cs="Arial"/>
          <w:i/>
          <w:iCs/>
        </w:rPr>
        <w:t>et al</w:t>
      </w:r>
      <w:r w:rsidRPr="006B0628">
        <w:rPr>
          <w:rFonts w:ascii="Arial" w:hAnsi="Arial" w:cs="Arial"/>
        </w:rPr>
        <w:t xml:space="preserve">., 2024) and environmental stressors like drought, which can influence compound synthesis and release (Susilo </w:t>
      </w:r>
      <w:r w:rsidR="003A0BD8" w:rsidRPr="003A0BD8">
        <w:rPr>
          <w:rFonts w:ascii="Arial" w:hAnsi="Arial" w:cs="Arial"/>
          <w:i/>
          <w:iCs/>
        </w:rPr>
        <w:t>et al</w:t>
      </w:r>
      <w:r w:rsidRPr="006B0628">
        <w:rPr>
          <w:rFonts w:ascii="Arial" w:hAnsi="Arial" w:cs="Arial"/>
        </w:rPr>
        <w:t xml:space="preserve">., 2025a, 2025b). The concentration of allelopathic substances also plays a key role in determining their inhibitory effects (Susilo </w:t>
      </w:r>
      <w:r w:rsidR="003A0BD8" w:rsidRPr="003A0BD8">
        <w:rPr>
          <w:rFonts w:ascii="Arial" w:hAnsi="Arial" w:cs="Arial"/>
          <w:i/>
          <w:iCs/>
        </w:rPr>
        <w:t>et al</w:t>
      </w:r>
      <w:r w:rsidRPr="006B0628">
        <w:rPr>
          <w:rFonts w:ascii="Arial" w:hAnsi="Arial" w:cs="Arial"/>
        </w:rPr>
        <w:t>., 2023).</w:t>
      </w:r>
    </w:p>
    <w:p w14:paraId="49997E5B" w14:textId="22BC2664" w:rsidR="006B0628" w:rsidRDefault="006B0628" w:rsidP="00A477D6">
      <w:pPr>
        <w:spacing w:line="276" w:lineRule="auto"/>
        <w:ind w:firstLine="567"/>
        <w:jc w:val="both"/>
        <w:rPr>
          <w:rFonts w:ascii="Arial" w:hAnsi="Arial" w:cs="Arial"/>
        </w:rPr>
      </w:pPr>
      <w:proofErr w:type="spellStart"/>
      <w:r w:rsidRPr="006B0628">
        <w:rPr>
          <w:rFonts w:ascii="Arial" w:hAnsi="Arial" w:cs="Arial"/>
        </w:rPr>
        <w:t>Cogo</w:t>
      </w:r>
      <w:r w:rsidR="00DD5498">
        <w:rPr>
          <w:rFonts w:ascii="Arial" w:hAnsi="Arial" w:cs="Arial"/>
        </w:rPr>
        <w:t>ngrass</w:t>
      </w:r>
      <w:proofErr w:type="spellEnd"/>
      <w:r w:rsidR="00DD5498">
        <w:rPr>
          <w:rFonts w:ascii="Arial" w:hAnsi="Arial" w:cs="Arial"/>
        </w:rPr>
        <w:t xml:space="preserve"> </w:t>
      </w:r>
      <w:r w:rsidRPr="006B0628">
        <w:rPr>
          <w:rFonts w:ascii="Arial" w:hAnsi="Arial" w:cs="Arial"/>
        </w:rPr>
        <w:t xml:space="preserve">is a highly invasive weed known for its aggressive competitiveness, largely attributed to the production of allelochemicals such as phenolic acids, flavonoids, phenylpropanoids, and alkaloids (Kato, 2022). Phenolic compounds can disrupt enzyme activity and plant hormone synthesis (John &amp; Sarada, 2012), while flavonoids inhibit IAA-oxidase, affecting protein and nucleic acid synthesis (Sari &amp; </w:t>
      </w:r>
      <w:proofErr w:type="spellStart"/>
      <w:r w:rsidRPr="006B0628">
        <w:rPr>
          <w:rFonts w:ascii="Arial" w:hAnsi="Arial" w:cs="Arial"/>
        </w:rPr>
        <w:t>Jainal</w:t>
      </w:r>
      <w:proofErr w:type="spellEnd"/>
      <w:r w:rsidRPr="006B0628">
        <w:rPr>
          <w:rFonts w:ascii="Arial" w:hAnsi="Arial" w:cs="Arial"/>
        </w:rPr>
        <w:t xml:space="preserve">, 2020). Alkaloids, distributed throughout plant tissues, can interfere with vital metabolic and developmental processes in other plants (Ningrum </w:t>
      </w:r>
      <w:r w:rsidR="003A0BD8" w:rsidRPr="003A0BD8">
        <w:rPr>
          <w:rFonts w:ascii="Arial" w:hAnsi="Arial" w:cs="Arial"/>
          <w:i/>
          <w:iCs/>
        </w:rPr>
        <w:t>et al</w:t>
      </w:r>
      <w:r w:rsidRPr="006B0628">
        <w:rPr>
          <w:rFonts w:ascii="Arial" w:hAnsi="Arial" w:cs="Arial"/>
        </w:rPr>
        <w:t>., 2016).</w:t>
      </w:r>
    </w:p>
    <w:p w14:paraId="20914C6A" w14:textId="0E53EE9E" w:rsidR="006B0628" w:rsidRDefault="006B0628" w:rsidP="00A477D6">
      <w:pPr>
        <w:spacing w:line="276" w:lineRule="auto"/>
        <w:ind w:firstLine="567"/>
        <w:jc w:val="both"/>
        <w:rPr>
          <w:rFonts w:ascii="Arial" w:hAnsi="Arial" w:cs="Arial"/>
        </w:rPr>
      </w:pPr>
      <w:r w:rsidRPr="006B0628">
        <w:rPr>
          <w:rFonts w:ascii="Arial" w:hAnsi="Arial" w:cs="Arial"/>
        </w:rPr>
        <w:t>The allelopathic activity of plant extracts is often assessed using test species chosen for their ease of cultivation, availability, distinct morphological traits, and a life cycle suitable for experimentation (</w:t>
      </w:r>
      <w:proofErr w:type="spellStart"/>
      <w:r w:rsidRPr="006B0628">
        <w:rPr>
          <w:rFonts w:ascii="Arial" w:hAnsi="Arial" w:cs="Arial"/>
        </w:rPr>
        <w:t>Dukel</w:t>
      </w:r>
      <w:proofErr w:type="spellEnd"/>
      <w:r w:rsidRPr="006B0628">
        <w:rPr>
          <w:rFonts w:ascii="Arial" w:hAnsi="Arial" w:cs="Arial"/>
        </w:rPr>
        <w:t xml:space="preserve"> &amp; Stephen, 2008). A common parameter used to measure allelopathic strength is the IC</w:t>
      </w:r>
      <w:r w:rsidRPr="006B0628">
        <w:rPr>
          <w:rFonts w:ascii="Cambria Math" w:hAnsi="Cambria Math" w:cs="Cambria Math"/>
        </w:rPr>
        <w:t>₅₀</w:t>
      </w:r>
      <w:r w:rsidRPr="006B0628">
        <w:rPr>
          <w:rFonts w:ascii="Arial" w:hAnsi="Arial" w:cs="Arial"/>
        </w:rPr>
        <w:t xml:space="preserve"> value—the concentration required to reduce activity (e.g., growth or germination) by 50%. A lower IC</w:t>
      </w:r>
      <w:r w:rsidRPr="006B0628">
        <w:rPr>
          <w:rFonts w:ascii="Cambria Math" w:hAnsi="Cambria Math" w:cs="Cambria Math"/>
        </w:rPr>
        <w:t>₅₀</w:t>
      </w:r>
      <w:r w:rsidRPr="006B0628">
        <w:rPr>
          <w:rFonts w:ascii="Arial" w:hAnsi="Arial" w:cs="Arial"/>
        </w:rPr>
        <w:t xml:space="preserve"> indicates a stronger inhibitory effect (Katrin &amp; </w:t>
      </w:r>
      <w:proofErr w:type="spellStart"/>
      <w:r w:rsidRPr="006B0628">
        <w:rPr>
          <w:rFonts w:ascii="Arial" w:hAnsi="Arial" w:cs="Arial"/>
        </w:rPr>
        <w:t>Bendra</w:t>
      </w:r>
      <w:proofErr w:type="spellEnd"/>
      <w:r w:rsidRPr="006B0628">
        <w:rPr>
          <w:rFonts w:ascii="Arial" w:hAnsi="Arial" w:cs="Arial"/>
        </w:rPr>
        <w:t xml:space="preserve">, 2015; </w:t>
      </w:r>
      <w:r w:rsidR="00976E94">
        <w:rPr>
          <w:rFonts w:ascii="Arial" w:hAnsi="Arial" w:cs="Arial"/>
        </w:rPr>
        <w:t>Molyneux</w:t>
      </w:r>
      <w:r w:rsidRPr="006B0628">
        <w:rPr>
          <w:rFonts w:ascii="Arial" w:hAnsi="Arial" w:cs="Arial"/>
        </w:rPr>
        <w:t xml:space="preserve">, 2004). The term allelopathy, first introduced by Hans Molisch in 1937, refers to the influence of donor plant metabolites—now termed allelochemicals—on the growth of nearby plants, which can be either inhibitory or stimulatory (Negi </w:t>
      </w:r>
      <w:r w:rsidR="003A0BD8" w:rsidRPr="003A0BD8">
        <w:rPr>
          <w:rFonts w:ascii="Arial" w:hAnsi="Arial" w:cs="Arial"/>
          <w:i/>
          <w:iCs/>
        </w:rPr>
        <w:t>et al</w:t>
      </w:r>
      <w:r w:rsidRPr="006B0628">
        <w:rPr>
          <w:rFonts w:ascii="Arial" w:hAnsi="Arial" w:cs="Arial"/>
        </w:rPr>
        <w:t xml:space="preserve">., 2020; Scavo </w:t>
      </w:r>
      <w:r w:rsidR="003A0BD8" w:rsidRPr="003A0BD8">
        <w:rPr>
          <w:rFonts w:ascii="Arial" w:hAnsi="Arial" w:cs="Arial"/>
          <w:i/>
          <w:iCs/>
        </w:rPr>
        <w:t>et al</w:t>
      </w:r>
      <w:r w:rsidRPr="006B0628">
        <w:rPr>
          <w:rFonts w:ascii="Arial" w:hAnsi="Arial" w:cs="Arial"/>
        </w:rPr>
        <w:t>., 2019).</w:t>
      </w:r>
    </w:p>
    <w:p w14:paraId="012D52CE" w14:textId="2638CF78" w:rsidR="006B0628" w:rsidRDefault="00FE5A61" w:rsidP="00A477D6">
      <w:pPr>
        <w:spacing w:line="276" w:lineRule="auto"/>
        <w:ind w:firstLine="567"/>
        <w:jc w:val="both"/>
        <w:rPr>
          <w:rFonts w:ascii="Arial" w:hAnsi="Arial" w:cs="Arial"/>
        </w:rPr>
      </w:pPr>
      <w:r w:rsidRPr="00FE5A61">
        <w:rPr>
          <w:rFonts w:ascii="Arial" w:hAnsi="Arial" w:cs="Arial"/>
        </w:rPr>
        <w:t xml:space="preserve">Previous studies have highlighted </w:t>
      </w:r>
      <w:proofErr w:type="spellStart"/>
      <w:r w:rsidRPr="00FE5A61">
        <w:rPr>
          <w:rFonts w:ascii="Arial" w:hAnsi="Arial" w:cs="Arial"/>
        </w:rPr>
        <w:t>cogongrass's</w:t>
      </w:r>
      <w:proofErr w:type="spellEnd"/>
      <w:r w:rsidRPr="00FE5A61">
        <w:rPr>
          <w:rFonts w:ascii="Arial" w:hAnsi="Arial" w:cs="Arial"/>
        </w:rPr>
        <w:t xml:space="preserve"> potential as a bioherbicide. For instance, Salim </w:t>
      </w:r>
      <w:r w:rsidR="003A0BD8" w:rsidRPr="003A0BD8">
        <w:rPr>
          <w:rFonts w:ascii="Arial" w:hAnsi="Arial" w:cs="Arial"/>
          <w:i/>
          <w:iCs/>
        </w:rPr>
        <w:t>et al</w:t>
      </w:r>
      <w:r w:rsidRPr="00FE5A61">
        <w:rPr>
          <w:rFonts w:ascii="Arial" w:hAnsi="Arial" w:cs="Arial"/>
        </w:rPr>
        <w:t xml:space="preserve">. (2020) found that a 31.25 mg/mL root extract significantly inhibited seed germination in </w:t>
      </w:r>
      <w:r w:rsidRPr="00DD5498">
        <w:rPr>
          <w:rFonts w:ascii="Arial" w:hAnsi="Arial" w:cs="Arial"/>
          <w:i/>
        </w:rPr>
        <w:t>Cucumis sativus</w:t>
      </w:r>
      <w:r w:rsidRPr="00FE5A61">
        <w:rPr>
          <w:rFonts w:ascii="Arial" w:hAnsi="Arial" w:cs="Arial"/>
        </w:rPr>
        <w:t xml:space="preserve"> L. and </w:t>
      </w:r>
      <w:r w:rsidRPr="00DD5498">
        <w:rPr>
          <w:rFonts w:ascii="Arial" w:hAnsi="Arial" w:cs="Arial"/>
          <w:i/>
        </w:rPr>
        <w:t xml:space="preserve">Lolium </w:t>
      </w:r>
      <w:proofErr w:type="spellStart"/>
      <w:r w:rsidRPr="00DD5498">
        <w:rPr>
          <w:rFonts w:ascii="Arial" w:hAnsi="Arial" w:cs="Arial"/>
          <w:i/>
        </w:rPr>
        <w:t>perenne</w:t>
      </w:r>
      <w:proofErr w:type="spellEnd"/>
      <w:r w:rsidRPr="00FE5A61">
        <w:rPr>
          <w:rFonts w:ascii="Arial" w:hAnsi="Arial" w:cs="Arial"/>
        </w:rPr>
        <w:t xml:space="preserve"> L. </w:t>
      </w:r>
      <w:proofErr w:type="spellStart"/>
      <w:r w:rsidRPr="00FE5A61">
        <w:rPr>
          <w:rFonts w:ascii="Arial" w:hAnsi="Arial" w:cs="Arial"/>
        </w:rPr>
        <w:t>Qova</w:t>
      </w:r>
      <w:proofErr w:type="spellEnd"/>
      <w:r w:rsidRPr="00FE5A61">
        <w:rPr>
          <w:rFonts w:ascii="Arial" w:hAnsi="Arial" w:cs="Arial"/>
        </w:rPr>
        <w:t xml:space="preserve"> </w:t>
      </w:r>
      <w:r w:rsidR="003A0BD8" w:rsidRPr="003A0BD8">
        <w:rPr>
          <w:rFonts w:ascii="Arial" w:hAnsi="Arial" w:cs="Arial"/>
          <w:i/>
          <w:iCs/>
        </w:rPr>
        <w:t>et al</w:t>
      </w:r>
      <w:r w:rsidRPr="00FE5A61">
        <w:rPr>
          <w:rFonts w:ascii="Arial" w:hAnsi="Arial" w:cs="Arial"/>
        </w:rPr>
        <w:t xml:space="preserve">. (2023) also reported complete inhibition of </w:t>
      </w:r>
      <w:r w:rsidRPr="00DD5498">
        <w:rPr>
          <w:rFonts w:ascii="Arial" w:hAnsi="Arial" w:cs="Arial"/>
          <w:i/>
        </w:rPr>
        <w:t>Amaranthus spinosus</w:t>
      </w:r>
      <w:r w:rsidRPr="00FE5A61">
        <w:rPr>
          <w:rFonts w:ascii="Arial" w:hAnsi="Arial" w:cs="Arial"/>
        </w:rPr>
        <w:t xml:space="preserve"> L. germination at concentrations of 500–750 g/L. Similarly, Budi and </w:t>
      </w:r>
      <w:proofErr w:type="spellStart"/>
      <w:r w:rsidRPr="00FE5A61">
        <w:rPr>
          <w:rFonts w:ascii="Arial" w:hAnsi="Arial" w:cs="Arial"/>
        </w:rPr>
        <w:t>Hajoeningtijas</w:t>
      </w:r>
      <w:proofErr w:type="spellEnd"/>
      <w:r w:rsidRPr="00FE5A61">
        <w:rPr>
          <w:rFonts w:ascii="Arial" w:hAnsi="Arial" w:cs="Arial"/>
        </w:rPr>
        <w:t xml:space="preserve"> (2013) observed significant reductions in weed dry weight following high-dose </w:t>
      </w:r>
      <w:proofErr w:type="spellStart"/>
      <w:r w:rsidRPr="00FE5A61">
        <w:rPr>
          <w:rFonts w:ascii="Arial" w:hAnsi="Arial" w:cs="Arial"/>
        </w:rPr>
        <w:t>cogongrass</w:t>
      </w:r>
      <w:proofErr w:type="spellEnd"/>
      <w:r w:rsidRPr="00FE5A61">
        <w:rPr>
          <w:rFonts w:ascii="Arial" w:hAnsi="Arial" w:cs="Arial"/>
        </w:rPr>
        <w:t xml:space="preserve"> extract application.</w:t>
      </w:r>
    </w:p>
    <w:p w14:paraId="42CE6993" w14:textId="77777777" w:rsidR="00FE5A61" w:rsidRDefault="00FE5A61" w:rsidP="00FE5A61">
      <w:pPr>
        <w:pStyle w:val="AbstHead"/>
        <w:spacing w:after="0" w:line="276" w:lineRule="auto"/>
        <w:jc w:val="both"/>
        <w:rPr>
          <w:rFonts w:ascii="Arial" w:hAnsi="Arial" w:cs="Arial"/>
          <w:b w:val="0"/>
          <w:caps w:val="0"/>
          <w:sz w:val="20"/>
        </w:rPr>
      </w:pPr>
      <w:r>
        <w:rPr>
          <w:rFonts w:ascii="Arial" w:hAnsi="Arial" w:cs="Arial"/>
          <w:b w:val="0"/>
          <w:caps w:val="0"/>
          <w:sz w:val="20"/>
        </w:rPr>
        <w:tab/>
      </w:r>
      <w:r w:rsidRPr="00FE5A61">
        <w:rPr>
          <w:rFonts w:ascii="Arial" w:hAnsi="Arial" w:cs="Arial"/>
          <w:b w:val="0"/>
          <w:caps w:val="0"/>
          <w:sz w:val="20"/>
        </w:rPr>
        <w:t xml:space="preserve">However, the optimal concentration of </w:t>
      </w:r>
      <w:proofErr w:type="spellStart"/>
      <w:r w:rsidRPr="00FE5A61">
        <w:rPr>
          <w:rFonts w:ascii="Arial" w:hAnsi="Arial" w:cs="Arial"/>
          <w:b w:val="0"/>
          <w:caps w:val="0"/>
          <w:sz w:val="20"/>
        </w:rPr>
        <w:t>cogongrass</w:t>
      </w:r>
      <w:proofErr w:type="spellEnd"/>
      <w:r w:rsidRPr="00FE5A61">
        <w:rPr>
          <w:rFonts w:ascii="Arial" w:hAnsi="Arial" w:cs="Arial"/>
          <w:b w:val="0"/>
          <w:caps w:val="0"/>
          <w:sz w:val="20"/>
        </w:rPr>
        <w:t xml:space="preserve"> extract for effectively inhibiting cucumber remains unknown. Therefore, this study was conducted to, identify the optimal concentration of </w:t>
      </w:r>
      <w:proofErr w:type="spellStart"/>
      <w:r w:rsidRPr="00FE5A61">
        <w:rPr>
          <w:rFonts w:ascii="Arial" w:hAnsi="Arial" w:cs="Arial"/>
          <w:b w:val="0"/>
          <w:caps w:val="0"/>
          <w:sz w:val="20"/>
        </w:rPr>
        <w:t>cogongrass</w:t>
      </w:r>
      <w:proofErr w:type="spellEnd"/>
      <w:r w:rsidRPr="00FE5A61">
        <w:rPr>
          <w:rFonts w:ascii="Arial" w:hAnsi="Arial" w:cs="Arial"/>
          <w:b w:val="0"/>
          <w:caps w:val="0"/>
          <w:sz w:val="20"/>
        </w:rPr>
        <w:t xml:space="preserve"> extract that inhibits cucumber seed germination, determine the concentration that inhibits cucumber growth and yield and calculate the IC</w:t>
      </w:r>
      <w:r w:rsidRPr="00FE5A61">
        <w:rPr>
          <w:rFonts w:ascii="Cambria Math" w:hAnsi="Cambria Math" w:cs="Cambria Math"/>
          <w:b w:val="0"/>
          <w:caps w:val="0"/>
          <w:sz w:val="20"/>
        </w:rPr>
        <w:t>₅₀</w:t>
      </w:r>
      <w:r w:rsidRPr="00FE5A61">
        <w:rPr>
          <w:rFonts w:ascii="Arial" w:hAnsi="Arial" w:cs="Arial"/>
          <w:b w:val="0"/>
          <w:caps w:val="0"/>
          <w:sz w:val="20"/>
        </w:rPr>
        <w:t xml:space="preserve"> value of </w:t>
      </w:r>
      <w:proofErr w:type="spellStart"/>
      <w:r w:rsidRPr="00FE5A61">
        <w:rPr>
          <w:rFonts w:ascii="Arial" w:hAnsi="Arial" w:cs="Arial"/>
          <w:b w:val="0"/>
          <w:caps w:val="0"/>
          <w:sz w:val="20"/>
        </w:rPr>
        <w:t>cogongrass</w:t>
      </w:r>
      <w:proofErr w:type="spellEnd"/>
      <w:r w:rsidRPr="00FE5A61">
        <w:rPr>
          <w:rFonts w:ascii="Arial" w:hAnsi="Arial" w:cs="Arial"/>
          <w:b w:val="0"/>
          <w:caps w:val="0"/>
          <w:sz w:val="20"/>
        </w:rPr>
        <w:t xml:space="preserve"> extract under laboratory conditions as an indicator of allelopathic potential.</w:t>
      </w:r>
    </w:p>
    <w:p w14:paraId="03B503D9" w14:textId="77777777" w:rsidR="00FE5A61" w:rsidRDefault="00FE5A61" w:rsidP="00FE5A61">
      <w:pPr>
        <w:pStyle w:val="AbstHead"/>
        <w:spacing w:after="0"/>
        <w:jc w:val="both"/>
        <w:rPr>
          <w:rFonts w:ascii="Arial" w:hAnsi="Arial" w:cs="Arial"/>
          <w:b w:val="0"/>
          <w:caps w:val="0"/>
          <w:sz w:val="20"/>
        </w:rPr>
      </w:pPr>
    </w:p>
    <w:p w14:paraId="526159CC" w14:textId="77777777" w:rsidR="00790ADA" w:rsidRPr="00FB3A86" w:rsidRDefault="00902823" w:rsidP="00FE5A6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BEC943" w14:textId="77777777" w:rsidR="004377F0" w:rsidRDefault="007005A7" w:rsidP="004377F0">
      <w:pPr>
        <w:tabs>
          <w:tab w:val="left" w:pos="851"/>
          <w:tab w:val="left" w:pos="1560"/>
        </w:tabs>
        <w:spacing w:line="276" w:lineRule="auto"/>
        <w:jc w:val="both"/>
        <w:rPr>
          <w:rFonts w:ascii="Arial" w:hAnsi="Arial" w:cs="Arial"/>
          <w:b/>
        </w:rPr>
      </w:pPr>
      <w:r w:rsidRPr="007005A7">
        <w:rPr>
          <w:rFonts w:ascii="Arial" w:hAnsi="Arial" w:cs="Arial"/>
          <w:b/>
          <w:color w:val="000000"/>
          <w:sz w:val="22"/>
        </w:rPr>
        <w:t xml:space="preserve">2.1 </w:t>
      </w:r>
      <w:r w:rsidR="00F37C8E" w:rsidRPr="007005A7">
        <w:rPr>
          <w:rFonts w:ascii="Arial" w:hAnsi="Arial" w:cs="Arial"/>
          <w:b/>
          <w:color w:val="000000"/>
          <w:sz w:val="22"/>
        </w:rPr>
        <w:t>Time, Location Site, and Research Design</w:t>
      </w:r>
    </w:p>
    <w:p w14:paraId="613C0D98" w14:textId="4E227926" w:rsidR="004377F0" w:rsidRPr="004377F0" w:rsidRDefault="004377F0" w:rsidP="004377F0">
      <w:pPr>
        <w:tabs>
          <w:tab w:val="left" w:pos="851"/>
          <w:tab w:val="left" w:pos="1560"/>
        </w:tabs>
        <w:spacing w:line="276" w:lineRule="auto"/>
        <w:jc w:val="both"/>
        <w:rPr>
          <w:rFonts w:ascii="Arial" w:hAnsi="Arial" w:cs="Arial"/>
          <w:b/>
        </w:rPr>
      </w:pPr>
      <w:r>
        <w:rPr>
          <w:rFonts w:ascii="Arial" w:hAnsi="Arial" w:cs="Arial"/>
          <w:b/>
        </w:rPr>
        <w:tab/>
      </w:r>
      <w:r w:rsidRPr="004377F0">
        <w:rPr>
          <w:rFonts w:ascii="Arial" w:hAnsi="Arial" w:cs="Arial"/>
          <w:color w:val="000000"/>
        </w:rPr>
        <w:t xml:space="preserve">This research was conducted from November 2024 to January 2025 at the Agronomy Laboratory and Experimental Station, Faculty of Agriculture, University of Bengkulu, Indonesia. The study was divided into two stages: (1) laboratory experiments using Petri dishes to evaluate the effect of </w:t>
      </w:r>
      <w:proofErr w:type="spellStart"/>
      <w:r w:rsidRPr="004377F0">
        <w:rPr>
          <w:rFonts w:ascii="Arial" w:hAnsi="Arial" w:cs="Arial"/>
          <w:color w:val="000000"/>
        </w:rPr>
        <w:t>cogongrass</w:t>
      </w:r>
      <w:proofErr w:type="spellEnd"/>
      <w:r w:rsidRPr="004377F0">
        <w:rPr>
          <w:rFonts w:ascii="Arial" w:hAnsi="Arial" w:cs="Arial"/>
          <w:color w:val="000000"/>
        </w:rPr>
        <w:t xml:space="preserve"> extract on germination, and (2) greenhouse trials using polybags to assess growth and yield effects. A Completely Randomized Design (CRD) was applied with a single factor (</w:t>
      </w:r>
      <w:proofErr w:type="spellStart"/>
      <w:r w:rsidRPr="004377F0">
        <w:rPr>
          <w:rFonts w:ascii="Arial" w:hAnsi="Arial" w:cs="Arial"/>
          <w:color w:val="000000"/>
        </w:rPr>
        <w:t>cogongrass</w:t>
      </w:r>
      <w:proofErr w:type="spellEnd"/>
      <w:r w:rsidRPr="004377F0">
        <w:rPr>
          <w:rFonts w:ascii="Arial" w:hAnsi="Arial" w:cs="Arial"/>
          <w:color w:val="000000"/>
        </w:rPr>
        <w:t xml:space="preserve"> extract concentration). Five treatment levels were used: 0% (control), 2.5%, 5%, 7.5%, and 10% Each treatment was replicated five times, resulting in 25 experimental units. Each unit consisted of two Petri dishes (laboratory) and three polybags (greenhouse).</w:t>
      </w:r>
    </w:p>
    <w:p w14:paraId="57E25C9B" w14:textId="77777777" w:rsidR="004377F0" w:rsidRDefault="004377F0" w:rsidP="004377F0">
      <w:pPr>
        <w:tabs>
          <w:tab w:val="left" w:pos="851"/>
          <w:tab w:val="left" w:pos="1560"/>
        </w:tabs>
        <w:spacing w:line="276" w:lineRule="auto"/>
        <w:ind w:left="360"/>
        <w:jc w:val="both"/>
        <w:rPr>
          <w:rFonts w:ascii="Arial" w:hAnsi="Arial" w:cs="Arial"/>
          <w:color w:val="000000"/>
        </w:rPr>
      </w:pPr>
    </w:p>
    <w:p w14:paraId="22077EBA" w14:textId="77777777" w:rsidR="007005A7" w:rsidRPr="007005A7" w:rsidRDefault="007005A7" w:rsidP="004377F0">
      <w:pPr>
        <w:tabs>
          <w:tab w:val="left" w:pos="851"/>
          <w:tab w:val="left" w:pos="1560"/>
        </w:tabs>
        <w:spacing w:line="276" w:lineRule="auto"/>
        <w:jc w:val="both"/>
        <w:rPr>
          <w:rFonts w:ascii="Arial" w:hAnsi="Arial" w:cs="Arial"/>
          <w:b/>
          <w:color w:val="000000"/>
        </w:rPr>
      </w:pPr>
      <w:r w:rsidRPr="007005A7">
        <w:rPr>
          <w:rFonts w:ascii="Arial" w:hAnsi="Arial" w:cs="Arial"/>
          <w:b/>
          <w:color w:val="000000"/>
          <w:sz w:val="22"/>
        </w:rPr>
        <w:t xml:space="preserve">2.2 </w:t>
      </w:r>
      <w:r w:rsidR="00A477D6" w:rsidRPr="007005A7">
        <w:rPr>
          <w:rFonts w:ascii="Arial" w:hAnsi="Arial" w:cs="Arial"/>
          <w:b/>
          <w:color w:val="000000"/>
          <w:sz w:val="22"/>
        </w:rPr>
        <w:t>Research Stage</w:t>
      </w:r>
    </w:p>
    <w:p w14:paraId="149565F0" w14:textId="77777777" w:rsidR="00C669F4" w:rsidRPr="007005A7" w:rsidRDefault="007005A7" w:rsidP="007005A7">
      <w:pPr>
        <w:pBdr>
          <w:top w:val="nil"/>
          <w:left w:val="nil"/>
          <w:bottom w:val="nil"/>
          <w:right w:val="nil"/>
          <w:between w:val="nil"/>
        </w:pBdr>
        <w:tabs>
          <w:tab w:val="left" w:pos="851"/>
        </w:tabs>
        <w:spacing w:line="276" w:lineRule="auto"/>
        <w:jc w:val="both"/>
        <w:rPr>
          <w:rFonts w:ascii="Arial" w:hAnsi="Arial" w:cs="Arial"/>
          <w:b/>
          <w:color w:val="000000"/>
        </w:rPr>
      </w:pPr>
      <w:r>
        <w:rPr>
          <w:rFonts w:ascii="Arial" w:hAnsi="Arial" w:cs="Arial"/>
          <w:b/>
          <w:color w:val="000000"/>
        </w:rPr>
        <w:t xml:space="preserve">2.2.1 </w:t>
      </w:r>
      <w:r w:rsidR="00A477D6" w:rsidRPr="007005A7">
        <w:rPr>
          <w:rFonts w:ascii="Arial" w:hAnsi="Arial" w:cs="Arial"/>
          <w:b/>
          <w:color w:val="000000"/>
        </w:rPr>
        <w:t xml:space="preserve">Preparation of </w:t>
      </w:r>
      <w:proofErr w:type="spellStart"/>
      <w:r w:rsidR="00A477D6" w:rsidRPr="007005A7">
        <w:rPr>
          <w:rFonts w:ascii="Arial" w:hAnsi="Arial" w:cs="Arial"/>
          <w:b/>
          <w:color w:val="000000"/>
        </w:rPr>
        <w:t>cogongrass</w:t>
      </w:r>
      <w:proofErr w:type="spellEnd"/>
      <w:r w:rsidR="00A477D6" w:rsidRPr="007005A7">
        <w:rPr>
          <w:rFonts w:ascii="Arial" w:hAnsi="Arial" w:cs="Arial"/>
          <w:b/>
          <w:color w:val="000000"/>
        </w:rPr>
        <w:t xml:space="preserve"> extract</w:t>
      </w:r>
    </w:p>
    <w:p w14:paraId="42745CCA"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lastRenderedPageBreak/>
        <w:tab/>
      </w:r>
      <w:proofErr w:type="spellStart"/>
      <w:r w:rsidRPr="00AD7D7D">
        <w:rPr>
          <w:rFonts w:ascii="Arial" w:hAnsi="Arial" w:cs="Arial"/>
          <w:color w:val="000000"/>
        </w:rPr>
        <w:t>Cogongrass</w:t>
      </w:r>
      <w:proofErr w:type="spellEnd"/>
      <w:r w:rsidRPr="00AD7D7D">
        <w:rPr>
          <w:rFonts w:ascii="Arial" w:hAnsi="Arial" w:cs="Arial"/>
          <w:color w:val="000000"/>
        </w:rPr>
        <w:t xml:space="preserve"> was collected from roadsides near the research site. Leaves and rhizomes were separated, cut into ~5 cm pieces, and oven-dried at 50°C for three days. The dried material was ground into powder, and 100 g of the powder was macerated in 1000 mL of distilled water with continuous shaking (100 rpm) for 24 hours using an orbital shaker. The mixture was filtered using Whatman No. 1 paper to produce a 10% stock solution. Dilutions were prepared as follows, 0% (control): 0 mL extract + 100 mL water; 2.5%: 25 mL extract + 75 mL water; 5%: 50 mL extract + 50 mL water; 7.5%: 75 mL extract + 25 mL water; 10%: 100 mL extract (undiluted). </w:t>
      </w:r>
    </w:p>
    <w:p w14:paraId="0518787E"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2.2.2 </w:t>
      </w:r>
      <w:proofErr w:type="spellStart"/>
      <w:r w:rsidR="00A477D6" w:rsidRPr="007005A7">
        <w:rPr>
          <w:rFonts w:ascii="Arial" w:hAnsi="Arial" w:cs="Arial"/>
          <w:b/>
          <w:color w:val="000000"/>
          <w:szCs w:val="22"/>
        </w:rPr>
        <w:t>Laboratorium</w:t>
      </w:r>
      <w:proofErr w:type="spellEnd"/>
      <w:r w:rsidR="00A477D6" w:rsidRPr="007005A7">
        <w:rPr>
          <w:rFonts w:ascii="Arial" w:hAnsi="Arial" w:cs="Arial"/>
          <w:b/>
          <w:color w:val="000000"/>
          <w:szCs w:val="22"/>
        </w:rPr>
        <w:t xml:space="preserve"> test.</w:t>
      </w:r>
    </w:p>
    <w:p w14:paraId="16D33BB7"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tab/>
      </w:r>
      <w:r w:rsidRPr="00AD7D7D">
        <w:rPr>
          <w:rFonts w:ascii="Arial" w:hAnsi="Arial" w:cs="Arial"/>
          <w:color w:val="000000"/>
        </w:rPr>
        <w:t xml:space="preserve">Sterile Petri dishes were prepared and lined with Whatman No. 1 paper. Each dish received 10 mL of the designated extract. Twenty cucumber seeds were placed in each dish and incubated for seven days. Dishes were sterilized using 5% </w:t>
      </w:r>
      <w:proofErr w:type="spellStart"/>
      <w:r w:rsidRPr="00AD7D7D">
        <w:rPr>
          <w:rFonts w:ascii="Arial" w:hAnsi="Arial" w:cs="Arial"/>
          <w:color w:val="000000"/>
        </w:rPr>
        <w:t>Bayclean</w:t>
      </w:r>
      <w:proofErr w:type="spellEnd"/>
      <w:r w:rsidRPr="00AD7D7D">
        <w:rPr>
          <w:rFonts w:ascii="Arial" w:hAnsi="Arial" w:cs="Arial"/>
          <w:color w:val="000000"/>
        </w:rPr>
        <w:t xml:space="preserve"> followed by 70% ethanol.</w:t>
      </w:r>
    </w:p>
    <w:p w14:paraId="40A688F6"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2.2.3 </w:t>
      </w:r>
      <w:r w:rsidR="00A477D6" w:rsidRPr="007005A7">
        <w:rPr>
          <w:rFonts w:ascii="Arial" w:hAnsi="Arial" w:cs="Arial"/>
          <w:b/>
          <w:color w:val="000000"/>
          <w:szCs w:val="22"/>
        </w:rPr>
        <w:t>Greenhouse Test</w:t>
      </w:r>
    </w:p>
    <w:p w14:paraId="4FE12905" w14:textId="6B42EB2E" w:rsidR="00AD7D7D" w:rsidRDefault="00AD7D7D" w:rsidP="00C669F4">
      <w:pPr>
        <w:spacing w:line="276" w:lineRule="auto"/>
        <w:jc w:val="both"/>
        <w:rPr>
          <w:rFonts w:ascii="Arial" w:hAnsi="Arial" w:cs="Arial"/>
          <w:color w:val="000000"/>
        </w:rPr>
      </w:pPr>
      <w:r w:rsidRPr="00AD7D7D">
        <w:rPr>
          <w:rFonts w:ascii="Arial" w:hAnsi="Arial" w:cs="Arial"/>
          <w:color w:val="000000"/>
        </w:rPr>
        <w:t xml:space="preserve">A 1:1 soil-to-manure mixture was used as the growing medium. Each polybag was filled with 3 kg of this mixture. Three 7-day-old seedlings from the lab test were transplanted into each polybag. Standard horticultural practices (irrigation, thinning, fertilization, manual weeding, and pest control) were implemented. Fertilization was applied during planting and at three weeks after planting (WAP), using: Urea: 225 kg/ha (2.4 g/polybag), TSP: 150 kg/ha (1.57 g/polybag), </w:t>
      </w:r>
      <w:proofErr w:type="spellStart"/>
      <w:r w:rsidRPr="00AD7D7D">
        <w:rPr>
          <w:rFonts w:ascii="Arial" w:hAnsi="Arial" w:cs="Arial"/>
          <w:color w:val="000000"/>
        </w:rPr>
        <w:t>KCl</w:t>
      </w:r>
      <w:proofErr w:type="spellEnd"/>
      <w:r w:rsidRPr="00AD7D7D">
        <w:rPr>
          <w:rFonts w:ascii="Arial" w:hAnsi="Arial" w:cs="Arial"/>
          <w:color w:val="000000"/>
        </w:rPr>
        <w:t xml:space="preserve">: 200 kg/ha (2.10 g/polybag) (Setiadi </w:t>
      </w:r>
      <w:r w:rsidR="003A0BD8" w:rsidRPr="003A0BD8">
        <w:rPr>
          <w:rFonts w:ascii="Arial" w:hAnsi="Arial" w:cs="Arial"/>
          <w:i/>
          <w:iCs/>
          <w:color w:val="000000"/>
        </w:rPr>
        <w:t>et al</w:t>
      </w:r>
      <w:r w:rsidRPr="00AD7D7D">
        <w:rPr>
          <w:rFonts w:ascii="Arial" w:hAnsi="Arial" w:cs="Arial"/>
          <w:color w:val="000000"/>
        </w:rPr>
        <w:t>., 2021)</w:t>
      </w:r>
    </w:p>
    <w:p w14:paraId="0BEF94FD" w14:textId="77777777" w:rsidR="00A477D6" w:rsidRPr="00C669F4" w:rsidRDefault="007005A7" w:rsidP="00C669F4">
      <w:pPr>
        <w:spacing w:line="276" w:lineRule="auto"/>
        <w:jc w:val="both"/>
        <w:rPr>
          <w:rFonts w:ascii="Arial" w:hAnsi="Arial" w:cs="Arial"/>
          <w:color w:val="000000" w:themeColor="text1"/>
          <w:sz w:val="22"/>
          <w:szCs w:val="24"/>
        </w:rPr>
      </w:pPr>
      <w:r>
        <w:rPr>
          <w:rFonts w:ascii="Arial" w:hAnsi="Arial" w:cs="Arial"/>
          <w:b/>
          <w:color w:val="000000" w:themeColor="text1"/>
          <w:szCs w:val="24"/>
        </w:rPr>
        <w:t xml:space="preserve">2.2.4 </w:t>
      </w:r>
      <w:r w:rsidR="00A477D6" w:rsidRPr="007005A7">
        <w:rPr>
          <w:rFonts w:ascii="Arial" w:hAnsi="Arial" w:cs="Arial"/>
          <w:b/>
          <w:color w:val="000000" w:themeColor="text1"/>
          <w:szCs w:val="24"/>
        </w:rPr>
        <w:t>Harvesting</w:t>
      </w:r>
    </w:p>
    <w:p w14:paraId="01335E2B" w14:textId="77777777" w:rsidR="00AD7D7D" w:rsidRDefault="00AD7D7D" w:rsidP="00C669F4">
      <w:pPr>
        <w:shd w:val="clear" w:color="auto" w:fill="FFFFFF"/>
        <w:spacing w:line="276" w:lineRule="auto"/>
        <w:jc w:val="both"/>
        <w:rPr>
          <w:rFonts w:ascii="Arial" w:hAnsi="Arial" w:cs="Arial"/>
          <w:color w:val="000000" w:themeColor="text1"/>
          <w:szCs w:val="24"/>
        </w:rPr>
      </w:pPr>
      <w:r w:rsidRPr="00AD7D7D">
        <w:rPr>
          <w:rFonts w:ascii="Arial" w:hAnsi="Arial" w:cs="Arial"/>
          <w:color w:val="000000" w:themeColor="text1"/>
          <w:szCs w:val="24"/>
        </w:rPr>
        <w:t>Fruits were harvested five times at five-day intervals based on visual maturity (yellow-green skin and striping). Fruits were cut from the plant using scissors.</w:t>
      </w:r>
    </w:p>
    <w:p w14:paraId="2AB04A33" w14:textId="77777777" w:rsidR="00A477D6" w:rsidRPr="00C669F4" w:rsidRDefault="007005A7" w:rsidP="00C669F4">
      <w:pPr>
        <w:shd w:val="clear" w:color="auto" w:fill="FFFFFF"/>
        <w:spacing w:line="276" w:lineRule="auto"/>
        <w:jc w:val="both"/>
        <w:rPr>
          <w:rFonts w:ascii="Arial" w:hAnsi="Arial" w:cs="Arial"/>
          <w:color w:val="000000" w:themeColor="text1"/>
          <w:sz w:val="22"/>
          <w:szCs w:val="22"/>
        </w:rPr>
      </w:pPr>
      <w:r>
        <w:rPr>
          <w:rFonts w:ascii="Arial" w:hAnsi="Arial" w:cs="Arial"/>
          <w:b/>
          <w:bCs/>
          <w:color w:val="000000" w:themeColor="text1"/>
          <w:sz w:val="22"/>
          <w:szCs w:val="22"/>
        </w:rPr>
        <w:t xml:space="preserve">2.3 </w:t>
      </w:r>
      <w:r w:rsidR="00A477D6" w:rsidRPr="00C669F4">
        <w:rPr>
          <w:rFonts w:ascii="Arial" w:hAnsi="Arial" w:cs="Arial"/>
          <w:b/>
          <w:bCs/>
          <w:color w:val="000000" w:themeColor="text1"/>
          <w:sz w:val="22"/>
          <w:szCs w:val="22"/>
        </w:rPr>
        <w:t>Laboratory and Greenhouse Observations</w:t>
      </w:r>
    </w:p>
    <w:p w14:paraId="481B514F" w14:textId="77777777" w:rsidR="001A5BE4" w:rsidRDefault="001A5BE4" w:rsidP="00C669F4">
      <w:pPr>
        <w:spacing w:line="276" w:lineRule="auto"/>
        <w:jc w:val="both"/>
        <w:rPr>
          <w:rFonts w:ascii="Arial" w:hAnsi="Arial" w:cs="Arial"/>
          <w:bCs/>
          <w:szCs w:val="24"/>
        </w:rPr>
      </w:pPr>
      <w:r w:rsidRPr="001A5BE4">
        <w:rPr>
          <w:rFonts w:ascii="Arial" w:hAnsi="Arial" w:cs="Arial"/>
          <w:bCs/>
          <w:szCs w:val="24"/>
        </w:rPr>
        <w:t>Laboratory: Observations were made on the 7th day and included: Abnormal seedling percentage (%), Radicle length (cm), Plumule length (cm), Radicle dry weight (mg), Plumule dry weight (mg), Total dry weight (mg). Greenhouse: Observations included Growth: Plant height (cm), Leaf number, Root/Shoot dry weight (g), Leaf greenness, Leaf area (cm²), Yield: Fruit number, Marketable fruit number, Fruit diameter (cm), Fruit length (cm), Average fruit weight (g), Fruit weight per plant (g), Marketable yield (g/plant), Indices: Shoot-to-root ratio (SRR), Relative Stem Length (RSL), Relative Root and Shoot Weight (RRSW)</w:t>
      </w:r>
    </w:p>
    <w:p w14:paraId="5B0B0D51" w14:textId="77777777" w:rsidR="00A477D6" w:rsidRPr="00C669F4" w:rsidRDefault="007005A7" w:rsidP="00C669F4">
      <w:pPr>
        <w:spacing w:line="276" w:lineRule="auto"/>
        <w:jc w:val="both"/>
        <w:rPr>
          <w:rFonts w:ascii="Arial" w:hAnsi="Arial" w:cs="Arial"/>
          <w:b/>
          <w:sz w:val="22"/>
          <w:szCs w:val="24"/>
        </w:rPr>
      </w:pPr>
      <w:r>
        <w:rPr>
          <w:rFonts w:ascii="Arial" w:hAnsi="Arial" w:cs="Arial"/>
          <w:b/>
          <w:sz w:val="22"/>
          <w:szCs w:val="24"/>
        </w:rPr>
        <w:t xml:space="preserve">2.4 </w:t>
      </w:r>
      <w:r w:rsidR="00A477D6" w:rsidRPr="00C669F4">
        <w:rPr>
          <w:rFonts w:ascii="Arial" w:hAnsi="Arial" w:cs="Arial"/>
          <w:b/>
          <w:sz w:val="22"/>
          <w:szCs w:val="24"/>
        </w:rPr>
        <w:t>Data Analysis</w:t>
      </w:r>
    </w:p>
    <w:p w14:paraId="520AB4D7" w14:textId="77777777" w:rsidR="00A67CDE" w:rsidRDefault="001A5BE4" w:rsidP="00A67CDE">
      <w:pPr>
        <w:spacing w:line="276" w:lineRule="auto"/>
        <w:jc w:val="both"/>
        <w:rPr>
          <w:rFonts w:ascii="Arial" w:hAnsi="Arial" w:cs="Arial"/>
          <w:color w:val="000000"/>
        </w:rPr>
      </w:pPr>
      <w:r w:rsidRPr="001A5BE4">
        <w:rPr>
          <w:rFonts w:ascii="Arial" w:hAnsi="Arial" w:cs="Arial"/>
          <w:color w:val="000000"/>
        </w:rPr>
        <w:t>Data were analyzed using ANOVA at α = 0.05 and α = 0.01. Significant differences were further examined using: Orthogonal polynomial contrast (laboratory); LSD test (greenhouse); IC</w:t>
      </w:r>
      <w:r w:rsidRPr="001A5BE4">
        <w:rPr>
          <w:rFonts w:ascii="Cambria Math" w:hAnsi="Cambria Math" w:cs="Cambria Math"/>
          <w:color w:val="000000"/>
        </w:rPr>
        <w:t>₅₀</w:t>
      </w:r>
      <w:r w:rsidRPr="001A5BE4">
        <w:rPr>
          <w:rFonts w:ascii="Arial" w:hAnsi="Arial" w:cs="Arial"/>
          <w:color w:val="000000"/>
        </w:rPr>
        <w:t xml:space="preserve"> values were calculated from regression equations to determine the concentration at which 50% inhibition occurred.</w:t>
      </w:r>
    </w:p>
    <w:p w14:paraId="7FC882D4" w14:textId="77777777" w:rsidR="00A67CDE" w:rsidRPr="00A67CDE" w:rsidRDefault="001A5BE4" w:rsidP="00A67CDE">
      <w:pPr>
        <w:spacing w:line="276" w:lineRule="auto"/>
        <w:jc w:val="both"/>
        <w:rPr>
          <w:rFonts w:ascii="Arial" w:hAnsi="Arial" w:cs="Arial"/>
          <w:caps/>
        </w:rPr>
      </w:pPr>
      <w:r w:rsidRPr="00A67CDE">
        <w:rPr>
          <w:rFonts w:ascii="Arial" w:hAnsi="Arial" w:cs="Arial"/>
          <w:caps/>
        </w:rPr>
        <w:t>Formulas:</w:t>
      </w:r>
    </w:p>
    <w:p w14:paraId="4A500057" w14:textId="77777777" w:rsidR="00A67CDE" w:rsidRPr="00A67CDE" w:rsidRDefault="001A5BE4" w:rsidP="00A67CDE">
      <w:pPr>
        <w:spacing w:line="276" w:lineRule="auto"/>
        <w:jc w:val="both"/>
        <w:rPr>
          <w:rFonts w:ascii="Arial" w:hAnsi="Arial" w:cs="Arial"/>
          <w:caps/>
        </w:rPr>
      </w:pPr>
      <w:r w:rsidRPr="00A67CDE">
        <w:rPr>
          <w:rFonts w:ascii="Arial" w:hAnsi="Arial" w:cs="Arial"/>
          <w:caps/>
        </w:rPr>
        <w:t>RSL = (</w:t>
      </w:r>
      <w:r w:rsidR="00A67CDE" w:rsidRPr="00A67CDE">
        <w:rPr>
          <w:rFonts w:ascii="Arial" w:hAnsi="Arial" w:cs="Arial"/>
        </w:rPr>
        <w:t>treatment stem length / control stem length</w:t>
      </w:r>
      <w:r w:rsidRPr="00A67CDE">
        <w:rPr>
          <w:rFonts w:ascii="Arial" w:hAnsi="Arial" w:cs="Arial"/>
          <w:caps/>
        </w:rPr>
        <w:t>) × 100 (</w:t>
      </w:r>
      <w:proofErr w:type="spellStart"/>
      <w:r w:rsidRPr="00A67CDE">
        <w:rPr>
          <w:rFonts w:ascii="Arial" w:hAnsi="Arial" w:cs="Arial"/>
          <w:caps/>
        </w:rPr>
        <w:t>A</w:t>
      </w:r>
      <w:r w:rsidR="00A67CDE" w:rsidRPr="00A67CDE">
        <w:rPr>
          <w:rFonts w:ascii="Arial" w:hAnsi="Arial" w:cs="Arial"/>
        </w:rPr>
        <w:t>sgharipour</w:t>
      </w:r>
      <w:proofErr w:type="spellEnd"/>
      <w:r w:rsidR="00A67CDE" w:rsidRPr="00A67CDE">
        <w:rPr>
          <w:rFonts w:ascii="Arial" w:hAnsi="Arial" w:cs="Arial"/>
        </w:rPr>
        <w:t xml:space="preserve"> </w:t>
      </w:r>
      <w:r w:rsidRPr="00A67CDE">
        <w:rPr>
          <w:rFonts w:ascii="Arial" w:hAnsi="Arial" w:cs="Arial"/>
          <w:caps/>
        </w:rPr>
        <w:t xml:space="preserve">&amp; </w:t>
      </w:r>
      <w:proofErr w:type="spellStart"/>
      <w:r w:rsidR="00A67CDE" w:rsidRPr="00A67CDE">
        <w:rPr>
          <w:rFonts w:ascii="Arial" w:hAnsi="Arial" w:cs="Arial"/>
        </w:rPr>
        <w:t>Rafiei</w:t>
      </w:r>
      <w:proofErr w:type="spellEnd"/>
      <w:r w:rsidRPr="00A67CDE">
        <w:rPr>
          <w:rFonts w:ascii="Arial" w:hAnsi="Arial" w:cs="Arial"/>
          <w:caps/>
        </w:rPr>
        <w:t>, 2011)</w:t>
      </w:r>
    </w:p>
    <w:p w14:paraId="7A29F739" w14:textId="77777777" w:rsidR="00A67CDE" w:rsidRDefault="001A5BE4" w:rsidP="00A67CDE">
      <w:pPr>
        <w:spacing w:line="276" w:lineRule="auto"/>
        <w:jc w:val="both"/>
        <w:rPr>
          <w:rFonts w:ascii="Arial" w:hAnsi="Arial" w:cs="Arial"/>
          <w:caps/>
        </w:rPr>
      </w:pPr>
      <w:r w:rsidRPr="00A67CDE">
        <w:rPr>
          <w:rFonts w:ascii="Arial" w:hAnsi="Arial" w:cs="Arial"/>
          <w:caps/>
        </w:rPr>
        <w:t>RRSW = (</w:t>
      </w:r>
      <w:r w:rsidR="00A67CDE" w:rsidRPr="00A67CDE">
        <w:rPr>
          <w:rFonts w:ascii="Arial" w:hAnsi="Arial" w:cs="Arial"/>
        </w:rPr>
        <w:t>treatment weight / control weight</w:t>
      </w:r>
      <w:r w:rsidRPr="00A67CDE">
        <w:rPr>
          <w:rFonts w:ascii="Arial" w:hAnsi="Arial" w:cs="Arial"/>
          <w:caps/>
        </w:rPr>
        <w:t>) × 100 (</w:t>
      </w:r>
      <w:proofErr w:type="spellStart"/>
      <w:r w:rsidR="00A67CDE" w:rsidRPr="00A67CDE">
        <w:rPr>
          <w:rFonts w:ascii="Arial" w:hAnsi="Arial" w:cs="Arial"/>
        </w:rPr>
        <w:t>Asgharipour</w:t>
      </w:r>
      <w:proofErr w:type="spellEnd"/>
      <w:r w:rsidR="00A67CDE" w:rsidRPr="00A67CDE">
        <w:rPr>
          <w:rFonts w:ascii="Arial" w:hAnsi="Arial" w:cs="Arial"/>
        </w:rPr>
        <w:t xml:space="preserve"> &amp; </w:t>
      </w:r>
      <w:proofErr w:type="spellStart"/>
      <w:r w:rsidR="00A67CDE" w:rsidRPr="00A67CDE">
        <w:rPr>
          <w:rFonts w:ascii="Arial" w:hAnsi="Arial" w:cs="Arial"/>
        </w:rPr>
        <w:t>Rafiei</w:t>
      </w:r>
      <w:proofErr w:type="spellEnd"/>
      <w:r w:rsidRPr="00A67CDE">
        <w:rPr>
          <w:rFonts w:ascii="Arial" w:hAnsi="Arial" w:cs="Arial"/>
          <w:caps/>
        </w:rPr>
        <w:t>, 2011)</w:t>
      </w:r>
    </w:p>
    <w:p w14:paraId="36FE3BF2" w14:textId="58654419" w:rsidR="001A5BE4" w:rsidRPr="00C15A0D" w:rsidRDefault="00A67CDE" w:rsidP="00C15A0D">
      <w:pPr>
        <w:spacing w:line="276" w:lineRule="auto"/>
        <w:jc w:val="both"/>
        <w:rPr>
          <w:rFonts w:ascii="Arial" w:hAnsi="Arial" w:cs="Arial"/>
          <w:color w:val="000000"/>
        </w:rPr>
      </w:pPr>
      <w:r w:rsidRPr="00C15A0D">
        <w:rPr>
          <w:rFonts w:ascii="Arial" w:hAnsi="Arial" w:cs="Arial"/>
        </w:rPr>
        <w:t xml:space="preserve">Shoot-To-Root Ratio </w:t>
      </w:r>
      <w:r w:rsidR="001A5BE4" w:rsidRPr="00C15A0D">
        <w:rPr>
          <w:rFonts w:ascii="Arial" w:hAnsi="Arial" w:cs="Arial"/>
          <w:caps/>
        </w:rPr>
        <w:t xml:space="preserve">= </w:t>
      </w:r>
      <w:r w:rsidR="00C15A0D" w:rsidRPr="00C15A0D">
        <w:rPr>
          <w:rFonts w:ascii="Arial" w:hAnsi="Arial" w:cs="Arial"/>
        </w:rPr>
        <w:t xml:space="preserve">shoot dry weight / root dry weight </w:t>
      </w:r>
      <w:r w:rsidR="001A5BE4" w:rsidRPr="00C15A0D">
        <w:rPr>
          <w:rFonts w:ascii="Arial" w:hAnsi="Arial" w:cs="Arial"/>
          <w:caps/>
        </w:rPr>
        <w:t>(</w:t>
      </w:r>
      <w:proofErr w:type="spellStart"/>
      <w:r w:rsidR="001A5BE4" w:rsidRPr="00C15A0D">
        <w:rPr>
          <w:rFonts w:ascii="Arial" w:hAnsi="Arial" w:cs="Arial"/>
          <w:caps/>
        </w:rPr>
        <w:t>N</w:t>
      </w:r>
      <w:r w:rsidR="00C15A0D" w:rsidRPr="00C15A0D">
        <w:rPr>
          <w:rFonts w:ascii="Arial" w:hAnsi="Arial" w:cs="Arial"/>
        </w:rPr>
        <w:t>engsih</w:t>
      </w:r>
      <w:proofErr w:type="spellEnd"/>
      <w:r w:rsidR="00C15A0D" w:rsidRPr="00C15A0D">
        <w:rPr>
          <w:rFonts w:ascii="Arial" w:hAnsi="Arial" w:cs="Arial"/>
        </w:rPr>
        <w:t xml:space="preserve"> </w:t>
      </w:r>
      <w:r w:rsidR="003A0BD8" w:rsidRPr="003A0BD8">
        <w:rPr>
          <w:rFonts w:ascii="Arial" w:hAnsi="Arial" w:cs="Arial"/>
          <w:i/>
          <w:iCs/>
        </w:rPr>
        <w:t>et al</w:t>
      </w:r>
      <w:r w:rsidR="001A5BE4" w:rsidRPr="00C15A0D">
        <w:rPr>
          <w:rFonts w:ascii="Arial" w:hAnsi="Arial" w:cs="Arial"/>
          <w:caps/>
        </w:rPr>
        <w:t>., 2016)</w:t>
      </w:r>
    </w:p>
    <w:p w14:paraId="524E7EAA" w14:textId="77777777" w:rsidR="00902823" w:rsidRDefault="00000F8F" w:rsidP="001A5BE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5E321A" w14:textId="77777777" w:rsidR="008D5023" w:rsidRPr="008D5023" w:rsidRDefault="008D5023" w:rsidP="008D5023">
      <w:pPr>
        <w:widowControl w:val="0"/>
        <w:spacing w:line="276" w:lineRule="auto"/>
        <w:jc w:val="both"/>
        <w:rPr>
          <w:rFonts w:ascii="Arial" w:hAnsi="Arial" w:cs="Arial"/>
          <w:b/>
          <w:sz w:val="22"/>
          <w:szCs w:val="22"/>
        </w:rPr>
      </w:pPr>
      <w:r>
        <w:rPr>
          <w:rFonts w:ascii="Arial" w:hAnsi="Arial" w:cs="Arial"/>
          <w:b/>
          <w:sz w:val="22"/>
          <w:szCs w:val="22"/>
        </w:rPr>
        <w:t xml:space="preserve">3.1 </w:t>
      </w:r>
      <w:r w:rsidRPr="008D5023">
        <w:rPr>
          <w:rFonts w:ascii="Arial" w:hAnsi="Arial" w:cs="Arial"/>
          <w:b/>
          <w:sz w:val="22"/>
          <w:szCs w:val="22"/>
        </w:rPr>
        <w:t xml:space="preserve">Effectiveness of </w:t>
      </w:r>
      <w:proofErr w:type="spellStart"/>
      <w:r w:rsidRPr="008D5023">
        <w:rPr>
          <w:rFonts w:ascii="Arial" w:hAnsi="Arial" w:cs="Arial"/>
          <w:b/>
          <w:sz w:val="22"/>
          <w:szCs w:val="22"/>
        </w:rPr>
        <w:t>Cogongrass</w:t>
      </w:r>
      <w:proofErr w:type="spellEnd"/>
      <w:r w:rsidRPr="008D5023">
        <w:rPr>
          <w:rFonts w:ascii="Arial" w:hAnsi="Arial" w:cs="Arial"/>
          <w:b/>
          <w:sz w:val="22"/>
          <w:szCs w:val="22"/>
        </w:rPr>
        <w:t xml:space="preserve"> Allelopathy on Test Plants in the Laboratory</w:t>
      </w:r>
    </w:p>
    <w:p w14:paraId="40B4C9F7" w14:textId="77777777" w:rsidR="00A25B14" w:rsidRDefault="00027A35" w:rsidP="002D254C">
      <w:pPr>
        <w:spacing w:line="276" w:lineRule="auto"/>
        <w:ind w:firstLine="720"/>
        <w:jc w:val="both"/>
        <w:rPr>
          <w:rFonts w:eastAsia="Calibri"/>
        </w:rPr>
      </w:pPr>
      <w:proofErr w:type="spellStart"/>
      <w:r w:rsidRPr="00027A35">
        <w:rPr>
          <w:rFonts w:ascii="Arial" w:eastAsia="Calibri" w:hAnsi="Arial" w:cs="Arial"/>
        </w:rPr>
        <w:t>Cogongrass</w:t>
      </w:r>
      <w:proofErr w:type="spellEnd"/>
      <w:r w:rsidRPr="00027A35">
        <w:rPr>
          <w:rFonts w:ascii="Arial" w:eastAsia="Calibri" w:hAnsi="Arial" w:cs="Arial"/>
        </w:rPr>
        <w:t xml:space="preserve"> extract significantly inhibited cucumber seed germination and seedling growth. The percentage of abnormal seedlings increased with rising extract concentrations. ANOVA results showed highly significant effects (p &lt; 0.01) on all germination-related variables.</w:t>
      </w:r>
    </w:p>
    <w:p w14:paraId="72B4DD3F" w14:textId="77777777" w:rsidR="008D5023" w:rsidRPr="008D5023" w:rsidRDefault="00642E95" w:rsidP="00C15A0D">
      <w:pPr>
        <w:jc w:val="center"/>
        <w:rPr>
          <w:rFonts w:ascii="Arial" w:eastAsiaTheme="minorHAnsi" w:hAnsi="Arial" w:cs="Arial"/>
          <w:bCs/>
          <w:color w:val="000000" w:themeColor="text1"/>
        </w:rPr>
      </w:pPr>
      <w:r>
        <w:rPr>
          <w:rFonts w:ascii="Arial" w:hAnsi="Arial" w:cs="Arial"/>
          <w:color w:val="000000" w:themeColor="text1"/>
        </w:rPr>
        <w:lastRenderedPageBreak/>
        <w:t xml:space="preserve">Table 1. </w:t>
      </w:r>
      <w:r w:rsidR="008D5023" w:rsidRPr="008D5023">
        <w:rPr>
          <w:rFonts w:ascii="Arial" w:hAnsi="Arial" w:cs="Arial"/>
          <w:color w:val="000000" w:themeColor="text1"/>
        </w:rPr>
        <w:t>Variance Analysis of Germination Variables of Cucumber Test Plants</w:t>
      </w:r>
    </w:p>
    <w:tbl>
      <w:tblPr>
        <w:tblW w:w="7942" w:type="dxa"/>
        <w:jc w:val="center"/>
        <w:tblLook w:val="04A0" w:firstRow="1" w:lastRow="0" w:firstColumn="1" w:lastColumn="0" w:noHBand="0" w:noVBand="1"/>
      </w:tblPr>
      <w:tblGrid>
        <w:gridCol w:w="3014"/>
        <w:gridCol w:w="1230"/>
        <w:gridCol w:w="1167"/>
        <w:gridCol w:w="1333"/>
        <w:gridCol w:w="1198"/>
      </w:tblGrid>
      <w:tr w:rsidR="008D5023" w14:paraId="5D0B76C0" w14:textId="77777777" w:rsidTr="00C15A0D">
        <w:trPr>
          <w:trHeight w:val="261"/>
          <w:jc w:val="center"/>
        </w:trPr>
        <w:tc>
          <w:tcPr>
            <w:tcW w:w="3014" w:type="dxa"/>
            <w:tcBorders>
              <w:top w:val="single" w:sz="4" w:space="0" w:color="auto"/>
              <w:left w:val="nil"/>
              <w:bottom w:val="single" w:sz="4" w:space="0" w:color="auto"/>
              <w:right w:val="nil"/>
            </w:tcBorders>
            <w:shd w:val="clear" w:color="auto" w:fill="auto"/>
            <w:noWrap/>
            <w:vAlign w:val="bottom"/>
            <w:hideMark/>
          </w:tcPr>
          <w:p w14:paraId="1F98B5E5" w14:textId="77777777" w:rsidR="008D5023" w:rsidRPr="009F6CE5" w:rsidRDefault="008D5023" w:rsidP="007005A7">
            <w:pPr>
              <w:spacing w:line="276" w:lineRule="auto"/>
              <w:jc w:val="center"/>
              <w:rPr>
                <w:rFonts w:ascii="Arial" w:hAnsi="Arial" w:cs="Arial"/>
                <w:color w:val="FF0000"/>
              </w:rPr>
            </w:pPr>
            <w:r w:rsidRPr="009F6CE5">
              <w:rPr>
                <w:rFonts w:ascii="Arial" w:hAnsi="Arial" w:cs="Arial"/>
              </w:rPr>
              <w:t>Variables</w:t>
            </w:r>
          </w:p>
        </w:tc>
        <w:tc>
          <w:tcPr>
            <w:tcW w:w="1230" w:type="dxa"/>
            <w:tcBorders>
              <w:top w:val="single" w:sz="4" w:space="0" w:color="auto"/>
              <w:left w:val="nil"/>
              <w:bottom w:val="single" w:sz="4" w:space="0" w:color="auto"/>
              <w:right w:val="nil"/>
            </w:tcBorders>
            <w:shd w:val="clear" w:color="auto" w:fill="auto"/>
            <w:noWrap/>
            <w:vAlign w:val="bottom"/>
            <w:hideMark/>
          </w:tcPr>
          <w:p w14:paraId="4086DD58"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F-calc</w:t>
            </w:r>
          </w:p>
        </w:tc>
        <w:tc>
          <w:tcPr>
            <w:tcW w:w="1167" w:type="dxa"/>
            <w:tcBorders>
              <w:top w:val="single" w:sz="4" w:space="0" w:color="auto"/>
              <w:left w:val="nil"/>
              <w:bottom w:val="single" w:sz="4" w:space="0" w:color="auto"/>
              <w:right w:val="nil"/>
            </w:tcBorders>
            <w:shd w:val="clear" w:color="auto" w:fill="auto"/>
            <w:noWrap/>
            <w:vAlign w:val="bottom"/>
            <w:hideMark/>
          </w:tcPr>
          <w:p w14:paraId="10E659EE"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Coef. Var</w:t>
            </w:r>
          </w:p>
          <w:p w14:paraId="7014B495"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w:t>
            </w:r>
          </w:p>
        </w:tc>
        <w:tc>
          <w:tcPr>
            <w:tcW w:w="1333" w:type="dxa"/>
            <w:tcBorders>
              <w:top w:val="single" w:sz="4" w:space="0" w:color="auto"/>
              <w:left w:val="nil"/>
              <w:bottom w:val="single" w:sz="4" w:space="0" w:color="auto"/>
              <w:right w:val="nil"/>
            </w:tcBorders>
            <w:shd w:val="clear" w:color="auto" w:fill="auto"/>
            <w:noWrap/>
            <w:vAlign w:val="bottom"/>
            <w:hideMark/>
          </w:tcPr>
          <w:p w14:paraId="6560B003"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w:t>
            </w:r>
          </w:p>
          <w:p w14:paraId="494D54E8"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(5 %)</w:t>
            </w:r>
          </w:p>
        </w:tc>
        <w:tc>
          <w:tcPr>
            <w:tcW w:w="1198" w:type="dxa"/>
            <w:tcBorders>
              <w:top w:val="single" w:sz="4" w:space="0" w:color="auto"/>
              <w:left w:val="nil"/>
              <w:bottom w:val="single" w:sz="4" w:space="0" w:color="auto"/>
              <w:right w:val="nil"/>
            </w:tcBorders>
            <w:shd w:val="clear" w:color="auto" w:fill="auto"/>
            <w:noWrap/>
            <w:vAlign w:val="bottom"/>
            <w:hideMark/>
          </w:tcPr>
          <w:p w14:paraId="36BF1EC0"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 (1%)</w:t>
            </w:r>
          </w:p>
        </w:tc>
      </w:tr>
      <w:tr w:rsidR="008D5023" w14:paraId="27E42569"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BD79D23" w14:textId="77777777" w:rsidR="008D5023" w:rsidRPr="008D5023" w:rsidRDefault="008D5023" w:rsidP="007005A7">
            <w:pPr>
              <w:spacing w:line="276" w:lineRule="auto"/>
              <w:jc w:val="both"/>
              <w:rPr>
                <w:rFonts w:ascii="Arial" w:hAnsi="Arial" w:cs="Arial"/>
                <w:color w:val="000000"/>
                <w:szCs w:val="24"/>
                <w:vertAlign w:val="superscript"/>
              </w:rPr>
            </w:pPr>
            <w:r w:rsidRPr="008D5023">
              <w:rPr>
                <w:rFonts w:ascii="Arial" w:hAnsi="Arial" w:cs="Arial"/>
                <w:color w:val="000000"/>
                <w:szCs w:val="24"/>
              </w:rPr>
              <w:t xml:space="preserve">Abnormal seedling </w:t>
            </w:r>
            <w:proofErr w:type="spellStart"/>
            <w:r w:rsidRPr="008D5023">
              <w:rPr>
                <w:rFonts w:ascii="Arial" w:hAnsi="Arial" w:cs="Arial"/>
                <w:color w:val="000000"/>
                <w:szCs w:val="24"/>
              </w:rPr>
              <w:t>percentage</w:t>
            </w:r>
            <w:r w:rsidRPr="008D5023">
              <w:rPr>
                <w:rFonts w:ascii="Arial" w:hAnsi="Arial" w:cs="Arial"/>
                <w:color w:val="000000"/>
                <w:szCs w:val="24"/>
                <w:vertAlign w:val="superscript"/>
              </w:rPr>
              <w:t>t</w:t>
            </w:r>
            <w:proofErr w:type="spellEnd"/>
          </w:p>
        </w:tc>
        <w:tc>
          <w:tcPr>
            <w:tcW w:w="1230" w:type="dxa"/>
            <w:tcBorders>
              <w:top w:val="nil"/>
              <w:left w:val="nil"/>
              <w:bottom w:val="nil"/>
              <w:right w:val="nil"/>
            </w:tcBorders>
            <w:shd w:val="clear" w:color="auto" w:fill="auto"/>
            <w:noWrap/>
            <w:vAlign w:val="bottom"/>
            <w:hideMark/>
          </w:tcPr>
          <w:p w14:paraId="39B4051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13.059**</w:t>
            </w:r>
          </w:p>
        </w:tc>
        <w:tc>
          <w:tcPr>
            <w:tcW w:w="1167" w:type="dxa"/>
            <w:tcBorders>
              <w:top w:val="nil"/>
              <w:left w:val="nil"/>
              <w:bottom w:val="nil"/>
              <w:right w:val="nil"/>
            </w:tcBorders>
            <w:shd w:val="clear" w:color="auto" w:fill="auto"/>
            <w:noWrap/>
            <w:vAlign w:val="bottom"/>
            <w:hideMark/>
          </w:tcPr>
          <w:p w14:paraId="4A33C767" w14:textId="77777777" w:rsidR="008D5023" w:rsidRPr="008D5023" w:rsidRDefault="009F6CE5" w:rsidP="007005A7">
            <w:pPr>
              <w:spacing w:line="276" w:lineRule="auto"/>
              <w:jc w:val="center"/>
              <w:rPr>
                <w:rFonts w:ascii="Arial" w:hAnsi="Arial" w:cs="Arial"/>
                <w:color w:val="000000"/>
                <w:szCs w:val="24"/>
              </w:rPr>
            </w:pPr>
            <w:r>
              <w:rPr>
                <w:rFonts w:ascii="Arial" w:hAnsi="Arial" w:cs="Arial"/>
                <w:color w:val="000000"/>
                <w:szCs w:val="24"/>
              </w:rPr>
              <w:t>0.99</w:t>
            </w:r>
          </w:p>
        </w:tc>
        <w:tc>
          <w:tcPr>
            <w:tcW w:w="1333" w:type="dxa"/>
            <w:vMerge w:val="restart"/>
            <w:tcBorders>
              <w:top w:val="nil"/>
              <w:left w:val="nil"/>
              <w:bottom w:val="single" w:sz="4" w:space="0" w:color="000000"/>
              <w:right w:val="nil"/>
            </w:tcBorders>
            <w:shd w:val="clear" w:color="auto" w:fill="auto"/>
            <w:noWrap/>
            <w:vAlign w:val="center"/>
            <w:hideMark/>
          </w:tcPr>
          <w:p w14:paraId="3F758CEA"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2.87</w:t>
            </w:r>
          </w:p>
        </w:tc>
        <w:tc>
          <w:tcPr>
            <w:tcW w:w="1198" w:type="dxa"/>
            <w:vMerge w:val="restart"/>
            <w:tcBorders>
              <w:top w:val="nil"/>
              <w:left w:val="nil"/>
              <w:bottom w:val="single" w:sz="4" w:space="0" w:color="000000"/>
              <w:right w:val="nil"/>
            </w:tcBorders>
            <w:shd w:val="clear" w:color="auto" w:fill="auto"/>
            <w:noWrap/>
            <w:vAlign w:val="center"/>
            <w:hideMark/>
          </w:tcPr>
          <w:p w14:paraId="1BABC653"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4.43</w:t>
            </w:r>
          </w:p>
        </w:tc>
      </w:tr>
      <w:tr w:rsidR="008D5023" w14:paraId="44C309F3"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67BFD04"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length</w:t>
            </w:r>
          </w:p>
        </w:tc>
        <w:tc>
          <w:tcPr>
            <w:tcW w:w="1230" w:type="dxa"/>
            <w:tcBorders>
              <w:top w:val="nil"/>
              <w:left w:val="nil"/>
              <w:bottom w:val="nil"/>
              <w:right w:val="nil"/>
            </w:tcBorders>
            <w:shd w:val="clear" w:color="auto" w:fill="auto"/>
            <w:noWrap/>
            <w:vAlign w:val="bottom"/>
            <w:hideMark/>
          </w:tcPr>
          <w:p w14:paraId="0DA6746C" w14:textId="618390E2" w:rsidR="008D5023" w:rsidRPr="008D5023" w:rsidRDefault="006E1E09" w:rsidP="007005A7">
            <w:pPr>
              <w:spacing w:line="276" w:lineRule="auto"/>
              <w:jc w:val="center"/>
              <w:rPr>
                <w:rFonts w:ascii="Arial" w:hAnsi="Arial" w:cs="Arial"/>
                <w:color w:val="000000"/>
                <w:szCs w:val="24"/>
              </w:rPr>
            </w:pPr>
            <w:r>
              <w:rPr>
                <w:rFonts w:ascii="Arial" w:hAnsi="Arial" w:cs="Arial"/>
                <w:color w:val="000000"/>
                <w:szCs w:val="24"/>
              </w:rPr>
              <w:t>102.41</w:t>
            </w:r>
            <w:r w:rsidR="008D5023" w:rsidRPr="008D5023">
              <w:rPr>
                <w:rFonts w:ascii="Arial" w:hAnsi="Arial" w:cs="Arial"/>
                <w:color w:val="000000"/>
                <w:szCs w:val="24"/>
              </w:rPr>
              <w:t>**</w:t>
            </w:r>
          </w:p>
        </w:tc>
        <w:tc>
          <w:tcPr>
            <w:tcW w:w="1167" w:type="dxa"/>
            <w:tcBorders>
              <w:top w:val="nil"/>
              <w:left w:val="nil"/>
              <w:bottom w:val="nil"/>
              <w:right w:val="nil"/>
            </w:tcBorders>
            <w:shd w:val="clear" w:color="auto" w:fill="auto"/>
            <w:noWrap/>
            <w:vAlign w:val="bottom"/>
            <w:hideMark/>
          </w:tcPr>
          <w:p w14:paraId="45CD115A"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15.95</w:t>
            </w:r>
          </w:p>
        </w:tc>
        <w:tc>
          <w:tcPr>
            <w:tcW w:w="1333" w:type="dxa"/>
            <w:vMerge/>
            <w:tcBorders>
              <w:top w:val="nil"/>
              <w:left w:val="nil"/>
              <w:bottom w:val="single" w:sz="4" w:space="0" w:color="000000"/>
              <w:right w:val="nil"/>
            </w:tcBorders>
            <w:vAlign w:val="center"/>
            <w:hideMark/>
          </w:tcPr>
          <w:p w14:paraId="671F736C"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C9BEC3F"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9BA8118"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096179AF"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length</w:t>
            </w:r>
          </w:p>
        </w:tc>
        <w:tc>
          <w:tcPr>
            <w:tcW w:w="1230" w:type="dxa"/>
            <w:tcBorders>
              <w:top w:val="nil"/>
              <w:left w:val="nil"/>
              <w:bottom w:val="nil"/>
              <w:right w:val="nil"/>
            </w:tcBorders>
            <w:shd w:val="clear" w:color="auto" w:fill="auto"/>
            <w:noWrap/>
            <w:vAlign w:val="bottom"/>
            <w:hideMark/>
          </w:tcPr>
          <w:p w14:paraId="7B85F03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84.02**</w:t>
            </w:r>
          </w:p>
        </w:tc>
        <w:tc>
          <w:tcPr>
            <w:tcW w:w="1167" w:type="dxa"/>
            <w:tcBorders>
              <w:top w:val="nil"/>
              <w:left w:val="nil"/>
              <w:bottom w:val="nil"/>
              <w:right w:val="nil"/>
            </w:tcBorders>
            <w:shd w:val="clear" w:color="auto" w:fill="auto"/>
            <w:noWrap/>
            <w:vAlign w:val="bottom"/>
            <w:hideMark/>
          </w:tcPr>
          <w:p w14:paraId="5C5D25F3"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10.33</w:t>
            </w:r>
          </w:p>
        </w:tc>
        <w:tc>
          <w:tcPr>
            <w:tcW w:w="1333" w:type="dxa"/>
            <w:vMerge/>
            <w:tcBorders>
              <w:top w:val="nil"/>
              <w:left w:val="nil"/>
              <w:bottom w:val="single" w:sz="4" w:space="0" w:color="000000"/>
              <w:right w:val="nil"/>
            </w:tcBorders>
            <w:vAlign w:val="center"/>
            <w:hideMark/>
          </w:tcPr>
          <w:p w14:paraId="7C85CF7D"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475E40C"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192C5A4"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2F73C4C"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dry weight</w:t>
            </w:r>
          </w:p>
        </w:tc>
        <w:tc>
          <w:tcPr>
            <w:tcW w:w="1230" w:type="dxa"/>
            <w:tcBorders>
              <w:top w:val="nil"/>
              <w:left w:val="nil"/>
              <w:bottom w:val="nil"/>
              <w:right w:val="nil"/>
            </w:tcBorders>
            <w:shd w:val="clear" w:color="auto" w:fill="auto"/>
            <w:noWrap/>
            <w:vAlign w:val="bottom"/>
            <w:hideMark/>
          </w:tcPr>
          <w:p w14:paraId="11D133DC"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15.51**</w:t>
            </w:r>
          </w:p>
        </w:tc>
        <w:tc>
          <w:tcPr>
            <w:tcW w:w="1167" w:type="dxa"/>
            <w:tcBorders>
              <w:top w:val="nil"/>
              <w:left w:val="nil"/>
              <w:bottom w:val="nil"/>
              <w:right w:val="nil"/>
            </w:tcBorders>
            <w:shd w:val="clear" w:color="auto" w:fill="auto"/>
            <w:noWrap/>
            <w:vAlign w:val="bottom"/>
            <w:hideMark/>
          </w:tcPr>
          <w:p w14:paraId="21BF4954"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14.81</w:t>
            </w:r>
          </w:p>
        </w:tc>
        <w:tc>
          <w:tcPr>
            <w:tcW w:w="1333" w:type="dxa"/>
            <w:vMerge/>
            <w:tcBorders>
              <w:top w:val="nil"/>
              <w:left w:val="nil"/>
              <w:bottom w:val="single" w:sz="4" w:space="0" w:color="000000"/>
              <w:right w:val="nil"/>
            </w:tcBorders>
            <w:vAlign w:val="center"/>
            <w:hideMark/>
          </w:tcPr>
          <w:p w14:paraId="426CDD27"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656CFF80"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3802E9F5"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6B4ECE3"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dry weight</w:t>
            </w:r>
          </w:p>
        </w:tc>
        <w:tc>
          <w:tcPr>
            <w:tcW w:w="1230" w:type="dxa"/>
            <w:tcBorders>
              <w:top w:val="nil"/>
              <w:left w:val="nil"/>
              <w:bottom w:val="nil"/>
              <w:right w:val="nil"/>
            </w:tcBorders>
            <w:shd w:val="clear" w:color="auto" w:fill="auto"/>
            <w:noWrap/>
            <w:vAlign w:val="bottom"/>
            <w:hideMark/>
          </w:tcPr>
          <w:p w14:paraId="35F07ECE"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6.06**</w:t>
            </w:r>
          </w:p>
        </w:tc>
        <w:tc>
          <w:tcPr>
            <w:tcW w:w="1167" w:type="dxa"/>
            <w:tcBorders>
              <w:top w:val="nil"/>
              <w:left w:val="nil"/>
              <w:bottom w:val="nil"/>
              <w:right w:val="nil"/>
            </w:tcBorders>
            <w:shd w:val="clear" w:color="auto" w:fill="auto"/>
            <w:noWrap/>
            <w:vAlign w:val="bottom"/>
            <w:hideMark/>
          </w:tcPr>
          <w:p w14:paraId="663D8378"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14.56</w:t>
            </w:r>
          </w:p>
        </w:tc>
        <w:tc>
          <w:tcPr>
            <w:tcW w:w="1333" w:type="dxa"/>
            <w:vMerge/>
            <w:tcBorders>
              <w:top w:val="nil"/>
              <w:left w:val="nil"/>
              <w:bottom w:val="single" w:sz="4" w:space="0" w:color="000000"/>
              <w:right w:val="nil"/>
            </w:tcBorders>
            <w:vAlign w:val="center"/>
            <w:hideMark/>
          </w:tcPr>
          <w:p w14:paraId="60E97C3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785034B5"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0C7E0594" w14:textId="77777777" w:rsidTr="00C15A0D">
        <w:trPr>
          <w:trHeight w:val="61"/>
          <w:jc w:val="center"/>
        </w:trPr>
        <w:tc>
          <w:tcPr>
            <w:tcW w:w="3014" w:type="dxa"/>
            <w:tcBorders>
              <w:top w:val="nil"/>
              <w:left w:val="nil"/>
              <w:bottom w:val="single" w:sz="4" w:space="0" w:color="auto"/>
              <w:right w:val="nil"/>
            </w:tcBorders>
            <w:shd w:val="clear" w:color="auto" w:fill="auto"/>
            <w:noWrap/>
            <w:vAlign w:val="bottom"/>
            <w:hideMark/>
          </w:tcPr>
          <w:p w14:paraId="62D62C8D"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Total dry weight</w:t>
            </w:r>
          </w:p>
        </w:tc>
        <w:tc>
          <w:tcPr>
            <w:tcW w:w="1230" w:type="dxa"/>
            <w:tcBorders>
              <w:top w:val="nil"/>
              <w:left w:val="nil"/>
              <w:bottom w:val="single" w:sz="4" w:space="0" w:color="auto"/>
              <w:right w:val="nil"/>
            </w:tcBorders>
            <w:shd w:val="clear" w:color="auto" w:fill="auto"/>
            <w:noWrap/>
            <w:vAlign w:val="bottom"/>
            <w:hideMark/>
          </w:tcPr>
          <w:p w14:paraId="4D78012D"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8.31**</w:t>
            </w:r>
          </w:p>
        </w:tc>
        <w:tc>
          <w:tcPr>
            <w:tcW w:w="1167" w:type="dxa"/>
            <w:tcBorders>
              <w:top w:val="nil"/>
              <w:left w:val="nil"/>
              <w:bottom w:val="single" w:sz="4" w:space="0" w:color="auto"/>
              <w:right w:val="nil"/>
            </w:tcBorders>
            <w:shd w:val="clear" w:color="auto" w:fill="auto"/>
            <w:noWrap/>
            <w:vAlign w:val="bottom"/>
            <w:hideMark/>
          </w:tcPr>
          <w:p w14:paraId="0FD20107"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13.08</w:t>
            </w:r>
          </w:p>
        </w:tc>
        <w:tc>
          <w:tcPr>
            <w:tcW w:w="1333" w:type="dxa"/>
            <w:vMerge/>
            <w:tcBorders>
              <w:top w:val="nil"/>
              <w:left w:val="nil"/>
              <w:bottom w:val="single" w:sz="4" w:space="0" w:color="000000"/>
              <w:right w:val="nil"/>
            </w:tcBorders>
            <w:vAlign w:val="center"/>
            <w:hideMark/>
          </w:tcPr>
          <w:p w14:paraId="067E2FA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1F7DA4A" w14:textId="77777777" w:rsidR="008D5023" w:rsidRPr="001B55CB" w:rsidRDefault="008D5023" w:rsidP="007005A7">
            <w:pPr>
              <w:spacing w:line="276" w:lineRule="auto"/>
              <w:jc w:val="both"/>
              <w:rPr>
                <w:rFonts w:ascii="Times New Roman" w:hAnsi="Times New Roman"/>
                <w:color w:val="000000"/>
                <w:sz w:val="24"/>
                <w:szCs w:val="24"/>
              </w:rPr>
            </w:pPr>
          </w:p>
        </w:tc>
      </w:tr>
    </w:tbl>
    <w:p w14:paraId="59A8B72F" w14:textId="77777777" w:rsidR="008D5023" w:rsidRPr="007005A7" w:rsidRDefault="009F6CE5" w:rsidP="008D5023">
      <w:pPr>
        <w:spacing w:line="276" w:lineRule="auto"/>
        <w:jc w:val="both"/>
        <w:rPr>
          <w:rFonts w:ascii="Arial" w:hAnsi="Arial" w:cs="Arial"/>
          <w:sz w:val="16"/>
          <w:szCs w:val="24"/>
        </w:rPr>
      </w:pPr>
      <w:r>
        <w:rPr>
          <w:rFonts w:ascii="Arial" w:hAnsi="Arial" w:cs="Arial"/>
          <w:sz w:val="16"/>
          <w:szCs w:val="24"/>
        </w:rPr>
        <w:t xml:space="preserve">Note: *= significantly </w:t>
      </w:r>
      <w:r w:rsidR="008D5023" w:rsidRPr="007005A7">
        <w:rPr>
          <w:rFonts w:ascii="Arial" w:hAnsi="Arial" w:cs="Arial"/>
          <w:sz w:val="16"/>
          <w:szCs w:val="24"/>
        </w:rPr>
        <w:t>different; **= highly significant</w:t>
      </w:r>
      <w:r>
        <w:rPr>
          <w:rFonts w:ascii="Arial" w:hAnsi="Arial" w:cs="Arial"/>
          <w:sz w:val="16"/>
          <w:szCs w:val="24"/>
        </w:rPr>
        <w:t>ly</w:t>
      </w:r>
      <w:r w:rsidR="008D5023" w:rsidRPr="007005A7">
        <w:rPr>
          <w:rFonts w:ascii="Arial" w:hAnsi="Arial" w:cs="Arial"/>
          <w:sz w:val="16"/>
          <w:szCs w:val="24"/>
        </w:rPr>
        <w:t xml:space="preserve"> different,</w:t>
      </w:r>
      <w:r w:rsidR="008D5023" w:rsidRPr="007005A7">
        <w:rPr>
          <w:rFonts w:ascii="Arial" w:hAnsi="Arial" w:cs="Arial"/>
          <w:sz w:val="16"/>
          <w:szCs w:val="24"/>
          <w:vertAlign w:val="superscript"/>
        </w:rPr>
        <w:t xml:space="preserve"> t</w:t>
      </w:r>
      <w:r w:rsidR="008D5023" w:rsidRPr="007005A7">
        <w:rPr>
          <w:rFonts w:ascii="Arial" w:hAnsi="Arial" w:cs="Arial"/>
          <w:sz w:val="16"/>
          <w:szCs w:val="24"/>
        </w:rPr>
        <w:t xml:space="preserve">= data transformed </w:t>
      </w:r>
      <m:oMath>
        <m:rad>
          <m:radPr>
            <m:degHide m:val="1"/>
            <m:ctrlPr>
              <w:rPr>
                <w:rFonts w:ascii="Cambria Math" w:hAnsi="Cambria Math" w:cs="Arial"/>
                <w:i/>
                <w:sz w:val="16"/>
                <w:szCs w:val="24"/>
              </w:rPr>
            </m:ctrlPr>
          </m:radPr>
          <m:deg/>
          <m:e>
            <m:r>
              <m:rPr>
                <m:nor/>
              </m:rPr>
              <w:rPr>
                <w:rFonts w:ascii="Arial" w:hAnsi="Arial" w:cs="Arial"/>
                <w:sz w:val="16"/>
                <w:szCs w:val="24"/>
              </w:rPr>
              <m:t>x + 0,5</m:t>
            </m:r>
          </m:e>
        </m:rad>
      </m:oMath>
    </w:p>
    <w:p w14:paraId="38887DA9" w14:textId="77777777" w:rsidR="008D5023" w:rsidRDefault="008D5023" w:rsidP="00F056DE">
      <w:pPr>
        <w:pStyle w:val="ListParagraph"/>
        <w:widowControl w:val="0"/>
        <w:spacing w:after="0" w:line="276" w:lineRule="auto"/>
        <w:ind w:left="0" w:firstLine="567"/>
        <w:jc w:val="both"/>
        <w:rPr>
          <w:rFonts w:ascii="Arial" w:hAnsi="Arial" w:cs="Arial"/>
          <w:sz w:val="20"/>
          <w:szCs w:val="24"/>
        </w:rPr>
      </w:pPr>
      <w:r w:rsidRPr="007005A7">
        <w:rPr>
          <w:rFonts w:ascii="Arial" w:hAnsi="Arial" w:cs="Arial"/>
          <w:sz w:val="20"/>
          <w:szCs w:val="24"/>
        </w:rPr>
        <w:t xml:space="preserve">Statistical analysis revealed that </w:t>
      </w:r>
      <w:proofErr w:type="spellStart"/>
      <w:r w:rsidRPr="007005A7">
        <w:rPr>
          <w:rFonts w:ascii="Arial" w:hAnsi="Arial" w:cs="Arial"/>
          <w:sz w:val="20"/>
          <w:szCs w:val="24"/>
        </w:rPr>
        <w:t>cogongrass</w:t>
      </w:r>
      <w:proofErr w:type="spellEnd"/>
      <w:r w:rsidRPr="007005A7">
        <w:rPr>
          <w:rFonts w:ascii="Arial" w:hAnsi="Arial" w:cs="Arial"/>
          <w:sz w:val="20"/>
          <w:szCs w:val="24"/>
        </w:rPr>
        <w:t xml:space="preserve"> allelopathy highly significantly affected multiple growth parameters, including abnormal seedling percentage, radicle, and plumule length, as well as dry weights of radicles, plumules, and total biomass (p &lt; 0.01).</w:t>
      </w:r>
    </w:p>
    <w:p w14:paraId="67499256" w14:textId="77777777" w:rsidR="007005A7" w:rsidRPr="007005A7" w:rsidRDefault="007005A7" w:rsidP="007005A7">
      <w:pPr>
        <w:spacing w:line="276" w:lineRule="auto"/>
        <w:jc w:val="both"/>
        <w:rPr>
          <w:rFonts w:ascii="Arial" w:hAnsi="Arial" w:cs="Arial"/>
          <w:b/>
          <w:color w:val="000000"/>
          <w:sz w:val="22"/>
          <w:szCs w:val="24"/>
          <w:vertAlign w:val="superscript"/>
        </w:rPr>
      </w:pPr>
      <w:r w:rsidRPr="007005A7">
        <w:rPr>
          <w:rFonts w:ascii="Arial" w:hAnsi="Arial" w:cs="Arial"/>
          <w:b/>
          <w:color w:val="000000"/>
          <w:sz w:val="22"/>
          <w:szCs w:val="24"/>
        </w:rPr>
        <w:t>3.1.1 Abnormal seedling percentage</w:t>
      </w:r>
    </w:p>
    <w:p w14:paraId="0C7FD432" w14:textId="4B712998" w:rsidR="00DD5DF8" w:rsidRPr="00F056DE" w:rsidRDefault="007005A7" w:rsidP="00C15A0D">
      <w:pPr>
        <w:spacing w:line="276" w:lineRule="auto"/>
        <w:ind w:firstLine="567"/>
        <w:jc w:val="both"/>
        <w:rPr>
          <w:rFonts w:ascii="Arial" w:hAnsi="Arial" w:cs="Arial"/>
          <w:szCs w:val="24"/>
        </w:rPr>
      </w:pPr>
      <w:r w:rsidRPr="007005A7">
        <w:rPr>
          <w:rFonts w:ascii="Arial" w:hAnsi="Arial" w:cs="Arial"/>
          <w:szCs w:val="24"/>
        </w:rPr>
        <w:t xml:space="preserve">Seedlings that cannot develop into normal plants under optimal growth conditions are considered to be abnormal. These seedlings experience morphological or physiological abnormalities, such as primary roots that are not well developed, damaged hypocotyls or epicotyls, and twisted or imperfect plumules. In this study, the percentage of abnormal seedlings increases along with the increase in the concentration of </w:t>
      </w:r>
      <w:proofErr w:type="spellStart"/>
      <w:r w:rsidRPr="007005A7">
        <w:rPr>
          <w:rFonts w:ascii="Arial" w:hAnsi="Arial" w:cs="Arial"/>
          <w:szCs w:val="24"/>
        </w:rPr>
        <w:t>cogongrass</w:t>
      </w:r>
      <w:proofErr w:type="spellEnd"/>
      <w:r w:rsidRPr="007005A7">
        <w:rPr>
          <w:rFonts w:ascii="Arial" w:hAnsi="Arial" w:cs="Arial"/>
          <w:szCs w:val="24"/>
        </w:rPr>
        <w:t xml:space="preserve"> </w:t>
      </w:r>
      <w:proofErr w:type="spellStart"/>
      <w:r w:rsidRPr="007005A7">
        <w:rPr>
          <w:rFonts w:ascii="Arial" w:hAnsi="Arial" w:cs="Arial"/>
          <w:szCs w:val="24"/>
        </w:rPr>
        <w:t>a</w:t>
      </w:r>
      <w:r w:rsidR="009F6CE5">
        <w:rPr>
          <w:rFonts w:ascii="Arial" w:hAnsi="Arial" w:cs="Arial"/>
          <w:szCs w:val="24"/>
        </w:rPr>
        <w:t>le</w:t>
      </w:r>
      <w:r w:rsidRPr="007005A7">
        <w:rPr>
          <w:rFonts w:ascii="Arial" w:hAnsi="Arial" w:cs="Arial"/>
          <w:szCs w:val="24"/>
        </w:rPr>
        <w:t>llopa</w:t>
      </w:r>
      <w:r w:rsidR="00DD5498">
        <w:rPr>
          <w:rFonts w:ascii="Arial" w:hAnsi="Arial" w:cs="Arial"/>
          <w:szCs w:val="24"/>
        </w:rPr>
        <w:t>th</w:t>
      </w:r>
      <w:proofErr w:type="spellEnd"/>
      <w:r w:rsidR="00DD5498">
        <w:rPr>
          <w:rFonts w:ascii="Arial" w:hAnsi="Arial" w:cs="Arial"/>
          <w:szCs w:val="24"/>
        </w:rPr>
        <w:t xml:space="preserve">; at a concentration of 2.5%, </w:t>
      </w:r>
      <w:r w:rsidRPr="007005A7">
        <w:rPr>
          <w:rFonts w:ascii="Arial" w:hAnsi="Arial" w:cs="Arial"/>
          <w:szCs w:val="24"/>
        </w:rPr>
        <w:t>the abnormal seedlings are 18, while at a con</w:t>
      </w:r>
      <w:r w:rsidR="00DD5498">
        <w:rPr>
          <w:rFonts w:ascii="Arial" w:hAnsi="Arial" w:cs="Arial"/>
          <w:szCs w:val="24"/>
        </w:rPr>
        <w:t>centration of 5% and 10%</w:t>
      </w:r>
      <w:r w:rsidRPr="007005A7">
        <w:rPr>
          <w:rFonts w:ascii="Arial" w:hAnsi="Arial" w:cs="Arial"/>
          <w:szCs w:val="24"/>
        </w:rPr>
        <w:t xml:space="preserve">, it increases to 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040"/>
      </w:tblGrid>
      <w:tr w:rsidR="007005A7" w14:paraId="3BAE5A7F" w14:textId="77777777" w:rsidTr="00DD5DF8">
        <w:tc>
          <w:tcPr>
            <w:tcW w:w="4842" w:type="dxa"/>
          </w:tcPr>
          <w:p w14:paraId="1EFC4BAC" w14:textId="77777777" w:rsidR="007005A7" w:rsidRDefault="007005A7" w:rsidP="00A25B14">
            <w:pPr>
              <w:spacing w:line="276" w:lineRule="auto"/>
              <w:jc w:val="center"/>
              <w:rPr>
                <w:rFonts w:ascii="Times New Roman" w:hAnsi="Times New Roman"/>
                <w:sz w:val="24"/>
                <w:szCs w:val="24"/>
              </w:rPr>
            </w:pPr>
            <w:r>
              <w:rPr>
                <w:rFonts w:ascii="Times New Roman" w:hAnsi="Times New Roman"/>
                <w:noProof/>
                <w:sz w:val="24"/>
                <w:szCs w:val="24"/>
              </w:rPr>
              <w:drawing>
                <wp:inline distT="0" distB="0" distL="0" distR="0" wp14:anchorId="49002333" wp14:editId="25533D03">
                  <wp:extent cx="2368550" cy="1217930"/>
                  <wp:effectExtent l="0" t="0" r="0" b="1270"/>
                  <wp:docPr id="2127911529" name="Picture 212791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28 at 05.53.37.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4000" cy="1220732"/>
                          </a:xfrm>
                          <a:prstGeom prst="rect">
                            <a:avLst/>
                          </a:prstGeom>
                        </pic:spPr>
                      </pic:pic>
                    </a:graphicData>
                  </a:graphic>
                </wp:inline>
              </w:drawing>
            </w:r>
          </w:p>
        </w:tc>
        <w:tc>
          <w:tcPr>
            <w:tcW w:w="4446" w:type="dxa"/>
          </w:tcPr>
          <w:p w14:paraId="4FEFC03A" w14:textId="77777777" w:rsidR="007005A7" w:rsidRDefault="007005A7" w:rsidP="00A25B14">
            <w:pPr>
              <w:spacing w:line="276" w:lineRule="auto"/>
              <w:jc w:val="center"/>
              <w:rPr>
                <w:rFonts w:ascii="Times New Roman" w:hAnsi="Times New Roman"/>
                <w:sz w:val="24"/>
                <w:szCs w:val="24"/>
              </w:rPr>
            </w:pPr>
            <w:r w:rsidRPr="001B55CB">
              <w:rPr>
                <w:rFonts w:ascii="Times New Roman" w:hAnsi="Times New Roman"/>
                <w:b/>
                <w:noProof/>
                <w:sz w:val="24"/>
                <w:szCs w:val="24"/>
              </w:rPr>
              <w:drawing>
                <wp:inline distT="0" distB="0" distL="0" distR="0" wp14:anchorId="05585BA2" wp14:editId="29C00A87">
                  <wp:extent cx="2181225" cy="1289140"/>
                  <wp:effectExtent l="0" t="0" r="0" b="6350"/>
                  <wp:docPr id="2127911524" name="Picture 212791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1524" name="WhatsApp Image 2025-03-01 at 08.52.4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7680" cy="1340236"/>
                          </a:xfrm>
                          <a:prstGeom prst="rect">
                            <a:avLst/>
                          </a:prstGeom>
                        </pic:spPr>
                      </pic:pic>
                    </a:graphicData>
                  </a:graphic>
                </wp:inline>
              </w:drawing>
            </w:r>
          </w:p>
        </w:tc>
      </w:tr>
      <w:tr w:rsidR="007005A7" w14:paraId="0326E455" w14:textId="77777777" w:rsidTr="00DD5DF8">
        <w:tc>
          <w:tcPr>
            <w:tcW w:w="4842" w:type="dxa"/>
          </w:tcPr>
          <w:p w14:paraId="2AD2836B"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A</w:t>
            </w:r>
          </w:p>
        </w:tc>
        <w:tc>
          <w:tcPr>
            <w:tcW w:w="4446" w:type="dxa"/>
          </w:tcPr>
          <w:p w14:paraId="69086C12"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B</w:t>
            </w:r>
          </w:p>
        </w:tc>
      </w:tr>
    </w:tbl>
    <w:p w14:paraId="061232AD" w14:textId="77777777" w:rsidR="00DD5DF8" w:rsidRDefault="007005A7" w:rsidP="00C15A0D">
      <w:pPr>
        <w:spacing w:line="276" w:lineRule="auto"/>
        <w:jc w:val="center"/>
        <w:rPr>
          <w:rFonts w:ascii="Arial" w:hAnsi="Arial" w:cs="Arial"/>
          <w:szCs w:val="24"/>
        </w:rPr>
      </w:pPr>
      <w:r w:rsidRPr="007005A7">
        <w:rPr>
          <w:rFonts w:ascii="Arial" w:hAnsi="Arial" w:cs="Arial"/>
          <w:szCs w:val="24"/>
        </w:rPr>
        <w:t xml:space="preserve">Figure 1. Allelopathic effect of </w:t>
      </w:r>
      <w:proofErr w:type="spellStart"/>
      <w:r w:rsidRPr="007005A7">
        <w:rPr>
          <w:rFonts w:ascii="Arial" w:hAnsi="Arial" w:cs="Arial"/>
          <w:szCs w:val="24"/>
        </w:rPr>
        <w:t>cogongrass</w:t>
      </w:r>
      <w:proofErr w:type="spellEnd"/>
      <w:r w:rsidRPr="007005A7">
        <w:rPr>
          <w:rFonts w:ascii="Arial" w:hAnsi="Arial" w:cs="Arial"/>
          <w:szCs w:val="24"/>
        </w:rPr>
        <w:t xml:space="preserve"> on germination (A) and growth </w:t>
      </w:r>
      <w:r w:rsidRPr="007005A7">
        <w:rPr>
          <w:rFonts w:ascii="Arial" w:hAnsi="Arial" w:cs="Arial"/>
          <w:b/>
          <w:szCs w:val="24"/>
        </w:rPr>
        <w:t>(</w:t>
      </w:r>
      <w:r w:rsidR="009F6CE5">
        <w:rPr>
          <w:rFonts w:ascii="Arial" w:hAnsi="Arial" w:cs="Arial"/>
          <w:szCs w:val="24"/>
        </w:rPr>
        <w:t>B) of c</w:t>
      </w:r>
      <w:r w:rsidRPr="007005A7">
        <w:rPr>
          <w:rFonts w:ascii="Arial" w:hAnsi="Arial" w:cs="Arial"/>
          <w:szCs w:val="24"/>
        </w:rPr>
        <w:t>ucumber test plants.</w:t>
      </w:r>
    </w:p>
    <w:p w14:paraId="032EC742" w14:textId="77777777" w:rsidR="007005A7" w:rsidRPr="00F056DE" w:rsidRDefault="007005A7" w:rsidP="00F056DE">
      <w:pPr>
        <w:spacing w:line="276" w:lineRule="auto"/>
        <w:ind w:firstLine="567"/>
        <w:jc w:val="both"/>
        <w:rPr>
          <w:rFonts w:ascii="Arial" w:hAnsi="Arial" w:cs="Arial"/>
          <w:szCs w:val="24"/>
        </w:rPr>
      </w:pPr>
      <w:r w:rsidRPr="007005A7">
        <w:rPr>
          <w:rFonts w:ascii="Arial" w:hAnsi="Arial" w:cs="Arial"/>
          <w:szCs w:val="24"/>
        </w:rPr>
        <w:t xml:space="preserve">The suppression of cucumber seed germination is attributed to allelopathic substances, such as phenolic compounds, which possess strong allelopathic activity. </w:t>
      </w:r>
      <w:r w:rsidR="00DD5498">
        <w:rPr>
          <w:rFonts w:ascii="Arial" w:hAnsi="Arial" w:cs="Arial"/>
          <w:szCs w:val="24"/>
        </w:rPr>
        <w:t xml:space="preserve">Under the control treatment (0% </w:t>
      </w:r>
      <w:r w:rsidRPr="007005A7">
        <w:rPr>
          <w:rFonts w:ascii="Arial" w:hAnsi="Arial" w:cs="Arial"/>
          <w:szCs w:val="24"/>
        </w:rPr>
        <w:t xml:space="preserve">extract), seedlings exhibited healthy primary root elongation, well-developed hypocotyls, and normal plumule growth with green foliage. Conversely, exposure to </w:t>
      </w:r>
      <w:proofErr w:type="spellStart"/>
      <w:r w:rsidRPr="007005A7">
        <w:rPr>
          <w:rFonts w:ascii="Arial" w:hAnsi="Arial" w:cs="Arial"/>
          <w:szCs w:val="24"/>
        </w:rPr>
        <w:t>cogongrass</w:t>
      </w:r>
      <w:proofErr w:type="spellEnd"/>
      <w:r w:rsidRPr="007005A7">
        <w:rPr>
          <w:rFonts w:ascii="Arial" w:hAnsi="Arial" w:cs="Arial"/>
          <w:szCs w:val="24"/>
        </w:rPr>
        <w:t xml:space="preserve"> extract at concentrations ranging from 2.5% to 10% resulted in noticeable growth abnormalities, including reduced and chlorotic primary roots, deformed plumules, and overall stunted seedling development (Figure 1 a). According to Koger and Bryson (2004), extracts of </w:t>
      </w:r>
      <w:proofErr w:type="spellStart"/>
      <w:r w:rsidRPr="007005A7">
        <w:rPr>
          <w:rFonts w:ascii="Arial" w:hAnsi="Arial" w:cs="Arial"/>
          <w:szCs w:val="24"/>
        </w:rPr>
        <w:t>cogongrass</w:t>
      </w:r>
      <w:proofErr w:type="spellEnd"/>
      <w:r w:rsidRPr="007005A7">
        <w:rPr>
          <w:rFonts w:ascii="Arial" w:hAnsi="Arial" w:cs="Arial"/>
          <w:szCs w:val="24"/>
        </w:rPr>
        <w:t xml:space="preserve"> significantly inhibit seed germination and the elongation of both radicles and coleoptiles in various grass and broadleaf species, with inhibition levels reaching up to 96% at the highest extract concentrations. The higher the concentration of</w:t>
      </w:r>
      <w:r w:rsidR="009F6CE5">
        <w:rPr>
          <w:rFonts w:ascii="Arial" w:hAnsi="Arial" w:cs="Arial"/>
          <w:szCs w:val="24"/>
        </w:rPr>
        <w:t xml:space="preserve"> </w:t>
      </w:r>
      <w:proofErr w:type="spellStart"/>
      <w:r w:rsidR="009F6CE5">
        <w:rPr>
          <w:rFonts w:ascii="Arial" w:hAnsi="Arial" w:cs="Arial"/>
          <w:szCs w:val="24"/>
        </w:rPr>
        <w:t>cogongrass</w:t>
      </w:r>
      <w:proofErr w:type="spellEnd"/>
      <w:r w:rsidR="009F6CE5">
        <w:rPr>
          <w:rFonts w:ascii="Arial" w:hAnsi="Arial" w:cs="Arial"/>
          <w:szCs w:val="24"/>
        </w:rPr>
        <w:t xml:space="preserve"> </w:t>
      </w:r>
      <w:r w:rsidRPr="007005A7">
        <w:rPr>
          <w:rFonts w:ascii="Arial" w:hAnsi="Arial" w:cs="Arial"/>
          <w:szCs w:val="24"/>
        </w:rPr>
        <w:t>allelopathic extract, the greater the percentage of abnormal seedlings. This is evident from the data: at 0% concentration, 0% of the seedlings were abnormal; at 5% the abnormal rate reached 91%; and at 10%</w:t>
      </w:r>
      <w:r w:rsidR="00DD5498">
        <w:rPr>
          <w:rFonts w:ascii="Arial" w:hAnsi="Arial" w:cs="Arial"/>
          <w:szCs w:val="24"/>
        </w:rPr>
        <w:t xml:space="preserve"> </w:t>
      </w:r>
      <w:r w:rsidRPr="007005A7">
        <w:rPr>
          <w:rFonts w:ascii="Arial" w:hAnsi="Arial" w:cs="Arial"/>
          <w:szCs w:val="24"/>
        </w:rPr>
        <w:t>concentration, it reached 100%</w:t>
      </w:r>
      <w:r w:rsidR="009F6CE5">
        <w:rPr>
          <w:rFonts w:ascii="Arial" w:hAnsi="Arial" w:cs="Arial"/>
          <w:szCs w:val="24"/>
        </w:rPr>
        <w:t>.</w:t>
      </w:r>
    </w:p>
    <w:p w14:paraId="349EE01F" w14:textId="77777777" w:rsidR="007005A7" w:rsidRPr="00C71D47" w:rsidRDefault="00C71D47" w:rsidP="007005A7">
      <w:pPr>
        <w:widowControl w:val="0"/>
        <w:spacing w:line="276" w:lineRule="auto"/>
        <w:jc w:val="both"/>
        <w:rPr>
          <w:rFonts w:ascii="Arial" w:hAnsi="Arial" w:cs="Arial"/>
          <w:b/>
          <w:sz w:val="22"/>
          <w:szCs w:val="22"/>
        </w:rPr>
      </w:pPr>
      <w:r w:rsidRPr="00C71D47">
        <w:rPr>
          <w:rFonts w:ascii="Arial" w:hAnsi="Arial" w:cs="Arial"/>
          <w:b/>
          <w:bCs/>
          <w:sz w:val="22"/>
          <w:szCs w:val="22"/>
        </w:rPr>
        <w:t xml:space="preserve">3.1.2 </w:t>
      </w:r>
      <w:r w:rsidR="007005A7" w:rsidRPr="00C71D47">
        <w:rPr>
          <w:rFonts w:ascii="Arial" w:hAnsi="Arial" w:cs="Arial"/>
          <w:b/>
          <w:bCs/>
          <w:sz w:val="22"/>
          <w:szCs w:val="22"/>
        </w:rPr>
        <w:t>Radicle and plumule length</w:t>
      </w:r>
      <w:r w:rsidR="007005A7" w:rsidRPr="00C71D47">
        <w:rPr>
          <w:rFonts w:ascii="Arial" w:hAnsi="Arial" w:cs="Arial"/>
          <w:b/>
          <w:sz w:val="22"/>
          <w:szCs w:val="22"/>
        </w:rPr>
        <w:t xml:space="preserve"> </w:t>
      </w:r>
    </w:p>
    <w:p w14:paraId="4E08D5D7" w14:textId="77777777" w:rsidR="007005A7" w:rsidRPr="00C71D47" w:rsidRDefault="007005A7" w:rsidP="007005A7">
      <w:pPr>
        <w:pStyle w:val="ListParagraph"/>
        <w:widowControl w:val="0"/>
        <w:spacing w:after="0" w:line="276" w:lineRule="auto"/>
        <w:ind w:left="0" w:firstLine="567"/>
        <w:jc w:val="both"/>
        <w:rPr>
          <w:rFonts w:ascii="Arial" w:eastAsia="Times New Roman" w:hAnsi="Arial" w:cs="Arial"/>
          <w:sz w:val="20"/>
          <w:szCs w:val="20"/>
        </w:rPr>
      </w:pPr>
      <w:r w:rsidRPr="00C71D47">
        <w:rPr>
          <w:rFonts w:ascii="Arial" w:eastAsia="Times New Roman" w:hAnsi="Arial" w:cs="Arial"/>
          <w:sz w:val="20"/>
          <w:szCs w:val="20"/>
        </w:rPr>
        <w:lastRenderedPageBreak/>
        <w:t>The radicle is the initial structure to emerge from the seed embryo during germination and will develop into the primary root. It plays a crucial role in the uptake of water and nutrients from the soil and serves as the foundation for the plant’s root system. Vigorous radicle development reflects favorable germination conditions, whereas suppressed radicle growth may suggest environmental stress or the presence of inhibitory substances, such as allelopathic compounds.</w:t>
      </w:r>
    </w:p>
    <w:p w14:paraId="4400751E" w14:textId="77777777" w:rsidR="007005A7" w:rsidRPr="00C71D47" w:rsidRDefault="007005A7" w:rsidP="00C71D47">
      <w:pPr>
        <w:pStyle w:val="ListParagraph"/>
        <w:widowControl w:val="0"/>
        <w:spacing w:after="0" w:line="276" w:lineRule="auto"/>
        <w:ind w:left="0" w:firstLine="567"/>
        <w:jc w:val="both"/>
        <w:rPr>
          <w:rFonts w:ascii="Arial" w:eastAsia="Times New Roman" w:hAnsi="Arial" w:cs="Arial"/>
          <w:sz w:val="20"/>
          <w:szCs w:val="20"/>
        </w:rPr>
      </w:pPr>
      <w:r w:rsidRPr="00C71D47">
        <w:rPr>
          <w:rFonts w:ascii="Arial" w:eastAsia="Times New Roman" w:hAnsi="Arial" w:cs="Arial"/>
          <w:sz w:val="20"/>
          <w:szCs w:val="20"/>
        </w:rPr>
        <w:t xml:space="preserve">The plumule represents the embryonic structure within the seed that eventually forms the shoot system following germination. When the plumule develops properly, it gives rise to normal stems and leaves; however, impaired plumule growth may signal stress or disruptions during germination. </w:t>
      </w:r>
      <w:r w:rsidR="009F6CE5" w:rsidRPr="009F6CE5">
        <w:rPr>
          <w:rFonts w:ascii="Arial" w:eastAsia="Times New Roman" w:hAnsi="Arial" w:cs="Arial"/>
          <w:sz w:val="20"/>
          <w:szCs w:val="20"/>
        </w:rPr>
        <w:t xml:space="preserve">As the concentration of </w:t>
      </w:r>
      <w:proofErr w:type="spellStart"/>
      <w:r w:rsidR="009F6CE5" w:rsidRPr="009F6CE5">
        <w:rPr>
          <w:rFonts w:ascii="Arial" w:eastAsia="Times New Roman" w:hAnsi="Arial" w:cs="Arial"/>
          <w:sz w:val="20"/>
          <w:szCs w:val="20"/>
        </w:rPr>
        <w:t>cogongrass</w:t>
      </w:r>
      <w:proofErr w:type="spellEnd"/>
      <w:r w:rsidR="009F6CE5" w:rsidRPr="009F6CE5">
        <w:rPr>
          <w:rFonts w:ascii="Arial" w:eastAsia="Times New Roman" w:hAnsi="Arial" w:cs="Arial"/>
          <w:sz w:val="20"/>
          <w:szCs w:val="20"/>
        </w:rPr>
        <w:t xml:space="preserve"> allelopathic extracts increased, a linear decline in both radicle and plumule elon</w:t>
      </w:r>
      <w:r w:rsidR="009F6CE5">
        <w:rPr>
          <w:rFonts w:ascii="Arial" w:eastAsia="Times New Roman" w:hAnsi="Arial" w:cs="Arial"/>
          <w:sz w:val="20"/>
          <w:szCs w:val="20"/>
        </w:rPr>
        <w:t>gation was observed (Figure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4326"/>
      </w:tblGrid>
      <w:tr w:rsidR="007005A7" w14:paraId="7917A034" w14:textId="77777777" w:rsidTr="007005A7">
        <w:tc>
          <w:tcPr>
            <w:tcW w:w="4380" w:type="dxa"/>
          </w:tcPr>
          <w:p w14:paraId="6099DBD5" w14:textId="77777777" w:rsidR="007005A7" w:rsidRPr="001B55CB" w:rsidRDefault="007005A7" w:rsidP="007005A7">
            <w:pPr>
              <w:pStyle w:val="ListParagraph"/>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4760AB1E" wp14:editId="62918213">
                  <wp:extent cx="2438400" cy="1495425"/>
                  <wp:effectExtent l="0" t="0" r="19050" b="9525"/>
                  <wp:docPr id="2127911526" name="Chart 2127911526">
                    <a:extLst xmlns:a="http://schemas.openxmlformats.org/drawingml/2006/main">
                      <a:ext uri="{FF2B5EF4-FFF2-40B4-BE49-F238E27FC236}">
                        <a16:creationId xmlns:a16="http://schemas.microsoft.com/office/drawing/2014/main" id="{589A6456-C1F7-1FA2-C261-5AD14859D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256" w:type="dxa"/>
          </w:tcPr>
          <w:p w14:paraId="099375B7" w14:textId="77777777" w:rsidR="007005A7" w:rsidRPr="001B55CB" w:rsidRDefault="007005A7" w:rsidP="007005A7">
            <w:pPr>
              <w:pStyle w:val="ListParagraph"/>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03380D7D" wp14:editId="186A2E2F">
                  <wp:extent cx="2590800" cy="1495425"/>
                  <wp:effectExtent l="0" t="0" r="19050" b="9525"/>
                  <wp:docPr id="2127911525" name="Chart 2127911525">
                    <a:extLst xmlns:a="http://schemas.openxmlformats.org/drawingml/2006/main">
                      <a:ext uri="{FF2B5EF4-FFF2-40B4-BE49-F238E27FC236}">
                        <a16:creationId xmlns:a16="http://schemas.microsoft.com/office/drawing/2014/main" id="{801FA7C9-DDC8-BAFD-3AF8-498A7C5B7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7005A7" w14:paraId="6C41AB54" w14:textId="77777777" w:rsidTr="007005A7">
        <w:tc>
          <w:tcPr>
            <w:tcW w:w="8636" w:type="dxa"/>
            <w:gridSpan w:val="2"/>
          </w:tcPr>
          <w:p w14:paraId="1A69E9F9" w14:textId="2F6DAC12" w:rsidR="004822FA" w:rsidRPr="00C15A0D" w:rsidRDefault="007005A7" w:rsidP="00B92181">
            <w:pPr>
              <w:widowControl w:val="0"/>
              <w:spacing w:line="276" w:lineRule="auto"/>
              <w:jc w:val="center"/>
              <w:rPr>
                <w:rFonts w:ascii="Arial" w:eastAsia="Times New Roman" w:hAnsi="Arial" w:cs="Arial"/>
                <w:sz w:val="20"/>
                <w:szCs w:val="24"/>
              </w:rPr>
            </w:pPr>
            <w:r w:rsidRPr="00C71D47">
              <w:rPr>
                <w:rFonts w:ascii="Arial" w:eastAsia="Times New Roman" w:hAnsi="Arial" w:cs="Arial"/>
                <w:sz w:val="20"/>
                <w:szCs w:val="24"/>
              </w:rPr>
              <w:t xml:space="preserve">Figure 2.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radicle and plumule length</w:t>
            </w:r>
          </w:p>
        </w:tc>
      </w:tr>
    </w:tbl>
    <w:p w14:paraId="2E56A65C" w14:textId="77777777" w:rsidR="007005A7" w:rsidRPr="00C71D47" w:rsidRDefault="00DD5498" w:rsidP="00B92181">
      <w:pPr>
        <w:spacing w:line="276" w:lineRule="auto"/>
        <w:ind w:firstLine="567"/>
        <w:jc w:val="both"/>
        <w:rPr>
          <w:rFonts w:ascii="Arial" w:hAnsi="Arial" w:cs="Arial"/>
        </w:rPr>
      </w:pPr>
      <w:r>
        <w:rPr>
          <w:rFonts w:ascii="Arial" w:hAnsi="Arial" w:cs="Arial"/>
        </w:rPr>
        <w:t xml:space="preserve">At 0% </w:t>
      </w:r>
      <w:r w:rsidR="007005A7" w:rsidRPr="00C71D47">
        <w:rPr>
          <w:rFonts w:ascii="Arial" w:hAnsi="Arial" w:cs="Arial"/>
        </w:rPr>
        <w:t>allelopathic concentration, the radicle length was 8.13 cm, but it de</w:t>
      </w:r>
      <w:r>
        <w:rPr>
          <w:rFonts w:ascii="Arial" w:hAnsi="Arial" w:cs="Arial"/>
        </w:rPr>
        <w:t xml:space="preserve">clined to 6.26 cm at a 2.5% </w:t>
      </w:r>
      <w:r w:rsidR="007005A7" w:rsidRPr="00C71D47">
        <w:rPr>
          <w:rFonts w:ascii="Arial" w:hAnsi="Arial" w:cs="Arial"/>
        </w:rPr>
        <w:t>concentration. This indicates that an increase in allelopathic concentration t</w:t>
      </w:r>
      <w:r>
        <w:rPr>
          <w:rFonts w:ascii="Arial" w:hAnsi="Arial" w:cs="Arial"/>
        </w:rPr>
        <w:t xml:space="preserve">o 2.5% </w:t>
      </w:r>
      <w:r w:rsidR="007005A7" w:rsidRPr="00C71D47">
        <w:rPr>
          <w:rFonts w:ascii="Arial" w:hAnsi="Arial" w:cs="Arial"/>
        </w:rPr>
        <w:t xml:space="preserve">can reduce radicle length by approximately 1.87 cm. Similarly, the plumule length </w:t>
      </w:r>
      <w:r>
        <w:rPr>
          <w:rFonts w:ascii="Arial" w:hAnsi="Arial" w:cs="Arial"/>
        </w:rPr>
        <w:t>in the control treatment (0%</w:t>
      </w:r>
      <w:r w:rsidR="007005A7" w:rsidRPr="00C71D47">
        <w:rPr>
          <w:rFonts w:ascii="Arial" w:hAnsi="Arial" w:cs="Arial"/>
        </w:rPr>
        <w:t xml:space="preserve">) was 6.93 cm, which </w:t>
      </w:r>
      <w:r>
        <w:rPr>
          <w:rFonts w:ascii="Arial" w:hAnsi="Arial" w:cs="Arial"/>
        </w:rPr>
        <w:t xml:space="preserve">decreased to 5.76 cm at 2.5% </w:t>
      </w:r>
      <w:r w:rsidR="007005A7" w:rsidRPr="00C71D47">
        <w:rPr>
          <w:rFonts w:ascii="Arial" w:hAnsi="Arial" w:cs="Arial"/>
        </w:rPr>
        <w:t>concentration</w:t>
      </w:r>
      <w:r w:rsidR="004905CF">
        <w:rPr>
          <w:rFonts w:ascii="Arial" w:hAnsi="Arial" w:cs="Arial"/>
        </w:rPr>
        <w:t xml:space="preserve"> </w:t>
      </w:r>
      <w:r w:rsidR="007005A7" w:rsidRPr="00C71D47">
        <w:rPr>
          <w:rFonts w:ascii="Arial" w:hAnsi="Arial" w:cs="Arial"/>
        </w:rPr>
        <w:t>showing a reduction of 1.17 cm.</w:t>
      </w:r>
    </w:p>
    <w:p w14:paraId="4D38E02D" w14:textId="54E54554"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 xml:space="preserve">This study demonstrates that allelopathic compounds in </w:t>
      </w:r>
      <w:proofErr w:type="spellStart"/>
      <w:r w:rsidRPr="00C71D47">
        <w:rPr>
          <w:rFonts w:ascii="Arial" w:hAnsi="Arial" w:cs="Arial"/>
        </w:rPr>
        <w:t>cogongrass</w:t>
      </w:r>
      <w:proofErr w:type="spellEnd"/>
      <w:r w:rsidRPr="00C71D47">
        <w:rPr>
          <w:rFonts w:ascii="Arial" w:hAnsi="Arial" w:cs="Arial"/>
        </w:rPr>
        <w:t xml:space="preserve"> suppress the growth of radicles and plumules in cucumber seedlings. The inhibitory effect is primarily attributed to phenolic compounds in the extract, which disrupt root physiology (Kato-Noguchi </w:t>
      </w:r>
      <w:r w:rsidR="003A0BD8" w:rsidRPr="003A0BD8">
        <w:rPr>
          <w:rFonts w:ascii="Arial" w:hAnsi="Arial" w:cs="Arial"/>
          <w:i/>
          <w:iCs/>
        </w:rPr>
        <w:t>et al</w:t>
      </w:r>
      <w:r w:rsidRPr="00C71D47">
        <w:rPr>
          <w:rFonts w:ascii="Arial" w:hAnsi="Arial" w:cs="Arial"/>
        </w:rPr>
        <w:t xml:space="preserve">., 2020). These phenolics impair root cell membrane permeability, hindering water and nutrient uptake (Li </w:t>
      </w:r>
      <w:r w:rsidR="003A0BD8" w:rsidRPr="003A0BD8">
        <w:rPr>
          <w:rFonts w:ascii="Arial" w:hAnsi="Arial" w:cs="Arial"/>
          <w:i/>
          <w:iCs/>
        </w:rPr>
        <w:t>et al</w:t>
      </w:r>
      <w:r w:rsidRPr="00C71D47">
        <w:rPr>
          <w:rFonts w:ascii="Arial" w:hAnsi="Arial" w:cs="Arial"/>
        </w:rPr>
        <w:t xml:space="preserve">., 2019). Additionally, they damage cell walls and plasma membranes, leading to osmotic imbalance and disrupted cell-to-cell communication (Jabran </w:t>
      </w:r>
      <w:r w:rsidR="003A0BD8" w:rsidRPr="003A0BD8">
        <w:rPr>
          <w:rFonts w:ascii="Arial" w:hAnsi="Arial" w:cs="Arial"/>
          <w:i/>
          <w:iCs/>
        </w:rPr>
        <w:t>et al</w:t>
      </w:r>
      <w:r w:rsidRPr="00C71D47">
        <w:rPr>
          <w:rFonts w:ascii="Arial" w:hAnsi="Arial" w:cs="Arial"/>
        </w:rPr>
        <w:t xml:space="preserve">., 2018). As a result, radicle cell division and elongation are inhibited, slowing or even halting root growth (Scavo </w:t>
      </w:r>
      <w:r w:rsidR="003A0BD8" w:rsidRPr="003A0BD8">
        <w:rPr>
          <w:rFonts w:ascii="Arial" w:hAnsi="Arial" w:cs="Arial"/>
          <w:i/>
          <w:iCs/>
        </w:rPr>
        <w:t>et al</w:t>
      </w:r>
      <w:r w:rsidRPr="00C71D47">
        <w:rPr>
          <w:rFonts w:ascii="Arial" w:hAnsi="Arial" w:cs="Arial"/>
        </w:rPr>
        <w:t xml:space="preserve">., 2022). These findings align with </w:t>
      </w:r>
      <w:proofErr w:type="spellStart"/>
      <w:r w:rsidRPr="00C71D47">
        <w:rPr>
          <w:rFonts w:ascii="Arial" w:hAnsi="Arial" w:cs="Arial"/>
        </w:rPr>
        <w:t>Awata’s</w:t>
      </w:r>
      <w:proofErr w:type="spellEnd"/>
      <w:r w:rsidRPr="00C71D47">
        <w:rPr>
          <w:rFonts w:ascii="Arial" w:hAnsi="Arial" w:cs="Arial"/>
        </w:rPr>
        <w:t xml:space="preserve"> (2009) research, which reported that phenolic compounds in </w:t>
      </w:r>
      <w:proofErr w:type="spellStart"/>
      <w:r w:rsidRPr="00C71D47">
        <w:rPr>
          <w:rFonts w:ascii="Arial" w:hAnsi="Arial" w:cs="Arial"/>
        </w:rPr>
        <w:t>cogongrass</w:t>
      </w:r>
      <w:proofErr w:type="spellEnd"/>
      <w:r w:rsidRPr="00C71D47">
        <w:rPr>
          <w:rFonts w:ascii="Arial" w:hAnsi="Arial" w:cs="Arial"/>
        </w:rPr>
        <w:t xml:space="preserve"> can inhibit radicle growth in various invasive weed species.</w:t>
      </w:r>
    </w:p>
    <w:p w14:paraId="19FD0680" w14:textId="77777777"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U</w:t>
      </w:r>
      <w:r w:rsidR="00DD5498">
        <w:rPr>
          <w:rFonts w:ascii="Arial" w:hAnsi="Arial" w:cs="Arial"/>
        </w:rPr>
        <w:t xml:space="preserve">nder control conditions (0% </w:t>
      </w:r>
      <w:r w:rsidRPr="00C71D47">
        <w:rPr>
          <w:rFonts w:ascii="Arial" w:hAnsi="Arial" w:cs="Arial"/>
        </w:rPr>
        <w:t>concentration), plumule growth proceeded normally without any signs of inhibi</w:t>
      </w:r>
      <w:r w:rsidR="00DD5498">
        <w:rPr>
          <w:rFonts w:ascii="Arial" w:hAnsi="Arial" w:cs="Arial"/>
        </w:rPr>
        <w:t>tion. When exposed to a 2.5%</w:t>
      </w:r>
      <w:r w:rsidRPr="00C71D47">
        <w:rPr>
          <w:rFonts w:ascii="Arial" w:hAnsi="Arial" w:cs="Arial"/>
        </w:rPr>
        <w:t xml:space="preserve"> concentration of </w:t>
      </w:r>
      <w:proofErr w:type="spellStart"/>
      <w:r w:rsidRPr="00C71D47">
        <w:rPr>
          <w:rFonts w:ascii="Arial" w:hAnsi="Arial" w:cs="Arial"/>
        </w:rPr>
        <w:t>cogongrass</w:t>
      </w:r>
      <w:proofErr w:type="spellEnd"/>
      <w:r w:rsidRPr="00C71D47">
        <w:rPr>
          <w:rFonts w:ascii="Arial" w:hAnsi="Arial" w:cs="Arial"/>
        </w:rPr>
        <w:t xml:space="preserve"> extract, the suppression of plumule growth was relatively modest. However, a marked decline in plumule elongation was observed at </w:t>
      </w:r>
      <w:r w:rsidR="00DD5498">
        <w:rPr>
          <w:rFonts w:ascii="Arial" w:hAnsi="Arial" w:cs="Arial"/>
        </w:rPr>
        <w:t>higher concentrations of 5% and 10%</w:t>
      </w:r>
      <w:r w:rsidRPr="00C71D47">
        <w:rPr>
          <w:rFonts w:ascii="Arial" w:hAnsi="Arial" w:cs="Arial"/>
        </w:rPr>
        <w:t xml:space="preserve">. This suggests that the allelopathic effects of </w:t>
      </w:r>
      <w:proofErr w:type="spellStart"/>
      <w:r w:rsidRPr="00C71D47">
        <w:rPr>
          <w:rFonts w:ascii="Arial" w:hAnsi="Arial" w:cs="Arial"/>
        </w:rPr>
        <w:t>cogongrass</w:t>
      </w:r>
      <w:proofErr w:type="spellEnd"/>
      <w:r w:rsidRPr="00C71D47">
        <w:rPr>
          <w:rFonts w:ascii="Arial" w:hAnsi="Arial" w:cs="Arial"/>
        </w:rPr>
        <w:t xml:space="preserve"> are dose-dependent, becoming more pronounced with increasing extract concentration. This finding is consistent with the earlier work of Hussain and Abidi (1991), who documented that </w:t>
      </w:r>
      <w:proofErr w:type="spellStart"/>
      <w:r w:rsidRPr="00C71D47">
        <w:rPr>
          <w:rFonts w:ascii="Arial" w:hAnsi="Arial" w:cs="Arial"/>
        </w:rPr>
        <w:t>cogongrass</w:t>
      </w:r>
      <w:proofErr w:type="spellEnd"/>
      <w:r w:rsidRPr="00C71D47">
        <w:rPr>
          <w:rFonts w:ascii="Arial" w:hAnsi="Arial" w:cs="Arial"/>
        </w:rPr>
        <w:t xml:space="preserve"> contains potent allelochemicals capable of significantly inhibiting seed germination and the early growth stages of various plant species. </w:t>
      </w:r>
    </w:p>
    <w:p w14:paraId="1AEF2269" w14:textId="2478A8DE" w:rsidR="00712EAC" w:rsidRDefault="007005A7" w:rsidP="00712EAC">
      <w:pPr>
        <w:spacing w:line="276" w:lineRule="auto"/>
        <w:ind w:firstLine="567"/>
        <w:jc w:val="both"/>
        <w:rPr>
          <w:rFonts w:ascii="Arial" w:hAnsi="Arial" w:cs="Arial"/>
        </w:rPr>
      </w:pPr>
      <w:r w:rsidRPr="00C71D47">
        <w:rPr>
          <w:rFonts w:ascii="Arial" w:hAnsi="Arial" w:cs="Arial"/>
        </w:rPr>
        <w:lastRenderedPageBreak/>
        <w:t xml:space="preserve">The allelopathic influence is not limited to the suppression of plumule length but extends to disrupting the entire early development of seedlings. Recent studies have reinforced these conclusions. </w:t>
      </w:r>
      <w:r w:rsidR="00712EAC">
        <w:rPr>
          <w:rFonts w:ascii="Arial" w:hAnsi="Arial" w:cs="Arial"/>
        </w:rPr>
        <w:t>R</w:t>
      </w:r>
      <w:r w:rsidR="00712EAC" w:rsidRPr="00712EAC">
        <w:rPr>
          <w:rFonts w:ascii="Arial" w:hAnsi="Arial" w:cs="Arial"/>
        </w:rPr>
        <w:t xml:space="preserve">esearch by Suzuki </w:t>
      </w:r>
      <w:r w:rsidR="003A0BD8" w:rsidRPr="003A0BD8">
        <w:rPr>
          <w:rFonts w:ascii="Arial" w:hAnsi="Arial" w:cs="Arial"/>
          <w:i/>
          <w:iCs/>
        </w:rPr>
        <w:t>et al</w:t>
      </w:r>
      <w:r w:rsidR="00712EAC" w:rsidRPr="00712EAC">
        <w:rPr>
          <w:rFonts w:ascii="Arial" w:hAnsi="Arial" w:cs="Arial"/>
        </w:rPr>
        <w:t xml:space="preserve">. (2018) found that phenolic compounds and terpenoids present in </w:t>
      </w:r>
      <w:proofErr w:type="spellStart"/>
      <w:r w:rsidR="00712EAC" w:rsidRPr="00712EAC">
        <w:rPr>
          <w:rFonts w:ascii="Arial" w:hAnsi="Arial" w:cs="Arial"/>
        </w:rPr>
        <w:t>cogongrass</w:t>
      </w:r>
      <w:proofErr w:type="spellEnd"/>
      <w:r w:rsidR="00712EAC" w:rsidRPr="00712EAC">
        <w:rPr>
          <w:rFonts w:ascii="Arial" w:hAnsi="Arial" w:cs="Arial"/>
        </w:rPr>
        <w:t xml:space="preserve"> extract interfere with cell division and elongation processes in seedling tissues, leading to stunted plumule growth in rice and other crop. Their study confirmed that as the concentration of the allelopathic extract increases, the degree of inhibition also intensifies, particularly affecting the shoot system more than the root system.</w:t>
      </w:r>
    </w:p>
    <w:p w14:paraId="6307DBAD" w14:textId="77777777" w:rsidR="007005A7" w:rsidRPr="00C71D47" w:rsidRDefault="00C71D47" w:rsidP="00712EAC">
      <w:pPr>
        <w:spacing w:line="276" w:lineRule="auto"/>
        <w:jc w:val="both"/>
        <w:rPr>
          <w:rFonts w:ascii="Arial" w:hAnsi="Arial" w:cs="Arial"/>
          <w:b/>
        </w:rPr>
      </w:pPr>
      <w:r w:rsidRPr="00C71D47">
        <w:rPr>
          <w:rFonts w:ascii="Arial" w:hAnsi="Arial" w:cs="Arial"/>
          <w:b/>
        </w:rPr>
        <w:t xml:space="preserve">3.1.3 </w:t>
      </w:r>
      <w:r w:rsidR="007005A7" w:rsidRPr="00C71D47">
        <w:rPr>
          <w:rFonts w:ascii="Arial" w:hAnsi="Arial" w:cs="Arial"/>
          <w:b/>
        </w:rPr>
        <w:t>Dry Weight of Radicle and Plumule</w:t>
      </w:r>
    </w:p>
    <w:p w14:paraId="3F836B44" w14:textId="77777777" w:rsidR="007005A7" w:rsidRPr="004905CF" w:rsidRDefault="007005A7" w:rsidP="004905CF">
      <w:pPr>
        <w:pStyle w:val="ListParagraph"/>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Radicle dry weight is a crucial indicator of early plant growth, reflecting root system development and health. Since the radicle forms the primary root, its dry weight helps determine growth efficiency</w:t>
      </w:r>
      <w:r w:rsidR="004905CF">
        <w:rPr>
          <w:rFonts w:ascii="Arial" w:eastAsia="Times New Roman" w:hAnsi="Arial" w:cs="Arial"/>
          <w:sz w:val="20"/>
          <w:szCs w:val="20"/>
        </w:rPr>
        <w:t>. H</w:t>
      </w:r>
      <w:r w:rsidRPr="004905CF">
        <w:rPr>
          <w:rFonts w:ascii="Arial" w:eastAsia="Times New Roman" w:hAnsi="Arial" w:cs="Arial"/>
          <w:sz w:val="20"/>
          <w:szCs w:val="20"/>
        </w:rPr>
        <w:t>igher values suggest better nutrient absorption and root performance.</w:t>
      </w:r>
      <w:r w:rsidR="004905CF">
        <w:rPr>
          <w:rFonts w:ascii="Arial" w:eastAsia="Times New Roman" w:hAnsi="Arial" w:cs="Arial"/>
          <w:sz w:val="20"/>
          <w:szCs w:val="20"/>
        </w:rPr>
        <w:t xml:space="preserve"> </w:t>
      </w:r>
      <w:r w:rsidRPr="004905CF">
        <w:rPr>
          <w:rFonts w:ascii="Arial" w:hAnsi="Arial" w:cs="Arial"/>
          <w:sz w:val="20"/>
          <w:szCs w:val="20"/>
        </w:rPr>
        <w:t>Plumule dry weight is a key growth indicator, reflecting early shoot development since it forms the first stem and leaves. Higher values typically signal optimal growth and plant health, making it useful for assessing treatment effects in plant studies.</w:t>
      </w:r>
    </w:p>
    <w:p w14:paraId="2FB6ED5D" w14:textId="77777777" w:rsidR="002C1013" w:rsidRPr="00C15A0D" w:rsidRDefault="007005A7" w:rsidP="00C15A0D">
      <w:pPr>
        <w:pStyle w:val="ListParagraph"/>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 xml:space="preserve">The analysis of variance revealed that the allelopathic effects of </w:t>
      </w:r>
      <w:proofErr w:type="spellStart"/>
      <w:r w:rsidRPr="004905CF">
        <w:rPr>
          <w:rFonts w:ascii="Arial" w:eastAsia="Times New Roman" w:hAnsi="Arial" w:cs="Arial"/>
          <w:sz w:val="20"/>
          <w:szCs w:val="20"/>
        </w:rPr>
        <w:t>cogongrass</w:t>
      </w:r>
      <w:proofErr w:type="spellEnd"/>
      <w:r w:rsidRPr="004905CF">
        <w:rPr>
          <w:rFonts w:ascii="Arial" w:eastAsia="Times New Roman" w:hAnsi="Arial" w:cs="Arial"/>
          <w:sz w:val="20"/>
          <w:szCs w:val="20"/>
        </w:rPr>
        <w:t xml:space="preserve"> had a highly significant impact in decreasing the dry weights of the radicle, plumule, and overall seedling biomass (Figure 3). </w:t>
      </w:r>
      <w:r w:rsidR="004905CF" w:rsidRPr="004905CF">
        <w:rPr>
          <w:rFonts w:ascii="Arial" w:eastAsia="Times New Roman" w:hAnsi="Arial" w:cs="Arial"/>
          <w:sz w:val="20"/>
          <w:szCs w:val="20"/>
        </w:rPr>
        <w:t>There was a concentration-dependent linear reduction in these growth measurements.</w:t>
      </w:r>
    </w:p>
    <w:tbl>
      <w:tblPr>
        <w:tblStyle w:val="TableGrid"/>
        <w:tblW w:w="9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3680"/>
        <w:gridCol w:w="1096"/>
      </w:tblGrid>
      <w:tr w:rsidR="007005A7" w14:paraId="510D92EA" w14:textId="77777777" w:rsidTr="00F056DE">
        <w:trPr>
          <w:trHeight w:val="742"/>
          <w:jc w:val="center"/>
        </w:trPr>
        <w:tc>
          <w:tcPr>
            <w:tcW w:w="4956" w:type="dxa"/>
          </w:tcPr>
          <w:p w14:paraId="17BCE493" w14:textId="77777777" w:rsidR="007005A7" w:rsidRDefault="007005A7" w:rsidP="007005A7">
            <w:pPr>
              <w:pStyle w:val="ListParagraph"/>
              <w:widowControl w:val="0"/>
              <w:tabs>
                <w:tab w:val="left" w:pos="709"/>
              </w:tabs>
              <w:spacing w:line="276" w:lineRule="auto"/>
              <w:ind w:left="0"/>
              <w:jc w:val="center"/>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3C7A7647" wp14:editId="41184AEC">
                  <wp:extent cx="2880000" cy="1440000"/>
                  <wp:effectExtent l="0" t="0" r="15875" b="8255"/>
                  <wp:docPr id="3" name="Chart 3">
                    <a:extLst xmlns:a="http://schemas.openxmlformats.org/drawingml/2006/main">
                      <a:ext uri="{FF2B5EF4-FFF2-40B4-BE49-F238E27FC236}">
                        <a16:creationId xmlns:a16="http://schemas.microsoft.com/office/drawing/2014/main" id="{69018607-241F-9626-924D-C577D5F67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99A26F" w14:textId="77777777" w:rsidR="007005A7" w:rsidRPr="00F056DE" w:rsidRDefault="007005A7" w:rsidP="007005A7">
            <w:pPr>
              <w:pStyle w:val="ListParagraph"/>
              <w:widowControl w:val="0"/>
              <w:tabs>
                <w:tab w:val="left" w:pos="709"/>
              </w:tabs>
              <w:spacing w:line="276" w:lineRule="auto"/>
              <w:ind w:left="0"/>
              <w:jc w:val="center"/>
              <w:rPr>
                <w:rFonts w:ascii="Arial" w:eastAsia="Times New Roman" w:hAnsi="Arial" w:cs="Arial"/>
                <w:sz w:val="20"/>
                <w:szCs w:val="20"/>
              </w:rPr>
            </w:pPr>
            <w:r w:rsidRPr="00F056DE">
              <w:rPr>
                <w:rFonts w:ascii="Arial" w:eastAsia="Times New Roman" w:hAnsi="Arial" w:cs="Arial"/>
                <w:sz w:val="20"/>
                <w:szCs w:val="24"/>
              </w:rPr>
              <w:t>A</w:t>
            </w:r>
          </w:p>
        </w:tc>
        <w:tc>
          <w:tcPr>
            <w:tcW w:w="4776" w:type="dxa"/>
            <w:gridSpan w:val="2"/>
          </w:tcPr>
          <w:p w14:paraId="54F95DA8" w14:textId="77777777" w:rsidR="007005A7" w:rsidRDefault="007005A7" w:rsidP="007005A7">
            <w:pPr>
              <w:pStyle w:val="ListParagraph"/>
              <w:widowControl w:val="0"/>
              <w:tabs>
                <w:tab w:val="left" w:pos="709"/>
              </w:tabs>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5BFF245D" wp14:editId="6622DB73">
                  <wp:extent cx="2880000" cy="1440000"/>
                  <wp:effectExtent l="0" t="0" r="15875" b="8255"/>
                  <wp:docPr id="2127911522" name="Chart 2127911522">
                    <a:extLst xmlns:a="http://schemas.openxmlformats.org/drawingml/2006/main">
                      <a:ext uri="{FF2B5EF4-FFF2-40B4-BE49-F238E27FC236}">
                        <a16:creationId xmlns:a16="http://schemas.microsoft.com/office/drawing/2014/main" id="{92F3247E-5B38-E7F0-F818-775775A15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8ACDFE" w14:textId="77777777" w:rsidR="007005A7" w:rsidRPr="00F056DE" w:rsidRDefault="007005A7" w:rsidP="007005A7">
            <w:pPr>
              <w:pStyle w:val="ListParagraph"/>
              <w:widowControl w:val="0"/>
              <w:tabs>
                <w:tab w:val="left" w:pos="709"/>
              </w:tabs>
              <w:spacing w:line="276" w:lineRule="auto"/>
              <w:ind w:left="0"/>
              <w:jc w:val="center"/>
              <w:rPr>
                <w:rFonts w:ascii="Arial" w:eastAsia="Times New Roman" w:hAnsi="Arial" w:cs="Arial"/>
                <w:sz w:val="24"/>
                <w:szCs w:val="24"/>
              </w:rPr>
            </w:pPr>
            <w:r w:rsidRPr="00F056DE">
              <w:rPr>
                <w:rFonts w:ascii="Arial" w:eastAsia="Times New Roman" w:hAnsi="Arial" w:cs="Arial"/>
                <w:sz w:val="20"/>
                <w:szCs w:val="24"/>
              </w:rPr>
              <w:t>B</w:t>
            </w:r>
          </w:p>
        </w:tc>
      </w:tr>
      <w:tr w:rsidR="007005A7" w14:paraId="6E20FEF7" w14:textId="77777777" w:rsidTr="00F056DE">
        <w:tblPrEx>
          <w:jc w:val="left"/>
        </w:tblPrEx>
        <w:trPr>
          <w:gridAfter w:val="1"/>
          <w:wAfter w:w="1096" w:type="dxa"/>
        </w:trPr>
        <w:tc>
          <w:tcPr>
            <w:tcW w:w="8636" w:type="dxa"/>
            <w:gridSpan w:val="2"/>
          </w:tcPr>
          <w:p w14:paraId="10CA0EC6" w14:textId="77777777" w:rsidR="007005A7" w:rsidRDefault="00F056DE" w:rsidP="008A6081">
            <w:pPr>
              <w:widowControl w:val="0"/>
              <w:spacing w:line="276" w:lineRule="auto"/>
              <w:jc w:val="center"/>
              <w:rPr>
                <w:rFonts w:ascii="Times New Roman" w:eastAsia="Times New Roman" w:hAnsi="Times New Roman"/>
                <w:sz w:val="24"/>
                <w:szCs w:val="24"/>
              </w:rPr>
            </w:pPr>
            <w:r w:rsidRPr="001B55CB">
              <w:rPr>
                <w:rFonts w:ascii="Times New Roman" w:hAnsi="Times New Roman"/>
                <w:noProof/>
                <w:sz w:val="24"/>
                <w:szCs w:val="24"/>
              </w:rPr>
              <w:drawing>
                <wp:anchor distT="0" distB="0" distL="114300" distR="114300" simplePos="0" relativeHeight="251657728" behindDoc="0" locked="0" layoutInCell="1" allowOverlap="1" wp14:anchorId="6249B88C" wp14:editId="4139B0AB">
                  <wp:simplePos x="0" y="0"/>
                  <wp:positionH relativeFrom="column">
                    <wp:posOffset>1186815</wp:posOffset>
                  </wp:positionH>
                  <wp:positionV relativeFrom="paragraph">
                    <wp:posOffset>24130</wp:posOffset>
                  </wp:positionV>
                  <wp:extent cx="2984500" cy="1485900"/>
                  <wp:effectExtent l="0" t="0" r="25400" b="19050"/>
                  <wp:wrapNone/>
                  <wp:docPr id="2127911528" name="Chart 2127911528">
                    <a:extLst xmlns:a="http://schemas.openxmlformats.org/drawingml/2006/main">
                      <a:ext uri="{FF2B5EF4-FFF2-40B4-BE49-F238E27FC236}">
                        <a16:creationId xmlns:a16="http://schemas.microsoft.com/office/drawing/2014/main" id="{7821D925-2083-BBDD-91D1-42D1ECA28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2A58DC2" w14:textId="77777777" w:rsidR="007005A7" w:rsidRDefault="007005A7" w:rsidP="008A6081">
            <w:pPr>
              <w:widowControl w:val="0"/>
              <w:spacing w:line="276" w:lineRule="auto"/>
              <w:jc w:val="center"/>
              <w:rPr>
                <w:rFonts w:ascii="Times New Roman" w:eastAsia="Times New Roman" w:hAnsi="Times New Roman"/>
                <w:sz w:val="24"/>
                <w:szCs w:val="24"/>
              </w:rPr>
            </w:pPr>
          </w:p>
          <w:p w14:paraId="143C1E6D" w14:textId="77777777" w:rsidR="007005A7" w:rsidRDefault="007005A7" w:rsidP="008A6081">
            <w:pPr>
              <w:widowControl w:val="0"/>
              <w:spacing w:line="276" w:lineRule="auto"/>
              <w:jc w:val="center"/>
              <w:rPr>
                <w:rFonts w:ascii="Times New Roman" w:eastAsia="Times New Roman" w:hAnsi="Times New Roman"/>
                <w:sz w:val="24"/>
                <w:szCs w:val="24"/>
              </w:rPr>
            </w:pPr>
          </w:p>
          <w:p w14:paraId="6167F1FE" w14:textId="77777777" w:rsidR="007005A7" w:rsidRDefault="007005A7" w:rsidP="008A6081">
            <w:pPr>
              <w:widowControl w:val="0"/>
              <w:spacing w:line="276" w:lineRule="auto"/>
              <w:jc w:val="center"/>
              <w:rPr>
                <w:rFonts w:ascii="Times New Roman" w:eastAsia="Times New Roman" w:hAnsi="Times New Roman"/>
                <w:sz w:val="24"/>
                <w:szCs w:val="24"/>
              </w:rPr>
            </w:pPr>
          </w:p>
          <w:p w14:paraId="6BBB9887" w14:textId="77777777" w:rsidR="007005A7" w:rsidRDefault="007005A7" w:rsidP="008A6081">
            <w:pPr>
              <w:widowControl w:val="0"/>
              <w:spacing w:line="276" w:lineRule="auto"/>
              <w:jc w:val="center"/>
              <w:rPr>
                <w:rFonts w:ascii="Times New Roman" w:eastAsia="Times New Roman" w:hAnsi="Times New Roman"/>
                <w:sz w:val="24"/>
                <w:szCs w:val="24"/>
              </w:rPr>
            </w:pPr>
          </w:p>
          <w:p w14:paraId="16D76B88"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6144F6E1"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2DBFF19A" w14:textId="77777777" w:rsidR="00F056DE" w:rsidRDefault="00F056DE" w:rsidP="008A6081">
            <w:pPr>
              <w:widowControl w:val="0"/>
              <w:spacing w:line="276" w:lineRule="auto"/>
              <w:jc w:val="center"/>
              <w:rPr>
                <w:rFonts w:ascii="Arial" w:eastAsia="Times New Roman" w:hAnsi="Arial" w:cs="Arial"/>
                <w:sz w:val="20"/>
                <w:szCs w:val="24"/>
              </w:rPr>
            </w:pPr>
          </w:p>
          <w:p w14:paraId="37A46EF2" w14:textId="77777777" w:rsidR="00F056DE" w:rsidRDefault="00F056DE" w:rsidP="008A6081">
            <w:pPr>
              <w:widowControl w:val="0"/>
              <w:spacing w:line="276" w:lineRule="auto"/>
              <w:jc w:val="center"/>
              <w:rPr>
                <w:rFonts w:ascii="Arial" w:eastAsia="Times New Roman" w:hAnsi="Arial" w:cs="Arial"/>
                <w:sz w:val="20"/>
                <w:szCs w:val="24"/>
              </w:rPr>
            </w:pPr>
            <w:r>
              <w:rPr>
                <w:rFonts w:ascii="Arial" w:eastAsia="Times New Roman" w:hAnsi="Arial" w:cs="Arial"/>
                <w:sz w:val="20"/>
                <w:szCs w:val="24"/>
              </w:rPr>
              <w:t>C</w:t>
            </w:r>
          </w:p>
          <w:p w14:paraId="3A411720" w14:textId="77777777" w:rsidR="007005A7" w:rsidRPr="00DF5968" w:rsidRDefault="007005A7" w:rsidP="008A6081">
            <w:pPr>
              <w:widowControl w:val="0"/>
              <w:spacing w:line="276" w:lineRule="auto"/>
              <w:jc w:val="center"/>
              <w:rPr>
                <w:rFonts w:ascii="Times New Roman" w:eastAsia="Times New Roman" w:hAnsi="Times New Roman"/>
                <w:b/>
                <w:color w:val="FF0000"/>
                <w:sz w:val="24"/>
                <w:szCs w:val="24"/>
              </w:rPr>
            </w:pPr>
            <w:r w:rsidRPr="00C71D47">
              <w:rPr>
                <w:rFonts w:ascii="Arial" w:eastAsia="Times New Roman" w:hAnsi="Arial" w:cs="Arial"/>
                <w:sz w:val="20"/>
                <w:szCs w:val="24"/>
              </w:rPr>
              <w:t xml:space="preserve">Figure 3.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dry weight </w:t>
            </w:r>
            <w:r w:rsidR="008A6081">
              <w:rPr>
                <w:rFonts w:ascii="Arial" w:eastAsia="Times New Roman" w:hAnsi="Arial" w:cs="Arial"/>
                <w:sz w:val="20"/>
                <w:szCs w:val="24"/>
              </w:rPr>
              <w:t xml:space="preserve">of </w:t>
            </w:r>
            <w:r w:rsidRPr="00C71D47">
              <w:rPr>
                <w:rFonts w:ascii="Arial" w:eastAsia="Times New Roman" w:hAnsi="Arial" w:cs="Arial"/>
                <w:sz w:val="20"/>
                <w:szCs w:val="24"/>
              </w:rPr>
              <w:t xml:space="preserve">radicle (A), plumule </w:t>
            </w:r>
            <w:r w:rsidR="008A6081">
              <w:rPr>
                <w:rFonts w:ascii="Arial" w:eastAsia="Times New Roman" w:hAnsi="Arial" w:cs="Arial"/>
                <w:sz w:val="20"/>
                <w:szCs w:val="24"/>
              </w:rPr>
              <w:t xml:space="preserve">dry weight </w:t>
            </w:r>
            <w:r w:rsidRPr="00C71D47">
              <w:rPr>
                <w:rFonts w:ascii="Arial" w:eastAsia="Times New Roman" w:hAnsi="Arial" w:cs="Arial"/>
                <w:sz w:val="20"/>
                <w:szCs w:val="24"/>
              </w:rPr>
              <w:t>(B), and total dry weight (C)</w:t>
            </w:r>
          </w:p>
        </w:tc>
      </w:tr>
    </w:tbl>
    <w:p w14:paraId="02E2297E" w14:textId="77777777" w:rsidR="0065498E" w:rsidRDefault="00DD5498" w:rsidP="0065498E">
      <w:pPr>
        <w:pStyle w:val="ListParagraph"/>
        <w:widowControl w:val="0"/>
        <w:spacing w:after="0" w:line="276" w:lineRule="auto"/>
        <w:ind w:left="0" w:firstLine="567"/>
        <w:jc w:val="both"/>
        <w:rPr>
          <w:rFonts w:ascii="Arial" w:hAnsi="Arial" w:cs="Arial"/>
          <w:color w:val="000000"/>
          <w:sz w:val="20"/>
          <w:szCs w:val="24"/>
        </w:rPr>
      </w:pPr>
      <w:r>
        <w:rPr>
          <w:rFonts w:ascii="Arial" w:hAnsi="Arial" w:cs="Arial"/>
          <w:color w:val="000000"/>
          <w:sz w:val="20"/>
          <w:szCs w:val="24"/>
        </w:rPr>
        <w:t xml:space="preserve">At the control treatment (0% </w:t>
      </w:r>
      <w:r w:rsidR="007005A7" w:rsidRPr="00F056DE">
        <w:rPr>
          <w:rFonts w:ascii="Arial" w:hAnsi="Arial" w:cs="Arial"/>
          <w:color w:val="000000"/>
          <w:sz w:val="20"/>
          <w:szCs w:val="24"/>
        </w:rPr>
        <w:t>concentration), the radicle dry weight was recorded at 27.4 mg. However, when treated wi</w:t>
      </w:r>
      <w:r>
        <w:rPr>
          <w:rFonts w:ascii="Arial" w:hAnsi="Arial" w:cs="Arial"/>
          <w:color w:val="000000"/>
          <w:sz w:val="20"/>
          <w:szCs w:val="24"/>
        </w:rPr>
        <w:t xml:space="preserve">th a 2.5% </w:t>
      </w:r>
      <w:r w:rsidR="007005A7" w:rsidRPr="00F056DE">
        <w:rPr>
          <w:rFonts w:ascii="Arial" w:hAnsi="Arial" w:cs="Arial"/>
          <w:color w:val="000000"/>
          <w:sz w:val="20"/>
          <w:szCs w:val="24"/>
        </w:rPr>
        <w:t xml:space="preserve">concentration of </w:t>
      </w:r>
      <w:proofErr w:type="spellStart"/>
      <w:r w:rsidR="007005A7" w:rsidRPr="00F056DE">
        <w:rPr>
          <w:rFonts w:ascii="Arial" w:hAnsi="Arial" w:cs="Arial"/>
          <w:color w:val="000000"/>
          <w:sz w:val="20"/>
          <w:szCs w:val="24"/>
        </w:rPr>
        <w:t>cogongrass</w:t>
      </w:r>
      <w:proofErr w:type="spellEnd"/>
      <w:r w:rsidR="007005A7" w:rsidRPr="00F056DE">
        <w:rPr>
          <w:rFonts w:ascii="Arial" w:hAnsi="Arial" w:cs="Arial"/>
          <w:color w:val="000000"/>
          <w:sz w:val="20"/>
          <w:szCs w:val="24"/>
        </w:rPr>
        <w:t xml:space="preserve"> extract, this value declined to 24.2 mg, indicating a reducti</w:t>
      </w:r>
      <w:r>
        <w:rPr>
          <w:rFonts w:ascii="Arial" w:hAnsi="Arial" w:cs="Arial"/>
          <w:color w:val="000000"/>
          <w:sz w:val="20"/>
          <w:szCs w:val="24"/>
        </w:rPr>
        <w:t xml:space="preserve">on of 3.2 mg for every 2.5% </w:t>
      </w:r>
      <w:r w:rsidR="007005A7" w:rsidRPr="00F056DE">
        <w:rPr>
          <w:rFonts w:ascii="Arial" w:hAnsi="Arial" w:cs="Arial"/>
          <w:color w:val="000000"/>
          <w:sz w:val="20"/>
          <w:szCs w:val="24"/>
        </w:rPr>
        <w:t>increase in extract concentration. Similarly, the dry weight of the plumule d</w:t>
      </w:r>
      <w:r>
        <w:rPr>
          <w:rFonts w:ascii="Arial" w:hAnsi="Arial" w:cs="Arial"/>
          <w:color w:val="000000"/>
          <w:sz w:val="20"/>
          <w:szCs w:val="24"/>
        </w:rPr>
        <w:t>ecreased from 155.7 mg at 0%</w:t>
      </w:r>
      <w:r w:rsidR="007005A7" w:rsidRPr="00F056DE">
        <w:rPr>
          <w:rFonts w:ascii="Arial" w:hAnsi="Arial" w:cs="Arial"/>
          <w:color w:val="000000"/>
          <w:sz w:val="20"/>
          <w:szCs w:val="24"/>
        </w:rPr>
        <w:t xml:space="preserve"> concentrati</w:t>
      </w:r>
      <w:r>
        <w:rPr>
          <w:rFonts w:ascii="Arial" w:hAnsi="Arial" w:cs="Arial"/>
          <w:color w:val="000000"/>
          <w:sz w:val="20"/>
          <w:szCs w:val="24"/>
        </w:rPr>
        <w:t xml:space="preserve">on to 144.8 mg at 2.5%, </w:t>
      </w:r>
      <w:r w:rsidR="007005A7" w:rsidRPr="00F056DE">
        <w:rPr>
          <w:rFonts w:ascii="Arial" w:hAnsi="Arial" w:cs="Arial"/>
          <w:color w:val="000000"/>
          <w:sz w:val="20"/>
          <w:szCs w:val="24"/>
        </w:rPr>
        <w:t>representing a reduction of 10.9 mg</w:t>
      </w:r>
      <w:r w:rsidR="0065498E">
        <w:rPr>
          <w:rFonts w:ascii="Arial" w:hAnsi="Arial" w:cs="Arial"/>
          <w:color w:val="000000"/>
          <w:sz w:val="20"/>
          <w:szCs w:val="24"/>
        </w:rPr>
        <w:t>. This study showed</w:t>
      </w:r>
      <w:r w:rsidR="0065498E" w:rsidRPr="0065498E">
        <w:rPr>
          <w:rFonts w:ascii="Arial" w:hAnsi="Arial" w:cs="Arial"/>
          <w:color w:val="000000"/>
          <w:sz w:val="20"/>
          <w:szCs w:val="24"/>
        </w:rPr>
        <w:t xml:space="preserve"> </w:t>
      </w:r>
      <w:r w:rsidR="0065498E" w:rsidRPr="0065498E">
        <w:rPr>
          <w:rFonts w:ascii="Arial" w:hAnsi="Arial" w:cs="Arial"/>
          <w:color w:val="000000"/>
          <w:sz w:val="20"/>
          <w:szCs w:val="24"/>
        </w:rPr>
        <w:lastRenderedPageBreak/>
        <w:t xml:space="preserve">that the inhibitory effect of </w:t>
      </w:r>
      <w:proofErr w:type="spellStart"/>
      <w:r w:rsidR="0065498E" w:rsidRPr="0065498E">
        <w:rPr>
          <w:rFonts w:ascii="Arial" w:hAnsi="Arial" w:cs="Arial"/>
          <w:color w:val="000000"/>
          <w:sz w:val="20"/>
          <w:szCs w:val="24"/>
        </w:rPr>
        <w:t>cogongrass</w:t>
      </w:r>
      <w:proofErr w:type="spellEnd"/>
      <w:r w:rsidR="0065498E" w:rsidRPr="0065498E">
        <w:rPr>
          <w:rFonts w:ascii="Arial" w:hAnsi="Arial" w:cs="Arial"/>
          <w:color w:val="000000"/>
          <w:sz w:val="20"/>
          <w:szCs w:val="24"/>
        </w:rPr>
        <w:t xml:space="preserve"> allelopathic compounds on seedling biomass increases proportionally with concentration."</w:t>
      </w:r>
    </w:p>
    <w:p w14:paraId="395E7FA5" w14:textId="6B8CC117" w:rsidR="00712EAC" w:rsidRPr="00712EAC" w:rsidRDefault="007005A7" w:rsidP="00712EAC">
      <w:pPr>
        <w:pStyle w:val="ListParagraph"/>
        <w:widowControl w:val="0"/>
        <w:spacing w:after="0" w:line="276" w:lineRule="auto"/>
        <w:ind w:left="0" w:firstLine="567"/>
        <w:jc w:val="both"/>
        <w:rPr>
          <w:rFonts w:ascii="Arial" w:hAnsi="Arial" w:cs="Arial"/>
          <w:sz w:val="20"/>
          <w:szCs w:val="24"/>
        </w:rPr>
      </w:pPr>
      <w:r w:rsidRPr="003310F4">
        <w:rPr>
          <w:rFonts w:ascii="Arial" w:hAnsi="Arial" w:cs="Arial"/>
          <w:color w:val="000000"/>
          <w:sz w:val="20"/>
          <w:szCs w:val="24"/>
        </w:rPr>
        <w:t xml:space="preserve">This inhibitory trend can be attributed to the presence of allelochemicals primarily phenolic acids and terpenoids which interfere with metabolic processes such as protein synthesis, cell elongation, and nutrient uptake in young plant tissues. As supported by Afzal </w:t>
      </w:r>
      <w:r w:rsidR="003A0BD8" w:rsidRPr="003A0BD8">
        <w:rPr>
          <w:rFonts w:ascii="Arial" w:hAnsi="Arial" w:cs="Arial"/>
          <w:i/>
          <w:iCs/>
          <w:color w:val="000000"/>
          <w:sz w:val="20"/>
          <w:szCs w:val="24"/>
        </w:rPr>
        <w:t>et al</w:t>
      </w:r>
      <w:r w:rsidR="003310F4" w:rsidRPr="003310F4">
        <w:rPr>
          <w:rFonts w:ascii="Arial" w:hAnsi="Arial" w:cs="Arial"/>
          <w:color w:val="000000"/>
          <w:sz w:val="20"/>
          <w:szCs w:val="24"/>
        </w:rPr>
        <w:t>. (2000), aqueous extracts of</w:t>
      </w:r>
      <w:r w:rsidRPr="003310F4">
        <w:rPr>
          <w:rFonts w:ascii="Arial" w:hAnsi="Arial" w:cs="Arial"/>
          <w:color w:val="000000"/>
          <w:sz w:val="20"/>
          <w:szCs w:val="24"/>
        </w:rPr>
        <w:t xml:space="preserve"> </w:t>
      </w:r>
      <w:proofErr w:type="spellStart"/>
      <w:r w:rsidRPr="003310F4">
        <w:rPr>
          <w:rFonts w:ascii="Arial" w:hAnsi="Arial" w:cs="Arial"/>
          <w:color w:val="000000"/>
          <w:sz w:val="20"/>
          <w:szCs w:val="24"/>
        </w:rPr>
        <w:t>cogongrass</w:t>
      </w:r>
      <w:proofErr w:type="spellEnd"/>
      <w:r w:rsidRPr="003310F4">
        <w:rPr>
          <w:rFonts w:ascii="Arial" w:hAnsi="Arial" w:cs="Arial"/>
          <w:color w:val="000000"/>
          <w:sz w:val="20"/>
          <w:szCs w:val="24"/>
        </w:rPr>
        <w:t xml:space="preserve"> shoots significantly inhibited radicle and plumule development in </w:t>
      </w:r>
      <w:proofErr w:type="spellStart"/>
      <w:r w:rsidRPr="003310F4">
        <w:rPr>
          <w:rFonts w:ascii="Arial" w:hAnsi="Arial" w:cs="Arial"/>
          <w:color w:val="000000"/>
          <w:sz w:val="20"/>
          <w:szCs w:val="24"/>
        </w:rPr>
        <w:t>mungbean</w:t>
      </w:r>
      <w:proofErr w:type="spellEnd"/>
      <w:r w:rsidRPr="003310F4">
        <w:rPr>
          <w:rFonts w:ascii="Arial" w:hAnsi="Arial" w:cs="Arial"/>
          <w:color w:val="000000"/>
          <w:sz w:val="20"/>
          <w:szCs w:val="24"/>
        </w:rPr>
        <w:t xml:space="preserve"> (</w:t>
      </w:r>
      <w:r w:rsidRPr="003310F4">
        <w:rPr>
          <w:rFonts w:ascii="Arial" w:hAnsi="Arial" w:cs="Arial"/>
          <w:i/>
          <w:color w:val="000000"/>
          <w:sz w:val="20"/>
          <w:szCs w:val="24"/>
        </w:rPr>
        <w:t xml:space="preserve">Vigna radiate </w:t>
      </w:r>
      <w:r w:rsidRPr="003310F4">
        <w:rPr>
          <w:rFonts w:ascii="Arial" w:hAnsi="Arial" w:cs="Arial"/>
          <w:color w:val="000000"/>
          <w:sz w:val="20"/>
          <w:szCs w:val="24"/>
        </w:rPr>
        <w:t>L.), not only in terms of length but also in dry biomass accumul</w:t>
      </w:r>
      <w:r w:rsidR="003310F4">
        <w:rPr>
          <w:rFonts w:ascii="Arial" w:hAnsi="Arial" w:cs="Arial"/>
          <w:color w:val="000000"/>
          <w:sz w:val="20"/>
          <w:szCs w:val="24"/>
        </w:rPr>
        <w:t xml:space="preserve">ation. </w:t>
      </w:r>
      <w:r w:rsidR="00712EAC" w:rsidRPr="00712EAC">
        <w:rPr>
          <w:rFonts w:ascii="Arial" w:hAnsi="Arial" w:cs="Arial"/>
          <w:sz w:val="20"/>
          <w:szCs w:val="24"/>
        </w:rPr>
        <w:t>More recent findings by (</w:t>
      </w:r>
      <w:proofErr w:type="spellStart"/>
      <w:r w:rsidR="00712EAC" w:rsidRPr="00712EAC">
        <w:rPr>
          <w:rFonts w:ascii="Arial" w:hAnsi="Arial" w:cs="Arial"/>
          <w:sz w:val="20"/>
          <w:szCs w:val="24"/>
        </w:rPr>
        <w:t>Pudełko</w:t>
      </w:r>
      <w:proofErr w:type="spellEnd"/>
      <w:r w:rsidR="00712EAC" w:rsidRPr="00712EAC">
        <w:rPr>
          <w:rFonts w:ascii="Arial" w:hAnsi="Arial" w:cs="Arial"/>
          <w:sz w:val="20"/>
          <w:szCs w:val="24"/>
        </w:rPr>
        <w:t xml:space="preserve"> </w:t>
      </w:r>
      <w:r w:rsidR="003A0BD8" w:rsidRPr="003A0BD8">
        <w:rPr>
          <w:rFonts w:ascii="Arial" w:hAnsi="Arial" w:cs="Arial"/>
          <w:i/>
          <w:iCs/>
          <w:sz w:val="20"/>
          <w:szCs w:val="24"/>
        </w:rPr>
        <w:t>et al</w:t>
      </w:r>
      <w:r w:rsidR="00712EAC" w:rsidRPr="00712EAC">
        <w:rPr>
          <w:rFonts w:ascii="Arial" w:hAnsi="Arial" w:cs="Arial"/>
          <w:sz w:val="20"/>
          <w:szCs w:val="24"/>
        </w:rPr>
        <w:t xml:space="preserve">., 2014) strengthen this conclusion by showing that increasing concentrations of </w:t>
      </w:r>
      <w:proofErr w:type="spellStart"/>
      <w:r w:rsidR="00712EAC" w:rsidRPr="00712EAC">
        <w:rPr>
          <w:rFonts w:ascii="Arial" w:hAnsi="Arial" w:cs="Arial"/>
          <w:sz w:val="20"/>
          <w:szCs w:val="24"/>
        </w:rPr>
        <w:t>cogongrass</w:t>
      </w:r>
      <w:proofErr w:type="spellEnd"/>
      <w:r w:rsidR="00712EAC" w:rsidRPr="00712EAC">
        <w:rPr>
          <w:rFonts w:ascii="Arial" w:hAnsi="Arial" w:cs="Arial"/>
          <w:sz w:val="20"/>
          <w:szCs w:val="24"/>
        </w:rPr>
        <w:t xml:space="preserve"> extract led to a consistent decrease in seedling biomass in maize and soybeans. The allelopathic action is attributed to disrupting enzymatic activities necessary for cell wall formation and energy transfer during seedling establishment.</w:t>
      </w:r>
    </w:p>
    <w:p w14:paraId="7953B19C" w14:textId="38C0D876" w:rsidR="007005A7" w:rsidRDefault="007005A7" w:rsidP="00712EAC">
      <w:pPr>
        <w:pStyle w:val="ListParagraph"/>
        <w:widowControl w:val="0"/>
        <w:spacing w:after="0" w:line="276" w:lineRule="auto"/>
        <w:ind w:left="0" w:firstLine="567"/>
        <w:jc w:val="both"/>
        <w:rPr>
          <w:rFonts w:ascii="Arial" w:eastAsia="Times New Roman" w:hAnsi="Arial" w:cs="Arial"/>
          <w:sz w:val="20"/>
          <w:szCs w:val="24"/>
        </w:rPr>
      </w:pPr>
      <w:r w:rsidRPr="00F056DE">
        <w:rPr>
          <w:rFonts w:ascii="Arial" w:eastAsia="Times New Roman" w:hAnsi="Arial" w:cs="Arial"/>
          <w:sz w:val="20"/>
          <w:szCs w:val="24"/>
        </w:rPr>
        <w:t xml:space="preserve">Total dry weight observation (combined plumule and radicle dry weight) serves as a critical parameter for assessing overall early plant growth. This measurement is widely used in research to evaluate comprehensive plant growth and development. Higher total dry weight typically indicates optimal growth and balanced shoot-root development, making it a reliable indicator for analyzing treatment effects in plant development studies.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allelopathy significantly affected cucumber total </w:t>
      </w:r>
      <w:r w:rsidR="00DD5498">
        <w:rPr>
          <w:rFonts w:ascii="Arial" w:eastAsia="Times New Roman" w:hAnsi="Arial" w:cs="Arial"/>
          <w:sz w:val="20"/>
          <w:szCs w:val="24"/>
        </w:rPr>
        <w:t>dry weight (p &lt; 0.01). At 0%</w:t>
      </w:r>
      <w:r w:rsidRPr="00F056DE">
        <w:rPr>
          <w:rFonts w:ascii="Arial" w:eastAsia="Times New Roman" w:hAnsi="Arial" w:cs="Arial"/>
          <w:sz w:val="20"/>
          <w:szCs w:val="24"/>
        </w:rPr>
        <w:t xml:space="preserve"> extract concentration, the plumule dry weight was 183.1 mg, dec</w:t>
      </w:r>
      <w:r w:rsidR="00DD5498">
        <w:rPr>
          <w:rFonts w:ascii="Arial" w:eastAsia="Times New Roman" w:hAnsi="Arial" w:cs="Arial"/>
          <w:sz w:val="20"/>
          <w:szCs w:val="24"/>
        </w:rPr>
        <w:t>reasing to 170.02 mg at 2.5%</w:t>
      </w:r>
      <w:r w:rsidRPr="00F056DE">
        <w:rPr>
          <w:rFonts w:ascii="Arial" w:eastAsia="Times New Roman" w:hAnsi="Arial" w:cs="Arial"/>
          <w:sz w:val="20"/>
          <w:szCs w:val="24"/>
        </w:rPr>
        <w:t xml:space="preserve">, demonstrating a </w:t>
      </w:r>
      <w:r w:rsidR="00DD5498">
        <w:rPr>
          <w:rFonts w:ascii="Arial" w:eastAsia="Times New Roman" w:hAnsi="Arial" w:cs="Arial"/>
          <w:sz w:val="20"/>
          <w:szCs w:val="24"/>
        </w:rPr>
        <w:t xml:space="preserve">13.15 mg reduction per 2.5% </w:t>
      </w:r>
      <w:r w:rsidRPr="00F056DE">
        <w:rPr>
          <w:rFonts w:ascii="Arial" w:eastAsia="Times New Roman" w:hAnsi="Arial" w:cs="Arial"/>
          <w:sz w:val="20"/>
          <w:szCs w:val="24"/>
        </w:rPr>
        <w:t xml:space="preserve">concentration increase. The aqueous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extract showed significant allelopathic effects on both fresh and dry weights of </w:t>
      </w:r>
      <w:r w:rsidRPr="00F056DE">
        <w:rPr>
          <w:rFonts w:ascii="Arial" w:eastAsia="Times New Roman" w:hAnsi="Arial" w:cs="Arial"/>
          <w:i/>
          <w:sz w:val="20"/>
          <w:szCs w:val="24"/>
        </w:rPr>
        <w:t>Cucumis sativus</w:t>
      </w:r>
      <w:r w:rsidRPr="00F056DE">
        <w:rPr>
          <w:rFonts w:ascii="Arial" w:eastAsia="Times New Roman" w:hAnsi="Arial" w:cs="Arial"/>
          <w:sz w:val="20"/>
          <w:szCs w:val="24"/>
        </w:rPr>
        <w:t xml:space="preserve"> L. and </w:t>
      </w:r>
      <w:r w:rsidRPr="00F056DE">
        <w:rPr>
          <w:rFonts w:ascii="Arial" w:eastAsia="Times New Roman" w:hAnsi="Arial" w:cs="Arial"/>
          <w:i/>
          <w:sz w:val="20"/>
          <w:szCs w:val="24"/>
        </w:rPr>
        <w:t xml:space="preserve">Lolium </w:t>
      </w:r>
      <w:proofErr w:type="spellStart"/>
      <w:r w:rsidRPr="00F056DE">
        <w:rPr>
          <w:rFonts w:ascii="Arial" w:eastAsia="Times New Roman" w:hAnsi="Arial" w:cs="Arial"/>
          <w:i/>
          <w:sz w:val="20"/>
          <w:szCs w:val="24"/>
        </w:rPr>
        <w:t>perenne</w:t>
      </w:r>
      <w:proofErr w:type="spellEnd"/>
      <w:r w:rsidRPr="00F056DE">
        <w:rPr>
          <w:rFonts w:ascii="Arial" w:eastAsia="Times New Roman" w:hAnsi="Arial" w:cs="Arial"/>
          <w:i/>
          <w:sz w:val="20"/>
          <w:szCs w:val="24"/>
        </w:rPr>
        <w:t xml:space="preserve"> </w:t>
      </w:r>
      <w:r w:rsidRPr="00F056DE">
        <w:rPr>
          <w:rFonts w:ascii="Arial" w:eastAsia="Times New Roman" w:hAnsi="Arial" w:cs="Arial"/>
          <w:sz w:val="20"/>
          <w:szCs w:val="24"/>
        </w:rPr>
        <w:t>L</w:t>
      </w:r>
      <w:r w:rsidRPr="00F056DE">
        <w:rPr>
          <w:rFonts w:ascii="Arial" w:eastAsia="Times New Roman" w:hAnsi="Arial" w:cs="Arial"/>
          <w:i/>
          <w:sz w:val="20"/>
          <w:szCs w:val="24"/>
        </w:rPr>
        <w:t>.</w:t>
      </w:r>
      <w:r w:rsidRPr="00F056DE">
        <w:rPr>
          <w:rFonts w:ascii="Arial" w:eastAsia="Times New Roman" w:hAnsi="Arial" w:cs="Arial"/>
          <w:sz w:val="20"/>
          <w:szCs w:val="24"/>
        </w:rPr>
        <w:t xml:space="preserve"> seedlings during germination, with increasing concentrations causing progressive biomass reduction (Salim </w:t>
      </w:r>
      <w:r w:rsidR="003A0BD8" w:rsidRPr="003A0BD8">
        <w:rPr>
          <w:rFonts w:ascii="Arial" w:eastAsia="Times New Roman" w:hAnsi="Arial" w:cs="Arial"/>
          <w:i/>
          <w:iCs/>
          <w:sz w:val="20"/>
          <w:szCs w:val="24"/>
        </w:rPr>
        <w:t>et al</w:t>
      </w:r>
      <w:r w:rsidRPr="00F056DE">
        <w:rPr>
          <w:rFonts w:ascii="Arial" w:eastAsia="Times New Roman" w:hAnsi="Arial" w:cs="Arial"/>
          <w:sz w:val="20"/>
          <w:szCs w:val="24"/>
        </w:rPr>
        <w:t xml:space="preserve">., 2020; Kato-Noguchi &amp; </w:t>
      </w:r>
      <w:proofErr w:type="spellStart"/>
      <w:r w:rsidRPr="00F056DE">
        <w:rPr>
          <w:rFonts w:ascii="Arial" w:eastAsia="Times New Roman" w:hAnsi="Arial" w:cs="Arial"/>
          <w:sz w:val="20"/>
          <w:szCs w:val="24"/>
        </w:rPr>
        <w:t>Kurniadie</w:t>
      </w:r>
      <w:proofErr w:type="spellEnd"/>
      <w:r w:rsidRPr="00F056DE">
        <w:rPr>
          <w:rFonts w:ascii="Arial" w:eastAsia="Times New Roman" w:hAnsi="Arial" w:cs="Arial"/>
          <w:sz w:val="20"/>
          <w:szCs w:val="24"/>
        </w:rPr>
        <w:t>, 2021).</w:t>
      </w:r>
    </w:p>
    <w:p w14:paraId="1AD1A842" w14:textId="77777777" w:rsidR="00712EAC" w:rsidRPr="00F056DE" w:rsidRDefault="00712EAC" w:rsidP="00712EAC">
      <w:pPr>
        <w:pStyle w:val="ListParagraph"/>
        <w:widowControl w:val="0"/>
        <w:spacing w:after="0" w:line="276" w:lineRule="auto"/>
        <w:ind w:left="0" w:firstLine="567"/>
        <w:jc w:val="both"/>
        <w:rPr>
          <w:rFonts w:ascii="Arial" w:hAnsi="Arial" w:cs="Arial"/>
          <w:color w:val="000000"/>
          <w:sz w:val="20"/>
          <w:szCs w:val="24"/>
        </w:rPr>
      </w:pPr>
    </w:p>
    <w:p w14:paraId="7830A5BE" w14:textId="77777777" w:rsidR="007005A7" w:rsidRPr="00B7489A" w:rsidRDefault="00B7489A" w:rsidP="007005A7">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3.2</w:t>
      </w:r>
      <w:r w:rsidRPr="00B7489A">
        <w:rPr>
          <w:rFonts w:ascii="Arial" w:eastAsia="Times New Roman" w:hAnsi="Arial" w:cs="Arial"/>
          <w:b/>
          <w:i/>
          <w:szCs w:val="24"/>
        </w:rPr>
        <w:t xml:space="preserve"> </w:t>
      </w:r>
      <w:r w:rsidR="007005A7" w:rsidRPr="00B7489A">
        <w:rPr>
          <w:rFonts w:ascii="Arial" w:eastAsia="Times New Roman" w:hAnsi="Arial" w:cs="Arial"/>
          <w:b/>
          <w:i/>
          <w:szCs w:val="24"/>
        </w:rPr>
        <w:t>Inhibition Concentration</w:t>
      </w:r>
      <w:r w:rsidR="007005A7" w:rsidRPr="00B7489A">
        <w:rPr>
          <w:rFonts w:ascii="Arial" w:eastAsia="Times New Roman" w:hAnsi="Arial" w:cs="Arial"/>
          <w:b/>
          <w:szCs w:val="24"/>
        </w:rPr>
        <w:t xml:space="preserve"> (IC</w:t>
      </w:r>
      <w:r w:rsidR="007005A7" w:rsidRPr="00B7489A">
        <w:rPr>
          <w:rFonts w:ascii="Arial" w:eastAsia="Times New Roman" w:hAnsi="Arial" w:cs="Arial"/>
          <w:b/>
          <w:szCs w:val="24"/>
          <w:vertAlign w:val="subscript"/>
        </w:rPr>
        <w:t>50</w:t>
      </w:r>
      <w:r w:rsidR="007005A7" w:rsidRPr="00B7489A">
        <w:rPr>
          <w:rFonts w:ascii="Arial" w:eastAsia="Times New Roman" w:hAnsi="Arial" w:cs="Arial"/>
          <w:b/>
          <w:szCs w:val="24"/>
        </w:rPr>
        <w:t xml:space="preserve">) </w:t>
      </w:r>
    </w:p>
    <w:p w14:paraId="7D536BF2" w14:textId="19AD266D" w:rsidR="003310F4" w:rsidRDefault="007005A7" w:rsidP="002C1013">
      <w:pPr>
        <w:spacing w:line="276" w:lineRule="auto"/>
        <w:ind w:firstLine="567"/>
        <w:jc w:val="both"/>
        <w:rPr>
          <w:rFonts w:ascii="Arial" w:hAnsi="Arial" w:cs="Arial"/>
          <w:szCs w:val="24"/>
        </w:rPr>
      </w:pPr>
      <w:r w:rsidRPr="00B7489A">
        <w:rPr>
          <w:rFonts w:ascii="Arial" w:hAnsi="Arial" w:cs="Arial"/>
          <w:szCs w:val="24"/>
        </w:rPr>
        <w:t>The IC</w:t>
      </w:r>
      <w:r w:rsidRPr="00B7489A">
        <w:rPr>
          <w:rFonts w:ascii="Arial" w:hAnsi="Arial" w:cs="Arial"/>
          <w:szCs w:val="24"/>
          <w:vertAlign w:val="subscript"/>
        </w:rPr>
        <w:t>50</w:t>
      </w:r>
      <w:r w:rsidRPr="00B7489A">
        <w:rPr>
          <w:rFonts w:ascii="Arial" w:hAnsi="Arial" w:cs="Arial"/>
          <w:szCs w:val="24"/>
        </w:rPr>
        <w:t xml:space="preserve"> value was determined through a linear regression analysis using various parameters, including the percentage of normal and abnormal seedling, radicle, and plumule lengths and the dry weights of the radicle, plumule, and overall seedling biomass (Table 2). This value was calculated to assess the toxicity level of the allelopathic extract, specifically the concentration required to inhibit 50% of the growth in the test plant.</w:t>
      </w:r>
    </w:p>
    <w:p w14:paraId="22A7DA4C" w14:textId="77777777" w:rsidR="00D01611" w:rsidRDefault="00D01611" w:rsidP="002C1013">
      <w:pPr>
        <w:spacing w:line="276" w:lineRule="auto"/>
        <w:ind w:firstLine="567"/>
        <w:jc w:val="both"/>
        <w:rPr>
          <w:rFonts w:ascii="Arial" w:hAnsi="Arial" w:cs="Arial"/>
          <w:szCs w:val="24"/>
        </w:rPr>
      </w:pPr>
    </w:p>
    <w:p w14:paraId="046121EC" w14:textId="77777777" w:rsidR="007005A7" w:rsidRPr="00B7489A" w:rsidRDefault="007005A7" w:rsidP="007005A7">
      <w:pPr>
        <w:spacing w:line="276" w:lineRule="auto"/>
        <w:jc w:val="both"/>
        <w:rPr>
          <w:rFonts w:ascii="Arial" w:hAnsi="Arial" w:cs="Arial"/>
          <w:color w:val="FF0000"/>
          <w:szCs w:val="24"/>
        </w:rPr>
      </w:pPr>
      <w:r w:rsidRPr="00B7489A">
        <w:rPr>
          <w:rFonts w:ascii="Arial" w:hAnsi="Arial" w:cs="Arial"/>
          <w:szCs w:val="24"/>
        </w:rPr>
        <w:t>Table 2. Summary of IC</w:t>
      </w:r>
      <w:r w:rsidRPr="00B7489A">
        <w:rPr>
          <w:rFonts w:ascii="Arial" w:hAnsi="Arial" w:cs="Arial"/>
          <w:szCs w:val="24"/>
          <w:vertAlign w:val="subscript"/>
        </w:rPr>
        <w:t>50</w:t>
      </w:r>
      <w:r w:rsidRPr="00B7489A">
        <w:rPr>
          <w:rFonts w:ascii="Arial" w:hAnsi="Arial" w:cs="Arial"/>
          <w:szCs w:val="24"/>
        </w:rPr>
        <w:t xml:space="preserve"> calculation for germination variables of cucumber test plant.</w:t>
      </w:r>
    </w:p>
    <w:tbl>
      <w:tblPr>
        <w:tblW w:w="7126" w:type="dxa"/>
        <w:tblInd w:w="954" w:type="dxa"/>
        <w:tblLook w:val="04A0" w:firstRow="1" w:lastRow="0" w:firstColumn="1" w:lastColumn="0" w:noHBand="0" w:noVBand="1"/>
      </w:tblPr>
      <w:tblGrid>
        <w:gridCol w:w="3157"/>
        <w:gridCol w:w="2552"/>
        <w:gridCol w:w="1417"/>
      </w:tblGrid>
      <w:tr w:rsidR="007005A7" w14:paraId="24C1E67E" w14:textId="77777777" w:rsidTr="003310F4">
        <w:trPr>
          <w:trHeight w:val="300"/>
        </w:trPr>
        <w:tc>
          <w:tcPr>
            <w:tcW w:w="3157" w:type="dxa"/>
            <w:tcBorders>
              <w:top w:val="single" w:sz="4" w:space="0" w:color="auto"/>
              <w:left w:val="nil"/>
              <w:bottom w:val="single" w:sz="4" w:space="0" w:color="auto"/>
              <w:right w:val="nil"/>
            </w:tcBorders>
            <w:shd w:val="clear" w:color="auto" w:fill="auto"/>
            <w:noWrap/>
            <w:vAlign w:val="bottom"/>
            <w:hideMark/>
          </w:tcPr>
          <w:p w14:paraId="1D5F09B8"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Variables</w:t>
            </w:r>
          </w:p>
        </w:tc>
        <w:tc>
          <w:tcPr>
            <w:tcW w:w="2552" w:type="dxa"/>
            <w:tcBorders>
              <w:top w:val="single" w:sz="4" w:space="0" w:color="auto"/>
              <w:left w:val="nil"/>
              <w:bottom w:val="single" w:sz="4" w:space="0" w:color="auto"/>
              <w:right w:val="nil"/>
            </w:tcBorders>
            <w:shd w:val="clear" w:color="auto" w:fill="auto"/>
            <w:noWrap/>
            <w:vAlign w:val="bottom"/>
            <w:hideMark/>
          </w:tcPr>
          <w:p w14:paraId="6204870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Regression Equation</w:t>
            </w:r>
          </w:p>
        </w:tc>
        <w:tc>
          <w:tcPr>
            <w:tcW w:w="1417" w:type="dxa"/>
            <w:tcBorders>
              <w:top w:val="single" w:sz="4" w:space="0" w:color="auto"/>
              <w:left w:val="nil"/>
              <w:bottom w:val="nil"/>
              <w:right w:val="nil"/>
            </w:tcBorders>
            <w:shd w:val="clear" w:color="auto" w:fill="auto"/>
            <w:noWrap/>
            <w:vAlign w:val="bottom"/>
            <w:hideMark/>
          </w:tcPr>
          <w:p w14:paraId="62BDC1D5"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szCs w:val="24"/>
              </w:rPr>
              <w:t>IC</w:t>
            </w:r>
            <w:r w:rsidRPr="00B7489A">
              <w:rPr>
                <w:rFonts w:ascii="Arial" w:hAnsi="Arial" w:cs="Arial"/>
                <w:szCs w:val="24"/>
                <w:vertAlign w:val="subscript"/>
              </w:rPr>
              <w:t>50</w:t>
            </w:r>
            <w:r w:rsidRPr="00B7489A">
              <w:rPr>
                <w:rFonts w:ascii="Arial" w:hAnsi="Arial" w:cs="Arial"/>
                <w:color w:val="000000"/>
                <w:szCs w:val="24"/>
              </w:rPr>
              <w:t xml:space="preserve"> (%)</w:t>
            </w:r>
          </w:p>
        </w:tc>
      </w:tr>
      <w:tr w:rsidR="007005A7" w14:paraId="41727A73" w14:textId="77777777" w:rsidTr="003310F4">
        <w:trPr>
          <w:trHeight w:val="300"/>
        </w:trPr>
        <w:tc>
          <w:tcPr>
            <w:tcW w:w="3157" w:type="dxa"/>
            <w:tcBorders>
              <w:top w:val="nil"/>
              <w:left w:val="nil"/>
              <w:bottom w:val="nil"/>
              <w:right w:val="nil"/>
            </w:tcBorders>
            <w:shd w:val="clear" w:color="auto" w:fill="auto"/>
            <w:noWrap/>
            <w:hideMark/>
          </w:tcPr>
          <w:p w14:paraId="3DB428A5" w14:textId="77777777" w:rsidR="007005A7" w:rsidRPr="00B7489A" w:rsidRDefault="003310F4" w:rsidP="007005A7">
            <w:pPr>
              <w:spacing w:line="276" w:lineRule="auto"/>
              <w:rPr>
                <w:rFonts w:ascii="Arial" w:hAnsi="Arial" w:cs="Arial"/>
                <w:szCs w:val="24"/>
              </w:rPr>
            </w:pPr>
            <w:r>
              <w:rPr>
                <w:rFonts w:ascii="Arial" w:hAnsi="Arial" w:cs="Arial"/>
                <w:szCs w:val="24"/>
              </w:rPr>
              <w:t>A</w:t>
            </w:r>
            <w:r w:rsidR="007005A7" w:rsidRPr="00B7489A">
              <w:rPr>
                <w:rFonts w:ascii="Arial" w:hAnsi="Arial" w:cs="Arial"/>
                <w:szCs w:val="24"/>
              </w:rPr>
              <w:t>bnormal seedlings</w:t>
            </w:r>
            <w:r>
              <w:rPr>
                <w:rFonts w:ascii="Arial" w:hAnsi="Arial" w:cs="Arial"/>
                <w:szCs w:val="24"/>
              </w:rPr>
              <w:t xml:space="preserve"> percentage</w:t>
            </w:r>
          </w:p>
        </w:tc>
        <w:tc>
          <w:tcPr>
            <w:tcW w:w="2552" w:type="dxa"/>
            <w:tcBorders>
              <w:top w:val="nil"/>
              <w:left w:val="nil"/>
              <w:bottom w:val="nil"/>
              <w:right w:val="nil"/>
            </w:tcBorders>
            <w:shd w:val="clear" w:color="auto" w:fill="auto"/>
            <w:noWrap/>
            <w:vAlign w:val="bottom"/>
            <w:hideMark/>
          </w:tcPr>
          <w:p w14:paraId="4388169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 xml:space="preserve">y = 75.85x + </w:t>
            </w:r>
            <w:r w:rsidRPr="00B7489A">
              <w:rPr>
                <w:rFonts w:ascii="Arial" w:hAnsi="Arial" w:cs="Arial"/>
                <w:szCs w:val="24"/>
              </w:rPr>
              <w:t>4.303</w:t>
            </w:r>
          </w:p>
        </w:tc>
        <w:tc>
          <w:tcPr>
            <w:tcW w:w="1417" w:type="dxa"/>
            <w:tcBorders>
              <w:top w:val="single" w:sz="4" w:space="0" w:color="auto"/>
              <w:left w:val="nil"/>
              <w:bottom w:val="nil"/>
              <w:right w:val="nil"/>
            </w:tcBorders>
            <w:shd w:val="clear" w:color="auto" w:fill="auto"/>
            <w:noWrap/>
            <w:vAlign w:val="bottom"/>
            <w:hideMark/>
          </w:tcPr>
          <w:p w14:paraId="56D8424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6.33</w:t>
            </w:r>
          </w:p>
        </w:tc>
      </w:tr>
      <w:tr w:rsidR="007005A7" w14:paraId="7D00741E" w14:textId="77777777" w:rsidTr="003310F4">
        <w:trPr>
          <w:trHeight w:val="300"/>
        </w:trPr>
        <w:tc>
          <w:tcPr>
            <w:tcW w:w="3157" w:type="dxa"/>
            <w:tcBorders>
              <w:top w:val="nil"/>
              <w:left w:val="nil"/>
              <w:bottom w:val="nil"/>
              <w:right w:val="nil"/>
            </w:tcBorders>
            <w:shd w:val="clear" w:color="auto" w:fill="auto"/>
            <w:noWrap/>
            <w:hideMark/>
          </w:tcPr>
          <w:p w14:paraId="5FD06884"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Radicle length</w:t>
            </w:r>
          </w:p>
        </w:tc>
        <w:tc>
          <w:tcPr>
            <w:tcW w:w="2552" w:type="dxa"/>
            <w:tcBorders>
              <w:top w:val="nil"/>
              <w:left w:val="nil"/>
              <w:bottom w:val="nil"/>
              <w:right w:val="nil"/>
            </w:tcBorders>
            <w:shd w:val="clear" w:color="auto" w:fill="auto"/>
            <w:noWrap/>
            <w:vAlign w:val="bottom"/>
            <w:hideMark/>
          </w:tcPr>
          <w:p w14:paraId="59466884"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-74.92x + 8.134</w:t>
            </w:r>
          </w:p>
        </w:tc>
        <w:tc>
          <w:tcPr>
            <w:tcW w:w="1417" w:type="dxa"/>
            <w:tcBorders>
              <w:top w:val="nil"/>
              <w:left w:val="nil"/>
              <w:bottom w:val="nil"/>
              <w:right w:val="nil"/>
            </w:tcBorders>
            <w:shd w:val="clear" w:color="auto" w:fill="auto"/>
            <w:noWrap/>
            <w:vAlign w:val="bottom"/>
            <w:hideMark/>
          </w:tcPr>
          <w:p w14:paraId="7D24849D"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10.19</w:t>
            </w:r>
          </w:p>
        </w:tc>
      </w:tr>
      <w:tr w:rsidR="007005A7" w14:paraId="1604F456" w14:textId="77777777" w:rsidTr="003310F4">
        <w:trPr>
          <w:trHeight w:val="300"/>
        </w:trPr>
        <w:tc>
          <w:tcPr>
            <w:tcW w:w="3157" w:type="dxa"/>
            <w:tcBorders>
              <w:top w:val="nil"/>
              <w:left w:val="nil"/>
              <w:bottom w:val="nil"/>
              <w:right w:val="nil"/>
            </w:tcBorders>
            <w:shd w:val="clear" w:color="auto" w:fill="auto"/>
            <w:noWrap/>
            <w:hideMark/>
          </w:tcPr>
          <w:p w14:paraId="1573911F"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Plumule length</w:t>
            </w:r>
          </w:p>
        </w:tc>
        <w:tc>
          <w:tcPr>
            <w:tcW w:w="2552" w:type="dxa"/>
            <w:tcBorders>
              <w:top w:val="nil"/>
              <w:left w:val="nil"/>
              <w:bottom w:val="nil"/>
              <w:right w:val="nil"/>
            </w:tcBorders>
            <w:shd w:val="clear" w:color="auto" w:fill="auto"/>
            <w:noWrap/>
            <w:vAlign w:val="bottom"/>
            <w:hideMark/>
          </w:tcPr>
          <w:p w14:paraId="0D930D3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-46.88x + 6.935</w:t>
            </w:r>
          </w:p>
        </w:tc>
        <w:tc>
          <w:tcPr>
            <w:tcW w:w="1417" w:type="dxa"/>
            <w:tcBorders>
              <w:top w:val="nil"/>
              <w:left w:val="nil"/>
              <w:bottom w:val="nil"/>
              <w:right w:val="nil"/>
            </w:tcBorders>
            <w:shd w:val="clear" w:color="auto" w:fill="auto"/>
            <w:noWrap/>
            <w:vAlign w:val="bottom"/>
            <w:hideMark/>
          </w:tcPr>
          <w:p w14:paraId="5D6F686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13.73</w:t>
            </w:r>
          </w:p>
        </w:tc>
      </w:tr>
      <w:tr w:rsidR="007005A7" w14:paraId="1F243727" w14:textId="77777777" w:rsidTr="003310F4">
        <w:trPr>
          <w:trHeight w:val="300"/>
        </w:trPr>
        <w:tc>
          <w:tcPr>
            <w:tcW w:w="3157" w:type="dxa"/>
            <w:tcBorders>
              <w:top w:val="nil"/>
              <w:left w:val="nil"/>
              <w:bottom w:val="nil"/>
              <w:right w:val="nil"/>
            </w:tcBorders>
            <w:shd w:val="clear" w:color="auto" w:fill="auto"/>
            <w:noWrap/>
            <w:hideMark/>
          </w:tcPr>
          <w:p w14:paraId="571E5491"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radicle</w:t>
            </w:r>
          </w:p>
        </w:tc>
        <w:tc>
          <w:tcPr>
            <w:tcW w:w="2552" w:type="dxa"/>
            <w:tcBorders>
              <w:top w:val="nil"/>
              <w:left w:val="nil"/>
              <w:bottom w:val="nil"/>
              <w:right w:val="nil"/>
            </w:tcBorders>
            <w:shd w:val="clear" w:color="auto" w:fill="auto"/>
            <w:noWrap/>
            <w:vAlign w:val="bottom"/>
            <w:hideMark/>
          </w:tcPr>
          <w:p w14:paraId="419F29E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-129.3x + 27.427</w:t>
            </w:r>
          </w:p>
        </w:tc>
        <w:tc>
          <w:tcPr>
            <w:tcW w:w="1417" w:type="dxa"/>
            <w:tcBorders>
              <w:top w:val="nil"/>
              <w:left w:val="nil"/>
              <w:bottom w:val="nil"/>
              <w:right w:val="nil"/>
            </w:tcBorders>
            <w:shd w:val="clear" w:color="auto" w:fill="auto"/>
            <w:noWrap/>
            <w:vAlign w:val="bottom"/>
            <w:hideMark/>
          </w:tcPr>
          <w:p w14:paraId="121733A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20.83</w:t>
            </w:r>
          </w:p>
        </w:tc>
      </w:tr>
      <w:tr w:rsidR="007005A7" w14:paraId="4FA9D0F8" w14:textId="77777777" w:rsidTr="003310F4">
        <w:trPr>
          <w:trHeight w:val="300"/>
        </w:trPr>
        <w:tc>
          <w:tcPr>
            <w:tcW w:w="3157" w:type="dxa"/>
            <w:tcBorders>
              <w:top w:val="nil"/>
              <w:left w:val="nil"/>
              <w:bottom w:val="nil"/>
              <w:right w:val="nil"/>
            </w:tcBorders>
            <w:shd w:val="clear" w:color="auto" w:fill="auto"/>
            <w:noWrap/>
            <w:hideMark/>
          </w:tcPr>
          <w:p w14:paraId="4B648538"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plumule</w:t>
            </w:r>
          </w:p>
        </w:tc>
        <w:tc>
          <w:tcPr>
            <w:tcW w:w="2552" w:type="dxa"/>
            <w:tcBorders>
              <w:top w:val="nil"/>
              <w:left w:val="nil"/>
              <w:bottom w:val="nil"/>
              <w:right w:val="nil"/>
            </w:tcBorders>
            <w:shd w:val="clear" w:color="auto" w:fill="auto"/>
            <w:noWrap/>
            <w:vAlign w:val="bottom"/>
            <w:hideMark/>
          </w:tcPr>
          <w:p w14:paraId="6A579C1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-397.36x + 155.74</w:t>
            </w:r>
          </w:p>
        </w:tc>
        <w:tc>
          <w:tcPr>
            <w:tcW w:w="1417" w:type="dxa"/>
            <w:tcBorders>
              <w:top w:val="nil"/>
              <w:left w:val="nil"/>
              <w:bottom w:val="nil"/>
              <w:right w:val="nil"/>
            </w:tcBorders>
            <w:shd w:val="clear" w:color="auto" w:fill="auto"/>
            <w:noWrap/>
            <w:vAlign w:val="bottom"/>
            <w:hideMark/>
          </w:tcPr>
          <w:p w14:paraId="3E0B398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39.07</w:t>
            </w:r>
          </w:p>
        </w:tc>
      </w:tr>
      <w:tr w:rsidR="007005A7" w14:paraId="3C124E67" w14:textId="77777777" w:rsidTr="003310F4">
        <w:trPr>
          <w:trHeight w:val="300"/>
        </w:trPr>
        <w:tc>
          <w:tcPr>
            <w:tcW w:w="3157" w:type="dxa"/>
            <w:tcBorders>
              <w:top w:val="nil"/>
              <w:left w:val="nil"/>
              <w:bottom w:val="single" w:sz="4" w:space="0" w:color="auto"/>
              <w:right w:val="nil"/>
            </w:tcBorders>
            <w:shd w:val="clear" w:color="auto" w:fill="auto"/>
            <w:noWrap/>
            <w:hideMark/>
          </w:tcPr>
          <w:p w14:paraId="40C2A265"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Total dry weight</w:t>
            </w:r>
          </w:p>
        </w:tc>
        <w:tc>
          <w:tcPr>
            <w:tcW w:w="2552" w:type="dxa"/>
            <w:tcBorders>
              <w:top w:val="nil"/>
              <w:left w:val="nil"/>
              <w:bottom w:val="single" w:sz="4" w:space="0" w:color="auto"/>
              <w:right w:val="nil"/>
            </w:tcBorders>
            <w:shd w:val="clear" w:color="auto" w:fill="auto"/>
            <w:noWrap/>
            <w:vAlign w:val="bottom"/>
            <w:hideMark/>
          </w:tcPr>
          <w:p w14:paraId="05DCD08A"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-526.66x + 183.17</w:t>
            </w:r>
          </w:p>
        </w:tc>
        <w:tc>
          <w:tcPr>
            <w:tcW w:w="1417" w:type="dxa"/>
            <w:tcBorders>
              <w:top w:val="nil"/>
              <w:left w:val="nil"/>
              <w:bottom w:val="single" w:sz="4" w:space="0" w:color="auto"/>
              <w:right w:val="nil"/>
            </w:tcBorders>
            <w:shd w:val="clear" w:color="auto" w:fill="auto"/>
            <w:noWrap/>
            <w:vAlign w:val="bottom"/>
            <w:hideMark/>
          </w:tcPr>
          <w:p w14:paraId="0338FB6E"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34.68</w:t>
            </w:r>
          </w:p>
        </w:tc>
      </w:tr>
    </w:tbl>
    <w:p w14:paraId="06ACF537" w14:textId="77777777" w:rsidR="007005A7" w:rsidRPr="00B7489A" w:rsidRDefault="007005A7" w:rsidP="00A25B14">
      <w:pPr>
        <w:widowControl w:val="0"/>
        <w:spacing w:line="276" w:lineRule="auto"/>
        <w:ind w:firstLine="720"/>
        <w:jc w:val="both"/>
        <w:rPr>
          <w:rFonts w:ascii="Arial" w:hAnsi="Arial" w:cs="Arial"/>
          <w:bCs/>
          <w:szCs w:val="24"/>
        </w:rPr>
      </w:pPr>
      <w:r w:rsidRPr="00B7489A">
        <w:rPr>
          <w:rFonts w:ascii="Arial" w:hAnsi="Arial" w:cs="Arial"/>
          <w:bCs/>
          <w:szCs w:val="24"/>
        </w:rPr>
        <w:t xml:space="preserve">The most sensitive parameter to </w:t>
      </w:r>
      <w:proofErr w:type="spellStart"/>
      <w:r w:rsidRPr="00B7489A">
        <w:rPr>
          <w:rFonts w:ascii="Arial" w:hAnsi="Arial" w:cs="Arial"/>
          <w:bCs/>
          <w:szCs w:val="24"/>
        </w:rPr>
        <w:t>cogongrass</w:t>
      </w:r>
      <w:proofErr w:type="spellEnd"/>
      <w:r w:rsidRPr="00B7489A">
        <w:rPr>
          <w:rFonts w:ascii="Arial" w:hAnsi="Arial" w:cs="Arial"/>
          <w:bCs/>
          <w:szCs w:val="24"/>
        </w:rPr>
        <w:t xml:space="preserve"> extract toxicity was the percentage of abnormal seedlings, with an IC</w:t>
      </w:r>
      <w:r w:rsidRPr="00B7489A">
        <w:rPr>
          <w:rFonts w:ascii="Arial" w:hAnsi="Arial" w:cs="Arial"/>
          <w:bCs/>
          <w:szCs w:val="24"/>
          <w:vertAlign w:val="subscript"/>
        </w:rPr>
        <w:t>50</w:t>
      </w:r>
      <w:r w:rsidRPr="00B7489A">
        <w:rPr>
          <w:rFonts w:ascii="Arial" w:hAnsi="Arial" w:cs="Arial"/>
          <w:bCs/>
          <w:color w:val="FF0000"/>
          <w:szCs w:val="24"/>
        </w:rPr>
        <w:t xml:space="preserve"> </w:t>
      </w:r>
      <w:r w:rsidRPr="00B7489A">
        <w:rPr>
          <w:rFonts w:ascii="Arial" w:hAnsi="Arial" w:cs="Arial"/>
          <w:bCs/>
          <w:szCs w:val="24"/>
        </w:rPr>
        <w:t>value of 6.33</w:t>
      </w:r>
      <w:r w:rsidR="00DD5498">
        <w:rPr>
          <w:rFonts w:ascii="Arial" w:hAnsi="Arial" w:cs="Arial"/>
          <w:bCs/>
          <w:szCs w:val="24"/>
        </w:rPr>
        <w:t>%</w:t>
      </w:r>
      <w:r w:rsidRPr="00B7489A">
        <w:rPr>
          <w:rFonts w:ascii="Arial" w:hAnsi="Arial" w:cs="Arial"/>
          <w:bCs/>
          <w:szCs w:val="24"/>
        </w:rPr>
        <w:t>. Due to allelopathic inhibition, 50% of cucumber seedlings exhibited morphological abnormalities at this concentration. Radicle elongation was more strongly inhibited (IC</w:t>
      </w:r>
      <w:r w:rsidRPr="00B7489A">
        <w:rPr>
          <w:rFonts w:ascii="Arial" w:hAnsi="Arial" w:cs="Arial"/>
          <w:bCs/>
          <w:szCs w:val="24"/>
          <w:vertAlign w:val="subscript"/>
        </w:rPr>
        <w:t>50</w:t>
      </w:r>
      <w:r w:rsidR="00DD5498">
        <w:rPr>
          <w:rFonts w:ascii="Arial" w:hAnsi="Arial" w:cs="Arial"/>
          <w:bCs/>
          <w:szCs w:val="24"/>
        </w:rPr>
        <w:t xml:space="preserve"> = 10.19%</w:t>
      </w:r>
      <w:r w:rsidRPr="00B7489A">
        <w:rPr>
          <w:rFonts w:ascii="Arial" w:hAnsi="Arial" w:cs="Arial"/>
          <w:bCs/>
          <w:szCs w:val="24"/>
        </w:rPr>
        <w:t>) than plumule growth (IC</w:t>
      </w:r>
      <w:r w:rsidRPr="00B7489A">
        <w:rPr>
          <w:rFonts w:ascii="Arial" w:hAnsi="Arial" w:cs="Arial"/>
          <w:bCs/>
          <w:szCs w:val="24"/>
          <w:vertAlign w:val="subscript"/>
        </w:rPr>
        <w:t>50</w:t>
      </w:r>
      <w:r w:rsidR="00DD5498">
        <w:rPr>
          <w:rFonts w:ascii="Arial" w:hAnsi="Arial" w:cs="Arial"/>
          <w:bCs/>
          <w:szCs w:val="24"/>
        </w:rPr>
        <w:t xml:space="preserve"> = 13.73%</w:t>
      </w:r>
      <w:r w:rsidRPr="00B7489A">
        <w:rPr>
          <w:rFonts w:ascii="Arial" w:hAnsi="Arial" w:cs="Arial"/>
          <w:bCs/>
          <w:szCs w:val="24"/>
        </w:rPr>
        <w:t>). Similarly, dry weights showed higher sensitivity in radicles (IC</w:t>
      </w:r>
      <w:r w:rsidRPr="00B7489A">
        <w:rPr>
          <w:rFonts w:ascii="Arial" w:hAnsi="Arial" w:cs="Arial"/>
          <w:bCs/>
          <w:szCs w:val="24"/>
          <w:vertAlign w:val="subscript"/>
        </w:rPr>
        <w:t>50</w:t>
      </w:r>
      <w:r w:rsidR="00DD5498">
        <w:rPr>
          <w:rFonts w:ascii="Arial" w:hAnsi="Arial" w:cs="Arial"/>
          <w:bCs/>
          <w:szCs w:val="24"/>
        </w:rPr>
        <w:t xml:space="preserve"> = 20.83%</w:t>
      </w:r>
      <w:r w:rsidRPr="00B7489A">
        <w:rPr>
          <w:rFonts w:ascii="Arial" w:hAnsi="Arial" w:cs="Arial"/>
          <w:bCs/>
          <w:szCs w:val="24"/>
        </w:rPr>
        <w:t xml:space="preserve">) compared to </w:t>
      </w:r>
      <w:r w:rsidRPr="00B7489A">
        <w:rPr>
          <w:rFonts w:ascii="Arial" w:hAnsi="Arial" w:cs="Arial"/>
          <w:bCs/>
          <w:szCs w:val="24"/>
        </w:rPr>
        <w:lastRenderedPageBreak/>
        <w:t>plumules (IC</w:t>
      </w:r>
      <w:r w:rsidRPr="00B7489A">
        <w:rPr>
          <w:rFonts w:ascii="Arial" w:hAnsi="Arial" w:cs="Arial"/>
          <w:bCs/>
          <w:szCs w:val="24"/>
          <w:vertAlign w:val="subscript"/>
        </w:rPr>
        <w:t>50</w:t>
      </w:r>
      <w:r w:rsidR="00BF0F0F">
        <w:rPr>
          <w:rFonts w:ascii="Arial" w:hAnsi="Arial" w:cs="Arial"/>
          <w:bCs/>
          <w:szCs w:val="24"/>
        </w:rPr>
        <w:t xml:space="preserve"> = 39.07%</w:t>
      </w:r>
      <w:r w:rsidRPr="00B7489A">
        <w:rPr>
          <w:rFonts w:ascii="Arial" w:hAnsi="Arial" w:cs="Arial"/>
          <w:bCs/>
          <w:szCs w:val="24"/>
        </w:rPr>
        <w:t>). This difference likely occurred because radicles had direct contact with the extract while plumules did not. Total dry weight (IC</w:t>
      </w:r>
      <w:r w:rsidRPr="00B7489A">
        <w:rPr>
          <w:rFonts w:ascii="Arial" w:hAnsi="Arial" w:cs="Arial"/>
          <w:bCs/>
          <w:szCs w:val="24"/>
          <w:vertAlign w:val="subscript"/>
        </w:rPr>
        <w:t>50</w:t>
      </w:r>
      <w:r w:rsidR="00BF0F0F">
        <w:rPr>
          <w:rFonts w:ascii="Arial" w:hAnsi="Arial" w:cs="Arial"/>
          <w:bCs/>
          <w:szCs w:val="24"/>
        </w:rPr>
        <w:t xml:space="preserve"> = 34.68%</w:t>
      </w:r>
      <w:r w:rsidRPr="00B7489A">
        <w:rPr>
          <w:rFonts w:ascii="Arial" w:hAnsi="Arial" w:cs="Arial"/>
          <w:bCs/>
          <w:szCs w:val="24"/>
        </w:rPr>
        <w:t>) confirmed significant growth inhibition, demonstrating the extract’s broad phytotoxic effects.</w:t>
      </w:r>
    </w:p>
    <w:p w14:paraId="344800B2" w14:textId="0FDF891C" w:rsidR="002C1013" w:rsidRDefault="007005A7" w:rsidP="00712EAC">
      <w:pPr>
        <w:jc w:val="both"/>
        <w:rPr>
          <w:rFonts w:ascii="Arial" w:hAnsi="Arial" w:cs="Arial"/>
          <w:bCs/>
          <w:szCs w:val="24"/>
        </w:rPr>
      </w:pPr>
      <w:r w:rsidRPr="00B7489A">
        <w:rPr>
          <w:rFonts w:ascii="Arial" w:hAnsi="Arial" w:cs="Arial"/>
          <w:szCs w:val="24"/>
        </w:rPr>
        <w:tab/>
      </w:r>
      <w:r w:rsidRPr="00B7489A">
        <w:rPr>
          <w:rFonts w:ascii="Arial" w:hAnsi="Arial" w:cs="Arial"/>
          <w:szCs w:val="24"/>
        </w:rPr>
        <w:fldChar w:fldCharType="begin" w:fldLock="1"/>
      </w:r>
      <w:r w:rsidRPr="00B7489A">
        <w:rPr>
          <w:rFonts w:ascii="Arial" w:hAnsi="Arial" w:cs="Arial"/>
          <w:szCs w:val="24"/>
        </w:rPr>
        <w:instrText>ADDIN CSL_CITATION {"citationItems":[{"id":"ITEM-1","itemData":{"author":[{"dropping-particle":"","family":"Kelechi","given":"Jovita","non-dropping-particle":"","parse-names":false,"suffix":""},{"dropping-particle":"","family":"Uka","given":"Ufere N","non-dropping-particle":"","parse-names":false,"suffix":""},{"dropping-particle":"","family":"Okoye","given":"Clifford T","non-dropping-particle":"","parse-names":false,"suffix":""}],"container-title":"Asian Journal of Research in Botany Volume","id":"ITEM-1","issue":"2","issued":{"date-parts":[["2024"]]},"page":"176-183","title":"Allelopathic Potential of Imperata cylindrica on the Growth and Germination of Zea mays","type":"article-journal","volume":"7"},"uris":["http://www.mendeley.com/documents/?uuid=4bbebcea-aebb-4cd8-9a78-7351b2f1be4d"]}],"mendeley":{"formattedCitation":"(Kelechi et al., 2024)","plainTextFormattedCitation":"(Kelechi et al., 2024)","previouslyFormattedCitation":"(Kelechi et al., 2024)"},"properties":{"noteIndex":0},"schema":"https://github.com/citation-style-language/schema/raw/master/csl-citation.json"}</w:instrText>
      </w:r>
      <w:r w:rsidRPr="00B7489A">
        <w:rPr>
          <w:rFonts w:ascii="Arial" w:hAnsi="Arial" w:cs="Arial"/>
          <w:szCs w:val="24"/>
        </w:rPr>
        <w:fldChar w:fldCharType="separate"/>
      </w:r>
      <w:r w:rsidRPr="00B7489A">
        <w:rPr>
          <w:rFonts w:ascii="Arial" w:hAnsi="Arial" w:cs="Arial"/>
          <w:noProof/>
          <w:szCs w:val="24"/>
        </w:rPr>
        <w:t xml:space="preserve">Kelechi </w:t>
      </w:r>
      <w:r w:rsidR="003A0BD8" w:rsidRPr="003A0BD8">
        <w:rPr>
          <w:rFonts w:ascii="Arial" w:hAnsi="Arial" w:cs="Arial"/>
          <w:i/>
          <w:iCs/>
          <w:noProof/>
          <w:szCs w:val="24"/>
        </w:rPr>
        <w:t>et al</w:t>
      </w:r>
      <w:r w:rsidRPr="00B7489A">
        <w:rPr>
          <w:rFonts w:ascii="Arial" w:hAnsi="Arial" w:cs="Arial"/>
          <w:noProof/>
          <w:szCs w:val="24"/>
        </w:rPr>
        <w:t>. (2024)</w:t>
      </w:r>
      <w:r w:rsidRPr="00B7489A">
        <w:rPr>
          <w:rFonts w:ascii="Arial" w:hAnsi="Arial" w:cs="Arial"/>
          <w:szCs w:val="24"/>
        </w:rPr>
        <w:fldChar w:fldCharType="end"/>
      </w:r>
      <w:r w:rsidRPr="00B7489A">
        <w:rPr>
          <w:rFonts w:ascii="Arial" w:hAnsi="Arial" w:cs="Arial"/>
          <w:szCs w:val="24"/>
        </w:rPr>
        <w:t xml:space="preserve">, reported that in </w:t>
      </w:r>
      <w:proofErr w:type="spellStart"/>
      <w:r w:rsidRPr="00B7489A">
        <w:rPr>
          <w:rStyle w:val="Emphasis"/>
          <w:rFonts w:ascii="Arial" w:hAnsi="Arial" w:cs="Arial"/>
          <w:szCs w:val="24"/>
        </w:rPr>
        <w:t>Zea</w:t>
      </w:r>
      <w:proofErr w:type="spellEnd"/>
      <w:r w:rsidRPr="00B7489A">
        <w:rPr>
          <w:rStyle w:val="Emphasis"/>
          <w:rFonts w:ascii="Arial" w:hAnsi="Arial" w:cs="Arial"/>
          <w:szCs w:val="24"/>
        </w:rPr>
        <w:t xml:space="preserve"> mays L.</w:t>
      </w:r>
      <w:r w:rsidRPr="00B7489A">
        <w:rPr>
          <w:rFonts w:ascii="Arial" w:hAnsi="Arial" w:cs="Arial"/>
          <w:szCs w:val="24"/>
        </w:rPr>
        <w:t xml:space="preserve"> treated with various concentrations of </w:t>
      </w:r>
      <w:proofErr w:type="spellStart"/>
      <w:r w:rsidRPr="00B7489A">
        <w:rPr>
          <w:rFonts w:ascii="Arial" w:hAnsi="Arial" w:cs="Arial"/>
          <w:szCs w:val="24"/>
        </w:rPr>
        <w:t>cogongrass</w:t>
      </w:r>
      <w:proofErr w:type="spellEnd"/>
      <w:r w:rsidRPr="00B7489A">
        <w:rPr>
          <w:rFonts w:ascii="Arial" w:hAnsi="Arial" w:cs="Arial"/>
          <w:szCs w:val="24"/>
        </w:rPr>
        <w:t xml:space="preserve"> aqueous extract, increasing extract concentrations significantly reduced germination percentage and root length compared to the control. This indicates that the allelopa</w:t>
      </w:r>
      <w:r w:rsidR="003310F4">
        <w:rPr>
          <w:rFonts w:ascii="Arial" w:hAnsi="Arial" w:cs="Arial"/>
          <w:szCs w:val="24"/>
        </w:rPr>
        <w:t xml:space="preserve">thic compounds present in </w:t>
      </w:r>
      <w:proofErr w:type="spellStart"/>
      <w:r w:rsidR="003310F4">
        <w:rPr>
          <w:rFonts w:ascii="Arial" w:hAnsi="Arial" w:cs="Arial"/>
          <w:szCs w:val="24"/>
        </w:rPr>
        <w:t>cogon</w:t>
      </w:r>
      <w:r w:rsidRPr="00B7489A">
        <w:rPr>
          <w:rFonts w:ascii="Arial" w:hAnsi="Arial" w:cs="Arial"/>
          <w:szCs w:val="24"/>
        </w:rPr>
        <w:t>grass</w:t>
      </w:r>
      <w:proofErr w:type="spellEnd"/>
      <w:r w:rsidRPr="00B7489A">
        <w:rPr>
          <w:rFonts w:ascii="Arial" w:hAnsi="Arial" w:cs="Arial"/>
          <w:szCs w:val="24"/>
        </w:rPr>
        <w:t xml:space="preserve"> are toxic to the early physiological processes of plants. The radicle tends to be more affected than the plumule, as it is the first organ to come into direct contact with the extract solution during imbibition and germination. Therefore, the higher the extract concentration, the greater the inhibition of radicle growth, which also suggests that the IC</w:t>
      </w:r>
      <w:r w:rsidRPr="00B7489A">
        <w:rPr>
          <w:rFonts w:ascii="Cambria Math" w:hAnsi="Cambria Math" w:cs="Cambria Math"/>
          <w:szCs w:val="24"/>
        </w:rPr>
        <w:t>₅₀</w:t>
      </w:r>
      <w:r w:rsidRPr="00B7489A">
        <w:rPr>
          <w:rFonts w:ascii="Arial" w:hAnsi="Arial" w:cs="Arial"/>
          <w:szCs w:val="24"/>
        </w:rPr>
        <w:t xml:space="preserve"> value for the radicle may be lower than that of the plumule.</w:t>
      </w:r>
      <w:r w:rsidRPr="00B7489A">
        <w:rPr>
          <w:rFonts w:ascii="Arial" w:hAnsi="Arial" w:cs="Arial"/>
          <w:bCs/>
          <w:szCs w:val="24"/>
        </w:rPr>
        <w:t xml:space="preserve"> </w:t>
      </w:r>
      <w:r w:rsidRPr="00B7489A">
        <w:rPr>
          <w:rFonts w:ascii="Arial" w:hAnsi="Arial" w:cs="Arial"/>
          <w:bCs/>
          <w:szCs w:val="24"/>
        </w:rPr>
        <w:tab/>
      </w:r>
      <w:r w:rsidR="00712EAC" w:rsidRPr="00712EAC">
        <w:rPr>
          <w:rFonts w:ascii="Arial" w:hAnsi="Arial" w:cs="Arial"/>
          <w:bCs/>
          <w:szCs w:val="24"/>
        </w:rPr>
        <w:t xml:space="preserve">This finding is supported by recent research by (Xuan </w:t>
      </w:r>
      <w:r w:rsidR="003A0BD8" w:rsidRPr="003A0BD8">
        <w:rPr>
          <w:rFonts w:ascii="Arial" w:hAnsi="Arial" w:cs="Arial"/>
          <w:bCs/>
          <w:i/>
          <w:iCs/>
          <w:szCs w:val="24"/>
        </w:rPr>
        <w:t>et al</w:t>
      </w:r>
      <w:r w:rsidR="00A7434B">
        <w:rPr>
          <w:rFonts w:ascii="Arial" w:hAnsi="Arial" w:cs="Arial"/>
          <w:bCs/>
          <w:szCs w:val="24"/>
        </w:rPr>
        <w:t>., 2009</w:t>
      </w:r>
      <w:r w:rsidR="00712EAC" w:rsidRPr="00712EAC">
        <w:rPr>
          <w:rFonts w:ascii="Arial" w:hAnsi="Arial" w:cs="Arial"/>
          <w:bCs/>
          <w:szCs w:val="24"/>
        </w:rPr>
        <w:t xml:space="preserve">), phenolic compounds in </w:t>
      </w:r>
      <w:proofErr w:type="spellStart"/>
      <w:r w:rsidR="00712EAC" w:rsidRPr="00712EAC">
        <w:rPr>
          <w:rFonts w:ascii="Arial" w:hAnsi="Arial" w:cs="Arial"/>
          <w:bCs/>
          <w:szCs w:val="24"/>
        </w:rPr>
        <w:t>cogongrass</w:t>
      </w:r>
      <w:proofErr w:type="spellEnd"/>
      <w:r w:rsidR="00712EAC" w:rsidRPr="00712EAC">
        <w:rPr>
          <w:rFonts w:ascii="Arial" w:hAnsi="Arial" w:cs="Arial"/>
          <w:bCs/>
          <w:szCs w:val="24"/>
        </w:rPr>
        <w:t xml:space="preserve"> extract, such as ferulic acid and p-coumaric acid, are more effective in inhibiting α-amylase activity and cell elongation. Additionally, a study by (</w:t>
      </w:r>
      <w:proofErr w:type="spellStart"/>
      <w:r w:rsidR="00712EAC" w:rsidRPr="00712EAC">
        <w:rPr>
          <w:rFonts w:ascii="Arial" w:hAnsi="Arial" w:cs="Arial"/>
          <w:bCs/>
          <w:szCs w:val="24"/>
        </w:rPr>
        <w:t>Pudełkoa</w:t>
      </w:r>
      <w:proofErr w:type="spellEnd"/>
      <w:r w:rsidR="00712EAC" w:rsidRPr="00712EAC">
        <w:rPr>
          <w:rFonts w:ascii="Arial" w:hAnsi="Arial" w:cs="Arial"/>
          <w:bCs/>
          <w:szCs w:val="24"/>
        </w:rPr>
        <w:t xml:space="preserve"> </w:t>
      </w:r>
      <w:r w:rsidR="003A0BD8" w:rsidRPr="003A0BD8">
        <w:rPr>
          <w:rFonts w:ascii="Arial" w:hAnsi="Arial" w:cs="Arial"/>
          <w:bCs/>
          <w:i/>
          <w:iCs/>
          <w:szCs w:val="24"/>
        </w:rPr>
        <w:t>et al</w:t>
      </w:r>
      <w:r w:rsidR="00712EAC" w:rsidRPr="00712EAC">
        <w:rPr>
          <w:rFonts w:ascii="Arial" w:hAnsi="Arial" w:cs="Arial"/>
          <w:bCs/>
          <w:szCs w:val="24"/>
        </w:rPr>
        <w:t xml:space="preserve">., 2014) explains that monocots lignin and silica rich cell walls provide greater resistance to allelopathic compounds. </w:t>
      </w:r>
    </w:p>
    <w:p w14:paraId="494F6B9B" w14:textId="234FC272" w:rsidR="007005A7" w:rsidRPr="00B7489A" w:rsidRDefault="00B7489A" w:rsidP="00712EAC">
      <w:pPr>
        <w:jc w:val="both"/>
        <w:rPr>
          <w:rFonts w:ascii="Arial" w:hAnsi="Arial" w:cs="Arial"/>
          <w:b/>
        </w:rPr>
      </w:pPr>
      <w:r w:rsidRPr="00B7489A">
        <w:rPr>
          <w:rFonts w:ascii="Arial" w:hAnsi="Arial" w:cs="Arial"/>
          <w:b/>
        </w:rPr>
        <w:t>3.</w:t>
      </w:r>
      <w:r w:rsidR="009746D4">
        <w:rPr>
          <w:rFonts w:ascii="Arial" w:hAnsi="Arial" w:cs="Arial"/>
          <w:b/>
        </w:rPr>
        <w:t>3</w:t>
      </w:r>
      <w:r w:rsidRPr="00B7489A">
        <w:rPr>
          <w:rFonts w:ascii="Arial" w:hAnsi="Arial" w:cs="Arial"/>
          <w:b/>
        </w:rPr>
        <w:t xml:space="preserve"> </w:t>
      </w:r>
      <w:r w:rsidR="007005A7" w:rsidRPr="00B7489A">
        <w:rPr>
          <w:rFonts w:ascii="Arial" w:hAnsi="Arial" w:cs="Arial"/>
          <w:b/>
        </w:rPr>
        <w:t xml:space="preserve">Evaluation of the Effectiveness of </w:t>
      </w:r>
      <w:proofErr w:type="spellStart"/>
      <w:r w:rsidR="007005A7" w:rsidRPr="00B7489A">
        <w:rPr>
          <w:rFonts w:ascii="Arial" w:hAnsi="Arial" w:cs="Arial"/>
          <w:b/>
        </w:rPr>
        <w:t>Cogongrass</w:t>
      </w:r>
      <w:proofErr w:type="spellEnd"/>
      <w:r w:rsidR="007005A7" w:rsidRPr="00B7489A">
        <w:rPr>
          <w:rFonts w:ascii="Arial" w:hAnsi="Arial" w:cs="Arial"/>
          <w:b/>
        </w:rPr>
        <w:t xml:space="preserve"> Allelopathy on </w:t>
      </w:r>
      <w:r w:rsidR="007005A7" w:rsidRPr="00D1279B">
        <w:rPr>
          <w:rFonts w:ascii="Arial" w:hAnsi="Arial" w:cs="Arial"/>
          <w:b/>
        </w:rPr>
        <w:t>Cucumber Test Plant</w:t>
      </w:r>
      <w:r w:rsidR="00D1279B">
        <w:rPr>
          <w:rFonts w:ascii="Arial" w:hAnsi="Arial" w:cs="Arial"/>
          <w:b/>
        </w:rPr>
        <w:t xml:space="preserve"> in</w:t>
      </w:r>
      <w:r w:rsidR="007005A7" w:rsidRPr="00B7489A">
        <w:rPr>
          <w:rFonts w:ascii="Arial" w:hAnsi="Arial" w:cs="Arial"/>
          <w:b/>
        </w:rPr>
        <w:t xml:space="preserve"> Greenhouse</w:t>
      </w:r>
    </w:p>
    <w:p w14:paraId="06DFE2F8" w14:textId="77777777" w:rsidR="00F871AA" w:rsidRPr="002C1013" w:rsidRDefault="007005A7" w:rsidP="002C1013">
      <w:pPr>
        <w:spacing w:line="276" w:lineRule="auto"/>
        <w:ind w:firstLine="567"/>
        <w:jc w:val="both"/>
        <w:rPr>
          <w:rFonts w:ascii="Arial" w:hAnsi="Arial" w:cs="Arial"/>
          <w:shd w:val="clear" w:color="auto" w:fill="FFFFFF"/>
        </w:rPr>
      </w:pPr>
      <w:r w:rsidRPr="00B7489A">
        <w:rPr>
          <w:rFonts w:ascii="Arial" w:hAnsi="Arial" w:cs="Arial"/>
          <w:shd w:val="clear" w:color="auto" w:fill="FFFFFF"/>
        </w:rPr>
        <w:t xml:space="preserve">The allelopathic effects of </w:t>
      </w:r>
      <w:proofErr w:type="spellStart"/>
      <w:r w:rsidRPr="00B7489A">
        <w:rPr>
          <w:rFonts w:ascii="Arial" w:hAnsi="Arial" w:cs="Arial"/>
          <w:shd w:val="clear" w:color="auto" w:fill="FFFFFF"/>
        </w:rPr>
        <w:t>cogon</w:t>
      </w:r>
      <w:r w:rsidR="00D1279B">
        <w:rPr>
          <w:rFonts w:ascii="Arial" w:hAnsi="Arial" w:cs="Arial"/>
          <w:shd w:val="clear" w:color="auto" w:fill="FFFFFF"/>
        </w:rPr>
        <w:t>grass</w:t>
      </w:r>
      <w:proofErr w:type="spellEnd"/>
      <w:r w:rsidR="00D1279B">
        <w:rPr>
          <w:rFonts w:ascii="Arial" w:hAnsi="Arial" w:cs="Arial"/>
          <w:shd w:val="clear" w:color="auto" w:fill="FFFFFF"/>
        </w:rPr>
        <w:t xml:space="preserve"> significantly inhibit </w:t>
      </w:r>
      <w:r w:rsidRPr="00B7489A">
        <w:rPr>
          <w:rFonts w:ascii="Arial" w:hAnsi="Arial" w:cs="Arial"/>
          <w:shd w:val="clear" w:color="auto" w:fill="FFFFFF"/>
        </w:rPr>
        <w:t>growth and yield parameters in cucumber, including plant height, leaf number, root and shoot dry weight, leaf greenness, fruit number, diameter and length, individual fruit weight, total fruit yield, marketable fruit nu</w:t>
      </w:r>
      <w:r w:rsidR="00621BB4">
        <w:rPr>
          <w:rFonts w:ascii="Arial" w:hAnsi="Arial" w:cs="Arial"/>
          <w:shd w:val="clear" w:color="auto" w:fill="FFFFFF"/>
        </w:rPr>
        <w:t xml:space="preserve">mber, and weight. However, </w:t>
      </w:r>
      <w:r w:rsidRPr="00B7489A">
        <w:rPr>
          <w:rFonts w:ascii="Arial" w:hAnsi="Arial" w:cs="Arial"/>
          <w:shd w:val="clear" w:color="auto" w:fill="FFFFFF"/>
        </w:rPr>
        <w:t>shoot</w:t>
      </w:r>
      <w:r w:rsidR="00621BB4">
        <w:rPr>
          <w:rFonts w:ascii="Arial" w:hAnsi="Arial" w:cs="Arial"/>
          <w:shd w:val="clear" w:color="auto" w:fill="FFFFFF"/>
        </w:rPr>
        <w:t>-root</w:t>
      </w:r>
      <w:r w:rsidRPr="00B7489A">
        <w:rPr>
          <w:rFonts w:ascii="Arial" w:hAnsi="Arial" w:cs="Arial"/>
          <w:shd w:val="clear" w:color="auto" w:fill="FFFFFF"/>
        </w:rPr>
        <w:t xml:space="preserve"> ratio, RSL (Relative shoot lengt</w:t>
      </w:r>
      <w:r w:rsidR="00621BB4">
        <w:rPr>
          <w:rFonts w:ascii="Arial" w:hAnsi="Arial" w:cs="Arial"/>
          <w:shd w:val="clear" w:color="auto" w:fill="FFFFFF"/>
        </w:rPr>
        <w:t>h), and RRSW (Relative root shoot</w:t>
      </w:r>
      <w:r w:rsidRPr="00B7489A">
        <w:rPr>
          <w:rFonts w:ascii="Arial" w:hAnsi="Arial" w:cs="Arial"/>
          <w:shd w:val="clear" w:color="auto" w:fill="FFFFFF"/>
        </w:rPr>
        <w:t xml:space="preserve"> weight)</w:t>
      </w:r>
      <w:r w:rsidRPr="00B7489A">
        <w:rPr>
          <w:rFonts w:ascii="Arial" w:hAnsi="Arial" w:cs="Arial"/>
          <w:color w:val="FF0000"/>
          <w:shd w:val="clear" w:color="auto" w:fill="FFFFFF"/>
        </w:rPr>
        <w:t xml:space="preserve"> </w:t>
      </w:r>
      <w:r w:rsidR="00D1279B">
        <w:rPr>
          <w:rFonts w:ascii="Arial" w:hAnsi="Arial" w:cs="Arial"/>
          <w:shd w:val="clear" w:color="auto" w:fill="FFFFFF"/>
        </w:rPr>
        <w:t>remained unaffected (Table 3).</w:t>
      </w:r>
    </w:p>
    <w:p w14:paraId="5612E669" w14:textId="77777777" w:rsidR="007005A7" w:rsidRPr="00B7489A" w:rsidRDefault="007005A7" w:rsidP="002C1013">
      <w:pPr>
        <w:pStyle w:val="Caption"/>
        <w:keepNext/>
        <w:spacing w:after="0" w:line="276" w:lineRule="auto"/>
        <w:jc w:val="center"/>
        <w:rPr>
          <w:rFonts w:ascii="Arial" w:hAnsi="Arial" w:cs="Arial"/>
          <w:b w:val="0"/>
          <w:color w:val="FF0000"/>
          <w:sz w:val="20"/>
          <w:szCs w:val="20"/>
        </w:rPr>
      </w:pPr>
      <w:r w:rsidRPr="00B7489A">
        <w:rPr>
          <w:rFonts w:ascii="Arial" w:hAnsi="Arial" w:cs="Arial"/>
          <w:b w:val="0"/>
          <w:color w:val="000000" w:themeColor="text1"/>
          <w:sz w:val="20"/>
          <w:szCs w:val="20"/>
          <w:lang w:val="en-US"/>
        </w:rPr>
        <w:t>Table 3. Summary of variance analysis for growth and yield variables of cucumber</w:t>
      </w:r>
    </w:p>
    <w:tbl>
      <w:tblPr>
        <w:tblW w:w="7655" w:type="dxa"/>
        <w:jc w:val="center"/>
        <w:tblLook w:val="04A0" w:firstRow="1" w:lastRow="0" w:firstColumn="1" w:lastColumn="0" w:noHBand="0" w:noVBand="1"/>
      </w:tblPr>
      <w:tblGrid>
        <w:gridCol w:w="2977"/>
        <w:gridCol w:w="1701"/>
        <w:gridCol w:w="1134"/>
        <w:gridCol w:w="992"/>
        <w:gridCol w:w="851"/>
      </w:tblGrid>
      <w:tr w:rsidR="007005A7" w:rsidRPr="00B7489A" w14:paraId="5A1DF222" w14:textId="77777777" w:rsidTr="00621BB4">
        <w:trPr>
          <w:trHeight w:val="465"/>
          <w:jc w:val="center"/>
        </w:trPr>
        <w:tc>
          <w:tcPr>
            <w:tcW w:w="2977" w:type="dxa"/>
            <w:tcBorders>
              <w:top w:val="single" w:sz="4" w:space="0" w:color="auto"/>
              <w:left w:val="nil"/>
              <w:bottom w:val="single" w:sz="4" w:space="0" w:color="auto"/>
              <w:right w:val="nil"/>
            </w:tcBorders>
            <w:shd w:val="clear" w:color="auto" w:fill="auto"/>
            <w:noWrap/>
            <w:vAlign w:val="center"/>
            <w:hideMark/>
          </w:tcPr>
          <w:p w14:paraId="2E1E2B54" w14:textId="77777777" w:rsidR="007005A7" w:rsidRPr="00B7489A" w:rsidRDefault="007005A7" w:rsidP="007005A7">
            <w:pPr>
              <w:jc w:val="both"/>
              <w:rPr>
                <w:rFonts w:ascii="Arial" w:hAnsi="Arial" w:cs="Arial"/>
                <w:color w:val="000000"/>
              </w:rPr>
            </w:pPr>
            <w:r w:rsidRPr="00B7489A">
              <w:rPr>
                <w:rFonts w:ascii="Arial" w:hAnsi="Arial" w:cs="Arial"/>
                <w:color w:val="000000"/>
              </w:rPr>
              <w:t>Variables</w:t>
            </w:r>
          </w:p>
        </w:tc>
        <w:tc>
          <w:tcPr>
            <w:tcW w:w="1701" w:type="dxa"/>
            <w:tcBorders>
              <w:top w:val="single" w:sz="4" w:space="0" w:color="auto"/>
              <w:left w:val="nil"/>
              <w:bottom w:val="single" w:sz="4" w:space="0" w:color="auto"/>
              <w:right w:val="nil"/>
            </w:tcBorders>
            <w:shd w:val="clear" w:color="auto" w:fill="auto"/>
            <w:noWrap/>
            <w:vAlign w:val="center"/>
            <w:hideMark/>
          </w:tcPr>
          <w:p w14:paraId="5670FF8B" w14:textId="77777777" w:rsidR="007005A7" w:rsidRPr="00B7489A" w:rsidRDefault="007005A7" w:rsidP="007005A7">
            <w:pPr>
              <w:jc w:val="right"/>
              <w:rPr>
                <w:rFonts w:ascii="Arial" w:hAnsi="Arial" w:cs="Arial"/>
                <w:color w:val="000000"/>
              </w:rPr>
            </w:pPr>
            <w:r w:rsidRPr="00B7489A">
              <w:rPr>
                <w:rFonts w:ascii="Arial" w:hAnsi="Arial" w:cs="Arial"/>
                <w:color w:val="000000"/>
              </w:rPr>
              <w:t>F-Calc</w:t>
            </w:r>
          </w:p>
        </w:tc>
        <w:tc>
          <w:tcPr>
            <w:tcW w:w="1134" w:type="dxa"/>
            <w:tcBorders>
              <w:top w:val="single" w:sz="4" w:space="0" w:color="auto"/>
              <w:left w:val="nil"/>
              <w:bottom w:val="single" w:sz="4" w:space="0" w:color="auto"/>
              <w:right w:val="nil"/>
            </w:tcBorders>
            <w:shd w:val="clear" w:color="auto" w:fill="auto"/>
            <w:noWrap/>
            <w:vAlign w:val="center"/>
            <w:hideMark/>
          </w:tcPr>
          <w:p w14:paraId="48086305" w14:textId="77777777" w:rsidR="007005A7" w:rsidRPr="00B7489A" w:rsidRDefault="007005A7" w:rsidP="007005A7">
            <w:pPr>
              <w:jc w:val="right"/>
              <w:rPr>
                <w:rFonts w:ascii="Arial" w:hAnsi="Arial" w:cs="Arial"/>
                <w:color w:val="000000"/>
              </w:rPr>
            </w:pPr>
            <w:r w:rsidRPr="00B7489A">
              <w:rPr>
                <w:rFonts w:ascii="Arial" w:hAnsi="Arial" w:cs="Arial"/>
                <w:color w:val="000000"/>
              </w:rPr>
              <w:t>CV (%)</w:t>
            </w:r>
          </w:p>
        </w:tc>
        <w:tc>
          <w:tcPr>
            <w:tcW w:w="992" w:type="dxa"/>
            <w:tcBorders>
              <w:top w:val="single" w:sz="4" w:space="0" w:color="auto"/>
              <w:left w:val="nil"/>
              <w:bottom w:val="single" w:sz="4" w:space="0" w:color="auto"/>
              <w:right w:val="nil"/>
            </w:tcBorders>
            <w:shd w:val="clear" w:color="auto" w:fill="auto"/>
            <w:noWrap/>
            <w:vAlign w:val="center"/>
            <w:hideMark/>
          </w:tcPr>
          <w:p w14:paraId="04CB8366" w14:textId="77777777" w:rsidR="007005A7" w:rsidRPr="00B7489A" w:rsidRDefault="00621BB4" w:rsidP="00621BB4">
            <w:pPr>
              <w:jc w:val="center"/>
              <w:rPr>
                <w:rFonts w:ascii="Arial" w:hAnsi="Arial" w:cs="Arial"/>
                <w:color w:val="000000"/>
              </w:rPr>
            </w:pPr>
            <w:r>
              <w:rPr>
                <w:rFonts w:ascii="Arial" w:hAnsi="Arial" w:cs="Arial"/>
                <w:color w:val="000000"/>
              </w:rPr>
              <w:t>F (</w:t>
            </w:r>
            <w:r w:rsidR="007005A7" w:rsidRPr="00B7489A">
              <w:rPr>
                <w:rFonts w:ascii="Arial" w:hAnsi="Arial" w:cs="Arial"/>
                <w:color w:val="000000"/>
              </w:rPr>
              <w:t>5 %</w:t>
            </w:r>
            <w:r>
              <w:rPr>
                <w:rFonts w:ascii="Arial" w:hAnsi="Arial" w:cs="Arial"/>
                <w:color w:val="000000"/>
              </w:rPr>
              <w:t>)</w:t>
            </w:r>
          </w:p>
        </w:tc>
        <w:tc>
          <w:tcPr>
            <w:tcW w:w="851" w:type="dxa"/>
            <w:tcBorders>
              <w:top w:val="single" w:sz="4" w:space="0" w:color="auto"/>
              <w:left w:val="nil"/>
              <w:bottom w:val="single" w:sz="4" w:space="0" w:color="auto"/>
              <w:right w:val="nil"/>
            </w:tcBorders>
            <w:shd w:val="clear" w:color="auto" w:fill="auto"/>
            <w:noWrap/>
            <w:vAlign w:val="center"/>
            <w:hideMark/>
          </w:tcPr>
          <w:p w14:paraId="0E7C8599" w14:textId="77777777" w:rsidR="007005A7" w:rsidRPr="00B7489A" w:rsidRDefault="007005A7" w:rsidP="007005A7">
            <w:pPr>
              <w:jc w:val="center"/>
              <w:rPr>
                <w:rFonts w:ascii="Arial" w:hAnsi="Arial" w:cs="Arial"/>
                <w:color w:val="000000"/>
              </w:rPr>
            </w:pPr>
            <w:r w:rsidRPr="00B7489A">
              <w:rPr>
                <w:rFonts w:ascii="Arial" w:hAnsi="Arial" w:cs="Arial"/>
                <w:color w:val="000000"/>
              </w:rPr>
              <w:t>F</w:t>
            </w:r>
            <w:r w:rsidR="00621BB4">
              <w:rPr>
                <w:rFonts w:ascii="Arial" w:hAnsi="Arial" w:cs="Arial"/>
                <w:color w:val="000000"/>
              </w:rPr>
              <w:t xml:space="preserve"> (</w:t>
            </w:r>
            <w:r w:rsidRPr="00B7489A">
              <w:rPr>
                <w:rFonts w:ascii="Arial" w:hAnsi="Arial" w:cs="Arial"/>
                <w:color w:val="000000"/>
              </w:rPr>
              <w:t>1%</w:t>
            </w:r>
            <w:r w:rsidR="00621BB4">
              <w:rPr>
                <w:rFonts w:ascii="Arial" w:hAnsi="Arial" w:cs="Arial"/>
                <w:color w:val="000000"/>
              </w:rPr>
              <w:t>)</w:t>
            </w:r>
          </w:p>
        </w:tc>
      </w:tr>
      <w:tr w:rsidR="007005A7" w:rsidRPr="00B7489A" w14:paraId="7E4B9BF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DEDAFE" w14:textId="77777777" w:rsidR="007005A7" w:rsidRPr="00B7489A" w:rsidRDefault="007005A7" w:rsidP="007005A7">
            <w:pPr>
              <w:rPr>
                <w:rFonts w:ascii="Arial" w:hAnsi="Arial" w:cs="Arial"/>
                <w:color w:val="000000"/>
              </w:rPr>
            </w:pPr>
            <w:r w:rsidRPr="00B7489A">
              <w:rPr>
                <w:rFonts w:ascii="Arial" w:hAnsi="Arial" w:cs="Arial"/>
                <w:color w:val="000000"/>
              </w:rPr>
              <w:t>Plant height</w:t>
            </w:r>
          </w:p>
        </w:tc>
        <w:tc>
          <w:tcPr>
            <w:tcW w:w="1701" w:type="dxa"/>
            <w:tcBorders>
              <w:top w:val="nil"/>
              <w:left w:val="nil"/>
              <w:bottom w:val="nil"/>
              <w:right w:val="nil"/>
            </w:tcBorders>
            <w:shd w:val="clear" w:color="auto" w:fill="auto"/>
            <w:noWrap/>
            <w:vAlign w:val="center"/>
            <w:hideMark/>
          </w:tcPr>
          <w:p w14:paraId="0584178C" w14:textId="77777777" w:rsidR="007005A7" w:rsidRPr="00B7489A" w:rsidRDefault="007005A7" w:rsidP="007005A7">
            <w:pPr>
              <w:jc w:val="right"/>
              <w:rPr>
                <w:rFonts w:ascii="Arial" w:hAnsi="Arial" w:cs="Arial"/>
                <w:color w:val="000000"/>
              </w:rPr>
            </w:pPr>
            <w:r w:rsidRPr="00B7489A">
              <w:rPr>
                <w:rFonts w:ascii="Arial" w:hAnsi="Arial" w:cs="Arial"/>
                <w:color w:val="000000"/>
              </w:rPr>
              <w:t>13.76**</w:t>
            </w:r>
          </w:p>
        </w:tc>
        <w:tc>
          <w:tcPr>
            <w:tcW w:w="1134" w:type="dxa"/>
            <w:tcBorders>
              <w:top w:val="nil"/>
              <w:left w:val="nil"/>
              <w:bottom w:val="nil"/>
              <w:right w:val="nil"/>
            </w:tcBorders>
            <w:shd w:val="clear" w:color="auto" w:fill="auto"/>
            <w:noWrap/>
            <w:vAlign w:val="center"/>
            <w:hideMark/>
          </w:tcPr>
          <w:p w14:paraId="3787FE19" w14:textId="77777777" w:rsidR="007005A7" w:rsidRPr="00B7489A" w:rsidRDefault="007005A7" w:rsidP="007005A7">
            <w:pPr>
              <w:jc w:val="right"/>
              <w:rPr>
                <w:rFonts w:ascii="Arial" w:hAnsi="Arial" w:cs="Arial"/>
                <w:color w:val="000000"/>
              </w:rPr>
            </w:pPr>
            <w:r w:rsidRPr="00B7489A">
              <w:rPr>
                <w:rFonts w:ascii="Arial" w:hAnsi="Arial" w:cs="Arial"/>
                <w:color w:val="000000"/>
              </w:rPr>
              <w:t>4.63</w:t>
            </w:r>
          </w:p>
        </w:tc>
        <w:tc>
          <w:tcPr>
            <w:tcW w:w="992" w:type="dxa"/>
            <w:vMerge w:val="restart"/>
            <w:tcBorders>
              <w:top w:val="nil"/>
              <w:left w:val="nil"/>
              <w:bottom w:val="nil"/>
              <w:right w:val="nil"/>
            </w:tcBorders>
            <w:shd w:val="clear" w:color="auto" w:fill="auto"/>
            <w:noWrap/>
            <w:vAlign w:val="center"/>
            <w:hideMark/>
          </w:tcPr>
          <w:p w14:paraId="772BCD4F"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nil"/>
              <w:right w:val="nil"/>
            </w:tcBorders>
            <w:shd w:val="clear" w:color="auto" w:fill="auto"/>
            <w:noWrap/>
            <w:vAlign w:val="center"/>
            <w:hideMark/>
          </w:tcPr>
          <w:p w14:paraId="667053CC"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3D4934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5AA366E" w14:textId="77777777" w:rsidR="007005A7" w:rsidRPr="00B7489A" w:rsidRDefault="007005A7" w:rsidP="007005A7">
            <w:pPr>
              <w:rPr>
                <w:rFonts w:ascii="Arial" w:hAnsi="Arial" w:cs="Arial"/>
                <w:color w:val="000000"/>
              </w:rPr>
            </w:pPr>
            <w:r w:rsidRPr="00B7489A">
              <w:rPr>
                <w:rFonts w:ascii="Arial" w:hAnsi="Arial" w:cs="Arial"/>
                <w:color w:val="000000"/>
              </w:rPr>
              <w:t>Number of leaves</w:t>
            </w:r>
          </w:p>
        </w:tc>
        <w:tc>
          <w:tcPr>
            <w:tcW w:w="1701" w:type="dxa"/>
            <w:tcBorders>
              <w:top w:val="nil"/>
              <w:left w:val="nil"/>
              <w:bottom w:val="nil"/>
              <w:right w:val="nil"/>
            </w:tcBorders>
            <w:shd w:val="clear" w:color="auto" w:fill="auto"/>
            <w:noWrap/>
            <w:vAlign w:val="center"/>
            <w:hideMark/>
          </w:tcPr>
          <w:p w14:paraId="5DF6F7B2" w14:textId="3C636C0F" w:rsidR="007005A7" w:rsidRPr="00B7489A" w:rsidRDefault="006E1E09" w:rsidP="007005A7">
            <w:pPr>
              <w:jc w:val="right"/>
              <w:rPr>
                <w:rFonts w:ascii="Arial" w:hAnsi="Arial" w:cs="Arial"/>
                <w:color w:val="000000"/>
              </w:rPr>
            </w:pPr>
            <w:r>
              <w:rPr>
                <w:rFonts w:ascii="Arial" w:hAnsi="Arial" w:cs="Arial"/>
                <w:color w:val="000000"/>
              </w:rPr>
              <w:t>4.71</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66894A6B" w14:textId="143BF975" w:rsidR="007005A7" w:rsidRPr="00B7489A" w:rsidRDefault="006E1E09" w:rsidP="007005A7">
            <w:pPr>
              <w:jc w:val="right"/>
              <w:rPr>
                <w:rFonts w:ascii="Arial" w:hAnsi="Arial" w:cs="Arial"/>
                <w:color w:val="000000"/>
              </w:rPr>
            </w:pPr>
            <w:r>
              <w:rPr>
                <w:rFonts w:ascii="Arial" w:hAnsi="Arial" w:cs="Arial"/>
                <w:color w:val="000000"/>
              </w:rPr>
              <w:t>6.78</w:t>
            </w:r>
          </w:p>
        </w:tc>
        <w:tc>
          <w:tcPr>
            <w:tcW w:w="992" w:type="dxa"/>
            <w:vMerge/>
            <w:tcBorders>
              <w:top w:val="nil"/>
              <w:left w:val="nil"/>
              <w:bottom w:val="nil"/>
              <w:right w:val="nil"/>
            </w:tcBorders>
            <w:vAlign w:val="center"/>
            <w:hideMark/>
          </w:tcPr>
          <w:p w14:paraId="3BF8D425"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53EF7126" w14:textId="77777777" w:rsidR="007005A7" w:rsidRPr="00B7489A" w:rsidRDefault="007005A7" w:rsidP="007005A7">
            <w:pPr>
              <w:rPr>
                <w:rFonts w:ascii="Arial" w:hAnsi="Arial" w:cs="Arial"/>
                <w:color w:val="000000"/>
              </w:rPr>
            </w:pPr>
          </w:p>
        </w:tc>
      </w:tr>
      <w:tr w:rsidR="007005A7" w:rsidRPr="00B7489A" w14:paraId="137EF564"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D21CCED" w14:textId="77777777" w:rsidR="007005A7" w:rsidRPr="00B7489A" w:rsidRDefault="007005A7" w:rsidP="007005A7">
            <w:pPr>
              <w:rPr>
                <w:rFonts w:ascii="Arial" w:hAnsi="Arial" w:cs="Arial"/>
                <w:color w:val="000000"/>
              </w:rPr>
            </w:pPr>
            <w:r w:rsidRPr="00B7489A">
              <w:rPr>
                <w:rFonts w:ascii="Arial" w:hAnsi="Arial" w:cs="Arial"/>
                <w:color w:val="000000"/>
              </w:rPr>
              <w:t xml:space="preserve">Leaf Area </w:t>
            </w:r>
          </w:p>
        </w:tc>
        <w:tc>
          <w:tcPr>
            <w:tcW w:w="1701" w:type="dxa"/>
            <w:tcBorders>
              <w:top w:val="nil"/>
              <w:left w:val="nil"/>
              <w:bottom w:val="nil"/>
              <w:right w:val="nil"/>
            </w:tcBorders>
            <w:shd w:val="clear" w:color="auto" w:fill="auto"/>
            <w:noWrap/>
            <w:vAlign w:val="center"/>
            <w:hideMark/>
          </w:tcPr>
          <w:p w14:paraId="04BF6F4D" w14:textId="77777777" w:rsidR="007005A7" w:rsidRPr="00B7489A" w:rsidRDefault="007005A7" w:rsidP="007005A7">
            <w:pPr>
              <w:jc w:val="right"/>
              <w:rPr>
                <w:rFonts w:ascii="Arial" w:hAnsi="Arial" w:cs="Arial"/>
                <w:color w:val="000000"/>
              </w:rPr>
            </w:pPr>
            <w:r w:rsidRPr="00B7489A">
              <w:rPr>
                <w:rFonts w:ascii="Arial" w:hAnsi="Arial" w:cs="Arial"/>
                <w:color w:val="000000"/>
              </w:rPr>
              <w:t>8.14**</w:t>
            </w:r>
          </w:p>
        </w:tc>
        <w:tc>
          <w:tcPr>
            <w:tcW w:w="1134" w:type="dxa"/>
            <w:tcBorders>
              <w:top w:val="nil"/>
              <w:left w:val="nil"/>
              <w:bottom w:val="nil"/>
              <w:right w:val="nil"/>
            </w:tcBorders>
            <w:shd w:val="clear" w:color="auto" w:fill="auto"/>
            <w:noWrap/>
            <w:vAlign w:val="center"/>
            <w:hideMark/>
          </w:tcPr>
          <w:p w14:paraId="3F1D9039" w14:textId="77777777" w:rsidR="007005A7" w:rsidRPr="00B7489A" w:rsidRDefault="007005A7" w:rsidP="007005A7">
            <w:pPr>
              <w:jc w:val="right"/>
              <w:rPr>
                <w:rFonts w:ascii="Arial" w:hAnsi="Arial" w:cs="Arial"/>
                <w:color w:val="000000"/>
              </w:rPr>
            </w:pPr>
            <w:r w:rsidRPr="00B7489A">
              <w:rPr>
                <w:rFonts w:ascii="Arial" w:hAnsi="Arial" w:cs="Arial"/>
                <w:color w:val="000000"/>
              </w:rPr>
              <w:t>26.25</w:t>
            </w:r>
          </w:p>
        </w:tc>
        <w:tc>
          <w:tcPr>
            <w:tcW w:w="992" w:type="dxa"/>
            <w:vMerge/>
            <w:tcBorders>
              <w:top w:val="nil"/>
              <w:left w:val="nil"/>
              <w:bottom w:val="nil"/>
              <w:right w:val="nil"/>
            </w:tcBorders>
            <w:vAlign w:val="center"/>
            <w:hideMark/>
          </w:tcPr>
          <w:p w14:paraId="6C32BDD6"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71A9A07E" w14:textId="77777777" w:rsidR="007005A7" w:rsidRPr="00B7489A" w:rsidRDefault="007005A7" w:rsidP="007005A7">
            <w:pPr>
              <w:rPr>
                <w:rFonts w:ascii="Arial" w:hAnsi="Arial" w:cs="Arial"/>
                <w:color w:val="000000"/>
              </w:rPr>
            </w:pPr>
          </w:p>
        </w:tc>
      </w:tr>
      <w:tr w:rsidR="007005A7" w:rsidRPr="00B7489A" w14:paraId="067F82B2"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0898BB4C" w14:textId="77777777" w:rsidR="007005A7" w:rsidRPr="00B7489A" w:rsidRDefault="007005A7" w:rsidP="007005A7">
            <w:pPr>
              <w:rPr>
                <w:rFonts w:ascii="Arial" w:hAnsi="Arial" w:cs="Arial"/>
                <w:color w:val="000000"/>
              </w:rPr>
            </w:pPr>
            <w:r w:rsidRPr="00B7489A">
              <w:rPr>
                <w:rFonts w:ascii="Arial" w:hAnsi="Arial" w:cs="Arial"/>
                <w:color w:val="000000"/>
              </w:rPr>
              <w:t>Leaf greenness</w:t>
            </w:r>
          </w:p>
        </w:tc>
        <w:tc>
          <w:tcPr>
            <w:tcW w:w="1701" w:type="dxa"/>
            <w:tcBorders>
              <w:top w:val="nil"/>
              <w:left w:val="nil"/>
              <w:bottom w:val="nil"/>
              <w:right w:val="nil"/>
            </w:tcBorders>
            <w:shd w:val="clear" w:color="auto" w:fill="auto"/>
            <w:noWrap/>
            <w:vAlign w:val="center"/>
            <w:hideMark/>
          </w:tcPr>
          <w:p w14:paraId="66560E66" w14:textId="77777777" w:rsidR="007005A7" w:rsidRPr="00B7489A" w:rsidRDefault="007005A7" w:rsidP="007005A7">
            <w:pPr>
              <w:jc w:val="right"/>
              <w:rPr>
                <w:rFonts w:ascii="Arial" w:hAnsi="Arial" w:cs="Arial"/>
                <w:color w:val="000000"/>
              </w:rPr>
            </w:pPr>
            <w:r w:rsidRPr="00B7489A">
              <w:rPr>
                <w:rFonts w:ascii="Arial" w:hAnsi="Arial" w:cs="Arial"/>
                <w:color w:val="000000"/>
              </w:rPr>
              <w:t>10.40**</w:t>
            </w:r>
          </w:p>
        </w:tc>
        <w:tc>
          <w:tcPr>
            <w:tcW w:w="1134" w:type="dxa"/>
            <w:tcBorders>
              <w:top w:val="nil"/>
              <w:left w:val="nil"/>
              <w:bottom w:val="nil"/>
              <w:right w:val="nil"/>
            </w:tcBorders>
            <w:shd w:val="clear" w:color="auto" w:fill="auto"/>
            <w:noWrap/>
            <w:vAlign w:val="center"/>
            <w:hideMark/>
          </w:tcPr>
          <w:p w14:paraId="0E735D50" w14:textId="77777777" w:rsidR="007005A7" w:rsidRPr="00B7489A" w:rsidRDefault="007005A7" w:rsidP="007005A7">
            <w:pPr>
              <w:jc w:val="right"/>
              <w:rPr>
                <w:rFonts w:ascii="Arial" w:hAnsi="Arial" w:cs="Arial"/>
                <w:color w:val="000000"/>
              </w:rPr>
            </w:pPr>
            <w:r w:rsidRPr="00B7489A">
              <w:rPr>
                <w:rFonts w:ascii="Arial" w:hAnsi="Arial" w:cs="Arial"/>
                <w:color w:val="000000"/>
              </w:rPr>
              <w:t>5.32</w:t>
            </w:r>
          </w:p>
        </w:tc>
        <w:tc>
          <w:tcPr>
            <w:tcW w:w="992" w:type="dxa"/>
            <w:vMerge/>
            <w:tcBorders>
              <w:top w:val="nil"/>
              <w:left w:val="nil"/>
              <w:bottom w:val="nil"/>
              <w:right w:val="nil"/>
            </w:tcBorders>
            <w:vAlign w:val="center"/>
            <w:hideMark/>
          </w:tcPr>
          <w:p w14:paraId="7ACF7C02"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04D5508A" w14:textId="77777777" w:rsidR="007005A7" w:rsidRPr="00B7489A" w:rsidRDefault="007005A7" w:rsidP="007005A7">
            <w:pPr>
              <w:rPr>
                <w:rFonts w:ascii="Arial" w:hAnsi="Arial" w:cs="Arial"/>
                <w:color w:val="000000"/>
              </w:rPr>
            </w:pPr>
          </w:p>
        </w:tc>
      </w:tr>
      <w:tr w:rsidR="007005A7" w:rsidRPr="00B7489A" w14:paraId="4F1DE391"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4C5A1DB" w14:textId="77777777" w:rsidR="007005A7" w:rsidRPr="00B7489A" w:rsidRDefault="007005A7" w:rsidP="007005A7">
            <w:pPr>
              <w:rPr>
                <w:rFonts w:ascii="Arial" w:hAnsi="Arial" w:cs="Arial"/>
                <w:color w:val="000000"/>
              </w:rPr>
            </w:pPr>
            <w:r w:rsidRPr="00B7489A">
              <w:rPr>
                <w:rFonts w:ascii="Arial" w:hAnsi="Arial" w:cs="Arial"/>
                <w:color w:val="000000"/>
              </w:rPr>
              <w:t>Root dry weight</w:t>
            </w:r>
          </w:p>
        </w:tc>
        <w:tc>
          <w:tcPr>
            <w:tcW w:w="1701" w:type="dxa"/>
            <w:tcBorders>
              <w:top w:val="nil"/>
              <w:left w:val="nil"/>
              <w:bottom w:val="nil"/>
              <w:right w:val="nil"/>
            </w:tcBorders>
            <w:shd w:val="clear" w:color="auto" w:fill="auto"/>
            <w:noWrap/>
            <w:vAlign w:val="center"/>
            <w:hideMark/>
          </w:tcPr>
          <w:p w14:paraId="0CDF3B6F" w14:textId="77777777" w:rsidR="007005A7" w:rsidRPr="00B7489A" w:rsidRDefault="007005A7" w:rsidP="007005A7">
            <w:pPr>
              <w:jc w:val="right"/>
              <w:rPr>
                <w:rFonts w:ascii="Arial" w:hAnsi="Arial" w:cs="Arial"/>
                <w:color w:val="000000"/>
              </w:rPr>
            </w:pPr>
            <w:r w:rsidRPr="00B7489A">
              <w:rPr>
                <w:rFonts w:ascii="Arial" w:hAnsi="Arial" w:cs="Arial"/>
                <w:color w:val="000000"/>
              </w:rPr>
              <w:t>6,68**</w:t>
            </w:r>
          </w:p>
        </w:tc>
        <w:tc>
          <w:tcPr>
            <w:tcW w:w="1134" w:type="dxa"/>
            <w:tcBorders>
              <w:top w:val="nil"/>
              <w:left w:val="nil"/>
              <w:bottom w:val="nil"/>
              <w:right w:val="nil"/>
            </w:tcBorders>
            <w:shd w:val="clear" w:color="auto" w:fill="auto"/>
            <w:noWrap/>
            <w:vAlign w:val="center"/>
            <w:hideMark/>
          </w:tcPr>
          <w:p w14:paraId="6AF7C1E0" w14:textId="77777777" w:rsidR="007005A7" w:rsidRPr="00B7489A" w:rsidRDefault="007005A7" w:rsidP="007005A7">
            <w:pPr>
              <w:jc w:val="right"/>
              <w:rPr>
                <w:rFonts w:ascii="Arial" w:hAnsi="Arial" w:cs="Arial"/>
                <w:color w:val="000000"/>
              </w:rPr>
            </w:pPr>
            <w:r w:rsidRPr="00B7489A">
              <w:rPr>
                <w:rFonts w:ascii="Arial" w:hAnsi="Arial" w:cs="Arial"/>
                <w:color w:val="000000"/>
              </w:rPr>
              <w:t>16.79</w:t>
            </w:r>
          </w:p>
        </w:tc>
        <w:tc>
          <w:tcPr>
            <w:tcW w:w="992" w:type="dxa"/>
            <w:vMerge/>
            <w:tcBorders>
              <w:top w:val="nil"/>
              <w:left w:val="nil"/>
              <w:bottom w:val="nil"/>
              <w:right w:val="nil"/>
            </w:tcBorders>
            <w:vAlign w:val="center"/>
            <w:hideMark/>
          </w:tcPr>
          <w:p w14:paraId="3DD5A330"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7E2492B" w14:textId="77777777" w:rsidR="007005A7" w:rsidRPr="00B7489A" w:rsidRDefault="007005A7" w:rsidP="007005A7">
            <w:pPr>
              <w:rPr>
                <w:rFonts w:ascii="Arial" w:hAnsi="Arial" w:cs="Arial"/>
                <w:color w:val="000000"/>
              </w:rPr>
            </w:pPr>
          </w:p>
        </w:tc>
      </w:tr>
      <w:tr w:rsidR="007005A7" w:rsidRPr="00B7489A" w14:paraId="0E15AB29"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8B00F90" w14:textId="77777777" w:rsidR="007005A7" w:rsidRPr="00B7489A" w:rsidRDefault="007005A7" w:rsidP="007005A7">
            <w:pPr>
              <w:rPr>
                <w:rFonts w:ascii="Arial" w:hAnsi="Arial" w:cs="Arial"/>
                <w:color w:val="000000"/>
              </w:rPr>
            </w:pPr>
            <w:r w:rsidRPr="00B7489A">
              <w:rPr>
                <w:rFonts w:ascii="Arial" w:hAnsi="Arial" w:cs="Arial"/>
                <w:color w:val="000000"/>
              </w:rPr>
              <w:t>Shoot dry weight</w:t>
            </w:r>
          </w:p>
        </w:tc>
        <w:tc>
          <w:tcPr>
            <w:tcW w:w="1701" w:type="dxa"/>
            <w:tcBorders>
              <w:top w:val="nil"/>
              <w:left w:val="nil"/>
              <w:bottom w:val="nil"/>
              <w:right w:val="nil"/>
            </w:tcBorders>
            <w:shd w:val="clear" w:color="auto" w:fill="auto"/>
            <w:noWrap/>
            <w:vAlign w:val="center"/>
            <w:hideMark/>
          </w:tcPr>
          <w:p w14:paraId="2551D1A5" w14:textId="77777777" w:rsidR="007005A7" w:rsidRPr="00B7489A" w:rsidRDefault="007005A7" w:rsidP="007005A7">
            <w:pPr>
              <w:jc w:val="right"/>
              <w:rPr>
                <w:rFonts w:ascii="Arial" w:hAnsi="Arial" w:cs="Arial"/>
                <w:color w:val="000000"/>
              </w:rPr>
            </w:pPr>
            <w:r w:rsidRPr="00B7489A">
              <w:rPr>
                <w:rFonts w:ascii="Arial" w:hAnsi="Arial" w:cs="Arial"/>
                <w:color w:val="000000"/>
              </w:rPr>
              <w:t>35.33**</w:t>
            </w:r>
          </w:p>
        </w:tc>
        <w:tc>
          <w:tcPr>
            <w:tcW w:w="1134" w:type="dxa"/>
            <w:tcBorders>
              <w:top w:val="nil"/>
              <w:left w:val="nil"/>
              <w:bottom w:val="nil"/>
              <w:right w:val="nil"/>
            </w:tcBorders>
            <w:shd w:val="clear" w:color="auto" w:fill="auto"/>
            <w:noWrap/>
            <w:vAlign w:val="center"/>
            <w:hideMark/>
          </w:tcPr>
          <w:p w14:paraId="4EE4619C" w14:textId="77777777" w:rsidR="007005A7" w:rsidRPr="00B7489A" w:rsidRDefault="007005A7" w:rsidP="007005A7">
            <w:pPr>
              <w:jc w:val="right"/>
              <w:rPr>
                <w:rFonts w:ascii="Arial" w:hAnsi="Arial" w:cs="Arial"/>
                <w:color w:val="000000"/>
              </w:rPr>
            </w:pPr>
            <w:r w:rsidRPr="00B7489A">
              <w:rPr>
                <w:rFonts w:ascii="Arial" w:hAnsi="Arial" w:cs="Arial"/>
                <w:color w:val="000000"/>
              </w:rPr>
              <w:t>8.06</w:t>
            </w:r>
          </w:p>
        </w:tc>
        <w:tc>
          <w:tcPr>
            <w:tcW w:w="992" w:type="dxa"/>
            <w:vMerge/>
            <w:tcBorders>
              <w:top w:val="nil"/>
              <w:left w:val="nil"/>
              <w:bottom w:val="nil"/>
              <w:right w:val="nil"/>
            </w:tcBorders>
            <w:vAlign w:val="center"/>
            <w:hideMark/>
          </w:tcPr>
          <w:p w14:paraId="2A818021"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51D3F64" w14:textId="77777777" w:rsidR="007005A7" w:rsidRPr="00B7489A" w:rsidRDefault="007005A7" w:rsidP="007005A7">
            <w:pPr>
              <w:rPr>
                <w:rFonts w:ascii="Arial" w:hAnsi="Arial" w:cs="Arial"/>
                <w:color w:val="000000"/>
              </w:rPr>
            </w:pPr>
          </w:p>
        </w:tc>
      </w:tr>
      <w:tr w:rsidR="007005A7" w:rsidRPr="00B7489A" w14:paraId="482C50F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053F079" w14:textId="77777777" w:rsidR="007005A7" w:rsidRPr="00B7489A" w:rsidRDefault="00621BB4" w:rsidP="007005A7">
            <w:pPr>
              <w:rPr>
                <w:rFonts w:ascii="Arial" w:hAnsi="Arial" w:cs="Arial"/>
                <w:color w:val="000000"/>
              </w:rPr>
            </w:pPr>
            <w:r>
              <w:rPr>
                <w:rFonts w:ascii="Arial" w:hAnsi="Arial" w:cs="Arial"/>
                <w:color w:val="000000"/>
              </w:rPr>
              <w:t>Shoot</w:t>
            </w:r>
            <w:r w:rsidR="007005A7" w:rsidRPr="00B7489A">
              <w:rPr>
                <w:rFonts w:ascii="Arial" w:hAnsi="Arial" w:cs="Arial"/>
                <w:color w:val="000000"/>
              </w:rPr>
              <w:t>-root ratio</w:t>
            </w:r>
          </w:p>
        </w:tc>
        <w:tc>
          <w:tcPr>
            <w:tcW w:w="1701" w:type="dxa"/>
            <w:tcBorders>
              <w:top w:val="nil"/>
              <w:left w:val="nil"/>
              <w:bottom w:val="nil"/>
              <w:right w:val="nil"/>
            </w:tcBorders>
            <w:shd w:val="clear" w:color="auto" w:fill="auto"/>
            <w:noWrap/>
            <w:vAlign w:val="center"/>
            <w:hideMark/>
          </w:tcPr>
          <w:p w14:paraId="5F3D5514" w14:textId="77777777" w:rsidR="007005A7" w:rsidRPr="00B7489A" w:rsidRDefault="007005A7" w:rsidP="007005A7">
            <w:pPr>
              <w:jc w:val="right"/>
              <w:rPr>
                <w:rFonts w:ascii="Arial" w:hAnsi="Arial" w:cs="Arial"/>
                <w:color w:val="000000"/>
              </w:rPr>
            </w:pPr>
            <w:r w:rsidRPr="00B7489A">
              <w:rPr>
                <w:rFonts w:ascii="Arial" w:hAnsi="Arial" w:cs="Arial"/>
                <w:color w:val="000000"/>
              </w:rPr>
              <w:t>0.68ns</w:t>
            </w:r>
          </w:p>
        </w:tc>
        <w:tc>
          <w:tcPr>
            <w:tcW w:w="1134" w:type="dxa"/>
            <w:tcBorders>
              <w:top w:val="nil"/>
              <w:left w:val="nil"/>
              <w:bottom w:val="nil"/>
              <w:right w:val="nil"/>
            </w:tcBorders>
            <w:shd w:val="clear" w:color="auto" w:fill="auto"/>
            <w:noWrap/>
            <w:vAlign w:val="center"/>
            <w:hideMark/>
          </w:tcPr>
          <w:p w14:paraId="4EF5DBAC" w14:textId="36EE0C28" w:rsidR="007005A7" w:rsidRPr="00B7489A" w:rsidRDefault="006E1E09" w:rsidP="007005A7">
            <w:pPr>
              <w:jc w:val="right"/>
              <w:rPr>
                <w:rFonts w:ascii="Arial" w:hAnsi="Arial" w:cs="Arial"/>
                <w:color w:val="000000"/>
              </w:rPr>
            </w:pPr>
            <w:r>
              <w:rPr>
                <w:rFonts w:ascii="Arial" w:hAnsi="Arial" w:cs="Arial"/>
                <w:color w:val="000000"/>
              </w:rPr>
              <w:t>16.25</w:t>
            </w:r>
          </w:p>
        </w:tc>
        <w:tc>
          <w:tcPr>
            <w:tcW w:w="992" w:type="dxa"/>
            <w:vMerge/>
            <w:tcBorders>
              <w:top w:val="nil"/>
              <w:left w:val="nil"/>
              <w:bottom w:val="nil"/>
              <w:right w:val="nil"/>
            </w:tcBorders>
            <w:vAlign w:val="center"/>
            <w:hideMark/>
          </w:tcPr>
          <w:p w14:paraId="48F9358B"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1B87EA18" w14:textId="77777777" w:rsidR="007005A7" w:rsidRPr="00B7489A" w:rsidRDefault="007005A7" w:rsidP="007005A7">
            <w:pPr>
              <w:rPr>
                <w:rFonts w:ascii="Arial" w:hAnsi="Arial" w:cs="Arial"/>
                <w:color w:val="000000"/>
              </w:rPr>
            </w:pPr>
          </w:p>
        </w:tc>
      </w:tr>
      <w:tr w:rsidR="007005A7" w:rsidRPr="00B7489A" w14:paraId="67EF7ABB" w14:textId="77777777" w:rsidTr="00621BB4">
        <w:trPr>
          <w:trHeight w:val="232"/>
          <w:jc w:val="center"/>
        </w:trPr>
        <w:tc>
          <w:tcPr>
            <w:tcW w:w="2977" w:type="dxa"/>
            <w:tcBorders>
              <w:top w:val="single" w:sz="4" w:space="0" w:color="auto"/>
              <w:left w:val="nil"/>
              <w:bottom w:val="nil"/>
              <w:right w:val="nil"/>
            </w:tcBorders>
            <w:shd w:val="clear" w:color="auto" w:fill="auto"/>
            <w:noWrap/>
            <w:vAlign w:val="center"/>
            <w:hideMark/>
          </w:tcPr>
          <w:p w14:paraId="672B010C" w14:textId="77777777" w:rsidR="007005A7" w:rsidRPr="00B7489A" w:rsidRDefault="00621BB4" w:rsidP="007005A7">
            <w:pPr>
              <w:rPr>
                <w:rFonts w:ascii="Arial" w:hAnsi="Arial" w:cs="Arial"/>
                <w:color w:val="000000"/>
              </w:rPr>
            </w:pPr>
            <w:r>
              <w:rPr>
                <w:rFonts w:ascii="Arial" w:hAnsi="Arial" w:cs="Arial"/>
                <w:color w:val="000000"/>
              </w:rPr>
              <w:t>Relative shoot</w:t>
            </w:r>
            <w:r w:rsidR="007005A7" w:rsidRPr="00B7489A">
              <w:rPr>
                <w:rFonts w:ascii="Arial" w:hAnsi="Arial" w:cs="Arial"/>
                <w:color w:val="000000"/>
              </w:rPr>
              <w:t xml:space="preserve"> length</w:t>
            </w:r>
          </w:p>
        </w:tc>
        <w:tc>
          <w:tcPr>
            <w:tcW w:w="1701" w:type="dxa"/>
            <w:tcBorders>
              <w:top w:val="single" w:sz="4" w:space="0" w:color="auto"/>
              <w:left w:val="nil"/>
              <w:bottom w:val="nil"/>
              <w:right w:val="nil"/>
            </w:tcBorders>
            <w:shd w:val="clear" w:color="auto" w:fill="auto"/>
            <w:noWrap/>
            <w:vAlign w:val="center"/>
            <w:hideMark/>
          </w:tcPr>
          <w:p w14:paraId="77D42A15" w14:textId="77777777" w:rsidR="007005A7" w:rsidRPr="00B7489A" w:rsidRDefault="007005A7" w:rsidP="007005A7">
            <w:pPr>
              <w:jc w:val="right"/>
              <w:rPr>
                <w:rFonts w:ascii="Arial" w:hAnsi="Arial" w:cs="Arial"/>
                <w:color w:val="000000"/>
              </w:rPr>
            </w:pPr>
            <w:r w:rsidRPr="00B7489A">
              <w:rPr>
                <w:rFonts w:ascii="Arial" w:hAnsi="Arial" w:cs="Arial"/>
                <w:color w:val="000000"/>
              </w:rPr>
              <w:t>0.22ns</w:t>
            </w:r>
          </w:p>
        </w:tc>
        <w:tc>
          <w:tcPr>
            <w:tcW w:w="1134" w:type="dxa"/>
            <w:tcBorders>
              <w:top w:val="single" w:sz="4" w:space="0" w:color="auto"/>
              <w:left w:val="nil"/>
              <w:bottom w:val="nil"/>
              <w:right w:val="nil"/>
            </w:tcBorders>
            <w:shd w:val="clear" w:color="auto" w:fill="auto"/>
            <w:noWrap/>
            <w:vAlign w:val="center"/>
            <w:hideMark/>
          </w:tcPr>
          <w:p w14:paraId="215F6A15" w14:textId="77777777" w:rsidR="007005A7" w:rsidRPr="00B7489A" w:rsidRDefault="007005A7" w:rsidP="007005A7">
            <w:pPr>
              <w:jc w:val="right"/>
              <w:rPr>
                <w:rFonts w:ascii="Arial" w:hAnsi="Arial" w:cs="Arial"/>
                <w:color w:val="000000"/>
              </w:rPr>
            </w:pPr>
            <w:r w:rsidRPr="00B7489A">
              <w:rPr>
                <w:rFonts w:ascii="Arial" w:hAnsi="Arial" w:cs="Arial"/>
                <w:color w:val="000000"/>
              </w:rPr>
              <w:t>7.053</w:t>
            </w:r>
          </w:p>
        </w:tc>
        <w:tc>
          <w:tcPr>
            <w:tcW w:w="992" w:type="dxa"/>
            <w:vMerge w:val="restart"/>
            <w:tcBorders>
              <w:top w:val="single" w:sz="4" w:space="0" w:color="auto"/>
              <w:left w:val="nil"/>
              <w:bottom w:val="single" w:sz="4" w:space="0" w:color="000000"/>
              <w:right w:val="nil"/>
            </w:tcBorders>
            <w:shd w:val="clear" w:color="auto" w:fill="auto"/>
            <w:noWrap/>
            <w:vAlign w:val="center"/>
            <w:hideMark/>
          </w:tcPr>
          <w:p w14:paraId="6475643E" w14:textId="77777777" w:rsidR="007005A7" w:rsidRPr="00B7489A" w:rsidRDefault="007005A7" w:rsidP="007005A7">
            <w:pPr>
              <w:jc w:val="center"/>
              <w:rPr>
                <w:rFonts w:ascii="Arial" w:hAnsi="Arial" w:cs="Arial"/>
                <w:color w:val="000000"/>
              </w:rPr>
            </w:pPr>
            <w:r w:rsidRPr="00B7489A">
              <w:rPr>
                <w:rFonts w:ascii="Arial" w:hAnsi="Arial" w:cs="Arial"/>
                <w:color w:val="000000"/>
              </w:rPr>
              <w:t>3.24</w:t>
            </w:r>
          </w:p>
        </w:tc>
        <w:tc>
          <w:tcPr>
            <w:tcW w:w="851" w:type="dxa"/>
            <w:vMerge w:val="restart"/>
            <w:tcBorders>
              <w:top w:val="single" w:sz="4" w:space="0" w:color="auto"/>
              <w:left w:val="nil"/>
              <w:bottom w:val="single" w:sz="4" w:space="0" w:color="000000"/>
              <w:right w:val="nil"/>
            </w:tcBorders>
            <w:shd w:val="clear" w:color="auto" w:fill="auto"/>
            <w:noWrap/>
            <w:vAlign w:val="center"/>
            <w:hideMark/>
          </w:tcPr>
          <w:p w14:paraId="06939CB5" w14:textId="77777777" w:rsidR="007005A7" w:rsidRPr="00B7489A" w:rsidRDefault="007005A7" w:rsidP="007005A7">
            <w:pPr>
              <w:jc w:val="center"/>
              <w:rPr>
                <w:rFonts w:ascii="Arial" w:hAnsi="Arial" w:cs="Arial"/>
                <w:color w:val="000000"/>
              </w:rPr>
            </w:pPr>
            <w:r w:rsidRPr="00B7489A">
              <w:rPr>
                <w:rFonts w:ascii="Arial" w:hAnsi="Arial" w:cs="Arial"/>
                <w:color w:val="000000"/>
              </w:rPr>
              <w:t>5.29</w:t>
            </w:r>
          </w:p>
        </w:tc>
      </w:tr>
      <w:tr w:rsidR="007005A7" w:rsidRPr="00B7489A" w14:paraId="2E605BBE"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694453DD" w14:textId="77777777" w:rsidR="007005A7" w:rsidRPr="00B7489A" w:rsidRDefault="00621BB4" w:rsidP="007005A7">
            <w:pPr>
              <w:rPr>
                <w:rFonts w:ascii="Arial" w:hAnsi="Arial" w:cs="Arial"/>
                <w:color w:val="000000"/>
              </w:rPr>
            </w:pPr>
            <w:r>
              <w:rPr>
                <w:rFonts w:ascii="Arial" w:hAnsi="Arial" w:cs="Arial"/>
                <w:color w:val="000000"/>
              </w:rPr>
              <w:t>Relative root shoot</w:t>
            </w:r>
            <w:r w:rsidR="007005A7" w:rsidRPr="00B7489A">
              <w:rPr>
                <w:rFonts w:ascii="Arial" w:hAnsi="Arial" w:cs="Arial"/>
                <w:color w:val="000000"/>
              </w:rPr>
              <w:t xml:space="preserve"> weight</w:t>
            </w:r>
          </w:p>
        </w:tc>
        <w:tc>
          <w:tcPr>
            <w:tcW w:w="1701" w:type="dxa"/>
            <w:tcBorders>
              <w:top w:val="nil"/>
              <w:left w:val="nil"/>
              <w:bottom w:val="single" w:sz="4" w:space="0" w:color="auto"/>
              <w:right w:val="nil"/>
            </w:tcBorders>
            <w:shd w:val="clear" w:color="auto" w:fill="auto"/>
            <w:noWrap/>
            <w:vAlign w:val="center"/>
            <w:hideMark/>
          </w:tcPr>
          <w:p w14:paraId="7D522FC1" w14:textId="77777777" w:rsidR="007005A7" w:rsidRPr="00B7489A" w:rsidRDefault="007005A7" w:rsidP="007005A7">
            <w:pPr>
              <w:jc w:val="right"/>
              <w:rPr>
                <w:rFonts w:ascii="Arial" w:hAnsi="Arial" w:cs="Arial"/>
                <w:color w:val="000000"/>
              </w:rPr>
            </w:pPr>
            <w:r w:rsidRPr="00B7489A">
              <w:rPr>
                <w:rFonts w:ascii="Arial" w:hAnsi="Arial" w:cs="Arial"/>
                <w:color w:val="000000"/>
              </w:rPr>
              <w:t>0.41ns</w:t>
            </w:r>
          </w:p>
        </w:tc>
        <w:tc>
          <w:tcPr>
            <w:tcW w:w="1134" w:type="dxa"/>
            <w:tcBorders>
              <w:top w:val="nil"/>
              <w:left w:val="nil"/>
              <w:bottom w:val="single" w:sz="4" w:space="0" w:color="auto"/>
              <w:right w:val="nil"/>
            </w:tcBorders>
            <w:shd w:val="clear" w:color="auto" w:fill="auto"/>
            <w:noWrap/>
            <w:vAlign w:val="center"/>
            <w:hideMark/>
          </w:tcPr>
          <w:p w14:paraId="54FF0396" w14:textId="77777777" w:rsidR="007005A7" w:rsidRPr="00B7489A" w:rsidRDefault="007005A7" w:rsidP="007005A7">
            <w:pPr>
              <w:jc w:val="right"/>
              <w:rPr>
                <w:rFonts w:ascii="Arial" w:hAnsi="Arial" w:cs="Arial"/>
                <w:color w:val="000000"/>
              </w:rPr>
            </w:pPr>
            <w:r w:rsidRPr="00B7489A">
              <w:rPr>
                <w:rFonts w:ascii="Arial" w:hAnsi="Arial" w:cs="Arial"/>
                <w:color w:val="000000"/>
              </w:rPr>
              <w:t>8.68</w:t>
            </w:r>
          </w:p>
        </w:tc>
        <w:tc>
          <w:tcPr>
            <w:tcW w:w="992" w:type="dxa"/>
            <w:vMerge/>
            <w:tcBorders>
              <w:top w:val="single" w:sz="4" w:space="0" w:color="auto"/>
              <w:left w:val="nil"/>
              <w:bottom w:val="single" w:sz="4" w:space="0" w:color="000000"/>
              <w:right w:val="nil"/>
            </w:tcBorders>
            <w:vAlign w:val="center"/>
            <w:hideMark/>
          </w:tcPr>
          <w:p w14:paraId="563970BA" w14:textId="77777777" w:rsidR="007005A7" w:rsidRPr="00B7489A" w:rsidRDefault="007005A7" w:rsidP="007005A7">
            <w:pPr>
              <w:rPr>
                <w:rFonts w:ascii="Arial" w:hAnsi="Arial" w:cs="Arial"/>
                <w:color w:val="000000"/>
              </w:rPr>
            </w:pPr>
          </w:p>
        </w:tc>
        <w:tc>
          <w:tcPr>
            <w:tcW w:w="851" w:type="dxa"/>
            <w:vMerge/>
            <w:tcBorders>
              <w:top w:val="single" w:sz="4" w:space="0" w:color="auto"/>
              <w:left w:val="nil"/>
              <w:bottom w:val="single" w:sz="4" w:space="0" w:color="000000"/>
              <w:right w:val="nil"/>
            </w:tcBorders>
            <w:vAlign w:val="center"/>
            <w:hideMark/>
          </w:tcPr>
          <w:p w14:paraId="74A6643D" w14:textId="77777777" w:rsidR="007005A7" w:rsidRPr="00B7489A" w:rsidRDefault="007005A7" w:rsidP="007005A7">
            <w:pPr>
              <w:rPr>
                <w:rFonts w:ascii="Arial" w:hAnsi="Arial" w:cs="Arial"/>
                <w:color w:val="000000"/>
              </w:rPr>
            </w:pPr>
          </w:p>
        </w:tc>
      </w:tr>
      <w:tr w:rsidR="007005A7" w:rsidRPr="00B7489A" w14:paraId="58CAE13B"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1AC4AEF" w14:textId="77777777" w:rsidR="007005A7" w:rsidRPr="00B7489A" w:rsidRDefault="007005A7" w:rsidP="007005A7">
            <w:pPr>
              <w:rPr>
                <w:rFonts w:ascii="Arial" w:hAnsi="Arial" w:cs="Arial"/>
                <w:color w:val="000000"/>
              </w:rPr>
            </w:pPr>
            <w:r w:rsidRPr="00B7489A">
              <w:rPr>
                <w:rFonts w:ascii="Arial" w:hAnsi="Arial" w:cs="Arial"/>
                <w:color w:val="000000"/>
              </w:rPr>
              <w:t>Fruit diameter</w:t>
            </w:r>
          </w:p>
        </w:tc>
        <w:tc>
          <w:tcPr>
            <w:tcW w:w="1701" w:type="dxa"/>
            <w:tcBorders>
              <w:top w:val="nil"/>
              <w:left w:val="nil"/>
              <w:bottom w:val="nil"/>
              <w:right w:val="nil"/>
            </w:tcBorders>
            <w:shd w:val="clear" w:color="auto" w:fill="auto"/>
            <w:noWrap/>
            <w:vAlign w:val="center"/>
            <w:hideMark/>
          </w:tcPr>
          <w:p w14:paraId="09C39489" w14:textId="6576639A" w:rsidR="007005A7" w:rsidRPr="00B7489A" w:rsidRDefault="006E1E09" w:rsidP="007005A7">
            <w:pPr>
              <w:jc w:val="right"/>
              <w:rPr>
                <w:rFonts w:ascii="Arial" w:hAnsi="Arial" w:cs="Arial"/>
                <w:color w:val="000000"/>
              </w:rPr>
            </w:pPr>
            <w:r>
              <w:rPr>
                <w:rFonts w:ascii="Arial" w:hAnsi="Arial" w:cs="Arial"/>
                <w:color w:val="000000"/>
              </w:rPr>
              <w:t>4.48</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2F25F9DA" w14:textId="551DD9E1" w:rsidR="007005A7" w:rsidRPr="00B7489A" w:rsidRDefault="006E1E09" w:rsidP="007005A7">
            <w:pPr>
              <w:jc w:val="right"/>
              <w:rPr>
                <w:rFonts w:ascii="Arial" w:hAnsi="Arial" w:cs="Arial"/>
                <w:color w:val="000000"/>
              </w:rPr>
            </w:pPr>
            <w:r>
              <w:rPr>
                <w:rFonts w:ascii="Arial" w:hAnsi="Arial" w:cs="Arial"/>
                <w:color w:val="000000"/>
              </w:rPr>
              <w:t>10.78</w:t>
            </w:r>
          </w:p>
        </w:tc>
        <w:tc>
          <w:tcPr>
            <w:tcW w:w="992" w:type="dxa"/>
            <w:vMerge w:val="restart"/>
            <w:tcBorders>
              <w:top w:val="nil"/>
              <w:left w:val="nil"/>
              <w:bottom w:val="single" w:sz="4" w:space="0" w:color="000000"/>
              <w:right w:val="nil"/>
            </w:tcBorders>
            <w:shd w:val="clear" w:color="auto" w:fill="auto"/>
            <w:noWrap/>
            <w:vAlign w:val="center"/>
            <w:hideMark/>
          </w:tcPr>
          <w:p w14:paraId="5EEEEEDE"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single" w:sz="4" w:space="0" w:color="000000"/>
              <w:right w:val="nil"/>
            </w:tcBorders>
            <w:shd w:val="clear" w:color="auto" w:fill="auto"/>
            <w:noWrap/>
            <w:vAlign w:val="center"/>
            <w:hideMark/>
          </w:tcPr>
          <w:p w14:paraId="0F4EB037"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1F57C9E"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A2F778F" w14:textId="77777777" w:rsidR="007005A7" w:rsidRPr="00B7489A" w:rsidRDefault="007005A7" w:rsidP="007005A7">
            <w:pPr>
              <w:rPr>
                <w:rFonts w:ascii="Arial" w:hAnsi="Arial" w:cs="Arial"/>
                <w:color w:val="000000"/>
              </w:rPr>
            </w:pPr>
            <w:r w:rsidRPr="00B7489A">
              <w:rPr>
                <w:rFonts w:ascii="Arial" w:hAnsi="Arial" w:cs="Arial"/>
                <w:color w:val="000000"/>
              </w:rPr>
              <w:t>Fruit length</w:t>
            </w:r>
          </w:p>
        </w:tc>
        <w:tc>
          <w:tcPr>
            <w:tcW w:w="1701" w:type="dxa"/>
            <w:tcBorders>
              <w:top w:val="nil"/>
              <w:left w:val="nil"/>
              <w:bottom w:val="nil"/>
              <w:right w:val="nil"/>
            </w:tcBorders>
            <w:shd w:val="clear" w:color="auto" w:fill="auto"/>
            <w:noWrap/>
            <w:vAlign w:val="center"/>
            <w:hideMark/>
          </w:tcPr>
          <w:p w14:paraId="0A0AB512" w14:textId="77777777" w:rsidR="007005A7" w:rsidRPr="00B7489A" w:rsidRDefault="007005A7" w:rsidP="007005A7">
            <w:pPr>
              <w:jc w:val="right"/>
              <w:rPr>
                <w:rFonts w:ascii="Arial" w:hAnsi="Arial" w:cs="Arial"/>
                <w:color w:val="000000"/>
              </w:rPr>
            </w:pPr>
            <w:r w:rsidRPr="00B7489A">
              <w:rPr>
                <w:rFonts w:ascii="Arial" w:hAnsi="Arial" w:cs="Arial"/>
                <w:color w:val="000000"/>
              </w:rPr>
              <w:t>8.293**</w:t>
            </w:r>
          </w:p>
        </w:tc>
        <w:tc>
          <w:tcPr>
            <w:tcW w:w="1134" w:type="dxa"/>
            <w:tcBorders>
              <w:top w:val="nil"/>
              <w:left w:val="nil"/>
              <w:bottom w:val="nil"/>
              <w:right w:val="nil"/>
            </w:tcBorders>
            <w:shd w:val="clear" w:color="auto" w:fill="auto"/>
            <w:noWrap/>
            <w:vAlign w:val="center"/>
            <w:hideMark/>
          </w:tcPr>
          <w:p w14:paraId="57D11A6D" w14:textId="77777777" w:rsidR="007005A7" w:rsidRPr="00B7489A" w:rsidRDefault="007005A7" w:rsidP="007005A7">
            <w:pPr>
              <w:jc w:val="right"/>
              <w:rPr>
                <w:rFonts w:ascii="Arial" w:hAnsi="Arial" w:cs="Arial"/>
                <w:color w:val="000000"/>
              </w:rPr>
            </w:pPr>
            <w:r w:rsidRPr="00B7489A">
              <w:rPr>
                <w:rFonts w:ascii="Arial" w:hAnsi="Arial" w:cs="Arial"/>
                <w:color w:val="000000"/>
              </w:rPr>
              <w:t>1.70</w:t>
            </w:r>
          </w:p>
        </w:tc>
        <w:tc>
          <w:tcPr>
            <w:tcW w:w="992" w:type="dxa"/>
            <w:vMerge/>
            <w:tcBorders>
              <w:top w:val="nil"/>
              <w:left w:val="nil"/>
              <w:bottom w:val="single" w:sz="4" w:space="0" w:color="000000"/>
              <w:right w:val="nil"/>
            </w:tcBorders>
            <w:vAlign w:val="center"/>
            <w:hideMark/>
          </w:tcPr>
          <w:p w14:paraId="0BEFABD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04A0A563" w14:textId="77777777" w:rsidR="007005A7" w:rsidRPr="00B7489A" w:rsidRDefault="007005A7" w:rsidP="007005A7">
            <w:pPr>
              <w:rPr>
                <w:rFonts w:ascii="Arial" w:hAnsi="Arial" w:cs="Arial"/>
                <w:color w:val="000000"/>
              </w:rPr>
            </w:pPr>
          </w:p>
        </w:tc>
      </w:tr>
      <w:tr w:rsidR="007005A7" w:rsidRPr="00B7489A" w14:paraId="0A5691D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1BA6EF8" w14:textId="77777777" w:rsidR="007005A7" w:rsidRPr="00B7489A" w:rsidRDefault="007005A7" w:rsidP="007005A7">
            <w:pPr>
              <w:rPr>
                <w:rFonts w:ascii="Arial" w:hAnsi="Arial" w:cs="Arial"/>
                <w:color w:val="000000"/>
              </w:rPr>
            </w:pPr>
            <w:r w:rsidRPr="00B7489A">
              <w:rPr>
                <w:rFonts w:ascii="Arial" w:hAnsi="Arial" w:cs="Arial"/>
                <w:color w:val="000000"/>
              </w:rPr>
              <w:t>Number of fruits</w:t>
            </w:r>
          </w:p>
        </w:tc>
        <w:tc>
          <w:tcPr>
            <w:tcW w:w="1701" w:type="dxa"/>
            <w:tcBorders>
              <w:top w:val="nil"/>
              <w:left w:val="nil"/>
              <w:bottom w:val="nil"/>
              <w:right w:val="nil"/>
            </w:tcBorders>
            <w:shd w:val="clear" w:color="auto" w:fill="auto"/>
            <w:noWrap/>
            <w:vAlign w:val="center"/>
            <w:hideMark/>
          </w:tcPr>
          <w:p w14:paraId="48401B6D" w14:textId="77777777" w:rsidR="007005A7" w:rsidRPr="00B7489A" w:rsidRDefault="007005A7" w:rsidP="007005A7">
            <w:pPr>
              <w:jc w:val="right"/>
              <w:rPr>
                <w:rFonts w:ascii="Arial" w:hAnsi="Arial" w:cs="Arial"/>
                <w:color w:val="000000"/>
              </w:rPr>
            </w:pPr>
            <w:r w:rsidRPr="00B7489A">
              <w:rPr>
                <w:rFonts w:ascii="Arial" w:hAnsi="Arial" w:cs="Arial"/>
                <w:color w:val="000000"/>
              </w:rPr>
              <w:t>6.29**</w:t>
            </w:r>
          </w:p>
        </w:tc>
        <w:tc>
          <w:tcPr>
            <w:tcW w:w="1134" w:type="dxa"/>
            <w:tcBorders>
              <w:top w:val="nil"/>
              <w:left w:val="nil"/>
              <w:bottom w:val="nil"/>
              <w:right w:val="nil"/>
            </w:tcBorders>
            <w:shd w:val="clear" w:color="auto" w:fill="auto"/>
            <w:noWrap/>
            <w:vAlign w:val="center"/>
            <w:hideMark/>
          </w:tcPr>
          <w:p w14:paraId="5E68FDB0" w14:textId="77777777" w:rsidR="007005A7" w:rsidRPr="00B7489A" w:rsidRDefault="007005A7" w:rsidP="007005A7">
            <w:pPr>
              <w:jc w:val="right"/>
              <w:rPr>
                <w:rFonts w:ascii="Arial" w:hAnsi="Arial" w:cs="Arial"/>
                <w:color w:val="000000"/>
              </w:rPr>
            </w:pPr>
            <w:r w:rsidRPr="00B7489A">
              <w:rPr>
                <w:rFonts w:ascii="Arial" w:hAnsi="Arial" w:cs="Arial"/>
                <w:color w:val="000000"/>
              </w:rPr>
              <w:t>7.93</w:t>
            </w:r>
          </w:p>
        </w:tc>
        <w:tc>
          <w:tcPr>
            <w:tcW w:w="992" w:type="dxa"/>
            <w:vMerge/>
            <w:tcBorders>
              <w:top w:val="nil"/>
              <w:left w:val="nil"/>
              <w:bottom w:val="single" w:sz="4" w:space="0" w:color="000000"/>
              <w:right w:val="nil"/>
            </w:tcBorders>
            <w:vAlign w:val="center"/>
            <w:hideMark/>
          </w:tcPr>
          <w:p w14:paraId="7CD921A6"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0ECDFE8" w14:textId="77777777" w:rsidR="007005A7" w:rsidRPr="00B7489A" w:rsidRDefault="007005A7" w:rsidP="007005A7">
            <w:pPr>
              <w:rPr>
                <w:rFonts w:ascii="Arial" w:hAnsi="Arial" w:cs="Arial"/>
                <w:color w:val="000000"/>
              </w:rPr>
            </w:pPr>
          </w:p>
        </w:tc>
      </w:tr>
      <w:tr w:rsidR="007005A7" w:rsidRPr="00B7489A" w14:paraId="65C3D4C3"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6258E51" w14:textId="77777777" w:rsidR="007005A7" w:rsidRPr="00B7489A" w:rsidRDefault="007005A7" w:rsidP="007005A7">
            <w:pPr>
              <w:rPr>
                <w:rFonts w:ascii="Arial" w:hAnsi="Arial" w:cs="Arial"/>
                <w:color w:val="000000"/>
              </w:rPr>
            </w:pPr>
            <w:r w:rsidRPr="00B7489A">
              <w:rPr>
                <w:rFonts w:ascii="Arial" w:hAnsi="Arial" w:cs="Arial"/>
                <w:color w:val="000000"/>
              </w:rPr>
              <w:t>Number of marketable fruits</w:t>
            </w:r>
          </w:p>
        </w:tc>
        <w:tc>
          <w:tcPr>
            <w:tcW w:w="1701" w:type="dxa"/>
            <w:tcBorders>
              <w:top w:val="nil"/>
              <w:left w:val="nil"/>
              <w:bottom w:val="nil"/>
              <w:right w:val="nil"/>
            </w:tcBorders>
            <w:shd w:val="clear" w:color="auto" w:fill="auto"/>
            <w:noWrap/>
            <w:vAlign w:val="center"/>
            <w:hideMark/>
          </w:tcPr>
          <w:p w14:paraId="59D18F84" w14:textId="77777777" w:rsidR="007005A7" w:rsidRPr="00B7489A" w:rsidRDefault="007005A7" w:rsidP="007005A7">
            <w:pPr>
              <w:jc w:val="right"/>
              <w:rPr>
                <w:rFonts w:ascii="Arial" w:hAnsi="Arial" w:cs="Arial"/>
                <w:color w:val="000000"/>
              </w:rPr>
            </w:pPr>
            <w:bookmarkStart w:id="0" w:name="RANGE!E53"/>
            <w:r w:rsidRPr="00B7489A">
              <w:rPr>
                <w:rFonts w:ascii="Arial" w:hAnsi="Arial" w:cs="Arial"/>
                <w:color w:val="000000"/>
              </w:rPr>
              <w:t>19.97**</w:t>
            </w:r>
            <w:bookmarkEnd w:id="0"/>
          </w:p>
        </w:tc>
        <w:tc>
          <w:tcPr>
            <w:tcW w:w="1134" w:type="dxa"/>
            <w:tcBorders>
              <w:top w:val="nil"/>
              <w:left w:val="nil"/>
              <w:bottom w:val="nil"/>
              <w:right w:val="nil"/>
            </w:tcBorders>
            <w:shd w:val="clear" w:color="auto" w:fill="auto"/>
            <w:noWrap/>
            <w:vAlign w:val="center"/>
            <w:hideMark/>
          </w:tcPr>
          <w:p w14:paraId="577BAFD7" w14:textId="77777777" w:rsidR="007005A7" w:rsidRPr="00B7489A" w:rsidRDefault="007005A7" w:rsidP="007005A7">
            <w:pPr>
              <w:jc w:val="right"/>
              <w:rPr>
                <w:rFonts w:ascii="Arial" w:hAnsi="Arial" w:cs="Arial"/>
                <w:color w:val="000000"/>
              </w:rPr>
            </w:pPr>
            <w:r w:rsidRPr="00B7489A">
              <w:rPr>
                <w:rFonts w:ascii="Arial" w:hAnsi="Arial" w:cs="Arial"/>
                <w:color w:val="000000"/>
              </w:rPr>
              <w:t>15.86</w:t>
            </w:r>
          </w:p>
        </w:tc>
        <w:tc>
          <w:tcPr>
            <w:tcW w:w="992" w:type="dxa"/>
            <w:vMerge/>
            <w:tcBorders>
              <w:top w:val="nil"/>
              <w:left w:val="nil"/>
              <w:bottom w:val="single" w:sz="4" w:space="0" w:color="000000"/>
              <w:right w:val="nil"/>
            </w:tcBorders>
            <w:vAlign w:val="center"/>
            <w:hideMark/>
          </w:tcPr>
          <w:p w14:paraId="3F15B2B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E7691CA" w14:textId="77777777" w:rsidR="007005A7" w:rsidRPr="00B7489A" w:rsidRDefault="007005A7" w:rsidP="007005A7">
            <w:pPr>
              <w:rPr>
                <w:rFonts w:ascii="Arial" w:hAnsi="Arial" w:cs="Arial"/>
                <w:color w:val="000000"/>
              </w:rPr>
            </w:pPr>
          </w:p>
        </w:tc>
      </w:tr>
      <w:tr w:rsidR="007005A7" w:rsidRPr="00B7489A" w14:paraId="06BADB6D"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4C629A3" w14:textId="77777777" w:rsidR="007005A7" w:rsidRPr="00B7489A" w:rsidRDefault="007005A7" w:rsidP="007005A7">
            <w:pPr>
              <w:rPr>
                <w:rFonts w:ascii="Arial" w:hAnsi="Arial" w:cs="Arial"/>
                <w:color w:val="000000"/>
              </w:rPr>
            </w:pPr>
            <w:r w:rsidRPr="00B7489A">
              <w:rPr>
                <w:rFonts w:ascii="Arial" w:hAnsi="Arial" w:cs="Arial"/>
                <w:color w:val="000000"/>
              </w:rPr>
              <w:t>Fruit weight per fruit</w:t>
            </w:r>
          </w:p>
        </w:tc>
        <w:tc>
          <w:tcPr>
            <w:tcW w:w="1701" w:type="dxa"/>
            <w:tcBorders>
              <w:top w:val="nil"/>
              <w:left w:val="nil"/>
              <w:bottom w:val="nil"/>
              <w:right w:val="nil"/>
            </w:tcBorders>
            <w:shd w:val="clear" w:color="auto" w:fill="auto"/>
            <w:noWrap/>
            <w:vAlign w:val="center"/>
            <w:hideMark/>
          </w:tcPr>
          <w:p w14:paraId="61382229" w14:textId="77777777" w:rsidR="007005A7" w:rsidRPr="00B7489A" w:rsidRDefault="007005A7" w:rsidP="007005A7">
            <w:pPr>
              <w:jc w:val="right"/>
              <w:rPr>
                <w:rFonts w:ascii="Arial" w:hAnsi="Arial" w:cs="Arial"/>
                <w:color w:val="000000"/>
              </w:rPr>
            </w:pPr>
            <w:r w:rsidRPr="00B7489A">
              <w:rPr>
                <w:rFonts w:ascii="Arial" w:hAnsi="Arial" w:cs="Arial"/>
                <w:color w:val="000000"/>
              </w:rPr>
              <w:t>21.70**</w:t>
            </w:r>
          </w:p>
        </w:tc>
        <w:tc>
          <w:tcPr>
            <w:tcW w:w="1134" w:type="dxa"/>
            <w:tcBorders>
              <w:top w:val="nil"/>
              <w:left w:val="nil"/>
              <w:bottom w:val="nil"/>
              <w:right w:val="nil"/>
            </w:tcBorders>
            <w:shd w:val="clear" w:color="auto" w:fill="auto"/>
            <w:noWrap/>
            <w:vAlign w:val="center"/>
            <w:hideMark/>
          </w:tcPr>
          <w:p w14:paraId="418377D4" w14:textId="77777777" w:rsidR="007005A7" w:rsidRPr="00B7489A" w:rsidRDefault="007005A7" w:rsidP="007005A7">
            <w:pPr>
              <w:jc w:val="right"/>
              <w:rPr>
                <w:rFonts w:ascii="Arial" w:hAnsi="Arial" w:cs="Arial"/>
                <w:color w:val="000000"/>
              </w:rPr>
            </w:pPr>
            <w:r w:rsidRPr="00B7489A">
              <w:rPr>
                <w:rFonts w:ascii="Arial" w:hAnsi="Arial" w:cs="Arial"/>
                <w:color w:val="000000"/>
              </w:rPr>
              <w:t>6.51</w:t>
            </w:r>
          </w:p>
        </w:tc>
        <w:tc>
          <w:tcPr>
            <w:tcW w:w="992" w:type="dxa"/>
            <w:vMerge/>
            <w:tcBorders>
              <w:top w:val="nil"/>
              <w:left w:val="nil"/>
              <w:bottom w:val="single" w:sz="4" w:space="0" w:color="000000"/>
              <w:right w:val="nil"/>
            </w:tcBorders>
            <w:vAlign w:val="center"/>
            <w:hideMark/>
          </w:tcPr>
          <w:p w14:paraId="6B98E04C"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62E1AD1B" w14:textId="77777777" w:rsidR="007005A7" w:rsidRPr="00B7489A" w:rsidRDefault="007005A7" w:rsidP="007005A7">
            <w:pPr>
              <w:rPr>
                <w:rFonts w:ascii="Arial" w:hAnsi="Arial" w:cs="Arial"/>
                <w:color w:val="000000"/>
              </w:rPr>
            </w:pPr>
          </w:p>
        </w:tc>
      </w:tr>
      <w:tr w:rsidR="007005A7" w:rsidRPr="00B7489A" w14:paraId="0254C1C6"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808651" w14:textId="77777777" w:rsidR="007005A7" w:rsidRPr="00B7489A" w:rsidRDefault="007005A7" w:rsidP="007005A7">
            <w:pPr>
              <w:rPr>
                <w:rFonts w:ascii="Arial" w:hAnsi="Arial" w:cs="Arial"/>
                <w:color w:val="000000"/>
              </w:rPr>
            </w:pPr>
            <w:r w:rsidRPr="00B7489A">
              <w:rPr>
                <w:rFonts w:ascii="Arial" w:hAnsi="Arial" w:cs="Arial"/>
                <w:color w:val="000000"/>
              </w:rPr>
              <w:t>Weight of marketable fruits</w:t>
            </w:r>
          </w:p>
        </w:tc>
        <w:tc>
          <w:tcPr>
            <w:tcW w:w="1701" w:type="dxa"/>
            <w:tcBorders>
              <w:top w:val="nil"/>
              <w:left w:val="nil"/>
              <w:bottom w:val="nil"/>
              <w:right w:val="nil"/>
            </w:tcBorders>
            <w:shd w:val="clear" w:color="auto" w:fill="auto"/>
            <w:noWrap/>
            <w:vAlign w:val="center"/>
            <w:hideMark/>
          </w:tcPr>
          <w:p w14:paraId="62ADA139" w14:textId="77777777" w:rsidR="007005A7" w:rsidRPr="00B7489A" w:rsidRDefault="007005A7" w:rsidP="007005A7">
            <w:pPr>
              <w:jc w:val="right"/>
              <w:rPr>
                <w:rFonts w:ascii="Arial" w:hAnsi="Arial" w:cs="Arial"/>
                <w:color w:val="000000"/>
              </w:rPr>
            </w:pPr>
            <w:r w:rsidRPr="00B7489A">
              <w:rPr>
                <w:rFonts w:ascii="Arial" w:hAnsi="Arial" w:cs="Arial"/>
                <w:color w:val="000000"/>
              </w:rPr>
              <w:t>47.32**</w:t>
            </w:r>
          </w:p>
        </w:tc>
        <w:tc>
          <w:tcPr>
            <w:tcW w:w="1134" w:type="dxa"/>
            <w:tcBorders>
              <w:top w:val="nil"/>
              <w:left w:val="nil"/>
              <w:bottom w:val="nil"/>
              <w:right w:val="nil"/>
            </w:tcBorders>
            <w:shd w:val="clear" w:color="auto" w:fill="auto"/>
            <w:noWrap/>
            <w:vAlign w:val="center"/>
            <w:hideMark/>
          </w:tcPr>
          <w:p w14:paraId="3A0EF2B5" w14:textId="77777777" w:rsidR="007005A7" w:rsidRPr="00B7489A" w:rsidRDefault="007005A7" w:rsidP="007005A7">
            <w:pPr>
              <w:jc w:val="right"/>
              <w:rPr>
                <w:rFonts w:ascii="Arial" w:hAnsi="Arial" w:cs="Arial"/>
                <w:color w:val="000000"/>
              </w:rPr>
            </w:pPr>
            <w:r w:rsidRPr="00B7489A">
              <w:rPr>
                <w:rFonts w:ascii="Arial" w:hAnsi="Arial" w:cs="Arial"/>
                <w:color w:val="000000"/>
              </w:rPr>
              <w:t>14.12</w:t>
            </w:r>
          </w:p>
        </w:tc>
        <w:tc>
          <w:tcPr>
            <w:tcW w:w="992" w:type="dxa"/>
            <w:vMerge/>
            <w:tcBorders>
              <w:top w:val="nil"/>
              <w:left w:val="nil"/>
              <w:bottom w:val="single" w:sz="4" w:space="0" w:color="000000"/>
              <w:right w:val="nil"/>
            </w:tcBorders>
            <w:vAlign w:val="center"/>
            <w:hideMark/>
          </w:tcPr>
          <w:p w14:paraId="6A81CBEA"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1078B8C3" w14:textId="77777777" w:rsidR="007005A7" w:rsidRPr="00B7489A" w:rsidRDefault="007005A7" w:rsidP="007005A7">
            <w:pPr>
              <w:rPr>
                <w:rFonts w:ascii="Arial" w:hAnsi="Arial" w:cs="Arial"/>
                <w:color w:val="000000"/>
              </w:rPr>
            </w:pPr>
          </w:p>
        </w:tc>
      </w:tr>
      <w:tr w:rsidR="007005A7" w:rsidRPr="00B7489A" w14:paraId="28D4604D"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089A6D80" w14:textId="77777777" w:rsidR="007005A7" w:rsidRPr="00B7489A" w:rsidRDefault="007005A7" w:rsidP="007005A7">
            <w:pPr>
              <w:rPr>
                <w:rFonts w:ascii="Arial" w:hAnsi="Arial" w:cs="Arial"/>
                <w:color w:val="000000"/>
              </w:rPr>
            </w:pPr>
            <w:r w:rsidRPr="00B7489A">
              <w:rPr>
                <w:rFonts w:ascii="Arial" w:hAnsi="Arial" w:cs="Arial"/>
                <w:color w:val="000000"/>
              </w:rPr>
              <w:t>Fruit weight per plant</w:t>
            </w:r>
          </w:p>
        </w:tc>
        <w:tc>
          <w:tcPr>
            <w:tcW w:w="1701" w:type="dxa"/>
            <w:tcBorders>
              <w:top w:val="nil"/>
              <w:left w:val="nil"/>
              <w:bottom w:val="single" w:sz="4" w:space="0" w:color="auto"/>
              <w:right w:val="nil"/>
            </w:tcBorders>
            <w:shd w:val="clear" w:color="auto" w:fill="auto"/>
            <w:noWrap/>
            <w:vAlign w:val="center"/>
            <w:hideMark/>
          </w:tcPr>
          <w:p w14:paraId="27676D31" w14:textId="77777777" w:rsidR="007005A7" w:rsidRPr="00B7489A" w:rsidRDefault="007005A7" w:rsidP="007005A7">
            <w:pPr>
              <w:jc w:val="right"/>
              <w:rPr>
                <w:rFonts w:ascii="Arial" w:hAnsi="Arial" w:cs="Arial"/>
                <w:color w:val="000000"/>
              </w:rPr>
            </w:pPr>
            <w:r w:rsidRPr="00B7489A">
              <w:rPr>
                <w:rFonts w:ascii="Arial" w:hAnsi="Arial" w:cs="Arial"/>
                <w:color w:val="000000"/>
              </w:rPr>
              <w:t>5.16**</w:t>
            </w:r>
          </w:p>
        </w:tc>
        <w:tc>
          <w:tcPr>
            <w:tcW w:w="1134" w:type="dxa"/>
            <w:tcBorders>
              <w:top w:val="nil"/>
              <w:left w:val="nil"/>
              <w:bottom w:val="single" w:sz="4" w:space="0" w:color="auto"/>
              <w:right w:val="nil"/>
            </w:tcBorders>
            <w:shd w:val="clear" w:color="auto" w:fill="auto"/>
            <w:noWrap/>
            <w:vAlign w:val="center"/>
            <w:hideMark/>
          </w:tcPr>
          <w:p w14:paraId="45D4C948" w14:textId="77777777" w:rsidR="007005A7" w:rsidRPr="00B7489A" w:rsidRDefault="007005A7" w:rsidP="007005A7">
            <w:pPr>
              <w:jc w:val="right"/>
              <w:rPr>
                <w:rFonts w:ascii="Arial" w:hAnsi="Arial" w:cs="Arial"/>
                <w:color w:val="000000"/>
              </w:rPr>
            </w:pPr>
            <w:r w:rsidRPr="00B7489A">
              <w:rPr>
                <w:rFonts w:ascii="Arial" w:hAnsi="Arial" w:cs="Arial"/>
                <w:color w:val="000000"/>
              </w:rPr>
              <w:t>12.66</w:t>
            </w:r>
          </w:p>
        </w:tc>
        <w:tc>
          <w:tcPr>
            <w:tcW w:w="992" w:type="dxa"/>
            <w:vMerge/>
            <w:tcBorders>
              <w:top w:val="nil"/>
              <w:left w:val="nil"/>
              <w:bottom w:val="single" w:sz="4" w:space="0" w:color="000000"/>
              <w:right w:val="nil"/>
            </w:tcBorders>
            <w:vAlign w:val="center"/>
            <w:hideMark/>
          </w:tcPr>
          <w:p w14:paraId="0F3AAD9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5922D864" w14:textId="77777777" w:rsidR="007005A7" w:rsidRPr="00B7489A" w:rsidRDefault="007005A7" w:rsidP="007005A7">
            <w:pPr>
              <w:rPr>
                <w:rFonts w:ascii="Arial" w:hAnsi="Arial" w:cs="Arial"/>
                <w:color w:val="000000"/>
              </w:rPr>
            </w:pPr>
          </w:p>
        </w:tc>
      </w:tr>
    </w:tbl>
    <w:p w14:paraId="767F39FE" w14:textId="77777777" w:rsidR="007005A7" w:rsidRPr="00621BB4" w:rsidRDefault="007005A7" w:rsidP="007005A7">
      <w:pPr>
        <w:spacing w:line="276" w:lineRule="auto"/>
        <w:jc w:val="center"/>
        <w:rPr>
          <w:rFonts w:ascii="Arial" w:hAnsi="Arial" w:cs="Arial"/>
          <w:sz w:val="18"/>
        </w:rPr>
      </w:pPr>
      <w:r w:rsidRPr="00621BB4">
        <w:rPr>
          <w:rFonts w:ascii="Arial" w:hAnsi="Arial" w:cs="Arial"/>
          <w:sz w:val="18"/>
        </w:rPr>
        <w:t>Note: *= significant</w:t>
      </w:r>
      <w:r w:rsidR="00621BB4">
        <w:rPr>
          <w:rFonts w:ascii="Arial" w:hAnsi="Arial" w:cs="Arial"/>
          <w:sz w:val="18"/>
        </w:rPr>
        <w:t>ly</w:t>
      </w:r>
      <w:r w:rsidRPr="00621BB4">
        <w:rPr>
          <w:rFonts w:ascii="Arial" w:hAnsi="Arial" w:cs="Arial"/>
          <w:sz w:val="18"/>
        </w:rPr>
        <w:t xml:space="preserve"> different; **= highly significant</w:t>
      </w:r>
      <w:r w:rsidR="00621BB4">
        <w:rPr>
          <w:rFonts w:ascii="Arial" w:hAnsi="Arial" w:cs="Arial"/>
          <w:sz w:val="18"/>
        </w:rPr>
        <w:t>ly</w:t>
      </w:r>
      <w:r w:rsidRPr="00621BB4">
        <w:rPr>
          <w:rFonts w:ascii="Arial" w:hAnsi="Arial" w:cs="Arial"/>
          <w:sz w:val="18"/>
        </w:rPr>
        <w:t xml:space="preserve"> different; ns = not significantly different</w:t>
      </w:r>
    </w:p>
    <w:p w14:paraId="09E0C52E" w14:textId="77777777" w:rsidR="00701017" w:rsidRDefault="00701017" w:rsidP="007005A7">
      <w:pPr>
        <w:spacing w:line="276" w:lineRule="auto"/>
        <w:jc w:val="both"/>
        <w:rPr>
          <w:rFonts w:ascii="Arial" w:hAnsi="Arial" w:cs="Arial"/>
        </w:rPr>
      </w:pPr>
    </w:p>
    <w:p w14:paraId="0EF92B96" w14:textId="69598C0A" w:rsidR="00701017" w:rsidRDefault="007005A7" w:rsidP="007005A7">
      <w:pPr>
        <w:spacing w:line="276" w:lineRule="auto"/>
        <w:jc w:val="both"/>
        <w:rPr>
          <w:rFonts w:ascii="Arial" w:hAnsi="Arial" w:cs="Arial"/>
        </w:rPr>
      </w:pPr>
      <w:r w:rsidRPr="00701017">
        <w:rPr>
          <w:rFonts w:ascii="Arial" w:hAnsi="Arial" w:cs="Arial"/>
        </w:rPr>
        <w:t xml:space="preserve">Subsequent testing revealed that </w:t>
      </w:r>
      <w:proofErr w:type="spellStart"/>
      <w:r w:rsidRPr="00701017">
        <w:rPr>
          <w:rFonts w:ascii="Arial" w:hAnsi="Arial" w:cs="Arial"/>
        </w:rPr>
        <w:t>cogongrass</w:t>
      </w:r>
      <w:proofErr w:type="spellEnd"/>
      <w:r w:rsidRPr="00701017">
        <w:rPr>
          <w:rFonts w:ascii="Arial" w:hAnsi="Arial" w:cs="Arial"/>
        </w:rPr>
        <w:t xml:space="preserve"> allelopathy significantly influenced cucumber growth and yield components (Table 4).</w:t>
      </w:r>
    </w:p>
    <w:p w14:paraId="0809E3FA" w14:textId="77777777" w:rsidR="007005A7" w:rsidRPr="00701017" w:rsidRDefault="007005A7" w:rsidP="007005A7">
      <w:pPr>
        <w:pStyle w:val="Caption"/>
        <w:keepNext/>
        <w:spacing w:after="0" w:line="276" w:lineRule="auto"/>
        <w:jc w:val="both"/>
        <w:rPr>
          <w:rFonts w:ascii="Arial" w:hAnsi="Arial" w:cs="Arial"/>
          <w:b w:val="0"/>
          <w:bCs w:val="0"/>
          <w:color w:val="auto"/>
          <w:sz w:val="20"/>
          <w:szCs w:val="20"/>
          <w:lang w:val="en-ID"/>
        </w:rPr>
      </w:pPr>
      <w:r w:rsidRPr="00701017">
        <w:rPr>
          <w:rFonts w:ascii="Arial" w:hAnsi="Arial" w:cs="Arial"/>
          <w:b w:val="0"/>
          <w:bCs w:val="0"/>
          <w:color w:val="auto"/>
          <w:sz w:val="20"/>
          <w:szCs w:val="20"/>
          <w:lang w:val="en-ID"/>
        </w:rPr>
        <w:t xml:space="preserve">Table 4. Effect of </w:t>
      </w:r>
      <w:proofErr w:type="spellStart"/>
      <w:r w:rsidRPr="00701017">
        <w:rPr>
          <w:rFonts w:ascii="Arial" w:hAnsi="Arial" w:cs="Arial"/>
          <w:b w:val="0"/>
          <w:bCs w:val="0"/>
          <w:color w:val="auto"/>
          <w:sz w:val="20"/>
          <w:szCs w:val="20"/>
          <w:lang w:val="en-ID"/>
        </w:rPr>
        <w:t>cogongrass</w:t>
      </w:r>
      <w:proofErr w:type="spellEnd"/>
      <w:r w:rsidRPr="00701017">
        <w:rPr>
          <w:rFonts w:ascii="Arial" w:hAnsi="Arial" w:cs="Arial"/>
          <w:b w:val="0"/>
          <w:bCs w:val="0"/>
          <w:color w:val="auto"/>
          <w:sz w:val="20"/>
          <w:szCs w:val="20"/>
          <w:lang w:val="en-ID"/>
        </w:rPr>
        <w:t xml:space="preserve"> allelopa</w:t>
      </w:r>
      <w:r w:rsidR="00621BB4">
        <w:rPr>
          <w:rFonts w:ascii="Arial" w:hAnsi="Arial" w:cs="Arial"/>
          <w:b w:val="0"/>
          <w:bCs w:val="0"/>
          <w:color w:val="auto"/>
          <w:sz w:val="20"/>
          <w:szCs w:val="20"/>
          <w:lang w:val="en-ID"/>
        </w:rPr>
        <w:t>thy on the growth parameter of c</w:t>
      </w:r>
      <w:r w:rsidRPr="00701017">
        <w:rPr>
          <w:rFonts w:ascii="Arial" w:hAnsi="Arial" w:cs="Arial"/>
          <w:b w:val="0"/>
          <w:bCs w:val="0"/>
          <w:color w:val="auto"/>
          <w:sz w:val="20"/>
          <w:szCs w:val="20"/>
          <w:lang w:val="en-ID"/>
        </w:rPr>
        <w:t xml:space="preserve">ucumber </w:t>
      </w:r>
    </w:p>
    <w:tbl>
      <w:tblPr>
        <w:tblW w:w="8902" w:type="dxa"/>
        <w:jc w:val="center"/>
        <w:tblLook w:val="04A0" w:firstRow="1" w:lastRow="0" w:firstColumn="1" w:lastColumn="0" w:noHBand="0" w:noVBand="1"/>
      </w:tblPr>
      <w:tblGrid>
        <w:gridCol w:w="1462"/>
        <w:gridCol w:w="939"/>
        <w:gridCol w:w="904"/>
        <w:gridCol w:w="1162"/>
        <w:gridCol w:w="939"/>
        <w:gridCol w:w="828"/>
        <w:gridCol w:w="828"/>
        <w:gridCol w:w="717"/>
        <w:gridCol w:w="606"/>
        <w:gridCol w:w="828"/>
      </w:tblGrid>
      <w:tr w:rsidR="007005A7" w:rsidRPr="0017194E" w14:paraId="6FAEB372" w14:textId="77777777" w:rsidTr="00701017">
        <w:trPr>
          <w:trHeight w:val="282"/>
          <w:jc w:val="center"/>
        </w:trPr>
        <w:tc>
          <w:tcPr>
            <w:tcW w:w="1407" w:type="dxa"/>
            <w:vMerge w:val="restart"/>
            <w:tcBorders>
              <w:top w:val="single" w:sz="8" w:space="0" w:color="auto"/>
              <w:left w:val="nil"/>
              <w:bottom w:val="single" w:sz="4" w:space="0" w:color="auto"/>
              <w:right w:val="nil"/>
            </w:tcBorders>
            <w:shd w:val="clear" w:color="auto" w:fill="auto"/>
            <w:noWrap/>
            <w:vAlign w:val="center"/>
            <w:hideMark/>
          </w:tcPr>
          <w:p w14:paraId="7E7B900F" w14:textId="77777777" w:rsidR="007005A7" w:rsidRPr="00701017" w:rsidRDefault="007005A7" w:rsidP="007005A7">
            <w:pPr>
              <w:jc w:val="center"/>
              <w:rPr>
                <w:rFonts w:ascii="Arial" w:hAnsi="Arial" w:cs="Arial"/>
                <w:color w:val="000000"/>
              </w:rPr>
            </w:pPr>
            <w:r w:rsidRPr="00701017">
              <w:rPr>
                <w:rFonts w:ascii="Arial" w:hAnsi="Arial" w:cs="Arial"/>
                <w:color w:val="000000"/>
              </w:rPr>
              <w:t>Concentration</w:t>
            </w:r>
          </w:p>
          <w:p w14:paraId="65529006" w14:textId="77777777" w:rsidR="007005A7" w:rsidRPr="00701017" w:rsidRDefault="007005A7" w:rsidP="007005A7">
            <w:pPr>
              <w:jc w:val="center"/>
              <w:rPr>
                <w:rFonts w:ascii="Arial" w:hAnsi="Arial" w:cs="Arial"/>
                <w:color w:val="000000"/>
              </w:rPr>
            </w:pPr>
            <w:r w:rsidRPr="00701017">
              <w:rPr>
                <w:rFonts w:ascii="Arial" w:hAnsi="Arial" w:cs="Arial"/>
                <w:color w:val="000000"/>
              </w:rPr>
              <w:t>(%)</w:t>
            </w:r>
          </w:p>
        </w:tc>
        <w:tc>
          <w:tcPr>
            <w:tcW w:w="7495" w:type="dxa"/>
            <w:gridSpan w:val="9"/>
            <w:tcBorders>
              <w:top w:val="single" w:sz="8" w:space="0" w:color="auto"/>
              <w:left w:val="nil"/>
              <w:bottom w:val="single" w:sz="8" w:space="0" w:color="auto"/>
              <w:right w:val="nil"/>
            </w:tcBorders>
            <w:shd w:val="clear" w:color="auto" w:fill="auto"/>
            <w:vAlign w:val="center"/>
            <w:hideMark/>
          </w:tcPr>
          <w:p w14:paraId="2B6C2AB2" w14:textId="77777777" w:rsidR="007005A7" w:rsidRPr="00701017" w:rsidRDefault="007005A7" w:rsidP="007005A7">
            <w:pPr>
              <w:jc w:val="center"/>
              <w:rPr>
                <w:rFonts w:ascii="Arial" w:hAnsi="Arial" w:cs="Arial"/>
                <w:color w:val="000000"/>
              </w:rPr>
            </w:pPr>
            <w:r w:rsidRPr="00701017">
              <w:rPr>
                <w:rFonts w:ascii="Arial" w:hAnsi="Arial" w:cs="Arial"/>
                <w:color w:val="000000"/>
              </w:rPr>
              <w:t>Variables</w:t>
            </w:r>
          </w:p>
        </w:tc>
      </w:tr>
      <w:tr w:rsidR="00701017" w:rsidRPr="0017194E" w14:paraId="34709B52"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1C2712E1" w14:textId="77777777" w:rsidR="007005A7" w:rsidRPr="00701017" w:rsidRDefault="007005A7" w:rsidP="007005A7">
            <w:pPr>
              <w:rPr>
                <w:rFonts w:ascii="Arial" w:hAnsi="Arial" w:cs="Arial"/>
                <w:color w:val="000000"/>
              </w:rPr>
            </w:pPr>
          </w:p>
        </w:tc>
        <w:tc>
          <w:tcPr>
            <w:tcW w:w="904" w:type="dxa"/>
            <w:vMerge w:val="restart"/>
            <w:tcBorders>
              <w:top w:val="nil"/>
              <w:left w:val="nil"/>
              <w:bottom w:val="single" w:sz="8" w:space="0" w:color="000000"/>
              <w:right w:val="nil"/>
            </w:tcBorders>
            <w:shd w:val="clear" w:color="auto" w:fill="auto"/>
            <w:vAlign w:val="center"/>
            <w:hideMark/>
          </w:tcPr>
          <w:p w14:paraId="220BFBF6" w14:textId="77777777" w:rsidR="007005A7" w:rsidRPr="00701017" w:rsidRDefault="007005A7" w:rsidP="007005A7">
            <w:pPr>
              <w:jc w:val="center"/>
              <w:rPr>
                <w:rFonts w:ascii="Arial" w:hAnsi="Arial" w:cs="Arial"/>
                <w:color w:val="000000"/>
              </w:rPr>
            </w:pPr>
            <w:r w:rsidRPr="00701017">
              <w:rPr>
                <w:rFonts w:ascii="Arial" w:hAnsi="Arial" w:cs="Arial"/>
                <w:color w:val="000000"/>
              </w:rPr>
              <w:t xml:space="preserve">PH </w:t>
            </w:r>
            <w:r w:rsidRPr="00701017">
              <w:rPr>
                <w:rFonts w:ascii="Arial" w:hAnsi="Arial" w:cs="Arial"/>
                <w:color w:val="000000"/>
              </w:rPr>
              <w:lastRenderedPageBreak/>
              <w:t>(cm)</w:t>
            </w:r>
          </w:p>
        </w:tc>
        <w:tc>
          <w:tcPr>
            <w:tcW w:w="904" w:type="dxa"/>
            <w:vMerge w:val="restart"/>
            <w:tcBorders>
              <w:top w:val="nil"/>
              <w:left w:val="nil"/>
              <w:bottom w:val="single" w:sz="8" w:space="0" w:color="000000"/>
              <w:right w:val="nil"/>
            </w:tcBorders>
            <w:shd w:val="clear" w:color="auto" w:fill="auto"/>
            <w:vAlign w:val="center"/>
            <w:hideMark/>
          </w:tcPr>
          <w:p w14:paraId="40CDC503"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NL</w:t>
            </w:r>
          </w:p>
        </w:tc>
        <w:tc>
          <w:tcPr>
            <w:tcW w:w="1119" w:type="dxa"/>
            <w:vMerge w:val="restart"/>
            <w:tcBorders>
              <w:top w:val="nil"/>
              <w:left w:val="nil"/>
              <w:bottom w:val="single" w:sz="8" w:space="0" w:color="000000"/>
              <w:right w:val="nil"/>
            </w:tcBorders>
            <w:shd w:val="clear" w:color="auto" w:fill="auto"/>
            <w:vAlign w:val="center"/>
            <w:hideMark/>
          </w:tcPr>
          <w:p w14:paraId="310BEA38" w14:textId="77777777" w:rsidR="007005A7" w:rsidRPr="00701017" w:rsidRDefault="007005A7" w:rsidP="007005A7">
            <w:pPr>
              <w:jc w:val="center"/>
              <w:rPr>
                <w:rFonts w:ascii="Arial" w:hAnsi="Arial" w:cs="Arial"/>
                <w:color w:val="000000"/>
              </w:rPr>
            </w:pPr>
            <w:r w:rsidRPr="00701017">
              <w:rPr>
                <w:rFonts w:ascii="Arial" w:hAnsi="Arial" w:cs="Arial"/>
                <w:color w:val="000000"/>
              </w:rPr>
              <w:t>LA (cm)</w:t>
            </w:r>
          </w:p>
        </w:tc>
        <w:tc>
          <w:tcPr>
            <w:tcW w:w="904" w:type="dxa"/>
            <w:vMerge w:val="restart"/>
            <w:tcBorders>
              <w:top w:val="nil"/>
              <w:left w:val="nil"/>
              <w:bottom w:val="single" w:sz="8" w:space="0" w:color="000000"/>
              <w:right w:val="nil"/>
            </w:tcBorders>
            <w:shd w:val="clear" w:color="auto" w:fill="auto"/>
            <w:vAlign w:val="center"/>
            <w:hideMark/>
          </w:tcPr>
          <w:p w14:paraId="31252FED" w14:textId="77777777" w:rsidR="007005A7" w:rsidRPr="00701017" w:rsidRDefault="007005A7" w:rsidP="007005A7">
            <w:pPr>
              <w:jc w:val="center"/>
              <w:rPr>
                <w:rFonts w:ascii="Arial" w:hAnsi="Arial" w:cs="Arial"/>
                <w:color w:val="000000"/>
              </w:rPr>
            </w:pPr>
            <w:r w:rsidRPr="00701017">
              <w:rPr>
                <w:rFonts w:ascii="Arial" w:hAnsi="Arial" w:cs="Arial"/>
                <w:color w:val="000000"/>
              </w:rPr>
              <w:t>LG</w:t>
            </w:r>
          </w:p>
        </w:tc>
        <w:tc>
          <w:tcPr>
            <w:tcW w:w="797" w:type="dxa"/>
            <w:vMerge w:val="restart"/>
            <w:tcBorders>
              <w:top w:val="nil"/>
              <w:left w:val="nil"/>
              <w:bottom w:val="single" w:sz="8" w:space="0" w:color="000000"/>
              <w:right w:val="nil"/>
            </w:tcBorders>
            <w:shd w:val="clear" w:color="auto" w:fill="auto"/>
            <w:vAlign w:val="center"/>
            <w:hideMark/>
          </w:tcPr>
          <w:p w14:paraId="7AAC58CE" w14:textId="77777777" w:rsidR="007005A7" w:rsidRPr="00701017" w:rsidRDefault="007005A7" w:rsidP="007005A7">
            <w:pPr>
              <w:jc w:val="center"/>
              <w:rPr>
                <w:rFonts w:ascii="Arial" w:hAnsi="Arial" w:cs="Arial"/>
                <w:color w:val="000000"/>
              </w:rPr>
            </w:pPr>
            <w:r w:rsidRPr="00701017">
              <w:rPr>
                <w:rFonts w:ascii="Arial" w:hAnsi="Arial" w:cs="Arial"/>
                <w:color w:val="000000"/>
              </w:rPr>
              <w:t xml:space="preserve">RDW </w:t>
            </w:r>
            <w:r w:rsidRPr="00701017">
              <w:rPr>
                <w:rFonts w:ascii="Arial" w:hAnsi="Arial" w:cs="Arial"/>
                <w:color w:val="000000"/>
              </w:rPr>
              <w:lastRenderedPageBreak/>
              <w:t>(g)</w:t>
            </w:r>
          </w:p>
        </w:tc>
        <w:tc>
          <w:tcPr>
            <w:tcW w:w="797" w:type="dxa"/>
            <w:vMerge w:val="restart"/>
            <w:tcBorders>
              <w:top w:val="nil"/>
              <w:left w:val="nil"/>
              <w:bottom w:val="single" w:sz="8" w:space="0" w:color="000000"/>
              <w:right w:val="nil"/>
            </w:tcBorders>
            <w:shd w:val="clear" w:color="auto" w:fill="auto"/>
            <w:vAlign w:val="center"/>
            <w:hideMark/>
          </w:tcPr>
          <w:p w14:paraId="40D7E281"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 xml:space="preserve">SDW </w:t>
            </w:r>
            <w:r w:rsidRPr="00701017">
              <w:rPr>
                <w:rFonts w:ascii="Arial" w:hAnsi="Arial" w:cs="Arial"/>
                <w:color w:val="000000"/>
              </w:rPr>
              <w:lastRenderedPageBreak/>
              <w:t>(g)</w:t>
            </w:r>
          </w:p>
        </w:tc>
        <w:tc>
          <w:tcPr>
            <w:tcW w:w="690" w:type="dxa"/>
            <w:vMerge w:val="restart"/>
            <w:tcBorders>
              <w:top w:val="nil"/>
              <w:left w:val="nil"/>
              <w:bottom w:val="single" w:sz="8" w:space="0" w:color="000000"/>
              <w:right w:val="nil"/>
            </w:tcBorders>
            <w:shd w:val="clear" w:color="auto" w:fill="auto"/>
            <w:vAlign w:val="center"/>
            <w:hideMark/>
          </w:tcPr>
          <w:p w14:paraId="35193885"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SRR</w:t>
            </w:r>
          </w:p>
        </w:tc>
        <w:tc>
          <w:tcPr>
            <w:tcW w:w="583" w:type="dxa"/>
            <w:vMerge w:val="restart"/>
            <w:tcBorders>
              <w:top w:val="nil"/>
              <w:left w:val="nil"/>
              <w:bottom w:val="single" w:sz="8" w:space="0" w:color="000000"/>
              <w:right w:val="nil"/>
            </w:tcBorders>
            <w:shd w:val="clear" w:color="auto" w:fill="auto"/>
            <w:vAlign w:val="center"/>
            <w:hideMark/>
          </w:tcPr>
          <w:p w14:paraId="239A0F00" w14:textId="77777777" w:rsidR="007005A7" w:rsidRPr="00701017" w:rsidRDefault="007005A7" w:rsidP="007005A7">
            <w:pPr>
              <w:jc w:val="center"/>
              <w:rPr>
                <w:rFonts w:ascii="Arial" w:hAnsi="Arial" w:cs="Arial"/>
                <w:color w:val="000000"/>
              </w:rPr>
            </w:pPr>
            <w:r w:rsidRPr="00701017">
              <w:rPr>
                <w:rFonts w:ascii="Arial" w:hAnsi="Arial" w:cs="Arial"/>
                <w:color w:val="000000"/>
              </w:rPr>
              <w:t xml:space="preserve">RSL </w:t>
            </w:r>
            <w:r w:rsidRPr="00701017">
              <w:rPr>
                <w:rFonts w:ascii="Arial" w:hAnsi="Arial" w:cs="Arial"/>
                <w:color w:val="000000"/>
              </w:rPr>
              <w:lastRenderedPageBreak/>
              <w:t>(%)</w:t>
            </w:r>
          </w:p>
        </w:tc>
        <w:tc>
          <w:tcPr>
            <w:tcW w:w="797" w:type="dxa"/>
            <w:vMerge w:val="restart"/>
            <w:tcBorders>
              <w:top w:val="nil"/>
              <w:left w:val="nil"/>
              <w:bottom w:val="single" w:sz="8" w:space="0" w:color="000000"/>
              <w:right w:val="nil"/>
            </w:tcBorders>
            <w:shd w:val="clear" w:color="auto" w:fill="auto"/>
            <w:vAlign w:val="center"/>
            <w:hideMark/>
          </w:tcPr>
          <w:p w14:paraId="683E2DD1"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 xml:space="preserve">RRSW </w:t>
            </w:r>
            <w:r w:rsidRPr="00701017">
              <w:rPr>
                <w:rFonts w:ascii="Arial" w:hAnsi="Arial" w:cs="Arial"/>
                <w:color w:val="000000"/>
              </w:rPr>
              <w:lastRenderedPageBreak/>
              <w:t>(%)</w:t>
            </w:r>
          </w:p>
        </w:tc>
      </w:tr>
      <w:tr w:rsidR="00701017" w:rsidRPr="0017194E" w14:paraId="7E182C2C"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5F035DF2"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1F37FFDB"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425F4076" w14:textId="77777777" w:rsidR="007005A7" w:rsidRPr="00701017" w:rsidRDefault="007005A7" w:rsidP="007005A7">
            <w:pPr>
              <w:rPr>
                <w:rFonts w:ascii="Arial" w:hAnsi="Arial" w:cs="Arial"/>
                <w:color w:val="000000"/>
              </w:rPr>
            </w:pPr>
          </w:p>
        </w:tc>
        <w:tc>
          <w:tcPr>
            <w:tcW w:w="1119" w:type="dxa"/>
            <w:vMerge/>
            <w:tcBorders>
              <w:top w:val="nil"/>
              <w:left w:val="nil"/>
              <w:bottom w:val="single" w:sz="8" w:space="0" w:color="000000"/>
              <w:right w:val="nil"/>
            </w:tcBorders>
            <w:vAlign w:val="center"/>
            <w:hideMark/>
          </w:tcPr>
          <w:p w14:paraId="5B38C8C8"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2C7B794C"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17E92DE1"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6791DF56" w14:textId="77777777" w:rsidR="007005A7" w:rsidRPr="00701017" w:rsidRDefault="007005A7" w:rsidP="007005A7">
            <w:pPr>
              <w:rPr>
                <w:rFonts w:ascii="Arial" w:hAnsi="Arial" w:cs="Arial"/>
                <w:color w:val="000000"/>
              </w:rPr>
            </w:pPr>
          </w:p>
        </w:tc>
        <w:tc>
          <w:tcPr>
            <w:tcW w:w="690" w:type="dxa"/>
            <w:vMerge/>
            <w:tcBorders>
              <w:top w:val="nil"/>
              <w:left w:val="nil"/>
              <w:bottom w:val="single" w:sz="8" w:space="0" w:color="000000"/>
              <w:right w:val="nil"/>
            </w:tcBorders>
            <w:vAlign w:val="center"/>
            <w:hideMark/>
          </w:tcPr>
          <w:p w14:paraId="6231D4D6" w14:textId="77777777" w:rsidR="007005A7" w:rsidRPr="00701017" w:rsidRDefault="007005A7" w:rsidP="007005A7">
            <w:pPr>
              <w:rPr>
                <w:rFonts w:ascii="Arial" w:hAnsi="Arial" w:cs="Arial"/>
                <w:color w:val="000000"/>
              </w:rPr>
            </w:pPr>
          </w:p>
        </w:tc>
        <w:tc>
          <w:tcPr>
            <w:tcW w:w="583" w:type="dxa"/>
            <w:vMerge/>
            <w:tcBorders>
              <w:top w:val="nil"/>
              <w:left w:val="nil"/>
              <w:bottom w:val="single" w:sz="8" w:space="0" w:color="000000"/>
              <w:right w:val="nil"/>
            </w:tcBorders>
            <w:vAlign w:val="center"/>
            <w:hideMark/>
          </w:tcPr>
          <w:p w14:paraId="2CBEF37B"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348F7214" w14:textId="77777777" w:rsidR="007005A7" w:rsidRPr="00701017" w:rsidRDefault="007005A7" w:rsidP="007005A7">
            <w:pPr>
              <w:rPr>
                <w:rFonts w:ascii="Arial" w:hAnsi="Arial" w:cs="Arial"/>
                <w:color w:val="000000"/>
              </w:rPr>
            </w:pPr>
          </w:p>
        </w:tc>
      </w:tr>
      <w:tr w:rsidR="00701017" w:rsidRPr="0017194E" w14:paraId="4FEC17BB" w14:textId="77777777" w:rsidTr="00701017">
        <w:trPr>
          <w:trHeight w:val="268"/>
          <w:jc w:val="center"/>
        </w:trPr>
        <w:tc>
          <w:tcPr>
            <w:tcW w:w="1407" w:type="dxa"/>
            <w:tcBorders>
              <w:top w:val="single" w:sz="4" w:space="0" w:color="auto"/>
              <w:left w:val="nil"/>
              <w:bottom w:val="nil"/>
              <w:right w:val="nil"/>
            </w:tcBorders>
            <w:shd w:val="clear" w:color="auto" w:fill="auto"/>
            <w:noWrap/>
            <w:vAlign w:val="center"/>
            <w:hideMark/>
          </w:tcPr>
          <w:p w14:paraId="00639C0F" w14:textId="77777777" w:rsidR="007005A7" w:rsidRPr="00701017" w:rsidRDefault="007005A7" w:rsidP="007005A7">
            <w:pPr>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08669989" w14:textId="77777777" w:rsidR="007005A7" w:rsidRPr="00701017" w:rsidRDefault="007005A7" w:rsidP="007005A7">
            <w:pPr>
              <w:jc w:val="center"/>
              <w:rPr>
                <w:rFonts w:ascii="Arial" w:hAnsi="Arial" w:cs="Arial"/>
                <w:color w:val="000000"/>
              </w:rPr>
            </w:pPr>
            <w:r w:rsidRPr="00701017">
              <w:rPr>
                <w:rFonts w:ascii="Arial" w:hAnsi="Arial" w:cs="Arial"/>
                <w:color w:val="000000"/>
              </w:rPr>
              <w:t>203.8a</w:t>
            </w:r>
          </w:p>
        </w:tc>
        <w:tc>
          <w:tcPr>
            <w:tcW w:w="904" w:type="dxa"/>
            <w:tcBorders>
              <w:top w:val="nil"/>
              <w:left w:val="nil"/>
              <w:bottom w:val="nil"/>
              <w:right w:val="nil"/>
            </w:tcBorders>
            <w:shd w:val="clear" w:color="auto" w:fill="auto"/>
            <w:noWrap/>
            <w:vAlign w:val="center"/>
            <w:hideMark/>
          </w:tcPr>
          <w:p w14:paraId="631CC515" w14:textId="27299F2D" w:rsidR="007005A7" w:rsidRPr="00701017" w:rsidRDefault="006E1E09" w:rsidP="007005A7">
            <w:pPr>
              <w:jc w:val="center"/>
              <w:rPr>
                <w:rFonts w:ascii="Arial" w:hAnsi="Arial" w:cs="Arial"/>
                <w:color w:val="000000"/>
              </w:rPr>
            </w:pPr>
            <w:r>
              <w:rPr>
                <w:rFonts w:ascii="Arial" w:hAnsi="Arial" w:cs="Arial"/>
                <w:color w:val="000000"/>
              </w:rPr>
              <w:t>27.2</w:t>
            </w:r>
            <w:r w:rsidR="007005A7" w:rsidRPr="00701017">
              <w:rPr>
                <w:rFonts w:ascii="Arial" w:hAnsi="Arial" w:cs="Arial"/>
                <w:color w:val="000000"/>
              </w:rPr>
              <w:t>a</w:t>
            </w:r>
          </w:p>
        </w:tc>
        <w:tc>
          <w:tcPr>
            <w:tcW w:w="1119" w:type="dxa"/>
            <w:tcBorders>
              <w:top w:val="nil"/>
              <w:left w:val="nil"/>
              <w:bottom w:val="nil"/>
              <w:right w:val="nil"/>
            </w:tcBorders>
            <w:shd w:val="clear" w:color="auto" w:fill="auto"/>
            <w:noWrap/>
            <w:vAlign w:val="center"/>
            <w:hideMark/>
          </w:tcPr>
          <w:p w14:paraId="61C19434" w14:textId="77777777" w:rsidR="007005A7" w:rsidRPr="00701017" w:rsidRDefault="007005A7" w:rsidP="007005A7">
            <w:pPr>
              <w:rPr>
                <w:rFonts w:ascii="Arial" w:hAnsi="Arial" w:cs="Arial"/>
                <w:color w:val="000000"/>
              </w:rPr>
            </w:pPr>
            <w:r w:rsidRPr="00701017">
              <w:rPr>
                <w:rFonts w:ascii="Arial" w:hAnsi="Arial" w:cs="Arial"/>
                <w:color w:val="000000"/>
              </w:rPr>
              <w:t>2253.32a</w:t>
            </w:r>
          </w:p>
        </w:tc>
        <w:tc>
          <w:tcPr>
            <w:tcW w:w="904" w:type="dxa"/>
            <w:tcBorders>
              <w:top w:val="nil"/>
              <w:left w:val="nil"/>
              <w:bottom w:val="nil"/>
              <w:right w:val="nil"/>
            </w:tcBorders>
            <w:shd w:val="clear" w:color="auto" w:fill="auto"/>
            <w:noWrap/>
            <w:vAlign w:val="center"/>
            <w:hideMark/>
          </w:tcPr>
          <w:p w14:paraId="5A5F7AC9" w14:textId="77777777" w:rsidR="007005A7" w:rsidRPr="00701017" w:rsidRDefault="007005A7" w:rsidP="007005A7">
            <w:pPr>
              <w:jc w:val="center"/>
              <w:rPr>
                <w:rFonts w:ascii="Arial" w:hAnsi="Arial" w:cs="Arial"/>
                <w:color w:val="000000"/>
              </w:rPr>
            </w:pPr>
            <w:r w:rsidRPr="00701017">
              <w:rPr>
                <w:rFonts w:ascii="Arial" w:hAnsi="Arial" w:cs="Arial"/>
                <w:color w:val="000000"/>
              </w:rPr>
              <w:t>42.52a</w:t>
            </w:r>
          </w:p>
        </w:tc>
        <w:tc>
          <w:tcPr>
            <w:tcW w:w="797" w:type="dxa"/>
            <w:tcBorders>
              <w:top w:val="nil"/>
              <w:left w:val="nil"/>
              <w:bottom w:val="nil"/>
              <w:right w:val="nil"/>
            </w:tcBorders>
            <w:shd w:val="clear" w:color="auto" w:fill="auto"/>
            <w:noWrap/>
            <w:vAlign w:val="center"/>
            <w:hideMark/>
          </w:tcPr>
          <w:p w14:paraId="1BF66071" w14:textId="77777777" w:rsidR="007005A7" w:rsidRPr="00701017" w:rsidRDefault="007005A7" w:rsidP="007005A7">
            <w:pPr>
              <w:jc w:val="center"/>
              <w:rPr>
                <w:rFonts w:ascii="Arial" w:hAnsi="Arial" w:cs="Arial"/>
                <w:color w:val="000000"/>
              </w:rPr>
            </w:pPr>
            <w:r w:rsidRPr="00701017">
              <w:rPr>
                <w:rFonts w:ascii="Arial" w:hAnsi="Arial" w:cs="Arial"/>
                <w:color w:val="000000"/>
              </w:rPr>
              <w:t>1.61a</w:t>
            </w:r>
          </w:p>
        </w:tc>
        <w:tc>
          <w:tcPr>
            <w:tcW w:w="797" w:type="dxa"/>
            <w:tcBorders>
              <w:top w:val="nil"/>
              <w:left w:val="nil"/>
              <w:bottom w:val="nil"/>
              <w:right w:val="nil"/>
            </w:tcBorders>
            <w:shd w:val="clear" w:color="auto" w:fill="auto"/>
            <w:noWrap/>
            <w:vAlign w:val="center"/>
            <w:hideMark/>
          </w:tcPr>
          <w:p w14:paraId="55DE8659" w14:textId="77777777" w:rsidR="007005A7" w:rsidRPr="00701017" w:rsidRDefault="007005A7" w:rsidP="007005A7">
            <w:pPr>
              <w:jc w:val="center"/>
              <w:rPr>
                <w:rFonts w:ascii="Arial" w:hAnsi="Arial" w:cs="Arial"/>
                <w:color w:val="000000"/>
              </w:rPr>
            </w:pPr>
            <w:r w:rsidRPr="00701017">
              <w:rPr>
                <w:rFonts w:ascii="Arial" w:hAnsi="Arial" w:cs="Arial"/>
                <w:color w:val="000000"/>
              </w:rPr>
              <w:t>33.74a</w:t>
            </w:r>
          </w:p>
        </w:tc>
        <w:tc>
          <w:tcPr>
            <w:tcW w:w="690" w:type="dxa"/>
            <w:tcBorders>
              <w:top w:val="nil"/>
              <w:left w:val="nil"/>
              <w:bottom w:val="nil"/>
              <w:right w:val="nil"/>
            </w:tcBorders>
            <w:shd w:val="clear" w:color="auto" w:fill="auto"/>
            <w:noWrap/>
            <w:vAlign w:val="center"/>
            <w:hideMark/>
          </w:tcPr>
          <w:p w14:paraId="54D4E01E" w14:textId="77777777" w:rsidR="007005A7" w:rsidRPr="00701017" w:rsidRDefault="007005A7" w:rsidP="007005A7">
            <w:pPr>
              <w:jc w:val="center"/>
              <w:rPr>
                <w:rFonts w:ascii="Arial" w:hAnsi="Arial" w:cs="Arial"/>
              </w:rPr>
            </w:pPr>
            <w:r w:rsidRPr="00701017">
              <w:rPr>
                <w:rFonts w:ascii="Arial" w:hAnsi="Arial" w:cs="Arial"/>
              </w:rPr>
              <w:t>21.17</w:t>
            </w:r>
          </w:p>
        </w:tc>
        <w:tc>
          <w:tcPr>
            <w:tcW w:w="583" w:type="dxa"/>
            <w:tcBorders>
              <w:top w:val="nil"/>
              <w:left w:val="nil"/>
              <w:bottom w:val="nil"/>
              <w:right w:val="nil"/>
            </w:tcBorders>
            <w:shd w:val="clear" w:color="auto" w:fill="auto"/>
            <w:noWrap/>
            <w:vAlign w:val="center"/>
            <w:hideMark/>
          </w:tcPr>
          <w:p w14:paraId="05A6CC4C" w14:textId="77777777" w:rsidR="007005A7" w:rsidRPr="00701017" w:rsidRDefault="007005A7" w:rsidP="007005A7">
            <w:pPr>
              <w:rPr>
                <w:rFonts w:ascii="Arial" w:hAnsi="Arial" w:cs="Arial"/>
              </w:rPr>
            </w:pPr>
          </w:p>
        </w:tc>
        <w:tc>
          <w:tcPr>
            <w:tcW w:w="797" w:type="dxa"/>
            <w:tcBorders>
              <w:top w:val="nil"/>
              <w:left w:val="nil"/>
              <w:bottom w:val="nil"/>
              <w:right w:val="nil"/>
            </w:tcBorders>
            <w:shd w:val="clear" w:color="auto" w:fill="auto"/>
            <w:noWrap/>
            <w:vAlign w:val="center"/>
            <w:hideMark/>
          </w:tcPr>
          <w:p w14:paraId="6AF83A93" w14:textId="77777777" w:rsidR="007005A7" w:rsidRPr="00701017" w:rsidRDefault="007005A7" w:rsidP="007005A7">
            <w:pPr>
              <w:rPr>
                <w:rFonts w:ascii="Arial" w:hAnsi="Arial" w:cs="Arial"/>
              </w:rPr>
            </w:pPr>
          </w:p>
        </w:tc>
      </w:tr>
      <w:tr w:rsidR="00701017" w:rsidRPr="0017194E" w14:paraId="2AB28793"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2F57445D" w14:textId="77777777" w:rsidR="007005A7" w:rsidRPr="00701017" w:rsidRDefault="007005A7" w:rsidP="007005A7">
            <w:pPr>
              <w:jc w:val="center"/>
              <w:rPr>
                <w:rFonts w:ascii="Arial" w:hAnsi="Arial" w:cs="Arial"/>
                <w:color w:val="000000"/>
              </w:rPr>
            </w:pPr>
            <w:r w:rsidRPr="00701017">
              <w:rPr>
                <w:rFonts w:ascii="Arial" w:hAnsi="Arial" w:cs="Arial"/>
                <w:color w:val="000000"/>
              </w:rPr>
              <w:t>2.5</w:t>
            </w:r>
          </w:p>
        </w:tc>
        <w:tc>
          <w:tcPr>
            <w:tcW w:w="904" w:type="dxa"/>
            <w:tcBorders>
              <w:top w:val="nil"/>
              <w:left w:val="nil"/>
              <w:bottom w:val="nil"/>
              <w:right w:val="nil"/>
            </w:tcBorders>
            <w:shd w:val="clear" w:color="auto" w:fill="auto"/>
            <w:noWrap/>
            <w:vAlign w:val="center"/>
            <w:hideMark/>
          </w:tcPr>
          <w:p w14:paraId="41E67F0C" w14:textId="77777777" w:rsidR="007005A7" w:rsidRPr="00701017" w:rsidRDefault="007005A7" w:rsidP="007005A7">
            <w:pPr>
              <w:jc w:val="center"/>
              <w:rPr>
                <w:rFonts w:ascii="Arial" w:hAnsi="Arial" w:cs="Arial"/>
                <w:color w:val="000000"/>
              </w:rPr>
            </w:pPr>
            <w:r w:rsidRPr="00701017">
              <w:rPr>
                <w:rFonts w:ascii="Arial" w:hAnsi="Arial" w:cs="Arial"/>
                <w:color w:val="000000"/>
              </w:rPr>
              <w:t>170.76b</w:t>
            </w:r>
          </w:p>
        </w:tc>
        <w:tc>
          <w:tcPr>
            <w:tcW w:w="904" w:type="dxa"/>
            <w:tcBorders>
              <w:top w:val="nil"/>
              <w:left w:val="nil"/>
              <w:bottom w:val="nil"/>
              <w:right w:val="nil"/>
            </w:tcBorders>
            <w:shd w:val="clear" w:color="auto" w:fill="auto"/>
            <w:noWrap/>
            <w:vAlign w:val="center"/>
            <w:hideMark/>
          </w:tcPr>
          <w:p w14:paraId="42A4D257" w14:textId="53319034" w:rsidR="007005A7" w:rsidRPr="00701017" w:rsidRDefault="006E1E09" w:rsidP="007005A7">
            <w:pPr>
              <w:jc w:val="center"/>
              <w:rPr>
                <w:rFonts w:ascii="Arial" w:hAnsi="Arial" w:cs="Arial"/>
                <w:color w:val="000000"/>
              </w:rPr>
            </w:pPr>
            <w:r>
              <w:rPr>
                <w:rFonts w:ascii="Arial" w:hAnsi="Arial" w:cs="Arial"/>
                <w:color w:val="000000"/>
              </w:rPr>
              <w:t>25.2</w:t>
            </w:r>
            <w:r w:rsidR="007005A7" w:rsidRPr="00701017">
              <w:rPr>
                <w:rFonts w:ascii="Arial" w:hAnsi="Arial" w:cs="Arial"/>
                <w:color w:val="000000"/>
              </w:rPr>
              <w:t>ab</w:t>
            </w:r>
          </w:p>
        </w:tc>
        <w:tc>
          <w:tcPr>
            <w:tcW w:w="1119" w:type="dxa"/>
            <w:tcBorders>
              <w:top w:val="nil"/>
              <w:left w:val="nil"/>
              <w:bottom w:val="nil"/>
              <w:right w:val="nil"/>
            </w:tcBorders>
            <w:shd w:val="clear" w:color="auto" w:fill="auto"/>
            <w:noWrap/>
            <w:vAlign w:val="center"/>
            <w:hideMark/>
          </w:tcPr>
          <w:p w14:paraId="48262B6C" w14:textId="77777777" w:rsidR="007005A7" w:rsidRPr="00701017" w:rsidRDefault="007005A7" w:rsidP="007005A7">
            <w:pPr>
              <w:rPr>
                <w:rFonts w:ascii="Arial" w:hAnsi="Arial" w:cs="Arial"/>
                <w:color w:val="000000"/>
              </w:rPr>
            </w:pPr>
            <w:r w:rsidRPr="00701017">
              <w:rPr>
                <w:rFonts w:ascii="Arial" w:hAnsi="Arial" w:cs="Arial"/>
                <w:color w:val="000000"/>
              </w:rPr>
              <w:t>1275.58b</w:t>
            </w:r>
          </w:p>
        </w:tc>
        <w:tc>
          <w:tcPr>
            <w:tcW w:w="904" w:type="dxa"/>
            <w:tcBorders>
              <w:top w:val="nil"/>
              <w:left w:val="nil"/>
              <w:bottom w:val="nil"/>
              <w:right w:val="nil"/>
            </w:tcBorders>
            <w:shd w:val="clear" w:color="auto" w:fill="auto"/>
            <w:noWrap/>
            <w:vAlign w:val="center"/>
            <w:hideMark/>
          </w:tcPr>
          <w:p w14:paraId="7B5CA393" w14:textId="77777777" w:rsidR="007005A7" w:rsidRPr="00701017" w:rsidRDefault="007005A7" w:rsidP="007005A7">
            <w:pPr>
              <w:jc w:val="center"/>
              <w:rPr>
                <w:rFonts w:ascii="Arial" w:hAnsi="Arial" w:cs="Arial"/>
                <w:color w:val="000000"/>
              </w:rPr>
            </w:pPr>
            <w:r w:rsidRPr="00701017">
              <w:rPr>
                <w:rFonts w:ascii="Arial" w:hAnsi="Arial" w:cs="Arial"/>
                <w:color w:val="000000"/>
              </w:rPr>
              <w:t>42.74a</w:t>
            </w:r>
          </w:p>
        </w:tc>
        <w:tc>
          <w:tcPr>
            <w:tcW w:w="797" w:type="dxa"/>
            <w:tcBorders>
              <w:top w:val="nil"/>
              <w:left w:val="nil"/>
              <w:bottom w:val="nil"/>
              <w:right w:val="nil"/>
            </w:tcBorders>
            <w:shd w:val="clear" w:color="auto" w:fill="auto"/>
            <w:noWrap/>
            <w:vAlign w:val="center"/>
            <w:hideMark/>
          </w:tcPr>
          <w:p w14:paraId="2BFC3A56" w14:textId="77777777" w:rsidR="007005A7" w:rsidRPr="00701017" w:rsidRDefault="007005A7" w:rsidP="007005A7">
            <w:pPr>
              <w:jc w:val="center"/>
              <w:rPr>
                <w:rFonts w:ascii="Arial" w:hAnsi="Arial" w:cs="Arial"/>
                <w:color w:val="000000"/>
              </w:rPr>
            </w:pPr>
            <w:r w:rsidRPr="00701017">
              <w:rPr>
                <w:rFonts w:ascii="Arial" w:hAnsi="Arial" w:cs="Arial"/>
                <w:color w:val="000000"/>
              </w:rPr>
              <w:t>1.37ab</w:t>
            </w:r>
          </w:p>
        </w:tc>
        <w:tc>
          <w:tcPr>
            <w:tcW w:w="797" w:type="dxa"/>
            <w:tcBorders>
              <w:top w:val="nil"/>
              <w:left w:val="nil"/>
              <w:bottom w:val="nil"/>
              <w:right w:val="nil"/>
            </w:tcBorders>
            <w:shd w:val="clear" w:color="auto" w:fill="auto"/>
            <w:noWrap/>
            <w:vAlign w:val="center"/>
            <w:hideMark/>
          </w:tcPr>
          <w:p w14:paraId="0656B981" w14:textId="77777777" w:rsidR="007005A7" w:rsidRPr="00701017" w:rsidRDefault="007005A7" w:rsidP="007005A7">
            <w:pPr>
              <w:jc w:val="center"/>
              <w:rPr>
                <w:rFonts w:ascii="Arial" w:hAnsi="Arial" w:cs="Arial"/>
                <w:color w:val="000000"/>
              </w:rPr>
            </w:pPr>
            <w:r w:rsidRPr="00701017">
              <w:rPr>
                <w:rFonts w:ascii="Arial" w:hAnsi="Arial" w:cs="Arial"/>
                <w:color w:val="000000"/>
              </w:rPr>
              <w:t>24.04b</w:t>
            </w:r>
          </w:p>
        </w:tc>
        <w:tc>
          <w:tcPr>
            <w:tcW w:w="690" w:type="dxa"/>
            <w:tcBorders>
              <w:top w:val="nil"/>
              <w:left w:val="nil"/>
              <w:bottom w:val="nil"/>
              <w:right w:val="nil"/>
            </w:tcBorders>
            <w:shd w:val="clear" w:color="auto" w:fill="auto"/>
            <w:noWrap/>
            <w:vAlign w:val="center"/>
            <w:hideMark/>
          </w:tcPr>
          <w:p w14:paraId="48174F8C" w14:textId="77777777" w:rsidR="007005A7" w:rsidRPr="00701017" w:rsidRDefault="007005A7" w:rsidP="007005A7">
            <w:pPr>
              <w:jc w:val="center"/>
              <w:rPr>
                <w:rFonts w:ascii="Arial" w:hAnsi="Arial" w:cs="Arial"/>
              </w:rPr>
            </w:pPr>
            <w:r w:rsidRPr="00701017">
              <w:rPr>
                <w:rFonts w:ascii="Arial" w:hAnsi="Arial" w:cs="Arial"/>
              </w:rPr>
              <w:t>18.59</w:t>
            </w:r>
          </w:p>
        </w:tc>
        <w:tc>
          <w:tcPr>
            <w:tcW w:w="583" w:type="dxa"/>
            <w:tcBorders>
              <w:top w:val="nil"/>
              <w:left w:val="nil"/>
              <w:bottom w:val="nil"/>
              <w:right w:val="nil"/>
            </w:tcBorders>
            <w:shd w:val="clear" w:color="auto" w:fill="auto"/>
            <w:noWrap/>
            <w:vAlign w:val="center"/>
            <w:hideMark/>
          </w:tcPr>
          <w:p w14:paraId="415384DA" w14:textId="77777777" w:rsidR="007005A7" w:rsidRPr="00701017" w:rsidRDefault="007005A7" w:rsidP="007005A7">
            <w:pPr>
              <w:jc w:val="center"/>
              <w:rPr>
                <w:rFonts w:ascii="Arial" w:hAnsi="Arial" w:cs="Arial"/>
              </w:rPr>
            </w:pPr>
            <w:r w:rsidRPr="00701017">
              <w:rPr>
                <w:rFonts w:ascii="Arial" w:hAnsi="Arial" w:cs="Arial"/>
              </w:rPr>
              <w:t>84</w:t>
            </w:r>
          </w:p>
        </w:tc>
        <w:tc>
          <w:tcPr>
            <w:tcW w:w="797" w:type="dxa"/>
            <w:tcBorders>
              <w:top w:val="nil"/>
              <w:left w:val="nil"/>
              <w:bottom w:val="nil"/>
              <w:right w:val="nil"/>
            </w:tcBorders>
            <w:shd w:val="clear" w:color="auto" w:fill="auto"/>
            <w:noWrap/>
            <w:vAlign w:val="center"/>
            <w:hideMark/>
          </w:tcPr>
          <w:p w14:paraId="3C1C749D" w14:textId="77777777" w:rsidR="007005A7" w:rsidRPr="00701017" w:rsidRDefault="007005A7" w:rsidP="007005A7">
            <w:pPr>
              <w:jc w:val="center"/>
              <w:rPr>
                <w:rFonts w:ascii="Arial" w:hAnsi="Arial" w:cs="Arial"/>
              </w:rPr>
            </w:pPr>
            <w:r w:rsidRPr="00701017">
              <w:rPr>
                <w:rFonts w:ascii="Arial" w:hAnsi="Arial" w:cs="Arial"/>
              </w:rPr>
              <w:t>50.15</w:t>
            </w:r>
          </w:p>
        </w:tc>
      </w:tr>
      <w:tr w:rsidR="00701017" w:rsidRPr="0017194E" w14:paraId="75BF1725"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1E07D265" w14:textId="77777777" w:rsidR="007005A7" w:rsidRPr="00701017" w:rsidRDefault="007005A7" w:rsidP="007005A7">
            <w:pPr>
              <w:jc w:val="center"/>
              <w:rPr>
                <w:rFonts w:ascii="Arial" w:hAnsi="Arial" w:cs="Arial"/>
                <w:color w:val="000000"/>
              </w:rPr>
            </w:pPr>
            <w:r w:rsidRPr="00701017">
              <w:rPr>
                <w:rFonts w:ascii="Arial" w:hAnsi="Arial" w:cs="Arial"/>
                <w:color w:val="000000"/>
              </w:rPr>
              <w:t>5</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2D1F24D0" w14:textId="77777777" w:rsidR="007005A7" w:rsidRPr="00701017" w:rsidRDefault="007005A7" w:rsidP="007005A7">
            <w:pPr>
              <w:jc w:val="center"/>
              <w:rPr>
                <w:rFonts w:ascii="Arial" w:hAnsi="Arial" w:cs="Arial"/>
                <w:color w:val="000000"/>
              </w:rPr>
            </w:pPr>
            <w:r w:rsidRPr="00701017">
              <w:rPr>
                <w:rFonts w:ascii="Arial" w:hAnsi="Arial" w:cs="Arial"/>
                <w:color w:val="000000"/>
              </w:rPr>
              <w:t>176.08b</w:t>
            </w:r>
          </w:p>
        </w:tc>
        <w:tc>
          <w:tcPr>
            <w:tcW w:w="904" w:type="dxa"/>
            <w:tcBorders>
              <w:top w:val="nil"/>
              <w:left w:val="nil"/>
              <w:bottom w:val="nil"/>
              <w:right w:val="nil"/>
            </w:tcBorders>
            <w:shd w:val="clear" w:color="auto" w:fill="auto"/>
            <w:noWrap/>
            <w:vAlign w:val="center"/>
            <w:hideMark/>
          </w:tcPr>
          <w:p w14:paraId="1ED41B47" w14:textId="5BE6F3D8" w:rsidR="007005A7" w:rsidRPr="00701017" w:rsidRDefault="006E1E09" w:rsidP="007005A7">
            <w:pPr>
              <w:jc w:val="center"/>
              <w:rPr>
                <w:rFonts w:ascii="Arial" w:hAnsi="Arial" w:cs="Arial"/>
                <w:color w:val="000000"/>
              </w:rPr>
            </w:pPr>
            <w:r>
              <w:rPr>
                <w:rFonts w:ascii="Arial" w:hAnsi="Arial" w:cs="Arial"/>
                <w:color w:val="000000"/>
              </w:rPr>
              <w:t>26.</w:t>
            </w:r>
            <w:r w:rsidR="007005A7" w:rsidRPr="00701017">
              <w:rPr>
                <w:rFonts w:ascii="Arial" w:hAnsi="Arial" w:cs="Arial"/>
                <w:color w:val="000000"/>
              </w:rPr>
              <w:t>2ab</w:t>
            </w:r>
          </w:p>
        </w:tc>
        <w:tc>
          <w:tcPr>
            <w:tcW w:w="1119" w:type="dxa"/>
            <w:tcBorders>
              <w:top w:val="nil"/>
              <w:left w:val="nil"/>
              <w:bottom w:val="nil"/>
              <w:right w:val="nil"/>
            </w:tcBorders>
            <w:shd w:val="clear" w:color="auto" w:fill="auto"/>
            <w:noWrap/>
            <w:vAlign w:val="center"/>
            <w:hideMark/>
          </w:tcPr>
          <w:p w14:paraId="4A2732DB" w14:textId="77777777" w:rsidR="007005A7" w:rsidRPr="00701017" w:rsidRDefault="007005A7" w:rsidP="007005A7">
            <w:pPr>
              <w:rPr>
                <w:rFonts w:ascii="Arial" w:hAnsi="Arial" w:cs="Arial"/>
                <w:color w:val="000000"/>
              </w:rPr>
            </w:pPr>
            <w:r w:rsidRPr="00701017">
              <w:rPr>
                <w:rFonts w:ascii="Arial" w:hAnsi="Arial" w:cs="Arial"/>
                <w:color w:val="000000"/>
              </w:rPr>
              <w:t>1461.15ab</w:t>
            </w:r>
          </w:p>
        </w:tc>
        <w:tc>
          <w:tcPr>
            <w:tcW w:w="904" w:type="dxa"/>
            <w:tcBorders>
              <w:top w:val="nil"/>
              <w:left w:val="nil"/>
              <w:bottom w:val="nil"/>
              <w:right w:val="nil"/>
            </w:tcBorders>
            <w:shd w:val="clear" w:color="auto" w:fill="auto"/>
            <w:noWrap/>
            <w:vAlign w:val="center"/>
            <w:hideMark/>
          </w:tcPr>
          <w:p w14:paraId="5CD6E103" w14:textId="77777777" w:rsidR="007005A7" w:rsidRPr="00701017" w:rsidRDefault="007005A7" w:rsidP="007005A7">
            <w:pPr>
              <w:jc w:val="center"/>
              <w:rPr>
                <w:rFonts w:ascii="Arial" w:hAnsi="Arial" w:cs="Arial"/>
                <w:color w:val="000000"/>
              </w:rPr>
            </w:pPr>
            <w:r w:rsidRPr="00701017">
              <w:rPr>
                <w:rFonts w:ascii="Arial" w:hAnsi="Arial" w:cs="Arial"/>
                <w:color w:val="000000"/>
              </w:rPr>
              <w:t>41.82ab</w:t>
            </w:r>
          </w:p>
        </w:tc>
        <w:tc>
          <w:tcPr>
            <w:tcW w:w="797" w:type="dxa"/>
            <w:tcBorders>
              <w:top w:val="nil"/>
              <w:left w:val="nil"/>
              <w:bottom w:val="nil"/>
              <w:right w:val="nil"/>
            </w:tcBorders>
            <w:shd w:val="clear" w:color="auto" w:fill="auto"/>
            <w:noWrap/>
            <w:vAlign w:val="center"/>
            <w:hideMark/>
          </w:tcPr>
          <w:p w14:paraId="3A8307AF" w14:textId="77777777" w:rsidR="007005A7" w:rsidRPr="00701017" w:rsidRDefault="007005A7" w:rsidP="007005A7">
            <w:pPr>
              <w:jc w:val="center"/>
              <w:rPr>
                <w:rFonts w:ascii="Arial" w:hAnsi="Arial" w:cs="Arial"/>
                <w:color w:val="000000"/>
              </w:rPr>
            </w:pPr>
            <w:r w:rsidRPr="00701017">
              <w:rPr>
                <w:rFonts w:ascii="Arial" w:hAnsi="Arial" w:cs="Arial"/>
                <w:color w:val="000000"/>
              </w:rPr>
              <w:t>1.12bc</w:t>
            </w:r>
          </w:p>
        </w:tc>
        <w:tc>
          <w:tcPr>
            <w:tcW w:w="797" w:type="dxa"/>
            <w:tcBorders>
              <w:top w:val="nil"/>
              <w:left w:val="nil"/>
              <w:bottom w:val="nil"/>
              <w:right w:val="nil"/>
            </w:tcBorders>
            <w:shd w:val="clear" w:color="auto" w:fill="auto"/>
            <w:noWrap/>
            <w:vAlign w:val="center"/>
            <w:hideMark/>
          </w:tcPr>
          <w:p w14:paraId="4FCA8503" w14:textId="77777777" w:rsidR="007005A7" w:rsidRPr="00701017" w:rsidRDefault="007005A7" w:rsidP="007005A7">
            <w:pPr>
              <w:jc w:val="center"/>
              <w:rPr>
                <w:rFonts w:ascii="Arial" w:hAnsi="Arial" w:cs="Arial"/>
                <w:color w:val="000000"/>
              </w:rPr>
            </w:pPr>
            <w:r w:rsidRPr="00701017">
              <w:rPr>
                <w:rFonts w:ascii="Arial" w:hAnsi="Arial" w:cs="Arial"/>
                <w:color w:val="000000"/>
              </w:rPr>
              <w:t>23.85b</w:t>
            </w:r>
          </w:p>
        </w:tc>
        <w:tc>
          <w:tcPr>
            <w:tcW w:w="690" w:type="dxa"/>
            <w:tcBorders>
              <w:top w:val="nil"/>
              <w:left w:val="nil"/>
              <w:bottom w:val="nil"/>
              <w:right w:val="nil"/>
            </w:tcBorders>
            <w:shd w:val="clear" w:color="auto" w:fill="auto"/>
            <w:noWrap/>
            <w:vAlign w:val="center"/>
            <w:hideMark/>
          </w:tcPr>
          <w:p w14:paraId="275DA606" w14:textId="77777777" w:rsidR="007005A7" w:rsidRPr="00701017" w:rsidRDefault="007005A7" w:rsidP="007005A7">
            <w:pPr>
              <w:jc w:val="center"/>
              <w:rPr>
                <w:rFonts w:ascii="Arial" w:hAnsi="Arial" w:cs="Arial"/>
              </w:rPr>
            </w:pPr>
            <w:r w:rsidRPr="00701017">
              <w:rPr>
                <w:rFonts w:ascii="Arial" w:hAnsi="Arial" w:cs="Arial"/>
              </w:rPr>
              <w:t>21.19</w:t>
            </w:r>
          </w:p>
        </w:tc>
        <w:tc>
          <w:tcPr>
            <w:tcW w:w="583" w:type="dxa"/>
            <w:tcBorders>
              <w:top w:val="nil"/>
              <w:left w:val="nil"/>
              <w:bottom w:val="nil"/>
              <w:right w:val="nil"/>
            </w:tcBorders>
            <w:shd w:val="clear" w:color="auto" w:fill="auto"/>
            <w:noWrap/>
            <w:vAlign w:val="center"/>
            <w:hideMark/>
          </w:tcPr>
          <w:p w14:paraId="4EB6F72A" w14:textId="77777777" w:rsidR="007005A7" w:rsidRPr="00701017" w:rsidRDefault="007005A7" w:rsidP="007005A7">
            <w:pPr>
              <w:jc w:val="center"/>
              <w:rPr>
                <w:rFonts w:ascii="Arial" w:hAnsi="Arial" w:cs="Arial"/>
              </w:rPr>
            </w:pPr>
            <w:r w:rsidRPr="00701017">
              <w:rPr>
                <w:rFonts w:ascii="Arial" w:hAnsi="Arial" w:cs="Arial"/>
              </w:rPr>
              <w:t>86.6</w:t>
            </w:r>
          </w:p>
        </w:tc>
        <w:tc>
          <w:tcPr>
            <w:tcW w:w="797" w:type="dxa"/>
            <w:tcBorders>
              <w:top w:val="nil"/>
              <w:left w:val="nil"/>
              <w:bottom w:val="nil"/>
              <w:right w:val="nil"/>
            </w:tcBorders>
            <w:shd w:val="clear" w:color="auto" w:fill="auto"/>
            <w:noWrap/>
            <w:vAlign w:val="center"/>
            <w:hideMark/>
          </w:tcPr>
          <w:p w14:paraId="5C34EEEE" w14:textId="77777777" w:rsidR="007005A7" w:rsidRPr="00701017" w:rsidRDefault="007005A7" w:rsidP="007005A7">
            <w:pPr>
              <w:jc w:val="center"/>
              <w:rPr>
                <w:rFonts w:ascii="Arial" w:hAnsi="Arial" w:cs="Arial"/>
              </w:rPr>
            </w:pPr>
            <w:r w:rsidRPr="00701017">
              <w:rPr>
                <w:rFonts w:ascii="Arial" w:hAnsi="Arial" w:cs="Arial"/>
              </w:rPr>
              <w:t>49.84</w:t>
            </w:r>
          </w:p>
        </w:tc>
      </w:tr>
      <w:tr w:rsidR="00701017" w:rsidRPr="0017194E" w14:paraId="45A13F1A" w14:textId="77777777" w:rsidTr="00701017">
        <w:trPr>
          <w:trHeight w:val="91"/>
          <w:jc w:val="center"/>
        </w:trPr>
        <w:tc>
          <w:tcPr>
            <w:tcW w:w="1407" w:type="dxa"/>
            <w:tcBorders>
              <w:top w:val="nil"/>
              <w:left w:val="nil"/>
              <w:bottom w:val="nil"/>
              <w:right w:val="nil"/>
            </w:tcBorders>
            <w:shd w:val="clear" w:color="auto" w:fill="auto"/>
            <w:noWrap/>
            <w:vAlign w:val="center"/>
            <w:hideMark/>
          </w:tcPr>
          <w:p w14:paraId="3EE7DBDB" w14:textId="77777777" w:rsidR="007005A7" w:rsidRPr="00701017" w:rsidRDefault="007005A7" w:rsidP="007005A7">
            <w:pPr>
              <w:jc w:val="center"/>
              <w:rPr>
                <w:rFonts w:ascii="Arial" w:hAnsi="Arial" w:cs="Arial"/>
                <w:color w:val="000000"/>
              </w:rPr>
            </w:pPr>
            <w:r w:rsidRPr="00701017">
              <w:rPr>
                <w:rFonts w:ascii="Arial" w:hAnsi="Arial" w:cs="Arial"/>
                <w:color w:val="000000"/>
              </w:rPr>
              <w:t>7.5</w:t>
            </w:r>
          </w:p>
        </w:tc>
        <w:tc>
          <w:tcPr>
            <w:tcW w:w="904" w:type="dxa"/>
            <w:tcBorders>
              <w:top w:val="nil"/>
              <w:left w:val="nil"/>
              <w:bottom w:val="nil"/>
              <w:right w:val="nil"/>
            </w:tcBorders>
            <w:shd w:val="clear" w:color="auto" w:fill="auto"/>
            <w:noWrap/>
            <w:vAlign w:val="center"/>
            <w:hideMark/>
          </w:tcPr>
          <w:p w14:paraId="5FEA2C4F" w14:textId="77777777" w:rsidR="007005A7" w:rsidRPr="00701017" w:rsidRDefault="007005A7" w:rsidP="007005A7">
            <w:pPr>
              <w:jc w:val="center"/>
              <w:rPr>
                <w:rFonts w:ascii="Arial" w:hAnsi="Arial" w:cs="Arial"/>
                <w:color w:val="000000"/>
              </w:rPr>
            </w:pPr>
            <w:r w:rsidRPr="00701017">
              <w:rPr>
                <w:rFonts w:ascii="Arial" w:hAnsi="Arial" w:cs="Arial"/>
                <w:color w:val="000000"/>
              </w:rPr>
              <w:t>174.87b</w:t>
            </w:r>
          </w:p>
        </w:tc>
        <w:tc>
          <w:tcPr>
            <w:tcW w:w="904" w:type="dxa"/>
            <w:tcBorders>
              <w:top w:val="nil"/>
              <w:left w:val="nil"/>
              <w:bottom w:val="nil"/>
              <w:right w:val="nil"/>
            </w:tcBorders>
            <w:shd w:val="clear" w:color="auto" w:fill="auto"/>
            <w:noWrap/>
            <w:vAlign w:val="center"/>
            <w:hideMark/>
          </w:tcPr>
          <w:p w14:paraId="35B2C50A" w14:textId="376E66F9" w:rsidR="007005A7" w:rsidRPr="00701017" w:rsidRDefault="006E1E09" w:rsidP="006E1E09">
            <w:pPr>
              <w:jc w:val="center"/>
              <w:rPr>
                <w:rFonts w:ascii="Arial" w:hAnsi="Arial" w:cs="Arial"/>
                <w:color w:val="000000"/>
              </w:rPr>
            </w:pPr>
            <w:r>
              <w:rPr>
                <w:rFonts w:ascii="Arial" w:hAnsi="Arial" w:cs="Arial"/>
                <w:color w:val="000000"/>
              </w:rPr>
              <w:t>23.8</w:t>
            </w:r>
            <w:r w:rsidR="007005A7" w:rsidRPr="00701017">
              <w:rPr>
                <w:rFonts w:ascii="Arial" w:hAnsi="Arial" w:cs="Arial"/>
                <w:color w:val="000000"/>
              </w:rPr>
              <w:t>b</w:t>
            </w:r>
          </w:p>
        </w:tc>
        <w:tc>
          <w:tcPr>
            <w:tcW w:w="1119" w:type="dxa"/>
            <w:tcBorders>
              <w:top w:val="nil"/>
              <w:left w:val="nil"/>
              <w:bottom w:val="nil"/>
              <w:right w:val="nil"/>
            </w:tcBorders>
            <w:shd w:val="clear" w:color="auto" w:fill="auto"/>
            <w:noWrap/>
            <w:vAlign w:val="center"/>
            <w:hideMark/>
          </w:tcPr>
          <w:p w14:paraId="263DF184" w14:textId="77777777" w:rsidR="007005A7" w:rsidRPr="00701017" w:rsidRDefault="007005A7" w:rsidP="007005A7">
            <w:pPr>
              <w:rPr>
                <w:rFonts w:ascii="Arial" w:hAnsi="Arial" w:cs="Arial"/>
                <w:color w:val="000000"/>
              </w:rPr>
            </w:pPr>
            <w:r w:rsidRPr="00701017">
              <w:rPr>
                <w:rFonts w:ascii="Arial" w:hAnsi="Arial" w:cs="Arial"/>
                <w:color w:val="000000"/>
              </w:rPr>
              <w:t>1270.00b</w:t>
            </w:r>
          </w:p>
        </w:tc>
        <w:tc>
          <w:tcPr>
            <w:tcW w:w="904" w:type="dxa"/>
            <w:tcBorders>
              <w:top w:val="nil"/>
              <w:left w:val="nil"/>
              <w:bottom w:val="nil"/>
              <w:right w:val="nil"/>
            </w:tcBorders>
            <w:shd w:val="clear" w:color="auto" w:fill="auto"/>
            <w:noWrap/>
            <w:vAlign w:val="center"/>
            <w:hideMark/>
          </w:tcPr>
          <w:p w14:paraId="31672979" w14:textId="77777777" w:rsidR="007005A7" w:rsidRPr="00701017" w:rsidRDefault="007005A7" w:rsidP="007005A7">
            <w:pPr>
              <w:jc w:val="center"/>
              <w:rPr>
                <w:rFonts w:ascii="Arial" w:hAnsi="Arial" w:cs="Arial"/>
                <w:color w:val="000000"/>
              </w:rPr>
            </w:pPr>
            <w:r w:rsidRPr="00701017">
              <w:rPr>
                <w:rFonts w:ascii="Arial" w:hAnsi="Arial" w:cs="Arial"/>
                <w:color w:val="000000"/>
              </w:rPr>
              <w:t>39.18b</w:t>
            </w:r>
          </w:p>
        </w:tc>
        <w:tc>
          <w:tcPr>
            <w:tcW w:w="797" w:type="dxa"/>
            <w:tcBorders>
              <w:top w:val="nil"/>
              <w:left w:val="nil"/>
              <w:bottom w:val="nil"/>
              <w:right w:val="nil"/>
            </w:tcBorders>
            <w:shd w:val="clear" w:color="auto" w:fill="auto"/>
            <w:noWrap/>
            <w:vAlign w:val="center"/>
            <w:hideMark/>
          </w:tcPr>
          <w:p w14:paraId="5DAEDC99" w14:textId="77777777" w:rsidR="007005A7" w:rsidRPr="00701017" w:rsidRDefault="007005A7" w:rsidP="007005A7">
            <w:pPr>
              <w:jc w:val="center"/>
              <w:rPr>
                <w:rFonts w:ascii="Arial" w:hAnsi="Arial" w:cs="Arial"/>
                <w:color w:val="000000"/>
              </w:rPr>
            </w:pPr>
            <w:r w:rsidRPr="00701017">
              <w:rPr>
                <w:rFonts w:ascii="Arial" w:hAnsi="Arial" w:cs="Arial"/>
                <w:color w:val="000000"/>
              </w:rPr>
              <w:t>1.10bc</w:t>
            </w:r>
          </w:p>
        </w:tc>
        <w:tc>
          <w:tcPr>
            <w:tcW w:w="797" w:type="dxa"/>
            <w:tcBorders>
              <w:top w:val="nil"/>
              <w:left w:val="nil"/>
              <w:bottom w:val="nil"/>
              <w:right w:val="nil"/>
            </w:tcBorders>
            <w:shd w:val="clear" w:color="auto" w:fill="auto"/>
            <w:noWrap/>
            <w:vAlign w:val="center"/>
            <w:hideMark/>
          </w:tcPr>
          <w:p w14:paraId="1851CB07" w14:textId="77777777" w:rsidR="007005A7" w:rsidRPr="00701017" w:rsidRDefault="007005A7" w:rsidP="007005A7">
            <w:pPr>
              <w:jc w:val="center"/>
              <w:rPr>
                <w:rFonts w:ascii="Arial" w:hAnsi="Arial" w:cs="Arial"/>
                <w:color w:val="000000"/>
              </w:rPr>
            </w:pPr>
            <w:r w:rsidRPr="00701017">
              <w:rPr>
                <w:rFonts w:ascii="Arial" w:hAnsi="Arial" w:cs="Arial"/>
                <w:color w:val="000000"/>
              </w:rPr>
              <w:t>21.07c</w:t>
            </w:r>
          </w:p>
        </w:tc>
        <w:tc>
          <w:tcPr>
            <w:tcW w:w="690" w:type="dxa"/>
            <w:tcBorders>
              <w:top w:val="nil"/>
              <w:left w:val="nil"/>
              <w:bottom w:val="nil"/>
              <w:right w:val="nil"/>
            </w:tcBorders>
            <w:shd w:val="clear" w:color="auto" w:fill="auto"/>
            <w:noWrap/>
            <w:vAlign w:val="center"/>
            <w:hideMark/>
          </w:tcPr>
          <w:p w14:paraId="14E67F2C" w14:textId="77777777" w:rsidR="007005A7" w:rsidRPr="00701017" w:rsidRDefault="007005A7" w:rsidP="007005A7">
            <w:pPr>
              <w:jc w:val="center"/>
              <w:rPr>
                <w:rFonts w:ascii="Arial" w:hAnsi="Arial" w:cs="Arial"/>
              </w:rPr>
            </w:pPr>
            <w:r w:rsidRPr="00701017">
              <w:rPr>
                <w:rFonts w:ascii="Arial" w:hAnsi="Arial" w:cs="Arial"/>
              </w:rPr>
              <w:t>19.10</w:t>
            </w:r>
          </w:p>
        </w:tc>
        <w:tc>
          <w:tcPr>
            <w:tcW w:w="583" w:type="dxa"/>
            <w:tcBorders>
              <w:top w:val="nil"/>
              <w:left w:val="nil"/>
              <w:bottom w:val="nil"/>
              <w:right w:val="nil"/>
            </w:tcBorders>
            <w:shd w:val="clear" w:color="auto" w:fill="auto"/>
            <w:noWrap/>
            <w:vAlign w:val="center"/>
            <w:hideMark/>
          </w:tcPr>
          <w:p w14:paraId="69A9743A" w14:textId="77777777" w:rsidR="007005A7" w:rsidRPr="00701017" w:rsidRDefault="007005A7" w:rsidP="007005A7">
            <w:pPr>
              <w:jc w:val="center"/>
              <w:rPr>
                <w:rFonts w:ascii="Arial" w:hAnsi="Arial" w:cs="Arial"/>
              </w:rPr>
            </w:pPr>
            <w:r w:rsidRPr="00701017">
              <w:rPr>
                <w:rFonts w:ascii="Arial" w:hAnsi="Arial" w:cs="Arial"/>
              </w:rPr>
              <w:t>86</w:t>
            </w:r>
          </w:p>
        </w:tc>
        <w:tc>
          <w:tcPr>
            <w:tcW w:w="797" w:type="dxa"/>
            <w:tcBorders>
              <w:top w:val="nil"/>
              <w:left w:val="nil"/>
              <w:bottom w:val="nil"/>
              <w:right w:val="nil"/>
            </w:tcBorders>
            <w:shd w:val="clear" w:color="auto" w:fill="auto"/>
            <w:noWrap/>
            <w:vAlign w:val="center"/>
            <w:hideMark/>
          </w:tcPr>
          <w:p w14:paraId="24DCCC95" w14:textId="77777777" w:rsidR="007005A7" w:rsidRPr="00701017" w:rsidRDefault="007005A7" w:rsidP="007005A7">
            <w:pPr>
              <w:jc w:val="center"/>
              <w:rPr>
                <w:rFonts w:ascii="Arial" w:hAnsi="Arial" w:cs="Arial"/>
              </w:rPr>
            </w:pPr>
            <w:r w:rsidRPr="00701017">
              <w:rPr>
                <w:rFonts w:ascii="Arial" w:hAnsi="Arial" w:cs="Arial"/>
              </w:rPr>
              <w:t>48.05</w:t>
            </w:r>
          </w:p>
        </w:tc>
      </w:tr>
      <w:tr w:rsidR="00701017" w:rsidRPr="0017194E" w14:paraId="0346CBC1" w14:textId="77777777" w:rsidTr="00701017">
        <w:trPr>
          <w:trHeight w:val="282"/>
          <w:jc w:val="center"/>
        </w:trPr>
        <w:tc>
          <w:tcPr>
            <w:tcW w:w="1407" w:type="dxa"/>
            <w:tcBorders>
              <w:top w:val="nil"/>
              <w:left w:val="nil"/>
              <w:bottom w:val="single" w:sz="8" w:space="0" w:color="auto"/>
              <w:right w:val="nil"/>
            </w:tcBorders>
            <w:shd w:val="clear" w:color="auto" w:fill="auto"/>
            <w:noWrap/>
            <w:vAlign w:val="center"/>
            <w:hideMark/>
          </w:tcPr>
          <w:p w14:paraId="55FEB384" w14:textId="77777777" w:rsidR="007005A7" w:rsidRPr="00701017" w:rsidRDefault="007005A7" w:rsidP="007005A7">
            <w:pPr>
              <w:jc w:val="center"/>
              <w:rPr>
                <w:rFonts w:ascii="Arial" w:hAnsi="Arial" w:cs="Arial"/>
                <w:color w:val="000000"/>
              </w:rPr>
            </w:pPr>
            <w:r w:rsidRPr="00701017">
              <w:rPr>
                <w:rFonts w:ascii="Arial" w:hAnsi="Arial" w:cs="Arial"/>
                <w:color w:val="000000"/>
              </w:rPr>
              <w:t>10</w:t>
            </w:r>
            <w:r w:rsidR="008E1480">
              <w:rPr>
                <w:rFonts w:ascii="Arial" w:hAnsi="Arial" w:cs="Arial"/>
                <w:color w:val="000000"/>
              </w:rPr>
              <w:t>.0</w:t>
            </w:r>
          </w:p>
        </w:tc>
        <w:tc>
          <w:tcPr>
            <w:tcW w:w="904" w:type="dxa"/>
            <w:tcBorders>
              <w:top w:val="nil"/>
              <w:left w:val="nil"/>
              <w:bottom w:val="single" w:sz="8" w:space="0" w:color="auto"/>
              <w:right w:val="nil"/>
            </w:tcBorders>
            <w:shd w:val="clear" w:color="auto" w:fill="auto"/>
            <w:noWrap/>
            <w:vAlign w:val="center"/>
            <w:hideMark/>
          </w:tcPr>
          <w:p w14:paraId="2739BE73" w14:textId="77777777" w:rsidR="007005A7" w:rsidRPr="00701017" w:rsidRDefault="007005A7" w:rsidP="007005A7">
            <w:pPr>
              <w:jc w:val="center"/>
              <w:rPr>
                <w:rFonts w:ascii="Arial" w:hAnsi="Arial" w:cs="Arial"/>
                <w:color w:val="000000"/>
              </w:rPr>
            </w:pPr>
            <w:r w:rsidRPr="00701017">
              <w:rPr>
                <w:rFonts w:ascii="Arial" w:hAnsi="Arial" w:cs="Arial"/>
                <w:color w:val="000000"/>
              </w:rPr>
              <w:t>171.84b</w:t>
            </w:r>
          </w:p>
        </w:tc>
        <w:tc>
          <w:tcPr>
            <w:tcW w:w="904" w:type="dxa"/>
            <w:tcBorders>
              <w:top w:val="nil"/>
              <w:left w:val="nil"/>
              <w:bottom w:val="single" w:sz="8" w:space="0" w:color="auto"/>
              <w:right w:val="nil"/>
            </w:tcBorders>
            <w:shd w:val="clear" w:color="auto" w:fill="auto"/>
            <w:noWrap/>
            <w:vAlign w:val="center"/>
            <w:hideMark/>
          </w:tcPr>
          <w:p w14:paraId="6D4C000A" w14:textId="277D040B" w:rsidR="007005A7" w:rsidRPr="00701017" w:rsidRDefault="006E1E09" w:rsidP="007005A7">
            <w:pPr>
              <w:jc w:val="center"/>
              <w:rPr>
                <w:rFonts w:ascii="Arial" w:hAnsi="Arial" w:cs="Arial"/>
                <w:color w:val="000000"/>
              </w:rPr>
            </w:pPr>
            <w:r>
              <w:rPr>
                <w:rFonts w:ascii="Arial" w:hAnsi="Arial" w:cs="Arial"/>
                <w:color w:val="000000"/>
              </w:rPr>
              <w:t>23.2</w:t>
            </w:r>
            <w:r w:rsidR="007005A7" w:rsidRPr="00701017">
              <w:rPr>
                <w:rFonts w:ascii="Arial" w:hAnsi="Arial" w:cs="Arial"/>
                <w:color w:val="000000"/>
              </w:rPr>
              <w:t>b</w:t>
            </w:r>
          </w:p>
        </w:tc>
        <w:tc>
          <w:tcPr>
            <w:tcW w:w="1119" w:type="dxa"/>
            <w:tcBorders>
              <w:top w:val="nil"/>
              <w:left w:val="nil"/>
              <w:bottom w:val="single" w:sz="8" w:space="0" w:color="auto"/>
              <w:right w:val="nil"/>
            </w:tcBorders>
            <w:shd w:val="clear" w:color="auto" w:fill="auto"/>
            <w:noWrap/>
            <w:vAlign w:val="center"/>
            <w:hideMark/>
          </w:tcPr>
          <w:p w14:paraId="17AA7DAA" w14:textId="77777777" w:rsidR="007005A7" w:rsidRPr="00701017" w:rsidRDefault="007005A7" w:rsidP="007005A7">
            <w:pPr>
              <w:rPr>
                <w:rFonts w:ascii="Arial" w:hAnsi="Arial" w:cs="Arial"/>
                <w:color w:val="000000"/>
              </w:rPr>
            </w:pPr>
            <w:r w:rsidRPr="00701017">
              <w:rPr>
                <w:rFonts w:ascii="Arial" w:hAnsi="Arial" w:cs="Arial"/>
                <w:color w:val="000000"/>
              </w:rPr>
              <w:t>970.67b</w:t>
            </w:r>
          </w:p>
        </w:tc>
        <w:tc>
          <w:tcPr>
            <w:tcW w:w="904" w:type="dxa"/>
            <w:tcBorders>
              <w:top w:val="nil"/>
              <w:left w:val="nil"/>
              <w:bottom w:val="single" w:sz="8" w:space="0" w:color="auto"/>
              <w:right w:val="nil"/>
            </w:tcBorders>
            <w:shd w:val="clear" w:color="auto" w:fill="auto"/>
            <w:noWrap/>
            <w:vAlign w:val="center"/>
            <w:hideMark/>
          </w:tcPr>
          <w:p w14:paraId="02A3AA52" w14:textId="77777777" w:rsidR="007005A7" w:rsidRPr="00701017" w:rsidRDefault="007005A7" w:rsidP="007005A7">
            <w:pPr>
              <w:jc w:val="center"/>
              <w:rPr>
                <w:rFonts w:ascii="Arial" w:hAnsi="Arial" w:cs="Arial"/>
                <w:color w:val="000000"/>
              </w:rPr>
            </w:pPr>
            <w:r w:rsidRPr="00701017">
              <w:rPr>
                <w:rFonts w:ascii="Arial" w:hAnsi="Arial" w:cs="Arial"/>
                <w:color w:val="000000"/>
              </w:rPr>
              <w:t>35.42c</w:t>
            </w:r>
          </w:p>
        </w:tc>
        <w:tc>
          <w:tcPr>
            <w:tcW w:w="797" w:type="dxa"/>
            <w:tcBorders>
              <w:top w:val="nil"/>
              <w:left w:val="nil"/>
              <w:bottom w:val="single" w:sz="8" w:space="0" w:color="auto"/>
              <w:right w:val="nil"/>
            </w:tcBorders>
            <w:shd w:val="clear" w:color="auto" w:fill="auto"/>
            <w:noWrap/>
            <w:vAlign w:val="center"/>
            <w:hideMark/>
          </w:tcPr>
          <w:p w14:paraId="5BC9AACF" w14:textId="77777777" w:rsidR="007005A7" w:rsidRPr="00701017" w:rsidRDefault="007005A7" w:rsidP="007005A7">
            <w:pPr>
              <w:jc w:val="center"/>
              <w:rPr>
                <w:rFonts w:ascii="Arial" w:hAnsi="Arial" w:cs="Arial"/>
                <w:color w:val="000000"/>
              </w:rPr>
            </w:pPr>
            <w:r w:rsidRPr="00701017">
              <w:rPr>
                <w:rFonts w:ascii="Arial" w:hAnsi="Arial" w:cs="Arial"/>
                <w:color w:val="000000"/>
              </w:rPr>
              <w:t>1.02c</w:t>
            </w:r>
          </w:p>
        </w:tc>
        <w:tc>
          <w:tcPr>
            <w:tcW w:w="797" w:type="dxa"/>
            <w:tcBorders>
              <w:top w:val="nil"/>
              <w:left w:val="nil"/>
              <w:bottom w:val="single" w:sz="8" w:space="0" w:color="auto"/>
              <w:right w:val="nil"/>
            </w:tcBorders>
            <w:shd w:val="clear" w:color="auto" w:fill="auto"/>
            <w:noWrap/>
            <w:vAlign w:val="center"/>
            <w:hideMark/>
          </w:tcPr>
          <w:p w14:paraId="62AAA8AE" w14:textId="77777777" w:rsidR="007005A7" w:rsidRPr="00701017" w:rsidRDefault="007005A7" w:rsidP="007005A7">
            <w:pPr>
              <w:jc w:val="center"/>
              <w:rPr>
                <w:rFonts w:ascii="Arial" w:hAnsi="Arial" w:cs="Arial"/>
                <w:color w:val="000000"/>
              </w:rPr>
            </w:pPr>
            <w:r w:rsidRPr="00701017">
              <w:rPr>
                <w:rFonts w:ascii="Arial" w:hAnsi="Arial" w:cs="Arial"/>
                <w:color w:val="000000"/>
              </w:rPr>
              <w:t>20.73c</w:t>
            </w:r>
          </w:p>
        </w:tc>
        <w:tc>
          <w:tcPr>
            <w:tcW w:w="690" w:type="dxa"/>
            <w:tcBorders>
              <w:top w:val="nil"/>
              <w:left w:val="nil"/>
              <w:bottom w:val="single" w:sz="8" w:space="0" w:color="auto"/>
              <w:right w:val="nil"/>
            </w:tcBorders>
            <w:shd w:val="clear" w:color="auto" w:fill="auto"/>
            <w:noWrap/>
            <w:vAlign w:val="center"/>
            <w:hideMark/>
          </w:tcPr>
          <w:p w14:paraId="4816181E" w14:textId="77777777" w:rsidR="007005A7" w:rsidRPr="00701017" w:rsidRDefault="007005A7" w:rsidP="007005A7">
            <w:pPr>
              <w:jc w:val="center"/>
              <w:rPr>
                <w:rFonts w:ascii="Arial" w:hAnsi="Arial" w:cs="Arial"/>
              </w:rPr>
            </w:pPr>
            <w:r w:rsidRPr="00701017">
              <w:rPr>
                <w:rFonts w:ascii="Arial" w:hAnsi="Arial" w:cs="Arial"/>
              </w:rPr>
              <w:t>20.59</w:t>
            </w:r>
          </w:p>
        </w:tc>
        <w:tc>
          <w:tcPr>
            <w:tcW w:w="583" w:type="dxa"/>
            <w:tcBorders>
              <w:top w:val="nil"/>
              <w:left w:val="nil"/>
              <w:bottom w:val="single" w:sz="8" w:space="0" w:color="auto"/>
              <w:right w:val="nil"/>
            </w:tcBorders>
            <w:shd w:val="clear" w:color="auto" w:fill="auto"/>
            <w:noWrap/>
            <w:vAlign w:val="center"/>
            <w:hideMark/>
          </w:tcPr>
          <w:p w14:paraId="12A808E0" w14:textId="77777777" w:rsidR="007005A7" w:rsidRPr="00701017" w:rsidRDefault="007005A7" w:rsidP="007005A7">
            <w:pPr>
              <w:jc w:val="center"/>
              <w:rPr>
                <w:rFonts w:ascii="Arial" w:hAnsi="Arial" w:cs="Arial"/>
              </w:rPr>
            </w:pPr>
            <w:r w:rsidRPr="00701017">
              <w:rPr>
                <w:rFonts w:ascii="Arial" w:hAnsi="Arial" w:cs="Arial"/>
              </w:rPr>
              <w:t>84.4</w:t>
            </w:r>
          </w:p>
        </w:tc>
        <w:tc>
          <w:tcPr>
            <w:tcW w:w="797" w:type="dxa"/>
            <w:tcBorders>
              <w:top w:val="nil"/>
              <w:left w:val="nil"/>
              <w:bottom w:val="single" w:sz="8" w:space="0" w:color="auto"/>
              <w:right w:val="nil"/>
            </w:tcBorders>
            <w:shd w:val="clear" w:color="auto" w:fill="auto"/>
            <w:noWrap/>
            <w:vAlign w:val="center"/>
            <w:hideMark/>
          </w:tcPr>
          <w:p w14:paraId="536921E9" w14:textId="77777777" w:rsidR="007005A7" w:rsidRPr="00701017" w:rsidRDefault="007005A7" w:rsidP="007005A7">
            <w:pPr>
              <w:jc w:val="center"/>
              <w:rPr>
                <w:rFonts w:ascii="Arial" w:hAnsi="Arial" w:cs="Arial"/>
              </w:rPr>
            </w:pPr>
            <w:r w:rsidRPr="00701017">
              <w:rPr>
                <w:rFonts w:ascii="Arial" w:hAnsi="Arial" w:cs="Arial"/>
              </w:rPr>
              <w:t>47.76</w:t>
            </w:r>
          </w:p>
        </w:tc>
      </w:tr>
    </w:tbl>
    <w:p w14:paraId="4E035200" w14:textId="6706AA5D" w:rsidR="00701017" w:rsidRDefault="007005A7" w:rsidP="00D01611">
      <w:pPr>
        <w:ind w:right="-297"/>
        <w:jc w:val="both"/>
        <w:rPr>
          <w:rFonts w:ascii="Arial" w:hAnsi="Arial" w:cs="Arial"/>
          <w:color w:val="000000"/>
          <w:sz w:val="18"/>
          <w:szCs w:val="24"/>
        </w:rPr>
      </w:pPr>
      <w:r w:rsidRPr="00621BB4">
        <w:rPr>
          <w:rFonts w:ascii="Arial" w:hAnsi="Arial" w:cs="Arial"/>
          <w:sz w:val="18"/>
          <w:szCs w:val="24"/>
          <w:lang w:val="en-ID"/>
        </w:rPr>
        <w:t xml:space="preserve">Note: Numbers followed by the same letter in the same column are not significantly different. PH: plant height, NL: number leaves, LA: leaf area, </w:t>
      </w:r>
      <w:r w:rsidR="00621BB4" w:rsidRPr="00621BB4">
        <w:rPr>
          <w:rFonts w:ascii="Arial" w:hAnsi="Arial" w:cs="Arial"/>
          <w:sz w:val="18"/>
          <w:szCs w:val="24"/>
          <w:lang w:val="en-ID"/>
        </w:rPr>
        <w:t xml:space="preserve">LG: leaf greenness, </w:t>
      </w:r>
      <w:r w:rsidRPr="00621BB4">
        <w:rPr>
          <w:rFonts w:ascii="Arial" w:hAnsi="Arial" w:cs="Arial"/>
          <w:sz w:val="18"/>
          <w:szCs w:val="24"/>
          <w:lang w:val="en-ID"/>
        </w:rPr>
        <w:t>RDW</w:t>
      </w:r>
      <w:r w:rsidR="00621BB4" w:rsidRPr="00621BB4">
        <w:rPr>
          <w:rFonts w:ascii="Arial" w:hAnsi="Arial" w:cs="Arial"/>
          <w:sz w:val="18"/>
          <w:szCs w:val="24"/>
          <w:lang w:val="en-ID"/>
        </w:rPr>
        <w:t xml:space="preserve">: </w:t>
      </w:r>
      <w:r w:rsidRPr="00621BB4">
        <w:rPr>
          <w:rFonts w:ascii="Arial" w:hAnsi="Arial" w:cs="Arial"/>
          <w:color w:val="000000"/>
          <w:sz w:val="18"/>
        </w:rPr>
        <w:t>root dry weight,</w:t>
      </w:r>
      <w:r w:rsidRPr="00621BB4">
        <w:rPr>
          <w:rFonts w:ascii="Arial" w:hAnsi="Arial" w:cs="Arial"/>
          <w:color w:val="000000"/>
          <w:sz w:val="22"/>
          <w:szCs w:val="24"/>
        </w:rPr>
        <w:t xml:space="preserve"> </w:t>
      </w:r>
      <w:r w:rsidRPr="00621BB4">
        <w:rPr>
          <w:rFonts w:ascii="Arial" w:hAnsi="Arial" w:cs="Arial"/>
          <w:color w:val="000000"/>
          <w:sz w:val="18"/>
        </w:rPr>
        <w:t xml:space="preserve">SDW: shoot dry weight, </w:t>
      </w:r>
      <w:r w:rsidRPr="00621BB4">
        <w:rPr>
          <w:rFonts w:ascii="Arial" w:hAnsi="Arial" w:cs="Arial"/>
          <w:color w:val="000000"/>
          <w:sz w:val="18"/>
          <w:szCs w:val="24"/>
        </w:rPr>
        <w:t>SRR:</w:t>
      </w:r>
      <w:r w:rsidR="00621BB4" w:rsidRPr="00621BB4">
        <w:rPr>
          <w:rFonts w:ascii="Arial" w:hAnsi="Arial" w:cs="Arial"/>
          <w:color w:val="000000"/>
          <w:sz w:val="18"/>
        </w:rPr>
        <w:t xml:space="preserve"> Shoot-</w:t>
      </w:r>
      <w:r w:rsidRPr="00621BB4">
        <w:rPr>
          <w:rFonts w:ascii="Arial" w:hAnsi="Arial" w:cs="Arial"/>
          <w:color w:val="000000"/>
          <w:sz w:val="18"/>
        </w:rPr>
        <w:t xml:space="preserve">root ratio, </w:t>
      </w:r>
      <w:r w:rsidRPr="00621BB4">
        <w:rPr>
          <w:rFonts w:ascii="Arial" w:hAnsi="Arial" w:cs="Arial"/>
          <w:color w:val="000000"/>
          <w:sz w:val="18"/>
          <w:szCs w:val="24"/>
        </w:rPr>
        <w:t>RSL:</w:t>
      </w:r>
      <w:r w:rsidRPr="00621BB4">
        <w:rPr>
          <w:rFonts w:ascii="Arial" w:hAnsi="Arial" w:cs="Arial"/>
          <w:color w:val="FF0000"/>
          <w:sz w:val="22"/>
          <w:szCs w:val="24"/>
        </w:rPr>
        <w:t xml:space="preserve"> </w:t>
      </w:r>
      <w:r w:rsidR="00621BB4" w:rsidRPr="00621BB4">
        <w:rPr>
          <w:rFonts w:ascii="Arial" w:hAnsi="Arial" w:cs="Arial"/>
          <w:color w:val="000000"/>
          <w:sz w:val="18"/>
          <w:szCs w:val="24"/>
        </w:rPr>
        <w:t>Relative shoot</w:t>
      </w:r>
      <w:r w:rsidRPr="00621BB4">
        <w:rPr>
          <w:rFonts w:ascii="Arial" w:hAnsi="Arial" w:cs="Arial"/>
          <w:color w:val="000000"/>
          <w:sz w:val="18"/>
          <w:szCs w:val="24"/>
        </w:rPr>
        <w:t xml:space="preserve"> </w:t>
      </w:r>
      <w:r w:rsidR="00621BB4" w:rsidRPr="00621BB4">
        <w:rPr>
          <w:rFonts w:ascii="Arial" w:hAnsi="Arial" w:cs="Arial"/>
          <w:color w:val="000000"/>
          <w:sz w:val="18"/>
          <w:szCs w:val="24"/>
        </w:rPr>
        <w:t>length, RRSW: Relative root shoot weight.</w:t>
      </w:r>
    </w:p>
    <w:p w14:paraId="05C2AD45" w14:textId="77777777" w:rsidR="003A0BD8" w:rsidRPr="00621BB4" w:rsidRDefault="003A0BD8" w:rsidP="00D01611">
      <w:pPr>
        <w:ind w:right="-297"/>
        <w:jc w:val="both"/>
        <w:rPr>
          <w:rFonts w:ascii="Arial" w:hAnsi="Arial" w:cs="Arial"/>
          <w:color w:val="000000"/>
          <w:sz w:val="18"/>
        </w:rPr>
      </w:pPr>
    </w:p>
    <w:p w14:paraId="706DAE41" w14:textId="77777777" w:rsidR="007005A7" w:rsidRPr="00C15A0D" w:rsidRDefault="007005A7" w:rsidP="00C15A0D">
      <w:pPr>
        <w:rPr>
          <w:rFonts w:ascii="Times New Roman" w:hAnsi="Times New Roman"/>
          <w:color w:val="000000"/>
        </w:rPr>
      </w:pPr>
      <w:r w:rsidRPr="00C15A0D">
        <w:rPr>
          <w:rFonts w:ascii="Arial" w:hAnsi="Arial" w:cs="Arial"/>
          <w:bCs/>
          <w:lang w:val="en-ID"/>
        </w:rPr>
        <w:t xml:space="preserve">Table 5. Effect of </w:t>
      </w:r>
      <w:proofErr w:type="spellStart"/>
      <w:r w:rsidRPr="00C15A0D">
        <w:rPr>
          <w:rFonts w:ascii="Arial" w:hAnsi="Arial" w:cs="Arial"/>
          <w:bCs/>
          <w:lang w:val="en-ID"/>
        </w:rPr>
        <w:t>cogongrass</w:t>
      </w:r>
      <w:proofErr w:type="spellEnd"/>
      <w:r w:rsidRPr="00C15A0D">
        <w:rPr>
          <w:rFonts w:ascii="Arial" w:hAnsi="Arial" w:cs="Arial"/>
          <w:bCs/>
          <w:lang w:val="en-ID"/>
        </w:rPr>
        <w:t xml:space="preserve"> allelop</w:t>
      </w:r>
      <w:r w:rsidR="00621BB4" w:rsidRPr="00C15A0D">
        <w:rPr>
          <w:rFonts w:ascii="Arial" w:hAnsi="Arial" w:cs="Arial"/>
          <w:bCs/>
          <w:lang w:val="en-ID"/>
        </w:rPr>
        <w:t>athy on the yield parameter of c</w:t>
      </w:r>
      <w:r w:rsidRPr="00C15A0D">
        <w:rPr>
          <w:rFonts w:ascii="Arial" w:hAnsi="Arial" w:cs="Arial"/>
          <w:bCs/>
          <w:lang w:val="en-ID"/>
        </w:rPr>
        <w:t xml:space="preserve">ucumber </w:t>
      </w:r>
    </w:p>
    <w:tbl>
      <w:tblPr>
        <w:tblW w:w="8514" w:type="dxa"/>
        <w:tblInd w:w="93" w:type="dxa"/>
        <w:tblBorders>
          <w:top w:val="single" w:sz="4" w:space="0" w:color="auto"/>
          <w:bottom w:val="single" w:sz="4" w:space="0" w:color="auto"/>
        </w:tblBorders>
        <w:tblLook w:val="04A0" w:firstRow="1" w:lastRow="0" w:firstColumn="1" w:lastColumn="0" w:noHBand="0" w:noVBand="1"/>
      </w:tblPr>
      <w:tblGrid>
        <w:gridCol w:w="1608"/>
        <w:gridCol w:w="792"/>
        <w:gridCol w:w="1051"/>
        <w:gridCol w:w="928"/>
        <w:gridCol w:w="1043"/>
        <w:gridCol w:w="1007"/>
        <w:gridCol w:w="1034"/>
        <w:gridCol w:w="1051"/>
      </w:tblGrid>
      <w:tr w:rsidR="007005A7" w:rsidRPr="00701017" w14:paraId="22FBB0C4" w14:textId="77777777" w:rsidTr="008E1480">
        <w:trPr>
          <w:trHeight w:val="297"/>
        </w:trPr>
        <w:tc>
          <w:tcPr>
            <w:tcW w:w="1608" w:type="dxa"/>
            <w:vMerge w:val="restart"/>
            <w:shd w:val="clear" w:color="auto" w:fill="auto"/>
            <w:noWrap/>
            <w:vAlign w:val="center"/>
          </w:tcPr>
          <w:p w14:paraId="3AC2E5C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Concentration</w:t>
            </w:r>
          </w:p>
          <w:p w14:paraId="61F6E2C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t>
            </w:r>
          </w:p>
        </w:tc>
        <w:tc>
          <w:tcPr>
            <w:tcW w:w="6904" w:type="dxa"/>
            <w:gridSpan w:val="7"/>
            <w:tcBorders>
              <w:bottom w:val="single" w:sz="4" w:space="0" w:color="auto"/>
            </w:tcBorders>
            <w:shd w:val="clear" w:color="auto" w:fill="auto"/>
            <w:noWrap/>
            <w:vAlign w:val="center"/>
          </w:tcPr>
          <w:p w14:paraId="5766EF6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Variables</w:t>
            </w:r>
          </w:p>
        </w:tc>
      </w:tr>
      <w:tr w:rsidR="00701017" w:rsidRPr="00701017" w14:paraId="1591672B" w14:textId="77777777" w:rsidTr="008E1480">
        <w:trPr>
          <w:trHeight w:val="297"/>
        </w:trPr>
        <w:tc>
          <w:tcPr>
            <w:tcW w:w="1608" w:type="dxa"/>
            <w:vMerge/>
            <w:tcBorders>
              <w:bottom w:val="single" w:sz="4" w:space="0" w:color="auto"/>
            </w:tcBorders>
            <w:shd w:val="clear" w:color="auto" w:fill="auto"/>
            <w:noWrap/>
            <w:vAlign w:val="center"/>
          </w:tcPr>
          <w:p w14:paraId="2CB92153" w14:textId="77777777" w:rsidR="007005A7" w:rsidRPr="00701017" w:rsidRDefault="007005A7" w:rsidP="007005A7">
            <w:pPr>
              <w:spacing w:line="276" w:lineRule="auto"/>
              <w:jc w:val="center"/>
              <w:rPr>
                <w:rFonts w:ascii="Arial" w:hAnsi="Arial" w:cs="Arial"/>
                <w:color w:val="000000"/>
              </w:rPr>
            </w:pPr>
          </w:p>
        </w:tc>
        <w:tc>
          <w:tcPr>
            <w:tcW w:w="792" w:type="dxa"/>
            <w:tcBorders>
              <w:top w:val="single" w:sz="4" w:space="0" w:color="auto"/>
              <w:bottom w:val="single" w:sz="4" w:space="0" w:color="auto"/>
            </w:tcBorders>
            <w:shd w:val="clear" w:color="auto" w:fill="auto"/>
            <w:noWrap/>
            <w:vAlign w:val="center"/>
          </w:tcPr>
          <w:p w14:paraId="554049FD"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NF</w:t>
            </w:r>
          </w:p>
        </w:tc>
        <w:tc>
          <w:tcPr>
            <w:tcW w:w="1051" w:type="dxa"/>
            <w:tcBorders>
              <w:top w:val="single" w:sz="4" w:space="0" w:color="auto"/>
              <w:bottom w:val="single" w:sz="4" w:space="0" w:color="auto"/>
            </w:tcBorders>
            <w:shd w:val="clear" w:color="auto" w:fill="auto"/>
            <w:noWrap/>
            <w:vAlign w:val="center"/>
          </w:tcPr>
          <w:p w14:paraId="1E634AC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FD (cm)</w:t>
            </w:r>
          </w:p>
        </w:tc>
        <w:tc>
          <w:tcPr>
            <w:tcW w:w="928" w:type="dxa"/>
            <w:tcBorders>
              <w:top w:val="single" w:sz="4" w:space="0" w:color="auto"/>
              <w:bottom w:val="single" w:sz="4" w:space="0" w:color="auto"/>
            </w:tcBorders>
            <w:shd w:val="clear" w:color="auto" w:fill="auto"/>
            <w:noWrap/>
            <w:vAlign w:val="center"/>
          </w:tcPr>
          <w:p w14:paraId="62385BE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FL (cm)</w:t>
            </w:r>
          </w:p>
        </w:tc>
        <w:tc>
          <w:tcPr>
            <w:tcW w:w="1043" w:type="dxa"/>
            <w:tcBorders>
              <w:top w:val="single" w:sz="4" w:space="0" w:color="auto"/>
              <w:bottom w:val="single" w:sz="4" w:space="0" w:color="auto"/>
            </w:tcBorders>
            <w:shd w:val="clear" w:color="auto" w:fill="auto"/>
            <w:noWrap/>
            <w:vAlign w:val="center"/>
          </w:tcPr>
          <w:p w14:paraId="272B96A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FWPF (g)</w:t>
            </w:r>
          </w:p>
        </w:tc>
        <w:tc>
          <w:tcPr>
            <w:tcW w:w="1007" w:type="dxa"/>
            <w:tcBorders>
              <w:top w:val="single" w:sz="4" w:space="0" w:color="auto"/>
              <w:bottom w:val="single" w:sz="4" w:space="0" w:color="auto"/>
            </w:tcBorders>
            <w:shd w:val="clear" w:color="auto" w:fill="auto"/>
            <w:noWrap/>
            <w:vAlign w:val="center"/>
          </w:tcPr>
          <w:p w14:paraId="4E401CD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FWPP (g)</w:t>
            </w:r>
          </w:p>
        </w:tc>
        <w:tc>
          <w:tcPr>
            <w:tcW w:w="1034" w:type="dxa"/>
            <w:tcBorders>
              <w:top w:val="single" w:sz="4" w:space="0" w:color="auto"/>
              <w:bottom w:val="single" w:sz="4" w:space="0" w:color="auto"/>
            </w:tcBorders>
            <w:shd w:val="clear" w:color="auto" w:fill="auto"/>
            <w:noWrap/>
            <w:vAlign w:val="center"/>
          </w:tcPr>
          <w:p w14:paraId="0C9EAA6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NMF (g)</w:t>
            </w:r>
          </w:p>
        </w:tc>
        <w:tc>
          <w:tcPr>
            <w:tcW w:w="1051" w:type="dxa"/>
            <w:tcBorders>
              <w:top w:val="single" w:sz="4" w:space="0" w:color="auto"/>
              <w:bottom w:val="single" w:sz="4" w:space="0" w:color="auto"/>
            </w:tcBorders>
            <w:shd w:val="clear" w:color="auto" w:fill="auto"/>
            <w:noWrap/>
            <w:vAlign w:val="center"/>
          </w:tcPr>
          <w:p w14:paraId="3DFC5D3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WMF(g)</w:t>
            </w:r>
          </w:p>
        </w:tc>
      </w:tr>
      <w:tr w:rsidR="00701017" w:rsidRPr="00701017" w14:paraId="20FE986D" w14:textId="77777777" w:rsidTr="008E1480">
        <w:trPr>
          <w:trHeight w:val="297"/>
        </w:trPr>
        <w:tc>
          <w:tcPr>
            <w:tcW w:w="1608" w:type="dxa"/>
            <w:tcBorders>
              <w:top w:val="single" w:sz="4" w:space="0" w:color="auto"/>
              <w:bottom w:val="nil"/>
            </w:tcBorders>
            <w:shd w:val="clear" w:color="auto" w:fill="auto"/>
            <w:noWrap/>
            <w:vAlign w:val="bottom"/>
            <w:hideMark/>
          </w:tcPr>
          <w:p w14:paraId="062FA21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792" w:type="dxa"/>
            <w:tcBorders>
              <w:top w:val="single" w:sz="4" w:space="0" w:color="auto"/>
              <w:bottom w:val="nil"/>
            </w:tcBorders>
            <w:shd w:val="clear" w:color="auto" w:fill="auto"/>
            <w:noWrap/>
            <w:vAlign w:val="bottom"/>
            <w:hideMark/>
          </w:tcPr>
          <w:p w14:paraId="6C69C1B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19</w:t>
            </w:r>
            <w:r w:rsidR="00DF5064">
              <w:rPr>
                <w:rFonts w:ascii="Arial" w:hAnsi="Arial" w:cs="Arial"/>
                <w:color w:val="000000"/>
              </w:rPr>
              <w:t>.0</w:t>
            </w:r>
            <w:r w:rsidRPr="00701017">
              <w:rPr>
                <w:rFonts w:ascii="Arial" w:hAnsi="Arial" w:cs="Arial"/>
                <w:color w:val="000000"/>
              </w:rPr>
              <w:t>a</w:t>
            </w:r>
          </w:p>
        </w:tc>
        <w:tc>
          <w:tcPr>
            <w:tcW w:w="1051" w:type="dxa"/>
            <w:tcBorders>
              <w:top w:val="single" w:sz="4" w:space="0" w:color="auto"/>
              <w:bottom w:val="nil"/>
            </w:tcBorders>
            <w:shd w:val="clear" w:color="auto" w:fill="auto"/>
            <w:noWrap/>
            <w:vAlign w:val="bottom"/>
            <w:hideMark/>
          </w:tcPr>
          <w:p w14:paraId="30396B43" w14:textId="1F3F6543" w:rsidR="007005A7" w:rsidRPr="00701017" w:rsidRDefault="006E1E09" w:rsidP="007005A7">
            <w:pPr>
              <w:spacing w:line="276" w:lineRule="auto"/>
              <w:jc w:val="center"/>
              <w:rPr>
                <w:rFonts w:ascii="Arial" w:hAnsi="Arial" w:cs="Arial"/>
                <w:color w:val="000000"/>
              </w:rPr>
            </w:pPr>
            <w:r>
              <w:rPr>
                <w:rFonts w:ascii="Arial" w:hAnsi="Arial" w:cs="Arial"/>
                <w:color w:val="000000"/>
              </w:rPr>
              <w:t>4.36</w:t>
            </w:r>
            <w:r w:rsidR="007005A7" w:rsidRPr="00701017">
              <w:rPr>
                <w:rFonts w:ascii="Arial" w:hAnsi="Arial" w:cs="Arial"/>
                <w:color w:val="000000"/>
              </w:rPr>
              <w:t>a</w:t>
            </w:r>
          </w:p>
        </w:tc>
        <w:tc>
          <w:tcPr>
            <w:tcW w:w="928" w:type="dxa"/>
            <w:tcBorders>
              <w:top w:val="single" w:sz="4" w:space="0" w:color="auto"/>
              <w:bottom w:val="nil"/>
            </w:tcBorders>
            <w:shd w:val="clear" w:color="auto" w:fill="auto"/>
            <w:noWrap/>
            <w:vAlign w:val="bottom"/>
            <w:hideMark/>
          </w:tcPr>
          <w:p w14:paraId="25D4C4D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23.63a</w:t>
            </w:r>
          </w:p>
        </w:tc>
        <w:tc>
          <w:tcPr>
            <w:tcW w:w="1043" w:type="dxa"/>
            <w:tcBorders>
              <w:top w:val="single" w:sz="4" w:space="0" w:color="auto"/>
              <w:bottom w:val="nil"/>
            </w:tcBorders>
            <w:shd w:val="clear" w:color="auto" w:fill="auto"/>
            <w:noWrap/>
            <w:vAlign w:val="bottom"/>
            <w:hideMark/>
          </w:tcPr>
          <w:p w14:paraId="6E8FCA8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289</w:t>
            </w:r>
            <w:r w:rsidR="00DF5064">
              <w:rPr>
                <w:rFonts w:ascii="Arial" w:hAnsi="Arial" w:cs="Arial"/>
                <w:color w:val="000000"/>
              </w:rPr>
              <w:t>.0</w:t>
            </w:r>
            <w:r w:rsidRPr="00701017">
              <w:rPr>
                <w:rFonts w:ascii="Arial" w:hAnsi="Arial" w:cs="Arial"/>
                <w:color w:val="000000"/>
              </w:rPr>
              <w:t>a</w:t>
            </w:r>
          </w:p>
        </w:tc>
        <w:tc>
          <w:tcPr>
            <w:tcW w:w="1007" w:type="dxa"/>
            <w:tcBorders>
              <w:top w:val="single" w:sz="4" w:space="0" w:color="auto"/>
              <w:bottom w:val="nil"/>
            </w:tcBorders>
            <w:shd w:val="clear" w:color="auto" w:fill="auto"/>
            <w:noWrap/>
            <w:vAlign w:val="bottom"/>
            <w:hideMark/>
          </w:tcPr>
          <w:p w14:paraId="1D59DB97" w14:textId="77777777" w:rsidR="007005A7" w:rsidRPr="00701017" w:rsidRDefault="007005A7" w:rsidP="007005A7">
            <w:pPr>
              <w:spacing w:line="276" w:lineRule="auto"/>
              <w:jc w:val="center"/>
              <w:rPr>
                <w:rFonts w:ascii="Arial" w:hAnsi="Arial" w:cs="Arial"/>
              </w:rPr>
            </w:pPr>
            <w:r w:rsidRPr="00701017">
              <w:rPr>
                <w:rFonts w:ascii="Arial" w:hAnsi="Arial" w:cs="Arial"/>
              </w:rPr>
              <w:t>5412</w:t>
            </w:r>
            <w:r w:rsidR="00DF5064">
              <w:rPr>
                <w:rFonts w:ascii="Arial" w:hAnsi="Arial" w:cs="Arial"/>
              </w:rPr>
              <w:t>.0</w:t>
            </w:r>
            <w:r w:rsidRPr="00701017">
              <w:rPr>
                <w:rFonts w:ascii="Arial" w:hAnsi="Arial" w:cs="Arial"/>
              </w:rPr>
              <w:t>a</w:t>
            </w:r>
          </w:p>
        </w:tc>
        <w:tc>
          <w:tcPr>
            <w:tcW w:w="1034" w:type="dxa"/>
            <w:tcBorders>
              <w:top w:val="single" w:sz="4" w:space="0" w:color="auto"/>
              <w:bottom w:val="nil"/>
            </w:tcBorders>
            <w:shd w:val="clear" w:color="auto" w:fill="auto"/>
            <w:noWrap/>
            <w:vAlign w:val="bottom"/>
            <w:hideMark/>
          </w:tcPr>
          <w:p w14:paraId="1B49E00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12.8a</w:t>
            </w:r>
          </w:p>
        </w:tc>
        <w:tc>
          <w:tcPr>
            <w:tcW w:w="1051" w:type="dxa"/>
            <w:tcBorders>
              <w:top w:val="single" w:sz="4" w:space="0" w:color="auto"/>
              <w:bottom w:val="nil"/>
            </w:tcBorders>
            <w:shd w:val="clear" w:color="auto" w:fill="auto"/>
            <w:noWrap/>
            <w:vAlign w:val="bottom"/>
            <w:hideMark/>
          </w:tcPr>
          <w:p w14:paraId="7C248B3D"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3583.0</w:t>
            </w:r>
            <w:r w:rsidR="007005A7" w:rsidRPr="00701017">
              <w:rPr>
                <w:rFonts w:ascii="Arial" w:hAnsi="Arial" w:cs="Arial"/>
                <w:color w:val="000000"/>
              </w:rPr>
              <w:t>a</w:t>
            </w:r>
          </w:p>
        </w:tc>
      </w:tr>
      <w:tr w:rsidR="00701017" w:rsidRPr="00701017" w14:paraId="6D764836" w14:textId="77777777" w:rsidTr="008E1480">
        <w:trPr>
          <w:trHeight w:val="297"/>
        </w:trPr>
        <w:tc>
          <w:tcPr>
            <w:tcW w:w="1608" w:type="dxa"/>
            <w:tcBorders>
              <w:top w:val="nil"/>
            </w:tcBorders>
            <w:shd w:val="clear" w:color="auto" w:fill="auto"/>
            <w:noWrap/>
            <w:vAlign w:val="bottom"/>
            <w:hideMark/>
          </w:tcPr>
          <w:p w14:paraId="622A4B6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2.5</w:t>
            </w:r>
          </w:p>
        </w:tc>
        <w:tc>
          <w:tcPr>
            <w:tcW w:w="792" w:type="dxa"/>
            <w:tcBorders>
              <w:top w:val="nil"/>
            </w:tcBorders>
            <w:shd w:val="clear" w:color="auto" w:fill="auto"/>
            <w:noWrap/>
            <w:vAlign w:val="bottom"/>
            <w:hideMark/>
          </w:tcPr>
          <w:p w14:paraId="0B9BF5B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15.6b</w:t>
            </w:r>
          </w:p>
        </w:tc>
        <w:tc>
          <w:tcPr>
            <w:tcW w:w="1051" w:type="dxa"/>
            <w:tcBorders>
              <w:top w:val="nil"/>
            </w:tcBorders>
            <w:shd w:val="clear" w:color="auto" w:fill="auto"/>
            <w:noWrap/>
            <w:vAlign w:val="bottom"/>
            <w:hideMark/>
          </w:tcPr>
          <w:p w14:paraId="792EC0B3" w14:textId="0151C9C2" w:rsidR="007005A7" w:rsidRPr="00701017" w:rsidRDefault="006E1E09" w:rsidP="007005A7">
            <w:pPr>
              <w:spacing w:line="276" w:lineRule="auto"/>
              <w:jc w:val="center"/>
              <w:rPr>
                <w:rFonts w:ascii="Arial" w:hAnsi="Arial" w:cs="Arial"/>
                <w:color w:val="000000"/>
              </w:rPr>
            </w:pPr>
            <w:r>
              <w:rPr>
                <w:rFonts w:ascii="Arial" w:hAnsi="Arial" w:cs="Arial"/>
                <w:color w:val="000000"/>
              </w:rPr>
              <w:t>4.01</w:t>
            </w:r>
            <w:r w:rsidR="007005A7" w:rsidRPr="00701017">
              <w:rPr>
                <w:rFonts w:ascii="Arial" w:hAnsi="Arial" w:cs="Arial"/>
                <w:color w:val="000000"/>
              </w:rPr>
              <w:t>ab</w:t>
            </w:r>
          </w:p>
        </w:tc>
        <w:tc>
          <w:tcPr>
            <w:tcW w:w="928" w:type="dxa"/>
            <w:tcBorders>
              <w:top w:val="nil"/>
            </w:tcBorders>
            <w:shd w:val="clear" w:color="auto" w:fill="auto"/>
            <w:noWrap/>
            <w:vAlign w:val="bottom"/>
            <w:hideMark/>
          </w:tcPr>
          <w:p w14:paraId="11A394F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23.03b</w:t>
            </w:r>
          </w:p>
        </w:tc>
        <w:tc>
          <w:tcPr>
            <w:tcW w:w="1043" w:type="dxa"/>
            <w:tcBorders>
              <w:top w:val="nil"/>
            </w:tcBorders>
            <w:shd w:val="clear" w:color="auto" w:fill="auto"/>
            <w:noWrap/>
            <w:vAlign w:val="bottom"/>
            <w:hideMark/>
          </w:tcPr>
          <w:p w14:paraId="4B962D48"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239.</w:t>
            </w:r>
            <w:r w:rsidR="007005A7" w:rsidRPr="00701017">
              <w:rPr>
                <w:rFonts w:ascii="Arial" w:hAnsi="Arial" w:cs="Arial"/>
                <w:color w:val="000000"/>
              </w:rPr>
              <w:t>2b</w:t>
            </w:r>
          </w:p>
        </w:tc>
        <w:tc>
          <w:tcPr>
            <w:tcW w:w="1007" w:type="dxa"/>
            <w:tcBorders>
              <w:top w:val="nil"/>
            </w:tcBorders>
            <w:shd w:val="clear" w:color="auto" w:fill="auto"/>
            <w:noWrap/>
            <w:vAlign w:val="bottom"/>
            <w:hideMark/>
          </w:tcPr>
          <w:p w14:paraId="5B53F86C" w14:textId="77777777" w:rsidR="007005A7" w:rsidRPr="00701017" w:rsidRDefault="007005A7" w:rsidP="007005A7">
            <w:pPr>
              <w:spacing w:line="276" w:lineRule="auto"/>
              <w:jc w:val="center"/>
              <w:rPr>
                <w:rFonts w:ascii="Arial" w:hAnsi="Arial" w:cs="Arial"/>
              </w:rPr>
            </w:pPr>
            <w:r w:rsidRPr="00701017">
              <w:rPr>
                <w:rFonts w:ascii="Arial" w:hAnsi="Arial" w:cs="Arial"/>
              </w:rPr>
              <w:t>3380.4b</w:t>
            </w:r>
          </w:p>
        </w:tc>
        <w:tc>
          <w:tcPr>
            <w:tcW w:w="1034" w:type="dxa"/>
            <w:tcBorders>
              <w:top w:val="nil"/>
            </w:tcBorders>
            <w:shd w:val="clear" w:color="auto" w:fill="auto"/>
            <w:noWrap/>
            <w:vAlign w:val="bottom"/>
            <w:hideMark/>
          </w:tcPr>
          <w:p w14:paraId="3F6E3C3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8.6b</w:t>
            </w:r>
          </w:p>
        </w:tc>
        <w:tc>
          <w:tcPr>
            <w:tcW w:w="1051" w:type="dxa"/>
            <w:tcBorders>
              <w:top w:val="nil"/>
            </w:tcBorders>
            <w:shd w:val="clear" w:color="auto" w:fill="auto"/>
            <w:noWrap/>
            <w:vAlign w:val="bottom"/>
            <w:hideMark/>
          </w:tcPr>
          <w:p w14:paraId="030838C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2104</w:t>
            </w:r>
            <w:r w:rsidR="00DF5064">
              <w:rPr>
                <w:rFonts w:ascii="Arial" w:hAnsi="Arial" w:cs="Arial"/>
                <w:color w:val="000000"/>
              </w:rPr>
              <w:t>.0</w:t>
            </w:r>
            <w:r w:rsidRPr="00701017">
              <w:rPr>
                <w:rFonts w:ascii="Arial" w:hAnsi="Arial" w:cs="Arial"/>
                <w:color w:val="000000"/>
              </w:rPr>
              <w:t>b</w:t>
            </w:r>
          </w:p>
        </w:tc>
      </w:tr>
      <w:tr w:rsidR="00701017" w:rsidRPr="00701017" w14:paraId="2141FD4B" w14:textId="77777777" w:rsidTr="008E1480">
        <w:trPr>
          <w:trHeight w:val="297"/>
        </w:trPr>
        <w:tc>
          <w:tcPr>
            <w:tcW w:w="1608" w:type="dxa"/>
            <w:shd w:val="clear" w:color="auto" w:fill="auto"/>
            <w:noWrap/>
            <w:vAlign w:val="bottom"/>
            <w:hideMark/>
          </w:tcPr>
          <w:p w14:paraId="6DBD225F"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5</w:t>
            </w:r>
          </w:p>
        </w:tc>
        <w:tc>
          <w:tcPr>
            <w:tcW w:w="792" w:type="dxa"/>
            <w:shd w:val="clear" w:color="auto" w:fill="auto"/>
            <w:noWrap/>
            <w:vAlign w:val="bottom"/>
            <w:hideMark/>
          </w:tcPr>
          <w:p w14:paraId="0BDC96D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14.2b</w:t>
            </w:r>
          </w:p>
        </w:tc>
        <w:tc>
          <w:tcPr>
            <w:tcW w:w="1051" w:type="dxa"/>
            <w:shd w:val="clear" w:color="auto" w:fill="auto"/>
            <w:noWrap/>
            <w:vAlign w:val="bottom"/>
            <w:hideMark/>
          </w:tcPr>
          <w:p w14:paraId="28947BF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3.51b</w:t>
            </w:r>
          </w:p>
        </w:tc>
        <w:tc>
          <w:tcPr>
            <w:tcW w:w="928" w:type="dxa"/>
            <w:shd w:val="clear" w:color="auto" w:fill="auto"/>
            <w:noWrap/>
            <w:vAlign w:val="bottom"/>
            <w:hideMark/>
          </w:tcPr>
          <w:p w14:paraId="6364B13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22.55bc</w:t>
            </w:r>
          </w:p>
        </w:tc>
        <w:tc>
          <w:tcPr>
            <w:tcW w:w="1043" w:type="dxa"/>
            <w:shd w:val="clear" w:color="auto" w:fill="auto"/>
            <w:noWrap/>
            <w:vAlign w:val="bottom"/>
            <w:hideMark/>
          </w:tcPr>
          <w:p w14:paraId="28EF2F79" w14:textId="77777777" w:rsidR="007005A7" w:rsidRPr="00701017" w:rsidRDefault="007005A7" w:rsidP="00DF5064">
            <w:pPr>
              <w:spacing w:line="276" w:lineRule="auto"/>
              <w:jc w:val="center"/>
              <w:rPr>
                <w:rFonts w:ascii="Arial" w:hAnsi="Arial" w:cs="Arial"/>
                <w:color w:val="000000"/>
              </w:rPr>
            </w:pPr>
            <w:r w:rsidRPr="00701017">
              <w:rPr>
                <w:rFonts w:ascii="Arial" w:hAnsi="Arial" w:cs="Arial"/>
                <w:color w:val="000000"/>
              </w:rPr>
              <w:t>238</w:t>
            </w:r>
            <w:r w:rsidR="00DF5064">
              <w:rPr>
                <w:rFonts w:ascii="Arial" w:hAnsi="Arial" w:cs="Arial"/>
                <w:color w:val="000000"/>
              </w:rPr>
              <w:t>.</w:t>
            </w:r>
            <w:r w:rsidRPr="00701017">
              <w:rPr>
                <w:rFonts w:ascii="Arial" w:hAnsi="Arial" w:cs="Arial"/>
                <w:color w:val="000000"/>
              </w:rPr>
              <w:t>6b</w:t>
            </w:r>
          </w:p>
        </w:tc>
        <w:tc>
          <w:tcPr>
            <w:tcW w:w="1007" w:type="dxa"/>
            <w:shd w:val="clear" w:color="auto" w:fill="auto"/>
            <w:noWrap/>
            <w:vAlign w:val="bottom"/>
            <w:hideMark/>
          </w:tcPr>
          <w:p w14:paraId="7AFCFA0A" w14:textId="77777777" w:rsidR="007005A7" w:rsidRPr="00701017" w:rsidRDefault="007005A7" w:rsidP="007005A7">
            <w:pPr>
              <w:spacing w:line="276" w:lineRule="auto"/>
              <w:jc w:val="center"/>
              <w:rPr>
                <w:rFonts w:ascii="Arial" w:hAnsi="Arial" w:cs="Arial"/>
              </w:rPr>
            </w:pPr>
            <w:r w:rsidRPr="00701017">
              <w:rPr>
                <w:rFonts w:ascii="Arial" w:hAnsi="Arial" w:cs="Arial"/>
              </w:rPr>
              <w:t>3297.2b</w:t>
            </w:r>
          </w:p>
        </w:tc>
        <w:tc>
          <w:tcPr>
            <w:tcW w:w="1034" w:type="dxa"/>
            <w:shd w:val="clear" w:color="auto" w:fill="auto"/>
            <w:noWrap/>
            <w:vAlign w:val="bottom"/>
            <w:hideMark/>
          </w:tcPr>
          <w:p w14:paraId="56113D9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7.6bc</w:t>
            </w:r>
          </w:p>
        </w:tc>
        <w:tc>
          <w:tcPr>
            <w:tcW w:w="1051" w:type="dxa"/>
            <w:shd w:val="clear" w:color="auto" w:fill="auto"/>
            <w:noWrap/>
            <w:vAlign w:val="bottom"/>
            <w:hideMark/>
          </w:tcPr>
          <w:p w14:paraId="6E75336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1824.4b</w:t>
            </w:r>
          </w:p>
        </w:tc>
      </w:tr>
      <w:tr w:rsidR="00701017" w:rsidRPr="00701017" w14:paraId="7A6ABEEE" w14:textId="77777777" w:rsidTr="008E1480">
        <w:trPr>
          <w:trHeight w:val="297"/>
        </w:trPr>
        <w:tc>
          <w:tcPr>
            <w:tcW w:w="1608" w:type="dxa"/>
            <w:shd w:val="clear" w:color="auto" w:fill="auto"/>
            <w:noWrap/>
            <w:vAlign w:val="bottom"/>
            <w:hideMark/>
          </w:tcPr>
          <w:p w14:paraId="7B9ED7E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7.5</w:t>
            </w:r>
          </w:p>
        </w:tc>
        <w:tc>
          <w:tcPr>
            <w:tcW w:w="792" w:type="dxa"/>
            <w:shd w:val="clear" w:color="auto" w:fill="auto"/>
            <w:noWrap/>
            <w:vAlign w:val="bottom"/>
            <w:hideMark/>
          </w:tcPr>
          <w:p w14:paraId="17CE62F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13.6b</w:t>
            </w:r>
          </w:p>
        </w:tc>
        <w:tc>
          <w:tcPr>
            <w:tcW w:w="1051" w:type="dxa"/>
            <w:shd w:val="clear" w:color="auto" w:fill="auto"/>
            <w:noWrap/>
            <w:vAlign w:val="bottom"/>
            <w:hideMark/>
          </w:tcPr>
          <w:p w14:paraId="63B826E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3.53b</w:t>
            </w:r>
          </w:p>
        </w:tc>
        <w:tc>
          <w:tcPr>
            <w:tcW w:w="928" w:type="dxa"/>
            <w:shd w:val="clear" w:color="auto" w:fill="auto"/>
            <w:noWrap/>
            <w:vAlign w:val="bottom"/>
            <w:hideMark/>
          </w:tcPr>
          <w:p w14:paraId="2AB93F1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22.41c</w:t>
            </w:r>
          </w:p>
        </w:tc>
        <w:tc>
          <w:tcPr>
            <w:tcW w:w="1043" w:type="dxa"/>
            <w:shd w:val="clear" w:color="auto" w:fill="auto"/>
            <w:noWrap/>
            <w:vAlign w:val="bottom"/>
            <w:hideMark/>
          </w:tcPr>
          <w:p w14:paraId="1FB620A9"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212.</w:t>
            </w:r>
            <w:r w:rsidR="007005A7" w:rsidRPr="00701017">
              <w:rPr>
                <w:rFonts w:ascii="Arial" w:hAnsi="Arial" w:cs="Arial"/>
                <w:color w:val="000000"/>
              </w:rPr>
              <w:t>4c</w:t>
            </w:r>
          </w:p>
        </w:tc>
        <w:tc>
          <w:tcPr>
            <w:tcW w:w="1007" w:type="dxa"/>
            <w:shd w:val="clear" w:color="auto" w:fill="auto"/>
            <w:noWrap/>
            <w:vAlign w:val="bottom"/>
            <w:hideMark/>
          </w:tcPr>
          <w:p w14:paraId="290FBBED" w14:textId="77777777" w:rsidR="007005A7" w:rsidRPr="00701017" w:rsidRDefault="007005A7" w:rsidP="007005A7">
            <w:pPr>
              <w:spacing w:line="276" w:lineRule="auto"/>
              <w:jc w:val="center"/>
              <w:rPr>
                <w:rFonts w:ascii="Arial" w:hAnsi="Arial" w:cs="Arial"/>
              </w:rPr>
            </w:pPr>
            <w:r w:rsidRPr="00701017">
              <w:rPr>
                <w:rFonts w:ascii="Arial" w:hAnsi="Arial" w:cs="Arial"/>
              </w:rPr>
              <w:t>2668</w:t>
            </w:r>
            <w:r w:rsidR="00DF5064">
              <w:rPr>
                <w:rFonts w:ascii="Arial" w:hAnsi="Arial" w:cs="Arial"/>
              </w:rPr>
              <w:t>.0</w:t>
            </w:r>
            <w:r w:rsidRPr="00701017">
              <w:rPr>
                <w:rFonts w:ascii="Arial" w:hAnsi="Arial" w:cs="Arial"/>
              </w:rPr>
              <w:t>c</w:t>
            </w:r>
          </w:p>
        </w:tc>
        <w:tc>
          <w:tcPr>
            <w:tcW w:w="1034" w:type="dxa"/>
            <w:shd w:val="clear" w:color="auto" w:fill="auto"/>
            <w:noWrap/>
            <w:vAlign w:val="bottom"/>
            <w:hideMark/>
          </w:tcPr>
          <w:p w14:paraId="5BA9465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6.6b</w:t>
            </w:r>
          </w:p>
        </w:tc>
        <w:tc>
          <w:tcPr>
            <w:tcW w:w="1051" w:type="dxa"/>
            <w:shd w:val="clear" w:color="auto" w:fill="auto"/>
            <w:noWrap/>
            <w:vAlign w:val="bottom"/>
            <w:hideMark/>
          </w:tcPr>
          <w:p w14:paraId="07FC703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1416.2c</w:t>
            </w:r>
          </w:p>
        </w:tc>
      </w:tr>
      <w:tr w:rsidR="00701017" w:rsidRPr="00701017" w14:paraId="68A48E45" w14:textId="77777777" w:rsidTr="008E1480">
        <w:trPr>
          <w:trHeight w:val="297"/>
        </w:trPr>
        <w:tc>
          <w:tcPr>
            <w:tcW w:w="1608" w:type="dxa"/>
            <w:shd w:val="clear" w:color="auto" w:fill="auto"/>
            <w:noWrap/>
            <w:vAlign w:val="bottom"/>
            <w:hideMark/>
          </w:tcPr>
          <w:p w14:paraId="6C2BAA71"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10</w:t>
            </w:r>
            <w:r w:rsidR="00DF5064">
              <w:rPr>
                <w:rFonts w:ascii="Arial" w:hAnsi="Arial" w:cs="Arial"/>
                <w:color w:val="000000"/>
              </w:rPr>
              <w:t>.0</w:t>
            </w:r>
          </w:p>
        </w:tc>
        <w:tc>
          <w:tcPr>
            <w:tcW w:w="792" w:type="dxa"/>
            <w:shd w:val="clear" w:color="auto" w:fill="auto"/>
            <w:noWrap/>
            <w:vAlign w:val="bottom"/>
            <w:hideMark/>
          </w:tcPr>
          <w:p w14:paraId="6236A62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w:t>
            </w:r>
            <w:r w:rsidR="00DF5064">
              <w:rPr>
                <w:rFonts w:ascii="Arial" w:hAnsi="Arial" w:cs="Arial"/>
                <w:color w:val="000000"/>
              </w:rPr>
              <w:t>.0</w:t>
            </w:r>
            <w:r w:rsidRPr="00701017">
              <w:rPr>
                <w:rFonts w:ascii="Arial" w:hAnsi="Arial" w:cs="Arial"/>
                <w:color w:val="000000"/>
              </w:rPr>
              <w:t>b</w:t>
            </w:r>
          </w:p>
        </w:tc>
        <w:tc>
          <w:tcPr>
            <w:tcW w:w="1051" w:type="dxa"/>
            <w:shd w:val="clear" w:color="auto" w:fill="auto"/>
            <w:noWrap/>
            <w:vAlign w:val="bottom"/>
            <w:hideMark/>
          </w:tcPr>
          <w:p w14:paraId="65916F80" w14:textId="3EC2B47F" w:rsidR="007005A7" w:rsidRPr="00701017" w:rsidRDefault="006E1E09" w:rsidP="007005A7">
            <w:pPr>
              <w:spacing w:line="276" w:lineRule="auto"/>
              <w:jc w:val="center"/>
              <w:rPr>
                <w:rFonts w:ascii="Arial" w:hAnsi="Arial" w:cs="Arial"/>
                <w:color w:val="000000"/>
              </w:rPr>
            </w:pPr>
            <w:r>
              <w:rPr>
                <w:rFonts w:ascii="Arial" w:hAnsi="Arial" w:cs="Arial"/>
                <w:color w:val="000000"/>
              </w:rPr>
              <w:t>3.51</w:t>
            </w:r>
            <w:r w:rsidR="007005A7" w:rsidRPr="00701017">
              <w:rPr>
                <w:rFonts w:ascii="Arial" w:hAnsi="Arial" w:cs="Arial"/>
                <w:color w:val="000000"/>
              </w:rPr>
              <w:t>b</w:t>
            </w:r>
          </w:p>
        </w:tc>
        <w:tc>
          <w:tcPr>
            <w:tcW w:w="928" w:type="dxa"/>
            <w:shd w:val="clear" w:color="auto" w:fill="auto"/>
            <w:noWrap/>
            <w:vAlign w:val="bottom"/>
            <w:hideMark/>
          </w:tcPr>
          <w:p w14:paraId="176F5DF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22.57bc</w:t>
            </w:r>
          </w:p>
        </w:tc>
        <w:tc>
          <w:tcPr>
            <w:tcW w:w="1043" w:type="dxa"/>
            <w:shd w:val="clear" w:color="auto" w:fill="auto"/>
            <w:noWrap/>
            <w:vAlign w:val="bottom"/>
            <w:hideMark/>
          </w:tcPr>
          <w:p w14:paraId="267485C1"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208.</w:t>
            </w:r>
            <w:r w:rsidR="007005A7" w:rsidRPr="00701017">
              <w:rPr>
                <w:rFonts w:ascii="Arial" w:hAnsi="Arial" w:cs="Arial"/>
                <w:color w:val="000000"/>
              </w:rPr>
              <w:t>2c</w:t>
            </w:r>
          </w:p>
        </w:tc>
        <w:tc>
          <w:tcPr>
            <w:tcW w:w="1007" w:type="dxa"/>
            <w:shd w:val="clear" w:color="auto" w:fill="auto"/>
            <w:noWrap/>
            <w:vAlign w:val="bottom"/>
            <w:hideMark/>
          </w:tcPr>
          <w:p w14:paraId="5F3BF95B" w14:textId="77777777" w:rsidR="007005A7" w:rsidRPr="00701017" w:rsidRDefault="007005A7" w:rsidP="007005A7">
            <w:pPr>
              <w:spacing w:line="276" w:lineRule="auto"/>
              <w:jc w:val="center"/>
              <w:rPr>
                <w:rFonts w:ascii="Arial" w:hAnsi="Arial" w:cs="Arial"/>
              </w:rPr>
            </w:pPr>
            <w:r w:rsidRPr="00701017">
              <w:rPr>
                <w:rFonts w:ascii="Arial" w:hAnsi="Arial" w:cs="Arial"/>
              </w:rPr>
              <w:t>2599.8c</w:t>
            </w:r>
          </w:p>
        </w:tc>
        <w:tc>
          <w:tcPr>
            <w:tcW w:w="1034" w:type="dxa"/>
            <w:shd w:val="clear" w:color="auto" w:fill="auto"/>
            <w:noWrap/>
            <w:vAlign w:val="bottom"/>
            <w:hideMark/>
          </w:tcPr>
          <w:p w14:paraId="1AD9F36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6.2c</w:t>
            </w:r>
          </w:p>
        </w:tc>
        <w:tc>
          <w:tcPr>
            <w:tcW w:w="1051" w:type="dxa"/>
            <w:shd w:val="clear" w:color="auto" w:fill="auto"/>
            <w:noWrap/>
            <w:vAlign w:val="bottom"/>
            <w:hideMark/>
          </w:tcPr>
          <w:p w14:paraId="365B53A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1403.2c</w:t>
            </w:r>
          </w:p>
        </w:tc>
      </w:tr>
    </w:tbl>
    <w:p w14:paraId="0BF2E927" w14:textId="77777777" w:rsidR="007005A7" w:rsidRPr="00DF5064" w:rsidRDefault="007005A7" w:rsidP="00DF5064">
      <w:pPr>
        <w:jc w:val="both"/>
        <w:rPr>
          <w:rFonts w:ascii="Arial" w:hAnsi="Arial" w:cs="Arial"/>
          <w:sz w:val="18"/>
          <w:szCs w:val="18"/>
        </w:rPr>
      </w:pPr>
      <w:r w:rsidRPr="00DF5064">
        <w:rPr>
          <w:rFonts w:ascii="Arial" w:hAnsi="Arial" w:cs="Arial"/>
          <w:sz w:val="18"/>
          <w:szCs w:val="18"/>
          <w:lang w:val="en-ID"/>
        </w:rPr>
        <w:t>Note: Numbers followed by the same letter at the same column are not significantly different</w:t>
      </w:r>
      <w:r w:rsidR="00DF5064">
        <w:rPr>
          <w:rFonts w:ascii="Arial" w:hAnsi="Arial" w:cs="Arial"/>
          <w:sz w:val="18"/>
          <w:szCs w:val="18"/>
          <w:lang w:val="en-ID"/>
        </w:rPr>
        <w:t>. NF</w:t>
      </w:r>
      <w:r w:rsidRPr="00DF5064">
        <w:rPr>
          <w:rFonts w:ascii="Arial" w:hAnsi="Arial" w:cs="Arial"/>
          <w:sz w:val="18"/>
          <w:szCs w:val="18"/>
          <w:lang w:val="en-ID"/>
        </w:rPr>
        <w:t xml:space="preserve">: </w:t>
      </w:r>
      <w:r w:rsidRPr="00DF5064">
        <w:rPr>
          <w:rFonts w:ascii="Arial" w:hAnsi="Arial" w:cs="Arial"/>
          <w:sz w:val="18"/>
          <w:szCs w:val="18"/>
        </w:rPr>
        <w:t>Number of fruits</w:t>
      </w:r>
      <w:r w:rsidRPr="00DF5064">
        <w:rPr>
          <w:rFonts w:ascii="Arial" w:hAnsi="Arial" w:cs="Arial"/>
          <w:sz w:val="18"/>
          <w:szCs w:val="18"/>
          <w:lang w:val="en-ID"/>
        </w:rPr>
        <w:t xml:space="preserve">, FD: </w:t>
      </w:r>
      <w:r w:rsidRPr="00DF5064">
        <w:rPr>
          <w:rFonts w:ascii="Arial" w:hAnsi="Arial" w:cs="Arial"/>
          <w:sz w:val="18"/>
          <w:szCs w:val="18"/>
        </w:rPr>
        <w:t>Fruit diameter</w:t>
      </w:r>
      <w:r w:rsidRPr="00DF5064">
        <w:rPr>
          <w:rFonts w:ascii="Arial" w:hAnsi="Arial" w:cs="Arial"/>
          <w:sz w:val="18"/>
          <w:szCs w:val="18"/>
          <w:lang w:val="en-ID"/>
        </w:rPr>
        <w:t xml:space="preserve">, FL: </w:t>
      </w:r>
      <w:r w:rsidRPr="00DF5064">
        <w:rPr>
          <w:rFonts w:ascii="Arial" w:hAnsi="Arial" w:cs="Arial"/>
          <w:sz w:val="18"/>
          <w:szCs w:val="18"/>
        </w:rPr>
        <w:t>Fruit length, FWPF: Fruit weight per fruit, FWPP: Fruit weight per plant, NMF: Number of marketable fruits, WMF: Weight of marketable fruits</w:t>
      </w:r>
    </w:p>
    <w:p w14:paraId="00E728DB" w14:textId="77777777" w:rsidR="00DF5064" w:rsidRPr="00B54261" w:rsidRDefault="00DF5064" w:rsidP="007005A7">
      <w:pPr>
        <w:rPr>
          <w:rFonts w:ascii="Times New Roman" w:hAnsi="Times New Roman"/>
          <w:szCs w:val="24"/>
        </w:rPr>
      </w:pPr>
    </w:p>
    <w:p w14:paraId="3F170910" w14:textId="77777777" w:rsidR="007005A7" w:rsidRPr="00701017" w:rsidRDefault="007005A7" w:rsidP="007005A7">
      <w:pPr>
        <w:ind w:firstLine="567"/>
        <w:jc w:val="both"/>
        <w:rPr>
          <w:rFonts w:ascii="Arial" w:hAnsi="Arial" w:cs="Arial"/>
          <w:color w:val="000000" w:themeColor="text1"/>
        </w:rPr>
      </w:pPr>
      <w:r w:rsidRPr="00701017">
        <w:rPr>
          <w:rFonts w:ascii="Arial" w:hAnsi="Arial" w:cs="Arial"/>
          <w:color w:val="000000" w:themeColor="text1"/>
        </w:rPr>
        <w:t>The results show that cucumber plant height was highest in the control treatment (203.8 cm), while the</w:t>
      </w:r>
      <w:r w:rsidR="00BF0F0F">
        <w:rPr>
          <w:rFonts w:ascii="Arial" w:hAnsi="Arial" w:cs="Arial"/>
          <w:color w:val="000000" w:themeColor="text1"/>
        </w:rPr>
        <w:t xml:space="preserve"> lowest was observed at 2.5%</w:t>
      </w:r>
      <w:r w:rsidRPr="00701017">
        <w:rPr>
          <w:rFonts w:ascii="Arial" w:hAnsi="Arial" w:cs="Arial"/>
          <w:color w:val="000000" w:themeColor="text1"/>
        </w:rPr>
        <w:t xml:space="preserve">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concentration (170.76 cm). This indicates that lower concentrations can exert stronger allelopathic effects than higher ones.</w:t>
      </w:r>
      <w:r w:rsidR="00BF0F0F">
        <w:rPr>
          <w:rFonts w:ascii="Arial" w:hAnsi="Arial" w:cs="Arial"/>
          <w:color w:val="000000" w:themeColor="text1"/>
        </w:rPr>
        <w:t xml:space="preserve"> It is possible that at 2.5%</w:t>
      </w:r>
      <w:r w:rsidRPr="00701017">
        <w:rPr>
          <w:rFonts w:ascii="Arial" w:hAnsi="Arial" w:cs="Arial"/>
          <w:color w:val="000000" w:themeColor="text1"/>
        </w:rPr>
        <w:t>, allelochemicals are more readily absorbed by the plant, thus inhibiting growth more effectively. This suggests that the allelopathic effect is not always linear with concentration, as at higher levels, plants may begin to adapt, or the active compounds may become less effective.</w:t>
      </w:r>
    </w:p>
    <w:p w14:paraId="71C38ACB" w14:textId="0E42E432" w:rsidR="007005A7" w:rsidRPr="00701017" w:rsidRDefault="007005A7" w:rsidP="007005A7">
      <w:pPr>
        <w:ind w:firstLine="567"/>
        <w:jc w:val="both"/>
        <w:rPr>
          <w:rFonts w:ascii="Arial" w:hAnsi="Arial" w:cs="Arial"/>
        </w:rPr>
      </w:pPr>
      <w:r w:rsidRPr="00701017">
        <w:rPr>
          <w:rFonts w:ascii="Arial" w:hAnsi="Arial" w:cs="Arial"/>
        </w:rPr>
        <w:t xml:space="preserve">The allelopathic effects of </w:t>
      </w:r>
      <w:proofErr w:type="spellStart"/>
      <w:r w:rsidRPr="00701017">
        <w:rPr>
          <w:rFonts w:ascii="Arial" w:hAnsi="Arial" w:cs="Arial"/>
        </w:rPr>
        <w:t>cogongrass</w:t>
      </w:r>
      <w:proofErr w:type="spellEnd"/>
      <w:r w:rsidRPr="00701017">
        <w:rPr>
          <w:rFonts w:ascii="Arial" w:hAnsi="Arial" w:cs="Arial"/>
        </w:rPr>
        <w:t xml:space="preserve"> significantly reduced cucumber growth and yield parameters comp</w:t>
      </w:r>
      <w:r w:rsidR="00BF0F0F">
        <w:rPr>
          <w:rFonts w:ascii="Arial" w:hAnsi="Arial" w:cs="Arial"/>
        </w:rPr>
        <w:t xml:space="preserve">ared to control plants. At 5% and 10% </w:t>
      </w:r>
      <w:r w:rsidRPr="00701017">
        <w:rPr>
          <w:rFonts w:ascii="Arial" w:hAnsi="Arial" w:cs="Arial"/>
        </w:rPr>
        <w:t xml:space="preserve">extract concentrations, plant height decreased by 13.6% and 15.68%, respectively. Leaf number and greenness were </w:t>
      </w:r>
      <w:r w:rsidR="00BF0F0F">
        <w:rPr>
          <w:rFonts w:ascii="Arial" w:hAnsi="Arial" w:cs="Arial"/>
        </w:rPr>
        <w:t>similarly inhibited, with 10%</w:t>
      </w:r>
      <w:r w:rsidRPr="00701017">
        <w:rPr>
          <w:rFonts w:ascii="Arial" w:hAnsi="Arial" w:cs="Arial"/>
        </w:rPr>
        <w:t xml:space="preserve"> concentration re</w:t>
      </w:r>
      <w:r w:rsidR="006E1E09">
        <w:rPr>
          <w:rFonts w:ascii="Arial" w:hAnsi="Arial" w:cs="Arial"/>
        </w:rPr>
        <w:t>ducing these parameters by 14.71</w:t>
      </w:r>
      <w:r w:rsidRPr="00701017">
        <w:rPr>
          <w:rFonts w:ascii="Arial" w:hAnsi="Arial" w:cs="Arial"/>
        </w:rPr>
        <w:t>% and 17.4%. Control plants averaged 27</w:t>
      </w:r>
      <w:r w:rsidRPr="00701017">
        <w:rPr>
          <w:rFonts w:ascii="Arial" w:hAnsi="Arial" w:cs="Arial"/>
          <w:color w:val="000000" w:themeColor="text1"/>
        </w:rPr>
        <w:t>.14 leaves,</w:t>
      </w:r>
      <w:r w:rsidR="00BF0F0F">
        <w:rPr>
          <w:rFonts w:ascii="Arial" w:hAnsi="Arial" w:cs="Arial"/>
          <w:color w:val="000000" w:themeColor="text1"/>
        </w:rPr>
        <w:t xml:space="preserve"> while those treated with 10%</w:t>
      </w:r>
      <w:r w:rsidRPr="00701017">
        <w:rPr>
          <w:rFonts w:ascii="Arial" w:hAnsi="Arial" w:cs="Arial"/>
          <w:color w:val="000000" w:themeColor="text1"/>
        </w:rPr>
        <w:t xml:space="preserve"> extract produced only 24.14 leaves. Under the 10% treatment, the leaf area was reduced to 56.9%.</w:t>
      </w:r>
    </w:p>
    <w:p w14:paraId="1125B652" w14:textId="0E55DC3B" w:rsidR="00C15A0D" w:rsidRPr="00701017" w:rsidRDefault="007005A7" w:rsidP="009168F5">
      <w:pPr>
        <w:spacing w:line="276" w:lineRule="auto"/>
        <w:ind w:firstLine="567"/>
        <w:jc w:val="both"/>
        <w:rPr>
          <w:rFonts w:ascii="Arial" w:hAnsi="Arial" w:cs="Arial"/>
        </w:rPr>
      </w:pPr>
      <w:r w:rsidRPr="00701017">
        <w:rPr>
          <w:rFonts w:ascii="Arial" w:hAnsi="Arial" w:cs="Arial"/>
        </w:rPr>
        <w:t xml:space="preserve">The observed growth suppression extended to biomass accumulation, with root and shoot dry weights declining significantly under </w:t>
      </w:r>
      <w:r w:rsidR="00BF0F0F">
        <w:rPr>
          <w:rFonts w:ascii="Arial" w:hAnsi="Arial" w:cs="Arial"/>
        </w:rPr>
        <w:t>allelopathic treatment. At 5% and 10%</w:t>
      </w:r>
      <w:r w:rsidRPr="00701017">
        <w:rPr>
          <w:rFonts w:ascii="Arial" w:hAnsi="Arial" w:cs="Arial"/>
        </w:rPr>
        <w:t xml:space="preserve"> concentrations, root dry weight decreased by 30.43% and 36.64%, while shoot dry weight declined by 29.3% and 38.5%, respectively. Control plants exhibited root and shoot dry weights of 1.</w:t>
      </w:r>
      <w:r w:rsidR="00BF0F0F">
        <w:rPr>
          <w:rFonts w:ascii="Arial" w:hAnsi="Arial" w:cs="Arial"/>
        </w:rPr>
        <w:t>61 g and 33.75 g, whereas 10%</w:t>
      </w:r>
      <w:r w:rsidRPr="00701017">
        <w:rPr>
          <w:rFonts w:ascii="Arial" w:hAnsi="Arial" w:cs="Arial"/>
        </w:rPr>
        <w:t xml:space="preserve"> allelopathic treatment reduced these values to 1.02 g (roots) and 20.7</w:t>
      </w:r>
      <w:r w:rsidR="00BF0F0F">
        <w:rPr>
          <w:rFonts w:ascii="Arial" w:hAnsi="Arial" w:cs="Arial"/>
        </w:rPr>
        <w:t>3 g (shoots). Intermediate 5%</w:t>
      </w:r>
      <w:r w:rsidRPr="00701017">
        <w:rPr>
          <w:rFonts w:ascii="Arial" w:hAnsi="Arial" w:cs="Arial"/>
        </w:rPr>
        <w:t xml:space="preserve"> concentration decreased shoot biomass to 23.85 g.</w:t>
      </w:r>
    </w:p>
    <w:p w14:paraId="6ED024B4" w14:textId="5926007A" w:rsidR="007005A7" w:rsidRPr="00701017" w:rsidRDefault="007005A7" w:rsidP="007005A7">
      <w:pPr>
        <w:widowControl w:val="0"/>
        <w:spacing w:line="276" w:lineRule="auto"/>
        <w:ind w:firstLine="567"/>
        <w:jc w:val="both"/>
        <w:rPr>
          <w:rFonts w:ascii="Arial" w:hAnsi="Arial" w:cs="Arial"/>
        </w:rPr>
      </w:pPr>
      <w:proofErr w:type="spellStart"/>
      <w:r w:rsidRPr="00701017">
        <w:rPr>
          <w:rFonts w:ascii="Arial" w:hAnsi="Arial" w:cs="Arial"/>
        </w:rPr>
        <w:t>Cogongrass</w:t>
      </w:r>
      <w:proofErr w:type="spellEnd"/>
      <w:r w:rsidRPr="00701017">
        <w:rPr>
          <w:rFonts w:ascii="Arial" w:hAnsi="Arial" w:cs="Arial"/>
        </w:rPr>
        <w:t xml:space="preserve"> allelopathic extracts significantly inhibit root development and vegetative growth in cucumber, as evidenced by reduced plant height, leaf number, and biomass accumulation. These growth suppressions suggest impaired physiological functions</w:t>
      </w:r>
      <w:r w:rsidR="00067046">
        <w:rPr>
          <w:rFonts w:ascii="Arial" w:hAnsi="Arial" w:cs="Arial"/>
        </w:rPr>
        <w:t>, particularly in ATP synthesis as</w:t>
      </w:r>
      <w:r w:rsidRPr="00701017">
        <w:rPr>
          <w:rFonts w:ascii="Arial" w:hAnsi="Arial" w:cs="Arial"/>
        </w:rPr>
        <w:t xml:space="preserve"> critical energy transduction process. The observed effects likely result from </w:t>
      </w:r>
      <w:proofErr w:type="spellStart"/>
      <w:r w:rsidRPr="00701017">
        <w:rPr>
          <w:rFonts w:ascii="Arial" w:hAnsi="Arial" w:cs="Arial"/>
        </w:rPr>
        <w:t>cogongrass</w:t>
      </w:r>
      <w:proofErr w:type="spellEnd"/>
      <w:r w:rsidRPr="00701017">
        <w:rPr>
          <w:rFonts w:ascii="Arial" w:hAnsi="Arial" w:cs="Arial"/>
        </w:rPr>
        <w:t xml:space="preserve"> secondary metabolites interfering with photosynthetic efficiency and energy metabolism (</w:t>
      </w:r>
      <w:proofErr w:type="spellStart"/>
      <w:r w:rsidRPr="00701017">
        <w:rPr>
          <w:rFonts w:ascii="Arial" w:hAnsi="Arial" w:cs="Arial"/>
        </w:rPr>
        <w:t>Lotina-Hennsen</w:t>
      </w:r>
      <w:proofErr w:type="spellEnd"/>
      <w:r w:rsidRPr="00701017">
        <w:rPr>
          <w:rFonts w:ascii="Arial" w:hAnsi="Arial" w:cs="Arial"/>
        </w:rPr>
        <w:t xml:space="preserve"> </w:t>
      </w:r>
      <w:r w:rsidR="003A0BD8" w:rsidRPr="003A0BD8">
        <w:rPr>
          <w:rFonts w:ascii="Arial" w:hAnsi="Arial" w:cs="Arial"/>
          <w:i/>
          <w:iCs/>
        </w:rPr>
        <w:t>et al</w:t>
      </w:r>
      <w:r w:rsidRPr="00701017">
        <w:rPr>
          <w:rFonts w:ascii="Arial" w:hAnsi="Arial" w:cs="Arial"/>
        </w:rPr>
        <w:t>., 2006).</w:t>
      </w:r>
    </w:p>
    <w:p w14:paraId="421D0115" w14:textId="3F088452" w:rsidR="00AD04CD" w:rsidRPr="00C15A0D" w:rsidRDefault="00067046" w:rsidP="007005A7">
      <w:pPr>
        <w:widowControl w:val="0"/>
        <w:autoSpaceDE w:val="0"/>
        <w:autoSpaceDN w:val="0"/>
        <w:adjustRightInd w:val="0"/>
        <w:jc w:val="both"/>
        <w:rPr>
          <w:rFonts w:ascii="Arial" w:hAnsi="Arial" w:cs="Arial"/>
        </w:rPr>
      </w:pPr>
      <w:r>
        <w:rPr>
          <w:rFonts w:ascii="Arial" w:hAnsi="Arial" w:cs="Arial"/>
        </w:rPr>
        <w:lastRenderedPageBreak/>
        <w:tab/>
      </w:r>
      <w:proofErr w:type="spellStart"/>
      <w:r w:rsidR="007005A7" w:rsidRPr="00701017">
        <w:rPr>
          <w:rFonts w:ascii="Arial" w:hAnsi="Arial" w:cs="Arial"/>
        </w:rPr>
        <w:t>Cogongrass</w:t>
      </w:r>
      <w:proofErr w:type="spellEnd"/>
      <w:r w:rsidR="007005A7" w:rsidRPr="00701017">
        <w:rPr>
          <w:rFonts w:ascii="Arial" w:hAnsi="Arial" w:cs="Arial"/>
        </w:rPr>
        <w:t xml:space="preserve"> extract similarly inh</w:t>
      </w:r>
      <w:r w:rsidR="00EA019B">
        <w:rPr>
          <w:rFonts w:ascii="Arial" w:hAnsi="Arial" w:cs="Arial"/>
        </w:rPr>
        <w:t xml:space="preserve">ibited growth parameters in </w:t>
      </w:r>
      <w:r w:rsidR="007005A7" w:rsidRPr="00701017">
        <w:rPr>
          <w:rFonts w:ascii="Arial" w:hAnsi="Arial" w:cs="Arial"/>
        </w:rPr>
        <w:t>pepper (</w:t>
      </w:r>
      <w:r w:rsidR="007005A7" w:rsidRPr="00701017">
        <w:rPr>
          <w:rFonts w:ascii="Arial" w:hAnsi="Arial" w:cs="Arial"/>
          <w:i/>
        </w:rPr>
        <w:t>Capsicum</w:t>
      </w:r>
      <w:r w:rsidR="007005A7" w:rsidRPr="00701017">
        <w:rPr>
          <w:rFonts w:ascii="Arial" w:hAnsi="Arial" w:cs="Arial"/>
        </w:rPr>
        <w:t xml:space="preserve"> </w:t>
      </w:r>
      <w:r w:rsidR="007005A7" w:rsidRPr="00701017">
        <w:rPr>
          <w:rFonts w:ascii="Arial" w:hAnsi="Arial" w:cs="Arial"/>
          <w:i/>
        </w:rPr>
        <w:t>annuum</w:t>
      </w:r>
      <w:r w:rsidR="007005A7" w:rsidRPr="00701017">
        <w:rPr>
          <w:rFonts w:ascii="Arial" w:hAnsi="Arial" w:cs="Arial"/>
        </w:rPr>
        <w:t xml:space="preserve"> L.), significantly reducing plant height and leaf number (Rahmawati </w:t>
      </w:r>
      <w:r w:rsidR="003A0BD8" w:rsidRPr="003A0BD8">
        <w:rPr>
          <w:rFonts w:ascii="Arial" w:hAnsi="Arial" w:cs="Arial"/>
          <w:i/>
          <w:iCs/>
        </w:rPr>
        <w:t>et al</w:t>
      </w:r>
      <w:r w:rsidR="007005A7" w:rsidRPr="00701017">
        <w:rPr>
          <w:rFonts w:ascii="Arial" w:hAnsi="Arial" w:cs="Arial"/>
        </w:rPr>
        <w:t xml:space="preserve">., 2024). The phytotoxic effects are mediated primarily by phenolic allelochemicals that disrupt multiple physiological </w:t>
      </w:r>
      <w:r w:rsidR="007005A7" w:rsidRPr="00701017">
        <w:rPr>
          <w:rFonts w:ascii="Arial" w:hAnsi="Arial" w:cs="Arial"/>
          <w:bCs/>
        </w:rPr>
        <w:t>processes</w:t>
      </w:r>
      <w:r w:rsidR="007005A7" w:rsidRPr="00701017">
        <w:rPr>
          <w:rFonts w:ascii="Arial" w:hAnsi="Arial" w:cs="Arial"/>
        </w:rPr>
        <w:t xml:space="preserve"> by impairing water/nutrient uptake and gas exchange, compromising membrane integrity, inhibiting cell division, and suppressing key enzyme activities (ATPase, peroxidase) </w:t>
      </w:r>
      <w:r w:rsidR="007005A7" w:rsidRPr="00701017">
        <w:rPr>
          <w:rFonts w:ascii="Arial" w:hAnsi="Arial" w:cs="Arial"/>
        </w:rPr>
        <w:fldChar w:fldCharType="begin" w:fldLock="1"/>
      </w:r>
      <w:r w:rsidR="007005A7" w:rsidRPr="00701017">
        <w:rPr>
          <w:rFonts w:ascii="Arial" w:hAnsi="Arial" w:cs="Arial"/>
        </w:rPr>
        <w:instrText>ADDIN CSL_CITATION {"citationItems":[{"id":"ITEM-1","itemData":{"DOI":"10.3390/molecules15128933","author":[{"dropping-particle":"","family":"Li","given":"Zhao-Hui","non-dropping-particle":"","parse-names":false,"suffix":""},{"dropping-particle":"","family":"Wang","given":"Qiang","non-dropping-particle":"","parse-names":false,"suffix":""},{"dropping-particle":"","family":"Ruan","given":"Xiao","non-dropping-particle":"","parse-names":false,"suffix":""},{"dropping-particle":"","family":"Pan","given":"Cun-De","non-dropping-particle":"","parse-names":false,"suffix":""},{"dropping-particle":"","family":"Jiang","given":"De-An","non-dropping-particle":"","parse-names":false,"suffix":""}],"container-title":"Molecules","id":"ITEM-1","issued":{"date-parts":[["2010"]]},"page":"8933-8952","title":"Phenolics and Plant Allelopathy","type":"article-journal","volume":"15"},"uris":["http://www.mendeley.com/documents/?uuid=a7dcd646-5b41-40b4-a50d-8d0f3b790ec9"]}],"mendeley":{"formattedCitation":"(Li et al., 2010)","plainTextFormattedCitation":"(Li et al., 2010)","previouslyFormattedCitation":"(Li et al., 2010)"},"properties":{"noteIndex":0},"schema":"https://github.com/citation-style-language/schema/raw/master/csl-citation.json"}</w:instrText>
      </w:r>
      <w:r w:rsidR="007005A7" w:rsidRPr="00701017">
        <w:rPr>
          <w:rFonts w:ascii="Arial" w:hAnsi="Arial" w:cs="Arial"/>
        </w:rPr>
        <w:fldChar w:fldCharType="separate"/>
      </w:r>
      <w:r w:rsidR="007005A7" w:rsidRPr="00701017">
        <w:rPr>
          <w:rFonts w:ascii="Arial" w:hAnsi="Arial" w:cs="Arial"/>
          <w:noProof/>
        </w:rPr>
        <w:t xml:space="preserve">(Li </w:t>
      </w:r>
      <w:r w:rsidR="003A0BD8" w:rsidRPr="003A0BD8">
        <w:rPr>
          <w:rFonts w:ascii="Arial" w:hAnsi="Arial" w:cs="Arial"/>
          <w:i/>
          <w:iCs/>
          <w:noProof/>
        </w:rPr>
        <w:t>et al</w:t>
      </w:r>
      <w:r w:rsidR="007005A7" w:rsidRPr="00701017">
        <w:rPr>
          <w:rFonts w:ascii="Arial" w:hAnsi="Arial" w:cs="Arial"/>
          <w:noProof/>
        </w:rPr>
        <w:t>., 2010)</w:t>
      </w:r>
      <w:r w:rsidR="007005A7" w:rsidRPr="00701017">
        <w:rPr>
          <w:rFonts w:ascii="Arial" w:hAnsi="Arial" w:cs="Arial"/>
        </w:rPr>
        <w:fldChar w:fldCharType="end"/>
      </w:r>
      <w:r w:rsidR="007005A7" w:rsidRPr="00701017">
        <w:rPr>
          <w:rFonts w:ascii="Arial" w:hAnsi="Arial" w:cs="Arial"/>
        </w:rPr>
        <w:t xml:space="preserve">. These collective disruptions lead to photosynthetic inhibition, evidenced by decreased chlorophyll content (particularly at 10% concentration), </w:t>
      </w:r>
      <w:r w:rsidR="00EA019B">
        <w:rPr>
          <w:rFonts w:ascii="Arial" w:hAnsi="Arial" w:cs="Arial"/>
        </w:rPr>
        <w:t xml:space="preserve">finally </w:t>
      </w:r>
      <w:r w:rsidR="007005A7" w:rsidRPr="00701017">
        <w:rPr>
          <w:rFonts w:ascii="Arial" w:hAnsi="Arial" w:cs="Arial"/>
        </w:rPr>
        <w:t>constraining plant growth.</w:t>
      </w:r>
    </w:p>
    <w:p w14:paraId="6DBF477C" w14:textId="77777777" w:rsidR="007005A7" w:rsidRPr="00701017" w:rsidRDefault="007005A7" w:rsidP="005119EF">
      <w:pPr>
        <w:widowControl w:val="0"/>
        <w:autoSpaceDE w:val="0"/>
        <w:autoSpaceDN w:val="0"/>
        <w:adjustRightInd w:val="0"/>
        <w:ind w:firstLine="567"/>
        <w:jc w:val="both"/>
        <w:rPr>
          <w:rFonts w:ascii="Arial" w:hAnsi="Arial" w:cs="Arial"/>
          <w:color w:val="FF0000"/>
        </w:rPr>
      </w:pPr>
      <w:r w:rsidRPr="00701017">
        <w:rPr>
          <w:rFonts w:ascii="Arial" w:hAnsi="Arial" w:cs="Arial"/>
        </w:rPr>
        <w:t xml:space="preserve">The photosynthetic impairment significantly reduced both fruit yield and quality, exhibiting concentration-dependent inhibition. Crop productivity - including fruit dimensions (diameter/length), fruit number per plant, and fruit weight - declined progressively with increasing </w:t>
      </w:r>
      <w:proofErr w:type="spellStart"/>
      <w:r w:rsidRPr="00701017">
        <w:rPr>
          <w:rFonts w:ascii="Arial" w:hAnsi="Arial" w:cs="Arial"/>
        </w:rPr>
        <w:t>cogongrass</w:t>
      </w:r>
      <w:proofErr w:type="spellEnd"/>
      <w:r w:rsidRPr="00701017">
        <w:rPr>
          <w:rFonts w:ascii="Arial" w:hAnsi="Arial" w:cs="Arial"/>
        </w:rPr>
        <w:t xml:space="preserve"> extract conc</w:t>
      </w:r>
      <w:r w:rsidR="00BF0F0F">
        <w:rPr>
          <w:rFonts w:ascii="Arial" w:hAnsi="Arial" w:cs="Arial"/>
        </w:rPr>
        <w:t xml:space="preserve">entration. Control plants (0% </w:t>
      </w:r>
      <w:r w:rsidRPr="00701017">
        <w:rPr>
          <w:rFonts w:ascii="Arial" w:hAnsi="Arial" w:cs="Arial"/>
        </w:rPr>
        <w:t>extract) produced optimall</w:t>
      </w:r>
      <w:r w:rsidR="00BF0F0F">
        <w:rPr>
          <w:rFonts w:ascii="Arial" w:hAnsi="Arial" w:cs="Arial"/>
        </w:rPr>
        <w:t xml:space="preserve">y weighted fruits, while 10% </w:t>
      </w:r>
      <w:r w:rsidRPr="00701017">
        <w:rPr>
          <w:rFonts w:ascii="Arial" w:hAnsi="Arial" w:cs="Arial"/>
        </w:rPr>
        <w:t xml:space="preserve">treatment caused drastic weight reduction. Marketable fruit yield decreased by approximately 50%, demonstrating substantial harvest losses. The 10% </w:t>
      </w:r>
      <w:proofErr w:type="spellStart"/>
      <w:r w:rsidRPr="00701017">
        <w:rPr>
          <w:rFonts w:ascii="Arial" w:hAnsi="Arial" w:cs="Arial"/>
        </w:rPr>
        <w:t>cogongrass</w:t>
      </w:r>
      <w:proofErr w:type="spellEnd"/>
      <w:r w:rsidRPr="00701017">
        <w:rPr>
          <w:rFonts w:ascii="Arial" w:hAnsi="Arial" w:cs="Arial"/>
        </w:rPr>
        <w:t xml:space="preserve"> extract treatment significantly reduced root and shoot dry weights, demonstrating impaired biomass accumulation due to photosynthetic </w:t>
      </w:r>
      <w:r w:rsidR="005119EF">
        <w:rPr>
          <w:rFonts w:ascii="Arial" w:hAnsi="Arial" w:cs="Arial"/>
        </w:rPr>
        <w:t>inhibition. The altered shoot</w:t>
      </w:r>
      <w:r w:rsidRPr="00701017">
        <w:rPr>
          <w:rFonts w:ascii="Arial" w:hAnsi="Arial" w:cs="Arial"/>
        </w:rPr>
        <w:t>-root ratio revealed disrupted vegetative growth partitioning, indicative of allelochemical-induced physiological stress.</w:t>
      </w:r>
    </w:p>
    <w:p w14:paraId="5E265D7A" w14:textId="77777777" w:rsidR="007005A7" w:rsidRPr="00701017" w:rsidRDefault="005119EF" w:rsidP="005119EF">
      <w:pPr>
        <w:widowControl w:val="0"/>
        <w:spacing w:line="276" w:lineRule="auto"/>
        <w:ind w:firstLine="567"/>
        <w:jc w:val="both"/>
        <w:rPr>
          <w:rFonts w:ascii="Arial" w:hAnsi="Arial" w:cs="Arial"/>
        </w:rPr>
      </w:pPr>
      <w:r>
        <w:rPr>
          <w:rFonts w:ascii="Arial" w:hAnsi="Arial" w:cs="Arial"/>
          <w:color w:val="000000" w:themeColor="text1"/>
        </w:rPr>
        <w:t>The shoot</w:t>
      </w:r>
      <w:r w:rsidR="007005A7" w:rsidRPr="00701017">
        <w:rPr>
          <w:rFonts w:ascii="Arial" w:hAnsi="Arial" w:cs="Arial"/>
          <w:color w:val="000000" w:themeColor="text1"/>
        </w:rPr>
        <w:t xml:space="preserve">-root ratio exhibited a </w:t>
      </w:r>
      <w:r w:rsidR="00BF0F0F">
        <w:rPr>
          <w:rFonts w:ascii="Arial" w:hAnsi="Arial" w:cs="Arial"/>
          <w:color w:val="000000" w:themeColor="text1"/>
        </w:rPr>
        <w:t>slight decrease under the 10%</w:t>
      </w:r>
      <w:r w:rsidR="007005A7" w:rsidRPr="00701017">
        <w:rPr>
          <w:rFonts w:ascii="Arial" w:hAnsi="Arial" w:cs="Arial"/>
          <w:color w:val="000000" w:themeColor="text1"/>
        </w:rPr>
        <w:t xml:space="preserve"> treatment, suggesting an imbalance between shoot and root growth as a result of the allelopathic effects of </w:t>
      </w:r>
      <w:proofErr w:type="spellStart"/>
      <w:r>
        <w:rPr>
          <w:rFonts w:ascii="Arial" w:hAnsi="Arial" w:cs="Arial"/>
          <w:iCs/>
          <w:color w:val="000000" w:themeColor="text1"/>
        </w:rPr>
        <w:t>cogongrass</w:t>
      </w:r>
      <w:proofErr w:type="spellEnd"/>
      <w:r>
        <w:rPr>
          <w:rFonts w:ascii="Arial" w:hAnsi="Arial" w:cs="Arial"/>
        </w:rPr>
        <w:t>. In this study, the shoot</w:t>
      </w:r>
      <w:r w:rsidR="007005A7" w:rsidRPr="00701017">
        <w:rPr>
          <w:rFonts w:ascii="Arial" w:hAnsi="Arial" w:cs="Arial"/>
        </w:rPr>
        <w:t>-root ratio ranged from 18.594 to 21.194. A higher ratio suggests that the plant allocates a greater proportion of its photosynthates to shoot development rather than to root growth. Conversely, a lower ratio (approaching 1 or even less than 1) indicates a dominant allocation to root development, or at least a relatively balanced distribution between shoots and roots.</w:t>
      </w:r>
    </w:p>
    <w:p w14:paraId="00DCEDDC" w14:textId="0CC10B6E" w:rsidR="007005A7" w:rsidRPr="00701017" w:rsidRDefault="007005A7" w:rsidP="007005A7">
      <w:pPr>
        <w:widowControl w:val="0"/>
        <w:spacing w:line="276" w:lineRule="auto"/>
        <w:ind w:firstLine="567"/>
        <w:jc w:val="both"/>
        <w:rPr>
          <w:rFonts w:ascii="Arial" w:hAnsi="Arial" w:cs="Arial"/>
        </w:rPr>
      </w:pPr>
      <w:r w:rsidRPr="00701017">
        <w:rPr>
          <w:rFonts w:ascii="Arial" w:hAnsi="Arial" w:cs="Arial"/>
          <w:color w:val="000000" w:themeColor="text1"/>
        </w:rPr>
        <w:t xml:space="preserve">The results demonstrated differential effects of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on growth </w:t>
      </w:r>
      <w:r w:rsidR="008A1308">
        <w:rPr>
          <w:rFonts w:ascii="Arial" w:hAnsi="Arial" w:cs="Arial"/>
        </w:rPr>
        <w:t xml:space="preserve">parameters, </w:t>
      </w:r>
      <w:r w:rsidR="00302093">
        <w:rPr>
          <w:rFonts w:ascii="Arial" w:hAnsi="Arial" w:cs="Arial"/>
        </w:rPr>
        <w:t>RSW (Relative shoot w</w:t>
      </w:r>
      <w:r w:rsidRPr="00701017">
        <w:rPr>
          <w:rFonts w:ascii="Arial" w:hAnsi="Arial" w:cs="Arial"/>
        </w:rPr>
        <w:t xml:space="preserve">eight) </w:t>
      </w:r>
      <w:r w:rsidRPr="00701017">
        <w:rPr>
          <w:rFonts w:ascii="Arial" w:hAnsi="Arial" w:cs="Arial"/>
          <w:color w:val="000000" w:themeColor="text1"/>
        </w:rPr>
        <w:t xml:space="preserve">remained stable (84% control vs. 84,4% at 10% </w:t>
      </w:r>
      <w:r w:rsidRPr="00701017">
        <w:rPr>
          <w:rFonts w:ascii="Arial" w:hAnsi="Arial" w:cs="Arial"/>
        </w:rPr>
        <w:t>extract),</w:t>
      </w:r>
      <w:r w:rsidR="00302093">
        <w:rPr>
          <w:rFonts w:ascii="Arial" w:hAnsi="Arial" w:cs="Arial"/>
        </w:rPr>
        <w:t xml:space="preserve"> while RRSW (Relative root </w:t>
      </w:r>
      <w:r w:rsidR="008A1308">
        <w:rPr>
          <w:rFonts w:ascii="Arial" w:hAnsi="Arial" w:cs="Arial"/>
        </w:rPr>
        <w:t>shoot w</w:t>
      </w:r>
      <w:r w:rsidRPr="00701017">
        <w:rPr>
          <w:rFonts w:ascii="Arial" w:hAnsi="Arial" w:cs="Arial"/>
        </w:rPr>
        <w:t>eight) showed a significant decline from 50.</w:t>
      </w:r>
      <w:r w:rsidR="00BF0F0F">
        <w:rPr>
          <w:rFonts w:ascii="Arial" w:hAnsi="Arial" w:cs="Arial"/>
        </w:rPr>
        <w:t>152% (control) to 47.76% (10%</w:t>
      </w:r>
      <w:r w:rsidRPr="00701017">
        <w:rPr>
          <w:rFonts w:ascii="Arial" w:hAnsi="Arial" w:cs="Arial"/>
        </w:rPr>
        <w:t xml:space="preserve"> treatment), indicating impaired root function. Concentration-dependent reductions wer</w:t>
      </w:r>
      <w:r w:rsidR="00BF0F0F">
        <w:rPr>
          <w:rFonts w:ascii="Arial" w:hAnsi="Arial" w:cs="Arial"/>
        </w:rPr>
        <w:t>e observed at ≥2.5%</w:t>
      </w:r>
      <w:r w:rsidRPr="00701017">
        <w:rPr>
          <w:rFonts w:ascii="Arial" w:hAnsi="Arial" w:cs="Arial"/>
        </w:rPr>
        <w:t xml:space="preserve"> extract, with RSW decreasing sharply (88% at 2.5%</w:t>
      </w:r>
      <w:r w:rsidR="00BF0F0F">
        <w:rPr>
          <w:rFonts w:ascii="Arial" w:hAnsi="Arial" w:cs="Arial"/>
        </w:rPr>
        <w:t xml:space="preserve"> to 80.2% at 5%</w:t>
      </w:r>
      <w:r w:rsidRPr="00701017">
        <w:rPr>
          <w:rFonts w:ascii="Arial" w:hAnsi="Arial" w:cs="Arial"/>
        </w:rPr>
        <w:t>) and RRSW showing milder but progressive declines (9.89% at 2.5% to 9% at 5%), collectively confirming the extract's phytotoxic impact on plant physiological efficiency through allelochemical interference, particularly in root water/nutrient uptake.</w:t>
      </w:r>
    </w:p>
    <w:p w14:paraId="369DD0E9" w14:textId="77777777" w:rsidR="00790ADA" w:rsidRPr="007005A7" w:rsidRDefault="00790ADA" w:rsidP="00441B6F">
      <w:pPr>
        <w:pStyle w:val="Head1"/>
        <w:spacing w:after="0"/>
        <w:jc w:val="both"/>
        <w:rPr>
          <w:rFonts w:ascii="Arial" w:hAnsi="Arial" w:cs="Arial"/>
          <w:sz w:val="18"/>
        </w:rPr>
      </w:pPr>
    </w:p>
    <w:p w14:paraId="5F6459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BC2E2B" w14:textId="77777777" w:rsidR="00042AF1" w:rsidRDefault="00042AF1" w:rsidP="00A7627B">
      <w:pPr>
        <w:pStyle w:val="ReferHead"/>
        <w:spacing w:after="0"/>
        <w:ind w:firstLine="720"/>
        <w:jc w:val="both"/>
        <w:rPr>
          <w:rFonts w:ascii="Arial" w:hAnsi="Arial" w:cs="Arial"/>
          <w:b w:val="0"/>
          <w:iCs/>
          <w:caps w:val="0"/>
          <w:sz w:val="20"/>
        </w:rPr>
      </w:pPr>
      <w:r w:rsidRPr="00042AF1">
        <w:rPr>
          <w:rFonts w:ascii="Arial" w:hAnsi="Arial" w:cs="Arial"/>
          <w:b w:val="0"/>
          <w:iCs/>
          <w:caps w:val="0"/>
          <w:sz w:val="20"/>
        </w:rPr>
        <w:t xml:space="preserve">The study demonstrates that </w:t>
      </w:r>
      <w:proofErr w:type="spellStart"/>
      <w:r w:rsidRPr="00042AF1">
        <w:rPr>
          <w:rFonts w:ascii="Arial" w:hAnsi="Arial" w:cs="Arial"/>
          <w:b w:val="0"/>
          <w:iCs/>
          <w:caps w:val="0"/>
          <w:sz w:val="20"/>
        </w:rPr>
        <w:t>cogongrass</w:t>
      </w:r>
      <w:proofErr w:type="spellEnd"/>
      <w:r w:rsidRPr="00042AF1">
        <w:rPr>
          <w:rFonts w:ascii="Arial" w:hAnsi="Arial" w:cs="Arial"/>
          <w:b w:val="0"/>
          <w:iCs/>
          <w:caps w:val="0"/>
          <w:sz w:val="20"/>
        </w:rPr>
        <w:t xml:space="preserve"> (</w:t>
      </w:r>
      <w:proofErr w:type="spellStart"/>
      <w:r w:rsidRPr="005C6B7A">
        <w:rPr>
          <w:rFonts w:ascii="Arial" w:hAnsi="Arial" w:cs="Arial"/>
          <w:b w:val="0"/>
          <w:i/>
          <w:iCs/>
          <w:caps w:val="0"/>
          <w:sz w:val="20"/>
        </w:rPr>
        <w:t>Imperata</w:t>
      </w:r>
      <w:proofErr w:type="spellEnd"/>
      <w:r w:rsidRPr="005C6B7A">
        <w:rPr>
          <w:rFonts w:ascii="Arial" w:hAnsi="Arial" w:cs="Arial"/>
          <w:b w:val="0"/>
          <w:i/>
          <w:iCs/>
          <w:caps w:val="0"/>
          <w:sz w:val="20"/>
        </w:rPr>
        <w:t xml:space="preserve"> cylindrica</w:t>
      </w:r>
      <w:r w:rsidRPr="00042AF1">
        <w:rPr>
          <w:rFonts w:ascii="Arial" w:hAnsi="Arial" w:cs="Arial"/>
          <w:b w:val="0"/>
          <w:iCs/>
          <w:caps w:val="0"/>
          <w:sz w:val="20"/>
        </w:rPr>
        <w:t xml:space="preserve"> L.) extract exhibits significant allelopathic effects on cucumber (</w:t>
      </w:r>
      <w:r w:rsidRPr="005C6B7A">
        <w:rPr>
          <w:rFonts w:ascii="Arial" w:hAnsi="Arial" w:cs="Arial"/>
          <w:b w:val="0"/>
          <w:i/>
          <w:iCs/>
          <w:caps w:val="0"/>
          <w:sz w:val="20"/>
        </w:rPr>
        <w:t>Cucumis sativus</w:t>
      </w:r>
      <w:r w:rsidRPr="00042AF1">
        <w:rPr>
          <w:rFonts w:ascii="Arial" w:hAnsi="Arial" w:cs="Arial"/>
          <w:b w:val="0"/>
          <w:iCs/>
          <w:caps w:val="0"/>
          <w:sz w:val="20"/>
        </w:rPr>
        <w:t xml:space="preserve"> L.). The IC</w:t>
      </w:r>
      <w:r w:rsidRPr="00042AF1">
        <w:rPr>
          <w:rFonts w:ascii="Cambria Math" w:hAnsi="Cambria Math" w:cs="Cambria Math"/>
          <w:b w:val="0"/>
          <w:iCs/>
          <w:caps w:val="0"/>
          <w:sz w:val="20"/>
        </w:rPr>
        <w:t>₅₀</w:t>
      </w:r>
      <w:r w:rsidR="002C1013">
        <w:rPr>
          <w:rFonts w:ascii="Arial" w:hAnsi="Arial" w:cs="Arial"/>
          <w:b w:val="0"/>
          <w:iCs/>
          <w:caps w:val="0"/>
          <w:sz w:val="20"/>
        </w:rPr>
        <w:t xml:space="preserve"> value of 6.33% </w:t>
      </w:r>
      <w:r w:rsidRPr="00042AF1">
        <w:rPr>
          <w:rFonts w:ascii="Arial" w:hAnsi="Arial" w:cs="Arial"/>
          <w:b w:val="0"/>
          <w:iCs/>
          <w:caps w:val="0"/>
          <w:sz w:val="20"/>
        </w:rPr>
        <w:t xml:space="preserve">based on abnormal seedling percentage indicates that even low concentrations of the extract can severely inhibit early seedling development. Laboratory and greenhouse evaluations confirmed that higher concentrations (especially 10%) markedly reduced germination, growth, and yield components, including leaf greenness and fruit weight per plant. The results suggest that </w:t>
      </w:r>
      <w:proofErr w:type="spellStart"/>
      <w:r w:rsidRPr="00042AF1">
        <w:rPr>
          <w:rFonts w:ascii="Arial" w:hAnsi="Arial" w:cs="Arial"/>
          <w:b w:val="0"/>
          <w:iCs/>
          <w:caps w:val="0"/>
          <w:sz w:val="20"/>
        </w:rPr>
        <w:t>cogongrass</w:t>
      </w:r>
      <w:proofErr w:type="spellEnd"/>
      <w:r w:rsidRPr="00042AF1">
        <w:rPr>
          <w:rFonts w:ascii="Arial" w:hAnsi="Arial" w:cs="Arial"/>
          <w:b w:val="0"/>
          <w:iCs/>
          <w:caps w:val="0"/>
          <w:sz w:val="20"/>
        </w:rPr>
        <w:t xml:space="preserve"> contains potent allelochemicals—likely phenols, flavonoids, and alkaloids—that interfere with key physiological and metabolic processes in plants. These findings highlight </w:t>
      </w:r>
      <w:proofErr w:type="spellStart"/>
      <w:r w:rsidRPr="00042AF1">
        <w:rPr>
          <w:rFonts w:ascii="Arial" w:hAnsi="Arial" w:cs="Arial"/>
          <w:b w:val="0"/>
          <w:iCs/>
          <w:caps w:val="0"/>
          <w:sz w:val="20"/>
        </w:rPr>
        <w:t>cogongrass's</w:t>
      </w:r>
      <w:proofErr w:type="spellEnd"/>
      <w:r w:rsidRPr="00042AF1">
        <w:rPr>
          <w:rFonts w:ascii="Arial" w:hAnsi="Arial" w:cs="Arial"/>
          <w:b w:val="0"/>
          <w:iCs/>
          <w:caps w:val="0"/>
          <w:sz w:val="20"/>
        </w:rPr>
        <w:t xml:space="preserve"> potential as a natural bioherbicide for sustainable weed control in agricultural systems. Further investigation is needed to isolate and characterize the active compounds and assess their effectiveness under field conditions.</w:t>
      </w:r>
    </w:p>
    <w:p w14:paraId="37140F7F" w14:textId="77777777" w:rsidR="00E5726D" w:rsidRDefault="00E5726D" w:rsidP="00A7627B">
      <w:pPr>
        <w:pStyle w:val="ReferHead"/>
        <w:spacing w:after="0"/>
        <w:ind w:firstLine="720"/>
        <w:jc w:val="both"/>
        <w:rPr>
          <w:rFonts w:ascii="Arial" w:hAnsi="Arial" w:cs="Arial"/>
          <w:b w:val="0"/>
          <w:iCs/>
          <w:caps w:val="0"/>
          <w:sz w:val="20"/>
        </w:rPr>
      </w:pPr>
    </w:p>
    <w:p w14:paraId="6C1D393D" w14:textId="77777777" w:rsidR="00E5726D" w:rsidRDefault="00E5726D" w:rsidP="00A7627B">
      <w:pPr>
        <w:pStyle w:val="ReferHead"/>
        <w:spacing w:after="0"/>
        <w:ind w:firstLine="720"/>
        <w:jc w:val="both"/>
        <w:rPr>
          <w:rFonts w:ascii="Arial" w:hAnsi="Arial" w:cs="Arial"/>
          <w:b w:val="0"/>
          <w:iCs/>
          <w:caps w:val="0"/>
          <w:sz w:val="20"/>
        </w:rPr>
      </w:pPr>
    </w:p>
    <w:p w14:paraId="33AACE67" w14:textId="77777777" w:rsidR="00E5726D" w:rsidRDefault="00E5726D" w:rsidP="00A7627B">
      <w:pPr>
        <w:pStyle w:val="ReferHead"/>
        <w:spacing w:after="0"/>
        <w:ind w:firstLine="720"/>
        <w:jc w:val="both"/>
        <w:rPr>
          <w:rFonts w:ascii="Arial" w:hAnsi="Arial" w:cs="Arial"/>
          <w:b w:val="0"/>
          <w:iCs/>
          <w:caps w:val="0"/>
          <w:sz w:val="20"/>
        </w:rPr>
      </w:pPr>
    </w:p>
    <w:p w14:paraId="7943DFAA" w14:textId="77777777" w:rsidR="00042AF1" w:rsidRDefault="00042AF1" w:rsidP="00823112">
      <w:pPr>
        <w:pStyle w:val="ReferHead"/>
        <w:spacing w:after="0"/>
        <w:jc w:val="both"/>
        <w:rPr>
          <w:rFonts w:ascii="Arial" w:hAnsi="Arial" w:cs="Arial"/>
          <w:b w:val="0"/>
          <w:iCs/>
          <w:caps w:val="0"/>
          <w:sz w:val="20"/>
        </w:rPr>
      </w:pPr>
    </w:p>
    <w:p w14:paraId="3BE877DE" w14:textId="77777777" w:rsidR="00823112" w:rsidRDefault="00823112" w:rsidP="00823112">
      <w:pPr>
        <w:pStyle w:val="ReferHead"/>
        <w:spacing w:after="0"/>
        <w:jc w:val="both"/>
        <w:rPr>
          <w:rFonts w:ascii="Arial" w:hAnsi="Arial" w:cs="Arial"/>
        </w:rPr>
      </w:pPr>
      <w:r w:rsidRPr="00FB3A86">
        <w:rPr>
          <w:rFonts w:ascii="Arial" w:hAnsi="Arial" w:cs="Arial"/>
        </w:rPr>
        <w:t>References</w:t>
      </w:r>
    </w:p>
    <w:p w14:paraId="604B43E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b/>
          <w:bCs/>
        </w:rPr>
        <w:fldChar w:fldCharType="begin" w:fldLock="1"/>
      </w:r>
      <w:r w:rsidRPr="00365594">
        <w:rPr>
          <w:rFonts w:ascii="Arial" w:hAnsi="Arial" w:cs="Arial"/>
          <w:b/>
          <w:bCs/>
        </w:rPr>
        <w:instrText xml:space="preserve">ADDIN Mendeley Bibliography CSL_BIBLIOGRAPHY </w:instrText>
      </w:r>
      <w:r w:rsidRPr="00365594">
        <w:rPr>
          <w:rFonts w:ascii="Arial" w:hAnsi="Arial" w:cs="Arial"/>
          <w:b/>
          <w:bCs/>
        </w:rPr>
        <w:fldChar w:fldCharType="separate"/>
      </w:r>
      <w:r w:rsidRPr="00365594">
        <w:rPr>
          <w:rFonts w:ascii="Arial" w:hAnsi="Arial" w:cs="Arial"/>
          <w:noProof/>
        </w:rPr>
        <w:t xml:space="preserve"> Afzal, B., Bajwa, R., &amp; Javaid, A. (2000). Allelopathy and va mycorrhiza vii : cultivation of </w:t>
      </w:r>
      <w:r w:rsidRPr="00365594">
        <w:rPr>
          <w:rFonts w:ascii="Arial" w:hAnsi="Arial" w:cs="Arial"/>
          <w:i/>
          <w:noProof/>
        </w:rPr>
        <w:t xml:space="preserve">Vigna radiate </w:t>
      </w:r>
      <w:r w:rsidRPr="00365594">
        <w:rPr>
          <w:rFonts w:ascii="Arial" w:hAnsi="Arial" w:cs="Arial"/>
          <w:noProof/>
        </w:rPr>
        <w:t xml:space="preserve">L. and </w:t>
      </w:r>
      <w:r w:rsidRPr="00365594">
        <w:rPr>
          <w:rFonts w:ascii="Arial" w:hAnsi="Arial" w:cs="Arial"/>
          <w:i/>
          <w:noProof/>
        </w:rPr>
        <w:t>Phaseolus vulgaris</w:t>
      </w:r>
      <w:r w:rsidRPr="00365594">
        <w:rPr>
          <w:rFonts w:ascii="Arial" w:hAnsi="Arial" w:cs="Arial"/>
          <w:noProof/>
        </w:rPr>
        <w:t xml:space="preserve"> L. under allelopathic stress caused by</w:t>
      </w:r>
      <w:r w:rsidRPr="00365594">
        <w:rPr>
          <w:rFonts w:ascii="Arial" w:hAnsi="Arial" w:cs="Arial"/>
          <w:i/>
          <w:noProof/>
        </w:rPr>
        <w:t xml:space="preserve"> lmperata cylindrica </w:t>
      </w:r>
      <w:r w:rsidRPr="00365594">
        <w:rPr>
          <w:rFonts w:ascii="Arial" w:hAnsi="Arial" w:cs="Arial"/>
          <w:noProof/>
        </w:rPr>
        <w:t xml:space="preserve">L. </w:t>
      </w:r>
      <w:r w:rsidRPr="00365594">
        <w:rPr>
          <w:rFonts w:ascii="Arial" w:hAnsi="Arial" w:cs="Arial"/>
          <w:iCs/>
          <w:noProof/>
        </w:rPr>
        <w:t>Journal of Biological Sciences</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1926–1928. </w:t>
      </w:r>
      <w:hyperlink r:id="rId21" w:history="1">
        <w:r w:rsidRPr="00365594">
          <w:rPr>
            <w:rStyle w:val="Hyperlink"/>
            <w:rFonts w:ascii="Arial" w:hAnsi="Arial" w:cs="Arial"/>
            <w:noProof/>
          </w:rPr>
          <w:t>https://doi.org/10.1590/S0100-83582017350100023</w:t>
        </w:r>
      </w:hyperlink>
    </w:p>
    <w:p w14:paraId="42790754" w14:textId="1F55E1A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Asgharipour, M. R.,</w:t>
      </w:r>
      <w:r w:rsidR="00976E94">
        <w:rPr>
          <w:rFonts w:ascii="Arial" w:hAnsi="Arial" w:cs="Arial"/>
          <w:noProof/>
        </w:rPr>
        <w:t xml:space="preserve"> </w:t>
      </w:r>
      <w:r w:rsidRPr="00365594">
        <w:rPr>
          <w:rFonts w:ascii="Arial" w:hAnsi="Arial" w:cs="Arial"/>
          <w:noProof/>
        </w:rPr>
        <w:t xml:space="preserve">&amp; Rafiei, M. (2011). Inhibitory effects of sunflower root and leaf extracts on germination and early seedling growth of amaranth and purple nutsedge. </w:t>
      </w:r>
      <w:r w:rsidRPr="00365594">
        <w:rPr>
          <w:rFonts w:ascii="Arial" w:hAnsi="Arial" w:cs="Arial"/>
          <w:iCs/>
          <w:noProof/>
        </w:rPr>
        <w:t>Advances in Environmental Biology</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5</w:t>
      </w:r>
      <w:r w:rsidRPr="00365594">
        <w:rPr>
          <w:rFonts w:ascii="Arial" w:hAnsi="Arial" w:cs="Arial"/>
          <w:noProof/>
        </w:rPr>
        <w:t>(11), 3550–3555.</w:t>
      </w:r>
    </w:p>
    <w:p w14:paraId="381AF882" w14:textId="58EED45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Budi, G. P., &amp; Hajoeningtijas, O. D. (2013). Application of organic herbicide from cogongrass (</w:t>
      </w:r>
      <w:r w:rsidRPr="00365594">
        <w:rPr>
          <w:rFonts w:ascii="Arial" w:hAnsi="Arial" w:cs="Arial"/>
          <w:i/>
          <w:noProof/>
        </w:rPr>
        <w:t xml:space="preserve">Imperata cylindrica </w:t>
      </w:r>
      <w:r w:rsidRPr="00365594">
        <w:rPr>
          <w:rFonts w:ascii="Arial" w:hAnsi="Arial" w:cs="Arial"/>
          <w:noProof/>
        </w:rPr>
        <w:t>L</w:t>
      </w:r>
      <w:r w:rsidR="00316F23">
        <w:rPr>
          <w:rFonts w:ascii="Arial" w:hAnsi="Arial" w:cs="Arial"/>
          <w:noProof/>
        </w:rPr>
        <w:t>.</w:t>
      </w:r>
      <w:r w:rsidRPr="00365594">
        <w:rPr>
          <w:rFonts w:ascii="Arial" w:hAnsi="Arial" w:cs="Arial"/>
          <w:noProof/>
        </w:rPr>
        <w:t xml:space="preserve">) extract for weed control in cucumber. </w:t>
      </w:r>
      <w:r w:rsidRPr="00365594">
        <w:rPr>
          <w:rFonts w:ascii="Arial" w:hAnsi="Arial" w:cs="Arial"/>
          <w:iCs/>
          <w:noProof/>
        </w:rPr>
        <w:t>Agritech</w:t>
      </w:r>
      <w:r w:rsidRPr="00365594">
        <w:rPr>
          <w:rFonts w:ascii="Arial" w:hAnsi="Arial" w:cs="Arial"/>
          <w:noProof/>
        </w:rPr>
        <w:t xml:space="preserve">, </w:t>
      </w:r>
      <w:r w:rsidRPr="00365594">
        <w:rPr>
          <w:rFonts w:ascii="Arial" w:hAnsi="Arial" w:cs="Arial"/>
          <w:i/>
          <w:iCs/>
          <w:noProof/>
        </w:rPr>
        <w:t xml:space="preserve"> </w:t>
      </w:r>
      <w:r w:rsidRPr="00365594">
        <w:rPr>
          <w:rFonts w:ascii="Arial" w:hAnsi="Arial" w:cs="Arial"/>
          <w:iCs/>
          <w:noProof/>
        </w:rPr>
        <w:t>15</w:t>
      </w:r>
      <w:r w:rsidRPr="00365594">
        <w:rPr>
          <w:rFonts w:ascii="Arial" w:hAnsi="Arial" w:cs="Arial"/>
          <w:noProof/>
        </w:rPr>
        <w:t>(1), 32–38.</w:t>
      </w:r>
    </w:p>
    <w:p w14:paraId="7DBC68A4"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Dukel, S. O., &amp; Stephen, B. (2008). Glyphosate a once-in-a-ce tury herbicide. </w:t>
      </w:r>
      <w:r w:rsidRPr="00365594">
        <w:rPr>
          <w:rFonts w:ascii="Arial" w:hAnsi="Arial" w:cs="Arial"/>
          <w:iCs/>
          <w:noProof/>
        </w:rPr>
        <w:t>Pest Management Science</w:t>
      </w:r>
      <w:r w:rsidRPr="00365594">
        <w:rPr>
          <w:rFonts w:ascii="Arial" w:hAnsi="Arial" w:cs="Arial"/>
          <w:noProof/>
        </w:rPr>
        <w:t xml:space="preserve">, </w:t>
      </w:r>
      <w:r w:rsidRPr="00365594">
        <w:rPr>
          <w:rFonts w:ascii="Arial" w:hAnsi="Arial" w:cs="Arial"/>
          <w:iCs/>
          <w:noProof/>
        </w:rPr>
        <w:t>64(4)</w:t>
      </w:r>
      <w:r w:rsidRPr="00365594">
        <w:rPr>
          <w:rFonts w:ascii="Arial" w:hAnsi="Arial" w:cs="Arial"/>
          <w:noProof/>
        </w:rPr>
        <w:t xml:space="preserve">, 319-325. </w:t>
      </w:r>
      <w:hyperlink r:id="rId22" w:history="1">
        <w:r w:rsidRPr="00365594">
          <w:rPr>
            <w:rStyle w:val="Hyperlink"/>
            <w:rFonts w:ascii="Arial" w:hAnsi="Arial" w:cs="Arial"/>
            <w:noProof/>
          </w:rPr>
          <w:t>https://doi.org/10.1002/ps</w:t>
        </w:r>
      </w:hyperlink>
      <w:r w:rsidRPr="00365594">
        <w:rPr>
          <w:rFonts w:ascii="Arial" w:hAnsi="Arial" w:cs="Arial"/>
          <w:noProof/>
        </w:rPr>
        <w:t>.</w:t>
      </w:r>
    </w:p>
    <w:p w14:paraId="40075E7A" w14:textId="77777777" w:rsidR="00823112" w:rsidRPr="00365594" w:rsidRDefault="00823112" w:rsidP="00823112">
      <w:pPr>
        <w:widowControl w:val="0"/>
        <w:autoSpaceDE w:val="0"/>
        <w:autoSpaceDN w:val="0"/>
        <w:adjustRightInd w:val="0"/>
        <w:ind w:left="709" w:hanging="709"/>
        <w:jc w:val="both"/>
        <w:rPr>
          <w:rFonts w:ascii="Arial" w:hAnsi="Arial" w:cs="Arial"/>
          <w:noProof/>
        </w:rPr>
      </w:pPr>
      <w:r w:rsidRPr="00365594">
        <w:rPr>
          <w:rFonts w:ascii="Arial" w:hAnsi="Arial" w:cs="Arial"/>
          <w:noProof/>
        </w:rPr>
        <w:t xml:space="preserve">Erida, G., Saidi, N., Hasanuddin &amp; Syafruddin. (2019). Allelopathic screening of several weed species as potential bioherbicides. IOP Conf. Series: Earth and Environmental Science, </w:t>
      </w:r>
      <w:r w:rsidRPr="00365594">
        <w:rPr>
          <w:rStyle w:val="Emphasis"/>
          <w:rFonts w:ascii="Arial" w:hAnsi="Arial" w:cs="Arial"/>
          <w:i w:val="0"/>
        </w:rPr>
        <w:t>334</w:t>
      </w:r>
      <w:r w:rsidRPr="00365594">
        <w:rPr>
          <w:rFonts w:ascii="Arial" w:hAnsi="Arial" w:cs="Arial"/>
          <w:i/>
        </w:rPr>
        <w:t>(</w:t>
      </w:r>
      <w:r w:rsidRPr="00365594">
        <w:rPr>
          <w:rFonts w:ascii="Arial" w:hAnsi="Arial" w:cs="Arial"/>
        </w:rPr>
        <w:t xml:space="preserve">1), 012034. </w:t>
      </w:r>
      <w:r w:rsidRPr="00365594">
        <w:rPr>
          <w:rFonts w:ascii="Arial" w:hAnsi="Arial" w:cs="Arial"/>
          <w:noProof/>
        </w:rPr>
        <w:t xml:space="preserve"> </w:t>
      </w:r>
      <w:hyperlink r:id="rId23" w:history="1">
        <w:r w:rsidRPr="00365594">
          <w:rPr>
            <w:rStyle w:val="Hyperlink"/>
            <w:rFonts w:ascii="Arial" w:hAnsi="Arial" w:cs="Arial"/>
            <w:noProof/>
          </w:rPr>
          <w:t>https://doi.org/10.1088/1755-1315/334/1/012034</w:t>
        </w:r>
      </w:hyperlink>
    </w:p>
    <w:p w14:paraId="75C054BF" w14:textId="0B89BBBF"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Hussain, F., &amp; Abidi, N. (1991). </w:t>
      </w:r>
      <w:r w:rsidRPr="00365594">
        <w:rPr>
          <w:rFonts w:ascii="Arial" w:hAnsi="Arial" w:cs="Arial"/>
          <w:i/>
          <w:iCs/>
          <w:noProof/>
        </w:rPr>
        <w:t>A</w:t>
      </w:r>
      <w:r w:rsidRPr="00365594">
        <w:rPr>
          <w:rFonts w:ascii="Arial" w:hAnsi="Arial" w:cs="Arial"/>
          <w:iCs/>
          <w:noProof/>
        </w:rPr>
        <w:t>llelophathy exhibited by (</w:t>
      </w:r>
      <w:r w:rsidRPr="00365594">
        <w:rPr>
          <w:rFonts w:ascii="Arial" w:hAnsi="Arial" w:cs="Arial"/>
          <w:i/>
          <w:iCs/>
          <w:noProof/>
        </w:rPr>
        <w:t>Imperata cylindrica</w:t>
      </w:r>
      <w:r w:rsidRPr="00365594">
        <w:rPr>
          <w:rFonts w:ascii="Arial" w:hAnsi="Arial" w:cs="Arial"/>
          <w:iCs/>
          <w:noProof/>
        </w:rPr>
        <w:t xml:space="preserve"> L</w:t>
      </w:r>
      <w:r w:rsidR="00976E94">
        <w:rPr>
          <w:rFonts w:ascii="Arial" w:hAnsi="Arial" w:cs="Arial"/>
          <w:iCs/>
          <w:noProof/>
        </w:rPr>
        <w:t>.</w:t>
      </w:r>
      <w:r w:rsidRPr="00365594">
        <w:rPr>
          <w:rFonts w:ascii="Arial" w:hAnsi="Arial" w:cs="Arial"/>
          <w:iCs/>
          <w:noProof/>
        </w:rPr>
        <w:t>) P.Beauv</w:t>
      </w:r>
      <w:r w:rsidRPr="00365594">
        <w:rPr>
          <w:rFonts w:ascii="Arial" w:hAnsi="Arial" w:cs="Arial"/>
          <w:noProof/>
        </w:rPr>
        <w:t>.</w:t>
      </w:r>
      <w:r w:rsidRPr="00365594">
        <w:rPr>
          <w:rFonts w:ascii="Arial" w:hAnsi="Arial" w:cs="Arial"/>
        </w:rPr>
        <w:t xml:space="preserve"> Pak.J. Bot,</w:t>
      </w:r>
      <w:r w:rsidRPr="00365594">
        <w:rPr>
          <w:rFonts w:ascii="Arial" w:hAnsi="Arial" w:cs="Arial"/>
          <w:noProof/>
        </w:rPr>
        <w:t xml:space="preserve"> </w:t>
      </w:r>
      <w:r w:rsidRPr="00365594">
        <w:rPr>
          <w:rFonts w:ascii="Arial" w:hAnsi="Arial" w:cs="Arial"/>
          <w:iCs/>
          <w:noProof/>
        </w:rPr>
        <w:t>23(1)</w:t>
      </w:r>
      <w:r w:rsidRPr="00365594">
        <w:rPr>
          <w:rFonts w:ascii="Arial" w:hAnsi="Arial" w:cs="Arial"/>
          <w:noProof/>
        </w:rPr>
        <w:t>, 15–25.</w:t>
      </w:r>
    </w:p>
    <w:p w14:paraId="40DFF7D9"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rPr>
      </w:pPr>
      <w:r w:rsidRPr="00365594">
        <w:rPr>
          <w:rFonts w:ascii="Arial" w:hAnsi="Arial" w:cs="Arial"/>
          <w:noProof/>
        </w:rPr>
        <w:t xml:space="preserve">Jabran, K., Mahajan, G., Sardana, V., &amp; Chauhan, B. S. (2018). Allelopathy for weed control in agricultural systems. Crop Protection, 72, 57–65. </w:t>
      </w:r>
      <w:r w:rsidRPr="00365594">
        <w:rPr>
          <w:rFonts w:ascii="Arial" w:hAnsi="Arial" w:cs="Arial"/>
          <w:noProof/>
        </w:rPr>
        <w:fldChar w:fldCharType="begin"/>
      </w:r>
      <w:r w:rsidRPr="00365594">
        <w:rPr>
          <w:rFonts w:ascii="Arial" w:hAnsi="Arial" w:cs="Arial"/>
          <w:noProof/>
        </w:rPr>
        <w:instrText xml:space="preserve"> HYPERLINK "https://doi.org/10.1016/j.cropro.2015.03.004" </w:instrText>
      </w:r>
      <w:r w:rsidRPr="00365594">
        <w:rPr>
          <w:rFonts w:ascii="Arial" w:hAnsi="Arial" w:cs="Arial"/>
          <w:noProof/>
        </w:rPr>
      </w:r>
      <w:r w:rsidRPr="00365594">
        <w:rPr>
          <w:rFonts w:ascii="Arial" w:hAnsi="Arial" w:cs="Arial"/>
          <w:noProof/>
        </w:rPr>
        <w:fldChar w:fldCharType="separate"/>
      </w:r>
      <w:r w:rsidRPr="00365594">
        <w:rPr>
          <w:rStyle w:val="Hyperlink"/>
          <w:rFonts w:ascii="Arial" w:hAnsi="Arial" w:cs="Arial"/>
          <w:noProof/>
        </w:rPr>
        <w:t>https://doi.org/10.1016/j.cropro.2015.03.004</w:t>
      </w:r>
    </w:p>
    <w:p w14:paraId="6B340E4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fldChar w:fldCharType="end"/>
      </w:r>
      <w:r w:rsidRPr="00365594">
        <w:rPr>
          <w:rFonts w:ascii="Arial" w:hAnsi="Arial" w:cs="Arial"/>
          <w:noProof/>
        </w:rPr>
        <w:t xml:space="preserve">John, J., &amp; Sarada, S. (2012). Role of phenolics in allelopathic interactions. </w:t>
      </w:r>
      <w:r w:rsidRPr="00365594">
        <w:rPr>
          <w:rFonts w:ascii="Arial" w:hAnsi="Arial" w:cs="Arial"/>
          <w:iCs/>
          <w:noProof/>
        </w:rPr>
        <w:t>Allelopathy Journal</w:t>
      </w:r>
      <w:r w:rsidRPr="00365594">
        <w:rPr>
          <w:rFonts w:ascii="Arial" w:hAnsi="Arial" w:cs="Arial"/>
          <w:noProof/>
        </w:rPr>
        <w:t xml:space="preserve">, </w:t>
      </w:r>
      <w:r w:rsidRPr="00365594">
        <w:rPr>
          <w:rFonts w:ascii="Arial" w:hAnsi="Arial" w:cs="Arial"/>
          <w:iCs/>
          <w:noProof/>
        </w:rPr>
        <w:t>29</w:t>
      </w:r>
      <w:r w:rsidRPr="00365594">
        <w:rPr>
          <w:rFonts w:ascii="Arial" w:hAnsi="Arial" w:cs="Arial"/>
          <w:noProof/>
        </w:rPr>
        <w:t>(2), 215–229.</w:t>
      </w:r>
    </w:p>
    <w:p w14:paraId="4714C0D0"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80"/>
          <w:u w:val="single"/>
        </w:rPr>
      </w:pPr>
      <w:r w:rsidRPr="00365594">
        <w:rPr>
          <w:rStyle w:val="Hyperlink"/>
          <w:rFonts w:ascii="Arial" w:hAnsi="Arial" w:cs="Arial"/>
          <w:noProof/>
          <w:color w:val="auto"/>
          <w:u w:val="none"/>
        </w:rPr>
        <w:t xml:space="preserve">Kato-Noguchi, H., &amp; Kurniadie, D. (2021). Allelopathy and allelochemicals of </w:t>
      </w:r>
      <w:r w:rsidRPr="00365594">
        <w:rPr>
          <w:rStyle w:val="Hyperlink"/>
          <w:rFonts w:ascii="Arial" w:hAnsi="Arial" w:cs="Arial"/>
          <w:i/>
          <w:noProof/>
          <w:color w:val="auto"/>
          <w:u w:val="none"/>
        </w:rPr>
        <w:t xml:space="preserve">Imperata cylindrica </w:t>
      </w:r>
      <w:r w:rsidRPr="00365594">
        <w:rPr>
          <w:rStyle w:val="Hyperlink"/>
          <w:rFonts w:ascii="Arial" w:hAnsi="Arial" w:cs="Arial"/>
          <w:noProof/>
          <w:color w:val="auto"/>
          <w:u w:val="none"/>
        </w:rPr>
        <w:t xml:space="preserve">L. as an invasive plant species. Plants, 10(5), 1028. </w:t>
      </w:r>
      <w:hyperlink r:id="rId24" w:history="1">
        <w:r w:rsidRPr="00365594">
          <w:rPr>
            <w:rStyle w:val="Hyperlink"/>
            <w:rFonts w:ascii="Arial" w:hAnsi="Arial" w:cs="Arial"/>
            <w:noProof/>
          </w:rPr>
          <w:t>https://doi.org/10.3390/plants10051028</w:t>
        </w:r>
      </w:hyperlink>
    </w:p>
    <w:p w14:paraId="0235D1B2"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u w:val="none"/>
        </w:rPr>
      </w:pPr>
      <w:r w:rsidRPr="00365594">
        <w:rPr>
          <w:rStyle w:val="Hyperlink"/>
          <w:rFonts w:ascii="Arial" w:hAnsi="Arial" w:cs="Arial"/>
          <w:noProof/>
          <w:color w:val="auto"/>
          <w:u w:val="none"/>
        </w:rPr>
        <w:t>Kato-Noguchi, H</w:t>
      </w:r>
      <w:r w:rsidRPr="00365594">
        <w:rPr>
          <w:rFonts w:ascii="Arial" w:hAnsi="Arial" w:cs="Arial"/>
          <w:noProof/>
        </w:rPr>
        <w:t xml:space="preserve">. (2022). </w:t>
      </w:r>
      <w:r w:rsidRPr="00365594">
        <w:rPr>
          <w:rFonts w:ascii="Arial" w:hAnsi="Arial" w:cs="Arial"/>
          <w:iCs/>
          <w:noProof/>
        </w:rPr>
        <w:t>Allelopathy and Allelochemicals of</w:t>
      </w:r>
      <w:r w:rsidRPr="00365594">
        <w:rPr>
          <w:rFonts w:ascii="Arial" w:hAnsi="Arial" w:cs="Arial"/>
          <w:i/>
          <w:iCs/>
          <w:noProof/>
        </w:rPr>
        <w:t xml:space="preserve"> Imperata cylindrica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as an invasive plant species</w:t>
      </w:r>
      <w:r w:rsidRPr="00365594">
        <w:rPr>
          <w:rFonts w:ascii="Arial" w:hAnsi="Arial" w:cs="Arial"/>
          <w:noProof/>
        </w:rPr>
        <w:t>. Plants, 11(19), 2551.</w:t>
      </w:r>
      <w:r w:rsidRPr="00365594">
        <w:rPr>
          <w:rFonts w:ascii="Arial" w:hAnsi="Arial" w:cs="Arial"/>
          <w:noProof/>
          <w:color w:val="FF0000"/>
        </w:rPr>
        <w:t xml:space="preserve"> </w:t>
      </w:r>
      <w:hyperlink r:id="rId25" w:history="1">
        <w:r w:rsidRPr="00365594">
          <w:rPr>
            <w:rStyle w:val="Hyperlink"/>
            <w:rFonts w:ascii="Arial" w:hAnsi="Arial" w:cs="Arial"/>
            <w:noProof/>
          </w:rPr>
          <w:t>https://doi.org/10.3390/plants11192551</w:t>
        </w:r>
      </w:hyperlink>
    </w:p>
    <w:p w14:paraId="65BA3CE1"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rPr>
      </w:pPr>
      <w:r w:rsidRPr="00365594">
        <w:rPr>
          <w:rFonts w:ascii="Arial" w:hAnsi="Arial" w:cs="Arial"/>
          <w:noProof/>
        </w:rPr>
        <w:t xml:space="preserve">Katrin, K., &amp; Bendra, A. (2015). </w:t>
      </w:r>
      <w:r w:rsidRPr="00365594">
        <w:rPr>
          <w:rFonts w:ascii="Arial" w:hAnsi="Arial" w:cs="Arial"/>
          <w:iCs/>
          <w:noProof/>
        </w:rPr>
        <w:t>Antioxidant activity of extracts, fractions, and chemical compound classes of</w:t>
      </w:r>
      <w:r w:rsidRPr="00365594">
        <w:rPr>
          <w:rFonts w:ascii="Arial" w:hAnsi="Arial" w:cs="Arial"/>
          <w:i/>
          <w:noProof/>
        </w:rPr>
        <w:t xml:space="preserve"> </w:t>
      </w:r>
      <w:r w:rsidRPr="00365594">
        <w:rPr>
          <w:rFonts w:ascii="Arial" w:hAnsi="Arial" w:cs="Arial"/>
          <w:i/>
          <w:iCs/>
          <w:noProof/>
        </w:rPr>
        <w:t>Premna oblongata</w:t>
      </w:r>
      <w:r w:rsidRPr="00365594">
        <w:rPr>
          <w:rFonts w:ascii="Arial" w:hAnsi="Arial" w:cs="Arial"/>
          <w:noProof/>
        </w:rPr>
        <w:t xml:space="preserve"> </w:t>
      </w:r>
      <w:r w:rsidRPr="00365594">
        <w:rPr>
          <w:rFonts w:ascii="Arial" w:hAnsi="Arial" w:cs="Arial"/>
          <w:iCs/>
          <w:noProof/>
        </w:rPr>
        <w:t>Miq</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Pharm Sci Res</w:t>
      </w:r>
      <w:r w:rsidRPr="00365594">
        <w:rPr>
          <w:rFonts w:ascii="Arial" w:hAnsi="Arial" w:cs="Arial"/>
          <w:noProof/>
        </w:rPr>
        <w:t xml:space="preserve">, </w:t>
      </w:r>
      <w:r w:rsidRPr="00365594">
        <w:rPr>
          <w:rFonts w:ascii="Arial" w:hAnsi="Arial" w:cs="Arial"/>
          <w:i/>
          <w:iCs/>
          <w:noProof/>
        </w:rPr>
        <w:t>2</w:t>
      </w:r>
      <w:r w:rsidRPr="00365594">
        <w:rPr>
          <w:rFonts w:ascii="Arial" w:hAnsi="Arial" w:cs="Arial"/>
          <w:noProof/>
        </w:rPr>
        <w:t xml:space="preserve">(1), 21–31. </w:t>
      </w:r>
      <w:hyperlink r:id="rId26" w:history="1">
        <w:r w:rsidRPr="00365594">
          <w:rPr>
            <w:rStyle w:val="Hyperlink"/>
            <w:rFonts w:ascii="Arial" w:hAnsi="Arial" w:cs="Arial"/>
            <w:noProof/>
          </w:rPr>
          <w:t>https://doi.org/10.7454/psr.v2i1.3332</w:t>
        </w:r>
      </w:hyperlink>
      <w:r w:rsidRPr="00365594">
        <w:rPr>
          <w:rStyle w:val="Hyperlink"/>
          <w:rFonts w:ascii="Arial" w:hAnsi="Arial" w:cs="Arial"/>
          <w:noProof/>
        </w:rPr>
        <w:t xml:space="preserve"> </w:t>
      </w:r>
    </w:p>
    <w:p w14:paraId="34BE6BD1"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Kilkoda, A. K., Nurmala, T., &amp; Widayat, D. (2015) Effect of the existence of weeds </w:t>
      </w:r>
      <w:r w:rsidRPr="00365594">
        <w:rPr>
          <w:rFonts w:ascii="Arial" w:hAnsi="Arial" w:cs="Arial"/>
          <w:i/>
          <w:noProof/>
        </w:rPr>
        <w:t xml:space="preserve">(Ageratum conyzoides </w:t>
      </w:r>
      <w:r w:rsidRPr="00365594">
        <w:rPr>
          <w:rFonts w:ascii="Arial" w:hAnsi="Arial" w:cs="Arial"/>
          <w:noProof/>
        </w:rPr>
        <w:t xml:space="preserve">L. and </w:t>
      </w:r>
      <w:r w:rsidRPr="00365594">
        <w:rPr>
          <w:rFonts w:ascii="Arial" w:hAnsi="Arial" w:cs="Arial"/>
          <w:i/>
          <w:noProof/>
        </w:rPr>
        <w:t xml:space="preserve">Boreria alata </w:t>
      </w:r>
      <w:r w:rsidRPr="00365594">
        <w:rPr>
          <w:rFonts w:ascii="Arial" w:hAnsi="Arial" w:cs="Arial"/>
          <w:noProof/>
        </w:rPr>
        <w:t>L.) against on the growth and yield soy bean (</w:t>
      </w:r>
      <w:r w:rsidRPr="00365594">
        <w:rPr>
          <w:rFonts w:ascii="Arial" w:hAnsi="Arial" w:cs="Arial"/>
          <w:i/>
          <w:noProof/>
        </w:rPr>
        <w:t>Glycine max</w:t>
      </w:r>
      <w:r w:rsidRPr="00365594">
        <w:rPr>
          <w:rFonts w:ascii="Arial" w:hAnsi="Arial" w:cs="Arial"/>
          <w:noProof/>
        </w:rPr>
        <w:t xml:space="preserve"> L. Merr) variety of three sizes in level pot experiment. Jurnal Kultivasi, 14(2), 1–9.</w:t>
      </w:r>
    </w:p>
    <w:p w14:paraId="083B06DF"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00"/>
        </w:rPr>
      </w:pPr>
      <w:r w:rsidRPr="00365594">
        <w:rPr>
          <w:rFonts w:ascii="Arial" w:hAnsi="Arial" w:cs="Arial"/>
        </w:rPr>
        <w:lastRenderedPageBreak/>
        <w:fldChar w:fldCharType="end"/>
      </w:r>
      <w:r w:rsidRPr="00365594">
        <w:rPr>
          <w:rFonts w:ascii="Arial" w:hAnsi="Arial" w:cs="Arial"/>
          <w:noProof/>
        </w:rPr>
        <w:t>Koger, C. H., &amp; Bryson, C. T. (2004). Effect of cogongrass (</w:t>
      </w:r>
      <w:r w:rsidRPr="00365594">
        <w:rPr>
          <w:rFonts w:ascii="Arial" w:hAnsi="Arial" w:cs="Arial"/>
          <w:i/>
          <w:noProof/>
        </w:rPr>
        <w:t xml:space="preserve">Imperata cylindrica. </w:t>
      </w:r>
      <w:r w:rsidRPr="00365594">
        <w:rPr>
          <w:rFonts w:ascii="Arial" w:hAnsi="Arial" w:cs="Arial"/>
          <w:noProof/>
        </w:rPr>
        <w:t xml:space="preserve">L) extracts on germination and seedling growth of selected grass and broadleaf species. </w:t>
      </w:r>
      <w:r w:rsidRPr="00365594">
        <w:rPr>
          <w:rFonts w:ascii="Arial" w:hAnsi="Arial" w:cs="Arial"/>
          <w:iCs/>
          <w:noProof/>
        </w:rPr>
        <w:t>Weed Technology</w:t>
      </w:r>
      <w:r w:rsidRPr="00365594">
        <w:rPr>
          <w:rFonts w:ascii="Arial" w:hAnsi="Arial" w:cs="Arial"/>
          <w:noProof/>
        </w:rPr>
        <w:t xml:space="preserve">, </w:t>
      </w:r>
      <w:r w:rsidRPr="00365594">
        <w:rPr>
          <w:rFonts w:ascii="Arial" w:hAnsi="Arial" w:cs="Arial"/>
          <w:iCs/>
          <w:noProof/>
        </w:rPr>
        <w:t>18</w:t>
      </w:r>
      <w:r w:rsidRPr="00365594">
        <w:rPr>
          <w:rFonts w:ascii="Arial" w:hAnsi="Arial" w:cs="Arial"/>
          <w:noProof/>
        </w:rPr>
        <w:t xml:space="preserve">, 236–242. </w:t>
      </w:r>
    </w:p>
    <w:p w14:paraId="5B835999" w14:textId="0B15C8BD"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color w:val="FF0000"/>
        </w:rPr>
        <w:fldChar w:fldCharType="begin" w:fldLock="1"/>
      </w:r>
      <w:r w:rsidRPr="00365594">
        <w:rPr>
          <w:rFonts w:ascii="Arial" w:hAnsi="Arial" w:cs="Arial"/>
          <w:color w:val="FF0000"/>
        </w:rPr>
        <w:instrText xml:space="preserve">ADDIN Mendeley Bibliography CSL_BIBLIOGRAPHY </w:instrText>
      </w:r>
      <w:r w:rsidRPr="00365594">
        <w:rPr>
          <w:rFonts w:ascii="Arial" w:hAnsi="Arial" w:cs="Arial"/>
          <w:color w:val="FF0000"/>
        </w:rPr>
        <w:fldChar w:fldCharType="separate"/>
      </w:r>
      <w:r w:rsidRPr="00365594">
        <w:rPr>
          <w:rFonts w:ascii="Arial" w:hAnsi="Arial" w:cs="Arial"/>
          <w:noProof/>
        </w:rPr>
        <w:t xml:space="preserve">Li, Z-H., Wang, Q., Ruan, X., Pan, C-D., &amp; Jiang, D-A. (2010). phenolics and plant allelopathy. </w:t>
      </w:r>
      <w:r w:rsidRPr="00365594">
        <w:rPr>
          <w:rFonts w:ascii="Arial" w:hAnsi="Arial" w:cs="Arial"/>
          <w:iCs/>
          <w:noProof/>
        </w:rPr>
        <w:t>Molecules</w:t>
      </w:r>
      <w:r w:rsidRPr="00365594">
        <w:rPr>
          <w:rFonts w:ascii="Arial" w:hAnsi="Arial" w:cs="Arial"/>
          <w:noProof/>
        </w:rPr>
        <w:t xml:space="preserve">, </w:t>
      </w:r>
      <w:r w:rsidRPr="00365594">
        <w:rPr>
          <w:rFonts w:ascii="Arial" w:hAnsi="Arial" w:cs="Arial"/>
          <w:iCs/>
          <w:noProof/>
        </w:rPr>
        <w:t>15</w:t>
      </w:r>
      <w:r w:rsidRPr="00365594">
        <w:rPr>
          <w:rFonts w:ascii="Arial" w:hAnsi="Arial" w:cs="Arial"/>
          <w:noProof/>
        </w:rPr>
        <w:t>, 8933–8952.</w:t>
      </w:r>
    </w:p>
    <w:p w14:paraId="59113273" w14:textId="77777777" w:rsidR="00823112" w:rsidRPr="00365594" w:rsidRDefault="00823112" w:rsidP="00823112">
      <w:pPr>
        <w:widowControl w:val="0"/>
        <w:autoSpaceDE w:val="0"/>
        <w:autoSpaceDN w:val="0"/>
        <w:adjustRightInd w:val="0"/>
        <w:ind w:left="720"/>
        <w:jc w:val="both"/>
        <w:rPr>
          <w:rFonts w:ascii="Arial" w:hAnsi="Arial" w:cs="Arial"/>
          <w:noProof/>
        </w:rPr>
      </w:pPr>
      <w:hyperlink r:id="rId27" w:history="1">
        <w:r w:rsidRPr="00365594">
          <w:rPr>
            <w:rStyle w:val="Hyperlink"/>
            <w:rFonts w:ascii="Arial" w:hAnsi="Arial" w:cs="Arial"/>
            <w:noProof/>
          </w:rPr>
          <w:t>https://doi.org/10.3390/molecules15128933</w:t>
        </w:r>
      </w:hyperlink>
    </w:p>
    <w:p w14:paraId="03C946E3" w14:textId="77777777" w:rsidR="00823112" w:rsidRDefault="00823112" w:rsidP="00823112">
      <w:pPr>
        <w:widowControl w:val="0"/>
        <w:autoSpaceDE w:val="0"/>
        <w:autoSpaceDN w:val="0"/>
        <w:adjustRightInd w:val="0"/>
        <w:ind w:left="720" w:hanging="720"/>
        <w:jc w:val="both"/>
        <w:rPr>
          <w:rStyle w:val="Hyperlink"/>
          <w:rFonts w:ascii="Arial" w:hAnsi="Arial" w:cs="Arial"/>
        </w:rPr>
      </w:pPr>
      <w:r w:rsidRPr="00365594">
        <w:rPr>
          <w:rFonts w:ascii="Arial" w:hAnsi="Arial" w:cs="Arial"/>
          <w:color w:val="FF0000"/>
        </w:rPr>
        <w:fldChar w:fldCharType="end"/>
      </w:r>
      <w:r w:rsidRPr="00365594">
        <w:rPr>
          <w:rFonts w:ascii="Arial" w:hAnsi="Arial" w:cs="Arial"/>
        </w:rPr>
        <w:t xml:space="preserve">Lotina-Hennsen, B., King-Diaz, B., Aguilar, M. I., &amp; Hernandez Terrones, M. G. (2006). Plant secondary metabolites: targets and mechanisms of allelopathy. In M. J. Reigosa, N. Pedrol, &amp; L. González (Eds.), </w:t>
      </w:r>
      <w:r w:rsidRPr="00365594">
        <w:rPr>
          <w:rStyle w:val="Emphasis"/>
          <w:rFonts w:ascii="Arial" w:hAnsi="Arial" w:cs="Arial"/>
          <w:i w:val="0"/>
        </w:rPr>
        <w:t>Allelopathy: A physiological process with ecological implications</w:t>
      </w:r>
      <w:r w:rsidRPr="00365594">
        <w:rPr>
          <w:rFonts w:ascii="Arial" w:hAnsi="Arial" w:cs="Arial"/>
          <w:i/>
        </w:rPr>
        <w:t xml:space="preserve"> </w:t>
      </w:r>
      <w:r w:rsidRPr="00365594">
        <w:rPr>
          <w:rFonts w:ascii="Arial" w:hAnsi="Arial" w:cs="Arial"/>
        </w:rPr>
        <w:t xml:space="preserve">(pp. 229–265). Springer. </w:t>
      </w:r>
      <w:hyperlink r:id="rId28" w:history="1">
        <w:r w:rsidRPr="00365594">
          <w:rPr>
            <w:rStyle w:val="Hyperlink"/>
            <w:rFonts w:ascii="Arial" w:hAnsi="Arial" w:cs="Arial"/>
          </w:rPr>
          <w:t>https://doi.org/10.1007/978-1-4020-4094-1_11</w:t>
        </w:r>
      </w:hyperlink>
    </w:p>
    <w:p w14:paraId="1C2E9865" w14:textId="17B5AEE0" w:rsidR="00976E94" w:rsidRDefault="00976E94" w:rsidP="00976E94">
      <w:pPr>
        <w:widowControl w:val="0"/>
        <w:autoSpaceDE w:val="0"/>
        <w:autoSpaceDN w:val="0"/>
        <w:adjustRightInd w:val="0"/>
        <w:ind w:left="720" w:hanging="720"/>
        <w:jc w:val="both"/>
        <w:rPr>
          <w:rFonts w:ascii="Arial" w:hAnsi="Arial" w:cs="Arial"/>
          <w:noProof/>
        </w:rPr>
      </w:pPr>
      <w:r>
        <w:rPr>
          <w:rFonts w:ascii="Arial" w:hAnsi="Arial" w:cs="Arial"/>
          <w:noProof/>
        </w:rPr>
        <w:t>Molyneux, P</w:t>
      </w:r>
      <w:r w:rsidRPr="00365594">
        <w:rPr>
          <w:rFonts w:ascii="Arial" w:hAnsi="Arial" w:cs="Arial"/>
          <w:noProof/>
        </w:rPr>
        <w:t xml:space="preserve">. (2004). The use of the stable free radical diphenylpicryl-hydrazyl (DPPH) for estimating antioxidant activity. </w:t>
      </w:r>
      <w:r w:rsidRPr="00365594">
        <w:rPr>
          <w:rFonts w:ascii="Arial" w:hAnsi="Arial" w:cs="Arial"/>
          <w:iCs/>
          <w:noProof/>
        </w:rPr>
        <w:t>Songklanakarin Journal of Science and Technology</w:t>
      </w:r>
      <w:r w:rsidRPr="00365594">
        <w:rPr>
          <w:rFonts w:ascii="Arial" w:hAnsi="Arial" w:cs="Arial"/>
          <w:noProof/>
        </w:rPr>
        <w:t xml:space="preserve">, </w:t>
      </w:r>
      <w:r>
        <w:rPr>
          <w:rFonts w:ascii="Arial" w:hAnsi="Arial" w:cs="Arial"/>
          <w:iCs/>
          <w:noProof/>
        </w:rPr>
        <w:t>26(2)</w:t>
      </w:r>
      <w:r w:rsidRPr="00365594">
        <w:rPr>
          <w:rFonts w:ascii="Arial" w:hAnsi="Arial" w:cs="Arial"/>
          <w:noProof/>
        </w:rPr>
        <w:t>, 211–219.</w:t>
      </w:r>
    </w:p>
    <w:p w14:paraId="385F4553" w14:textId="5D979B53"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 xml:space="preserve">Negi, B., Bargali, S., KhatriI., &amp; Kavita. (2020). Allelopathic interference of </w:t>
      </w:r>
      <w:r w:rsidRPr="00365594">
        <w:rPr>
          <w:rFonts w:ascii="Arial" w:hAnsi="Arial" w:cs="Arial"/>
          <w:i/>
          <w:noProof/>
        </w:rPr>
        <w:t>Ageratum conyzoides</w:t>
      </w:r>
      <w:r w:rsidRPr="00365594">
        <w:rPr>
          <w:rFonts w:ascii="Arial" w:hAnsi="Arial" w:cs="Arial"/>
          <w:noProof/>
        </w:rPr>
        <w:t xml:space="preserve"> L. against rice varieties. </w:t>
      </w:r>
      <w:r w:rsidRPr="00365594">
        <w:rPr>
          <w:rFonts w:ascii="Arial" w:hAnsi="Arial" w:cs="Arial"/>
          <w:iCs/>
          <w:noProof/>
        </w:rPr>
        <w:t>Current Agriculture Research</w:t>
      </w:r>
      <w:r w:rsidRPr="00365594">
        <w:rPr>
          <w:rFonts w:ascii="Arial" w:hAnsi="Arial" w:cs="Arial"/>
          <w:noProof/>
        </w:rPr>
        <w:t xml:space="preserve">, </w:t>
      </w:r>
      <w:r w:rsidRPr="00365594">
        <w:rPr>
          <w:rFonts w:ascii="Arial" w:hAnsi="Arial" w:cs="Arial"/>
          <w:iCs/>
          <w:noProof/>
        </w:rPr>
        <w:t>8</w:t>
      </w:r>
      <w:r w:rsidRPr="00365594">
        <w:rPr>
          <w:rFonts w:ascii="Arial" w:hAnsi="Arial" w:cs="Arial"/>
          <w:noProof/>
        </w:rPr>
        <w:t xml:space="preserve">(2),69–76. </w:t>
      </w:r>
      <w:hyperlink r:id="rId29" w:history="1">
        <w:r w:rsidRPr="00365594">
          <w:rPr>
            <w:rStyle w:val="Hyperlink"/>
            <w:rFonts w:ascii="Arial" w:hAnsi="Arial" w:cs="Arial"/>
            <w:noProof/>
          </w:rPr>
          <w:t>https://dx.doi.org/10.12944/CARJ.8.2.01</w:t>
        </w:r>
      </w:hyperlink>
    </w:p>
    <w:p w14:paraId="39F34D5B"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Style w:val="Hyperlink"/>
          <w:rFonts w:ascii="Arial" w:hAnsi="Arial" w:cs="Arial"/>
          <w:noProof/>
          <w:color w:val="auto"/>
          <w:u w:val="none"/>
        </w:rPr>
        <w:t>Nengsih, Y., Marpaung, R., &amp; Alkori. (2016). Climbing vines represent the optimal source of cuttings for the vegetative propagation of pepper plant. Jurnal Media Pertanian, 1(1), 29–35.</w:t>
      </w:r>
    </w:p>
    <w:p w14:paraId="45EB6B7C" w14:textId="77777777" w:rsidR="00823112" w:rsidRPr="00365594" w:rsidRDefault="00823112" w:rsidP="00823112">
      <w:pPr>
        <w:widowControl w:val="0"/>
        <w:autoSpaceDE w:val="0"/>
        <w:autoSpaceDN w:val="0"/>
        <w:adjustRightInd w:val="0"/>
        <w:ind w:left="720" w:hanging="720"/>
        <w:jc w:val="both"/>
        <w:rPr>
          <w:rFonts w:ascii="Arial" w:hAnsi="Arial" w:cs="Arial"/>
          <w:b/>
          <w:noProof/>
          <w:color w:val="FF0000"/>
        </w:rPr>
      </w:pPr>
      <w:r w:rsidRPr="00365594">
        <w:rPr>
          <w:rFonts w:ascii="Arial" w:hAnsi="Arial" w:cs="Arial"/>
          <w:noProof/>
        </w:rPr>
        <w:t xml:space="preserve">Ningrum, R., Purwanti, E., &amp; Sukarsono. (2016). Alkaloid compound identification of rhodomyrtus tomentosa stem as biology instructional material for senior high school x grade retno. </w:t>
      </w:r>
      <w:r w:rsidRPr="00365594">
        <w:rPr>
          <w:rFonts w:ascii="Arial" w:hAnsi="Arial" w:cs="Arial"/>
          <w:iCs/>
          <w:noProof/>
        </w:rPr>
        <w:t>Jurnal Pendidikan Biologi Indonesia</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231–236. </w:t>
      </w:r>
    </w:p>
    <w:p w14:paraId="73873C33"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Nurjanah, U., Setyowati, N., &amp; Efrianti, Y. (2024). Auto-toxicity of sorghum (S</w:t>
      </w:r>
      <w:r w:rsidRPr="00365594">
        <w:rPr>
          <w:rFonts w:ascii="Arial" w:hAnsi="Arial" w:cs="Arial"/>
          <w:bCs/>
          <w:i/>
        </w:rPr>
        <w:t>orghum bicolor</w:t>
      </w:r>
      <w:r w:rsidRPr="00365594">
        <w:rPr>
          <w:rFonts w:ascii="Arial" w:hAnsi="Arial" w:cs="Arial"/>
          <w:bCs/>
        </w:rPr>
        <w:t xml:space="preserve"> L.) in seedling and vegetative growth. International Journal of Research in Agronomy, 7(1), 270–276. </w:t>
      </w:r>
      <w:hyperlink r:id="rId30" w:history="1">
        <w:r w:rsidRPr="00365594">
          <w:rPr>
            <w:rStyle w:val="Hyperlink"/>
            <w:rFonts w:ascii="Arial" w:hAnsi="Arial" w:cs="Arial"/>
            <w:bCs/>
          </w:rPr>
          <w:t>https://doi.org/10.33545/2618060X.2024.v7.i1d.227</w:t>
        </w:r>
      </w:hyperlink>
    </w:p>
    <w:p w14:paraId="186FE8ED" w14:textId="5797990B" w:rsidR="00823112" w:rsidRPr="00365594" w:rsidRDefault="00823112" w:rsidP="00C15A0D">
      <w:pPr>
        <w:widowControl w:val="0"/>
        <w:autoSpaceDE w:val="0"/>
        <w:autoSpaceDN w:val="0"/>
        <w:adjustRightInd w:val="0"/>
        <w:ind w:left="720" w:hanging="720"/>
        <w:jc w:val="both"/>
        <w:rPr>
          <w:rFonts w:ascii="Arial" w:hAnsi="Arial" w:cs="Arial"/>
        </w:rPr>
      </w:pPr>
      <w:r w:rsidRPr="00365594">
        <w:rPr>
          <w:rFonts w:ascii="Arial" w:hAnsi="Arial" w:cs="Arial"/>
          <w:noProof/>
        </w:rPr>
        <w:t>Qova, A., Jilli, A., Susilo, A., &amp; Surjaningsih, D. R. (2023). Allelopathic potential of cogongrass (</w:t>
      </w:r>
      <w:r w:rsidRPr="00365594">
        <w:rPr>
          <w:rFonts w:ascii="Arial" w:hAnsi="Arial" w:cs="Arial"/>
          <w:i/>
          <w:iCs/>
          <w:noProof/>
        </w:rPr>
        <w:t xml:space="preserve">Imperata cylindrica. </w:t>
      </w:r>
      <w:r w:rsidRPr="00365594">
        <w:rPr>
          <w:rFonts w:ascii="Arial" w:hAnsi="Arial" w:cs="Arial"/>
          <w:iCs/>
          <w:noProof/>
        </w:rPr>
        <w:t>L</w:t>
      </w:r>
      <w:r w:rsidRPr="00365594">
        <w:rPr>
          <w:rFonts w:ascii="Arial" w:hAnsi="Arial" w:cs="Arial"/>
          <w:noProof/>
        </w:rPr>
        <w:t xml:space="preserve">) extract as a bioherbicide. </w:t>
      </w:r>
      <w:r w:rsidRPr="00365594">
        <w:rPr>
          <w:rFonts w:ascii="Arial" w:hAnsi="Arial" w:cs="Arial"/>
          <w:iCs/>
          <w:noProof/>
        </w:rPr>
        <w:t>Journal of Applied Plant Technology</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(1), 30–41.</w:t>
      </w:r>
    </w:p>
    <w:p w14:paraId="184782B9" w14:textId="4F14179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Rahmawati, N. E. D., Choirunisa, K., Nurrahma, S. A., Lestari,R. Y. A., &amp; Setyaning, E. (2024). Effect of allelopathy reed extract (</w:t>
      </w:r>
      <w:r w:rsidRPr="00365594">
        <w:rPr>
          <w:rFonts w:ascii="Arial" w:hAnsi="Arial" w:cs="Arial"/>
          <w:i/>
          <w:noProof/>
        </w:rPr>
        <w:t>Imperata cylindrica</w:t>
      </w:r>
      <w:r w:rsidRPr="00365594">
        <w:rPr>
          <w:rFonts w:ascii="Arial" w:hAnsi="Arial" w:cs="Arial"/>
          <w:noProof/>
        </w:rPr>
        <w:t xml:space="preserve"> L</w:t>
      </w:r>
      <w:r w:rsidR="00FB1AC0">
        <w:rPr>
          <w:rFonts w:ascii="Arial" w:hAnsi="Arial" w:cs="Arial"/>
          <w:noProof/>
        </w:rPr>
        <w:t>.</w:t>
      </w:r>
      <w:r w:rsidRPr="00365594">
        <w:rPr>
          <w:rFonts w:ascii="Arial" w:hAnsi="Arial" w:cs="Arial"/>
          <w:noProof/>
        </w:rPr>
        <w:t>) in the growth of stem and flowers of cawit chicken plant (</w:t>
      </w:r>
      <w:r w:rsidRPr="00365594">
        <w:rPr>
          <w:rFonts w:ascii="Arial" w:hAnsi="Arial" w:cs="Arial"/>
          <w:i/>
          <w:noProof/>
        </w:rPr>
        <w:t>Capsicum annuum</w:t>
      </w:r>
      <w:r w:rsidRPr="00365594">
        <w:rPr>
          <w:rFonts w:ascii="Arial" w:hAnsi="Arial" w:cs="Arial"/>
          <w:noProof/>
        </w:rPr>
        <w:t xml:space="preserve"> L ). </w:t>
      </w:r>
      <w:r w:rsidRPr="00365594">
        <w:rPr>
          <w:rFonts w:ascii="Arial" w:hAnsi="Arial" w:cs="Arial"/>
          <w:iCs/>
          <w:noProof/>
        </w:rPr>
        <w:t>Jurnal Global Ilmiah</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(3), 807–810.</w:t>
      </w:r>
    </w:p>
    <w:p w14:paraId="0A6EB6A5" w14:textId="77777777" w:rsidR="00823112" w:rsidRPr="00365594" w:rsidRDefault="00823112" w:rsidP="00823112">
      <w:pPr>
        <w:ind w:left="720" w:hanging="720"/>
        <w:jc w:val="both"/>
        <w:rPr>
          <w:rFonts w:ascii="Arial" w:hAnsi="Arial" w:cs="Arial"/>
        </w:rPr>
      </w:pPr>
      <w:r w:rsidRPr="00365594">
        <w:rPr>
          <w:rFonts w:ascii="Arial" w:hAnsi="Arial" w:cs="Arial"/>
          <w:noProof/>
        </w:rPr>
        <w:t xml:space="preserve">Salim, M. A. A., Linatoc, A. C., Jikan, S. S.,  &amp; Jamil, S. (2020). Allelopathic effects of </w:t>
      </w:r>
      <w:r w:rsidRPr="00365594">
        <w:rPr>
          <w:rFonts w:ascii="Arial" w:hAnsi="Arial" w:cs="Arial"/>
          <w:i/>
          <w:noProof/>
        </w:rPr>
        <w:t>Imperata cylindrica</w:t>
      </w:r>
      <w:r w:rsidRPr="00365594">
        <w:rPr>
          <w:rFonts w:ascii="Arial" w:hAnsi="Arial" w:cs="Arial"/>
          <w:noProof/>
        </w:rPr>
        <w:t xml:space="preserve"> L. aqueous extract on the germination of </w:t>
      </w:r>
      <w:r w:rsidRPr="00365594">
        <w:rPr>
          <w:rFonts w:ascii="Arial" w:hAnsi="Arial" w:cs="Arial"/>
          <w:i/>
          <w:noProof/>
        </w:rPr>
        <w:t xml:space="preserve">Cucumis sativus </w:t>
      </w:r>
      <w:r w:rsidRPr="00365594">
        <w:rPr>
          <w:rFonts w:ascii="Arial" w:hAnsi="Arial" w:cs="Arial"/>
          <w:noProof/>
        </w:rPr>
        <w:t>L.</w:t>
      </w:r>
      <w:r w:rsidRPr="00365594">
        <w:rPr>
          <w:rFonts w:ascii="Arial" w:hAnsi="Arial" w:cs="Arial"/>
          <w:i/>
          <w:noProof/>
        </w:rPr>
        <w:t xml:space="preserve"> and Lolium perenne </w:t>
      </w:r>
      <w:r w:rsidRPr="00365594">
        <w:rPr>
          <w:rFonts w:ascii="Arial" w:hAnsi="Arial" w:cs="Arial"/>
          <w:noProof/>
        </w:rPr>
        <w:t xml:space="preserve">L. </w:t>
      </w:r>
      <w:r w:rsidRPr="00365594">
        <w:rPr>
          <w:rFonts w:ascii="Arial" w:hAnsi="Arial" w:cs="Arial"/>
          <w:iCs/>
          <w:noProof/>
        </w:rPr>
        <w:t>Internasional Journal of Recent Technology and Engineering</w:t>
      </w:r>
      <w:r w:rsidRPr="00365594">
        <w:rPr>
          <w:rFonts w:ascii="Arial" w:hAnsi="Arial" w:cs="Arial"/>
          <w:noProof/>
        </w:rPr>
        <w:t xml:space="preserve">, </w:t>
      </w:r>
      <w:r w:rsidRPr="00365594">
        <w:rPr>
          <w:rFonts w:ascii="Arial" w:hAnsi="Arial" w:cs="Arial"/>
          <w:iCs/>
          <w:noProof/>
        </w:rPr>
        <w:t>3878</w:t>
      </w:r>
      <w:r w:rsidRPr="00365594">
        <w:rPr>
          <w:rFonts w:ascii="Arial" w:hAnsi="Arial" w:cs="Arial"/>
          <w:noProof/>
        </w:rPr>
        <w:t>(6), 2503–2508.</w:t>
      </w:r>
    </w:p>
    <w:p w14:paraId="54619DB3" w14:textId="77777777" w:rsidR="00823112" w:rsidRPr="00365594" w:rsidRDefault="00823112" w:rsidP="00823112">
      <w:pPr>
        <w:ind w:left="720"/>
        <w:jc w:val="both"/>
        <w:rPr>
          <w:rFonts w:ascii="Arial" w:hAnsi="Arial" w:cs="Arial"/>
        </w:rPr>
      </w:pPr>
      <w:hyperlink r:id="rId31" w:history="1">
        <w:r w:rsidRPr="00365594">
          <w:rPr>
            <w:rStyle w:val="Hyperlink"/>
            <w:rFonts w:ascii="Arial" w:hAnsi="Arial" w:cs="Arial"/>
            <w:noProof/>
          </w:rPr>
          <w:t>https://doi.org/10.35940/ijrte.F8370.038620</w:t>
        </w:r>
      </w:hyperlink>
      <w:r w:rsidRPr="00365594">
        <w:rPr>
          <w:rStyle w:val="Hyperlink"/>
          <w:rFonts w:ascii="Arial" w:hAnsi="Arial" w:cs="Arial"/>
          <w:noProof/>
        </w:rPr>
        <w:t xml:space="preserve"> </w:t>
      </w:r>
    </w:p>
    <w:p w14:paraId="3FEBB9F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Sari, V. I., &amp; Jainal, R. (2020). </w:t>
      </w:r>
      <w:r w:rsidRPr="00365594">
        <w:rPr>
          <w:rFonts w:ascii="Arial" w:hAnsi="Arial" w:cs="Arial"/>
          <w:iCs/>
          <w:noProof/>
        </w:rPr>
        <w:t xml:space="preserve">The effecivity of babadotan </w:t>
      </w:r>
      <w:r w:rsidRPr="00365594">
        <w:rPr>
          <w:rFonts w:ascii="Arial" w:hAnsi="Arial" w:cs="Arial"/>
          <w:i/>
          <w:iCs/>
          <w:noProof/>
        </w:rPr>
        <w:t xml:space="preserve">(Ageratum conyzoides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 xml:space="preserve">extract as bioherbicide for germination of mung bean </w:t>
      </w:r>
      <w:r w:rsidRPr="00365594">
        <w:rPr>
          <w:rFonts w:ascii="Arial" w:hAnsi="Arial" w:cs="Arial"/>
          <w:i/>
          <w:iCs/>
          <w:noProof/>
        </w:rPr>
        <w:t xml:space="preserve">(Vigna radiata </w:t>
      </w:r>
      <w:r w:rsidRPr="00365594">
        <w:rPr>
          <w:rFonts w:ascii="Arial" w:hAnsi="Arial" w:cs="Arial"/>
          <w:iCs/>
          <w:noProof/>
        </w:rPr>
        <w:t>L.</w:t>
      </w:r>
      <w:r w:rsidRPr="00365594">
        <w:rPr>
          <w:rFonts w:ascii="Arial" w:hAnsi="Arial" w:cs="Arial"/>
          <w:i/>
          <w:iCs/>
          <w:noProof/>
        </w:rPr>
        <w:t>)</w:t>
      </w:r>
      <w:r w:rsidRPr="00365594">
        <w:rPr>
          <w:rFonts w:ascii="Arial" w:hAnsi="Arial" w:cs="Arial"/>
          <w:noProof/>
        </w:rPr>
        <w:t>. Jurnal Pertanian Presisi</w:t>
      </w:r>
      <w:r w:rsidRPr="00365594">
        <w:rPr>
          <w:rFonts w:ascii="Arial" w:hAnsi="Arial" w:cs="Arial"/>
          <w:iCs/>
          <w:noProof/>
        </w:rPr>
        <w:t xml:space="preserve"> , 4</w:t>
      </w:r>
      <w:r w:rsidRPr="00365594">
        <w:rPr>
          <w:rFonts w:ascii="Arial" w:hAnsi="Arial" w:cs="Arial"/>
          <w:noProof/>
        </w:rPr>
        <w:t>(1) , 18–28.</w:t>
      </w:r>
      <w:r w:rsidRPr="00365594">
        <w:rPr>
          <w:rFonts w:ascii="Arial" w:hAnsi="Arial" w:cs="Arial"/>
        </w:rPr>
        <w:t xml:space="preserve"> </w:t>
      </w:r>
    </w:p>
    <w:p w14:paraId="514AF035" w14:textId="1136051E" w:rsidR="00823112" w:rsidRPr="00365594" w:rsidRDefault="00823112" w:rsidP="00823112">
      <w:pPr>
        <w:widowControl w:val="0"/>
        <w:autoSpaceDE w:val="0"/>
        <w:autoSpaceDN w:val="0"/>
        <w:adjustRightInd w:val="0"/>
        <w:ind w:left="720" w:hanging="720"/>
        <w:jc w:val="both"/>
        <w:rPr>
          <w:rFonts w:ascii="Arial" w:hAnsi="Arial" w:cs="Arial"/>
          <w:b/>
          <w:noProof/>
          <w:color w:val="FF0000"/>
          <w:u w:val="single"/>
        </w:rPr>
      </w:pPr>
      <w:r w:rsidRPr="00365594">
        <w:rPr>
          <w:rFonts w:ascii="Arial" w:hAnsi="Arial" w:cs="Arial"/>
          <w:noProof/>
        </w:rPr>
        <w:t>Scavo, A., Abbate, C., &amp; Mauromicale,</w:t>
      </w:r>
      <w:r w:rsidR="00FB1AC0">
        <w:rPr>
          <w:rFonts w:ascii="Arial" w:hAnsi="Arial" w:cs="Arial"/>
          <w:noProof/>
        </w:rPr>
        <w:t xml:space="preserve"> </w:t>
      </w:r>
      <w:r w:rsidRPr="00365594">
        <w:rPr>
          <w:rFonts w:ascii="Arial" w:hAnsi="Arial" w:cs="Arial"/>
          <w:noProof/>
        </w:rPr>
        <w:t xml:space="preserve">G. (2019). </w:t>
      </w:r>
      <w:r w:rsidRPr="00365594">
        <w:rPr>
          <w:rFonts w:ascii="Arial" w:hAnsi="Arial" w:cs="Arial"/>
          <w:iCs/>
          <w:noProof/>
        </w:rPr>
        <w:t>Plant allelochemicals : agronomic , nutritional and ecological relevance in the soil system</w:t>
      </w:r>
      <w:r w:rsidRPr="00365594">
        <w:rPr>
          <w:rFonts w:ascii="Arial" w:hAnsi="Arial" w:cs="Arial"/>
          <w:noProof/>
        </w:rPr>
        <w:t xml:space="preserve">. Plant and Soil, 442, 23–48.  </w:t>
      </w:r>
      <w:hyperlink r:id="rId32" w:history="1">
        <w:r w:rsidRPr="00365594">
          <w:rPr>
            <w:rStyle w:val="Hyperlink"/>
            <w:rFonts w:ascii="Arial" w:hAnsi="Arial" w:cs="Arial"/>
            <w:noProof/>
          </w:rPr>
          <w:t>https://doi.org/10.1007/s11104-019-04190-y</w:t>
        </w:r>
      </w:hyperlink>
    </w:p>
    <w:p w14:paraId="42EDFE2A"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Sembodo, R. (2010). </w:t>
      </w:r>
      <w:r w:rsidRPr="00365594">
        <w:rPr>
          <w:rFonts w:ascii="Arial" w:hAnsi="Arial" w:cs="Arial"/>
        </w:rPr>
        <w:t>Weeds and Their Management</w:t>
      </w:r>
      <w:r w:rsidRPr="00365594">
        <w:rPr>
          <w:rFonts w:ascii="Arial" w:hAnsi="Arial" w:cs="Arial"/>
          <w:noProof/>
        </w:rPr>
        <w:t>. Graha Ilmu, Yogyakarta.</w:t>
      </w:r>
    </w:p>
    <w:p w14:paraId="3F3C7417"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Setiadi, A., Ginting, Y. C., Hendarto, K., &amp; Ratih, S. (2021). The effect of phos</w:t>
      </w:r>
      <w:r w:rsidR="00201A40" w:rsidRPr="00365594">
        <w:rPr>
          <w:rFonts w:ascii="Arial" w:hAnsi="Arial" w:cs="Arial"/>
          <w:noProof/>
        </w:rPr>
        <w:t>phate solubilizing bacteria (PSB</w:t>
      </w:r>
      <w:r w:rsidRPr="00365594">
        <w:rPr>
          <w:rFonts w:ascii="Arial" w:hAnsi="Arial" w:cs="Arial"/>
          <w:noProof/>
        </w:rPr>
        <w:t>) and phosphate fertilizer on the growth and the yield of cucumber (</w:t>
      </w:r>
      <w:r w:rsidRPr="00365594">
        <w:rPr>
          <w:rFonts w:ascii="Arial" w:hAnsi="Arial" w:cs="Arial"/>
          <w:i/>
          <w:noProof/>
        </w:rPr>
        <w:t>Cucumis sativus</w:t>
      </w:r>
      <w:r w:rsidRPr="00365594">
        <w:rPr>
          <w:rFonts w:ascii="Arial" w:hAnsi="Arial" w:cs="Arial"/>
          <w:noProof/>
        </w:rPr>
        <w:t xml:space="preserve"> L.). </w:t>
      </w:r>
      <w:r w:rsidRPr="00365594">
        <w:rPr>
          <w:rFonts w:ascii="Arial" w:hAnsi="Arial" w:cs="Arial"/>
          <w:iCs/>
          <w:noProof/>
        </w:rPr>
        <w:t>Jurnal Agrotek Tropika</w:t>
      </w:r>
      <w:r w:rsidRPr="00365594">
        <w:rPr>
          <w:rFonts w:ascii="Arial" w:hAnsi="Arial" w:cs="Arial"/>
          <w:noProof/>
        </w:rPr>
        <w:t xml:space="preserve">, </w:t>
      </w:r>
      <w:r w:rsidRPr="00365594">
        <w:rPr>
          <w:rFonts w:ascii="Arial" w:hAnsi="Arial" w:cs="Arial"/>
          <w:iCs/>
          <w:noProof/>
        </w:rPr>
        <w:t>9</w:t>
      </w:r>
      <w:r w:rsidRPr="00365594">
        <w:rPr>
          <w:rFonts w:ascii="Arial" w:hAnsi="Arial" w:cs="Arial"/>
          <w:noProof/>
        </w:rPr>
        <w:t xml:space="preserve">(3), 443–451. </w:t>
      </w:r>
      <w:hyperlink r:id="rId33" w:history="1">
        <w:r w:rsidRPr="00365594">
          <w:rPr>
            <w:rStyle w:val="Hyperlink"/>
            <w:rFonts w:ascii="Arial" w:hAnsi="Arial" w:cs="Arial"/>
            <w:noProof/>
          </w:rPr>
          <w:t>https://dx.doi.org/10.23960/jat.v9i3.5297</w:t>
        </w:r>
      </w:hyperlink>
    </w:p>
    <w:p w14:paraId="0D3E603D" w14:textId="77777777" w:rsidR="00823112" w:rsidRPr="00365594" w:rsidRDefault="00823112" w:rsidP="00823112">
      <w:pPr>
        <w:widowControl w:val="0"/>
        <w:autoSpaceDE w:val="0"/>
        <w:autoSpaceDN w:val="0"/>
        <w:adjustRightInd w:val="0"/>
        <w:ind w:left="720" w:hanging="720"/>
        <w:jc w:val="both"/>
        <w:rPr>
          <w:rFonts w:ascii="Arial" w:hAnsi="Arial" w:cs="Arial"/>
          <w:color w:val="222222"/>
          <w:shd w:val="clear" w:color="auto" w:fill="FFFFFF"/>
        </w:rPr>
      </w:pPr>
      <w:r w:rsidRPr="00365594">
        <w:rPr>
          <w:rFonts w:ascii="Arial" w:hAnsi="Arial" w:cs="Arial"/>
          <w:color w:val="222222"/>
          <w:shd w:val="clear" w:color="auto" w:fill="FFFFFF"/>
        </w:rPr>
        <w:t>Setyowati, N., Siregar, D. F. A., Nurjanah, U., &amp; Muktamar, Z. (2025). Allelochemicals of Goatweed (</w:t>
      </w:r>
      <w:r w:rsidRPr="00365594">
        <w:rPr>
          <w:rFonts w:ascii="Arial" w:hAnsi="Arial" w:cs="Arial"/>
          <w:i/>
          <w:color w:val="222222"/>
          <w:shd w:val="clear" w:color="auto" w:fill="FFFFFF"/>
        </w:rPr>
        <w:t>Ageratum conyzoides</w:t>
      </w:r>
      <w:r w:rsidRPr="00365594">
        <w:rPr>
          <w:rFonts w:ascii="Arial" w:hAnsi="Arial" w:cs="Arial"/>
          <w:color w:val="222222"/>
          <w:shd w:val="clear" w:color="auto" w:fill="FFFFFF"/>
        </w:rPr>
        <w:t xml:space="preserve"> L.) potential as a natural herbicide for weed control. </w:t>
      </w:r>
      <w:r w:rsidRPr="00365594">
        <w:rPr>
          <w:rFonts w:ascii="Arial" w:hAnsi="Arial" w:cs="Arial"/>
          <w:iCs/>
          <w:color w:val="222222"/>
          <w:shd w:val="clear" w:color="auto" w:fill="FFFFFF"/>
        </w:rPr>
        <w:t>American Journal of Multidisciplinary Research &amp; Development (AJMRD)</w:t>
      </w:r>
      <w:r w:rsidRPr="00365594">
        <w:rPr>
          <w:rFonts w:ascii="Arial" w:hAnsi="Arial" w:cs="Arial"/>
          <w:color w:val="222222"/>
          <w:shd w:val="clear" w:color="auto" w:fill="FFFFFF"/>
        </w:rPr>
        <w:t>, </w:t>
      </w:r>
      <w:r w:rsidRPr="00365594">
        <w:rPr>
          <w:rFonts w:ascii="Arial" w:hAnsi="Arial" w:cs="Arial"/>
          <w:i/>
          <w:iCs/>
          <w:color w:val="222222"/>
          <w:shd w:val="clear" w:color="auto" w:fill="FFFFFF"/>
        </w:rPr>
        <w:t>7</w:t>
      </w:r>
      <w:r w:rsidRPr="00365594">
        <w:rPr>
          <w:rFonts w:ascii="Arial" w:hAnsi="Arial" w:cs="Arial"/>
          <w:color w:val="222222"/>
          <w:shd w:val="clear" w:color="auto" w:fill="FFFFFF"/>
        </w:rPr>
        <w:t>(03), 01-08.</w:t>
      </w:r>
    </w:p>
    <w:p w14:paraId="2CFEBB62" w14:textId="77777777" w:rsidR="00823112" w:rsidRPr="00365594" w:rsidRDefault="00823112" w:rsidP="00823112">
      <w:pPr>
        <w:widowControl w:val="0"/>
        <w:autoSpaceDE w:val="0"/>
        <w:autoSpaceDN w:val="0"/>
        <w:adjustRightInd w:val="0"/>
        <w:ind w:left="720" w:hanging="720"/>
        <w:jc w:val="both"/>
        <w:rPr>
          <w:rFonts w:ascii="Arial" w:hAnsi="Arial" w:cs="Arial"/>
          <w:b/>
          <w:bCs/>
        </w:rPr>
      </w:pPr>
      <w:r w:rsidRPr="00365594">
        <w:rPr>
          <w:rFonts w:ascii="Arial" w:hAnsi="Arial" w:cs="Arial"/>
          <w:bCs/>
        </w:rPr>
        <w:t xml:space="preserve">Susilo, E., Setyowati, N., Nurjanah, U., Riwandi, R., &amp; Muktamar, Z. (2023). Inhibition of </w:t>
      </w:r>
      <w:r w:rsidRPr="00365594">
        <w:rPr>
          <w:rFonts w:ascii="Arial" w:hAnsi="Arial" w:cs="Arial"/>
          <w:bCs/>
        </w:rPr>
        <w:lastRenderedPageBreak/>
        <w:t>seed germination under water extracts of sorghum (</w:t>
      </w:r>
      <w:r w:rsidRPr="00365594">
        <w:rPr>
          <w:rFonts w:ascii="Arial" w:hAnsi="Arial" w:cs="Arial"/>
          <w:bCs/>
          <w:i/>
        </w:rPr>
        <w:t>Sorghum bicolor</w:t>
      </w:r>
      <w:r w:rsidRPr="00365594">
        <w:rPr>
          <w:rFonts w:ascii="Arial" w:hAnsi="Arial" w:cs="Arial"/>
          <w:bCs/>
        </w:rPr>
        <w:t xml:space="preserve"> L.) and its ratoon cultivated in swamp land. International Journal of Agricultural Technology, 19(3), 1337–1346</w:t>
      </w:r>
      <w:r w:rsidRPr="00365594">
        <w:rPr>
          <w:rFonts w:ascii="Arial" w:hAnsi="Arial" w:cs="Arial"/>
          <w:b/>
          <w:bCs/>
        </w:rPr>
        <w:t>.</w:t>
      </w:r>
    </w:p>
    <w:p w14:paraId="4367736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 xml:space="preserve">Susilo, E., Setyowati, N., &amp; Pujiwati, H.  (2024). The potential of sorghum water extract as bioherbicide under different varieties and water stresses. International Journal of Integrative Sciences, 3(11), 1255–1264. </w:t>
      </w:r>
      <w:hyperlink r:id="rId34" w:history="1">
        <w:r w:rsidRPr="00365594">
          <w:rPr>
            <w:rStyle w:val="Hyperlink"/>
            <w:rFonts w:ascii="Arial" w:hAnsi="Arial" w:cs="Arial"/>
            <w:bCs/>
          </w:rPr>
          <w:t>https://doi.org/10.55927/ijis.v3i11.12129</w:t>
        </w:r>
      </w:hyperlink>
    </w:p>
    <w:p w14:paraId="72C3C162"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Supriyanti, Y. I. (2025</w:t>
      </w:r>
      <w:r w:rsidRPr="00365594">
        <w:rPr>
          <w:rFonts w:ascii="Arial" w:hAnsi="Arial" w:cs="Arial"/>
          <w:bCs/>
          <w:vertAlign w:val="superscript"/>
        </w:rPr>
        <w:t>a</w:t>
      </w:r>
      <w:r w:rsidRPr="00365594">
        <w:rPr>
          <w:rFonts w:ascii="Arial" w:hAnsi="Arial" w:cs="Arial"/>
          <w:bCs/>
        </w:rPr>
        <w:t>). Effect of water stress and varieties on the bioherbicidal effectiveness of sorghum aqueous extracts. International Journal of Agricultural Technology, 21(1), 317–326.</w:t>
      </w:r>
    </w:p>
    <w:p w14:paraId="5ADED3E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Pujiwati, H. (2025</w:t>
      </w:r>
      <w:r w:rsidRPr="00365594">
        <w:rPr>
          <w:rFonts w:ascii="Arial" w:hAnsi="Arial" w:cs="Arial"/>
          <w:bCs/>
          <w:vertAlign w:val="superscript"/>
        </w:rPr>
        <w:t>b</w:t>
      </w:r>
      <w:r w:rsidRPr="00365594">
        <w:rPr>
          <w:rFonts w:ascii="Arial" w:hAnsi="Arial" w:cs="Arial"/>
          <w:bCs/>
        </w:rPr>
        <w:t>). Characterization of efficacy and flavonoid levels in sorghum extracts of Suri 4 variety with different levels of drought stress. International Journal of Integrative Sciences, 4(1),53-60.</w:t>
      </w:r>
    </w:p>
    <w:p w14:paraId="3174E05F" w14:textId="77777777" w:rsidR="00823112" w:rsidRPr="00365594" w:rsidRDefault="00823112" w:rsidP="00823112">
      <w:pPr>
        <w:widowControl w:val="0"/>
        <w:autoSpaceDE w:val="0"/>
        <w:autoSpaceDN w:val="0"/>
        <w:adjustRightInd w:val="0"/>
        <w:ind w:left="720"/>
        <w:jc w:val="both"/>
        <w:rPr>
          <w:rFonts w:ascii="Arial" w:hAnsi="Arial" w:cs="Arial"/>
          <w:bCs/>
        </w:rPr>
      </w:pPr>
      <w:hyperlink r:id="rId35" w:history="1">
        <w:r w:rsidRPr="00365594">
          <w:rPr>
            <w:rStyle w:val="Hyperlink"/>
            <w:rFonts w:ascii="Arial" w:hAnsi="Arial" w:cs="Arial"/>
            <w:bCs/>
          </w:rPr>
          <w:t>https://doi.org/10.55927/ijis.v4i1.13409</w:t>
        </w:r>
      </w:hyperlink>
    </w:p>
    <w:p w14:paraId="6BD07BF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Suzuki, M., Tominaga, T., Ohno, O., Iwasaki, A., Suenaga, K., &amp; Kato-Noguchi, H. (2018). Plant growth inhibitory activity and active substances with allelopathic potential of cogongrass </w:t>
      </w:r>
      <w:r w:rsidRPr="00365594">
        <w:rPr>
          <w:rFonts w:ascii="Arial" w:hAnsi="Arial" w:cs="Arial"/>
          <w:i/>
          <w:noProof/>
        </w:rPr>
        <w:t xml:space="preserve">(Imperata cylindrica </w:t>
      </w:r>
      <w:r w:rsidRPr="00365594">
        <w:rPr>
          <w:rFonts w:ascii="Arial" w:hAnsi="Arial" w:cs="Arial"/>
          <w:noProof/>
        </w:rPr>
        <w:t>L</w:t>
      </w:r>
      <w:r w:rsidRPr="00365594">
        <w:rPr>
          <w:rFonts w:ascii="Arial" w:hAnsi="Arial" w:cs="Arial"/>
          <w:i/>
          <w:noProof/>
        </w:rPr>
        <w:t>.</w:t>
      </w:r>
      <w:r w:rsidRPr="00365594">
        <w:rPr>
          <w:rFonts w:ascii="Arial" w:hAnsi="Arial" w:cs="Arial"/>
          <w:noProof/>
        </w:rPr>
        <w:t xml:space="preserve">) rhizome. </w:t>
      </w:r>
      <w:r w:rsidRPr="00365594">
        <w:rPr>
          <w:rFonts w:ascii="Arial" w:hAnsi="Arial" w:cs="Arial"/>
          <w:iCs/>
          <w:noProof/>
        </w:rPr>
        <w:t>Weed Biology and Management</w:t>
      </w:r>
      <w:r w:rsidRPr="00365594">
        <w:rPr>
          <w:rFonts w:ascii="Arial" w:hAnsi="Arial" w:cs="Arial"/>
          <w:noProof/>
        </w:rPr>
        <w:t xml:space="preserve">, </w:t>
      </w:r>
      <w:r w:rsidRPr="00365594">
        <w:rPr>
          <w:rFonts w:ascii="Arial" w:hAnsi="Arial" w:cs="Arial"/>
          <w:iCs/>
          <w:noProof/>
        </w:rPr>
        <w:t>18(2)</w:t>
      </w:r>
      <w:r w:rsidRPr="00365594">
        <w:rPr>
          <w:rFonts w:ascii="Arial" w:hAnsi="Arial" w:cs="Arial"/>
          <w:noProof/>
        </w:rPr>
        <w:t xml:space="preserve">, 92–98. </w:t>
      </w:r>
    </w:p>
    <w:p w14:paraId="3830C2AB" w14:textId="77777777" w:rsidR="00823112" w:rsidRPr="00365594" w:rsidRDefault="00823112" w:rsidP="00823112">
      <w:pPr>
        <w:widowControl w:val="0"/>
        <w:autoSpaceDE w:val="0"/>
        <w:autoSpaceDN w:val="0"/>
        <w:adjustRightInd w:val="0"/>
        <w:ind w:left="720"/>
        <w:jc w:val="both"/>
        <w:rPr>
          <w:rFonts w:ascii="Arial" w:hAnsi="Arial" w:cs="Arial"/>
          <w:noProof/>
        </w:rPr>
      </w:pPr>
      <w:hyperlink r:id="rId36" w:history="1">
        <w:r w:rsidRPr="00365594">
          <w:rPr>
            <w:rStyle w:val="Hyperlink"/>
            <w:rFonts w:ascii="Arial" w:hAnsi="Arial" w:cs="Arial"/>
            <w:noProof/>
          </w:rPr>
          <w:t>https://doi.org/10.1111/wbm.12144</w:t>
        </w:r>
      </w:hyperlink>
    </w:p>
    <w:p w14:paraId="41A8F16A" w14:textId="77777777" w:rsidR="00AD04CD" w:rsidRPr="00365594" w:rsidRDefault="00823112" w:rsidP="00C15A0D">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Yanti, M., Indriyanto., &amp; Duryat. (2016). The effect of allolepathy from blady grass to three species of acacia seedlings growth. Jurnal </w:t>
      </w:r>
      <w:r w:rsidRPr="00365594">
        <w:rPr>
          <w:rFonts w:ascii="Arial" w:hAnsi="Arial" w:cs="Arial"/>
          <w:iCs/>
          <w:noProof/>
        </w:rPr>
        <w:t>Sylva Lestari</w:t>
      </w:r>
      <w:r w:rsidRPr="00365594">
        <w:rPr>
          <w:rFonts w:ascii="Arial" w:hAnsi="Arial" w:cs="Arial"/>
          <w:noProof/>
        </w:rPr>
        <w:t xml:space="preserve">, </w:t>
      </w:r>
      <w:r w:rsidRPr="00365594">
        <w:rPr>
          <w:rFonts w:ascii="Arial" w:hAnsi="Arial" w:cs="Arial"/>
          <w:iCs/>
          <w:noProof/>
        </w:rPr>
        <w:t>4</w:t>
      </w:r>
      <w:r w:rsidRPr="00365594">
        <w:rPr>
          <w:rFonts w:ascii="Arial" w:hAnsi="Arial" w:cs="Arial"/>
          <w:noProof/>
        </w:rPr>
        <w:t>(2), 27–38.</w:t>
      </w:r>
    </w:p>
    <w:p w14:paraId="09423A71" w14:textId="6E158B8B" w:rsidR="00AD04CD" w:rsidRPr="00AD04CD" w:rsidRDefault="00823112" w:rsidP="00AD04CD">
      <w:pPr>
        <w:widowControl w:val="0"/>
        <w:autoSpaceDE w:val="0"/>
        <w:autoSpaceDN w:val="0"/>
        <w:adjustRightInd w:val="0"/>
        <w:ind w:left="720" w:hanging="720"/>
        <w:jc w:val="both"/>
        <w:rPr>
          <w:rFonts w:ascii="Arial" w:hAnsi="Arial" w:cs="Arial"/>
          <w:noProof/>
          <w:color w:val="FF0080"/>
          <w:u w:val="single"/>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Xuan, T. D., Toyama, T., Fukuta, M., Khanh, T. D., &amp; Tawata, S. (2009). Chemical interaction in the invasiveness of cogongrass (</w:t>
      </w:r>
      <w:r w:rsidRPr="00365594">
        <w:rPr>
          <w:rFonts w:ascii="Arial" w:hAnsi="Arial" w:cs="Arial"/>
          <w:i/>
          <w:noProof/>
        </w:rPr>
        <w:t>Imperata cylindrica</w:t>
      </w:r>
      <w:r w:rsidRPr="00365594">
        <w:rPr>
          <w:rFonts w:ascii="Arial" w:hAnsi="Arial" w:cs="Arial"/>
          <w:noProof/>
        </w:rPr>
        <w:t xml:space="preserve"> </w:t>
      </w:r>
      <w:r w:rsidR="004822FA">
        <w:rPr>
          <w:rFonts w:ascii="Arial" w:hAnsi="Arial" w:cs="Arial"/>
          <w:noProof/>
        </w:rPr>
        <w:t>(</w:t>
      </w:r>
      <w:r w:rsidRPr="00365594">
        <w:rPr>
          <w:rFonts w:ascii="Arial" w:hAnsi="Arial" w:cs="Arial"/>
          <w:noProof/>
        </w:rPr>
        <w:t>L.) Beauv</w:t>
      </w:r>
      <w:r w:rsidR="004822FA">
        <w:rPr>
          <w:rFonts w:ascii="Arial" w:hAnsi="Arial" w:cs="Arial"/>
          <w:noProof/>
        </w:rPr>
        <w:t>.)</w:t>
      </w:r>
      <w:r w:rsidRPr="00365594">
        <w:rPr>
          <w:rFonts w:ascii="Arial" w:hAnsi="Arial" w:cs="Arial"/>
          <w:noProof/>
        </w:rPr>
        <w:t xml:space="preserve">. </w:t>
      </w:r>
      <w:r w:rsidRPr="00365594">
        <w:rPr>
          <w:rFonts w:ascii="Arial" w:hAnsi="Arial" w:cs="Arial"/>
          <w:iCs/>
          <w:noProof/>
        </w:rPr>
        <w:t>Jounal Agricltural and Food Chemistry</w:t>
      </w:r>
      <w:r w:rsidRPr="00365594">
        <w:rPr>
          <w:rFonts w:ascii="Arial" w:hAnsi="Arial" w:cs="Arial"/>
          <w:noProof/>
        </w:rPr>
        <w:t>,</w:t>
      </w:r>
      <w:r w:rsidR="004822FA">
        <w:rPr>
          <w:rFonts w:ascii="Arial" w:hAnsi="Arial" w:cs="Arial"/>
          <w:noProof/>
        </w:rPr>
        <w:t xml:space="preserve"> </w:t>
      </w:r>
      <w:r w:rsidRPr="00365594">
        <w:rPr>
          <w:rFonts w:ascii="Arial" w:hAnsi="Arial" w:cs="Arial"/>
          <w:iCs/>
          <w:noProof/>
        </w:rPr>
        <w:t>57</w:t>
      </w:r>
      <w:r w:rsidRPr="00365594">
        <w:rPr>
          <w:rFonts w:ascii="Arial" w:hAnsi="Arial" w:cs="Arial"/>
          <w:noProof/>
        </w:rPr>
        <w:t xml:space="preserve">(20), 9448–9453. </w:t>
      </w:r>
      <w:hyperlink r:id="rId37" w:history="1">
        <w:r w:rsidRPr="00365594">
          <w:rPr>
            <w:rStyle w:val="Hyperlink"/>
            <w:rFonts w:ascii="Arial" w:hAnsi="Arial" w:cs="Arial"/>
            <w:noProof/>
          </w:rPr>
          <w:t>https://doi.org/10.1021/jf902310j</w:t>
        </w:r>
      </w:hyperlink>
    </w:p>
    <w:p w14:paraId="4CC8A6B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Yunasfi. (2008). Pest, disease, and weed problems in industrial plantation forest development and their control efforts. </w:t>
      </w:r>
      <w:r w:rsidRPr="00365594">
        <w:rPr>
          <w:rFonts w:ascii="Arial" w:hAnsi="Arial" w:cs="Arial"/>
          <w:iCs/>
          <w:noProof/>
        </w:rPr>
        <w:t xml:space="preserve">Departemen Kehutanan, Fakultas Pertanian, Universitas Sumatera Utara, </w:t>
      </w:r>
      <w:r w:rsidRPr="00365594">
        <w:rPr>
          <w:rFonts w:ascii="Arial" w:hAnsi="Arial" w:cs="Arial"/>
          <w:noProof/>
        </w:rPr>
        <w:t>1–30.</w:t>
      </w:r>
    </w:p>
    <w:p w14:paraId="48B18883" w14:textId="77777777" w:rsidR="0051314C" w:rsidRPr="00365594" w:rsidRDefault="00823112" w:rsidP="004050AB">
      <w:pPr>
        <w:widowControl w:val="0"/>
        <w:autoSpaceDE w:val="0"/>
        <w:autoSpaceDN w:val="0"/>
        <w:adjustRightInd w:val="0"/>
        <w:ind w:left="720" w:hanging="720"/>
        <w:jc w:val="both"/>
        <w:rPr>
          <w:rFonts w:ascii="Arial" w:hAnsi="Arial" w:cs="Arial"/>
          <w:b/>
          <w:bCs/>
        </w:rPr>
        <w:sectPr w:rsidR="0051314C" w:rsidRPr="00365594" w:rsidSect="00E5726D">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r w:rsidRPr="00365594">
        <w:rPr>
          <w:rFonts w:ascii="Arial" w:hAnsi="Arial" w:cs="Arial"/>
          <w:b/>
          <w:bCs/>
        </w:rPr>
        <w:fldChar w:fldCharType="end"/>
      </w:r>
    </w:p>
    <w:p w14:paraId="5DCED9FD" w14:textId="77777777" w:rsidR="00B01FCD" w:rsidRPr="00365594" w:rsidRDefault="00B01FCD" w:rsidP="004050AB">
      <w:pPr>
        <w:pStyle w:val="Appendix"/>
        <w:spacing w:after="0"/>
        <w:jc w:val="both"/>
        <w:rPr>
          <w:rFonts w:ascii="Arial" w:hAnsi="Arial" w:cs="Arial"/>
          <w:b w:val="0"/>
          <w:sz w:val="20"/>
        </w:rPr>
      </w:pPr>
    </w:p>
    <w:sectPr w:rsidR="00B01FCD" w:rsidRPr="00365594" w:rsidSect="00E572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72C6" w14:textId="77777777" w:rsidR="0065629A" w:rsidRDefault="0065629A" w:rsidP="00C37E61">
      <w:r>
        <w:separator/>
      </w:r>
    </w:p>
  </w:endnote>
  <w:endnote w:type="continuationSeparator" w:id="0">
    <w:p w14:paraId="533A0D28" w14:textId="77777777" w:rsidR="0065629A" w:rsidRDefault="006562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2095" w14:textId="77777777" w:rsidR="00E5726D" w:rsidRDefault="00E5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74B5" w14:textId="77777777" w:rsidR="00E5726D" w:rsidRDefault="00E5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E73" w14:textId="7D6E3B9A" w:rsidR="002D254C" w:rsidRPr="00E5726D" w:rsidRDefault="002D254C" w:rsidP="00E572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6715" w14:textId="77777777" w:rsidR="002D254C" w:rsidRPr="00C37E61" w:rsidRDefault="002D254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5F42" w14:textId="77777777" w:rsidR="0065629A" w:rsidRDefault="0065629A" w:rsidP="00C37E61">
      <w:r>
        <w:separator/>
      </w:r>
    </w:p>
  </w:footnote>
  <w:footnote w:type="continuationSeparator" w:id="0">
    <w:p w14:paraId="56772598" w14:textId="77777777" w:rsidR="0065629A" w:rsidRDefault="006562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476C" w14:textId="2295BC76" w:rsidR="00E5726D" w:rsidRDefault="00E5726D">
    <w:pPr>
      <w:pStyle w:val="Header"/>
    </w:pPr>
    <w:r>
      <w:rPr>
        <w:noProof/>
      </w:rPr>
      <w:pict w14:anchorId="69ACB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D610" w14:textId="22E9A072" w:rsidR="00E5726D" w:rsidRDefault="00E5726D">
    <w:pPr>
      <w:pStyle w:val="Header"/>
    </w:pPr>
    <w:r>
      <w:rPr>
        <w:noProof/>
      </w:rPr>
      <w:pict w14:anchorId="35052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E5FF" w14:textId="67DCB6ED" w:rsidR="002D254C" w:rsidRPr="00296529" w:rsidRDefault="00E5726D" w:rsidP="00296529">
    <w:pPr>
      <w:ind w:left="2160"/>
      <w:jc w:val="center"/>
      <w:rPr>
        <w:rFonts w:ascii="Times New Roman" w:eastAsia="Calibri" w:hAnsi="Times New Roman"/>
        <w:i/>
        <w:sz w:val="18"/>
        <w:szCs w:val="22"/>
      </w:rPr>
    </w:pPr>
    <w:r>
      <w:rPr>
        <w:noProof/>
      </w:rPr>
      <w:pict w14:anchorId="60F9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B823E2" w14:textId="77777777" w:rsidR="002D254C" w:rsidRPr="00296529" w:rsidRDefault="002D254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454A13" w14:textId="77777777" w:rsidR="002D254C" w:rsidRPr="00296529" w:rsidRDefault="002D254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37A4DA" w14:textId="77777777" w:rsidR="002D254C" w:rsidRPr="00296529" w:rsidRDefault="002D254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BC12E3" w14:textId="77777777" w:rsidR="002D254C" w:rsidRDefault="002D254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2D8A8B" w14:textId="77777777" w:rsidR="002D254C" w:rsidRDefault="002D254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28EEE8" w14:textId="77777777" w:rsidR="002D254C" w:rsidRDefault="002D254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67B7" w14:textId="01D4CF38" w:rsidR="00E5726D" w:rsidRDefault="00E5726D">
    <w:pPr>
      <w:pStyle w:val="Header"/>
    </w:pPr>
    <w:r>
      <w:rPr>
        <w:noProof/>
      </w:rPr>
      <w:pict w14:anchorId="18A4B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850E" w14:textId="734371B6" w:rsidR="00E5726D" w:rsidRDefault="00E5726D">
    <w:pPr>
      <w:pStyle w:val="Header"/>
    </w:pPr>
    <w:r>
      <w:rPr>
        <w:noProof/>
      </w:rPr>
      <w:pict w14:anchorId="1316F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B89B" w14:textId="54BFE475" w:rsidR="00E5726D" w:rsidRDefault="00E5726D">
    <w:pPr>
      <w:pStyle w:val="Header"/>
    </w:pPr>
    <w:r>
      <w:rPr>
        <w:noProof/>
      </w:rPr>
      <w:pict w14:anchorId="398C4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932F2"/>
    <w:multiLevelType w:val="hybridMultilevel"/>
    <w:tmpl w:val="5F2E000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381089"/>
    <w:multiLevelType w:val="hybridMultilevel"/>
    <w:tmpl w:val="1DC09E0A"/>
    <w:lvl w:ilvl="0" w:tplc="0B1232CC">
      <w:start w:val="1"/>
      <w:numFmt w:val="decimal"/>
      <w:lvlText w:val="2.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E62258"/>
    <w:multiLevelType w:val="hybridMultilevel"/>
    <w:tmpl w:val="A75CE70C"/>
    <w:lvl w:ilvl="0" w:tplc="317CF24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18666B"/>
    <w:multiLevelType w:val="hybridMultilevel"/>
    <w:tmpl w:val="AED25564"/>
    <w:lvl w:ilvl="0" w:tplc="BFCC70AA">
      <w:start w:val="1"/>
      <w:numFmt w:val="decimal"/>
      <w:lvlText w:val="%1."/>
      <w:lvlJc w:val="left"/>
      <w:pPr>
        <w:ind w:left="720" w:hanging="360"/>
      </w:pPr>
    </w:lvl>
    <w:lvl w:ilvl="1" w:tplc="A83EDFC8" w:tentative="1">
      <w:start w:val="1"/>
      <w:numFmt w:val="lowerLetter"/>
      <w:lvlText w:val="%2."/>
      <w:lvlJc w:val="left"/>
      <w:pPr>
        <w:ind w:left="1440" w:hanging="360"/>
      </w:pPr>
    </w:lvl>
    <w:lvl w:ilvl="2" w:tplc="8C52C520" w:tentative="1">
      <w:start w:val="1"/>
      <w:numFmt w:val="lowerRoman"/>
      <w:lvlText w:val="%3."/>
      <w:lvlJc w:val="right"/>
      <w:pPr>
        <w:ind w:left="2160" w:hanging="180"/>
      </w:pPr>
    </w:lvl>
    <w:lvl w:ilvl="3" w:tplc="E9ACEE4C" w:tentative="1">
      <w:start w:val="1"/>
      <w:numFmt w:val="decimal"/>
      <w:lvlText w:val="%4."/>
      <w:lvlJc w:val="left"/>
      <w:pPr>
        <w:ind w:left="2880" w:hanging="360"/>
      </w:pPr>
    </w:lvl>
    <w:lvl w:ilvl="4" w:tplc="7BE6A044" w:tentative="1">
      <w:start w:val="1"/>
      <w:numFmt w:val="lowerLetter"/>
      <w:lvlText w:val="%5."/>
      <w:lvlJc w:val="left"/>
      <w:pPr>
        <w:ind w:left="3600" w:hanging="360"/>
      </w:pPr>
    </w:lvl>
    <w:lvl w:ilvl="5" w:tplc="E7646484" w:tentative="1">
      <w:start w:val="1"/>
      <w:numFmt w:val="lowerRoman"/>
      <w:lvlText w:val="%6."/>
      <w:lvlJc w:val="right"/>
      <w:pPr>
        <w:ind w:left="4320" w:hanging="180"/>
      </w:pPr>
    </w:lvl>
    <w:lvl w:ilvl="6" w:tplc="7166DEBE" w:tentative="1">
      <w:start w:val="1"/>
      <w:numFmt w:val="decimal"/>
      <w:lvlText w:val="%7."/>
      <w:lvlJc w:val="left"/>
      <w:pPr>
        <w:ind w:left="5040" w:hanging="360"/>
      </w:pPr>
    </w:lvl>
    <w:lvl w:ilvl="7" w:tplc="CCEE732E" w:tentative="1">
      <w:start w:val="1"/>
      <w:numFmt w:val="lowerLetter"/>
      <w:lvlText w:val="%8."/>
      <w:lvlJc w:val="left"/>
      <w:pPr>
        <w:ind w:left="5760" w:hanging="360"/>
      </w:pPr>
    </w:lvl>
    <w:lvl w:ilvl="8" w:tplc="32DEDE7A" w:tentative="1">
      <w:start w:val="1"/>
      <w:numFmt w:val="lowerRoman"/>
      <w:lvlText w:val="%9."/>
      <w:lvlJc w:val="right"/>
      <w:pPr>
        <w:ind w:left="6480" w:hanging="180"/>
      </w:pPr>
    </w:lvl>
  </w:abstractNum>
  <w:abstractNum w:abstractNumId="19" w15:restartNumberingAfterBreak="0">
    <w:nsid w:val="376E2511"/>
    <w:multiLevelType w:val="hybridMultilevel"/>
    <w:tmpl w:val="867CAAC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6151C"/>
    <w:multiLevelType w:val="hybridMultilevel"/>
    <w:tmpl w:val="0680DDB6"/>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8DA3E7C"/>
    <w:multiLevelType w:val="hybridMultilevel"/>
    <w:tmpl w:val="BA06F4EC"/>
    <w:lvl w:ilvl="0" w:tplc="E4029D80">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245555"/>
    <w:multiLevelType w:val="hybridMultilevel"/>
    <w:tmpl w:val="D1DED64C"/>
    <w:lvl w:ilvl="0" w:tplc="4132A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13883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305901">
    <w:abstractNumId w:val="21"/>
  </w:num>
  <w:num w:numId="3" w16cid:durableId="1459370034">
    <w:abstractNumId w:val="31"/>
  </w:num>
  <w:num w:numId="4" w16cid:durableId="16045326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8485880">
    <w:abstractNumId w:val="9"/>
  </w:num>
  <w:num w:numId="6" w16cid:durableId="141626185">
    <w:abstractNumId w:val="8"/>
  </w:num>
  <w:num w:numId="7" w16cid:durableId="1873568060">
    <w:abstractNumId w:val="2"/>
  </w:num>
  <w:num w:numId="8" w16cid:durableId="1338463744">
    <w:abstractNumId w:val="15"/>
  </w:num>
  <w:num w:numId="9" w16cid:durableId="1259871592">
    <w:abstractNumId w:val="33"/>
  </w:num>
  <w:num w:numId="10" w16cid:durableId="1452553487">
    <w:abstractNumId w:val="3"/>
  </w:num>
  <w:num w:numId="11" w16cid:durableId="716703892">
    <w:abstractNumId w:val="25"/>
  </w:num>
  <w:num w:numId="12" w16cid:durableId="1448348667">
    <w:abstractNumId w:val="4"/>
  </w:num>
  <w:num w:numId="13" w16cid:durableId="1679383833">
    <w:abstractNumId w:val="23"/>
  </w:num>
  <w:num w:numId="14" w16cid:durableId="1386567316">
    <w:abstractNumId w:val="10"/>
  </w:num>
  <w:num w:numId="15" w16cid:durableId="2040161808">
    <w:abstractNumId w:val="28"/>
  </w:num>
  <w:num w:numId="16" w16cid:durableId="1103039078">
    <w:abstractNumId w:val="6"/>
  </w:num>
  <w:num w:numId="17" w16cid:durableId="1535538194">
    <w:abstractNumId w:val="29"/>
  </w:num>
  <w:num w:numId="18" w16cid:durableId="1761876588">
    <w:abstractNumId w:val="17"/>
  </w:num>
  <w:num w:numId="19" w16cid:durableId="83455890">
    <w:abstractNumId w:val="36"/>
  </w:num>
  <w:num w:numId="20" w16cid:durableId="159658975">
    <w:abstractNumId w:val="14"/>
  </w:num>
  <w:num w:numId="21" w16cid:durableId="525094941">
    <w:abstractNumId w:val="11"/>
  </w:num>
  <w:num w:numId="22" w16cid:durableId="1937981374">
    <w:abstractNumId w:val="16"/>
  </w:num>
  <w:num w:numId="23" w16cid:durableId="290210557">
    <w:abstractNumId w:val="26"/>
  </w:num>
  <w:num w:numId="24" w16cid:durableId="1326320990">
    <w:abstractNumId w:val="34"/>
  </w:num>
  <w:num w:numId="25" w16cid:durableId="1070956122">
    <w:abstractNumId w:val="5"/>
  </w:num>
  <w:num w:numId="26" w16cid:durableId="1249774786">
    <w:abstractNumId w:val="22"/>
  </w:num>
  <w:num w:numId="27" w16cid:durableId="240484198">
    <w:abstractNumId w:val="27"/>
  </w:num>
  <w:num w:numId="28" w16cid:durableId="419496056">
    <w:abstractNumId w:val="35"/>
  </w:num>
  <w:num w:numId="29" w16cid:durableId="1359743846">
    <w:abstractNumId w:val="32"/>
  </w:num>
  <w:num w:numId="30" w16cid:durableId="428307466">
    <w:abstractNumId w:val="13"/>
  </w:num>
  <w:num w:numId="31" w16cid:durableId="1130855551">
    <w:abstractNumId w:val="18"/>
  </w:num>
  <w:num w:numId="32" w16cid:durableId="1309549411">
    <w:abstractNumId w:val="20"/>
  </w:num>
  <w:num w:numId="33" w16cid:durableId="719405859">
    <w:abstractNumId w:val="19"/>
  </w:num>
  <w:num w:numId="34" w16cid:durableId="412556294">
    <w:abstractNumId w:val="1"/>
  </w:num>
  <w:num w:numId="35" w16cid:durableId="1411074120">
    <w:abstractNumId w:val="12"/>
  </w:num>
  <w:num w:numId="36" w16cid:durableId="1047535538">
    <w:abstractNumId w:val="7"/>
  </w:num>
  <w:num w:numId="37" w16cid:durableId="430779581">
    <w:abstractNumId w:val="24"/>
  </w:num>
  <w:num w:numId="38" w16cid:durableId="14258764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679"/>
    <w:rsid w:val="00027A35"/>
    <w:rsid w:val="00030174"/>
    <w:rsid w:val="00042AF1"/>
    <w:rsid w:val="0004579C"/>
    <w:rsid w:val="0005382D"/>
    <w:rsid w:val="00062D3B"/>
    <w:rsid w:val="00067046"/>
    <w:rsid w:val="000A47FA"/>
    <w:rsid w:val="000A65D3"/>
    <w:rsid w:val="000A7B68"/>
    <w:rsid w:val="000B0DBD"/>
    <w:rsid w:val="000B1E33"/>
    <w:rsid w:val="000D11B5"/>
    <w:rsid w:val="000D689F"/>
    <w:rsid w:val="000E7B7B"/>
    <w:rsid w:val="000E7D62"/>
    <w:rsid w:val="001003B7"/>
    <w:rsid w:val="00103357"/>
    <w:rsid w:val="0010452B"/>
    <w:rsid w:val="00123C9F"/>
    <w:rsid w:val="00126190"/>
    <w:rsid w:val="00130F17"/>
    <w:rsid w:val="001320BF"/>
    <w:rsid w:val="0013568F"/>
    <w:rsid w:val="00145EC9"/>
    <w:rsid w:val="00163BC4"/>
    <w:rsid w:val="001826F4"/>
    <w:rsid w:val="00191062"/>
    <w:rsid w:val="00192B72"/>
    <w:rsid w:val="001A29D8"/>
    <w:rsid w:val="001A5BE4"/>
    <w:rsid w:val="001A5CAA"/>
    <w:rsid w:val="001B0427"/>
    <w:rsid w:val="001D3A51"/>
    <w:rsid w:val="001D6E45"/>
    <w:rsid w:val="001E10D2"/>
    <w:rsid w:val="001E25B4"/>
    <w:rsid w:val="001E44FE"/>
    <w:rsid w:val="001E641B"/>
    <w:rsid w:val="00200595"/>
    <w:rsid w:val="00201A40"/>
    <w:rsid w:val="00204835"/>
    <w:rsid w:val="00221AFF"/>
    <w:rsid w:val="00231920"/>
    <w:rsid w:val="0023195C"/>
    <w:rsid w:val="002366BF"/>
    <w:rsid w:val="0024282C"/>
    <w:rsid w:val="002460DC"/>
    <w:rsid w:val="00246AF8"/>
    <w:rsid w:val="00250985"/>
    <w:rsid w:val="002556F6"/>
    <w:rsid w:val="00272FD8"/>
    <w:rsid w:val="002759D5"/>
    <w:rsid w:val="00282133"/>
    <w:rsid w:val="00283105"/>
    <w:rsid w:val="00284C4C"/>
    <w:rsid w:val="00287E68"/>
    <w:rsid w:val="00296529"/>
    <w:rsid w:val="002A5ECF"/>
    <w:rsid w:val="002B27FB"/>
    <w:rsid w:val="002B685A"/>
    <w:rsid w:val="002C1013"/>
    <w:rsid w:val="002C1CBE"/>
    <w:rsid w:val="002C57D2"/>
    <w:rsid w:val="002D254C"/>
    <w:rsid w:val="002E0D56"/>
    <w:rsid w:val="002E76A8"/>
    <w:rsid w:val="002F1047"/>
    <w:rsid w:val="002F5167"/>
    <w:rsid w:val="00302093"/>
    <w:rsid w:val="00305722"/>
    <w:rsid w:val="00315186"/>
    <w:rsid w:val="00316F23"/>
    <w:rsid w:val="003310F4"/>
    <w:rsid w:val="0033343E"/>
    <w:rsid w:val="003512C2"/>
    <w:rsid w:val="003623AE"/>
    <w:rsid w:val="00365594"/>
    <w:rsid w:val="00371FB6"/>
    <w:rsid w:val="003763C1"/>
    <w:rsid w:val="00376BBE"/>
    <w:rsid w:val="0039224F"/>
    <w:rsid w:val="003A0BD8"/>
    <w:rsid w:val="003A43A4"/>
    <w:rsid w:val="003A7E18"/>
    <w:rsid w:val="003C4C86"/>
    <w:rsid w:val="003C6258"/>
    <w:rsid w:val="003D28DA"/>
    <w:rsid w:val="003E2904"/>
    <w:rsid w:val="00401927"/>
    <w:rsid w:val="004050AB"/>
    <w:rsid w:val="00407A41"/>
    <w:rsid w:val="0041027F"/>
    <w:rsid w:val="00412475"/>
    <w:rsid w:val="00423789"/>
    <w:rsid w:val="004377F0"/>
    <w:rsid w:val="00440F43"/>
    <w:rsid w:val="0044135E"/>
    <w:rsid w:val="00441B6F"/>
    <w:rsid w:val="00446221"/>
    <w:rsid w:val="00446DB8"/>
    <w:rsid w:val="00450E62"/>
    <w:rsid w:val="004539DB"/>
    <w:rsid w:val="00471A80"/>
    <w:rsid w:val="004773B6"/>
    <w:rsid w:val="004822FA"/>
    <w:rsid w:val="004905CF"/>
    <w:rsid w:val="004C072F"/>
    <w:rsid w:val="004D305E"/>
    <w:rsid w:val="004D4277"/>
    <w:rsid w:val="00502516"/>
    <w:rsid w:val="00505F06"/>
    <w:rsid w:val="00506828"/>
    <w:rsid w:val="005119EF"/>
    <w:rsid w:val="0051314C"/>
    <w:rsid w:val="0053056E"/>
    <w:rsid w:val="00550589"/>
    <w:rsid w:val="00554FDA"/>
    <w:rsid w:val="00557529"/>
    <w:rsid w:val="00560CF7"/>
    <w:rsid w:val="0059054A"/>
    <w:rsid w:val="005B78AB"/>
    <w:rsid w:val="005C6B7A"/>
    <w:rsid w:val="005C784C"/>
    <w:rsid w:val="005D17F6"/>
    <w:rsid w:val="005E5539"/>
    <w:rsid w:val="00602BF5"/>
    <w:rsid w:val="00606D08"/>
    <w:rsid w:val="00617FDD"/>
    <w:rsid w:val="00621BB4"/>
    <w:rsid w:val="00624DE6"/>
    <w:rsid w:val="00633614"/>
    <w:rsid w:val="00633F68"/>
    <w:rsid w:val="00636EB2"/>
    <w:rsid w:val="006375B8"/>
    <w:rsid w:val="00642E95"/>
    <w:rsid w:val="0065498E"/>
    <w:rsid w:val="0065629A"/>
    <w:rsid w:val="006633D6"/>
    <w:rsid w:val="0066510A"/>
    <w:rsid w:val="00673F9F"/>
    <w:rsid w:val="00682ECA"/>
    <w:rsid w:val="00686953"/>
    <w:rsid w:val="00687DEA"/>
    <w:rsid w:val="00687E67"/>
    <w:rsid w:val="006967F7"/>
    <w:rsid w:val="006A250C"/>
    <w:rsid w:val="006B0628"/>
    <w:rsid w:val="006B21D3"/>
    <w:rsid w:val="006B57D0"/>
    <w:rsid w:val="006B625F"/>
    <w:rsid w:val="006B7745"/>
    <w:rsid w:val="006C2AC9"/>
    <w:rsid w:val="006C2E43"/>
    <w:rsid w:val="006D0F95"/>
    <w:rsid w:val="006D30FF"/>
    <w:rsid w:val="006D4520"/>
    <w:rsid w:val="006D6940"/>
    <w:rsid w:val="006E1E09"/>
    <w:rsid w:val="006E5F1D"/>
    <w:rsid w:val="006F11EC"/>
    <w:rsid w:val="007005A7"/>
    <w:rsid w:val="0070082C"/>
    <w:rsid w:val="00701017"/>
    <w:rsid w:val="00712EAC"/>
    <w:rsid w:val="007369E6"/>
    <w:rsid w:val="00746E59"/>
    <w:rsid w:val="00754C9A"/>
    <w:rsid w:val="0075599A"/>
    <w:rsid w:val="00761D52"/>
    <w:rsid w:val="0077749E"/>
    <w:rsid w:val="00781F68"/>
    <w:rsid w:val="007840CB"/>
    <w:rsid w:val="00790ADA"/>
    <w:rsid w:val="007D2288"/>
    <w:rsid w:val="007D627B"/>
    <w:rsid w:val="007E088F"/>
    <w:rsid w:val="007E47B7"/>
    <w:rsid w:val="007F7B32"/>
    <w:rsid w:val="00804BC2"/>
    <w:rsid w:val="0081431A"/>
    <w:rsid w:val="00823112"/>
    <w:rsid w:val="00823FC9"/>
    <w:rsid w:val="0083216F"/>
    <w:rsid w:val="00851703"/>
    <w:rsid w:val="00860000"/>
    <w:rsid w:val="00863BD3"/>
    <w:rsid w:val="008641ED"/>
    <w:rsid w:val="00866D66"/>
    <w:rsid w:val="008671C6"/>
    <w:rsid w:val="00867229"/>
    <w:rsid w:val="00875803"/>
    <w:rsid w:val="008A1308"/>
    <w:rsid w:val="008A6081"/>
    <w:rsid w:val="008B459E"/>
    <w:rsid w:val="008D5023"/>
    <w:rsid w:val="008E13AE"/>
    <w:rsid w:val="008E1480"/>
    <w:rsid w:val="008E1506"/>
    <w:rsid w:val="008E710C"/>
    <w:rsid w:val="008E79BA"/>
    <w:rsid w:val="008F69D6"/>
    <w:rsid w:val="00901EE0"/>
    <w:rsid w:val="00902823"/>
    <w:rsid w:val="00915CA6"/>
    <w:rsid w:val="009168F5"/>
    <w:rsid w:val="00927834"/>
    <w:rsid w:val="009500A6"/>
    <w:rsid w:val="00957C18"/>
    <w:rsid w:val="00957E03"/>
    <w:rsid w:val="00960DA8"/>
    <w:rsid w:val="009659BA"/>
    <w:rsid w:val="009746D4"/>
    <w:rsid w:val="00976E94"/>
    <w:rsid w:val="00983040"/>
    <w:rsid w:val="009B3981"/>
    <w:rsid w:val="009B3FB9"/>
    <w:rsid w:val="009C2465"/>
    <w:rsid w:val="009C7E9A"/>
    <w:rsid w:val="009D0D16"/>
    <w:rsid w:val="009D35A0"/>
    <w:rsid w:val="009D7EB7"/>
    <w:rsid w:val="009E048A"/>
    <w:rsid w:val="009E08E9"/>
    <w:rsid w:val="009E3DB9"/>
    <w:rsid w:val="009E6E35"/>
    <w:rsid w:val="009F0EDA"/>
    <w:rsid w:val="009F6CE5"/>
    <w:rsid w:val="00A03B96"/>
    <w:rsid w:val="00A05B19"/>
    <w:rsid w:val="00A1134E"/>
    <w:rsid w:val="00A129E0"/>
    <w:rsid w:val="00A24E7E"/>
    <w:rsid w:val="00A258C3"/>
    <w:rsid w:val="00A25B14"/>
    <w:rsid w:val="00A347C0"/>
    <w:rsid w:val="00A477D6"/>
    <w:rsid w:val="00A51431"/>
    <w:rsid w:val="00A539AD"/>
    <w:rsid w:val="00A67CDE"/>
    <w:rsid w:val="00A7434B"/>
    <w:rsid w:val="00A7627B"/>
    <w:rsid w:val="00A94063"/>
    <w:rsid w:val="00A960CC"/>
    <w:rsid w:val="00AA6219"/>
    <w:rsid w:val="00AA74E0"/>
    <w:rsid w:val="00AB703F"/>
    <w:rsid w:val="00AC6BB8"/>
    <w:rsid w:val="00AD04CD"/>
    <w:rsid w:val="00AD7716"/>
    <w:rsid w:val="00AD7D7D"/>
    <w:rsid w:val="00AE008F"/>
    <w:rsid w:val="00AE66C1"/>
    <w:rsid w:val="00B01FCD"/>
    <w:rsid w:val="00B0353D"/>
    <w:rsid w:val="00B11FAA"/>
    <w:rsid w:val="00B1776C"/>
    <w:rsid w:val="00B52583"/>
    <w:rsid w:val="00B52896"/>
    <w:rsid w:val="00B7489A"/>
    <w:rsid w:val="00B92181"/>
    <w:rsid w:val="00B95236"/>
    <w:rsid w:val="00B96BD9"/>
    <w:rsid w:val="00BA1B01"/>
    <w:rsid w:val="00BA2641"/>
    <w:rsid w:val="00BB24E0"/>
    <w:rsid w:val="00BB37AA"/>
    <w:rsid w:val="00BC53A0"/>
    <w:rsid w:val="00BE62AD"/>
    <w:rsid w:val="00BF0F0F"/>
    <w:rsid w:val="00BF121F"/>
    <w:rsid w:val="00BF1F80"/>
    <w:rsid w:val="00C158C6"/>
    <w:rsid w:val="00C15A0D"/>
    <w:rsid w:val="00C1601F"/>
    <w:rsid w:val="00C166EF"/>
    <w:rsid w:val="00C17EB0"/>
    <w:rsid w:val="00C27F5F"/>
    <w:rsid w:val="00C30A0F"/>
    <w:rsid w:val="00C37E61"/>
    <w:rsid w:val="00C669F4"/>
    <w:rsid w:val="00C70F1B"/>
    <w:rsid w:val="00C7180F"/>
    <w:rsid w:val="00C71A47"/>
    <w:rsid w:val="00C71D47"/>
    <w:rsid w:val="00C7464C"/>
    <w:rsid w:val="00C83A97"/>
    <w:rsid w:val="00C85588"/>
    <w:rsid w:val="00CA7582"/>
    <w:rsid w:val="00CC0A76"/>
    <w:rsid w:val="00CC2818"/>
    <w:rsid w:val="00CC6746"/>
    <w:rsid w:val="00CD6755"/>
    <w:rsid w:val="00CD6856"/>
    <w:rsid w:val="00CE0089"/>
    <w:rsid w:val="00CE793C"/>
    <w:rsid w:val="00CF193C"/>
    <w:rsid w:val="00D01611"/>
    <w:rsid w:val="00D1279B"/>
    <w:rsid w:val="00D173F1"/>
    <w:rsid w:val="00D17EBE"/>
    <w:rsid w:val="00D74CB0"/>
    <w:rsid w:val="00D8295D"/>
    <w:rsid w:val="00DA21C3"/>
    <w:rsid w:val="00DC2A65"/>
    <w:rsid w:val="00DC65C3"/>
    <w:rsid w:val="00DD43BB"/>
    <w:rsid w:val="00DD5498"/>
    <w:rsid w:val="00DD5DF8"/>
    <w:rsid w:val="00DE15F0"/>
    <w:rsid w:val="00DE1985"/>
    <w:rsid w:val="00DE5663"/>
    <w:rsid w:val="00DE78AA"/>
    <w:rsid w:val="00DE7B97"/>
    <w:rsid w:val="00DF2377"/>
    <w:rsid w:val="00DF5064"/>
    <w:rsid w:val="00DF65C3"/>
    <w:rsid w:val="00E053D0"/>
    <w:rsid w:val="00E15994"/>
    <w:rsid w:val="00E3114E"/>
    <w:rsid w:val="00E31A70"/>
    <w:rsid w:val="00E35B02"/>
    <w:rsid w:val="00E5726D"/>
    <w:rsid w:val="00E66496"/>
    <w:rsid w:val="00E66B35"/>
    <w:rsid w:val="00E66E10"/>
    <w:rsid w:val="00E73EA9"/>
    <w:rsid w:val="00E769F6"/>
    <w:rsid w:val="00E8407C"/>
    <w:rsid w:val="00E84F3C"/>
    <w:rsid w:val="00EA012C"/>
    <w:rsid w:val="00EA019B"/>
    <w:rsid w:val="00EC6A55"/>
    <w:rsid w:val="00ED0288"/>
    <w:rsid w:val="00EE52CB"/>
    <w:rsid w:val="00EF581D"/>
    <w:rsid w:val="00EF7FD8"/>
    <w:rsid w:val="00F056DE"/>
    <w:rsid w:val="00F06F59"/>
    <w:rsid w:val="00F15878"/>
    <w:rsid w:val="00F17988"/>
    <w:rsid w:val="00F21B12"/>
    <w:rsid w:val="00F265DC"/>
    <w:rsid w:val="00F37C8E"/>
    <w:rsid w:val="00F469F0"/>
    <w:rsid w:val="00F53273"/>
    <w:rsid w:val="00F755E4"/>
    <w:rsid w:val="00F76F4A"/>
    <w:rsid w:val="00F77C31"/>
    <w:rsid w:val="00F77D02"/>
    <w:rsid w:val="00F871AA"/>
    <w:rsid w:val="00FB1AC0"/>
    <w:rsid w:val="00FB3A86"/>
    <w:rsid w:val="00FD36C8"/>
    <w:rsid w:val="00FE5A61"/>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452B"/>
  <w15:docId w15:val="{4F03C723-3001-4F4A-8A4F-127FD6AC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Tabel,Body of text,Heading 2 Char1,Char Char,judul,List Paragraph1,Body Text Char1,Char Char2,sub de titre 4,ANNEX"/>
    <w:basedOn w:val="Normal"/>
    <w:link w:val="ListParagraphChar"/>
    <w:uiPriority w:val="34"/>
    <w:qFormat/>
    <w:rsid w:val="00A477D6"/>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aliases w:val="Tabel Char,Body of text Char,Heading 2 Char1 Char,Char Char Char,judul Char,List Paragraph1 Char,Body Text Char1 Char,Char Char2 Char,sub de titre 4 Char,ANNEX Char"/>
    <w:basedOn w:val="DefaultParagraphFont"/>
    <w:link w:val="ListParagraph"/>
    <w:uiPriority w:val="34"/>
    <w:qFormat/>
    <w:locked/>
    <w:rsid w:val="00A477D6"/>
    <w:rPr>
      <w:rFonts w:ascii="Calibri" w:eastAsia="Calibri" w:hAnsi="Calibri" w:cs="Calibri"/>
      <w:sz w:val="22"/>
      <w:szCs w:val="22"/>
    </w:rPr>
  </w:style>
  <w:style w:type="character" w:styleId="Strong">
    <w:name w:val="Strong"/>
    <w:basedOn w:val="DefaultParagraphFont"/>
    <w:uiPriority w:val="22"/>
    <w:qFormat/>
    <w:rsid w:val="00A477D6"/>
    <w:rPr>
      <w:b/>
      <w:bCs/>
    </w:rPr>
  </w:style>
  <w:style w:type="paragraph" w:styleId="Caption">
    <w:name w:val="caption"/>
    <w:basedOn w:val="Normal"/>
    <w:next w:val="Normal"/>
    <w:uiPriority w:val="35"/>
    <w:unhideWhenUsed/>
    <w:qFormat/>
    <w:rsid w:val="008D5023"/>
    <w:pPr>
      <w:spacing w:after="200"/>
    </w:pPr>
    <w:rPr>
      <w:rFonts w:asciiTheme="minorHAnsi" w:eastAsiaTheme="minorHAnsi" w:hAnsiTheme="minorHAnsi" w:cstheme="minorBidi"/>
      <w:b/>
      <w:bCs/>
      <w:color w:val="4F81BD" w:themeColor="accent1"/>
      <w:sz w:val="18"/>
      <w:szCs w:val="18"/>
      <w:lang w:val="id-ID"/>
    </w:rPr>
  </w:style>
  <w:style w:type="character" w:customStyle="1" w:styleId="apple-tab-span">
    <w:name w:val="apple-tab-span"/>
    <w:basedOn w:val="DefaultParagraphFont"/>
    <w:rsid w:val="00F265DC"/>
  </w:style>
  <w:style w:type="character" w:styleId="UnresolvedMention">
    <w:name w:val="Unresolved Mention"/>
    <w:basedOn w:val="DefaultParagraphFont"/>
    <w:uiPriority w:val="99"/>
    <w:semiHidden/>
    <w:unhideWhenUsed/>
    <w:rsid w:val="0010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632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502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7454/psr.v2i1.3332"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590/S0100-83582017350100023" TargetMode="External"/><Relationship Id="rId34" Type="http://schemas.openxmlformats.org/officeDocument/2006/relationships/hyperlink" Target="https://doi.org/10.55927/ijis.v3i11.1212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390/plants11192551" TargetMode="External"/><Relationship Id="rId33" Type="http://schemas.openxmlformats.org/officeDocument/2006/relationships/hyperlink" Target="https://dx.doi.org/10.23960/jat.v9i3.5297"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dx.doi.org/10.12944/CARJ.8.2.01"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lants10051028" TargetMode="External"/><Relationship Id="rId32" Type="http://schemas.openxmlformats.org/officeDocument/2006/relationships/hyperlink" Target="https://doi.org/10.1007/s11104-019-04190-y" TargetMode="External"/><Relationship Id="rId37" Type="http://schemas.openxmlformats.org/officeDocument/2006/relationships/hyperlink" Target="https://doi.org/10.1021/jf902310j"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88/1755-1315/334/1/012034" TargetMode="External"/><Relationship Id="rId28" Type="http://schemas.openxmlformats.org/officeDocument/2006/relationships/hyperlink" Target="https://doi.org/10.1007/978-1-4020-4094-1_11" TargetMode="External"/><Relationship Id="rId36" Type="http://schemas.openxmlformats.org/officeDocument/2006/relationships/hyperlink" Target="https://doi.org/10.1111/wbm.12144" TargetMode="Externa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35940/ijrte.F8370.0386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2/ps" TargetMode="External"/><Relationship Id="rId27" Type="http://schemas.openxmlformats.org/officeDocument/2006/relationships/hyperlink" Target="https://doi.org/10.3390/molecules15128933" TargetMode="External"/><Relationship Id="rId30" Type="http://schemas.openxmlformats.org/officeDocument/2006/relationships/hyperlink" Target="https://doi.org/10.33545/2618060X.2024.v7.i1d.227" TargetMode="External"/><Relationship Id="rId35" Type="http://schemas.openxmlformats.org/officeDocument/2006/relationships/hyperlink" Target="https://doi.org/10.55927/ijis.v4i1.13409"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Plumula'!$U$5</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34963260917686495"/>
                  <c:y val="3.0573387212554651E-2"/>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-46,88x + 6,9355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0,8572</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Plumula'!$T$6:$T$30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Plumula'!$U$6:$U$30</c:f>
              <c:numCache>
                <c:formatCode>0.0</c:formatCode>
                <c:ptCount val="25"/>
                <c:pt idx="0">
                  <c:v>6.2833333333333341</c:v>
                </c:pt>
                <c:pt idx="1">
                  <c:v>6.7433333333333332</c:v>
                </c:pt>
                <c:pt idx="2">
                  <c:v>5.7899999999999991</c:v>
                </c:pt>
                <c:pt idx="3">
                  <c:v>6.06</c:v>
                </c:pt>
                <c:pt idx="4">
                  <c:v>6.1466666666666674</c:v>
                </c:pt>
                <c:pt idx="5">
                  <c:v>6.47</c:v>
                </c:pt>
                <c:pt idx="6">
                  <c:v>6.31</c:v>
                </c:pt>
                <c:pt idx="7">
                  <c:v>6.95</c:v>
                </c:pt>
                <c:pt idx="8">
                  <c:v>5.57</c:v>
                </c:pt>
                <c:pt idx="9">
                  <c:v>7.4033333333333324</c:v>
                </c:pt>
                <c:pt idx="10">
                  <c:v>4.34</c:v>
                </c:pt>
                <c:pt idx="11">
                  <c:v>5.3</c:v>
                </c:pt>
                <c:pt idx="12">
                  <c:v>4.1933333333333334</c:v>
                </c:pt>
                <c:pt idx="13">
                  <c:v>4.7299999999999995</c:v>
                </c:pt>
                <c:pt idx="14">
                  <c:v>5.6133333333333333</c:v>
                </c:pt>
                <c:pt idx="15">
                  <c:v>3.0999999999999996</c:v>
                </c:pt>
                <c:pt idx="16">
                  <c:v>3.6866666666666661</c:v>
                </c:pt>
                <c:pt idx="17">
                  <c:v>3.47</c:v>
                </c:pt>
                <c:pt idx="18">
                  <c:v>3.81</c:v>
                </c:pt>
                <c:pt idx="19">
                  <c:v>3.5466666666666664</c:v>
                </c:pt>
                <c:pt idx="20">
                  <c:v>1.9266666666666667</c:v>
                </c:pt>
                <c:pt idx="21">
                  <c:v>2.08</c:v>
                </c:pt>
                <c:pt idx="22">
                  <c:v>1.4722222222222221</c:v>
                </c:pt>
                <c:pt idx="23">
                  <c:v>1.5533333333333335</c:v>
                </c:pt>
                <c:pt idx="24">
                  <c:v>2.2333333333333334</c:v>
                </c:pt>
              </c:numCache>
            </c:numRef>
          </c:yVal>
          <c:smooth val="0"/>
          <c:extLst>
            <c:ext xmlns:c16="http://schemas.microsoft.com/office/drawing/2014/chart" uri="{C3380CC4-5D6E-409C-BE32-E72D297353CC}">
              <c16:uniqueId val="{00000000-862E-4F5E-B822-593298459A75}"/>
            </c:ext>
          </c:extLst>
        </c:ser>
        <c:dLbls>
          <c:showLegendKey val="0"/>
          <c:showVal val="0"/>
          <c:showCatName val="0"/>
          <c:showSerName val="0"/>
          <c:showPercent val="0"/>
          <c:showBubbleSize val="0"/>
        </c:dLbls>
        <c:axId val="232748928"/>
        <c:axId val="234172800"/>
      </c:scatterChart>
      <c:valAx>
        <c:axId val="232748928"/>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US" sz="700" b="0" i="0" u="none" strike="noStrike" cap="none" baseline="0">
                    <a:latin typeface="Arial" pitchFamily="34" charset="0"/>
                    <a:cs typeface="Arial" pitchFamily="34" charset="0"/>
                  </a:rPr>
                  <a:t>Allelopathic</a:t>
                </a:r>
                <a:r>
                  <a:rPr lang="en-US" sz="800" b="0" i="0" u="none" strike="noStrike" cap="none" baseline="0">
                    <a:latin typeface="Arial" pitchFamily="34" charset="0"/>
                    <a:cs typeface="Arial" pitchFamily="34" charset="0"/>
                  </a:rPr>
                  <a:t> concentration of cogongrass </a:t>
                </a:r>
                <a:r>
                  <a:rPr lang="en-ID" sz="800" cap="none" baseline="0">
                    <a:latin typeface="Arial" pitchFamily="34" charset="0"/>
                    <a:cs typeface="Arial" pitchFamily="34" charset="0"/>
                  </a:rPr>
                  <a:t>(% W/V))</a:t>
                </a:r>
                <a:endParaRPr lang="en-ID" sz="800" cap="none">
                  <a:latin typeface="Arial" pitchFamily="34" charset="0"/>
                  <a:cs typeface="Arial" pitchFamily="34" charset="0"/>
                </a:endParaRPr>
              </a:p>
            </c:rich>
          </c:tx>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34172800"/>
        <c:crosses val="autoZero"/>
        <c:crossBetween val="midCat"/>
        <c:majorUnit val="2.5"/>
      </c:valAx>
      <c:valAx>
        <c:axId val="234172800"/>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itchFamily="34" charset="0"/>
                    <a:cs typeface="Arial" pitchFamily="34" charset="0"/>
                  </a:rPr>
                  <a:t>Plumule length </a:t>
                </a:r>
                <a:r>
                  <a:rPr lang="en-ID" sz="800" cap="none" baseline="0">
                    <a:latin typeface="Arial" pitchFamily="34" charset="0"/>
                    <a:cs typeface="Arial"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748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Radikula'!$T$6</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2.3452768729641696E-3"/>
                  <c:y val="-0.31229994506500641"/>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-74,92x + 8,1345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0,8339</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Radikula'!$S$7:$S$31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Radikula'!$T$7:$T$31</c:f>
              <c:numCache>
                <c:formatCode>General</c:formatCode>
                <c:ptCount val="25"/>
                <c:pt idx="0">
                  <c:v>9.6233333333333331</c:v>
                </c:pt>
                <c:pt idx="1">
                  <c:v>11.433333333333332</c:v>
                </c:pt>
                <c:pt idx="2">
                  <c:v>9.0633333333333326</c:v>
                </c:pt>
                <c:pt idx="3">
                  <c:v>8.5366666666666671</c:v>
                </c:pt>
                <c:pt idx="4">
                  <c:v>9.0466666666666669</c:v>
                </c:pt>
                <c:pt idx="5">
                  <c:v>5.5666666666666673</c:v>
                </c:pt>
                <c:pt idx="6">
                  <c:v>4.9233333333333329</c:v>
                </c:pt>
                <c:pt idx="7">
                  <c:v>5.4366666666666674</c:v>
                </c:pt>
                <c:pt idx="8">
                  <c:v>3.5966666666666662</c:v>
                </c:pt>
                <c:pt idx="9">
                  <c:v>5.246666666666667</c:v>
                </c:pt>
                <c:pt idx="10">
                  <c:v>3.2566666666666664</c:v>
                </c:pt>
                <c:pt idx="11">
                  <c:v>3.5666666666666664</c:v>
                </c:pt>
                <c:pt idx="12">
                  <c:v>3.186666666666667</c:v>
                </c:pt>
                <c:pt idx="13">
                  <c:v>3.4066666666666667</c:v>
                </c:pt>
                <c:pt idx="14">
                  <c:v>3.8699999999999997</c:v>
                </c:pt>
                <c:pt idx="15">
                  <c:v>2.42</c:v>
                </c:pt>
                <c:pt idx="16">
                  <c:v>3</c:v>
                </c:pt>
                <c:pt idx="17">
                  <c:v>2.5333333333333332</c:v>
                </c:pt>
                <c:pt idx="18">
                  <c:v>2.7000000000000006</c:v>
                </c:pt>
                <c:pt idx="19">
                  <c:v>2.7233333333333332</c:v>
                </c:pt>
                <c:pt idx="20">
                  <c:v>1.7200000000000002</c:v>
                </c:pt>
                <c:pt idx="21">
                  <c:v>1.5</c:v>
                </c:pt>
                <c:pt idx="22">
                  <c:v>0.16666666666666666</c:v>
                </c:pt>
                <c:pt idx="23">
                  <c:v>1.486666666666667</c:v>
                </c:pt>
                <c:pt idx="24">
                  <c:v>1.7</c:v>
                </c:pt>
              </c:numCache>
            </c:numRef>
          </c:yVal>
          <c:smooth val="0"/>
          <c:extLst>
            <c:ext xmlns:c16="http://schemas.microsoft.com/office/drawing/2014/chart" uri="{C3380CC4-5D6E-409C-BE32-E72D297353CC}">
              <c16:uniqueId val="{00000000-58C8-442F-8689-4E6730C15F20}"/>
            </c:ext>
          </c:extLst>
        </c:ser>
        <c:dLbls>
          <c:showLegendKey val="0"/>
          <c:showVal val="0"/>
          <c:showCatName val="0"/>
          <c:showSerName val="0"/>
          <c:showPercent val="0"/>
          <c:showBubbleSize val="0"/>
        </c:dLbls>
        <c:axId val="234462592"/>
        <c:axId val="235731200"/>
      </c:scatterChart>
      <c:valAx>
        <c:axId val="234462592"/>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ID" cap="none">
                    <a:latin typeface="Arial" pitchFamily="34" charset="0"/>
                    <a:cs typeface="Arial" pitchFamily="34" charset="0"/>
                  </a:rPr>
                  <a:t> </a:t>
                </a:r>
                <a:r>
                  <a:rPr lang="en-US" sz="700" b="0" i="0" u="none" strike="noStrike" cap="none" baseline="0">
                    <a:latin typeface="Arial" pitchFamily="34" charset="0"/>
                    <a:cs typeface="Arial" pitchFamily="34" charset="0"/>
                  </a:rPr>
                  <a:t>Allelopathic Concentration of Cogongrass </a:t>
                </a:r>
                <a:r>
                  <a:rPr lang="en-ID" sz="700" cap="none" baseline="0">
                    <a:latin typeface="Arial" pitchFamily="34" charset="0"/>
                    <a:cs typeface="Arial" pitchFamily="34" charset="0"/>
                  </a:rPr>
                  <a:t>(% W/V)</a:t>
                </a:r>
                <a:endParaRPr lang="en-ID" sz="700" cap="none">
                  <a:latin typeface="Arial" pitchFamily="34" charset="0"/>
                  <a:cs typeface="Arial" pitchFamily="34" charset="0"/>
                </a:endParaRPr>
              </a:p>
            </c:rich>
          </c:tx>
          <c:layout>
            <c:manualLayout>
              <c:xMode val="edge"/>
              <c:yMode val="edge"/>
              <c:x val="9.3198299707486054E-2"/>
              <c:y val="0.8077696464412537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35731200"/>
        <c:crosses val="autoZero"/>
        <c:crossBetween val="midCat"/>
        <c:majorUnit val="2.5"/>
      </c:valAx>
      <c:valAx>
        <c:axId val="235731200"/>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anose="020B0604020202020204" pitchFamily="34" charset="0"/>
                    <a:cs typeface="Arial" panose="020B0604020202020204" pitchFamily="34" charset="0"/>
                  </a:rPr>
                  <a:t>Radicle length </a:t>
                </a:r>
                <a:r>
                  <a:rPr lang="en-ID" sz="800" cap="none" baseline="0">
                    <a:latin typeface="Arial" panose="020B0604020202020204" pitchFamily="34" charset="0"/>
                    <a:cs typeface="Arial" panose="020B0604020202020204"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4625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72956077585738"/>
          <c:y val="6.4906117504542699E-2"/>
          <c:w val="0.70984720270961976"/>
          <c:h val="0.69954801803620703"/>
        </c:manualLayout>
      </c:layout>
      <c:scatterChart>
        <c:scatterStyle val="lineMarker"/>
        <c:varyColors val="0"/>
        <c:ser>
          <c:idx val="0"/>
          <c:order val="0"/>
          <c:tx>
            <c:strRef>
              <c:f>'Bobot Kering Radikula'!$K$5</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9631863882443928"/>
                  <c:y val="0.1238753201444235"/>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-129,3x + 27,427</a:t>
                    </a:r>
                    <a:br>
                      <a:rPr lang="en-US" baseline="0"/>
                    </a:br>
                    <a:r>
                      <a:rPr lang="en-US" baseline="0"/>
                      <a:t>R² = 0,6606</a:t>
                    </a:r>
                    <a:endParaRPr lang="en-US"/>
                  </a:p>
                </c:rich>
              </c:tx>
              <c:numFmt formatCode="General" sourceLinked="0"/>
              <c:spPr>
                <a:noFill/>
                <a:ln>
                  <a:noFill/>
                </a:ln>
                <a:effectLst/>
              </c:spPr>
            </c:trendlineLbl>
          </c:trendline>
          <c:trendline>
            <c:spPr>
              <a:ln w="9525" cap="rnd">
                <a:solidFill>
                  <a:schemeClr val="accent1"/>
                </a:solidFill>
              </a:ln>
              <a:effectLst/>
            </c:spPr>
            <c:trendlineType val="linear"/>
            <c:dispRSqr val="0"/>
            <c:dispEq val="0"/>
          </c:trendline>
          <c:xVal>
            <c:numRef>
              <c:f>'Bobot Kering Radikula'!$J$6:$J$30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Radikula'!$K$6:$K$30</c:f>
              <c:numCache>
                <c:formatCode>0.0</c:formatCode>
                <c:ptCount val="25"/>
                <c:pt idx="0">
                  <c:v>24.333333333333332</c:v>
                </c:pt>
                <c:pt idx="1">
                  <c:v>29.666666666666668</c:v>
                </c:pt>
                <c:pt idx="2">
                  <c:v>21.86</c:v>
                </c:pt>
                <c:pt idx="3">
                  <c:v>23.933333333333337</c:v>
                </c:pt>
                <c:pt idx="4">
                  <c:v>27.033333333333331</c:v>
                </c:pt>
                <c:pt idx="5">
                  <c:v>27.633333333333336</c:v>
                </c:pt>
                <c:pt idx="6">
                  <c:v>26.266666666666669</c:v>
                </c:pt>
                <c:pt idx="7">
                  <c:v>27.566666666666666</c:v>
                </c:pt>
                <c:pt idx="8">
                  <c:v>22.633333333333336</c:v>
                </c:pt>
                <c:pt idx="9">
                  <c:v>30.200000000000003</c:v>
                </c:pt>
                <c:pt idx="10">
                  <c:v>17.166666666666668</c:v>
                </c:pt>
                <c:pt idx="11">
                  <c:v>22.566666666666666</c:v>
                </c:pt>
                <c:pt idx="12">
                  <c:v>16.500000000000004</c:v>
                </c:pt>
                <c:pt idx="13">
                  <c:v>22.7</c:v>
                </c:pt>
                <c:pt idx="14">
                  <c:v>23.233333333333331</c:v>
                </c:pt>
                <c:pt idx="15">
                  <c:v>19.8</c:v>
                </c:pt>
                <c:pt idx="16">
                  <c:v>19.133333333333333</c:v>
                </c:pt>
                <c:pt idx="17">
                  <c:v>18.333333333333332</c:v>
                </c:pt>
                <c:pt idx="18">
                  <c:v>19.966666666666669</c:v>
                </c:pt>
                <c:pt idx="19">
                  <c:v>17.966666666666665</c:v>
                </c:pt>
                <c:pt idx="20">
                  <c:v>15.166666666666666</c:v>
                </c:pt>
                <c:pt idx="21">
                  <c:v>12.9</c:v>
                </c:pt>
                <c:pt idx="22">
                  <c:v>6.4333333333333336</c:v>
                </c:pt>
                <c:pt idx="23">
                  <c:v>12.566666666666668</c:v>
                </c:pt>
                <c:pt idx="24">
                  <c:v>18.5</c:v>
                </c:pt>
              </c:numCache>
            </c:numRef>
          </c:yVal>
          <c:smooth val="0"/>
          <c:extLst>
            <c:ext xmlns:c16="http://schemas.microsoft.com/office/drawing/2014/chart" uri="{C3380CC4-5D6E-409C-BE32-E72D297353CC}">
              <c16:uniqueId val="{00000000-46BA-4F84-BF51-216714B908C9}"/>
            </c:ext>
          </c:extLst>
        </c:ser>
        <c:dLbls>
          <c:showLegendKey val="0"/>
          <c:showVal val="0"/>
          <c:showCatName val="0"/>
          <c:showSerName val="0"/>
          <c:showPercent val="0"/>
          <c:showBubbleSize val="0"/>
        </c:dLbls>
        <c:axId val="247867264"/>
        <c:axId val="248119680"/>
      </c:scatterChart>
      <c:valAx>
        <c:axId val="247867264"/>
        <c:scaling>
          <c:orientation val="minMax"/>
          <c:max val="10"/>
          <c:min val="0"/>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5202979451162871"/>
              <c:y val="0.8812374743408507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8119680"/>
        <c:crosses val="autoZero"/>
        <c:crossBetween val="midCat"/>
        <c:majorUnit val="2.5"/>
      </c:valAx>
      <c:valAx>
        <c:axId val="248119680"/>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Dry Weight of Radicle (</a:t>
                </a:r>
                <a:r>
                  <a:rPr lang="en-ID" sz="700" cap="none" baseline="0">
                    <a:latin typeface="Arial" panose="020B0604020202020204" pitchFamily="34" charset="0"/>
                    <a:cs typeface="Arial" panose="020B0604020202020204" pitchFamily="34" charset="0"/>
                  </a:rPr>
                  <a:t>mg)</a:t>
                </a:r>
                <a:endParaRPr lang="en-ID" sz="700" cap="none">
                  <a:latin typeface="Arial" panose="020B0604020202020204" pitchFamily="34" charset="0"/>
                  <a:cs typeface="Arial" panose="020B0604020202020204" pitchFamily="34" charset="0"/>
                </a:endParaRPr>
              </a:p>
            </c:rich>
          </c:tx>
          <c:layout>
            <c:manualLayout>
              <c:xMode val="edge"/>
              <c:yMode val="edge"/>
              <c:x val="5.8028457578414613E-2"/>
              <c:y val="6.613131232438027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8672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'Bobot Kering Plumula'!$I$6</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7.286320487472106E-2"/>
                  <c:y val="0.1955239741373791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-397,36x + 155,74</a:t>
                    </a:r>
                    <a:br>
                      <a:rPr lang="en-US" baseline="0"/>
                    </a:br>
                    <a:r>
                      <a:rPr lang="en-US" baseline="0"/>
                      <a:t>R² = 0,2851</a:t>
                    </a:r>
                    <a:endParaRPr lang="en-US"/>
                  </a:p>
                </c:rich>
              </c:tx>
              <c:numFmt formatCode="General" sourceLinked="0"/>
              <c:spPr>
                <a:noFill/>
                <a:ln>
                  <a:noFill/>
                </a:ln>
                <a:effectLst/>
              </c:spPr>
            </c:trendlineLbl>
          </c:trendline>
          <c:xVal>
            <c:numRef>
              <c:f>'Bobot Kering Plumula'!$H$7:$H$31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Plumula'!$I$7:$I$31</c:f>
              <c:numCache>
                <c:formatCode>0.0</c:formatCode>
                <c:ptCount val="25"/>
                <c:pt idx="0">
                  <c:v>159.20000000000002</c:v>
                </c:pt>
                <c:pt idx="1">
                  <c:v>124.43333333333334</c:v>
                </c:pt>
                <c:pt idx="2">
                  <c:v>161.76666666666665</c:v>
                </c:pt>
                <c:pt idx="3">
                  <c:v>147.46666666666667</c:v>
                </c:pt>
                <c:pt idx="4">
                  <c:v>111.06666666666666</c:v>
                </c:pt>
                <c:pt idx="5">
                  <c:v>152.26666666666668</c:v>
                </c:pt>
                <c:pt idx="6">
                  <c:v>147.86666666666665</c:v>
                </c:pt>
                <c:pt idx="7">
                  <c:v>151.66666666666666</c:v>
                </c:pt>
                <c:pt idx="8">
                  <c:v>156.79999999999998</c:v>
                </c:pt>
                <c:pt idx="9">
                  <c:v>146.46666666666667</c:v>
                </c:pt>
                <c:pt idx="10">
                  <c:v>164.86666666666667</c:v>
                </c:pt>
                <c:pt idx="11">
                  <c:v>141.83333333333334</c:v>
                </c:pt>
                <c:pt idx="12">
                  <c:v>152</c:v>
                </c:pt>
                <c:pt idx="13">
                  <c:v>157.03333333333333</c:v>
                </c:pt>
                <c:pt idx="14">
                  <c:v>154.03333333333333</c:v>
                </c:pt>
                <c:pt idx="15">
                  <c:v>123.16666666666667</c:v>
                </c:pt>
                <c:pt idx="16">
                  <c:v>132.6</c:v>
                </c:pt>
                <c:pt idx="17">
                  <c:v>137.29999999999998</c:v>
                </c:pt>
                <c:pt idx="18">
                  <c:v>149.53333333333333</c:v>
                </c:pt>
                <c:pt idx="19">
                  <c:v>127.16666666666667</c:v>
                </c:pt>
                <c:pt idx="20">
                  <c:v>101.66666666666667</c:v>
                </c:pt>
                <c:pt idx="21">
                  <c:v>116.13333333333333</c:v>
                </c:pt>
                <c:pt idx="22">
                  <c:v>37.800000000000004</c:v>
                </c:pt>
                <c:pt idx="23">
                  <c:v>126.19999999999999</c:v>
                </c:pt>
                <c:pt idx="24">
                  <c:v>116.43333333333334</c:v>
                </c:pt>
              </c:numCache>
            </c:numRef>
          </c:yVal>
          <c:smooth val="0"/>
          <c:extLst>
            <c:ext xmlns:c16="http://schemas.microsoft.com/office/drawing/2014/chart" uri="{C3380CC4-5D6E-409C-BE32-E72D297353CC}">
              <c16:uniqueId val="{00000000-D75C-43CF-80E4-16340036CF17}"/>
            </c:ext>
          </c:extLst>
        </c:ser>
        <c:dLbls>
          <c:showLegendKey val="0"/>
          <c:showVal val="0"/>
          <c:showCatName val="0"/>
          <c:showSerName val="0"/>
          <c:showPercent val="0"/>
          <c:showBubbleSize val="0"/>
        </c:dLbls>
        <c:axId val="249368960"/>
        <c:axId val="249370880"/>
      </c:scatterChart>
      <c:valAx>
        <c:axId val="249368960"/>
        <c:scaling>
          <c:orientation val="minMax"/>
          <c:max val="10"/>
          <c:min val="0"/>
        </c:scaling>
        <c:delete val="0"/>
        <c:axPos val="b"/>
        <c:title>
          <c:tx>
            <c:rich>
              <a:bodyPr rot="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8479057577086885"/>
              <c:y val="0.81215384027592052"/>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9370880"/>
        <c:crosses val="autoZero"/>
        <c:crossBetween val="midCat"/>
        <c:majorUnit val="2.5"/>
      </c:valAx>
      <c:valAx>
        <c:axId val="249370880"/>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Times New Roman" pitchFamily="18" charset="0"/>
                    <a:ea typeface="+mn-ea"/>
                    <a:cs typeface="Times New Roman" pitchFamily="18" charset="0"/>
                  </a:defRPr>
                </a:pPr>
                <a:r>
                  <a:rPr lang="en-US" sz="700" b="0" i="0" u="none" strike="noStrike" cap="none" baseline="0">
                    <a:effectLst/>
                    <a:latin typeface="Times New Roman" pitchFamily="18" charset="0"/>
                    <a:cs typeface="Times New Roman" pitchFamily="18" charset="0"/>
                  </a:rPr>
                  <a:t>Dry Weight of Plumule  </a:t>
                </a:r>
                <a:r>
                  <a:rPr lang="en-ID" sz="700" cap="none" baseline="0">
                    <a:latin typeface="Times New Roman" pitchFamily="18" charset="0"/>
                    <a:cs typeface="Times New Roman" pitchFamily="18" charset="0"/>
                  </a:rPr>
                  <a:t>(mg)</a:t>
                </a:r>
                <a:endParaRPr lang="en-ID" sz="700" cap="none">
                  <a:latin typeface="Times New Roman" pitchFamily="18" charset="0"/>
                  <a:cs typeface="Times New Roman" pitchFamily="18" charset="0"/>
                </a:endParaRPr>
              </a:p>
            </c:rich>
          </c:tx>
          <c:layout>
            <c:manualLayout>
              <c:xMode val="edge"/>
              <c:yMode val="edge"/>
              <c:x val="3.5265172889772461E-2"/>
              <c:y val="5.3851043211570325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3689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27117443652877"/>
          <c:y val="4.6944612692644189E-2"/>
          <c:w val="0.70559323169710164"/>
          <c:h val="0.67732821858806114"/>
        </c:manualLayout>
      </c:layout>
      <c:scatterChart>
        <c:scatterStyle val="lineMarker"/>
        <c:varyColors val="0"/>
        <c:ser>
          <c:idx val="0"/>
          <c:order val="0"/>
          <c:tx>
            <c:strRef>
              <c:f>'Bobot Kering Total'!$H$3</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0065672170725495"/>
                  <c:y val="0.1870591560670300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-526,66x + 183,17</a:t>
                    </a:r>
                    <a:br>
                      <a:rPr lang="en-US" baseline="0"/>
                    </a:br>
                    <a:r>
                      <a:rPr lang="en-US" baseline="0"/>
                      <a:t>R² = 0,3872</a:t>
                    </a:r>
                    <a:endParaRPr lang="en-US"/>
                  </a:p>
                </c:rich>
              </c:tx>
              <c:numFmt formatCode="General" sourceLinked="0"/>
              <c:spPr>
                <a:noFill/>
                <a:ln>
                  <a:noFill/>
                </a:ln>
                <a:effectLst/>
              </c:spPr>
            </c:trendlineLbl>
          </c:trendline>
          <c:xVal>
            <c:numRef>
              <c:f>'Bobot Kering Total'!$G$4:$G$28</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Total'!$H$4:$H$28</c:f>
              <c:numCache>
                <c:formatCode>0.0</c:formatCode>
                <c:ptCount val="25"/>
                <c:pt idx="0">
                  <c:v>183.53333333333299</c:v>
                </c:pt>
                <c:pt idx="1">
                  <c:v>154.1</c:v>
                </c:pt>
                <c:pt idx="2">
                  <c:v>183.62666666666667</c:v>
                </c:pt>
                <c:pt idx="3">
                  <c:v>171.4</c:v>
                </c:pt>
                <c:pt idx="4">
                  <c:v>138.10000000000002</c:v>
                </c:pt>
                <c:pt idx="5">
                  <c:v>179.9</c:v>
                </c:pt>
                <c:pt idx="6">
                  <c:v>174.13333333333333</c:v>
                </c:pt>
                <c:pt idx="7">
                  <c:v>179.23333333333332</c:v>
                </c:pt>
                <c:pt idx="8">
                  <c:v>179.43333333333337</c:v>
                </c:pt>
                <c:pt idx="9">
                  <c:v>176.66666666666666</c:v>
                </c:pt>
                <c:pt idx="10">
                  <c:v>182.03333333333333</c:v>
                </c:pt>
                <c:pt idx="11">
                  <c:v>164.4</c:v>
                </c:pt>
                <c:pt idx="12">
                  <c:v>168.5</c:v>
                </c:pt>
                <c:pt idx="13">
                  <c:v>179.73333333333332</c:v>
                </c:pt>
                <c:pt idx="14">
                  <c:v>177.26666666666668</c:v>
                </c:pt>
                <c:pt idx="15">
                  <c:v>142.96666666666667</c:v>
                </c:pt>
                <c:pt idx="16">
                  <c:v>151.73333333333332</c:v>
                </c:pt>
                <c:pt idx="17">
                  <c:v>155.63333333333333</c:v>
                </c:pt>
                <c:pt idx="18">
                  <c:v>169.5</c:v>
                </c:pt>
                <c:pt idx="19">
                  <c:v>145.13333333333333</c:v>
                </c:pt>
                <c:pt idx="20">
                  <c:v>116.83333333333333</c:v>
                </c:pt>
                <c:pt idx="21">
                  <c:v>129.03333333333333</c:v>
                </c:pt>
                <c:pt idx="22">
                  <c:v>44.233333333333341</c:v>
                </c:pt>
                <c:pt idx="23">
                  <c:v>138.76666666666665</c:v>
                </c:pt>
                <c:pt idx="24">
                  <c:v>134.93333333333331</c:v>
                </c:pt>
              </c:numCache>
            </c:numRef>
          </c:yVal>
          <c:smooth val="0"/>
          <c:extLst>
            <c:ext xmlns:c16="http://schemas.microsoft.com/office/drawing/2014/chart" uri="{C3380CC4-5D6E-409C-BE32-E72D297353CC}">
              <c16:uniqueId val="{00000002-CAA2-4C50-83DB-182018769EF7}"/>
            </c:ext>
          </c:extLst>
        </c:ser>
        <c:dLbls>
          <c:showLegendKey val="0"/>
          <c:showVal val="0"/>
          <c:showCatName val="0"/>
          <c:showSerName val="0"/>
          <c:showPercent val="0"/>
          <c:showBubbleSize val="0"/>
        </c:dLbls>
        <c:axId val="254228736"/>
        <c:axId val="254289024"/>
      </c:scatterChart>
      <c:valAx>
        <c:axId val="254228736"/>
        <c:scaling>
          <c:orientation val="minMax"/>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a:t>
                </a:r>
                <a:r>
                  <a:rPr lang="en-US" sz="700" cap="none" baseline="0">
                    <a:latin typeface="Arial" panose="020B0604020202020204" pitchFamily="34" charset="0"/>
                    <a:cs typeface="Arial" panose="020B0604020202020204" pitchFamily="34" charset="0"/>
                  </a:rPr>
                  <a:t>(% W/V)</a:t>
                </a:r>
                <a:endParaRPr lang="en-US" sz="700" cap="none">
                  <a:latin typeface="Arial" panose="020B0604020202020204" pitchFamily="34" charset="0"/>
                  <a:cs typeface="Arial" panose="020B0604020202020204" pitchFamily="34" charset="0"/>
                </a:endParaRPr>
              </a:p>
            </c:rich>
          </c:tx>
          <c:layout>
            <c:manualLayout>
              <c:xMode val="edge"/>
              <c:yMode val="edge"/>
              <c:x val="0.27976009381806"/>
              <c:y val="0.8720001345985599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54289024"/>
        <c:crosses val="autoZero"/>
        <c:crossBetween val="midCat"/>
      </c:valAx>
      <c:valAx>
        <c:axId val="254289024"/>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Total Dry Weight </a:t>
                </a:r>
                <a:r>
                  <a:rPr lang="en-US" sz="700" cap="none">
                    <a:latin typeface="Arial" panose="020B0604020202020204" pitchFamily="34" charset="0"/>
                    <a:cs typeface="Arial" panose="020B0604020202020204" pitchFamily="34" charset="0"/>
                  </a:rPr>
                  <a:t>(mg)</a:t>
                </a:r>
              </a:p>
            </c:rich>
          </c:tx>
          <c:layout>
            <c:manualLayout>
              <c:xMode val="edge"/>
              <c:yMode val="edge"/>
              <c:x val="4.1534595409616348E-2"/>
              <c:y val="5.9553132781479251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2287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D11F2-37BF-4133-ABB4-93A053F4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6365</Words>
  <Characters>36285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8</cp:revision>
  <cp:lastPrinted>2025-05-13T14:51:00Z</cp:lastPrinted>
  <dcterms:created xsi:type="dcterms:W3CDTF">2025-05-13T14:06:00Z</dcterms:created>
  <dcterms:modified xsi:type="dcterms:W3CDTF">2025-05-16T11:20:00Z</dcterms:modified>
</cp:coreProperties>
</file>