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B04E" w14:textId="77777777" w:rsidR="002C1394" w:rsidRPr="002C1394" w:rsidRDefault="002C1394" w:rsidP="002C1394">
      <w:pPr>
        <w:spacing w:after="0" w:line="240" w:lineRule="auto"/>
        <w:jc w:val="both"/>
        <w:rPr>
          <w:rFonts w:ascii="Arial" w:eastAsia="Times New Roman" w:hAnsi="Arial" w:cs="Arial"/>
          <w:b/>
          <w:bCs/>
          <w:i/>
          <w:iCs/>
          <w:kern w:val="28"/>
          <w:sz w:val="36"/>
          <w:szCs w:val="20"/>
          <w:u w:val="single"/>
        </w:rPr>
      </w:pPr>
      <w:r w:rsidRPr="002C1394">
        <w:rPr>
          <w:rFonts w:ascii="Arial" w:eastAsia="Times New Roman" w:hAnsi="Arial" w:cs="Arial"/>
          <w:b/>
          <w:bCs/>
          <w:i/>
          <w:iCs/>
          <w:kern w:val="28"/>
          <w:sz w:val="36"/>
          <w:szCs w:val="20"/>
          <w:u w:val="single"/>
        </w:rPr>
        <w:t>Original Research Article</w:t>
      </w:r>
    </w:p>
    <w:p w14:paraId="6A37C5BC" w14:textId="77777777" w:rsidR="003957B7" w:rsidRPr="005C5E57" w:rsidRDefault="003957B7" w:rsidP="003957B7">
      <w:pPr>
        <w:spacing w:after="0" w:line="240" w:lineRule="auto"/>
        <w:jc w:val="both"/>
        <w:rPr>
          <w:rFonts w:ascii="Arial" w:eastAsia="Times New Roman" w:hAnsi="Arial" w:cs="Arial"/>
          <w:b/>
          <w:kern w:val="28"/>
          <w:sz w:val="36"/>
          <w:szCs w:val="20"/>
        </w:rPr>
      </w:pPr>
    </w:p>
    <w:p w14:paraId="78A999FB" w14:textId="77777777" w:rsidR="003957B7" w:rsidRPr="005C5E57" w:rsidRDefault="003957B7" w:rsidP="003957B7">
      <w:pPr>
        <w:spacing w:after="0" w:line="240" w:lineRule="auto"/>
        <w:jc w:val="right"/>
        <w:rPr>
          <w:rFonts w:ascii="Arial" w:eastAsia="Times New Roman" w:hAnsi="Arial" w:cs="Arial"/>
          <w:b/>
          <w:bCs/>
          <w:iCs/>
          <w:kern w:val="28"/>
          <w:sz w:val="36"/>
          <w:szCs w:val="20"/>
        </w:rPr>
      </w:pPr>
      <w:bookmarkStart w:id="0" w:name="_Hlk198392131"/>
      <w:r w:rsidRPr="005C5E57">
        <w:rPr>
          <w:rFonts w:ascii="Arial" w:eastAsia="Times New Roman" w:hAnsi="Arial" w:cs="Arial"/>
          <w:b/>
          <w:bCs/>
          <w:iCs/>
          <w:kern w:val="28"/>
          <w:sz w:val="36"/>
          <w:szCs w:val="20"/>
        </w:rPr>
        <w:t xml:space="preserve">Development and Characterization of </w:t>
      </w:r>
      <w:proofErr w:type="spellStart"/>
      <w:r w:rsidRPr="005C5E57">
        <w:rPr>
          <w:rFonts w:ascii="Arial" w:eastAsia="Times New Roman" w:hAnsi="Arial" w:cs="Arial"/>
          <w:b/>
          <w:bCs/>
          <w:iCs/>
          <w:kern w:val="28"/>
          <w:sz w:val="36"/>
          <w:szCs w:val="20"/>
        </w:rPr>
        <w:t>Bigel</w:t>
      </w:r>
      <w:proofErr w:type="spellEnd"/>
      <w:r w:rsidRPr="005C5E57">
        <w:rPr>
          <w:rFonts w:ascii="Arial" w:eastAsia="Times New Roman" w:hAnsi="Arial" w:cs="Arial"/>
          <w:b/>
          <w:bCs/>
          <w:iCs/>
          <w:kern w:val="28"/>
          <w:sz w:val="36"/>
          <w:szCs w:val="20"/>
        </w:rPr>
        <w:t xml:space="preserve"> Based on Corn Oil and Beeswax with Gelatin Hydrogel as a Fat Replacer</w:t>
      </w:r>
    </w:p>
    <w:p w14:paraId="1D85267A" w14:textId="77777777" w:rsidR="003957B7" w:rsidRPr="005C5E57" w:rsidRDefault="003957B7" w:rsidP="003957B7">
      <w:pPr>
        <w:spacing w:after="0" w:line="240" w:lineRule="auto"/>
        <w:jc w:val="both"/>
        <w:rPr>
          <w:rFonts w:ascii="Arial" w:eastAsia="Times New Roman" w:hAnsi="Arial" w:cs="Arial"/>
          <w:b/>
          <w:sz w:val="36"/>
          <w:szCs w:val="20"/>
        </w:rPr>
      </w:pPr>
    </w:p>
    <w:p w14:paraId="6D72C088" w14:textId="77777777" w:rsidR="003957B7" w:rsidRPr="005C5E57" w:rsidRDefault="003957B7" w:rsidP="003957B7">
      <w:pPr>
        <w:spacing w:after="0" w:line="240" w:lineRule="auto"/>
        <w:jc w:val="both"/>
        <w:rPr>
          <w:rFonts w:ascii="Arial" w:eastAsia="Times New Roman" w:hAnsi="Arial" w:cs="Arial"/>
          <w:sz w:val="20"/>
          <w:szCs w:val="20"/>
        </w:rPr>
      </w:pPr>
    </w:p>
    <w:p w14:paraId="66510B6E" w14:textId="77777777" w:rsidR="003957B7" w:rsidRPr="005C5E57" w:rsidRDefault="003957B7" w:rsidP="003957B7">
      <w:pPr>
        <w:spacing w:after="0" w:line="240" w:lineRule="auto"/>
        <w:jc w:val="both"/>
        <w:rPr>
          <w:rFonts w:ascii="Arial" w:eastAsia="Times New Roman" w:hAnsi="Arial" w:cs="Arial"/>
          <w:sz w:val="20"/>
          <w:szCs w:val="20"/>
        </w:rPr>
      </w:pPr>
    </w:p>
    <w:p w14:paraId="4E3055B3" w14:textId="77777777" w:rsidR="003957B7" w:rsidRPr="005C5E57" w:rsidRDefault="003957B7" w:rsidP="003957B7">
      <w:pPr>
        <w:spacing w:after="0" w:line="240" w:lineRule="auto"/>
        <w:jc w:val="both"/>
        <w:rPr>
          <w:rFonts w:ascii="Arial" w:eastAsia="Times New Roman" w:hAnsi="Arial" w:cs="Arial"/>
          <w:sz w:val="16"/>
          <w:szCs w:val="20"/>
        </w:rPr>
      </w:pPr>
      <w:r w:rsidRPr="005C5E57">
        <w:rPr>
          <w:rFonts w:ascii="Arial" w:eastAsia="Times New Roman" w:hAnsi="Arial" w:cs="Arial"/>
          <w:noProof/>
          <w:sz w:val="16"/>
          <w:szCs w:val="20"/>
        </w:rPr>
        <mc:AlternateContent>
          <mc:Choice Requires="wps">
            <w:drawing>
              <wp:inline distT="0" distB="0" distL="0" distR="0" wp14:anchorId="1CD01976" wp14:editId="766D8DD2">
                <wp:extent cx="5303520" cy="635"/>
                <wp:effectExtent l="9525" t="9525" r="11430" b="9525"/>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AC691A"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21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othdtSUCAABLBAAADgAAAAAAAAAAAAAAAAAuAgAAZHJzL2Uyb0RvYy54bWxQSwEC&#10;LQAUAAYACAAAACEAScjSt9YAAAACAQAADwAAAAAAAAAAAAAAAAB/BAAAZHJzL2Rvd25yZXYueG1s&#10;UEsFBgAAAAAEAAQA8wAAAIIFAAAAAA==&#10;" strokeweight="1.5pt">
                <w10:anchorlock/>
              </v:shape>
            </w:pict>
          </mc:Fallback>
        </mc:AlternateContent>
      </w:r>
      <w:r w:rsidRPr="005C5E57">
        <w:rPr>
          <w:rFonts w:ascii="Arial" w:eastAsia="Times New Roman" w:hAnsi="Arial" w:cs="Arial"/>
          <w:sz w:val="16"/>
          <w:szCs w:val="20"/>
        </w:rPr>
        <w:t>.</w:t>
      </w:r>
    </w:p>
    <w:p w14:paraId="2F548C98" w14:textId="77777777" w:rsidR="003957B7" w:rsidRPr="005C5E57" w:rsidRDefault="003957B7" w:rsidP="003957B7">
      <w:pPr>
        <w:spacing w:after="0" w:line="240" w:lineRule="auto"/>
        <w:rPr>
          <w:rFonts w:ascii="Arial" w:eastAsia="Times New Roman" w:hAnsi="Arial" w:cs="Arial"/>
          <w:sz w:val="16"/>
          <w:szCs w:val="20"/>
        </w:rPr>
        <w:sectPr w:rsidR="003957B7" w:rsidRPr="005C5E57" w:rsidSect="00B768FE">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cols w:space="720"/>
          <w:docGrid w:linePitch="272"/>
        </w:sectPr>
      </w:pPr>
    </w:p>
    <w:p w14:paraId="59A27184" w14:textId="77777777" w:rsidR="003957B7" w:rsidRPr="005C5E57" w:rsidRDefault="003957B7" w:rsidP="003957B7">
      <w:pPr>
        <w:keepNext/>
        <w:spacing w:after="240" w:line="240" w:lineRule="auto"/>
        <w:jc w:val="both"/>
        <w:rPr>
          <w:rFonts w:ascii="Arial" w:eastAsia="Times New Roman" w:hAnsi="Arial" w:cs="Arial"/>
          <w:b/>
          <w:caps/>
          <w:szCs w:val="20"/>
        </w:rPr>
      </w:pPr>
      <w:r w:rsidRPr="005C5E57">
        <w:rPr>
          <w:rFonts w:ascii="Arial" w:eastAsia="Times New Roman" w:hAnsi="Arial" w:cs="Arial"/>
          <w:b/>
          <w:caps/>
          <w:szCs w:val="20"/>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198"/>
      </w:tblGrid>
      <w:tr w:rsidR="00572DBC" w:rsidRPr="00572DBC" w14:paraId="6F921D7D" w14:textId="77777777" w:rsidTr="001F058E">
        <w:tc>
          <w:tcPr>
            <w:tcW w:w="9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9CE09" w14:textId="77777777" w:rsidR="003957B7" w:rsidRPr="005C5E57" w:rsidRDefault="003957B7" w:rsidP="001F058E">
            <w:pPr>
              <w:spacing w:after="0" w:line="240" w:lineRule="auto"/>
              <w:jc w:val="both"/>
              <w:rPr>
                <w:rFonts w:ascii="Arial" w:eastAsia="Calibri" w:hAnsi="Arial" w:cs="Arial"/>
                <w:sz w:val="20"/>
              </w:rPr>
            </w:pPr>
            <w:r w:rsidRPr="005C5E57">
              <w:rPr>
                <w:rFonts w:ascii="Arial" w:eastAsia="Calibri" w:hAnsi="Arial" w:cs="Arial"/>
                <w:sz w:val="20"/>
              </w:rPr>
              <w:t xml:space="preserve">The aim of this study was to determine the optimal ratio of </w:t>
            </w:r>
            <w:proofErr w:type="spellStart"/>
            <w:r w:rsidRPr="005C5E57">
              <w:rPr>
                <w:rFonts w:ascii="Arial" w:eastAsia="Calibri" w:hAnsi="Arial" w:cs="Arial"/>
                <w:sz w:val="20"/>
              </w:rPr>
              <w:t>bigel</w:t>
            </w:r>
            <w:proofErr w:type="spellEnd"/>
            <w:r w:rsidRPr="005C5E57">
              <w:rPr>
                <w:rFonts w:ascii="Arial" w:eastAsia="Calibri" w:hAnsi="Arial" w:cs="Arial"/>
                <w:sz w:val="20"/>
              </w:rPr>
              <w:t xml:space="preserve"> based on beeswax-corn oil </w:t>
            </w:r>
            <w:proofErr w:type="spellStart"/>
            <w:r w:rsidRPr="005C5E57">
              <w:rPr>
                <w:rFonts w:ascii="Arial" w:eastAsia="Calibri" w:hAnsi="Arial" w:cs="Arial"/>
                <w:sz w:val="20"/>
              </w:rPr>
              <w:t>oleogel</w:t>
            </w:r>
            <w:proofErr w:type="spellEnd"/>
            <w:r w:rsidRPr="005C5E57">
              <w:rPr>
                <w:rFonts w:ascii="Arial" w:eastAsia="Calibri" w:hAnsi="Arial" w:cs="Arial"/>
                <w:sz w:val="20"/>
              </w:rPr>
              <w:t xml:space="preserve"> and gelatin hydrogel as a fat replacer. The study employed a completely randomized design (CRD). Data obtained were processed using Microsoft Excel and analyzed using analysis of variance (ANOVA). If significant or highly significant differences were found, Duncan’s Multiple Range Test (DMRT) was applied. The study was conducted at the Laboratory of Animal Product Technology, Faculty of Animal Science, and the Food Technology Laboratory, Universitas </w:t>
            </w:r>
            <w:proofErr w:type="spellStart"/>
            <w:r w:rsidRPr="005C5E57">
              <w:rPr>
                <w:rFonts w:ascii="Arial" w:eastAsia="Calibri" w:hAnsi="Arial" w:cs="Arial"/>
                <w:sz w:val="20"/>
              </w:rPr>
              <w:t>Brawijaya</w:t>
            </w:r>
            <w:proofErr w:type="spellEnd"/>
            <w:r w:rsidRPr="005C5E57">
              <w:rPr>
                <w:rFonts w:ascii="Arial" w:eastAsia="Calibri" w:hAnsi="Arial" w:cs="Arial"/>
                <w:sz w:val="20"/>
              </w:rPr>
              <w:t xml:space="preserve">, from February 3 to March 25, 2025. The research investigated </w:t>
            </w:r>
            <w:proofErr w:type="spellStart"/>
            <w:r w:rsidRPr="005C5E57">
              <w:rPr>
                <w:rFonts w:ascii="Arial" w:eastAsia="Calibri" w:hAnsi="Arial" w:cs="Arial"/>
                <w:sz w:val="20"/>
              </w:rPr>
              <w:t>bigel</w:t>
            </w:r>
            <w:proofErr w:type="spellEnd"/>
            <w:r w:rsidRPr="005C5E57">
              <w:rPr>
                <w:rFonts w:ascii="Arial" w:eastAsia="Calibri" w:hAnsi="Arial" w:cs="Arial"/>
                <w:sz w:val="20"/>
              </w:rPr>
              <w:t xml:space="preserve"> formulations made from beeswax-corn oil </w:t>
            </w:r>
            <w:proofErr w:type="spellStart"/>
            <w:r w:rsidRPr="005C5E57">
              <w:rPr>
                <w:rFonts w:ascii="Arial" w:eastAsia="Calibri" w:hAnsi="Arial" w:cs="Arial"/>
                <w:sz w:val="20"/>
              </w:rPr>
              <w:t>oleogel</w:t>
            </w:r>
            <w:proofErr w:type="spellEnd"/>
            <w:r w:rsidRPr="005C5E57">
              <w:rPr>
                <w:rFonts w:ascii="Arial" w:eastAsia="Calibri" w:hAnsi="Arial" w:cs="Arial"/>
                <w:sz w:val="20"/>
              </w:rPr>
              <w:t xml:space="preserve"> and gelatin hydrogel at various ratios as a fat substitute. The variables observed included moisture content, fat content, texture, color, oil binding capacity (OBC), weight loss, antioxidant activity, FTIR, and microstructure. The results showed highly significant differences (</w:t>
            </w:r>
            <w:r w:rsidRPr="00862A0D">
              <w:rPr>
                <w:rFonts w:ascii="Arial" w:eastAsia="Calibri" w:hAnsi="Arial" w:cs="Arial"/>
                <w:i/>
                <w:sz w:val="20"/>
              </w:rPr>
              <w:t>P</w:t>
            </w:r>
            <w:r w:rsidRPr="005C5E57">
              <w:rPr>
                <w:rFonts w:ascii="Arial" w:eastAsia="Calibri" w:hAnsi="Arial" w:cs="Arial"/>
                <w:sz w:val="20"/>
              </w:rPr>
              <w:t>&lt;0.01) in moisture content (18.51%–42.53%), fat content (81.87%–50.53%), texture (0.49 N–0.91 N), weight loss (0.81%–1.92%), and antioxidant activity (26.08 µg/ml – 61.48 µg/ml). However, OBC and color did not show significant differences (</w:t>
            </w:r>
            <w:r w:rsidRPr="00862A0D">
              <w:rPr>
                <w:rFonts w:ascii="Arial" w:eastAsia="Calibri" w:hAnsi="Arial" w:cs="Arial"/>
                <w:i/>
                <w:sz w:val="20"/>
              </w:rPr>
              <w:t>P</w:t>
            </w:r>
            <w:r w:rsidRPr="005C5E57">
              <w:rPr>
                <w:rFonts w:ascii="Arial" w:eastAsia="Calibri" w:hAnsi="Arial" w:cs="Arial"/>
                <w:sz w:val="20"/>
              </w:rPr>
              <w:t xml:space="preserve">&gt;0.05), with OBC ranging from 97.98%–98.22% and color values of L* (87.13–88.98), a* (0.25–0.22), and b* (15.29–15.03). The study concluded that </w:t>
            </w:r>
            <w:proofErr w:type="spellStart"/>
            <w:r w:rsidRPr="005C5E57">
              <w:rPr>
                <w:rFonts w:ascii="Arial" w:eastAsia="Calibri" w:hAnsi="Arial" w:cs="Arial"/>
                <w:sz w:val="20"/>
              </w:rPr>
              <w:t>bigel</w:t>
            </w:r>
            <w:proofErr w:type="spellEnd"/>
            <w:r w:rsidRPr="005C5E57">
              <w:rPr>
                <w:rFonts w:ascii="Arial" w:eastAsia="Calibri" w:hAnsi="Arial" w:cs="Arial"/>
                <w:sz w:val="20"/>
              </w:rPr>
              <w:t xml:space="preserve"> based on beeswax-corn oil </w:t>
            </w:r>
            <w:proofErr w:type="spellStart"/>
            <w:r w:rsidRPr="005C5E57">
              <w:rPr>
                <w:rFonts w:ascii="Arial" w:eastAsia="Calibri" w:hAnsi="Arial" w:cs="Arial"/>
                <w:sz w:val="20"/>
              </w:rPr>
              <w:t>oleogel</w:t>
            </w:r>
            <w:proofErr w:type="spellEnd"/>
            <w:r w:rsidRPr="005C5E57">
              <w:rPr>
                <w:rFonts w:ascii="Arial" w:eastAsia="Calibri" w:hAnsi="Arial" w:cs="Arial"/>
                <w:sz w:val="20"/>
              </w:rPr>
              <w:t xml:space="preserve"> and gelatin hydrogel had a significant effect on moisture, fat content, texture, weight loss, and antioxidant activity, but did not significantly affect OBC and color. The best </w:t>
            </w:r>
            <w:proofErr w:type="spellStart"/>
            <w:r w:rsidRPr="005C5E57">
              <w:rPr>
                <w:rFonts w:ascii="Arial" w:eastAsia="Calibri" w:hAnsi="Arial" w:cs="Arial"/>
                <w:sz w:val="20"/>
              </w:rPr>
              <w:t>oleogel</w:t>
            </w:r>
            <w:proofErr w:type="spellEnd"/>
            <w:r w:rsidRPr="005C5E57">
              <w:rPr>
                <w:rFonts w:ascii="Arial" w:eastAsia="Calibri" w:hAnsi="Arial" w:cs="Arial"/>
                <w:sz w:val="20"/>
              </w:rPr>
              <w:t>-to-hydrogel ratio was found in treatment P1 with a ratio of 80:20.</w:t>
            </w:r>
          </w:p>
        </w:tc>
      </w:tr>
    </w:tbl>
    <w:p w14:paraId="538225AB" w14:textId="77777777" w:rsidR="003957B7" w:rsidRPr="005C5E57" w:rsidRDefault="003957B7" w:rsidP="003957B7">
      <w:pPr>
        <w:spacing w:after="0" w:line="240" w:lineRule="auto"/>
        <w:jc w:val="both"/>
        <w:rPr>
          <w:rFonts w:ascii="Arial" w:eastAsia="Times New Roman" w:hAnsi="Arial" w:cs="Arial"/>
          <w:i/>
          <w:sz w:val="20"/>
          <w:szCs w:val="20"/>
        </w:rPr>
      </w:pPr>
      <w:r w:rsidRPr="005C5E57">
        <w:rPr>
          <w:rFonts w:ascii="Arial" w:eastAsia="Times New Roman" w:hAnsi="Arial" w:cs="Arial"/>
          <w:i/>
          <w:sz w:val="20"/>
          <w:szCs w:val="20"/>
        </w:rPr>
        <w:t xml:space="preserve">Keywords: </w:t>
      </w:r>
      <w:proofErr w:type="spellStart"/>
      <w:r w:rsidRPr="005C5E57">
        <w:rPr>
          <w:rFonts w:ascii="Arial" w:eastAsia="Times New Roman" w:hAnsi="Arial" w:cs="Arial"/>
          <w:i/>
          <w:sz w:val="20"/>
          <w:szCs w:val="20"/>
        </w:rPr>
        <w:t>Bigel</w:t>
      </w:r>
      <w:proofErr w:type="spellEnd"/>
      <w:r w:rsidRPr="005C5E57">
        <w:rPr>
          <w:rFonts w:ascii="Arial" w:eastAsia="Times New Roman" w:hAnsi="Arial" w:cs="Arial"/>
          <w:i/>
          <w:sz w:val="20"/>
          <w:szCs w:val="20"/>
        </w:rPr>
        <w:t xml:space="preserve">; </w:t>
      </w:r>
      <w:proofErr w:type="spellStart"/>
      <w:r w:rsidRPr="005C5E57">
        <w:rPr>
          <w:rFonts w:ascii="Arial" w:eastAsia="Times New Roman" w:hAnsi="Arial" w:cs="Arial"/>
          <w:i/>
          <w:sz w:val="20"/>
          <w:szCs w:val="20"/>
        </w:rPr>
        <w:t>Oleogel</w:t>
      </w:r>
      <w:proofErr w:type="spellEnd"/>
      <w:r w:rsidRPr="005C5E57">
        <w:rPr>
          <w:rFonts w:ascii="Arial" w:eastAsia="Times New Roman" w:hAnsi="Arial" w:cs="Arial"/>
          <w:i/>
          <w:sz w:val="20"/>
          <w:szCs w:val="20"/>
        </w:rPr>
        <w:t>; Hydrogel; Beeswax; Corn Oil; Gelatine.</w:t>
      </w:r>
    </w:p>
    <w:p w14:paraId="42EBE245" w14:textId="77777777" w:rsidR="003957B7" w:rsidRPr="005C5E57" w:rsidRDefault="003957B7" w:rsidP="003957B7">
      <w:pPr>
        <w:tabs>
          <w:tab w:val="left" w:pos="2940"/>
        </w:tabs>
        <w:spacing w:after="0" w:line="240" w:lineRule="auto"/>
        <w:jc w:val="both"/>
        <w:rPr>
          <w:rFonts w:ascii="Arial" w:eastAsia="Times New Roman" w:hAnsi="Arial" w:cs="Arial"/>
          <w:i/>
          <w:sz w:val="18"/>
          <w:szCs w:val="20"/>
        </w:rPr>
      </w:pPr>
      <w:r w:rsidRPr="005C5E57">
        <w:rPr>
          <w:rFonts w:ascii="Arial" w:eastAsia="Times New Roman" w:hAnsi="Arial" w:cs="Arial"/>
          <w:i/>
          <w:sz w:val="18"/>
          <w:szCs w:val="20"/>
        </w:rPr>
        <w:tab/>
      </w:r>
    </w:p>
    <w:p w14:paraId="6E54400A" w14:textId="77777777" w:rsidR="003957B7" w:rsidRPr="005C5E57" w:rsidRDefault="003957B7" w:rsidP="003957B7">
      <w:pPr>
        <w:spacing w:after="0" w:line="240" w:lineRule="auto"/>
        <w:jc w:val="both"/>
        <w:rPr>
          <w:rFonts w:ascii="Arial" w:eastAsia="Times New Roman" w:hAnsi="Arial" w:cs="Arial"/>
          <w:i/>
          <w:sz w:val="20"/>
          <w:szCs w:val="20"/>
        </w:rPr>
      </w:pPr>
    </w:p>
    <w:p w14:paraId="3129AAB5" w14:textId="77777777" w:rsidR="003957B7" w:rsidRPr="005C5E57" w:rsidRDefault="003957B7" w:rsidP="003957B7">
      <w:pPr>
        <w:keepNext/>
        <w:spacing w:after="0" w:line="240" w:lineRule="auto"/>
        <w:jc w:val="both"/>
        <w:rPr>
          <w:rFonts w:ascii="Arial" w:eastAsia="Times New Roman" w:hAnsi="Arial" w:cs="Arial"/>
          <w:b/>
          <w:caps/>
          <w:szCs w:val="20"/>
        </w:rPr>
        <w:sectPr w:rsidR="003957B7" w:rsidRPr="005C5E57" w:rsidSect="00B768FE">
          <w:type w:val="continuous"/>
          <w:pgSz w:w="12240" w:h="15840"/>
          <w:pgMar w:top="1440" w:right="2016" w:bottom="2016" w:left="2016" w:header="720" w:footer="1123" w:gutter="0"/>
          <w:cols w:space="720"/>
          <w:docGrid w:linePitch="272"/>
        </w:sectPr>
      </w:pPr>
    </w:p>
    <w:p w14:paraId="2686AAF6" w14:textId="77777777" w:rsidR="003957B7" w:rsidRPr="005C5E57" w:rsidRDefault="003957B7" w:rsidP="003957B7">
      <w:pPr>
        <w:keepNext/>
        <w:spacing w:line="240" w:lineRule="auto"/>
        <w:jc w:val="both"/>
        <w:rPr>
          <w:rFonts w:ascii="Arial" w:eastAsia="Times New Roman" w:hAnsi="Arial" w:cs="Arial"/>
          <w:b/>
          <w:caps/>
          <w:szCs w:val="20"/>
        </w:rPr>
      </w:pPr>
      <w:r w:rsidRPr="005C5E57">
        <w:rPr>
          <w:rFonts w:ascii="Arial" w:eastAsia="Times New Roman" w:hAnsi="Arial" w:cs="Arial"/>
          <w:b/>
          <w:caps/>
          <w:szCs w:val="20"/>
        </w:rPr>
        <w:t xml:space="preserve">1. INTRODUCTION </w:t>
      </w:r>
    </w:p>
    <w:bookmarkEnd w:id="0"/>
    <w:p w14:paraId="1759649B" w14:textId="77777777" w:rsidR="003957B7" w:rsidRPr="00572DBC" w:rsidRDefault="003957B7" w:rsidP="003957B7">
      <w:pPr>
        <w:spacing w:after="240" w:line="240" w:lineRule="auto"/>
        <w:jc w:val="both"/>
        <w:rPr>
          <w:rFonts w:ascii="Arial" w:eastAsia="Times New Roman" w:hAnsi="Arial" w:cs="Arial"/>
          <w:sz w:val="20"/>
          <w:szCs w:val="20"/>
        </w:rPr>
      </w:pP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is an innovative semi-solid system consisting of a combination of hydrogel and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that combines two phases to produce a material with superior stability, encapsulation capabilities and mechanical properties (Shakeel et al., 2022).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is a gel form of vegetable fats and gelatin that can be used to replace some saturated fats as a healthier alternative technique with the potential to reduce saturated fat levels and increase the profile of unsaturated fatty acids (Jing et al., 2015). Beeswax is able to form dense tissue that can maintain the physical integrity of the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slow the migration of active substances and provide rheological characteristics suitable for topical and food applications (Meng et al., 2018). </w:t>
      </w:r>
      <w:proofErr w:type="spellStart"/>
      <w:r w:rsidRPr="00572DBC">
        <w:rPr>
          <w:rFonts w:ascii="Arial" w:eastAsia="Times New Roman" w:hAnsi="Arial" w:cs="Arial"/>
          <w:sz w:val="20"/>
          <w:szCs w:val="20"/>
        </w:rPr>
        <w:t>Oleogels</w:t>
      </w:r>
      <w:proofErr w:type="spellEnd"/>
      <w:r w:rsidRPr="00572DBC">
        <w:rPr>
          <w:rFonts w:ascii="Arial" w:eastAsia="Times New Roman" w:hAnsi="Arial" w:cs="Arial"/>
          <w:sz w:val="20"/>
          <w:szCs w:val="20"/>
        </w:rPr>
        <w:t xml:space="preserve"> are generally rich in unsaturated fatty acids that acquire a solid texture while trapped in three-dimensional crystalline tissue formed by regulatory agents (</w:t>
      </w:r>
      <w:proofErr w:type="spellStart"/>
      <w:r w:rsidRPr="00572DBC">
        <w:rPr>
          <w:rFonts w:ascii="Arial" w:eastAsia="Times New Roman" w:hAnsi="Arial" w:cs="Arial"/>
          <w:sz w:val="20"/>
          <w:szCs w:val="20"/>
        </w:rPr>
        <w:t>oleogelators</w:t>
      </w:r>
      <w:proofErr w:type="spellEnd"/>
      <w:r w:rsidRPr="00572DBC">
        <w:rPr>
          <w:rFonts w:ascii="Arial" w:eastAsia="Times New Roman" w:hAnsi="Arial" w:cs="Arial"/>
          <w:sz w:val="20"/>
          <w:szCs w:val="20"/>
        </w:rPr>
        <w:t>) at certain concentrations. The characteristics of each gel such as viscosity, hardness and melting point may vary depending on the regulatory agent allowing the development of different products (</w:t>
      </w:r>
      <w:proofErr w:type="spellStart"/>
      <w:r w:rsidRPr="00572DBC">
        <w:rPr>
          <w:rFonts w:ascii="Arial" w:eastAsia="Times New Roman" w:hAnsi="Arial" w:cs="Arial"/>
          <w:sz w:val="20"/>
          <w:szCs w:val="20"/>
        </w:rPr>
        <w:t>Floter</w:t>
      </w:r>
      <w:proofErr w:type="spellEnd"/>
      <w:r w:rsidRPr="00572DBC">
        <w:rPr>
          <w:rFonts w:ascii="Arial" w:eastAsia="Times New Roman" w:hAnsi="Arial" w:cs="Arial"/>
          <w:sz w:val="20"/>
          <w:szCs w:val="20"/>
        </w:rPr>
        <w:t xml:space="preserve"> et al., 2021). The use of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not only to replace fat can act as a carrier of water-</w:t>
      </w:r>
      <w:r w:rsidRPr="00572DBC">
        <w:rPr>
          <w:rFonts w:ascii="Arial" w:eastAsia="Times New Roman" w:hAnsi="Arial" w:cs="Arial"/>
          <w:sz w:val="20"/>
          <w:szCs w:val="20"/>
        </w:rPr>
        <w:lastRenderedPageBreak/>
        <w:t xml:space="preserve">insoluble bioactive substances, a stabilizer for products that do not use emulsifiers, oil binders or provide heat resistance to food products (Puscas et al., 2020). </w:t>
      </w:r>
    </w:p>
    <w:p w14:paraId="5B753B7D" w14:textId="77777777" w:rsidR="003957B7" w:rsidRPr="00572DBC" w:rsidRDefault="003957B7" w:rsidP="003957B7">
      <w:pPr>
        <w:spacing w:after="240" w:line="240" w:lineRule="auto"/>
        <w:jc w:val="both"/>
        <w:rPr>
          <w:rFonts w:ascii="Arial" w:eastAsia="Times New Roman" w:hAnsi="Arial" w:cs="Arial"/>
          <w:sz w:val="20"/>
          <w:szCs w:val="20"/>
        </w:rPr>
      </w:pPr>
      <w:r w:rsidRPr="00572DBC">
        <w:rPr>
          <w:rFonts w:ascii="Arial" w:eastAsia="Times New Roman" w:hAnsi="Arial" w:cs="Arial"/>
          <w:sz w:val="20"/>
          <w:szCs w:val="20"/>
        </w:rPr>
        <w:t xml:space="preserve">Corn oil is used as an oil phase in the development of </w:t>
      </w:r>
      <w:proofErr w:type="spellStart"/>
      <w:r w:rsidRPr="00572DBC">
        <w:rPr>
          <w:rFonts w:ascii="Arial" w:eastAsia="Times New Roman" w:hAnsi="Arial" w:cs="Arial"/>
          <w:sz w:val="20"/>
          <w:szCs w:val="20"/>
        </w:rPr>
        <w:t>bigels</w:t>
      </w:r>
      <w:proofErr w:type="spellEnd"/>
      <w:r w:rsidRPr="00572DBC">
        <w:rPr>
          <w:rFonts w:ascii="Arial" w:eastAsia="Times New Roman" w:hAnsi="Arial" w:cs="Arial"/>
          <w:sz w:val="20"/>
          <w:szCs w:val="20"/>
        </w:rPr>
        <w:t xml:space="preserve"> because it contains polyunsaturated fatty acids, especially linoleic acid and vitamin E, which function as natural antioxidants (</w:t>
      </w:r>
      <w:proofErr w:type="spellStart"/>
      <w:r w:rsidRPr="00572DBC">
        <w:rPr>
          <w:rFonts w:ascii="Arial" w:eastAsia="Times New Roman" w:hAnsi="Arial" w:cs="Arial"/>
          <w:sz w:val="20"/>
          <w:szCs w:val="20"/>
        </w:rPr>
        <w:t>Dwiputra</w:t>
      </w:r>
      <w:proofErr w:type="spellEnd"/>
      <w:r w:rsidRPr="00572DBC">
        <w:rPr>
          <w:rFonts w:ascii="Arial" w:eastAsia="Times New Roman" w:hAnsi="Arial" w:cs="Arial"/>
          <w:sz w:val="20"/>
          <w:szCs w:val="20"/>
        </w:rPr>
        <w:t xml:space="preserve"> et al., 2015). The combination of beeswax and corn oil in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formation is able to produce a matrix that is stable and flexible in regulating its textural and functional properties. Hydrogels derived from natural polymers such as gelatin have a good ability to absorb water and form stable hydrophilic networks through the interaction of hydrogen bonds and three-dimensional structures. (Chen et al., 2011). Combining beeswax and corn oil </w:t>
      </w:r>
      <w:proofErr w:type="spellStart"/>
      <w:r w:rsidRPr="00572DBC">
        <w:rPr>
          <w:rFonts w:ascii="Arial" w:eastAsia="Times New Roman" w:hAnsi="Arial" w:cs="Arial"/>
          <w:sz w:val="20"/>
          <w:szCs w:val="20"/>
        </w:rPr>
        <w:t>oleogels</w:t>
      </w:r>
      <w:proofErr w:type="spellEnd"/>
      <w:r w:rsidRPr="00572DBC">
        <w:rPr>
          <w:rFonts w:ascii="Arial" w:eastAsia="Times New Roman" w:hAnsi="Arial" w:cs="Arial"/>
          <w:sz w:val="20"/>
          <w:szCs w:val="20"/>
        </w:rPr>
        <w:t xml:space="preserve"> with gelatin hydrogels in a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system is expected to be able to form a stable multiphase structure. The main focus in this formulation is evaluating the role of beeswax in shaping and strengthening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tissue, which has a direct impact on the overall physicochemical characteristics of the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Thus, the development of </w:t>
      </w:r>
      <w:proofErr w:type="spellStart"/>
      <w:r w:rsidRPr="00572DBC">
        <w:rPr>
          <w:rFonts w:ascii="Arial" w:eastAsia="Times New Roman" w:hAnsi="Arial" w:cs="Arial"/>
          <w:sz w:val="20"/>
          <w:szCs w:val="20"/>
        </w:rPr>
        <w:t>bigels</w:t>
      </w:r>
      <w:proofErr w:type="spellEnd"/>
      <w:r w:rsidRPr="00572DBC">
        <w:rPr>
          <w:rFonts w:ascii="Arial" w:eastAsia="Times New Roman" w:hAnsi="Arial" w:cs="Arial"/>
          <w:sz w:val="20"/>
          <w:szCs w:val="20"/>
        </w:rPr>
        <w:t xml:space="preserve"> based on beeswax, corn oil and gelatin </w:t>
      </w:r>
      <w:proofErr w:type="gramStart"/>
      <w:r w:rsidRPr="00572DBC">
        <w:rPr>
          <w:rFonts w:ascii="Arial" w:eastAsia="Times New Roman" w:hAnsi="Arial" w:cs="Arial"/>
          <w:sz w:val="20"/>
          <w:szCs w:val="20"/>
        </w:rPr>
        <w:t>is</w:t>
      </w:r>
      <w:proofErr w:type="gramEnd"/>
      <w:r w:rsidRPr="00572DBC">
        <w:rPr>
          <w:rFonts w:ascii="Arial" w:eastAsia="Times New Roman" w:hAnsi="Arial" w:cs="Arial"/>
          <w:sz w:val="20"/>
          <w:szCs w:val="20"/>
        </w:rPr>
        <w:t xml:space="preserve"> expected to contribute to producing food or pharmaceutical products that are healthier, more stable and have good sensory qualities.</w:t>
      </w:r>
    </w:p>
    <w:p w14:paraId="3B78188E" w14:textId="77777777" w:rsidR="003957B7" w:rsidRPr="005C5E57" w:rsidRDefault="003957B7" w:rsidP="003957B7">
      <w:pPr>
        <w:keepNext/>
        <w:spacing w:after="240" w:line="240" w:lineRule="auto"/>
        <w:jc w:val="both"/>
        <w:rPr>
          <w:rFonts w:ascii="Arial" w:eastAsia="Times New Roman" w:hAnsi="Arial" w:cs="Arial"/>
          <w:b/>
          <w:caps/>
          <w:szCs w:val="20"/>
        </w:rPr>
      </w:pPr>
      <w:r w:rsidRPr="005C5E57">
        <w:rPr>
          <w:rFonts w:ascii="Arial" w:eastAsia="Times New Roman" w:hAnsi="Arial" w:cs="Arial"/>
          <w:b/>
          <w:caps/>
          <w:szCs w:val="20"/>
        </w:rPr>
        <w:t xml:space="preserve">2. material and methods </w:t>
      </w:r>
    </w:p>
    <w:p w14:paraId="0952D9E1" w14:textId="77777777" w:rsidR="003957B7" w:rsidRPr="005C5E57" w:rsidRDefault="003957B7" w:rsidP="003957B7">
      <w:pPr>
        <w:jc w:val="both"/>
        <w:rPr>
          <w:rFonts w:ascii="Arial" w:hAnsi="Arial" w:cs="Arial"/>
          <w:b/>
        </w:rPr>
      </w:pPr>
      <w:r w:rsidRPr="005C5E57">
        <w:rPr>
          <w:rFonts w:ascii="Arial" w:hAnsi="Arial" w:cs="Arial"/>
          <w:b/>
        </w:rPr>
        <w:t>2.1 Sampling of Raw Materials</w:t>
      </w:r>
    </w:p>
    <w:p w14:paraId="4A7D3B7E" w14:textId="77777777"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materials used in this study were beeswax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-based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(Beeswax) with corn oil (</w:t>
      </w:r>
      <w:proofErr w:type="spellStart"/>
      <w:r w:rsidRPr="00572DBC">
        <w:rPr>
          <w:rFonts w:ascii="Arial" w:hAnsi="Arial" w:cs="Arial"/>
          <w:i/>
          <w:sz w:val="20"/>
          <w:szCs w:val="20"/>
        </w:rPr>
        <w:t>Zea</w:t>
      </w:r>
      <w:proofErr w:type="spellEnd"/>
      <w:r w:rsidRPr="00572DBC">
        <w:rPr>
          <w:rFonts w:ascii="Arial" w:hAnsi="Arial" w:cs="Arial"/>
          <w:i/>
          <w:sz w:val="20"/>
          <w:szCs w:val="20"/>
        </w:rPr>
        <w:t xml:space="preserve"> mays L</w:t>
      </w:r>
      <w:r w:rsidRPr="00572DBC">
        <w:rPr>
          <w:rFonts w:ascii="Arial" w:hAnsi="Arial" w:cs="Arial"/>
          <w:sz w:val="20"/>
          <w:szCs w:val="20"/>
        </w:rPr>
        <w:t xml:space="preserve">.) and gelatin hydrogel. Ingredients used in this study included beeswax (Kembang Joyo), corn oil (Tropicana Slim), GMS (Glycerol monostearate), bovine gelatin (Haqiqi) and </w:t>
      </w:r>
      <w:proofErr w:type="spellStart"/>
      <w:r w:rsidRPr="00572DBC">
        <w:rPr>
          <w:rFonts w:ascii="Arial" w:hAnsi="Arial" w:cs="Arial"/>
          <w:sz w:val="20"/>
          <w:szCs w:val="20"/>
        </w:rPr>
        <w:t>aquades</w:t>
      </w:r>
      <w:proofErr w:type="spellEnd"/>
      <w:r w:rsidRPr="00572DBC">
        <w:rPr>
          <w:rFonts w:ascii="Arial" w:hAnsi="Arial" w:cs="Arial"/>
          <w:sz w:val="20"/>
          <w:szCs w:val="20"/>
        </w:rPr>
        <w:t xml:space="preserve">. Tools used include glass beaker (Pyrex), glass stirrer, magnetic hotplate stirrer SH-2, electric stove, </w:t>
      </w:r>
      <w:proofErr w:type="spellStart"/>
      <w:r w:rsidRPr="00572DBC">
        <w:rPr>
          <w:rFonts w:ascii="Arial" w:hAnsi="Arial" w:cs="Arial"/>
          <w:sz w:val="20"/>
          <w:szCs w:val="20"/>
        </w:rPr>
        <w:t>handblender</w:t>
      </w:r>
      <w:proofErr w:type="spellEnd"/>
      <w:r w:rsidRPr="00572DBC">
        <w:rPr>
          <w:rFonts w:ascii="Arial" w:hAnsi="Arial" w:cs="Arial"/>
          <w:sz w:val="20"/>
          <w:szCs w:val="20"/>
        </w:rPr>
        <w:t xml:space="preserve"> (Bosch) knife, 200ml plastic container. </w:t>
      </w:r>
    </w:p>
    <w:p w14:paraId="416037CD" w14:textId="77777777" w:rsidR="003957B7" w:rsidRPr="005C5E57" w:rsidRDefault="003957B7" w:rsidP="003957B7">
      <w:pPr>
        <w:jc w:val="both"/>
        <w:rPr>
          <w:rFonts w:ascii="Arial" w:hAnsi="Arial" w:cs="Arial"/>
          <w:b/>
        </w:rPr>
      </w:pPr>
      <w:r w:rsidRPr="005C5E57">
        <w:rPr>
          <w:rFonts w:ascii="Arial" w:hAnsi="Arial" w:cs="Arial"/>
          <w:b/>
        </w:rPr>
        <w:t xml:space="preserve">2.2 Preparation of </w:t>
      </w:r>
      <w:proofErr w:type="spellStart"/>
      <w:r w:rsidRPr="005C5E57">
        <w:rPr>
          <w:rFonts w:ascii="Arial" w:hAnsi="Arial" w:cs="Arial"/>
          <w:b/>
        </w:rPr>
        <w:t>Oleogel</w:t>
      </w:r>
      <w:proofErr w:type="spellEnd"/>
      <w:r w:rsidRPr="005C5E57">
        <w:rPr>
          <w:rFonts w:ascii="Arial" w:hAnsi="Arial" w:cs="Arial"/>
          <w:b/>
        </w:rPr>
        <w:t xml:space="preserve">, </w:t>
      </w:r>
      <w:proofErr w:type="spellStart"/>
      <w:r w:rsidRPr="005C5E57">
        <w:rPr>
          <w:rFonts w:ascii="Arial" w:hAnsi="Arial" w:cs="Arial"/>
          <w:b/>
        </w:rPr>
        <w:t>Hidrogel</w:t>
      </w:r>
      <w:proofErr w:type="spellEnd"/>
      <w:r w:rsidRPr="005C5E57">
        <w:rPr>
          <w:rFonts w:ascii="Arial" w:hAnsi="Arial" w:cs="Arial"/>
          <w:b/>
        </w:rPr>
        <w:t xml:space="preserve"> and </w:t>
      </w:r>
      <w:proofErr w:type="spellStart"/>
      <w:r w:rsidRPr="005C5E57">
        <w:rPr>
          <w:rFonts w:ascii="Arial" w:hAnsi="Arial" w:cs="Arial"/>
          <w:b/>
        </w:rPr>
        <w:t>Bigel</w:t>
      </w:r>
      <w:proofErr w:type="spellEnd"/>
    </w:p>
    <w:p w14:paraId="234983F3" w14:textId="77777777" w:rsidR="003957B7" w:rsidRPr="00572DBC" w:rsidRDefault="003957B7" w:rsidP="003957B7">
      <w:pPr>
        <w:spacing w:after="240"/>
        <w:jc w:val="both"/>
        <w:rPr>
          <w:rFonts w:ascii="Arial" w:hAnsi="Arial" w:cs="Arial"/>
          <w:sz w:val="20"/>
          <w:szCs w:val="20"/>
        </w:rPr>
      </w:pPr>
      <w:r w:rsidRPr="00572DBC">
        <w:rPr>
          <w:rFonts w:ascii="Arial" w:hAnsi="Arial" w:cs="Arial"/>
          <w:sz w:val="20"/>
          <w:szCs w:val="20"/>
        </w:rPr>
        <w:t xml:space="preserve">The hydrogel manufacturing procedure refers to a method developed by Noman and Neetu (2023) with some modifications. Making hydrogel is carried out in several stages, namely preparing 20 grams of gelatin powder, then dissolving it in 180 ml of </w:t>
      </w:r>
      <w:proofErr w:type="spellStart"/>
      <w:r w:rsidRPr="00572DBC">
        <w:rPr>
          <w:rFonts w:ascii="Arial" w:hAnsi="Arial" w:cs="Arial"/>
          <w:sz w:val="20"/>
          <w:szCs w:val="20"/>
        </w:rPr>
        <w:t>aquades</w:t>
      </w:r>
      <w:proofErr w:type="spellEnd"/>
      <w:r w:rsidRPr="00572DBC">
        <w:rPr>
          <w:rFonts w:ascii="Arial" w:hAnsi="Arial" w:cs="Arial"/>
          <w:sz w:val="20"/>
          <w:szCs w:val="20"/>
        </w:rPr>
        <w:t xml:space="preserve"> in a </w:t>
      </w:r>
      <w:proofErr w:type="spellStart"/>
      <w:r w:rsidRPr="00572DBC">
        <w:rPr>
          <w:rFonts w:ascii="Arial" w:hAnsi="Arial" w:cs="Arial"/>
          <w:sz w:val="20"/>
          <w:szCs w:val="20"/>
        </w:rPr>
        <w:t>beker</w:t>
      </w:r>
      <w:proofErr w:type="spellEnd"/>
      <w:r w:rsidRPr="00572DBC">
        <w:rPr>
          <w:rFonts w:ascii="Arial" w:hAnsi="Arial" w:cs="Arial"/>
          <w:sz w:val="20"/>
          <w:szCs w:val="20"/>
        </w:rPr>
        <w:t xml:space="preserve"> glass. The solution is heated and homogenized to a temperature of 40˚C for 15 minutes. Put in a container for 2.5 hours until hardened. </w:t>
      </w:r>
    </w:p>
    <w:p w14:paraId="5657B7E6" w14:textId="77777777" w:rsidR="003957B7" w:rsidRPr="00572DBC" w:rsidRDefault="003957B7" w:rsidP="003957B7">
      <w:pPr>
        <w:spacing w:after="240"/>
        <w:jc w:val="both"/>
        <w:rPr>
          <w:rFonts w:ascii="Arial" w:hAnsi="Arial" w:cs="Arial"/>
          <w:sz w:val="20"/>
          <w:szCs w:val="20"/>
        </w:rPr>
      </w:pPr>
      <w:r w:rsidRPr="00572DBC">
        <w:rPr>
          <w:rFonts w:ascii="Arial" w:hAnsi="Arial" w:cs="Arial"/>
          <w:sz w:val="20"/>
          <w:szCs w:val="20"/>
        </w:rPr>
        <w:t xml:space="preserve">The procedure for making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refers to the method proposed by Zulfiqar et al. (2024) with some modifications. The stages of making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begin by heating beeswax to 6% of the 500 ml amount of corn oil. Next, add 5.1grams of GMS (Glycerol monostearate) and corn oil.  The mixture is then heated on an electric stove under the supervision of a thermometer until it reaches a temperature of 70˚C, while being homogenized until the beeswax dissolves completely. After that, the solution was poured into a storage container and left at room temperature of 27.5 ˚C for 1.5 hours until hardened.</w:t>
      </w:r>
    </w:p>
    <w:p w14:paraId="7E36DC5A" w14:textId="77777777" w:rsidR="003957B7" w:rsidRPr="005C5E57" w:rsidRDefault="003957B7" w:rsidP="003957B7">
      <w:pPr>
        <w:spacing w:after="240"/>
        <w:jc w:val="both"/>
        <w:rPr>
          <w:rFonts w:ascii="Arial" w:hAnsi="Arial" w:cs="Arial"/>
          <w:sz w:val="20"/>
          <w:szCs w:val="20"/>
        </w:rPr>
      </w:pPr>
      <w:r w:rsidRPr="00572DBC">
        <w:rPr>
          <w:rFonts w:ascii="Arial" w:hAnsi="Arial" w:cs="Arial"/>
          <w:sz w:val="20"/>
          <w:szCs w:val="20"/>
        </w:rPr>
        <w:t xml:space="preserve">The procedure for making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refers to the modified method of Prasad et al. (2023). Corn oil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w:t>
      </w:r>
      <w:proofErr w:type="spellStart"/>
      <w:r w:rsidRPr="00862A0D">
        <w:rPr>
          <w:rFonts w:ascii="Arial" w:hAnsi="Arial" w:cs="Arial"/>
          <w:i/>
          <w:sz w:val="20"/>
          <w:szCs w:val="20"/>
        </w:rPr>
        <w:t>Zea</w:t>
      </w:r>
      <w:proofErr w:type="spellEnd"/>
      <w:r w:rsidRPr="00862A0D">
        <w:rPr>
          <w:rFonts w:ascii="Arial" w:hAnsi="Arial" w:cs="Arial"/>
          <w:i/>
          <w:sz w:val="20"/>
          <w:szCs w:val="20"/>
        </w:rPr>
        <w:t xml:space="preserve"> mays L</w:t>
      </w:r>
      <w:r w:rsidRPr="00572DBC">
        <w:rPr>
          <w:rFonts w:ascii="Arial" w:hAnsi="Arial" w:cs="Arial"/>
          <w:sz w:val="20"/>
          <w:szCs w:val="20"/>
        </w:rPr>
        <w:t xml:space="preserve">.) and gelatin hydrogel were prepared in ratios of 80:20, 70:30, 60:40, and 50:50. The mixture was then homogenized using a </w:t>
      </w:r>
      <w:proofErr w:type="spellStart"/>
      <w:r w:rsidRPr="00572DBC">
        <w:rPr>
          <w:rFonts w:ascii="Arial" w:hAnsi="Arial" w:cs="Arial"/>
          <w:sz w:val="20"/>
          <w:szCs w:val="20"/>
        </w:rPr>
        <w:t>handblender</w:t>
      </w:r>
      <w:proofErr w:type="spellEnd"/>
      <w:r w:rsidRPr="00572DBC">
        <w:rPr>
          <w:rFonts w:ascii="Arial" w:hAnsi="Arial" w:cs="Arial"/>
          <w:sz w:val="20"/>
          <w:szCs w:val="20"/>
        </w:rPr>
        <w:t xml:space="preserve"> (Bosch). After mixing evenly,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is stored in a container and ready for testing.</w:t>
      </w:r>
      <w:r w:rsidRPr="005C5E57">
        <w:rPr>
          <w:rFonts w:ascii="Arial" w:hAnsi="Arial" w:cs="Arial"/>
          <w:sz w:val="20"/>
          <w:szCs w:val="20"/>
        </w:rPr>
        <w:t xml:space="preserve"> </w:t>
      </w:r>
    </w:p>
    <w:p w14:paraId="19B054D2" w14:textId="77777777" w:rsidR="003957B7" w:rsidRPr="005C5E57" w:rsidRDefault="003957B7" w:rsidP="003957B7">
      <w:pPr>
        <w:jc w:val="both"/>
        <w:rPr>
          <w:rFonts w:ascii="Arial" w:hAnsi="Arial" w:cs="Arial"/>
          <w:b/>
        </w:rPr>
      </w:pPr>
      <w:r w:rsidRPr="005C5E57">
        <w:rPr>
          <w:rFonts w:ascii="Arial" w:hAnsi="Arial" w:cs="Arial"/>
          <w:b/>
        </w:rPr>
        <w:t>2.3 Water Content</w:t>
      </w:r>
    </w:p>
    <w:p w14:paraId="1CB2B3F7" w14:textId="77777777"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water content testing procedure uses the gravimetric method </w:t>
      </w:r>
      <w:proofErr w:type="spellStart"/>
      <w:r w:rsidRPr="00572DBC">
        <w:rPr>
          <w:rFonts w:ascii="Arial" w:hAnsi="Arial" w:cs="Arial"/>
          <w:sz w:val="20"/>
          <w:szCs w:val="20"/>
        </w:rPr>
        <w:t>Sakul</w:t>
      </w:r>
      <w:proofErr w:type="spellEnd"/>
      <w:r w:rsidRPr="00572DBC">
        <w:rPr>
          <w:rFonts w:ascii="Arial" w:hAnsi="Arial" w:cs="Arial"/>
          <w:sz w:val="20"/>
          <w:szCs w:val="20"/>
        </w:rPr>
        <w:t xml:space="preserve">, et al. (2019) with modifications. The cup is placed in the oven for 24 hours at a temperature of 105˚C, then </w:t>
      </w:r>
      <w:r w:rsidRPr="00572DBC">
        <w:rPr>
          <w:rFonts w:ascii="Arial" w:hAnsi="Arial" w:cs="Arial"/>
          <w:sz w:val="20"/>
          <w:szCs w:val="20"/>
        </w:rPr>
        <w:lastRenderedPageBreak/>
        <w:t>placed in a desiccator for 30 minutes and left to cool and then weighed (A). A sample of 3 grams is put into a weighing bottle then weighed (B), the cup is placed in the oven at a temperature of 105˚C for 24 hours. After completion, the sample is put into a desiccator and then left to cool and then weighed (C).</w:t>
      </w:r>
    </w:p>
    <w:p w14:paraId="0EAEBCA3" w14:textId="77777777" w:rsidR="003957B7" w:rsidRPr="005C5E57" w:rsidRDefault="003957B7" w:rsidP="003957B7">
      <w:pPr>
        <w:jc w:val="both"/>
        <w:rPr>
          <w:rFonts w:ascii="Arial" w:hAnsi="Arial" w:cs="Arial"/>
          <w:sz w:val="20"/>
          <w:szCs w:val="20"/>
        </w:rPr>
      </w:pPr>
      <w:r w:rsidRPr="00572DBC">
        <w:rPr>
          <w:rFonts w:ascii="Arial" w:hAnsi="Arial" w:cs="Arial"/>
          <w:sz w:val="20"/>
          <w:szCs w:val="20"/>
        </w:rPr>
        <w:t>Water Content</w:t>
      </w:r>
      <w:r w:rsidRPr="005C5E57">
        <w:rPr>
          <w:rFonts w:ascii="Arial" w:hAnsi="Arial" w:cs="Arial"/>
          <w:sz w:val="20"/>
          <w:szCs w:val="20"/>
        </w:rPr>
        <w:t xml:space="preserve"> = </w:t>
      </w:r>
      <m:oMath>
        <m:f>
          <m:fPr>
            <m:ctrlPr>
              <w:rPr>
                <w:rFonts w:ascii="Cambria Math" w:hAnsi="Cambria Math" w:cs="Arial"/>
                <w:i/>
                <w:sz w:val="20"/>
                <w:szCs w:val="20"/>
              </w:rPr>
            </m:ctrlPr>
          </m:fPr>
          <m:num>
            <m:r>
              <w:rPr>
                <w:rFonts w:ascii="Cambria Math" w:hAnsi="Cambria Math" w:cs="Arial"/>
                <w:sz w:val="20"/>
                <w:szCs w:val="20"/>
              </w:rPr>
              <m:t>B-C</m:t>
            </m:r>
          </m:num>
          <m:den>
            <m:r>
              <w:rPr>
                <w:rFonts w:ascii="Cambria Math" w:hAnsi="Cambria Math" w:cs="Arial"/>
                <w:sz w:val="20"/>
                <w:szCs w:val="20"/>
              </w:rPr>
              <m:t>B-A</m:t>
            </m:r>
          </m:den>
        </m:f>
        <m:r>
          <w:rPr>
            <w:rFonts w:ascii="Cambria Math" w:hAnsi="Cambria Math" w:cs="Arial"/>
            <w:sz w:val="20"/>
            <w:szCs w:val="20"/>
          </w:rPr>
          <m:t xml:space="preserve"> </m:t>
        </m:r>
        <m:r>
          <m:rPr>
            <m:sty m:val="p"/>
          </m:rPr>
          <w:rPr>
            <w:rFonts w:ascii="Cambria Math" w:hAnsi="Cambria Math" w:cs="Arial"/>
            <w:sz w:val="20"/>
            <w:szCs w:val="20"/>
          </w:rPr>
          <m:t>x</m:t>
        </m:r>
      </m:oMath>
      <w:r w:rsidRPr="005C5E57">
        <w:rPr>
          <w:rFonts w:ascii="Arial" w:hAnsi="Arial" w:cs="Arial"/>
          <w:sz w:val="20"/>
          <w:szCs w:val="20"/>
        </w:rPr>
        <w:t xml:space="preserve"> 100 </w:t>
      </w:r>
    </w:p>
    <w:p w14:paraId="60876BA4" w14:textId="77777777" w:rsidR="003957B7" w:rsidRPr="005C5E57" w:rsidRDefault="003957B7" w:rsidP="003957B7">
      <w:pPr>
        <w:jc w:val="both"/>
        <w:rPr>
          <w:rFonts w:ascii="Arial" w:hAnsi="Arial" w:cs="Arial"/>
          <w:b/>
        </w:rPr>
      </w:pPr>
      <w:r w:rsidRPr="005C5E57">
        <w:rPr>
          <w:rFonts w:ascii="Arial" w:hAnsi="Arial" w:cs="Arial"/>
          <w:b/>
        </w:rPr>
        <w:t>2.4 Fat Content</w:t>
      </w:r>
    </w:p>
    <w:p w14:paraId="463955C8" w14:textId="77777777"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fat content testing procedure uses the Soxhlet AOAC method (2005) with modifications: filter paper and cotton </w:t>
      </w:r>
      <w:proofErr w:type="spellStart"/>
      <w:r w:rsidRPr="00572DBC">
        <w:rPr>
          <w:rFonts w:ascii="Arial" w:hAnsi="Arial" w:cs="Arial"/>
          <w:sz w:val="20"/>
          <w:szCs w:val="20"/>
        </w:rPr>
        <w:t>dioven</w:t>
      </w:r>
      <w:proofErr w:type="spellEnd"/>
      <w:r w:rsidRPr="00572DBC">
        <w:rPr>
          <w:rFonts w:ascii="Arial" w:hAnsi="Arial" w:cs="Arial"/>
          <w:sz w:val="20"/>
          <w:szCs w:val="20"/>
        </w:rPr>
        <w:t xml:space="preserve"> at a temperature of 105°C for 12 hours. Put in a desiccator for 15 minutes then weighted as (BS). Weighing the sample by 1 gram and wrapped in filter paper and cotton to form a cylinder then weighing it as (BSK). A solution of Petroleum Ether (PE) of 60 ml was added above the cylinder and 150 ml below the cylinder. Samples were extracted for 6 hours. Samples wrapped in filter paper were taken. Cooled and placed in an oven at 105°C (24 hours). Put in a desiccator for 15 minutes then weighted as (BK).</w:t>
      </w:r>
    </w:p>
    <w:p w14:paraId="209CC661" w14:textId="77777777" w:rsidR="003957B7" w:rsidRPr="005C5E57" w:rsidRDefault="003957B7" w:rsidP="003957B7">
      <w:pPr>
        <w:jc w:val="both"/>
        <w:rPr>
          <w:rFonts w:ascii="Arial" w:hAnsi="Arial" w:cs="Arial"/>
          <w:sz w:val="20"/>
          <w:szCs w:val="20"/>
        </w:rPr>
      </w:pPr>
      <w:r w:rsidRPr="00572DBC">
        <w:rPr>
          <w:rFonts w:ascii="Arial" w:hAnsi="Arial" w:cs="Arial"/>
          <w:sz w:val="20"/>
          <w:szCs w:val="20"/>
        </w:rPr>
        <w:t>Fat Content</w:t>
      </w:r>
      <w:r w:rsidRPr="005C5E57">
        <w:rPr>
          <w:rFonts w:ascii="Arial" w:hAnsi="Arial" w:cs="Arial"/>
          <w:sz w:val="20"/>
          <w:szCs w:val="20"/>
        </w:rPr>
        <w:t xml:space="preserve"> (%) = </w:t>
      </w:r>
      <m:oMath>
        <m:f>
          <m:fPr>
            <m:ctrlPr>
              <w:rPr>
                <w:rFonts w:ascii="Cambria Math" w:hAnsi="Cambria Math" w:cs="Arial"/>
                <w:i/>
                <w:sz w:val="20"/>
                <w:szCs w:val="20"/>
              </w:rPr>
            </m:ctrlPr>
          </m:fPr>
          <m:num>
            <m:r>
              <m:rPr>
                <m:sty m:val="p"/>
              </m:rPr>
              <w:rPr>
                <w:rFonts w:ascii="Cambria Math" w:hAnsi="Cambria Math" w:cs="Arial"/>
                <w:sz w:val="20"/>
                <w:szCs w:val="20"/>
              </w:rPr>
              <m:t>BS – (BSK – BK)</m:t>
            </m:r>
          </m:num>
          <m:den>
            <m:r>
              <w:rPr>
                <w:rFonts w:ascii="Cambria Math" w:hAnsi="Cambria Math" w:cs="Arial"/>
                <w:sz w:val="20"/>
                <w:szCs w:val="20"/>
              </w:rPr>
              <m:t>BK</m:t>
            </m:r>
          </m:den>
        </m:f>
      </m:oMath>
      <w:r w:rsidRPr="005C5E57">
        <w:rPr>
          <w:rFonts w:ascii="Arial" w:hAnsi="Arial" w:cs="Arial"/>
          <w:sz w:val="20"/>
          <w:szCs w:val="20"/>
        </w:rPr>
        <w:t xml:space="preserve"> X 100%</w:t>
      </w:r>
    </w:p>
    <w:p w14:paraId="39734038" w14:textId="77777777" w:rsidR="003957B7" w:rsidRPr="005C5E57" w:rsidRDefault="003957B7" w:rsidP="003957B7">
      <w:pPr>
        <w:jc w:val="both"/>
        <w:rPr>
          <w:rFonts w:ascii="Arial" w:hAnsi="Arial" w:cs="Arial"/>
          <w:sz w:val="20"/>
          <w:szCs w:val="20"/>
        </w:rPr>
      </w:pPr>
      <w:r w:rsidRPr="00572DBC">
        <w:rPr>
          <w:rFonts w:ascii="Arial" w:hAnsi="Arial" w:cs="Arial"/>
          <w:sz w:val="20"/>
          <w:szCs w:val="20"/>
        </w:rPr>
        <w:t>Dry Fat Content</w:t>
      </w:r>
      <w:r w:rsidRPr="005C5E57">
        <w:rPr>
          <w:rFonts w:ascii="Arial" w:hAnsi="Arial" w:cs="Arial"/>
          <w:sz w:val="20"/>
          <w:szCs w:val="20"/>
        </w:rPr>
        <w:t xml:space="preserve"> % </w:t>
      </w:r>
    </w:p>
    <w:p w14:paraId="15737B0A" w14:textId="77777777" w:rsidR="003957B7" w:rsidRPr="005C5E57" w:rsidRDefault="003957B7" w:rsidP="003957B7">
      <w:pPr>
        <w:jc w:val="both"/>
        <w:rPr>
          <w:rFonts w:ascii="Arial" w:hAnsi="Arial" w:cs="Arial"/>
          <w:sz w:val="20"/>
          <w:szCs w:val="20"/>
        </w:rPr>
      </w:pPr>
      <w:r w:rsidRPr="005C5E57">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hAnsi="Cambria Math" w:cs="Arial"/>
                <w:sz w:val="20"/>
                <w:szCs w:val="20"/>
              </w:rPr>
              <m:t xml:space="preserve"> </m:t>
            </m:r>
            <m:d>
              <m:dPr>
                <m:ctrlPr>
                  <w:rPr>
                    <w:rFonts w:ascii="Cambria Math" w:hAnsi="Cambria Math" w:cs="Arial"/>
                    <w:sz w:val="20"/>
                    <w:szCs w:val="20"/>
                  </w:rPr>
                </m:ctrlPr>
              </m:dPr>
              <m:e>
                <m:r>
                  <m:rPr>
                    <m:sty m:val="p"/>
                  </m:rPr>
                  <w:rPr>
                    <w:rFonts w:ascii="Cambria Math" w:hAnsi="Cambria Math" w:cs="Arial"/>
                    <w:sz w:val="20"/>
                    <w:szCs w:val="20"/>
                  </w:rPr>
                  <m:t>100 –%water content</m:t>
                </m:r>
              </m:e>
            </m:d>
            <m:r>
              <w:rPr>
                <w:rFonts w:ascii="Cambria Math" w:hAnsi="Cambria Math" w:cs="Arial"/>
                <w:sz w:val="20"/>
                <w:szCs w:val="20"/>
              </w:rPr>
              <m:t xml:space="preserve"> %fat content</m:t>
            </m:r>
          </m:num>
          <m:den>
            <m:r>
              <w:rPr>
                <w:rFonts w:ascii="Cambria Math" w:hAnsi="Cambria Math" w:cs="Arial"/>
                <w:sz w:val="20"/>
                <w:szCs w:val="20"/>
              </w:rPr>
              <m:t>100</m:t>
            </m:r>
          </m:den>
        </m:f>
      </m:oMath>
    </w:p>
    <w:p w14:paraId="0A43E82E" w14:textId="77777777" w:rsidR="003957B7" w:rsidRPr="005C5E57" w:rsidRDefault="003957B7" w:rsidP="003957B7">
      <w:pPr>
        <w:jc w:val="both"/>
        <w:rPr>
          <w:rFonts w:ascii="Arial" w:hAnsi="Arial" w:cs="Arial"/>
          <w:b/>
        </w:rPr>
      </w:pPr>
      <w:r w:rsidRPr="005C5E57">
        <w:rPr>
          <w:rFonts w:ascii="Arial" w:hAnsi="Arial" w:cs="Arial"/>
          <w:b/>
        </w:rPr>
        <w:t>2.5 Texture</w:t>
      </w:r>
    </w:p>
    <w:p w14:paraId="6A2EF35E" w14:textId="77777777"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texture testing procedure uses the texture analyzer Kaimal and </w:t>
      </w:r>
      <w:proofErr w:type="spellStart"/>
      <w:r w:rsidRPr="00572DBC">
        <w:rPr>
          <w:rFonts w:ascii="Arial" w:hAnsi="Arial" w:cs="Arial"/>
          <w:sz w:val="20"/>
          <w:szCs w:val="20"/>
        </w:rPr>
        <w:t>Shinghal</w:t>
      </w:r>
      <w:proofErr w:type="spellEnd"/>
      <w:r w:rsidRPr="00572DBC">
        <w:rPr>
          <w:rFonts w:ascii="Arial" w:hAnsi="Arial" w:cs="Arial"/>
          <w:sz w:val="20"/>
          <w:szCs w:val="20"/>
        </w:rPr>
        <w:t xml:space="preserve"> (2012) as follows: a sample of 50 grams is prepared in the cup which will be measured and placed under the probe, installed and positioned the sample well. Turn on the device and make sure that the value displayed on the monitor is at zero. Select the "</w:t>
      </w:r>
      <w:r w:rsidRPr="00862A0D">
        <w:rPr>
          <w:rFonts w:ascii="Arial" w:hAnsi="Arial" w:cs="Arial"/>
          <w:i/>
          <w:sz w:val="20"/>
          <w:szCs w:val="20"/>
        </w:rPr>
        <w:t>start test</w:t>
      </w:r>
      <w:r w:rsidRPr="00572DBC">
        <w:rPr>
          <w:rFonts w:ascii="Arial" w:hAnsi="Arial" w:cs="Arial"/>
          <w:sz w:val="20"/>
          <w:szCs w:val="20"/>
        </w:rPr>
        <w:t>" menu and pull the handle down so that the probe moves through the sample. The assay is considered complete when the probe returns to its initial position. The test results will be displayed in Newton units (N) on the monitor.</w:t>
      </w:r>
    </w:p>
    <w:p w14:paraId="263B4201" w14:textId="77777777" w:rsidR="003957B7" w:rsidRPr="00572DBC" w:rsidRDefault="003957B7" w:rsidP="003957B7">
      <w:pPr>
        <w:spacing w:after="0"/>
        <w:jc w:val="both"/>
        <w:rPr>
          <w:rFonts w:ascii="Arial" w:hAnsi="Arial" w:cs="Arial"/>
          <w:b/>
        </w:rPr>
      </w:pPr>
      <w:r w:rsidRPr="005C5E57">
        <w:rPr>
          <w:rFonts w:ascii="Arial" w:hAnsi="Arial" w:cs="Arial"/>
          <w:b/>
        </w:rPr>
        <w:t>2.6 Color</w:t>
      </w:r>
    </w:p>
    <w:p w14:paraId="4A5FE692" w14:textId="77777777" w:rsidR="003957B7" w:rsidRPr="005C5E57" w:rsidRDefault="003957B7" w:rsidP="003957B7">
      <w:pPr>
        <w:spacing w:after="0"/>
        <w:jc w:val="both"/>
        <w:rPr>
          <w:rFonts w:ascii="Arial" w:hAnsi="Arial" w:cs="Arial"/>
          <w:b/>
        </w:rPr>
      </w:pPr>
    </w:p>
    <w:p w14:paraId="5C1D5072" w14:textId="77777777" w:rsidR="003957B7" w:rsidRPr="005C5E57" w:rsidRDefault="003957B7" w:rsidP="003957B7">
      <w:pPr>
        <w:jc w:val="both"/>
        <w:rPr>
          <w:rFonts w:ascii="Arial" w:hAnsi="Arial" w:cs="Arial"/>
          <w:sz w:val="20"/>
          <w:szCs w:val="20"/>
        </w:rPr>
      </w:pPr>
      <w:r w:rsidRPr="00572DBC">
        <w:rPr>
          <w:rFonts w:ascii="Arial" w:hAnsi="Arial" w:cs="Arial"/>
          <w:sz w:val="20"/>
          <w:szCs w:val="20"/>
        </w:rPr>
        <w:t xml:space="preserve">Test procedure Color L*a*b* using colorimeter refers to </w:t>
      </w:r>
      <w:proofErr w:type="spellStart"/>
      <w:r w:rsidRPr="00572DBC">
        <w:rPr>
          <w:rFonts w:ascii="Arial" w:hAnsi="Arial" w:cs="Arial"/>
          <w:sz w:val="20"/>
          <w:szCs w:val="20"/>
        </w:rPr>
        <w:t>Phatarhe</w:t>
      </w:r>
      <w:proofErr w:type="spellEnd"/>
      <w:r w:rsidRPr="00572DBC">
        <w:rPr>
          <w:rFonts w:ascii="Arial" w:hAnsi="Arial" w:cs="Arial"/>
          <w:sz w:val="20"/>
          <w:szCs w:val="20"/>
        </w:rPr>
        <w:t xml:space="preserve"> et al. (2013) is as follows: Color reader is turned on by pressing the power button. Color measurements use color reader scales L* (white), a* (red), and b* (yellow). A sample of 10 grams is inserted and flattened into a 7x10 plastic clip, then placed on the lens on the tool. First time chromameter with white as standard. The measurement results are in the form of L*, a*, and b* values.</w:t>
      </w:r>
    </w:p>
    <w:p w14:paraId="6BA40459" w14:textId="77777777" w:rsidR="003957B7" w:rsidRPr="005C5E57" w:rsidRDefault="003957B7" w:rsidP="003957B7">
      <w:pPr>
        <w:jc w:val="both"/>
        <w:rPr>
          <w:rFonts w:ascii="Arial" w:hAnsi="Arial" w:cs="Arial"/>
          <w:b/>
        </w:rPr>
      </w:pPr>
      <w:r w:rsidRPr="005C5E57">
        <w:rPr>
          <w:rFonts w:ascii="Arial" w:hAnsi="Arial" w:cs="Arial"/>
          <w:b/>
        </w:rPr>
        <w:t>2.7 Weight Loss</w:t>
      </w:r>
    </w:p>
    <w:p w14:paraId="0E47A97F" w14:textId="77777777" w:rsidR="003957B7" w:rsidRPr="00572DBC" w:rsidRDefault="003957B7" w:rsidP="003957B7">
      <w:pPr>
        <w:spacing w:after="0"/>
        <w:jc w:val="both"/>
        <w:rPr>
          <w:rFonts w:ascii="Arial" w:hAnsi="Arial" w:cs="Arial"/>
          <w:sz w:val="20"/>
          <w:szCs w:val="20"/>
        </w:rPr>
      </w:pPr>
      <w:r w:rsidRPr="00572DBC">
        <w:rPr>
          <w:rFonts w:ascii="Arial" w:hAnsi="Arial" w:cs="Arial"/>
          <w:sz w:val="20"/>
          <w:szCs w:val="20"/>
        </w:rPr>
        <w:t xml:space="preserve">The modified Calligaris et al. (2021) weight shrink testing procedure is as follows: 2 grams of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is weighed and then placed in a petri dish, then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is left for 2 weeks at room temperature 25. The final weight of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is obtained by weighing the </w:t>
      </w:r>
      <w:proofErr w:type="spellStart"/>
      <w:r w:rsidRPr="00572DBC">
        <w:rPr>
          <w:rFonts w:ascii="Arial" w:hAnsi="Arial" w:cs="Arial"/>
          <w:sz w:val="20"/>
          <w:szCs w:val="20"/>
        </w:rPr>
        <w:t>bigel</w:t>
      </w:r>
      <w:proofErr w:type="spellEnd"/>
      <w:r w:rsidRPr="00572DBC">
        <w:rPr>
          <w:rFonts w:ascii="Arial" w:hAnsi="Arial" w:cs="Arial"/>
          <w:sz w:val="20"/>
          <w:szCs w:val="20"/>
        </w:rPr>
        <w:t>. After that, calculate the weight loss using the following formula:</w:t>
      </w:r>
    </w:p>
    <w:p w14:paraId="6E3E149F" w14:textId="77777777" w:rsidR="003957B7" w:rsidRPr="00572DBC" w:rsidRDefault="003957B7" w:rsidP="003957B7">
      <w:pPr>
        <w:spacing w:after="0"/>
        <w:jc w:val="both"/>
        <w:rPr>
          <w:rFonts w:ascii="Arial" w:hAnsi="Arial" w:cs="Arial"/>
          <w:sz w:val="20"/>
          <w:szCs w:val="20"/>
        </w:rPr>
      </w:pPr>
    </w:p>
    <w:p w14:paraId="5EAA0D66" w14:textId="77777777" w:rsidR="003957B7" w:rsidRPr="005C5E57" w:rsidRDefault="003957B7" w:rsidP="003957B7">
      <w:pPr>
        <w:spacing w:after="0"/>
        <w:jc w:val="both"/>
        <w:rPr>
          <w:rFonts w:ascii="Arial" w:hAnsi="Arial" w:cs="Arial"/>
          <w:sz w:val="20"/>
          <w:szCs w:val="20"/>
        </w:rPr>
      </w:pPr>
      <w:r w:rsidRPr="00572DBC">
        <w:rPr>
          <w:rFonts w:ascii="Arial" w:hAnsi="Arial" w:cs="Arial"/>
          <w:sz w:val="20"/>
          <w:szCs w:val="20"/>
        </w:rPr>
        <w:t>Weight Loss</w:t>
      </w:r>
      <w:r w:rsidRPr="005C5E57">
        <w:rPr>
          <w:rFonts w:ascii="Arial" w:hAnsi="Arial" w:cs="Arial"/>
          <w:sz w:val="20"/>
          <w:szCs w:val="20"/>
        </w:rPr>
        <w:t xml:space="preserve"> (%) = </w:t>
      </w:r>
      <m:oMath>
        <m:f>
          <m:fPr>
            <m:ctrlPr>
              <w:rPr>
                <w:rFonts w:ascii="Cambria Math" w:hAnsi="Cambria Math" w:cs="Arial"/>
                <w:i/>
                <w:sz w:val="20"/>
                <w:szCs w:val="20"/>
              </w:rPr>
            </m:ctrlPr>
          </m:fPr>
          <m:num>
            <m:r>
              <m:rPr>
                <m:sty m:val="p"/>
              </m:rPr>
              <w:rPr>
                <w:rFonts w:ascii="Cambria Math" w:hAnsi="Cambria Math" w:cs="Arial"/>
                <w:sz w:val="20"/>
                <w:szCs w:val="20"/>
              </w:rPr>
              <m:t>early weight-final weight)</m:t>
            </m:r>
          </m:num>
          <m:den>
            <m:r>
              <w:rPr>
                <w:rFonts w:ascii="Cambria Math" w:hAnsi="Cambria Math" w:cs="Arial"/>
                <w:sz w:val="20"/>
                <w:szCs w:val="20"/>
              </w:rPr>
              <m:t>early weight</m:t>
            </m:r>
          </m:den>
        </m:f>
      </m:oMath>
      <w:r w:rsidRPr="005C5E57">
        <w:rPr>
          <w:rFonts w:ascii="Arial" w:hAnsi="Arial" w:cs="Arial"/>
          <w:sz w:val="20"/>
          <w:szCs w:val="20"/>
        </w:rPr>
        <w:t xml:space="preserve"> x 100%</w:t>
      </w:r>
    </w:p>
    <w:p w14:paraId="3CD0E2CA" w14:textId="77777777" w:rsidR="003957B7" w:rsidRPr="005C5E57" w:rsidRDefault="003957B7" w:rsidP="003957B7">
      <w:pPr>
        <w:spacing w:after="0"/>
        <w:jc w:val="both"/>
        <w:rPr>
          <w:rFonts w:ascii="Arial" w:hAnsi="Arial" w:cs="Arial"/>
          <w:sz w:val="20"/>
          <w:szCs w:val="20"/>
        </w:rPr>
      </w:pPr>
    </w:p>
    <w:p w14:paraId="349925F7" w14:textId="77777777" w:rsidR="003957B7" w:rsidRPr="005C5E57" w:rsidRDefault="003957B7" w:rsidP="003957B7">
      <w:pPr>
        <w:jc w:val="both"/>
        <w:rPr>
          <w:rFonts w:ascii="Arial" w:hAnsi="Arial" w:cs="Arial"/>
          <w:b/>
        </w:rPr>
      </w:pPr>
      <w:r w:rsidRPr="005C5E57">
        <w:rPr>
          <w:rFonts w:ascii="Arial" w:hAnsi="Arial" w:cs="Arial"/>
          <w:b/>
        </w:rPr>
        <w:t xml:space="preserve">2.8 </w:t>
      </w:r>
      <w:r w:rsidRPr="005C5E57">
        <w:rPr>
          <w:rFonts w:ascii="Arial" w:hAnsi="Arial" w:cs="Arial"/>
          <w:b/>
          <w:i/>
        </w:rPr>
        <w:t>Oil Binding Capacity</w:t>
      </w:r>
      <w:r w:rsidRPr="005C5E57">
        <w:rPr>
          <w:rFonts w:ascii="Arial" w:hAnsi="Arial" w:cs="Arial"/>
          <w:b/>
        </w:rPr>
        <w:t xml:space="preserve"> (OBC)</w:t>
      </w:r>
    </w:p>
    <w:p w14:paraId="7252529D" w14:textId="77777777" w:rsidR="003957B7" w:rsidRPr="00572DBC" w:rsidRDefault="003957B7" w:rsidP="003957B7">
      <w:pPr>
        <w:spacing w:after="0"/>
        <w:jc w:val="both"/>
        <w:rPr>
          <w:rFonts w:ascii="Arial" w:hAnsi="Arial" w:cs="Arial"/>
          <w:sz w:val="20"/>
          <w:szCs w:val="20"/>
        </w:rPr>
      </w:pPr>
      <w:r w:rsidRPr="00572DBC">
        <w:rPr>
          <w:rFonts w:ascii="Arial" w:hAnsi="Arial" w:cs="Arial"/>
          <w:sz w:val="20"/>
          <w:szCs w:val="20"/>
        </w:rPr>
        <w:lastRenderedPageBreak/>
        <w:t>The oil binding capacity test procedure refers to Li et al. (2024) with the following modifications: a blank centrifuge tube was weighed as (m1), then a sample of 6 grams was prepared and placed in a 15 ml centrifuge tube and then weighed as (m3), centrifuged at 4500 rpm for 15 minutes. Inverted the tube for 5 minutes until all the oil came out and weighed as (m3). The OBC formula is as follows:</w:t>
      </w:r>
    </w:p>
    <w:p w14:paraId="5B3841BA" w14:textId="77777777" w:rsidR="003957B7" w:rsidRPr="005C5E57" w:rsidRDefault="003957B7" w:rsidP="003957B7">
      <w:pPr>
        <w:spacing w:after="0"/>
        <w:jc w:val="both"/>
        <w:rPr>
          <w:rFonts w:ascii="Arial" w:eastAsiaTheme="minorEastAsia" w:hAnsi="Arial" w:cs="Arial"/>
          <w:sz w:val="20"/>
          <w:szCs w:val="20"/>
        </w:rPr>
      </w:pPr>
      <w:r w:rsidRPr="005C5E57">
        <w:rPr>
          <w:rFonts w:ascii="Arial" w:hAnsi="Arial" w:cs="Arial"/>
          <w:sz w:val="20"/>
          <w:szCs w:val="20"/>
        </w:rPr>
        <w:t xml:space="preserve">OBC (%) = 100% - </w:t>
      </w:r>
      <m:oMath>
        <m:f>
          <m:fPr>
            <m:ctrlPr>
              <w:rPr>
                <w:rFonts w:ascii="Cambria Math" w:hAnsi="Cambria Math" w:cs="Arial"/>
                <w:i/>
                <w:sz w:val="20"/>
                <w:szCs w:val="20"/>
              </w:rPr>
            </m:ctrlPr>
          </m:fPr>
          <m:num>
            <m:r>
              <m:rPr>
                <m:sty m:val="p"/>
              </m:rPr>
              <w:rPr>
                <w:rFonts w:ascii="Cambria Math" w:hAnsi="Cambria Math" w:cs="Arial"/>
                <w:sz w:val="20"/>
                <w:szCs w:val="20"/>
              </w:rPr>
              <m:t>m2-m3</m:t>
            </m:r>
          </m:num>
          <m:den>
            <m:r>
              <w:rPr>
                <w:rFonts w:ascii="Cambria Math" w:hAnsi="Cambria Math" w:cs="Arial"/>
                <w:sz w:val="20"/>
                <w:szCs w:val="20"/>
              </w:rPr>
              <m:t>m2-m1</m:t>
            </m:r>
          </m:den>
        </m:f>
      </m:oMath>
    </w:p>
    <w:p w14:paraId="183E5D9B" w14:textId="77777777" w:rsidR="003957B7" w:rsidRPr="005C5E57" w:rsidRDefault="003957B7" w:rsidP="003957B7">
      <w:pPr>
        <w:spacing w:after="0"/>
        <w:jc w:val="both"/>
        <w:rPr>
          <w:rFonts w:ascii="Arial" w:hAnsi="Arial" w:cs="Arial"/>
          <w:sz w:val="20"/>
          <w:szCs w:val="20"/>
        </w:rPr>
      </w:pPr>
    </w:p>
    <w:p w14:paraId="2B99BF67" w14:textId="77777777" w:rsidR="003957B7" w:rsidRPr="00572DBC" w:rsidRDefault="003957B7" w:rsidP="003957B7">
      <w:pPr>
        <w:spacing w:after="0"/>
        <w:jc w:val="both"/>
        <w:rPr>
          <w:rFonts w:ascii="Arial" w:hAnsi="Arial" w:cs="Arial"/>
          <w:b/>
        </w:rPr>
      </w:pPr>
      <w:r w:rsidRPr="005C5E57">
        <w:rPr>
          <w:rFonts w:ascii="Arial" w:hAnsi="Arial" w:cs="Arial"/>
          <w:b/>
        </w:rPr>
        <w:t xml:space="preserve">2.9 </w:t>
      </w:r>
      <w:proofErr w:type="spellStart"/>
      <w:r w:rsidRPr="005C5E57">
        <w:rPr>
          <w:rFonts w:ascii="Arial" w:hAnsi="Arial" w:cs="Arial"/>
          <w:b/>
        </w:rPr>
        <w:t>Microstructur</w:t>
      </w:r>
      <w:proofErr w:type="spellEnd"/>
    </w:p>
    <w:p w14:paraId="44509FD2" w14:textId="77777777" w:rsidR="003957B7" w:rsidRPr="005C5E57" w:rsidRDefault="003957B7" w:rsidP="003957B7">
      <w:pPr>
        <w:spacing w:after="0"/>
        <w:jc w:val="both"/>
        <w:rPr>
          <w:rFonts w:ascii="Arial" w:hAnsi="Arial" w:cs="Arial"/>
          <w:b/>
        </w:rPr>
      </w:pPr>
    </w:p>
    <w:p w14:paraId="6410071D" w14:textId="77777777" w:rsidR="003957B7" w:rsidRPr="00572DBC" w:rsidRDefault="003957B7" w:rsidP="003957B7">
      <w:pPr>
        <w:spacing w:after="0"/>
        <w:jc w:val="both"/>
        <w:rPr>
          <w:rFonts w:ascii="Arial" w:hAnsi="Arial" w:cs="Arial"/>
          <w:sz w:val="20"/>
          <w:szCs w:val="20"/>
        </w:rPr>
      </w:pPr>
      <w:r w:rsidRPr="00572DBC">
        <w:rPr>
          <w:rFonts w:ascii="Arial" w:hAnsi="Arial" w:cs="Arial"/>
          <w:sz w:val="20"/>
          <w:szCs w:val="20"/>
        </w:rPr>
        <w:t xml:space="preserve">Microstructural testing using </w:t>
      </w:r>
      <w:r w:rsidRPr="00572DBC">
        <w:rPr>
          <w:rFonts w:ascii="Arial" w:hAnsi="Arial" w:cs="Arial"/>
          <w:i/>
          <w:sz w:val="20"/>
          <w:szCs w:val="20"/>
        </w:rPr>
        <w:t>Confocal Laser Scanning Microscopy</w:t>
      </w:r>
      <w:r w:rsidRPr="00572DBC">
        <w:rPr>
          <w:rFonts w:ascii="Arial" w:hAnsi="Arial" w:cs="Arial"/>
          <w:sz w:val="20"/>
          <w:szCs w:val="20"/>
        </w:rPr>
        <w:t xml:space="preserve"> (LEICA) as follows: 6 grams of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was stained with 40 µL of Rhodamine B dye (0.2%, w/v), then the sample was diluted with 100 µL of </w:t>
      </w:r>
      <w:proofErr w:type="spellStart"/>
      <w:r w:rsidRPr="00572DBC">
        <w:rPr>
          <w:rFonts w:ascii="Arial" w:hAnsi="Arial" w:cs="Arial"/>
          <w:sz w:val="20"/>
          <w:szCs w:val="20"/>
        </w:rPr>
        <w:t>aquades</w:t>
      </w:r>
      <w:proofErr w:type="spellEnd"/>
      <w:r w:rsidRPr="00572DBC">
        <w:rPr>
          <w:rFonts w:ascii="Arial" w:hAnsi="Arial" w:cs="Arial"/>
          <w:sz w:val="20"/>
          <w:szCs w:val="20"/>
        </w:rPr>
        <w:t>. After that, samples were taken and 10 µL of type G emergent oil was dripped on the slide and covered with a glass cover. Observed samples with Confocal Laser Scanning Microscopy. Images are taken using 40x objectives</w:t>
      </w:r>
    </w:p>
    <w:p w14:paraId="55EDDCD8" w14:textId="77777777" w:rsidR="003957B7" w:rsidRPr="005C5E57" w:rsidRDefault="003957B7" w:rsidP="003957B7">
      <w:pPr>
        <w:spacing w:after="0"/>
        <w:jc w:val="both"/>
        <w:rPr>
          <w:rFonts w:ascii="Arial" w:hAnsi="Arial" w:cs="Arial"/>
          <w:sz w:val="20"/>
          <w:szCs w:val="20"/>
        </w:rPr>
      </w:pPr>
    </w:p>
    <w:p w14:paraId="213E273B" w14:textId="77777777" w:rsidR="003957B7" w:rsidRPr="005C5E57" w:rsidRDefault="003957B7" w:rsidP="003957B7">
      <w:pPr>
        <w:jc w:val="both"/>
        <w:rPr>
          <w:rFonts w:ascii="Arial" w:hAnsi="Arial" w:cs="Arial"/>
          <w:b/>
        </w:rPr>
      </w:pPr>
      <w:r w:rsidRPr="005C5E57">
        <w:rPr>
          <w:rFonts w:ascii="Arial" w:hAnsi="Arial" w:cs="Arial"/>
          <w:b/>
        </w:rPr>
        <w:t xml:space="preserve">2.10 </w:t>
      </w:r>
      <w:proofErr w:type="spellStart"/>
      <w:r w:rsidRPr="005C5E57">
        <w:rPr>
          <w:rFonts w:ascii="Arial" w:hAnsi="Arial" w:cs="Arial"/>
          <w:b/>
        </w:rPr>
        <w:t>Antioksidant</w:t>
      </w:r>
      <w:proofErr w:type="spellEnd"/>
      <w:r w:rsidRPr="005C5E57">
        <w:rPr>
          <w:rFonts w:ascii="Arial" w:hAnsi="Arial" w:cs="Arial"/>
          <w:b/>
        </w:rPr>
        <w:t xml:space="preserve"> Activity</w:t>
      </w:r>
    </w:p>
    <w:p w14:paraId="6873D753" w14:textId="77777777" w:rsidR="003957B7" w:rsidRPr="00572DBC" w:rsidRDefault="003957B7" w:rsidP="003957B7">
      <w:pPr>
        <w:spacing w:after="0"/>
        <w:jc w:val="both"/>
        <w:rPr>
          <w:rFonts w:ascii="Arial" w:hAnsi="Arial" w:cs="Arial"/>
          <w:sz w:val="20"/>
          <w:szCs w:val="20"/>
        </w:rPr>
      </w:pPr>
      <w:r w:rsidRPr="00572DBC">
        <w:rPr>
          <w:rFonts w:ascii="Arial" w:hAnsi="Arial" w:cs="Arial"/>
          <w:sz w:val="20"/>
          <w:szCs w:val="20"/>
        </w:rPr>
        <w:t>Procedure for testing antioxidant activity based on AOAC (2005). The principle of testing antioxidant activity uses the DPPH method and continues with the use of IC</w:t>
      </w:r>
      <w:r w:rsidRPr="00572DBC">
        <w:rPr>
          <w:rFonts w:ascii="Cambria Math" w:hAnsi="Cambria Math" w:cs="Cambria Math"/>
          <w:sz w:val="20"/>
          <w:szCs w:val="20"/>
        </w:rPr>
        <w:t>₅₀</w:t>
      </w:r>
      <w:r w:rsidRPr="00572DBC">
        <w:rPr>
          <w:rFonts w:ascii="Arial" w:hAnsi="Arial" w:cs="Arial"/>
          <w:sz w:val="20"/>
          <w:szCs w:val="20"/>
        </w:rPr>
        <w:t xml:space="preserve"> as follows: dilute a sample of 0.1 grams with 10 ml of methanol in a centrifuge tube, then leave for 24 hours. Subsequently, three concentrations were prepared, namely 100%, 50% and 25% and 1 ml of DPPH was added to these concentrations. Homogenized and </w:t>
      </w:r>
      <w:proofErr w:type="spellStart"/>
      <w:r w:rsidRPr="00572DBC">
        <w:rPr>
          <w:rFonts w:ascii="Arial" w:hAnsi="Arial" w:cs="Arial"/>
          <w:sz w:val="20"/>
          <w:szCs w:val="20"/>
        </w:rPr>
        <w:t>masrated</w:t>
      </w:r>
      <w:proofErr w:type="spellEnd"/>
      <w:r w:rsidRPr="00572DBC">
        <w:rPr>
          <w:rFonts w:ascii="Arial" w:hAnsi="Arial" w:cs="Arial"/>
          <w:sz w:val="20"/>
          <w:szCs w:val="20"/>
        </w:rPr>
        <w:t xml:space="preserve"> for 30 minutes. Next, it was placed in a cuvette and absorbance was measured with a wavelength of 517 nm with a methanol blank. The absorbance value was measured using a 517 nm wavelength spectrophotometer. The IC</w:t>
      </w:r>
      <w:r w:rsidRPr="00572DBC">
        <w:rPr>
          <w:rFonts w:ascii="Cambria Math" w:hAnsi="Cambria Math" w:cs="Cambria Math"/>
          <w:sz w:val="20"/>
          <w:szCs w:val="20"/>
        </w:rPr>
        <w:t>₅₀</w:t>
      </w:r>
      <w:r w:rsidRPr="00572DBC">
        <w:rPr>
          <w:rFonts w:ascii="Arial" w:hAnsi="Arial" w:cs="Arial"/>
          <w:sz w:val="20"/>
          <w:szCs w:val="20"/>
        </w:rPr>
        <w:t xml:space="preserve"> value is determined by entering the sample concentration and % inhibition into the linear regression equation. The x value is intended for sample concentration and the y value is directed to the y axis Determination of the IC</w:t>
      </w:r>
      <w:r w:rsidRPr="00572DBC">
        <w:rPr>
          <w:rFonts w:ascii="Cambria Math" w:hAnsi="Cambria Math" w:cs="Cambria Math"/>
          <w:sz w:val="20"/>
          <w:szCs w:val="20"/>
        </w:rPr>
        <w:t>₅₀</w:t>
      </w:r>
      <w:r w:rsidRPr="00572DBC">
        <w:rPr>
          <w:rFonts w:ascii="Arial" w:hAnsi="Arial" w:cs="Arial"/>
          <w:sz w:val="20"/>
          <w:szCs w:val="20"/>
        </w:rPr>
        <w:t xml:space="preserve"> value is included in the equation Y = ax + b, y is 50 and x is the expected IC</w:t>
      </w:r>
      <w:r w:rsidRPr="00572DBC">
        <w:rPr>
          <w:rFonts w:ascii="Cambria Math" w:hAnsi="Cambria Math" w:cs="Cambria Math"/>
          <w:sz w:val="20"/>
          <w:szCs w:val="20"/>
        </w:rPr>
        <w:t>₅₀</w:t>
      </w:r>
      <w:r w:rsidRPr="00572DBC">
        <w:rPr>
          <w:rFonts w:ascii="Arial" w:hAnsi="Arial" w:cs="Arial"/>
          <w:sz w:val="20"/>
          <w:szCs w:val="20"/>
        </w:rPr>
        <w:t xml:space="preserve"> value.</w:t>
      </w:r>
    </w:p>
    <w:p w14:paraId="3F1883A3" w14:textId="77777777" w:rsidR="003957B7" w:rsidRPr="00572DBC" w:rsidRDefault="003957B7" w:rsidP="003957B7">
      <w:pPr>
        <w:spacing w:after="0"/>
        <w:jc w:val="both"/>
        <w:rPr>
          <w:rFonts w:ascii="Arial" w:hAnsi="Arial" w:cs="Arial"/>
          <w:sz w:val="20"/>
          <w:szCs w:val="20"/>
        </w:rPr>
      </w:pPr>
    </w:p>
    <w:p w14:paraId="2A7EE10D" w14:textId="77777777" w:rsidR="003957B7" w:rsidRPr="005C5E57" w:rsidRDefault="003957B7" w:rsidP="003957B7">
      <w:pPr>
        <w:jc w:val="both"/>
        <w:rPr>
          <w:rFonts w:ascii="Arial" w:hAnsi="Arial" w:cs="Arial"/>
          <w:b/>
        </w:rPr>
      </w:pPr>
      <w:r w:rsidRPr="005C5E57">
        <w:rPr>
          <w:rFonts w:ascii="Arial" w:hAnsi="Arial" w:cs="Arial"/>
          <w:b/>
        </w:rPr>
        <w:t xml:space="preserve">2.11 </w:t>
      </w:r>
      <w:r w:rsidRPr="005C5E57">
        <w:rPr>
          <w:rFonts w:ascii="Arial" w:hAnsi="Arial" w:cs="Arial"/>
          <w:b/>
          <w:i/>
        </w:rPr>
        <w:t>Fourier Transform Infrared</w:t>
      </w:r>
      <w:r w:rsidRPr="005C5E57">
        <w:rPr>
          <w:rFonts w:ascii="Arial" w:hAnsi="Arial" w:cs="Arial"/>
          <w:b/>
        </w:rPr>
        <w:t xml:space="preserve"> (FTIR)</w:t>
      </w:r>
    </w:p>
    <w:p w14:paraId="608C8B95" w14:textId="77777777" w:rsidR="003957B7" w:rsidRPr="00572DBC" w:rsidRDefault="003957B7" w:rsidP="003957B7">
      <w:pPr>
        <w:spacing w:after="0" w:line="240" w:lineRule="auto"/>
        <w:jc w:val="both"/>
        <w:rPr>
          <w:rFonts w:ascii="Arial" w:eastAsia="Times New Roman" w:hAnsi="Arial" w:cs="Arial"/>
          <w:sz w:val="20"/>
          <w:szCs w:val="20"/>
        </w:rPr>
      </w:pPr>
      <w:r w:rsidRPr="00572DBC">
        <w:rPr>
          <w:rFonts w:ascii="Arial" w:eastAsia="Times New Roman" w:hAnsi="Arial" w:cs="Arial"/>
          <w:sz w:val="20"/>
          <w:szCs w:val="20"/>
        </w:rPr>
        <w:t xml:space="preserve">The FTIR test procedure refers to Martins et al. (2023) using </w:t>
      </w:r>
      <w:proofErr w:type="spellStart"/>
      <w:r w:rsidRPr="00572DBC">
        <w:rPr>
          <w:rFonts w:ascii="Arial" w:eastAsia="Times New Roman" w:hAnsi="Arial" w:cs="Arial"/>
          <w:sz w:val="20"/>
          <w:szCs w:val="20"/>
        </w:rPr>
        <w:t>Shimadzhu</w:t>
      </w:r>
      <w:proofErr w:type="spellEnd"/>
      <w:r w:rsidRPr="00572DBC">
        <w:rPr>
          <w:rFonts w:ascii="Arial" w:eastAsia="Times New Roman" w:hAnsi="Arial" w:cs="Arial"/>
          <w:sz w:val="20"/>
          <w:szCs w:val="20"/>
        </w:rPr>
        <w:t xml:space="preserve"> </w:t>
      </w:r>
      <w:proofErr w:type="spellStart"/>
      <w:r w:rsidRPr="00572DBC">
        <w:rPr>
          <w:rFonts w:ascii="Arial" w:eastAsia="Times New Roman" w:hAnsi="Arial" w:cs="Arial"/>
          <w:sz w:val="20"/>
          <w:szCs w:val="20"/>
        </w:rPr>
        <w:t>IRSprint</w:t>
      </w:r>
      <w:proofErr w:type="spellEnd"/>
      <w:r w:rsidRPr="00572DBC">
        <w:rPr>
          <w:rFonts w:ascii="Arial" w:eastAsia="Times New Roman" w:hAnsi="Arial" w:cs="Arial"/>
          <w:sz w:val="20"/>
          <w:szCs w:val="20"/>
        </w:rPr>
        <w:t xml:space="preserve"> as follows: turn on the Shimadzu </w:t>
      </w:r>
      <w:proofErr w:type="spellStart"/>
      <w:r w:rsidRPr="00572DBC">
        <w:rPr>
          <w:rFonts w:ascii="Arial" w:eastAsia="Times New Roman" w:hAnsi="Arial" w:cs="Arial"/>
          <w:sz w:val="20"/>
          <w:szCs w:val="20"/>
        </w:rPr>
        <w:t>IRSpirit</w:t>
      </w:r>
      <w:proofErr w:type="spellEnd"/>
      <w:r w:rsidRPr="00572DBC">
        <w:rPr>
          <w:rFonts w:ascii="Arial" w:eastAsia="Times New Roman" w:hAnsi="Arial" w:cs="Arial"/>
          <w:sz w:val="20"/>
          <w:szCs w:val="20"/>
        </w:rPr>
        <w:t xml:space="preserve"> FTIR instrument and wait until the system is ready. Heated tool about 15–30 minutes. Sample drops and measurements were carried out in a vacuum atmosphere, in the wave number range of 400 to 4000 cm</w:t>
      </w:r>
      <w:r w:rsidRPr="00572DBC">
        <w:rPr>
          <w:rFonts w:ascii="Cambria Math" w:eastAsia="Times New Roman" w:hAnsi="Cambria Math" w:cs="Cambria Math"/>
          <w:sz w:val="20"/>
          <w:szCs w:val="20"/>
        </w:rPr>
        <w:t>⁻</w:t>
      </w:r>
      <w:r w:rsidRPr="00572DBC">
        <w:rPr>
          <w:rFonts w:ascii="Arial" w:eastAsia="Times New Roman" w:hAnsi="Arial" w:cs="Arial"/>
          <w:sz w:val="20"/>
          <w:szCs w:val="20"/>
        </w:rPr>
        <w:t xml:space="preserve">¹. </w:t>
      </w:r>
    </w:p>
    <w:p w14:paraId="0AD3C77F" w14:textId="77777777" w:rsidR="003957B7" w:rsidRPr="00572DBC" w:rsidRDefault="003957B7" w:rsidP="003957B7">
      <w:pPr>
        <w:spacing w:after="0" w:line="240" w:lineRule="auto"/>
        <w:jc w:val="both"/>
        <w:rPr>
          <w:rFonts w:ascii="Arial" w:eastAsia="Times New Roman" w:hAnsi="Arial" w:cs="Arial"/>
          <w:sz w:val="20"/>
          <w:szCs w:val="20"/>
        </w:rPr>
      </w:pPr>
    </w:p>
    <w:p w14:paraId="799909FB" w14:textId="77777777" w:rsidR="003957B7" w:rsidRPr="005C5E57" w:rsidRDefault="003957B7" w:rsidP="003957B7">
      <w:pPr>
        <w:spacing w:line="240" w:lineRule="auto"/>
        <w:jc w:val="both"/>
        <w:rPr>
          <w:rFonts w:ascii="Arial" w:eastAsia="Times New Roman" w:hAnsi="Arial" w:cs="Arial"/>
          <w:b/>
        </w:rPr>
      </w:pPr>
      <w:r w:rsidRPr="005C5E57">
        <w:rPr>
          <w:rFonts w:ascii="Arial" w:eastAsia="Times New Roman" w:hAnsi="Arial" w:cs="Arial"/>
          <w:b/>
        </w:rPr>
        <w:t>2.12 Statistical Analysis</w:t>
      </w:r>
    </w:p>
    <w:p w14:paraId="7F20E0E2" w14:textId="77777777" w:rsidR="003957B7" w:rsidRPr="005C5E57" w:rsidRDefault="003957B7" w:rsidP="00862A0D">
      <w:pPr>
        <w:spacing w:after="0" w:line="240" w:lineRule="auto"/>
        <w:jc w:val="both"/>
        <w:rPr>
          <w:rFonts w:ascii="Arial" w:eastAsia="Times New Roman" w:hAnsi="Arial" w:cs="Arial"/>
          <w:sz w:val="20"/>
          <w:szCs w:val="20"/>
        </w:rPr>
        <w:sectPr w:rsidR="003957B7" w:rsidRPr="005C5E57" w:rsidSect="00B768FE">
          <w:type w:val="continuous"/>
          <w:pgSz w:w="12240" w:h="15840"/>
          <w:pgMar w:top="1440" w:right="2016" w:bottom="2016" w:left="2016" w:header="720" w:footer="1123" w:gutter="0"/>
          <w:cols w:space="180"/>
          <w:docGrid w:linePitch="272"/>
        </w:sectPr>
      </w:pPr>
      <w:r w:rsidRPr="00572DBC">
        <w:rPr>
          <w:rFonts w:ascii="Arial" w:eastAsia="Times New Roman" w:hAnsi="Arial" w:cs="Arial"/>
          <w:sz w:val="20"/>
          <w:szCs w:val="20"/>
        </w:rPr>
        <w:t>The research method applied was an experimental method using a Complete Randomized Design (RAL) consisting of 4 treatments and 4 replicates. The data obtained were analyzed using variance analysis (ANOVA) by applying the Complete Randomized Design (RAL) and repeated four times. If there is a significant (</w:t>
      </w:r>
      <w:r w:rsidRPr="00572DBC">
        <w:rPr>
          <w:rFonts w:ascii="Arial" w:eastAsia="Times New Roman" w:hAnsi="Arial" w:cs="Arial"/>
          <w:i/>
          <w:sz w:val="20"/>
          <w:szCs w:val="20"/>
        </w:rPr>
        <w:t>P</w:t>
      </w:r>
      <w:r w:rsidRPr="00572DBC">
        <w:rPr>
          <w:rFonts w:ascii="Arial" w:eastAsia="Times New Roman" w:hAnsi="Arial" w:cs="Arial"/>
          <w:sz w:val="20"/>
          <w:szCs w:val="20"/>
        </w:rPr>
        <w:t>&lt;0.05) or very significant (</w:t>
      </w:r>
      <w:r w:rsidRPr="00572DBC">
        <w:rPr>
          <w:rFonts w:ascii="Arial" w:eastAsia="Times New Roman" w:hAnsi="Arial" w:cs="Arial"/>
          <w:i/>
          <w:sz w:val="20"/>
          <w:szCs w:val="20"/>
        </w:rPr>
        <w:t>P</w:t>
      </w:r>
      <w:r w:rsidRPr="00572DBC">
        <w:rPr>
          <w:rFonts w:ascii="Arial" w:eastAsia="Times New Roman" w:hAnsi="Arial" w:cs="Arial"/>
          <w:sz w:val="20"/>
          <w:szCs w:val="20"/>
        </w:rPr>
        <w:t>&lt;0.01) difference in the analysis results, the Duncan Multiple Distance Test (UJBD) is performed</w:t>
      </w:r>
      <w:r w:rsidR="00862A0D">
        <w:rPr>
          <w:rFonts w:ascii="Arial" w:eastAsia="Times New Roman" w:hAnsi="Arial" w:cs="Arial"/>
          <w:sz w:val="20"/>
          <w:szCs w:val="20"/>
        </w:rPr>
        <w:t xml:space="preserve">. </w:t>
      </w:r>
    </w:p>
    <w:p w14:paraId="2B60444D" w14:textId="77777777" w:rsidR="003957B7" w:rsidRPr="005C5E57" w:rsidRDefault="003957B7" w:rsidP="003957B7">
      <w:pPr>
        <w:keepNext/>
        <w:spacing w:after="0" w:line="240" w:lineRule="auto"/>
        <w:jc w:val="both"/>
        <w:rPr>
          <w:rFonts w:ascii="Arial" w:eastAsia="Times New Roman" w:hAnsi="Arial" w:cs="Arial"/>
          <w:b/>
          <w:caps/>
          <w:szCs w:val="20"/>
        </w:rPr>
      </w:pPr>
    </w:p>
    <w:p w14:paraId="2728FDBD" w14:textId="77777777" w:rsidR="003957B7" w:rsidRPr="005C5E57" w:rsidRDefault="003957B7" w:rsidP="003957B7">
      <w:pPr>
        <w:keepNext/>
        <w:spacing w:before="240" w:line="240" w:lineRule="auto"/>
        <w:jc w:val="both"/>
        <w:rPr>
          <w:rFonts w:ascii="Arial" w:eastAsia="Times New Roman" w:hAnsi="Arial" w:cs="Arial"/>
          <w:b/>
          <w:caps/>
          <w:szCs w:val="20"/>
        </w:rPr>
      </w:pPr>
      <w:r w:rsidRPr="005C5E57">
        <w:rPr>
          <w:rFonts w:ascii="Arial" w:eastAsia="Times New Roman" w:hAnsi="Arial" w:cs="Arial"/>
          <w:b/>
          <w:caps/>
          <w:szCs w:val="20"/>
        </w:rPr>
        <w:t>3. results and discussion</w:t>
      </w:r>
    </w:p>
    <w:p w14:paraId="6A9B053D" w14:textId="77777777" w:rsidR="003957B7" w:rsidRPr="005C5E57" w:rsidRDefault="003957B7" w:rsidP="003957B7">
      <w:pPr>
        <w:keepNext/>
        <w:spacing w:line="240" w:lineRule="auto"/>
        <w:jc w:val="both"/>
        <w:rPr>
          <w:rFonts w:ascii="Arial" w:eastAsia="Times New Roman" w:hAnsi="Arial" w:cs="Arial"/>
          <w:caps/>
          <w:sz w:val="20"/>
          <w:szCs w:val="20"/>
        </w:rPr>
      </w:pPr>
      <w:r w:rsidRPr="00572DBC">
        <w:rPr>
          <w:rFonts w:ascii="Arial" w:hAnsi="Arial" w:cs="Arial"/>
          <w:sz w:val="20"/>
          <w:szCs w:val="20"/>
        </w:rPr>
        <w:t xml:space="preserve">The results of this study are presented in tables summarizing the proximate analysis and physical quality of with varying ratios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to hydrogel. </w:t>
      </w:r>
      <w:r w:rsidRPr="001E424F">
        <w:rPr>
          <w:rFonts w:ascii="Arial" w:hAnsi="Arial" w:cs="Arial"/>
          <w:sz w:val="20"/>
          <w:szCs w:val="20"/>
        </w:rPr>
        <w:t>Table 1</w:t>
      </w:r>
      <w:r w:rsidRPr="00572DBC">
        <w:rPr>
          <w:rFonts w:ascii="Arial" w:hAnsi="Arial" w:cs="Arial"/>
          <w:sz w:val="20"/>
          <w:szCs w:val="20"/>
        </w:rPr>
        <w:t xml:space="preserve"> shows data on water content, fat content, and antioxidant activity. Table 2 presents sensory and physical quality </w:t>
      </w:r>
      <w:r w:rsidRPr="00572DBC">
        <w:rPr>
          <w:rFonts w:ascii="Arial" w:hAnsi="Arial" w:cs="Arial"/>
          <w:sz w:val="20"/>
          <w:szCs w:val="20"/>
        </w:rPr>
        <w:lastRenderedPageBreak/>
        <w:t xml:space="preserve">parameters of the </w:t>
      </w:r>
      <w:proofErr w:type="spellStart"/>
      <w:r w:rsidRPr="00572DBC">
        <w:rPr>
          <w:rFonts w:ascii="Arial" w:hAnsi="Arial" w:cs="Arial"/>
          <w:sz w:val="20"/>
          <w:szCs w:val="20"/>
        </w:rPr>
        <w:t>bigel</w:t>
      </w:r>
      <w:proofErr w:type="spellEnd"/>
      <w:r w:rsidRPr="00572DBC">
        <w:rPr>
          <w:rFonts w:ascii="Arial" w:hAnsi="Arial" w:cs="Arial"/>
          <w:sz w:val="20"/>
          <w:szCs w:val="20"/>
        </w:rPr>
        <w:t>, including color values (L, a*, b*), oil binding capacity (OBC), weight loss, and texture.</w:t>
      </w:r>
    </w:p>
    <w:p w14:paraId="5824DD3C" w14:textId="77777777" w:rsidR="003957B7" w:rsidRPr="00F7567A" w:rsidRDefault="003957B7" w:rsidP="00F7567A">
      <w:pPr>
        <w:jc w:val="center"/>
        <w:rPr>
          <w:rFonts w:ascii="Arial" w:hAnsi="Arial" w:cs="Arial"/>
          <w:b/>
          <w:sz w:val="20"/>
          <w:szCs w:val="20"/>
        </w:rPr>
      </w:pPr>
      <w:r w:rsidRPr="00F7567A">
        <w:rPr>
          <w:rFonts w:ascii="Arial" w:hAnsi="Arial" w:cs="Arial"/>
          <w:b/>
          <w:sz w:val="20"/>
          <w:szCs w:val="20"/>
        </w:rPr>
        <w:t>Tabel 1. Proximate Analysis</w:t>
      </w:r>
    </w:p>
    <w:tbl>
      <w:tblPr>
        <w:tblStyle w:val="TableGrid"/>
        <w:tblW w:w="8263" w:type="dxa"/>
        <w:tblBorders>
          <w:insideH w:val="none" w:sz="0" w:space="0" w:color="auto"/>
          <w:insideV w:val="none" w:sz="0" w:space="0" w:color="auto"/>
        </w:tblBorders>
        <w:tblLook w:val="04A0" w:firstRow="1" w:lastRow="0" w:firstColumn="1" w:lastColumn="0" w:noHBand="0" w:noVBand="1"/>
      </w:tblPr>
      <w:tblGrid>
        <w:gridCol w:w="1663"/>
        <w:gridCol w:w="2046"/>
        <w:gridCol w:w="2248"/>
        <w:gridCol w:w="2306"/>
      </w:tblGrid>
      <w:tr w:rsidR="00572DBC" w:rsidRPr="00572DBC" w14:paraId="6D594BB1" w14:textId="77777777" w:rsidTr="003957B7">
        <w:trPr>
          <w:trHeight w:val="20"/>
        </w:trPr>
        <w:tc>
          <w:tcPr>
            <w:tcW w:w="1663" w:type="dxa"/>
            <w:tcBorders>
              <w:top w:val="single" w:sz="4" w:space="0" w:color="auto"/>
              <w:left w:val="nil"/>
              <w:bottom w:val="single" w:sz="4" w:space="0" w:color="auto"/>
            </w:tcBorders>
            <w:vAlign w:val="center"/>
          </w:tcPr>
          <w:p w14:paraId="19482C1A" w14:textId="77777777" w:rsidR="003957B7" w:rsidRPr="005C5E57" w:rsidRDefault="003957B7" w:rsidP="001F058E">
            <w:pPr>
              <w:jc w:val="center"/>
              <w:rPr>
                <w:rFonts w:ascii="Arial" w:hAnsi="Arial" w:cs="Arial"/>
                <w:sz w:val="20"/>
                <w:szCs w:val="20"/>
              </w:rPr>
            </w:pPr>
            <w:bookmarkStart w:id="1" w:name="_Hlk198390392"/>
            <w:r w:rsidRPr="005C5E57">
              <w:rPr>
                <w:rFonts w:ascii="Arial" w:hAnsi="Arial" w:cs="Arial"/>
                <w:sz w:val="20"/>
                <w:szCs w:val="20"/>
              </w:rPr>
              <w:t>Parameters</w:t>
            </w:r>
          </w:p>
        </w:tc>
        <w:tc>
          <w:tcPr>
            <w:tcW w:w="2046" w:type="dxa"/>
            <w:tcBorders>
              <w:top w:val="single" w:sz="4" w:space="0" w:color="auto"/>
              <w:bottom w:val="single" w:sz="4" w:space="0" w:color="auto"/>
            </w:tcBorders>
          </w:tcPr>
          <w:p w14:paraId="00D0AB1B"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Water Content (%)</w:t>
            </w:r>
          </w:p>
        </w:tc>
        <w:tc>
          <w:tcPr>
            <w:tcW w:w="2248" w:type="dxa"/>
            <w:tcBorders>
              <w:top w:val="single" w:sz="4" w:space="0" w:color="auto"/>
              <w:bottom w:val="single" w:sz="4" w:space="0" w:color="auto"/>
            </w:tcBorders>
          </w:tcPr>
          <w:p w14:paraId="6040CD20"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Fat Content (%)</w:t>
            </w:r>
          </w:p>
        </w:tc>
        <w:tc>
          <w:tcPr>
            <w:tcW w:w="2306" w:type="dxa"/>
            <w:tcBorders>
              <w:top w:val="single" w:sz="4" w:space="0" w:color="auto"/>
              <w:bottom w:val="single" w:sz="4" w:space="0" w:color="auto"/>
              <w:right w:val="nil"/>
            </w:tcBorders>
          </w:tcPr>
          <w:p w14:paraId="310A25CF" w14:textId="77777777" w:rsidR="003957B7" w:rsidRPr="005C5E57" w:rsidRDefault="003957B7" w:rsidP="001F058E">
            <w:pPr>
              <w:jc w:val="center"/>
              <w:rPr>
                <w:rFonts w:ascii="Arial" w:hAnsi="Arial" w:cs="Arial"/>
                <w:sz w:val="20"/>
                <w:szCs w:val="20"/>
              </w:rPr>
            </w:pPr>
            <w:proofErr w:type="spellStart"/>
            <w:r w:rsidRPr="005C5E57">
              <w:rPr>
                <w:rFonts w:ascii="Arial" w:hAnsi="Arial" w:cs="Arial"/>
                <w:sz w:val="20"/>
                <w:szCs w:val="20"/>
              </w:rPr>
              <w:t>Antioksidant</w:t>
            </w:r>
            <w:proofErr w:type="spellEnd"/>
            <w:r w:rsidRPr="005C5E57">
              <w:rPr>
                <w:rFonts w:ascii="Arial" w:hAnsi="Arial" w:cs="Arial"/>
                <w:sz w:val="20"/>
                <w:szCs w:val="20"/>
              </w:rPr>
              <w:t xml:space="preserve"> (µg/ml)</w:t>
            </w:r>
          </w:p>
        </w:tc>
      </w:tr>
      <w:tr w:rsidR="00572DBC" w:rsidRPr="00572DBC" w14:paraId="39733DC4" w14:textId="77777777" w:rsidTr="001F058E">
        <w:trPr>
          <w:trHeight w:val="16"/>
        </w:trPr>
        <w:tc>
          <w:tcPr>
            <w:tcW w:w="1663" w:type="dxa"/>
            <w:tcBorders>
              <w:top w:val="single" w:sz="4" w:space="0" w:color="auto"/>
              <w:left w:val="nil"/>
              <w:bottom w:val="nil"/>
            </w:tcBorders>
          </w:tcPr>
          <w:p w14:paraId="15B9A8CF"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P1 (80:20)</w:t>
            </w:r>
          </w:p>
        </w:tc>
        <w:tc>
          <w:tcPr>
            <w:tcW w:w="2046" w:type="dxa"/>
            <w:tcBorders>
              <w:top w:val="single" w:sz="4" w:space="0" w:color="auto"/>
              <w:bottom w:val="nil"/>
            </w:tcBorders>
          </w:tcPr>
          <w:p w14:paraId="0E8DC912"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18,33 ± 2,04ª</w:t>
            </w:r>
          </w:p>
        </w:tc>
        <w:tc>
          <w:tcPr>
            <w:tcW w:w="2248" w:type="dxa"/>
            <w:tcBorders>
              <w:top w:val="single" w:sz="4" w:space="0" w:color="auto"/>
              <w:bottom w:val="nil"/>
            </w:tcBorders>
          </w:tcPr>
          <w:p w14:paraId="70677008"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81,87 ± 4,69ª</w:t>
            </w:r>
          </w:p>
        </w:tc>
        <w:tc>
          <w:tcPr>
            <w:tcW w:w="2306" w:type="dxa"/>
            <w:tcBorders>
              <w:top w:val="single" w:sz="4" w:space="0" w:color="auto"/>
              <w:bottom w:val="nil"/>
              <w:right w:val="nil"/>
            </w:tcBorders>
          </w:tcPr>
          <w:p w14:paraId="4B41E176"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26,08 ± 8,08ª</w:t>
            </w:r>
          </w:p>
        </w:tc>
      </w:tr>
      <w:tr w:rsidR="00572DBC" w:rsidRPr="00572DBC" w14:paraId="0FF8753C" w14:textId="77777777" w:rsidTr="001F058E">
        <w:trPr>
          <w:trHeight w:val="18"/>
        </w:trPr>
        <w:tc>
          <w:tcPr>
            <w:tcW w:w="1663" w:type="dxa"/>
            <w:tcBorders>
              <w:top w:val="nil"/>
              <w:left w:val="nil"/>
              <w:bottom w:val="nil"/>
            </w:tcBorders>
          </w:tcPr>
          <w:p w14:paraId="15155023"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P2 (70:30)</w:t>
            </w:r>
          </w:p>
        </w:tc>
        <w:tc>
          <w:tcPr>
            <w:tcW w:w="2046" w:type="dxa"/>
            <w:tcBorders>
              <w:top w:val="nil"/>
              <w:bottom w:val="nil"/>
            </w:tcBorders>
          </w:tcPr>
          <w:p w14:paraId="6DB01093"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24,90 ± 1,05ᵇ</w:t>
            </w:r>
          </w:p>
        </w:tc>
        <w:tc>
          <w:tcPr>
            <w:tcW w:w="2248" w:type="dxa"/>
            <w:tcBorders>
              <w:top w:val="nil"/>
              <w:bottom w:val="nil"/>
            </w:tcBorders>
          </w:tcPr>
          <w:p w14:paraId="1678CAA5"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71,68 ± 0,72ᵇ</w:t>
            </w:r>
          </w:p>
        </w:tc>
        <w:tc>
          <w:tcPr>
            <w:tcW w:w="2306" w:type="dxa"/>
            <w:tcBorders>
              <w:top w:val="nil"/>
              <w:bottom w:val="nil"/>
              <w:right w:val="nil"/>
            </w:tcBorders>
          </w:tcPr>
          <w:p w14:paraId="3302DD81"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32,38 ± 0,93ªᵇ</w:t>
            </w:r>
          </w:p>
        </w:tc>
      </w:tr>
      <w:tr w:rsidR="00572DBC" w:rsidRPr="00572DBC" w14:paraId="597736AD" w14:textId="77777777" w:rsidTr="003957B7">
        <w:trPr>
          <w:trHeight w:val="18"/>
        </w:trPr>
        <w:tc>
          <w:tcPr>
            <w:tcW w:w="1663" w:type="dxa"/>
            <w:tcBorders>
              <w:top w:val="nil"/>
              <w:left w:val="nil"/>
              <w:bottom w:val="nil"/>
            </w:tcBorders>
          </w:tcPr>
          <w:p w14:paraId="49B62A54"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P3 (60:40)</w:t>
            </w:r>
          </w:p>
        </w:tc>
        <w:tc>
          <w:tcPr>
            <w:tcW w:w="2046" w:type="dxa"/>
            <w:tcBorders>
              <w:top w:val="nil"/>
              <w:bottom w:val="nil"/>
            </w:tcBorders>
          </w:tcPr>
          <w:p w14:paraId="6C82C6CF"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35,05 ± 0,90ᶜ</w:t>
            </w:r>
          </w:p>
        </w:tc>
        <w:tc>
          <w:tcPr>
            <w:tcW w:w="2248" w:type="dxa"/>
            <w:tcBorders>
              <w:top w:val="nil"/>
              <w:bottom w:val="nil"/>
            </w:tcBorders>
          </w:tcPr>
          <w:p w14:paraId="7011DB6C"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60,65 ± 1,93ᶜ</w:t>
            </w:r>
          </w:p>
        </w:tc>
        <w:tc>
          <w:tcPr>
            <w:tcW w:w="2306" w:type="dxa"/>
            <w:tcBorders>
              <w:top w:val="nil"/>
              <w:bottom w:val="nil"/>
              <w:right w:val="nil"/>
            </w:tcBorders>
          </w:tcPr>
          <w:p w14:paraId="781BB18C"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51,28 ± 4,59ᵇ</w:t>
            </w:r>
          </w:p>
        </w:tc>
      </w:tr>
      <w:tr w:rsidR="00572DBC" w:rsidRPr="00572DBC" w14:paraId="3E89A0E4" w14:textId="77777777" w:rsidTr="003957B7">
        <w:trPr>
          <w:trHeight w:val="18"/>
        </w:trPr>
        <w:tc>
          <w:tcPr>
            <w:tcW w:w="1663" w:type="dxa"/>
            <w:tcBorders>
              <w:top w:val="nil"/>
              <w:left w:val="nil"/>
              <w:bottom w:val="single" w:sz="4" w:space="0" w:color="auto"/>
            </w:tcBorders>
          </w:tcPr>
          <w:p w14:paraId="4D797D90"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P4 (50:50)</w:t>
            </w:r>
          </w:p>
        </w:tc>
        <w:tc>
          <w:tcPr>
            <w:tcW w:w="2046" w:type="dxa"/>
            <w:tcBorders>
              <w:top w:val="nil"/>
              <w:bottom w:val="single" w:sz="4" w:space="0" w:color="auto"/>
            </w:tcBorders>
          </w:tcPr>
          <w:p w14:paraId="48D2DAAC"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42,53 ± 2,42ᵈ</w:t>
            </w:r>
          </w:p>
        </w:tc>
        <w:tc>
          <w:tcPr>
            <w:tcW w:w="2248" w:type="dxa"/>
            <w:tcBorders>
              <w:top w:val="nil"/>
              <w:bottom w:val="single" w:sz="4" w:space="0" w:color="auto"/>
            </w:tcBorders>
          </w:tcPr>
          <w:p w14:paraId="5C1BDEC3"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50,53 ± 2,27ᵈ</w:t>
            </w:r>
          </w:p>
        </w:tc>
        <w:tc>
          <w:tcPr>
            <w:tcW w:w="2306" w:type="dxa"/>
            <w:tcBorders>
              <w:top w:val="nil"/>
              <w:bottom w:val="single" w:sz="4" w:space="0" w:color="auto"/>
              <w:right w:val="nil"/>
            </w:tcBorders>
          </w:tcPr>
          <w:p w14:paraId="343DB65B" w14:textId="77777777" w:rsidR="003957B7" w:rsidRPr="005C5E57" w:rsidRDefault="003957B7" w:rsidP="001F058E">
            <w:pPr>
              <w:jc w:val="center"/>
              <w:rPr>
                <w:rFonts w:ascii="Arial" w:hAnsi="Arial" w:cs="Arial"/>
                <w:sz w:val="20"/>
                <w:szCs w:val="20"/>
              </w:rPr>
            </w:pPr>
            <w:r w:rsidRPr="005C5E57">
              <w:rPr>
                <w:rFonts w:ascii="Arial" w:hAnsi="Arial" w:cs="Arial"/>
                <w:sz w:val="20"/>
                <w:szCs w:val="20"/>
              </w:rPr>
              <w:t>61,48 ± 12,70ᶜ</w:t>
            </w:r>
          </w:p>
        </w:tc>
      </w:tr>
    </w:tbl>
    <w:p w14:paraId="40EE30E1" w14:textId="77777777" w:rsidR="001E424F" w:rsidRDefault="00F7567A" w:rsidP="003957B7">
      <w:pPr>
        <w:spacing w:after="0"/>
        <w:jc w:val="both"/>
        <w:rPr>
          <w:rFonts w:ascii="Arial" w:hAnsi="Arial" w:cs="Arial"/>
          <w:i/>
          <w:sz w:val="20"/>
          <w:szCs w:val="20"/>
        </w:rPr>
      </w:pPr>
      <w:bookmarkStart w:id="2" w:name="_Hlk198475344"/>
      <w:bookmarkEnd w:id="1"/>
      <w:r w:rsidRPr="00F7567A">
        <w:rPr>
          <w:rFonts w:ascii="Arial" w:hAnsi="Arial" w:cs="Arial"/>
          <w:i/>
          <w:sz w:val="20"/>
          <w:szCs w:val="20"/>
        </w:rPr>
        <w:t>Values are presented as mean ± Standard Deviation from four replications. Means in the same column with different superscripts are significantly different at p&lt;0.05</w:t>
      </w:r>
      <w:bookmarkEnd w:id="2"/>
      <w:r w:rsidRPr="00F7567A">
        <w:rPr>
          <w:rFonts w:ascii="Arial" w:hAnsi="Arial" w:cs="Arial"/>
          <w:i/>
          <w:sz w:val="20"/>
          <w:szCs w:val="20"/>
        </w:rPr>
        <w:t>.</w:t>
      </w:r>
    </w:p>
    <w:p w14:paraId="0CD610B7" w14:textId="77777777" w:rsidR="00F7567A" w:rsidRPr="001E424F" w:rsidRDefault="00F7567A" w:rsidP="003957B7">
      <w:pPr>
        <w:spacing w:after="0"/>
        <w:jc w:val="both"/>
        <w:rPr>
          <w:rFonts w:ascii="Arial" w:hAnsi="Arial" w:cs="Arial"/>
          <w:i/>
          <w:sz w:val="20"/>
          <w:szCs w:val="20"/>
        </w:rPr>
      </w:pPr>
    </w:p>
    <w:p w14:paraId="0B4C0251" w14:textId="38698EBF" w:rsidR="003957B7" w:rsidRPr="00F7567A" w:rsidRDefault="003957B7" w:rsidP="00F7567A">
      <w:pPr>
        <w:jc w:val="center"/>
        <w:rPr>
          <w:rFonts w:ascii="Arial" w:hAnsi="Arial" w:cs="Arial"/>
          <w:b/>
          <w:sz w:val="20"/>
          <w:szCs w:val="20"/>
        </w:rPr>
      </w:pPr>
      <w:r w:rsidRPr="00F7567A">
        <w:rPr>
          <w:rFonts w:ascii="Arial" w:hAnsi="Arial" w:cs="Arial"/>
          <w:b/>
          <w:sz w:val="20"/>
          <w:szCs w:val="20"/>
        </w:rPr>
        <w:t>Tabl</w:t>
      </w:r>
      <w:r w:rsidR="002C1394">
        <w:rPr>
          <w:rFonts w:ascii="Arial" w:hAnsi="Arial" w:cs="Arial"/>
          <w:b/>
          <w:sz w:val="20"/>
          <w:szCs w:val="20"/>
        </w:rPr>
        <w:t>e</w:t>
      </w:r>
      <w:r w:rsidRPr="00F7567A">
        <w:rPr>
          <w:rFonts w:ascii="Arial" w:hAnsi="Arial" w:cs="Arial"/>
          <w:b/>
          <w:sz w:val="20"/>
          <w:szCs w:val="20"/>
        </w:rPr>
        <w:t xml:space="preserve"> 2. Sensory Analysis</w:t>
      </w:r>
    </w:p>
    <w:tbl>
      <w:tblPr>
        <w:tblStyle w:val="TableGrid"/>
        <w:tblW w:w="8248" w:type="dxa"/>
        <w:tblBorders>
          <w:insideH w:val="none" w:sz="0" w:space="0" w:color="auto"/>
          <w:insideV w:val="none" w:sz="0" w:space="0" w:color="auto"/>
        </w:tblBorders>
        <w:tblLook w:val="04A0" w:firstRow="1" w:lastRow="0" w:firstColumn="1" w:lastColumn="0" w:noHBand="0" w:noVBand="1"/>
      </w:tblPr>
      <w:tblGrid>
        <w:gridCol w:w="1070"/>
        <w:gridCol w:w="1316"/>
        <w:gridCol w:w="1196"/>
        <w:gridCol w:w="1166"/>
        <w:gridCol w:w="1166"/>
        <w:gridCol w:w="1166"/>
        <w:gridCol w:w="1168"/>
      </w:tblGrid>
      <w:tr w:rsidR="00572DBC" w:rsidRPr="00572DBC" w14:paraId="4D181536" w14:textId="77777777" w:rsidTr="001F058E">
        <w:trPr>
          <w:trHeight w:val="36"/>
        </w:trPr>
        <w:tc>
          <w:tcPr>
            <w:tcW w:w="1070" w:type="dxa"/>
            <w:vMerge w:val="restart"/>
            <w:tcBorders>
              <w:top w:val="single" w:sz="4" w:space="0" w:color="auto"/>
              <w:left w:val="nil"/>
              <w:bottom w:val="nil"/>
            </w:tcBorders>
            <w:vAlign w:val="center"/>
          </w:tcPr>
          <w:p w14:paraId="7E019BFD" w14:textId="77777777" w:rsidR="003957B7" w:rsidRPr="005C5E57" w:rsidRDefault="003957B7" w:rsidP="001F058E">
            <w:pPr>
              <w:jc w:val="both"/>
              <w:rPr>
                <w:rFonts w:ascii="Arial" w:hAnsi="Arial" w:cs="Arial"/>
                <w:sz w:val="16"/>
                <w:szCs w:val="16"/>
              </w:rPr>
            </w:pPr>
            <w:r w:rsidRPr="00572DBC">
              <w:rPr>
                <w:rFonts w:ascii="Arial" w:hAnsi="Arial" w:cs="Arial"/>
                <w:sz w:val="16"/>
                <w:szCs w:val="16"/>
              </w:rPr>
              <w:t>Parameters</w:t>
            </w:r>
          </w:p>
        </w:tc>
        <w:tc>
          <w:tcPr>
            <w:tcW w:w="7178" w:type="dxa"/>
            <w:gridSpan w:val="6"/>
            <w:tcBorders>
              <w:top w:val="single" w:sz="4" w:space="0" w:color="auto"/>
              <w:bottom w:val="single" w:sz="4" w:space="0" w:color="auto"/>
              <w:right w:val="nil"/>
            </w:tcBorders>
            <w:vAlign w:val="center"/>
          </w:tcPr>
          <w:p w14:paraId="1ECA2C74" w14:textId="77777777" w:rsidR="003957B7" w:rsidRPr="005C5E57" w:rsidRDefault="003957B7" w:rsidP="001F058E">
            <w:pPr>
              <w:jc w:val="center"/>
              <w:rPr>
                <w:rFonts w:ascii="Arial" w:hAnsi="Arial" w:cs="Arial"/>
                <w:sz w:val="16"/>
                <w:szCs w:val="16"/>
              </w:rPr>
            </w:pPr>
            <w:r w:rsidRPr="00572DBC">
              <w:rPr>
                <w:rFonts w:ascii="Arial" w:hAnsi="Arial" w:cs="Arial"/>
                <w:sz w:val="16"/>
                <w:szCs w:val="16"/>
              </w:rPr>
              <w:t>Variables</w:t>
            </w:r>
          </w:p>
        </w:tc>
      </w:tr>
      <w:tr w:rsidR="00572DBC" w:rsidRPr="00572DBC" w14:paraId="0991787E" w14:textId="77777777" w:rsidTr="003957B7">
        <w:trPr>
          <w:trHeight w:val="39"/>
        </w:trPr>
        <w:tc>
          <w:tcPr>
            <w:tcW w:w="1070" w:type="dxa"/>
            <w:vMerge/>
            <w:tcBorders>
              <w:top w:val="nil"/>
              <w:left w:val="nil"/>
              <w:bottom w:val="single" w:sz="4" w:space="0" w:color="auto"/>
            </w:tcBorders>
            <w:vAlign w:val="center"/>
          </w:tcPr>
          <w:p w14:paraId="2FF2A5DD" w14:textId="77777777" w:rsidR="003957B7" w:rsidRPr="005C5E57" w:rsidRDefault="003957B7" w:rsidP="001F058E">
            <w:pPr>
              <w:jc w:val="both"/>
              <w:rPr>
                <w:rFonts w:ascii="Arial" w:hAnsi="Arial" w:cs="Arial"/>
                <w:sz w:val="16"/>
                <w:szCs w:val="16"/>
              </w:rPr>
            </w:pPr>
          </w:p>
        </w:tc>
        <w:tc>
          <w:tcPr>
            <w:tcW w:w="1316" w:type="dxa"/>
            <w:tcBorders>
              <w:top w:val="single" w:sz="4" w:space="0" w:color="auto"/>
              <w:bottom w:val="single" w:sz="4" w:space="0" w:color="auto"/>
            </w:tcBorders>
          </w:tcPr>
          <w:p w14:paraId="0AD1E2AF"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L</w:t>
            </w:r>
          </w:p>
        </w:tc>
        <w:tc>
          <w:tcPr>
            <w:tcW w:w="1196" w:type="dxa"/>
            <w:tcBorders>
              <w:top w:val="single" w:sz="4" w:space="0" w:color="auto"/>
              <w:bottom w:val="single" w:sz="4" w:space="0" w:color="auto"/>
            </w:tcBorders>
          </w:tcPr>
          <w:p w14:paraId="30F20D6C"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a*</w:t>
            </w:r>
          </w:p>
        </w:tc>
        <w:tc>
          <w:tcPr>
            <w:tcW w:w="1166" w:type="dxa"/>
            <w:tcBorders>
              <w:top w:val="single" w:sz="4" w:space="0" w:color="auto"/>
              <w:bottom w:val="single" w:sz="4" w:space="0" w:color="auto"/>
            </w:tcBorders>
          </w:tcPr>
          <w:p w14:paraId="50F9A467"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b*</w:t>
            </w:r>
          </w:p>
        </w:tc>
        <w:tc>
          <w:tcPr>
            <w:tcW w:w="1166" w:type="dxa"/>
            <w:tcBorders>
              <w:top w:val="single" w:sz="4" w:space="0" w:color="auto"/>
              <w:bottom w:val="single" w:sz="4" w:space="0" w:color="auto"/>
            </w:tcBorders>
          </w:tcPr>
          <w:p w14:paraId="1424D7CA"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 xml:space="preserve">OBC </w:t>
            </w:r>
          </w:p>
          <w:p w14:paraId="64772816"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w:t>
            </w:r>
          </w:p>
        </w:tc>
        <w:tc>
          <w:tcPr>
            <w:tcW w:w="1166" w:type="dxa"/>
            <w:tcBorders>
              <w:top w:val="single" w:sz="4" w:space="0" w:color="auto"/>
              <w:bottom w:val="single" w:sz="4" w:space="0" w:color="auto"/>
            </w:tcBorders>
          </w:tcPr>
          <w:p w14:paraId="4A49CDAD"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Weight Loss</w:t>
            </w:r>
          </w:p>
          <w:p w14:paraId="0C643F17"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w:t>
            </w:r>
          </w:p>
        </w:tc>
        <w:tc>
          <w:tcPr>
            <w:tcW w:w="1166" w:type="dxa"/>
            <w:tcBorders>
              <w:top w:val="single" w:sz="4" w:space="0" w:color="auto"/>
              <w:bottom w:val="single" w:sz="4" w:space="0" w:color="auto"/>
              <w:right w:val="nil"/>
            </w:tcBorders>
          </w:tcPr>
          <w:p w14:paraId="7CD515A4"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 xml:space="preserve">Texture </w:t>
            </w:r>
          </w:p>
          <w:p w14:paraId="15AC2EF0"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(N)</w:t>
            </w:r>
          </w:p>
        </w:tc>
      </w:tr>
      <w:tr w:rsidR="00572DBC" w:rsidRPr="00572DBC" w14:paraId="1087730D" w14:textId="77777777" w:rsidTr="003957B7">
        <w:trPr>
          <w:trHeight w:val="31"/>
        </w:trPr>
        <w:tc>
          <w:tcPr>
            <w:tcW w:w="1070" w:type="dxa"/>
            <w:tcBorders>
              <w:top w:val="single" w:sz="4" w:space="0" w:color="auto"/>
              <w:left w:val="nil"/>
              <w:bottom w:val="nil"/>
            </w:tcBorders>
          </w:tcPr>
          <w:p w14:paraId="2CC8424E"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P1 (80:20)</w:t>
            </w:r>
          </w:p>
        </w:tc>
        <w:tc>
          <w:tcPr>
            <w:tcW w:w="1316" w:type="dxa"/>
            <w:tcBorders>
              <w:top w:val="single" w:sz="4" w:space="0" w:color="auto"/>
              <w:bottom w:val="nil"/>
            </w:tcBorders>
          </w:tcPr>
          <w:p w14:paraId="19A47D95"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18,33 ± 2,04ª</w:t>
            </w:r>
          </w:p>
        </w:tc>
        <w:tc>
          <w:tcPr>
            <w:tcW w:w="1196" w:type="dxa"/>
            <w:tcBorders>
              <w:top w:val="single" w:sz="4" w:space="0" w:color="auto"/>
              <w:bottom w:val="nil"/>
            </w:tcBorders>
          </w:tcPr>
          <w:p w14:paraId="56728F66"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81,87 ± 4,69ª</w:t>
            </w:r>
          </w:p>
        </w:tc>
        <w:tc>
          <w:tcPr>
            <w:tcW w:w="1166" w:type="dxa"/>
            <w:tcBorders>
              <w:top w:val="single" w:sz="4" w:space="0" w:color="auto"/>
              <w:bottom w:val="nil"/>
            </w:tcBorders>
          </w:tcPr>
          <w:p w14:paraId="03F426D5"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1,96 ± 0,49ª</w:t>
            </w:r>
          </w:p>
        </w:tc>
        <w:tc>
          <w:tcPr>
            <w:tcW w:w="1166" w:type="dxa"/>
            <w:tcBorders>
              <w:top w:val="single" w:sz="4" w:space="0" w:color="auto"/>
              <w:bottom w:val="nil"/>
            </w:tcBorders>
          </w:tcPr>
          <w:p w14:paraId="488266A3"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97,98 ± 0,12</w:t>
            </w:r>
          </w:p>
        </w:tc>
        <w:tc>
          <w:tcPr>
            <w:tcW w:w="1166" w:type="dxa"/>
            <w:tcBorders>
              <w:top w:val="single" w:sz="4" w:space="0" w:color="auto"/>
              <w:bottom w:val="nil"/>
            </w:tcBorders>
          </w:tcPr>
          <w:p w14:paraId="4DA849F7"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0,81 ± 0,11ª</w:t>
            </w:r>
          </w:p>
        </w:tc>
        <w:tc>
          <w:tcPr>
            <w:tcW w:w="1166" w:type="dxa"/>
            <w:tcBorders>
              <w:top w:val="single" w:sz="4" w:space="0" w:color="auto"/>
              <w:bottom w:val="nil"/>
              <w:right w:val="nil"/>
            </w:tcBorders>
          </w:tcPr>
          <w:p w14:paraId="4C2A5EE6"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1,96 ± 0,49ª</w:t>
            </w:r>
          </w:p>
        </w:tc>
      </w:tr>
      <w:tr w:rsidR="00572DBC" w:rsidRPr="00572DBC" w14:paraId="580B02D2" w14:textId="77777777" w:rsidTr="003957B7">
        <w:trPr>
          <w:trHeight w:val="35"/>
        </w:trPr>
        <w:tc>
          <w:tcPr>
            <w:tcW w:w="1070" w:type="dxa"/>
            <w:tcBorders>
              <w:top w:val="nil"/>
              <w:left w:val="nil"/>
              <w:bottom w:val="nil"/>
            </w:tcBorders>
          </w:tcPr>
          <w:p w14:paraId="375576DD"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P2 (70:30)</w:t>
            </w:r>
          </w:p>
        </w:tc>
        <w:tc>
          <w:tcPr>
            <w:tcW w:w="1316" w:type="dxa"/>
            <w:tcBorders>
              <w:top w:val="nil"/>
              <w:bottom w:val="nil"/>
            </w:tcBorders>
          </w:tcPr>
          <w:p w14:paraId="64BDDE84"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24,90 ± 1,05ᵇ</w:t>
            </w:r>
          </w:p>
        </w:tc>
        <w:tc>
          <w:tcPr>
            <w:tcW w:w="1196" w:type="dxa"/>
            <w:tcBorders>
              <w:top w:val="nil"/>
              <w:bottom w:val="nil"/>
            </w:tcBorders>
          </w:tcPr>
          <w:p w14:paraId="630E4CCF"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71,68 ± 0,72ᵇ</w:t>
            </w:r>
          </w:p>
        </w:tc>
        <w:tc>
          <w:tcPr>
            <w:tcW w:w="1166" w:type="dxa"/>
            <w:tcBorders>
              <w:top w:val="nil"/>
              <w:bottom w:val="nil"/>
            </w:tcBorders>
          </w:tcPr>
          <w:p w14:paraId="36A59FC1"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2,67 ± 0,67ª</w:t>
            </w:r>
          </w:p>
        </w:tc>
        <w:tc>
          <w:tcPr>
            <w:tcW w:w="1166" w:type="dxa"/>
            <w:tcBorders>
              <w:top w:val="nil"/>
              <w:bottom w:val="nil"/>
            </w:tcBorders>
          </w:tcPr>
          <w:p w14:paraId="0AEE80F0"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97,99 ± 0,06</w:t>
            </w:r>
          </w:p>
        </w:tc>
        <w:tc>
          <w:tcPr>
            <w:tcW w:w="1166" w:type="dxa"/>
            <w:tcBorders>
              <w:top w:val="nil"/>
              <w:bottom w:val="nil"/>
            </w:tcBorders>
          </w:tcPr>
          <w:p w14:paraId="7AD53826"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0,86 ± 0,07ªᵇ</w:t>
            </w:r>
          </w:p>
        </w:tc>
        <w:tc>
          <w:tcPr>
            <w:tcW w:w="1166" w:type="dxa"/>
            <w:tcBorders>
              <w:top w:val="nil"/>
              <w:bottom w:val="nil"/>
              <w:right w:val="nil"/>
            </w:tcBorders>
          </w:tcPr>
          <w:p w14:paraId="60D7F626"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2,67 ± 0,67ª</w:t>
            </w:r>
          </w:p>
        </w:tc>
      </w:tr>
      <w:tr w:rsidR="00572DBC" w:rsidRPr="00572DBC" w14:paraId="31558944" w14:textId="77777777" w:rsidTr="003957B7">
        <w:trPr>
          <w:trHeight w:val="35"/>
        </w:trPr>
        <w:tc>
          <w:tcPr>
            <w:tcW w:w="1070" w:type="dxa"/>
            <w:tcBorders>
              <w:top w:val="nil"/>
              <w:left w:val="nil"/>
              <w:bottom w:val="nil"/>
            </w:tcBorders>
          </w:tcPr>
          <w:p w14:paraId="39780529"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P3 (60:40)</w:t>
            </w:r>
          </w:p>
        </w:tc>
        <w:tc>
          <w:tcPr>
            <w:tcW w:w="1316" w:type="dxa"/>
            <w:tcBorders>
              <w:top w:val="nil"/>
              <w:bottom w:val="nil"/>
            </w:tcBorders>
          </w:tcPr>
          <w:p w14:paraId="4C6ACBB0"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35,05 ± 0,90ᶜ</w:t>
            </w:r>
          </w:p>
        </w:tc>
        <w:tc>
          <w:tcPr>
            <w:tcW w:w="1196" w:type="dxa"/>
            <w:tcBorders>
              <w:top w:val="nil"/>
              <w:bottom w:val="nil"/>
            </w:tcBorders>
          </w:tcPr>
          <w:p w14:paraId="3814F7F4"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60,65 ± 1,93ᶜ</w:t>
            </w:r>
          </w:p>
        </w:tc>
        <w:tc>
          <w:tcPr>
            <w:tcW w:w="1166" w:type="dxa"/>
            <w:tcBorders>
              <w:top w:val="nil"/>
              <w:bottom w:val="nil"/>
            </w:tcBorders>
          </w:tcPr>
          <w:p w14:paraId="17791D64"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2,80 ± 0,70ªᵇ</w:t>
            </w:r>
          </w:p>
        </w:tc>
        <w:tc>
          <w:tcPr>
            <w:tcW w:w="1166" w:type="dxa"/>
            <w:tcBorders>
              <w:top w:val="nil"/>
              <w:bottom w:val="nil"/>
            </w:tcBorders>
          </w:tcPr>
          <w:p w14:paraId="1C693F53"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98,00 ± 0,05</w:t>
            </w:r>
          </w:p>
        </w:tc>
        <w:tc>
          <w:tcPr>
            <w:tcW w:w="1166" w:type="dxa"/>
            <w:tcBorders>
              <w:top w:val="nil"/>
              <w:bottom w:val="nil"/>
            </w:tcBorders>
          </w:tcPr>
          <w:p w14:paraId="0CAF1D43"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1,64 ± 0,73ᵇ</w:t>
            </w:r>
          </w:p>
        </w:tc>
        <w:tc>
          <w:tcPr>
            <w:tcW w:w="1166" w:type="dxa"/>
            <w:tcBorders>
              <w:top w:val="nil"/>
              <w:bottom w:val="nil"/>
              <w:right w:val="nil"/>
            </w:tcBorders>
          </w:tcPr>
          <w:p w14:paraId="3502391B"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2,80 ± 0,70ªᵇ</w:t>
            </w:r>
          </w:p>
        </w:tc>
      </w:tr>
      <w:tr w:rsidR="00572DBC" w:rsidRPr="00572DBC" w14:paraId="7C2F25ED" w14:textId="77777777" w:rsidTr="003957B7">
        <w:trPr>
          <w:trHeight w:val="35"/>
        </w:trPr>
        <w:tc>
          <w:tcPr>
            <w:tcW w:w="1070" w:type="dxa"/>
            <w:tcBorders>
              <w:top w:val="nil"/>
              <w:left w:val="nil"/>
              <w:bottom w:val="single" w:sz="4" w:space="0" w:color="auto"/>
            </w:tcBorders>
          </w:tcPr>
          <w:p w14:paraId="397FC1FB"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P4 (50:50)</w:t>
            </w:r>
          </w:p>
        </w:tc>
        <w:tc>
          <w:tcPr>
            <w:tcW w:w="1316" w:type="dxa"/>
            <w:tcBorders>
              <w:top w:val="nil"/>
              <w:bottom w:val="single" w:sz="4" w:space="0" w:color="auto"/>
            </w:tcBorders>
          </w:tcPr>
          <w:p w14:paraId="75419093"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42,53 ± 2,42ᵈ</w:t>
            </w:r>
          </w:p>
        </w:tc>
        <w:tc>
          <w:tcPr>
            <w:tcW w:w="1196" w:type="dxa"/>
            <w:tcBorders>
              <w:top w:val="nil"/>
              <w:bottom w:val="single" w:sz="4" w:space="0" w:color="auto"/>
            </w:tcBorders>
          </w:tcPr>
          <w:p w14:paraId="6F5441CC"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50,53 ± 2,27ᵈ</w:t>
            </w:r>
          </w:p>
        </w:tc>
        <w:tc>
          <w:tcPr>
            <w:tcW w:w="1166" w:type="dxa"/>
            <w:tcBorders>
              <w:top w:val="nil"/>
              <w:bottom w:val="single" w:sz="4" w:space="0" w:color="auto"/>
            </w:tcBorders>
          </w:tcPr>
          <w:p w14:paraId="0E6D2C9E"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2,74 ± 0,91ᵇ</w:t>
            </w:r>
          </w:p>
        </w:tc>
        <w:tc>
          <w:tcPr>
            <w:tcW w:w="1166" w:type="dxa"/>
            <w:tcBorders>
              <w:top w:val="nil"/>
              <w:bottom w:val="single" w:sz="4" w:space="0" w:color="auto"/>
            </w:tcBorders>
          </w:tcPr>
          <w:p w14:paraId="0D556678"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98,22 ± 0,44</w:t>
            </w:r>
          </w:p>
        </w:tc>
        <w:tc>
          <w:tcPr>
            <w:tcW w:w="1166" w:type="dxa"/>
            <w:tcBorders>
              <w:top w:val="nil"/>
              <w:bottom w:val="single" w:sz="4" w:space="0" w:color="auto"/>
            </w:tcBorders>
          </w:tcPr>
          <w:p w14:paraId="2048BE7F"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2,18 ± 0,95ᵇ</w:t>
            </w:r>
          </w:p>
        </w:tc>
        <w:tc>
          <w:tcPr>
            <w:tcW w:w="1166" w:type="dxa"/>
            <w:tcBorders>
              <w:top w:val="nil"/>
              <w:bottom w:val="single" w:sz="4" w:space="0" w:color="auto"/>
              <w:right w:val="nil"/>
            </w:tcBorders>
          </w:tcPr>
          <w:p w14:paraId="21C0CAC2" w14:textId="77777777" w:rsidR="003957B7" w:rsidRPr="005C5E57" w:rsidRDefault="003957B7" w:rsidP="001F058E">
            <w:pPr>
              <w:jc w:val="center"/>
              <w:rPr>
                <w:rFonts w:ascii="Arial" w:hAnsi="Arial" w:cs="Arial"/>
                <w:sz w:val="16"/>
                <w:szCs w:val="16"/>
              </w:rPr>
            </w:pPr>
            <w:r w:rsidRPr="005C5E57">
              <w:rPr>
                <w:rFonts w:ascii="Arial" w:hAnsi="Arial" w:cs="Arial"/>
                <w:sz w:val="16"/>
                <w:szCs w:val="16"/>
              </w:rPr>
              <w:t>2,74 ± 0,91ᵇ</w:t>
            </w:r>
          </w:p>
        </w:tc>
      </w:tr>
    </w:tbl>
    <w:p w14:paraId="37CEF0CE" w14:textId="77777777" w:rsidR="003957B7" w:rsidRDefault="00F7567A" w:rsidP="00F7567A">
      <w:pPr>
        <w:spacing w:after="0" w:line="240" w:lineRule="auto"/>
        <w:contextualSpacing/>
        <w:jc w:val="both"/>
        <w:rPr>
          <w:rFonts w:ascii="Arial" w:hAnsi="Arial" w:cs="Arial"/>
          <w:i/>
          <w:sz w:val="20"/>
          <w:szCs w:val="20"/>
        </w:rPr>
      </w:pPr>
      <w:r w:rsidRPr="00F7567A">
        <w:rPr>
          <w:rFonts w:ascii="Arial" w:hAnsi="Arial" w:cs="Arial"/>
          <w:i/>
          <w:sz w:val="20"/>
          <w:szCs w:val="20"/>
        </w:rPr>
        <w:t>Values are presented as mean ± Standard Deviation from four replications. Means in the same column with different superscripts are significantly different at p&lt;0.05</w:t>
      </w:r>
    </w:p>
    <w:p w14:paraId="18F8E47B" w14:textId="77777777" w:rsidR="00F7567A" w:rsidRDefault="00F7567A" w:rsidP="00F7567A">
      <w:pPr>
        <w:spacing w:after="0" w:line="240" w:lineRule="auto"/>
        <w:contextualSpacing/>
        <w:jc w:val="both"/>
        <w:rPr>
          <w:rFonts w:ascii="Arial" w:hAnsi="Arial" w:cs="Arial"/>
          <w:b/>
          <w:sz w:val="24"/>
          <w:szCs w:val="24"/>
        </w:rPr>
      </w:pPr>
    </w:p>
    <w:p w14:paraId="1F620DC4" w14:textId="77777777" w:rsidR="00F7567A" w:rsidRPr="005C5E57" w:rsidRDefault="00F7567A" w:rsidP="00F7567A">
      <w:pPr>
        <w:spacing w:after="0" w:line="240" w:lineRule="auto"/>
        <w:contextualSpacing/>
        <w:jc w:val="both"/>
        <w:rPr>
          <w:rFonts w:ascii="Arial" w:hAnsi="Arial" w:cs="Arial"/>
          <w:b/>
          <w:sz w:val="24"/>
          <w:szCs w:val="24"/>
        </w:rPr>
        <w:sectPr w:rsidR="00F7567A" w:rsidRPr="005C5E57" w:rsidSect="00B768FE">
          <w:type w:val="continuous"/>
          <w:pgSz w:w="12240" w:h="15840"/>
          <w:pgMar w:top="1440" w:right="2016" w:bottom="2016" w:left="2016" w:header="720" w:footer="1123" w:gutter="0"/>
          <w:cols w:space="720"/>
          <w:docGrid w:linePitch="272"/>
        </w:sectPr>
      </w:pPr>
    </w:p>
    <w:p w14:paraId="0FB6CBD5" w14:textId="77777777" w:rsidR="003957B7" w:rsidRPr="00572DBC" w:rsidRDefault="003957B7" w:rsidP="003957B7">
      <w:pPr>
        <w:numPr>
          <w:ilvl w:val="1"/>
          <w:numId w:val="1"/>
        </w:numPr>
        <w:spacing w:after="0" w:line="240" w:lineRule="auto"/>
        <w:contextualSpacing/>
        <w:jc w:val="both"/>
        <w:rPr>
          <w:rFonts w:ascii="Arial" w:hAnsi="Arial" w:cs="Arial"/>
          <w:b/>
        </w:rPr>
      </w:pPr>
      <w:r w:rsidRPr="005C5E57">
        <w:rPr>
          <w:rFonts w:ascii="Arial" w:hAnsi="Arial" w:cs="Arial"/>
          <w:b/>
        </w:rPr>
        <w:t>Water Content</w:t>
      </w:r>
    </w:p>
    <w:p w14:paraId="72B6639F" w14:textId="77777777" w:rsidR="003957B7" w:rsidRPr="005C5E57" w:rsidRDefault="003957B7" w:rsidP="003957B7">
      <w:pPr>
        <w:spacing w:after="0" w:line="240" w:lineRule="auto"/>
        <w:contextualSpacing/>
        <w:jc w:val="both"/>
        <w:rPr>
          <w:rFonts w:ascii="Arial" w:hAnsi="Arial" w:cs="Arial"/>
          <w:b/>
        </w:rPr>
      </w:pPr>
    </w:p>
    <w:p w14:paraId="5A18C245" w14:textId="77777777" w:rsidR="003957B7" w:rsidRPr="00572DBC" w:rsidRDefault="003957B7" w:rsidP="001E424F">
      <w:pPr>
        <w:spacing w:line="240" w:lineRule="auto"/>
        <w:jc w:val="both"/>
        <w:rPr>
          <w:rFonts w:ascii="Arial" w:eastAsia="Times New Roman" w:hAnsi="Arial" w:cs="Arial"/>
          <w:sz w:val="20"/>
          <w:szCs w:val="20"/>
        </w:rPr>
      </w:pPr>
      <w:r w:rsidRPr="00572DBC">
        <w:rPr>
          <w:rFonts w:ascii="Arial" w:eastAsia="Times New Roman" w:hAnsi="Arial" w:cs="Arial"/>
          <w:sz w:val="20"/>
          <w:szCs w:val="20"/>
        </w:rPr>
        <w:t xml:space="preserve">The results of the variance analysis showed that the ratio of beeswax and gelatin-based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and hydrogel exerted a very significant effect (</w:t>
      </w:r>
      <w:r w:rsidRPr="00572DBC">
        <w:rPr>
          <w:rFonts w:ascii="Arial" w:eastAsia="Times New Roman" w:hAnsi="Arial" w:cs="Arial"/>
          <w:i/>
          <w:sz w:val="20"/>
          <w:szCs w:val="20"/>
        </w:rPr>
        <w:t>P</w:t>
      </w:r>
      <w:r w:rsidRPr="00572DBC">
        <w:rPr>
          <w:rFonts w:ascii="Arial" w:eastAsia="Times New Roman" w:hAnsi="Arial" w:cs="Arial"/>
          <w:sz w:val="20"/>
          <w:szCs w:val="20"/>
        </w:rPr>
        <w:t xml:space="preserve">&lt;0.01) on the mean moisture content values in the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The lowest moisture content value was obtained in sample P1 at 18.33% with an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to hydrogel ratio of 80:20, followed by sample P2 at 24.90%, sample P3 at 35.05% and the highest value was found in sample P4 at 42.53% with a ratio of 50:50. The increase in moisture content as the proportion of hydrogel increases indicates that the higher the hydrogel composition in the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the greater the moisture content absorbed.</w:t>
      </w:r>
    </w:p>
    <w:p w14:paraId="02E1C67C" w14:textId="77777777" w:rsidR="003957B7" w:rsidRPr="00572DBC" w:rsidRDefault="003957B7" w:rsidP="003957B7">
      <w:pPr>
        <w:spacing w:line="240" w:lineRule="auto"/>
        <w:jc w:val="both"/>
        <w:rPr>
          <w:rFonts w:ascii="Arial" w:eastAsia="Times New Roman" w:hAnsi="Arial" w:cs="Arial"/>
          <w:sz w:val="20"/>
          <w:szCs w:val="20"/>
        </w:rPr>
      </w:pPr>
      <w:r w:rsidRPr="00572DBC">
        <w:rPr>
          <w:rFonts w:ascii="Arial" w:eastAsia="Times New Roman" w:hAnsi="Arial" w:cs="Arial"/>
          <w:sz w:val="20"/>
          <w:szCs w:val="20"/>
        </w:rPr>
        <w:t xml:space="preserve">According to Table 1, the moisture content makes a very significant difference to the characteristics of the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with a value range between 18.33% and 42.53%. These results are not much different from studies conducted by </w:t>
      </w:r>
      <w:proofErr w:type="spellStart"/>
      <w:r w:rsidRPr="00572DBC">
        <w:rPr>
          <w:rFonts w:ascii="Arial" w:eastAsia="Times New Roman" w:hAnsi="Arial" w:cs="Arial"/>
          <w:sz w:val="20"/>
          <w:szCs w:val="20"/>
        </w:rPr>
        <w:t>Gulsac</w:t>
      </w:r>
      <w:proofErr w:type="spellEnd"/>
      <w:r w:rsidRPr="00572DBC">
        <w:rPr>
          <w:rFonts w:ascii="Arial" w:eastAsia="Times New Roman" w:hAnsi="Arial" w:cs="Arial"/>
          <w:sz w:val="20"/>
          <w:szCs w:val="20"/>
        </w:rPr>
        <w:t xml:space="preserve"> et al. (2024), who reported moisture content in plant-based </w:t>
      </w:r>
      <w:proofErr w:type="spellStart"/>
      <w:r w:rsidRPr="00572DBC">
        <w:rPr>
          <w:rFonts w:ascii="Arial" w:eastAsia="Times New Roman" w:hAnsi="Arial" w:cs="Arial"/>
          <w:sz w:val="20"/>
          <w:szCs w:val="20"/>
        </w:rPr>
        <w:t>bigels</w:t>
      </w:r>
      <w:proofErr w:type="spellEnd"/>
      <w:r w:rsidRPr="00572DBC">
        <w:rPr>
          <w:rFonts w:ascii="Arial" w:eastAsia="Times New Roman" w:hAnsi="Arial" w:cs="Arial"/>
          <w:sz w:val="20"/>
          <w:szCs w:val="20"/>
        </w:rPr>
        <w:t xml:space="preserve"> from protein hydrogels of chickpeas and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glyceryl monostearate ranging from 49.81% to 56.54%. This difference can be explained through the properties of each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-forming component. The use of gelatin as a hydrogel material allows the formation of </w:t>
      </w:r>
      <w:proofErr w:type="gramStart"/>
      <w:r w:rsidRPr="00572DBC">
        <w:rPr>
          <w:rFonts w:ascii="Arial" w:eastAsia="Times New Roman" w:hAnsi="Arial" w:cs="Arial"/>
          <w:sz w:val="20"/>
          <w:szCs w:val="20"/>
        </w:rPr>
        <w:t>three</w:t>
      </w:r>
      <w:r w:rsidR="00862A0D">
        <w:rPr>
          <w:rFonts w:ascii="Arial" w:eastAsia="Times New Roman" w:hAnsi="Arial" w:cs="Arial"/>
          <w:sz w:val="20"/>
          <w:szCs w:val="20"/>
        </w:rPr>
        <w:t xml:space="preserve"> </w:t>
      </w:r>
      <w:r w:rsidRPr="00572DBC">
        <w:rPr>
          <w:rFonts w:ascii="Arial" w:eastAsia="Times New Roman" w:hAnsi="Arial" w:cs="Arial"/>
          <w:sz w:val="20"/>
          <w:szCs w:val="20"/>
        </w:rPr>
        <w:t>dimensional</w:t>
      </w:r>
      <w:proofErr w:type="gramEnd"/>
      <w:r w:rsidRPr="00572DBC">
        <w:rPr>
          <w:rFonts w:ascii="Arial" w:eastAsia="Times New Roman" w:hAnsi="Arial" w:cs="Arial"/>
          <w:sz w:val="20"/>
          <w:szCs w:val="20"/>
        </w:rPr>
        <w:t xml:space="preserve"> networks of hydrophilic polymer structures capable of absorbing and retaining large amounts of water. (Firdaus et al., 2024). In addition, based on research conducted by Kaimal and Rekha (2023), </w:t>
      </w:r>
      <w:proofErr w:type="spellStart"/>
      <w:r w:rsidRPr="00572DBC">
        <w:rPr>
          <w:rFonts w:ascii="Arial" w:eastAsia="Times New Roman" w:hAnsi="Arial" w:cs="Arial"/>
          <w:sz w:val="20"/>
          <w:szCs w:val="20"/>
        </w:rPr>
        <w:t>bigels</w:t>
      </w:r>
      <w:proofErr w:type="spellEnd"/>
      <w:r w:rsidRPr="00572DBC">
        <w:rPr>
          <w:rFonts w:ascii="Arial" w:eastAsia="Times New Roman" w:hAnsi="Arial" w:cs="Arial"/>
          <w:sz w:val="20"/>
          <w:szCs w:val="20"/>
        </w:rPr>
        <w:t xml:space="preserve"> with a hydrogel to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ratio of 75:25, 50.55 and 25:75 have consecutive water content values of 73.84%, 49.14% and 23.41%. This suggests that the increase in hydrogel fraction significantly contributes to the increase in moisture content in the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system.</w:t>
      </w:r>
    </w:p>
    <w:p w14:paraId="2A88285D" w14:textId="77777777" w:rsidR="003957B7" w:rsidRPr="005C5E57" w:rsidRDefault="003957B7" w:rsidP="003957B7">
      <w:pPr>
        <w:numPr>
          <w:ilvl w:val="1"/>
          <w:numId w:val="1"/>
        </w:numPr>
        <w:spacing w:after="0" w:line="240" w:lineRule="auto"/>
        <w:contextualSpacing/>
        <w:jc w:val="both"/>
        <w:rPr>
          <w:rFonts w:ascii="Arial" w:hAnsi="Arial" w:cs="Arial"/>
          <w:b/>
        </w:rPr>
      </w:pPr>
      <w:r w:rsidRPr="005C5E57">
        <w:rPr>
          <w:rFonts w:ascii="Arial" w:hAnsi="Arial" w:cs="Arial"/>
          <w:b/>
        </w:rPr>
        <w:t>Fat Content</w:t>
      </w:r>
    </w:p>
    <w:p w14:paraId="44813CCC" w14:textId="77777777" w:rsidR="003957B7" w:rsidRPr="00572DBC" w:rsidRDefault="003957B7" w:rsidP="003957B7">
      <w:pPr>
        <w:spacing w:before="240" w:after="100" w:afterAutospacing="1"/>
        <w:jc w:val="both"/>
        <w:rPr>
          <w:rFonts w:ascii="Arial" w:eastAsia="Times New Roman" w:hAnsi="Arial" w:cs="Arial"/>
          <w:sz w:val="20"/>
          <w:szCs w:val="20"/>
        </w:rPr>
      </w:pPr>
      <w:r w:rsidRPr="00572DBC">
        <w:rPr>
          <w:rFonts w:ascii="Arial" w:eastAsia="Times New Roman" w:hAnsi="Arial" w:cs="Arial"/>
          <w:sz w:val="20"/>
          <w:szCs w:val="20"/>
        </w:rPr>
        <w:t xml:space="preserve">The results of the variegation analysis showed that the ratio of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to hydrogel in beeswax and gelatin</w:t>
      </w:r>
      <w:r w:rsidR="00862A0D">
        <w:rPr>
          <w:rFonts w:ascii="Arial" w:eastAsia="Times New Roman" w:hAnsi="Arial" w:cs="Arial"/>
          <w:sz w:val="20"/>
          <w:szCs w:val="20"/>
        </w:rPr>
        <w:t xml:space="preserve"> </w:t>
      </w:r>
      <w:r w:rsidRPr="00572DBC">
        <w:rPr>
          <w:rFonts w:ascii="Arial" w:eastAsia="Times New Roman" w:hAnsi="Arial" w:cs="Arial"/>
          <w:sz w:val="20"/>
          <w:szCs w:val="20"/>
        </w:rPr>
        <w:t xml:space="preserve">based </w:t>
      </w:r>
      <w:proofErr w:type="spellStart"/>
      <w:r w:rsidRPr="00572DBC">
        <w:rPr>
          <w:rFonts w:ascii="Arial" w:eastAsia="Times New Roman" w:hAnsi="Arial" w:cs="Arial"/>
          <w:sz w:val="20"/>
          <w:szCs w:val="20"/>
        </w:rPr>
        <w:t>bigels</w:t>
      </w:r>
      <w:proofErr w:type="spellEnd"/>
      <w:r w:rsidRPr="00572DBC">
        <w:rPr>
          <w:rFonts w:ascii="Arial" w:eastAsia="Times New Roman" w:hAnsi="Arial" w:cs="Arial"/>
          <w:sz w:val="20"/>
          <w:szCs w:val="20"/>
        </w:rPr>
        <w:t xml:space="preserve"> made very significant differences in fat content. The highest mean value was found in sample P1 at 81.87%, while the lowest mean value was found in sample P4 at 50.53%. The average value of P1-P4 has decreased because the proportion of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has decreased.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is the fat phase in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which is composed of corn oil and beeswax, </w:t>
      </w:r>
      <w:r w:rsidRPr="00572DBC">
        <w:rPr>
          <w:rFonts w:ascii="Arial" w:eastAsia="Times New Roman" w:hAnsi="Arial" w:cs="Arial"/>
          <w:sz w:val="20"/>
          <w:szCs w:val="20"/>
        </w:rPr>
        <w:lastRenderedPageBreak/>
        <w:t xml:space="preserve">so an increase in the proportion of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contributes to the high fat content in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In contrast, the addition of a large proportion of gelatin-based hydrogels containing water tends to significantly decrease fat levels. Overall, the </w:t>
      </w:r>
      <w:proofErr w:type="spellStart"/>
      <w:r w:rsidRPr="00572DBC">
        <w:rPr>
          <w:rFonts w:ascii="Arial" w:eastAsia="Times New Roman" w:hAnsi="Arial" w:cs="Arial"/>
          <w:sz w:val="20"/>
          <w:szCs w:val="20"/>
        </w:rPr>
        <w:t>bigel</w:t>
      </w:r>
      <w:proofErr w:type="spellEnd"/>
      <w:r w:rsidRPr="00572DBC">
        <w:rPr>
          <w:rFonts w:ascii="Arial" w:eastAsia="Times New Roman" w:hAnsi="Arial" w:cs="Arial"/>
          <w:sz w:val="20"/>
          <w:szCs w:val="20"/>
        </w:rPr>
        <w:t xml:space="preserve"> fat content in this study was in the range of 81.87%–50.53%. This is not in accordance with the study by </w:t>
      </w:r>
      <w:proofErr w:type="spellStart"/>
      <w:r w:rsidRPr="00572DBC">
        <w:rPr>
          <w:rFonts w:ascii="Arial" w:eastAsia="Times New Roman" w:hAnsi="Arial" w:cs="Arial"/>
          <w:sz w:val="20"/>
          <w:szCs w:val="20"/>
        </w:rPr>
        <w:t>Gulsac</w:t>
      </w:r>
      <w:proofErr w:type="spellEnd"/>
      <w:r w:rsidRPr="00572DBC">
        <w:rPr>
          <w:rFonts w:ascii="Arial" w:eastAsia="Times New Roman" w:hAnsi="Arial" w:cs="Arial"/>
          <w:sz w:val="20"/>
          <w:szCs w:val="20"/>
        </w:rPr>
        <w:t xml:space="preserve"> et al (2024), the fat content in hydrogel-based </w:t>
      </w:r>
      <w:proofErr w:type="spellStart"/>
      <w:r w:rsidRPr="00572DBC">
        <w:rPr>
          <w:rFonts w:ascii="Arial" w:eastAsia="Times New Roman" w:hAnsi="Arial" w:cs="Arial"/>
          <w:sz w:val="20"/>
          <w:szCs w:val="20"/>
        </w:rPr>
        <w:t>bigels</w:t>
      </w:r>
      <w:proofErr w:type="spellEnd"/>
      <w:r w:rsidRPr="00572DBC">
        <w:rPr>
          <w:rFonts w:ascii="Arial" w:eastAsia="Times New Roman" w:hAnsi="Arial" w:cs="Arial"/>
          <w:sz w:val="20"/>
          <w:szCs w:val="20"/>
        </w:rPr>
        <w:t xml:space="preserve"> of chickpea protein and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glyceryl </w:t>
      </w:r>
      <w:proofErr w:type="spellStart"/>
      <w:r w:rsidRPr="00572DBC">
        <w:rPr>
          <w:rFonts w:ascii="Arial" w:eastAsia="Times New Roman" w:hAnsi="Arial" w:cs="Arial"/>
          <w:sz w:val="20"/>
          <w:szCs w:val="20"/>
        </w:rPr>
        <w:t>monostereate</w:t>
      </w:r>
      <w:proofErr w:type="spellEnd"/>
      <w:r w:rsidRPr="00572DBC">
        <w:rPr>
          <w:rFonts w:ascii="Arial" w:eastAsia="Times New Roman" w:hAnsi="Arial" w:cs="Arial"/>
          <w:sz w:val="20"/>
          <w:szCs w:val="20"/>
        </w:rPr>
        <w:t xml:space="preserve"> was 12.10%-28.65%. This difference is due to the type of base used because beeswax and corn oil have a much higher fat content than glyceryl monostearate.</w:t>
      </w:r>
    </w:p>
    <w:p w14:paraId="2D0633C1" w14:textId="77777777" w:rsidR="003957B7" w:rsidRPr="00572DBC" w:rsidRDefault="003957B7" w:rsidP="003957B7">
      <w:pPr>
        <w:numPr>
          <w:ilvl w:val="1"/>
          <w:numId w:val="1"/>
        </w:numPr>
        <w:spacing w:after="0" w:line="240" w:lineRule="auto"/>
        <w:contextualSpacing/>
        <w:jc w:val="both"/>
        <w:rPr>
          <w:rFonts w:ascii="Arial" w:hAnsi="Arial" w:cs="Arial"/>
          <w:b/>
        </w:rPr>
      </w:pPr>
      <w:proofErr w:type="spellStart"/>
      <w:r w:rsidRPr="005C5E57">
        <w:rPr>
          <w:rFonts w:ascii="Arial" w:hAnsi="Arial" w:cs="Arial"/>
          <w:b/>
        </w:rPr>
        <w:t>Antioksidant</w:t>
      </w:r>
      <w:proofErr w:type="spellEnd"/>
      <w:r w:rsidRPr="005C5E57">
        <w:rPr>
          <w:rFonts w:ascii="Arial" w:hAnsi="Arial" w:cs="Arial"/>
          <w:b/>
        </w:rPr>
        <w:t xml:space="preserve"> Activity</w:t>
      </w:r>
    </w:p>
    <w:p w14:paraId="61FC3E31" w14:textId="77777777" w:rsidR="003957B7" w:rsidRPr="005C5E57" w:rsidRDefault="003957B7" w:rsidP="003957B7">
      <w:pPr>
        <w:spacing w:after="0" w:line="240" w:lineRule="auto"/>
        <w:contextualSpacing/>
        <w:jc w:val="both"/>
        <w:rPr>
          <w:rFonts w:ascii="Arial" w:hAnsi="Arial" w:cs="Arial"/>
          <w:b/>
        </w:rPr>
      </w:pPr>
    </w:p>
    <w:p w14:paraId="24EAB7CB" w14:textId="77777777"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results of the variegation analysis showed that the ratio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to hydrogel made a very significant difference (</w:t>
      </w:r>
      <w:r w:rsidRPr="00572DBC">
        <w:rPr>
          <w:rFonts w:ascii="Arial" w:hAnsi="Arial" w:cs="Arial"/>
          <w:i/>
          <w:sz w:val="20"/>
          <w:szCs w:val="20"/>
        </w:rPr>
        <w:t>P</w:t>
      </w:r>
      <w:r w:rsidRPr="00572DBC">
        <w:rPr>
          <w:rFonts w:ascii="Arial" w:hAnsi="Arial" w:cs="Arial"/>
          <w:sz w:val="20"/>
          <w:szCs w:val="20"/>
        </w:rPr>
        <w:t xml:space="preserve">&lt;0.01) to the antioxidant activity in the </w:t>
      </w:r>
      <w:proofErr w:type="spellStart"/>
      <w:r w:rsidRPr="00572DBC">
        <w:rPr>
          <w:rFonts w:ascii="Arial" w:hAnsi="Arial" w:cs="Arial"/>
          <w:sz w:val="20"/>
          <w:szCs w:val="20"/>
        </w:rPr>
        <w:t>bigel</w:t>
      </w:r>
      <w:proofErr w:type="spellEnd"/>
      <w:r w:rsidRPr="00572DBC">
        <w:rPr>
          <w:rFonts w:ascii="Arial" w:hAnsi="Arial" w:cs="Arial"/>
          <w:sz w:val="20"/>
          <w:szCs w:val="20"/>
        </w:rPr>
        <w:t>. The IC</w:t>
      </w:r>
      <w:r w:rsidRPr="00572DBC">
        <w:rPr>
          <w:rFonts w:ascii="Cambria Math" w:hAnsi="Cambria Math" w:cs="Cambria Math"/>
          <w:sz w:val="20"/>
          <w:szCs w:val="20"/>
        </w:rPr>
        <w:t>₅₀</w:t>
      </w:r>
      <w:r w:rsidRPr="00572DBC">
        <w:rPr>
          <w:rFonts w:ascii="Arial" w:hAnsi="Arial" w:cs="Arial"/>
          <w:sz w:val="20"/>
          <w:szCs w:val="20"/>
        </w:rPr>
        <w:t xml:space="preserve"> mean value of antioxidant activity of P1 sample was 26.08 µg/ml, P2 sample was 32.38 µg/ml, P3 sample was 51.28 µg/ml and the sample with the highest value in P4 sample was 61.48 µg/ml. The highest mean value was found in the P1 sample at 26.08 µg/ml with an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and hydrogel proportion of 80:20. This is not much different from research conducted by Firdaus and Sunita (2024), the IC</w:t>
      </w:r>
      <w:r w:rsidRPr="00572DBC">
        <w:rPr>
          <w:rFonts w:ascii="Cambria Math" w:hAnsi="Cambria Math" w:cs="Cambria Math"/>
          <w:sz w:val="20"/>
          <w:szCs w:val="20"/>
        </w:rPr>
        <w:t>₅₀</w:t>
      </w:r>
      <w:r w:rsidRPr="00572DBC">
        <w:rPr>
          <w:rFonts w:ascii="Arial" w:hAnsi="Arial" w:cs="Arial"/>
          <w:sz w:val="20"/>
          <w:szCs w:val="20"/>
        </w:rPr>
        <w:t xml:space="preserve"> value for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antioxidant activity based on beeswax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and coconut oil is 26.13 µg/ml. P1 samples had quite high antioxidant activity values because the proportion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containing corn oil was greater. Research is not much different from Khelifi, et al (2019), a 5,8-dihydroxy-1,4-naphthoquinone based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with DPPH </w:t>
      </w:r>
      <w:proofErr w:type="spellStart"/>
      <w:r w:rsidRPr="00572DBC">
        <w:rPr>
          <w:rFonts w:ascii="Arial" w:hAnsi="Arial" w:cs="Arial"/>
          <w:sz w:val="20"/>
          <w:szCs w:val="20"/>
        </w:rPr>
        <w:t>methofe</w:t>
      </w:r>
      <w:proofErr w:type="spellEnd"/>
      <w:r w:rsidRPr="00572DBC">
        <w:rPr>
          <w:rFonts w:ascii="Arial" w:hAnsi="Arial" w:cs="Arial"/>
          <w:sz w:val="20"/>
          <w:szCs w:val="20"/>
        </w:rPr>
        <w:t xml:space="preserve"> has a value of 19 × </w:t>
      </w:r>
      <m:oMath>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-3</m:t>
            </m:r>
          </m:sup>
        </m:sSup>
      </m:oMath>
      <w:r w:rsidRPr="00572DBC">
        <w:rPr>
          <w:rFonts w:ascii="Arial" w:hAnsi="Arial" w:cs="Arial"/>
          <w:sz w:val="20"/>
          <w:szCs w:val="20"/>
        </w:rPr>
        <w:t xml:space="preserve"> mg/mL dan 35× </w:t>
      </w:r>
      <m:oMath>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-3</m:t>
            </m:r>
          </m:sup>
        </m:sSup>
      </m:oMath>
      <w:r w:rsidRPr="00572DBC">
        <w:rPr>
          <w:rFonts w:ascii="Arial" w:hAnsi="Arial" w:cs="Arial"/>
          <w:sz w:val="20"/>
          <w:szCs w:val="20"/>
        </w:rPr>
        <w:t xml:space="preserve"> mg/ml. According to Kholifah et al. (2023), an IC</w:t>
      </w:r>
      <w:r w:rsidRPr="00572DBC">
        <w:rPr>
          <w:rFonts w:ascii="Cambria Math" w:hAnsi="Cambria Math" w:cs="Cambria Math"/>
          <w:sz w:val="20"/>
          <w:szCs w:val="20"/>
        </w:rPr>
        <w:t>₅₀</w:t>
      </w:r>
      <w:r w:rsidRPr="00572DBC">
        <w:rPr>
          <w:rFonts w:ascii="Arial" w:hAnsi="Arial" w:cs="Arial"/>
          <w:sz w:val="20"/>
          <w:szCs w:val="20"/>
        </w:rPr>
        <w:t xml:space="preserve"> value (µg/ml) between &lt;50 indicates very strong antioxidant activity, a value of 50–100 indicates strong antioxidant activity and a value above 100 indicates weak antioxidant activity. According to Table 1 it can be observed that beeswax and corn oil based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show strong antioxidant activity as corn oil is a good source of antioxidants.</w:t>
      </w:r>
    </w:p>
    <w:p w14:paraId="5B999FFD" w14:textId="77777777" w:rsidR="003957B7" w:rsidRPr="00572DBC" w:rsidRDefault="003957B7" w:rsidP="003957B7">
      <w:pPr>
        <w:numPr>
          <w:ilvl w:val="1"/>
          <w:numId w:val="1"/>
        </w:numPr>
        <w:spacing w:after="0" w:line="240" w:lineRule="auto"/>
        <w:contextualSpacing/>
        <w:jc w:val="both"/>
        <w:rPr>
          <w:rFonts w:ascii="Arial" w:hAnsi="Arial" w:cs="Arial"/>
          <w:b/>
        </w:rPr>
      </w:pPr>
      <w:r w:rsidRPr="005C5E57">
        <w:rPr>
          <w:rFonts w:ascii="Arial" w:hAnsi="Arial" w:cs="Arial"/>
          <w:b/>
        </w:rPr>
        <w:t xml:space="preserve">Color </w:t>
      </w:r>
    </w:p>
    <w:p w14:paraId="2F9BA46C" w14:textId="77777777" w:rsidR="003957B7" w:rsidRPr="005C5E57" w:rsidRDefault="003957B7" w:rsidP="003957B7">
      <w:pPr>
        <w:spacing w:after="0" w:line="240" w:lineRule="auto"/>
        <w:contextualSpacing/>
        <w:jc w:val="both"/>
        <w:rPr>
          <w:rFonts w:ascii="Arial" w:hAnsi="Arial" w:cs="Arial"/>
          <w:b/>
        </w:rPr>
      </w:pPr>
    </w:p>
    <w:p w14:paraId="00FF9237" w14:textId="77777777"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results of the variance analysis showed that the ratio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to hydrogel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did not make a significant difference (</w:t>
      </w:r>
      <w:r w:rsidRPr="00572DBC">
        <w:rPr>
          <w:rFonts w:ascii="Arial" w:hAnsi="Arial" w:cs="Arial"/>
          <w:i/>
          <w:sz w:val="20"/>
          <w:szCs w:val="20"/>
        </w:rPr>
        <w:t>P</w:t>
      </w:r>
      <w:r w:rsidRPr="00572DBC">
        <w:rPr>
          <w:rFonts w:ascii="Arial" w:hAnsi="Arial" w:cs="Arial"/>
          <w:sz w:val="20"/>
          <w:szCs w:val="20"/>
        </w:rPr>
        <w:t xml:space="preserve">&gt;0.05) to the L*, a* or b* values. The average value in the L* parameter (brightness) ranges from 87.13-88.98. The average value in the a* (redness) parameter ranges from 1.00-0.86, while for the b* (yellowish) parameter it has a value of 15.29-15.03. This can be explained because beeswax-based </w:t>
      </w:r>
      <w:proofErr w:type="spellStart"/>
      <w:r w:rsidRPr="00572DBC">
        <w:rPr>
          <w:rFonts w:ascii="Arial" w:hAnsi="Arial" w:cs="Arial"/>
          <w:sz w:val="20"/>
          <w:szCs w:val="20"/>
        </w:rPr>
        <w:t>oleogels</w:t>
      </w:r>
      <w:proofErr w:type="spellEnd"/>
      <w:r w:rsidRPr="00572DBC">
        <w:rPr>
          <w:rFonts w:ascii="Arial" w:hAnsi="Arial" w:cs="Arial"/>
          <w:sz w:val="20"/>
          <w:szCs w:val="20"/>
        </w:rPr>
        <w:t xml:space="preserve"> and corn oil have a natural brownish yellow color, so a decrease in the number of </w:t>
      </w:r>
      <w:proofErr w:type="spellStart"/>
      <w:r w:rsidRPr="00572DBC">
        <w:rPr>
          <w:rFonts w:ascii="Arial" w:hAnsi="Arial" w:cs="Arial"/>
          <w:sz w:val="20"/>
          <w:szCs w:val="20"/>
        </w:rPr>
        <w:t>oleogels</w:t>
      </w:r>
      <w:proofErr w:type="spellEnd"/>
      <w:r w:rsidRPr="00572DBC">
        <w:rPr>
          <w:rFonts w:ascii="Arial" w:hAnsi="Arial" w:cs="Arial"/>
          <w:sz w:val="20"/>
          <w:szCs w:val="20"/>
        </w:rPr>
        <w:t xml:space="preserve"> causes a reduction in the intensity of redness and </w:t>
      </w:r>
      <w:proofErr w:type="spellStart"/>
      <w:r w:rsidRPr="00572DBC">
        <w:rPr>
          <w:rFonts w:ascii="Arial" w:hAnsi="Arial" w:cs="Arial"/>
          <w:sz w:val="20"/>
          <w:szCs w:val="20"/>
        </w:rPr>
        <w:t>yellowishness</w:t>
      </w:r>
      <w:proofErr w:type="spellEnd"/>
      <w:r w:rsidRPr="00572DBC">
        <w:rPr>
          <w:rFonts w:ascii="Arial" w:hAnsi="Arial" w:cs="Arial"/>
          <w:sz w:val="20"/>
          <w:szCs w:val="20"/>
        </w:rPr>
        <w:t xml:space="preserve">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This research is similar to Lee, et al. (2024), the color value in the </w:t>
      </w:r>
      <w:proofErr w:type="spellStart"/>
      <w:r w:rsidRPr="00572DBC">
        <w:rPr>
          <w:rFonts w:ascii="Arial" w:hAnsi="Arial" w:cs="Arial"/>
          <w:sz w:val="20"/>
          <w:szCs w:val="20"/>
        </w:rPr>
        <w:t>oleogel</w:t>
      </w:r>
      <w:proofErr w:type="spellEnd"/>
      <w:r w:rsidR="00862A0D">
        <w:rPr>
          <w:rFonts w:ascii="Arial" w:hAnsi="Arial" w:cs="Arial"/>
          <w:sz w:val="20"/>
          <w:szCs w:val="20"/>
        </w:rPr>
        <w:t xml:space="preserve"> </w:t>
      </w:r>
      <w:r w:rsidRPr="00572DBC">
        <w:rPr>
          <w:rFonts w:ascii="Arial" w:hAnsi="Arial" w:cs="Arial"/>
          <w:sz w:val="20"/>
          <w:szCs w:val="20"/>
        </w:rPr>
        <w:t xml:space="preserve">based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of </w:t>
      </w:r>
      <w:proofErr w:type="spellStart"/>
      <w:r w:rsidRPr="00572DBC">
        <w:rPr>
          <w:rFonts w:ascii="Arial" w:hAnsi="Arial" w:cs="Arial"/>
          <w:sz w:val="20"/>
          <w:szCs w:val="20"/>
        </w:rPr>
        <w:t>kadelila</w:t>
      </w:r>
      <w:proofErr w:type="spellEnd"/>
      <w:r w:rsidRPr="00572DBC">
        <w:rPr>
          <w:rFonts w:ascii="Arial" w:hAnsi="Arial" w:cs="Arial"/>
          <w:sz w:val="20"/>
          <w:szCs w:val="20"/>
        </w:rPr>
        <w:t xml:space="preserve"> wax with guar gum hydrogel has an L* value of 32.59-35.57, an a* value of 14.35-11.59 and a b* value of 30.50-28.76 shows that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also has quite dominant yellowish color characteristics. In addition, research conducted by Shaikh et al (2022), a </w:t>
      </w:r>
      <w:proofErr w:type="spellStart"/>
      <w:r w:rsidRPr="00572DBC">
        <w:rPr>
          <w:rFonts w:ascii="Arial" w:hAnsi="Arial" w:cs="Arial"/>
          <w:sz w:val="20"/>
          <w:szCs w:val="20"/>
        </w:rPr>
        <w:t>kandelila</w:t>
      </w:r>
      <w:proofErr w:type="spellEnd"/>
      <w:r w:rsidRPr="00572DBC">
        <w:rPr>
          <w:rFonts w:ascii="Arial" w:hAnsi="Arial" w:cs="Arial"/>
          <w:sz w:val="20"/>
          <w:szCs w:val="20"/>
        </w:rPr>
        <w:t xml:space="preserve"> wax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-based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and sesame oil with a guar gum hydrogel color value L* of 97.76-98.81, the a* parameter is -5.74 to -7.05, while for the b* parameter it is 19.06-23.92. </w:t>
      </w:r>
    </w:p>
    <w:p w14:paraId="6798E653" w14:textId="77777777" w:rsidR="003957B7" w:rsidRPr="001E424F" w:rsidRDefault="003957B7" w:rsidP="003957B7">
      <w:pPr>
        <w:numPr>
          <w:ilvl w:val="1"/>
          <w:numId w:val="1"/>
        </w:numPr>
        <w:spacing w:after="0" w:line="240" w:lineRule="auto"/>
        <w:contextualSpacing/>
        <w:jc w:val="both"/>
        <w:rPr>
          <w:rFonts w:ascii="Arial" w:hAnsi="Arial" w:cs="Arial"/>
          <w:b/>
          <w:i/>
        </w:rPr>
      </w:pPr>
      <w:r w:rsidRPr="005C5E57">
        <w:rPr>
          <w:rFonts w:ascii="Arial" w:hAnsi="Arial" w:cs="Arial"/>
          <w:b/>
          <w:i/>
        </w:rPr>
        <w:t xml:space="preserve">Oil Binding Capacity </w:t>
      </w:r>
      <w:r w:rsidRPr="005C5E57">
        <w:rPr>
          <w:rFonts w:ascii="Arial" w:hAnsi="Arial" w:cs="Arial"/>
          <w:b/>
        </w:rPr>
        <w:t>(OBC)</w:t>
      </w:r>
    </w:p>
    <w:p w14:paraId="6FC8EDA5" w14:textId="77777777" w:rsidR="001E424F" w:rsidRPr="005C5E57" w:rsidRDefault="001E424F" w:rsidP="001E424F">
      <w:pPr>
        <w:spacing w:after="0" w:line="240" w:lineRule="auto"/>
        <w:contextualSpacing/>
        <w:jc w:val="both"/>
        <w:rPr>
          <w:rFonts w:ascii="Arial" w:hAnsi="Arial" w:cs="Arial"/>
          <w:b/>
          <w:i/>
        </w:rPr>
      </w:pPr>
    </w:p>
    <w:p w14:paraId="0A51C30A" w14:textId="18AA8D3C"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results of the variance analysis showed that the ratio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to hydrogel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presented a very significant difference (</w:t>
      </w:r>
      <w:r w:rsidRPr="00572DBC">
        <w:rPr>
          <w:rFonts w:ascii="Arial" w:hAnsi="Arial" w:cs="Arial"/>
          <w:i/>
          <w:sz w:val="20"/>
          <w:szCs w:val="20"/>
        </w:rPr>
        <w:t>P</w:t>
      </w:r>
      <w:r w:rsidRPr="00572DBC">
        <w:rPr>
          <w:rFonts w:ascii="Arial" w:hAnsi="Arial" w:cs="Arial"/>
          <w:sz w:val="20"/>
          <w:szCs w:val="20"/>
        </w:rPr>
        <w:t xml:space="preserve">&lt;0.01) to OBC. The average OBC value has an increase in each sample. Sample P1 had the lowest value at 97.98%, sample P2 at 97.99%, sample P3 at 98.00% and sample P4 had the highest value at 98.22% at around 97%-98.22% as the proportion of hydrogel increased. Increased proportion of hydrogels in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formulations that contribute significantly to increased OBC. The ability of hydrogels to form </w:t>
      </w:r>
      <w:r w:rsidRPr="00572DBC">
        <w:rPr>
          <w:rFonts w:ascii="Arial" w:hAnsi="Arial" w:cs="Arial"/>
          <w:sz w:val="20"/>
          <w:szCs w:val="20"/>
        </w:rPr>
        <w:lastRenderedPageBreak/>
        <w:t xml:space="preserve">stable and organized hydrophilic networks. The three-dimensional structure produced by the hydrogel is supported by its </w:t>
      </w:r>
      <w:proofErr w:type="gramStart"/>
      <w:r w:rsidRPr="00572DBC">
        <w:rPr>
          <w:rFonts w:ascii="Arial" w:hAnsi="Arial" w:cs="Arial"/>
          <w:sz w:val="20"/>
          <w:szCs w:val="20"/>
        </w:rPr>
        <w:t>high water</w:t>
      </w:r>
      <w:proofErr w:type="gramEnd"/>
      <w:r w:rsidRPr="00572DBC">
        <w:rPr>
          <w:rFonts w:ascii="Arial" w:hAnsi="Arial" w:cs="Arial"/>
          <w:sz w:val="20"/>
          <w:szCs w:val="20"/>
        </w:rPr>
        <w:t xml:space="preserve"> absorption capacity so that it is able to maintain elasticity. This is in accordance with Shakouri, et al (2025), increasing the hydrogel phase limits the movement of oil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and increases the OBC thereby acting as a surfactant to effectively reduce interfacial tension and inhibit phase separation. Based on Table </w:t>
      </w:r>
      <w:r w:rsidR="002C1394">
        <w:rPr>
          <w:rFonts w:ascii="Arial" w:hAnsi="Arial" w:cs="Arial"/>
          <w:sz w:val="20"/>
          <w:szCs w:val="20"/>
        </w:rPr>
        <w:t>3</w:t>
      </w:r>
      <w:r w:rsidRPr="00572DBC">
        <w:rPr>
          <w:rFonts w:ascii="Arial" w:hAnsi="Arial" w:cs="Arial"/>
          <w:sz w:val="20"/>
          <w:szCs w:val="20"/>
        </w:rPr>
        <w:t xml:space="preserve">. The highest OBC mean value was found in the P4 sample at 98.22%. This is in agreement with Liu et al (2025), the highest OBC value in soybean oil and insect wax based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was 99.8%. Meanwhile, research conducted by Samui et al (2021),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with long homogenization treatments of 1,3.5 and 7 minutes was valued at 85%, 99%, 99% and 91%. </w:t>
      </w:r>
    </w:p>
    <w:p w14:paraId="7DB3FFEA" w14:textId="77777777" w:rsidR="003957B7" w:rsidRPr="00572DBC" w:rsidRDefault="003957B7" w:rsidP="003957B7">
      <w:pPr>
        <w:numPr>
          <w:ilvl w:val="1"/>
          <w:numId w:val="1"/>
        </w:numPr>
        <w:spacing w:after="0" w:line="240" w:lineRule="auto"/>
        <w:contextualSpacing/>
        <w:jc w:val="both"/>
        <w:rPr>
          <w:rFonts w:ascii="Arial" w:hAnsi="Arial" w:cs="Arial"/>
          <w:b/>
        </w:rPr>
      </w:pPr>
      <w:r w:rsidRPr="005C5E57">
        <w:rPr>
          <w:rFonts w:ascii="Arial" w:hAnsi="Arial" w:cs="Arial"/>
          <w:b/>
        </w:rPr>
        <w:t>Weight Loss</w:t>
      </w:r>
    </w:p>
    <w:p w14:paraId="7D6DB76E" w14:textId="77777777" w:rsidR="003957B7" w:rsidRPr="005C5E57" w:rsidRDefault="003957B7" w:rsidP="003957B7">
      <w:pPr>
        <w:spacing w:after="0" w:line="240" w:lineRule="auto"/>
        <w:ind w:left="360"/>
        <w:contextualSpacing/>
        <w:jc w:val="both"/>
        <w:rPr>
          <w:rFonts w:ascii="Arial" w:hAnsi="Arial" w:cs="Arial"/>
          <w:b/>
        </w:rPr>
      </w:pPr>
    </w:p>
    <w:p w14:paraId="7522E7E0" w14:textId="48146CD1" w:rsidR="003957B7" w:rsidRPr="00572DBC" w:rsidRDefault="003957B7" w:rsidP="003957B7">
      <w:pPr>
        <w:jc w:val="both"/>
        <w:rPr>
          <w:rFonts w:ascii="Arial" w:hAnsi="Arial" w:cs="Arial"/>
          <w:sz w:val="20"/>
          <w:szCs w:val="20"/>
        </w:rPr>
      </w:pPr>
      <w:r w:rsidRPr="00572DBC">
        <w:rPr>
          <w:rFonts w:ascii="Arial" w:hAnsi="Arial" w:cs="Arial"/>
          <w:sz w:val="20"/>
          <w:szCs w:val="20"/>
        </w:rPr>
        <w:t xml:space="preserve">The results of the variance analysis showed that the ratio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to hydrogel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presented a very significant difference (</w:t>
      </w:r>
      <w:r w:rsidRPr="00572DBC">
        <w:rPr>
          <w:rFonts w:ascii="Arial" w:hAnsi="Arial" w:cs="Arial"/>
          <w:i/>
          <w:sz w:val="20"/>
          <w:szCs w:val="20"/>
        </w:rPr>
        <w:t>P</w:t>
      </w:r>
      <w:r w:rsidRPr="00572DBC">
        <w:rPr>
          <w:rFonts w:ascii="Arial" w:hAnsi="Arial" w:cs="Arial"/>
          <w:sz w:val="20"/>
          <w:szCs w:val="20"/>
        </w:rPr>
        <w:t xml:space="preserve">&lt;0.01) with respect to weight shrinkage. The mean value of the shrinkage of the P1 sample weight was 0.81%, the P2 sample was 0.86%, the P3 sample was 1.64% and the P4 sample had a value of 2.18%. The highest value was found in the P4 sample, namely 2.18% and the lowest value, namely 0.81%. Weight loss increases as the proportion of hydrogel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formulation increases. This is because hydrogels have a </w:t>
      </w:r>
      <w:proofErr w:type="gramStart"/>
      <w:r w:rsidRPr="00572DBC">
        <w:rPr>
          <w:rFonts w:ascii="Arial" w:hAnsi="Arial" w:cs="Arial"/>
          <w:sz w:val="20"/>
          <w:szCs w:val="20"/>
        </w:rPr>
        <w:t>high water</w:t>
      </w:r>
      <w:proofErr w:type="gramEnd"/>
      <w:r w:rsidRPr="00572DBC">
        <w:rPr>
          <w:rFonts w:ascii="Arial" w:hAnsi="Arial" w:cs="Arial"/>
          <w:sz w:val="20"/>
          <w:szCs w:val="20"/>
        </w:rPr>
        <w:t xml:space="preserve"> content so that during the evaporation or storage process mass loss occurs due to evaporation of water from the system. The greater the proportion of hydrogel, the greater the amount of water available to evaporate and causes the weight loss value to be higher. Based on Table </w:t>
      </w:r>
      <w:r w:rsidR="002C1394">
        <w:rPr>
          <w:rFonts w:ascii="Arial" w:hAnsi="Arial" w:cs="Arial"/>
          <w:sz w:val="20"/>
          <w:szCs w:val="20"/>
        </w:rPr>
        <w:t>4</w:t>
      </w:r>
      <w:r w:rsidRPr="00572DBC">
        <w:rPr>
          <w:rFonts w:ascii="Arial" w:hAnsi="Arial" w:cs="Arial"/>
          <w:sz w:val="20"/>
          <w:szCs w:val="20"/>
        </w:rPr>
        <w:t xml:space="preserve">. the average value of weight loss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sample during two weeks of observation ranged from 0.81%-2.18%. This weight loss value is relatively low when compared with the results of research by Silva et al (2022), who reported that weight loss in their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ranged from 13.20% to 23.90% after a </w:t>
      </w:r>
      <w:proofErr w:type="gramStart"/>
      <w:r w:rsidRPr="00572DBC">
        <w:rPr>
          <w:rFonts w:ascii="Arial" w:hAnsi="Arial" w:cs="Arial"/>
          <w:sz w:val="20"/>
          <w:szCs w:val="20"/>
        </w:rPr>
        <w:t>28 day</w:t>
      </w:r>
      <w:proofErr w:type="gramEnd"/>
      <w:r w:rsidRPr="00572DBC">
        <w:rPr>
          <w:rFonts w:ascii="Arial" w:hAnsi="Arial" w:cs="Arial"/>
          <w:sz w:val="20"/>
          <w:szCs w:val="20"/>
        </w:rPr>
        <w:t xml:space="preserve"> observation period. </w:t>
      </w:r>
    </w:p>
    <w:p w14:paraId="57267263" w14:textId="77777777" w:rsidR="003957B7" w:rsidRPr="00572DBC" w:rsidRDefault="003957B7" w:rsidP="003957B7">
      <w:pPr>
        <w:numPr>
          <w:ilvl w:val="1"/>
          <w:numId w:val="1"/>
        </w:numPr>
        <w:spacing w:after="0" w:line="240" w:lineRule="auto"/>
        <w:contextualSpacing/>
        <w:jc w:val="both"/>
        <w:rPr>
          <w:rFonts w:ascii="Arial" w:hAnsi="Arial" w:cs="Arial"/>
          <w:b/>
        </w:rPr>
      </w:pPr>
      <w:r w:rsidRPr="005C5E57">
        <w:rPr>
          <w:rFonts w:ascii="Arial" w:hAnsi="Arial" w:cs="Arial"/>
          <w:b/>
        </w:rPr>
        <w:t>Texture</w:t>
      </w:r>
    </w:p>
    <w:p w14:paraId="78FF1D19" w14:textId="77777777" w:rsidR="003957B7" w:rsidRPr="005C5E57" w:rsidRDefault="003957B7" w:rsidP="003957B7">
      <w:pPr>
        <w:spacing w:after="0" w:line="240" w:lineRule="auto"/>
        <w:contextualSpacing/>
        <w:jc w:val="both"/>
        <w:rPr>
          <w:rFonts w:ascii="Arial" w:hAnsi="Arial" w:cs="Arial"/>
          <w:b/>
        </w:rPr>
      </w:pPr>
    </w:p>
    <w:p w14:paraId="6E0C3FD1" w14:textId="77777777" w:rsidR="003957B7" w:rsidRPr="00572DBC" w:rsidRDefault="003957B7" w:rsidP="003957B7">
      <w:pPr>
        <w:spacing w:after="0"/>
        <w:contextualSpacing/>
        <w:jc w:val="both"/>
        <w:rPr>
          <w:rFonts w:ascii="Arial" w:hAnsi="Arial" w:cs="Arial"/>
          <w:sz w:val="20"/>
          <w:szCs w:val="20"/>
        </w:rPr>
      </w:pPr>
      <w:r w:rsidRPr="00572DBC">
        <w:rPr>
          <w:rFonts w:ascii="Arial" w:hAnsi="Arial" w:cs="Arial"/>
          <w:sz w:val="20"/>
          <w:szCs w:val="20"/>
        </w:rPr>
        <w:t xml:space="preserve">Variety </w:t>
      </w:r>
      <w:proofErr w:type="spellStart"/>
      <w:r w:rsidRPr="00572DBC">
        <w:rPr>
          <w:rFonts w:ascii="Arial" w:hAnsi="Arial" w:cs="Arial"/>
          <w:sz w:val="20"/>
          <w:szCs w:val="20"/>
        </w:rPr>
        <w:t>anailis</w:t>
      </w:r>
      <w:proofErr w:type="spellEnd"/>
      <w:r w:rsidRPr="00572DBC">
        <w:rPr>
          <w:rFonts w:ascii="Arial" w:hAnsi="Arial" w:cs="Arial"/>
          <w:sz w:val="20"/>
          <w:szCs w:val="20"/>
        </w:rPr>
        <w:t xml:space="preserve"> results showed that the ratio of beeswax and gelatin-based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to hydrogel gave very significant differences (</w:t>
      </w:r>
      <w:r w:rsidRPr="00572DBC">
        <w:rPr>
          <w:rFonts w:ascii="Arial" w:hAnsi="Arial" w:cs="Arial"/>
          <w:i/>
          <w:sz w:val="20"/>
          <w:szCs w:val="20"/>
        </w:rPr>
        <w:t>P</w:t>
      </w:r>
      <w:r w:rsidRPr="00572DBC">
        <w:rPr>
          <w:rFonts w:ascii="Arial" w:hAnsi="Arial" w:cs="Arial"/>
          <w:sz w:val="20"/>
          <w:szCs w:val="20"/>
        </w:rPr>
        <w:t xml:space="preserve">&lt;0.01) in the texture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The lowest texture average value was found in sample P1 having a mean value of 1.96 N followed by sample P2 of 2.67 N, sample P3 with the highest value of 2.80 N and sample P4 of 42.53%. Based on the measurement results of the average value of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texture ranging from 1.96 N to 2.80 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has an increase in hardness as the proportion of hydrogel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formulation increases. This is in line with Martins et al (2023), the ratio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to hydrogel 50:50 to 99:1 has decreased hardness values in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when the proportion of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is increased. This is due to the ability of hydrogels, especially gelatin, to form three-dimensional polymer networks that are hydrophilic. This tissue is able to hold water well and provides a stable mechanical structure, thereby strengthening the overall physical integrity of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The results of this study are in line with the findings of Shakouri et al. (2024), the value of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texture decreases as the proportion of gelatin decreases and the proportion of CMC increases with a range of 2.62 N to 1.72 N.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samples with higher gelatin content showed a more robust texture, indicating that gelatin plays an important role in forming a strong and dense gel network compared to CMC which produces a softer gel structure. According to Samui et al (2021),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studies with differences in homogenization duration of 1, 3, 5 and 7 minutes were 0.35 N, 0.35 N, 0.30 N and 0.20 N.</w:t>
      </w:r>
      <w:bookmarkStart w:id="3" w:name="_Hlk198391220"/>
    </w:p>
    <w:p w14:paraId="66F918F4" w14:textId="77777777" w:rsidR="003957B7" w:rsidRPr="005C5E57" w:rsidRDefault="003957B7" w:rsidP="003957B7">
      <w:pPr>
        <w:spacing w:after="0"/>
        <w:contextualSpacing/>
        <w:jc w:val="both"/>
        <w:rPr>
          <w:rFonts w:ascii="Arial" w:hAnsi="Arial" w:cs="Arial"/>
          <w:sz w:val="20"/>
          <w:szCs w:val="20"/>
        </w:rPr>
      </w:pPr>
    </w:p>
    <w:bookmarkEnd w:id="3"/>
    <w:p w14:paraId="7D3F355C" w14:textId="77777777" w:rsidR="003957B7" w:rsidRPr="00862A0D" w:rsidRDefault="003957B7" w:rsidP="003957B7">
      <w:pPr>
        <w:numPr>
          <w:ilvl w:val="1"/>
          <w:numId w:val="1"/>
        </w:numPr>
        <w:spacing w:after="0" w:line="240" w:lineRule="auto"/>
        <w:contextualSpacing/>
        <w:jc w:val="both"/>
        <w:rPr>
          <w:rFonts w:ascii="Arial" w:hAnsi="Arial" w:cs="Arial"/>
          <w:b/>
        </w:rPr>
      </w:pPr>
      <w:r w:rsidRPr="00862A0D">
        <w:rPr>
          <w:rFonts w:ascii="Arial" w:hAnsi="Arial" w:cs="Arial"/>
          <w:b/>
        </w:rPr>
        <w:t>FTIR</w:t>
      </w:r>
    </w:p>
    <w:p w14:paraId="7CEEF9C3" w14:textId="77777777" w:rsidR="003957B7" w:rsidRPr="005C5E57" w:rsidRDefault="00572DBC" w:rsidP="003957B7">
      <w:pPr>
        <w:ind w:left="360"/>
        <w:contextualSpacing/>
        <w:jc w:val="both"/>
        <w:rPr>
          <w:rFonts w:ascii="Arial" w:hAnsi="Arial" w:cs="Arial"/>
          <w:noProof/>
          <w:sz w:val="20"/>
          <w:szCs w:val="20"/>
        </w:rPr>
      </w:pPr>
      <w:r w:rsidRPr="005C5E57">
        <w:rPr>
          <w:rFonts w:ascii="Arial" w:hAnsi="Arial" w:cs="Arial"/>
          <w:b/>
          <w:noProof/>
          <w:sz w:val="20"/>
          <w:szCs w:val="20"/>
        </w:rPr>
        <w:lastRenderedPageBreak/>
        <w:drawing>
          <wp:anchor distT="0" distB="0" distL="0" distR="0" simplePos="0" relativeHeight="251659264" behindDoc="1" locked="0" layoutInCell="1" allowOverlap="1" wp14:anchorId="63E695D7" wp14:editId="200F5052">
            <wp:simplePos x="0" y="0"/>
            <wp:positionH relativeFrom="column">
              <wp:posOffset>91440</wp:posOffset>
            </wp:positionH>
            <wp:positionV relativeFrom="paragraph">
              <wp:posOffset>180340</wp:posOffset>
            </wp:positionV>
            <wp:extent cx="5076825" cy="2200275"/>
            <wp:effectExtent l="0" t="0" r="9525" b="9525"/>
            <wp:wrapSquare wrapText="bothSides"/>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3" cstate="print"/>
                    <a:stretch>
                      <a:fillRect/>
                    </a:stretch>
                  </pic:blipFill>
                  <pic:spPr>
                    <a:xfrm>
                      <a:off x="0" y="0"/>
                      <a:ext cx="5076825" cy="2200275"/>
                    </a:xfrm>
                    <a:prstGeom prst="rect">
                      <a:avLst/>
                    </a:prstGeom>
                  </pic:spPr>
                </pic:pic>
              </a:graphicData>
            </a:graphic>
            <wp14:sizeRelH relativeFrom="margin">
              <wp14:pctWidth>0</wp14:pctWidth>
            </wp14:sizeRelH>
            <wp14:sizeRelV relativeFrom="margin">
              <wp14:pctHeight>0</wp14:pctHeight>
            </wp14:sizeRelV>
          </wp:anchor>
        </w:drawing>
      </w:r>
    </w:p>
    <w:p w14:paraId="76F0AB0B" w14:textId="77777777" w:rsidR="003957B7" w:rsidRPr="005C5E57" w:rsidRDefault="003957B7" w:rsidP="00572DBC">
      <w:pPr>
        <w:spacing w:after="0"/>
        <w:ind w:firstLine="360"/>
        <w:contextualSpacing/>
        <w:jc w:val="both"/>
        <w:rPr>
          <w:rFonts w:ascii="Arial" w:hAnsi="Arial" w:cs="Arial"/>
          <w:sz w:val="20"/>
          <w:szCs w:val="20"/>
        </w:rPr>
      </w:pPr>
      <w:r w:rsidRPr="00572DBC">
        <w:rPr>
          <w:rFonts w:ascii="Arial" w:hAnsi="Arial" w:cs="Arial"/>
          <w:b/>
          <w:sz w:val="20"/>
          <w:szCs w:val="20"/>
        </w:rPr>
        <w:t>Fig 1.</w:t>
      </w:r>
      <w:r w:rsidRPr="00572DBC">
        <w:rPr>
          <w:rFonts w:ascii="Arial" w:hAnsi="Arial" w:cs="Arial"/>
          <w:sz w:val="20"/>
          <w:szCs w:val="20"/>
        </w:rPr>
        <w:t xml:space="preserve"> FTIR graph of </w:t>
      </w:r>
      <w:proofErr w:type="spellStart"/>
      <w:r w:rsidRPr="00572DBC">
        <w:rPr>
          <w:rFonts w:ascii="Arial" w:hAnsi="Arial" w:cs="Arial"/>
          <w:sz w:val="20"/>
          <w:szCs w:val="20"/>
        </w:rPr>
        <w:t>bigels</w:t>
      </w:r>
      <w:proofErr w:type="spellEnd"/>
    </w:p>
    <w:p w14:paraId="09DEB2EB" w14:textId="77777777" w:rsidR="003957B7" w:rsidRPr="00572DBC" w:rsidRDefault="003957B7" w:rsidP="003957B7">
      <w:pPr>
        <w:spacing w:after="240"/>
        <w:ind w:left="360"/>
        <w:contextualSpacing/>
        <w:jc w:val="both"/>
        <w:rPr>
          <w:rFonts w:ascii="Arial" w:hAnsi="Arial" w:cs="Arial"/>
          <w:sz w:val="20"/>
          <w:szCs w:val="20"/>
        </w:rPr>
      </w:pPr>
    </w:p>
    <w:p w14:paraId="3F82A6D4" w14:textId="77777777" w:rsidR="00572DBC" w:rsidRPr="00F7567A" w:rsidRDefault="003957B7" w:rsidP="00F7567A">
      <w:pPr>
        <w:spacing w:after="240"/>
        <w:ind w:left="360"/>
        <w:contextualSpacing/>
        <w:jc w:val="both"/>
        <w:rPr>
          <w:rFonts w:ascii="Arial" w:hAnsi="Arial" w:cs="Arial"/>
          <w:sz w:val="20"/>
          <w:szCs w:val="20"/>
        </w:rPr>
      </w:pPr>
      <w:r w:rsidRPr="00572DBC">
        <w:rPr>
          <w:rFonts w:ascii="Arial" w:hAnsi="Arial" w:cs="Arial"/>
          <w:sz w:val="20"/>
          <w:szCs w:val="20"/>
        </w:rPr>
        <w:t>The FTIR analysis of Figure 1 shows several absorption bands illustrating changes in the chemical composition of the sample. The absorption band area of 3100-3500 cm</w:t>
      </w:r>
      <w:r w:rsidRPr="00572DBC">
        <w:rPr>
          <w:rFonts w:ascii="Cambria Math" w:hAnsi="Cambria Math" w:cs="Cambria Math"/>
          <w:sz w:val="20"/>
          <w:szCs w:val="20"/>
        </w:rPr>
        <w:t>⁻</w:t>
      </w:r>
      <w:r w:rsidRPr="00572DBC">
        <w:rPr>
          <w:rFonts w:ascii="Arial" w:hAnsi="Arial" w:cs="Arial"/>
          <w:sz w:val="20"/>
          <w:szCs w:val="20"/>
        </w:rPr>
        <w:t xml:space="preserve">¹ is related to the OH strain (stretching) of the alcohol or hydroxyl group, experiencing an increase in intensity in the P4 sample. This suggests a high water or hydrogel content of gelatin in accordance with the findings of </w:t>
      </w:r>
      <w:proofErr w:type="spellStart"/>
      <w:r w:rsidRPr="00572DBC">
        <w:rPr>
          <w:rFonts w:ascii="Arial" w:hAnsi="Arial" w:cs="Arial"/>
          <w:sz w:val="20"/>
          <w:szCs w:val="20"/>
        </w:rPr>
        <w:t>Mallamace</w:t>
      </w:r>
      <w:proofErr w:type="spellEnd"/>
      <w:r w:rsidRPr="00572DBC">
        <w:rPr>
          <w:rFonts w:ascii="Arial" w:hAnsi="Arial" w:cs="Arial"/>
          <w:sz w:val="20"/>
          <w:szCs w:val="20"/>
        </w:rPr>
        <w:t xml:space="preserve"> et al. (2015), the wide band in this range is closely related to the vibrations of O–H and N–H, both in free and bound form commonly found in hydrogel-based systems. In contrast, the absorption band area of 2800-3000 cm</w:t>
      </w:r>
      <w:r w:rsidRPr="00572DBC">
        <w:rPr>
          <w:rFonts w:ascii="Cambria Math" w:hAnsi="Cambria Math" w:cs="Cambria Math"/>
          <w:sz w:val="20"/>
          <w:szCs w:val="20"/>
        </w:rPr>
        <w:t>⁻</w:t>
      </w:r>
      <w:r w:rsidRPr="00572DBC">
        <w:rPr>
          <w:rFonts w:ascii="Arial" w:hAnsi="Arial" w:cs="Arial"/>
          <w:sz w:val="20"/>
          <w:szCs w:val="20"/>
        </w:rPr>
        <w:t xml:space="preserve">¹ shows aliphatic CH strain of the lipid or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components of beeswax and corn oil, experiencing a decrease in intensity from P1 to P4. This is in accordance with </w:t>
      </w:r>
      <w:proofErr w:type="spellStart"/>
      <w:r w:rsidRPr="00572DBC">
        <w:rPr>
          <w:rFonts w:ascii="Arial" w:hAnsi="Arial" w:cs="Arial"/>
          <w:sz w:val="20"/>
          <w:szCs w:val="20"/>
        </w:rPr>
        <w:t>Sagiri</w:t>
      </w:r>
      <w:proofErr w:type="spellEnd"/>
      <w:r w:rsidRPr="00572DBC">
        <w:rPr>
          <w:rFonts w:ascii="Arial" w:hAnsi="Arial" w:cs="Arial"/>
          <w:sz w:val="20"/>
          <w:szCs w:val="20"/>
        </w:rPr>
        <w:t xml:space="preserve"> et al. (2015), C–H peaks in 2920 and 2850 cm</w:t>
      </w:r>
      <w:r w:rsidRPr="00572DBC">
        <w:rPr>
          <w:rFonts w:ascii="Cambria Math" w:hAnsi="Cambria Math" w:cs="Cambria Math"/>
          <w:sz w:val="20"/>
          <w:szCs w:val="20"/>
        </w:rPr>
        <w:t>⁻</w:t>
      </w:r>
      <w:r w:rsidRPr="00572DBC">
        <w:rPr>
          <w:rFonts w:ascii="Arial" w:hAnsi="Arial" w:cs="Arial"/>
          <w:sz w:val="20"/>
          <w:szCs w:val="20"/>
        </w:rPr>
        <w:t xml:space="preserve">¹ decreased with reduction in lipid fraction in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system. The absorption band region of 1600-1750 cm</w:t>
      </w:r>
      <w:r w:rsidRPr="00572DBC">
        <w:rPr>
          <w:rFonts w:ascii="Cambria Math" w:hAnsi="Cambria Math" w:cs="Cambria Math"/>
          <w:sz w:val="20"/>
          <w:szCs w:val="20"/>
        </w:rPr>
        <w:t>⁻</w:t>
      </w:r>
      <w:r w:rsidRPr="00572DBC">
        <w:rPr>
          <w:rFonts w:ascii="Arial" w:hAnsi="Arial" w:cs="Arial"/>
          <w:sz w:val="20"/>
          <w:szCs w:val="20"/>
        </w:rPr>
        <w:t xml:space="preserve">¹, derived from the C=O strain of ester or carbonyl groups (from triglycerides or beeswax esters), is most intense at P1, indicating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dominance. This is in accordance with Martins et al. (2023), the presence of absorption bands around 1745 and 1160 cm</w:t>
      </w:r>
      <w:r w:rsidRPr="00572DBC">
        <w:rPr>
          <w:rFonts w:ascii="Cambria Math" w:hAnsi="Cambria Math" w:cs="Cambria Math"/>
          <w:sz w:val="20"/>
          <w:szCs w:val="20"/>
        </w:rPr>
        <w:t>⁻</w:t>
      </w:r>
      <w:r w:rsidRPr="00572DBC">
        <w:rPr>
          <w:rFonts w:ascii="Arial" w:hAnsi="Arial" w:cs="Arial"/>
          <w:sz w:val="20"/>
          <w:szCs w:val="20"/>
        </w:rPr>
        <w:t xml:space="preserve">¹ indicates an increase in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fraction associated with C=O and C–O strain vibrations of triglycerides. In sample P4, the intensity of this band is reduced due to a decrease in the proportion of </w:t>
      </w:r>
      <w:proofErr w:type="spellStart"/>
      <w:r w:rsidRPr="00572DBC">
        <w:rPr>
          <w:rFonts w:ascii="Arial" w:hAnsi="Arial" w:cs="Arial"/>
          <w:sz w:val="20"/>
          <w:szCs w:val="20"/>
        </w:rPr>
        <w:t>oleogel</w:t>
      </w:r>
      <w:proofErr w:type="spellEnd"/>
      <w:r w:rsidRPr="00572DBC">
        <w:rPr>
          <w:rFonts w:ascii="Arial" w:hAnsi="Arial" w:cs="Arial"/>
          <w:sz w:val="20"/>
          <w:szCs w:val="20"/>
        </w:rPr>
        <w:t>. The band around 1630 cm</w:t>
      </w:r>
      <w:r w:rsidRPr="00572DBC">
        <w:rPr>
          <w:rFonts w:ascii="Cambria Math" w:hAnsi="Cambria Math" w:cs="Cambria Math"/>
          <w:sz w:val="20"/>
          <w:szCs w:val="20"/>
        </w:rPr>
        <w:t>⁻</w:t>
      </w:r>
      <w:r w:rsidRPr="00572DBC">
        <w:rPr>
          <w:rFonts w:ascii="Arial" w:hAnsi="Arial" w:cs="Arial"/>
          <w:sz w:val="20"/>
          <w:szCs w:val="20"/>
        </w:rPr>
        <w:t>¹ comes from a C=O strain of amide I (gelatin protein) or –OH of structured water and is more prominent in samples with a high hydrogel ratio (P4) indicating an increased content of gelatin hydrogel or structured water. This is in accordance with Hashemi et al, (2017), a band around 1620 cm</w:t>
      </w:r>
      <w:r w:rsidRPr="00572DBC">
        <w:rPr>
          <w:rFonts w:ascii="Cambria Math" w:hAnsi="Cambria Math" w:cs="Cambria Math"/>
          <w:sz w:val="20"/>
          <w:szCs w:val="20"/>
        </w:rPr>
        <w:t>⁻</w:t>
      </w:r>
      <w:r w:rsidRPr="00572DBC">
        <w:rPr>
          <w:rFonts w:ascii="Arial" w:hAnsi="Arial" w:cs="Arial"/>
          <w:sz w:val="20"/>
          <w:szCs w:val="20"/>
        </w:rPr>
        <w:t>¹ associating with the characteristics of gelatin proteins in the protein-polyphenol gel system. The absorption band of the region 1000-1200 cm</w:t>
      </w:r>
      <w:r w:rsidRPr="00572DBC">
        <w:rPr>
          <w:rFonts w:ascii="Cambria Math" w:hAnsi="Cambria Math" w:cs="Cambria Math"/>
          <w:sz w:val="20"/>
          <w:szCs w:val="20"/>
        </w:rPr>
        <w:t>⁻</w:t>
      </w:r>
      <w:r w:rsidRPr="00572DBC">
        <w:rPr>
          <w:rFonts w:ascii="Arial" w:hAnsi="Arial" w:cs="Arial"/>
          <w:sz w:val="20"/>
          <w:szCs w:val="20"/>
        </w:rPr>
        <w:t xml:space="preserve">¹ associated with ether or polysaccharide groups in the hydrogel material shows a decrease in intensity as the ratio of gelatin hydrogel in the sample (P4) increases. This was conveyed by </w:t>
      </w:r>
      <w:proofErr w:type="spellStart"/>
      <w:r w:rsidRPr="00572DBC">
        <w:rPr>
          <w:rFonts w:ascii="Arial" w:hAnsi="Arial" w:cs="Arial"/>
          <w:sz w:val="20"/>
          <w:szCs w:val="20"/>
        </w:rPr>
        <w:t>Cakman</w:t>
      </w:r>
      <w:proofErr w:type="spellEnd"/>
      <w:r w:rsidRPr="00572DBC">
        <w:rPr>
          <w:rFonts w:ascii="Arial" w:hAnsi="Arial" w:cs="Arial"/>
          <w:sz w:val="20"/>
          <w:szCs w:val="20"/>
        </w:rPr>
        <w:t xml:space="preserve"> and Arslan (2022), the reduction in the fraction of polysaccharides sourced from </w:t>
      </w:r>
      <w:proofErr w:type="spellStart"/>
      <w:r w:rsidRPr="00572DBC">
        <w:rPr>
          <w:rFonts w:ascii="Arial" w:hAnsi="Arial" w:cs="Arial"/>
          <w:sz w:val="20"/>
          <w:szCs w:val="20"/>
        </w:rPr>
        <w:t>oleogels</w:t>
      </w:r>
      <w:proofErr w:type="spellEnd"/>
      <w:r w:rsidRPr="00572DBC">
        <w:rPr>
          <w:rFonts w:ascii="Arial" w:hAnsi="Arial" w:cs="Arial"/>
          <w:sz w:val="20"/>
          <w:szCs w:val="20"/>
        </w:rPr>
        <w:t xml:space="preserve"> or interactions between components that influence their existence and strengthens the idea that structural changes in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are physical. </w:t>
      </w:r>
    </w:p>
    <w:p w14:paraId="1246FB78" w14:textId="77777777" w:rsidR="003957B7" w:rsidRPr="00572DBC" w:rsidRDefault="003957B7" w:rsidP="003957B7">
      <w:pPr>
        <w:pStyle w:val="ListParagraph"/>
        <w:numPr>
          <w:ilvl w:val="1"/>
          <w:numId w:val="1"/>
        </w:numPr>
        <w:spacing w:after="240"/>
        <w:jc w:val="both"/>
        <w:rPr>
          <w:rFonts w:ascii="Arial" w:hAnsi="Arial" w:cs="Arial"/>
          <w:b/>
        </w:rPr>
      </w:pPr>
      <w:proofErr w:type="spellStart"/>
      <w:r w:rsidRPr="00572DBC">
        <w:rPr>
          <w:rFonts w:ascii="Arial" w:hAnsi="Arial" w:cs="Arial"/>
          <w:b/>
        </w:rPr>
        <w:t>Microstructur</w:t>
      </w:r>
      <w:proofErr w:type="spellEnd"/>
    </w:p>
    <w:tbl>
      <w:tblPr>
        <w:tblStyle w:val="TableGrid"/>
        <w:tblpPr w:leftFromText="180" w:rightFromText="180" w:vertAnchor="text" w:horzAnchor="margin" w:tblpY="163"/>
        <w:tblW w:w="8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1975"/>
        <w:gridCol w:w="2008"/>
        <w:gridCol w:w="2031"/>
      </w:tblGrid>
      <w:tr w:rsidR="00F7567A" w:rsidRPr="00572DBC" w14:paraId="1CB50682" w14:textId="77777777" w:rsidTr="00F7567A">
        <w:trPr>
          <w:trHeight w:val="981"/>
        </w:trPr>
        <w:tc>
          <w:tcPr>
            <w:tcW w:w="2064" w:type="dxa"/>
          </w:tcPr>
          <w:p w14:paraId="4829E603" w14:textId="77777777" w:rsidR="00F7567A" w:rsidRPr="005C5E57" w:rsidRDefault="00F7567A" w:rsidP="00F7567A">
            <w:pPr>
              <w:jc w:val="both"/>
              <w:rPr>
                <w:rFonts w:ascii="Arial" w:hAnsi="Arial" w:cs="Arial"/>
                <w:sz w:val="20"/>
                <w:szCs w:val="20"/>
              </w:rPr>
            </w:pPr>
            <w:r w:rsidRPr="005C5E57">
              <w:rPr>
                <w:rFonts w:ascii="Arial" w:hAnsi="Arial" w:cs="Arial"/>
                <w:noProof/>
                <w:sz w:val="20"/>
                <w:szCs w:val="20"/>
              </w:rPr>
              <w:lastRenderedPageBreak/>
              <w:drawing>
                <wp:anchor distT="0" distB="0" distL="114300" distR="114300" simplePos="0" relativeHeight="251661312" behindDoc="0" locked="0" layoutInCell="1" allowOverlap="1" wp14:anchorId="06890CE5" wp14:editId="52C05C05">
                  <wp:simplePos x="0" y="0"/>
                  <wp:positionH relativeFrom="column">
                    <wp:posOffset>80010</wp:posOffset>
                  </wp:positionH>
                  <wp:positionV relativeFrom="paragraph">
                    <wp:posOffset>158115</wp:posOffset>
                  </wp:positionV>
                  <wp:extent cx="1019175" cy="1019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14:sizeRelH relativeFrom="margin">
                    <wp14:pctWidth>0</wp14:pctWidth>
                  </wp14:sizeRelH>
                  <wp14:sizeRelV relativeFrom="margin">
                    <wp14:pctHeight>0</wp14:pctHeight>
                  </wp14:sizeRelV>
                </wp:anchor>
              </w:drawing>
            </w:r>
            <w:r w:rsidRPr="00572DBC">
              <w:rPr>
                <w:rFonts w:ascii="Arial" w:hAnsi="Arial" w:cs="Arial"/>
                <w:sz w:val="20"/>
                <w:szCs w:val="20"/>
              </w:rPr>
              <w:t>a.</w:t>
            </w:r>
          </w:p>
        </w:tc>
        <w:tc>
          <w:tcPr>
            <w:tcW w:w="1975" w:type="dxa"/>
          </w:tcPr>
          <w:p w14:paraId="0A69DC82" w14:textId="77777777" w:rsidR="00F7567A" w:rsidRPr="005C5E57" w:rsidRDefault="00F7567A" w:rsidP="00F7567A">
            <w:pPr>
              <w:jc w:val="both"/>
              <w:rPr>
                <w:rFonts w:ascii="Arial" w:hAnsi="Arial" w:cs="Arial"/>
                <w:sz w:val="20"/>
                <w:szCs w:val="20"/>
              </w:rPr>
            </w:pPr>
            <w:r w:rsidRPr="00572DBC">
              <w:rPr>
                <w:rFonts w:ascii="Arial" w:hAnsi="Arial" w:cs="Arial"/>
                <w:sz w:val="20"/>
                <w:szCs w:val="20"/>
              </w:rPr>
              <w:t xml:space="preserve">b. </w:t>
            </w:r>
            <w:r w:rsidRPr="005C5E57">
              <w:rPr>
                <w:rFonts w:ascii="Arial" w:hAnsi="Arial" w:cs="Arial"/>
                <w:noProof/>
                <w:sz w:val="20"/>
                <w:szCs w:val="20"/>
              </w:rPr>
              <w:drawing>
                <wp:inline distT="0" distB="0" distL="0" distR="0" wp14:anchorId="389719D0" wp14:editId="17C60CEB">
                  <wp:extent cx="1033534" cy="103909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6621" cy="1062302"/>
                          </a:xfrm>
                          <a:prstGeom prst="rect">
                            <a:avLst/>
                          </a:prstGeom>
                          <a:noFill/>
                        </pic:spPr>
                      </pic:pic>
                    </a:graphicData>
                  </a:graphic>
                </wp:inline>
              </w:drawing>
            </w:r>
          </w:p>
        </w:tc>
        <w:tc>
          <w:tcPr>
            <w:tcW w:w="2008" w:type="dxa"/>
          </w:tcPr>
          <w:p w14:paraId="1A3D0B6B" w14:textId="77777777" w:rsidR="00F7567A" w:rsidRPr="005C5E57" w:rsidRDefault="00F7567A" w:rsidP="00F7567A">
            <w:pPr>
              <w:jc w:val="both"/>
              <w:rPr>
                <w:rFonts w:ascii="Arial" w:hAnsi="Arial" w:cs="Arial"/>
                <w:sz w:val="20"/>
                <w:szCs w:val="20"/>
              </w:rPr>
            </w:pPr>
            <w:r w:rsidRPr="00572DBC">
              <w:rPr>
                <w:rFonts w:ascii="Arial" w:hAnsi="Arial" w:cs="Arial"/>
                <w:sz w:val="20"/>
                <w:szCs w:val="20"/>
              </w:rPr>
              <w:t xml:space="preserve">c. </w:t>
            </w:r>
            <w:r w:rsidRPr="005C5E57">
              <w:rPr>
                <w:rFonts w:ascii="Arial" w:hAnsi="Arial" w:cs="Arial"/>
                <w:noProof/>
                <w:sz w:val="20"/>
                <w:szCs w:val="20"/>
              </w:rPr>
              <w:drawing>
                <wp:inline distT="0" distB="0" distL="0" distR="0" wp14:anchorId="23EA4A5F" wp14:editId="6E33DE6C">
                  <wp:extent cx="1052945" cy="1052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1061582" cy="1061582"/>
                          </a:xfrm>
                          <a:prstGeom prst="rect">
                            <a:avLst/>
                          </a:prstGeom>
                          <a:noFill/>
                        </pic:spPr>
                      </pic:pic>
                    </a:graphicData>
                  </a:graphic>
                </wp:inline>
              </w:drawing>
            </w:r>
          </w:p>
        </w:tc>
        <w:tc>
          <w:tcPr>
            <w:tcW w:w="2031" w:type="dxa"/>
          </w:tcPr>
          <w:p w14:paraId="32EBD772" w14:textId="77777777" w:rsidR="00F7567A" w:rsidRPr="005C5E57" w:rsidRDefault="00F7567A" w:rsidP="00F7567A">
            <w:pPr>
              <w:jc w:val="both"/>
              <w:rPr>
                <w:rFonts w:ascii="Arial" w:hAnsi="Arial" w:cs="Arial"/>
                <w:sz w:val="20"/>
                <w:szCs w:val="20"/>
              </w:rPr>
            </w:pPr>
            <w:r w:rsidRPr="00572DBC">
              <w:rPr>
                <w:rFonts w:ascii="Arial" w:hAnsi="Arial" w:cs="Arial"/>
                <w:sz w:val="20"/>
                <w:szCs w:val="20"/>
              </w:rPr>
              <w:t>d.</w:t>
            </w:r>
            <w:r w:rsidRPr="005C5E57">
              <w:rPr>
                <w:rFonts w:ascii="Arial" w:hAnsi="Arial" w:cs="Arial"/>
                <w:noProof/>
                <w:sz w:val="20"/>
                <w:szCs w:val="20"/>
              </w:rPr>
              <w:drawing>
                <wp:inline distT="0" distB="0" distL="0" distR="0" wp14:anchorId="56E8D31D" wp14:editId="3CF7DF5E">
                  <wp:extent cx="103822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V="1">
                            <a:off x="0" y="0"/>
                            <a:ext cx="1047565" cy="1047565"/>
                          </a:xfrm>
                          <a:prstGeom prst="rect">
                            <a:avLst/>
                          </a:prstGeom>
                          <a:noFill/>
                        </pic:spPr>
                      </pic:pic>
                    </a:graphicData>
                  </a:graphic>
                </wp:inline>
              </w:drawing>
            </w:r>
          </w:p>
        </w:tc>
      </w:tr>
      <w:tr w:rsidR="00F7567A" w:rsidRPr="00572DBC" w14:paraId="39B31DDC" w14:textId="77777777" w:rsidTr="00F7567A">
        <w:trPr>
          <w:trHeight w:val="981"/>
        </w:trPr>
        <w:tc>
          <w:tcPr>
            <w:tcW w:w="2064" w:type="dxa"/>
          </w:tcPr>
          <w:p w14:paraId="67C777C0" w14:textId="77777777" w:rsidR="00F7567A" w:rsidRPr="005C5E57" w:rsidRDefault="00F7567A" w:rsidP="00F7567A">
            <w:pPr>
              <w:jc w:val="both"/>
              <w:rPr>
                <w:rFonts w:ascii="Arial" w:hAnsi="Arial" w:cs="Arial"/>
                <w:sz w:val="20"/>
                <w:szCs w:val="20"/>
              </w:rPr>
            </w:pPr>
            <w:r w:rsidRPr="005C5E57">
              <w:rPr>
                <w:rFonts w:ascii="Arial" w:hAnsi="Arial" w:cs="Arial"/>
                <w:noProof/>
                <w:sz w:val="20"/>
                <w:szCs w:val="20"/>
              </w:rPr>
              <w:drawing>
                <wp:anchor distT="0" distB="0" distL="114300" distR="114300" simplePos="0" relativeHeight="251662336" behindDoc="0" locked="0" layoutInCell="1" allowOverlap="1" wp14:anchorId="0C40FF34" wp14:editId="348B3081">
                  <wp:simplePos x="0" y="0"/>
                  <wp:positionH relativeFrom="column">
                    <wp:posOffset>80010</wp:posOffset>
                  </wp:positionH>
                  <wp:positionV relativeFrom="paragraph">
                    <wp:posOffset>2540</wp:posOffset>
                  </wp:positionV>
                  <wp:extent cx="1009650" cy="10096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p>
        </w:tc>
        <w:tc>
          <w:tcPr>
            <w:tcW w:w="1975" w:type="dxa"/>
          </w:tcPr>
          <w:p w14:paraId="6A49E860" w14:textId="77777777" w:rsidR="00F7567A" w:rsidRPr="005C5E57" w:rsidRDefault="00F7567A" w:rsidP="00F7567A">
            <w:pPr>
              <w:jc w:val="both"/>
              <w:rPr>
                <w:rFonts w:ascii="Arial" w:hAnsi="Arial" w:cs="Arial"/>
                <w:sz w:val="20"/>
                <w:szCs w:val="20"/>
              </w:rPr>
            </w:pPr>
            <w:r w:rsidRPr="005C5E57">
              <w:rPr>
                <w:rFonts w:ascii="Arial" w:hAnsi="Arial" w:cs="Arial"/>
                <w:noProof/>
                <w:sz w:val="20"/>
                <w:szCs w:val="20"/>
              </w:rPr>
              <w:drawing>
                <wp:inline distT="0" distB="0" distL="0" distR="0" wp14:anchorId="5AD08AB2" wp14:editId="0D65B399">
                  <wp:extent cx="1019066" cy="103909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435" cy="1073116"/>
                          </a:xfrm>
                          <a:prstGeom prst="rect">
                            <a:avLst/>
                          </a:prstGeom>
                          <a:noFill/>
                        </pic:spPr>
                      </pic:pic>
                    </a:graphicData>
                  </a:graphic>
                </wp:inline>
              </w:drawing>
            </w:r>
          </w:p>
        </w:tc>
        <w:tc>
          <w:tcPr>
            <w:tcW w:w="2008" w:type="dxa"/>
          </w:tcPr>
          <w:p w14:paraId="30648CBC" w14:textId="77777777" w:rsidR="00F7567A" w:rsidRPr="005C5E57" w:rsidRDefault="00F7567A" w:rsidP="00F7567A">
            <w:pPr>
              <w:jc w:val="both"/>
              <w:rPr>
                <w:rFonts w:ascii="Arial" w:hAnsi="Arial" w:cs="Arial"/>
                <w:sz w:val="20"/>
                <w:szCs w:val="20"/>
              </w:rPr>
            </w:pPr>
            <w:r w:rsidRPr="005C5E57">
              <w:rPr>
                <w:rFonts w:ascii="Arial" w:hAnsi="Arial" w:cs="Arial"/>
                <w:noProof/>
                <w:sz w:val="20"/>
                <w:szCs w:val="20"/>
              </w:rPr>
              <w:drawing>
                <wp:anchor distT="0" distB="0" distL="114300" distR="114300" simplePos="0" relativeHeight="251663360" behindDoc="0" locked="0" layoutInCell="1" allowOverlap="1" wp14:anchorId="11A79B66" wp14:editId="66014EFA">
                  <wp:simplePos x="0" y="0"/>
                  <wp:positionH relativeFrom="column">
                    <wp:posOffset>29845</wp:posOffset>
                  </wp:positionH>
                  <wp:positionV relativeFrom="paragraph">
                    <wp:posOffset>12065</wp:posOffset>
                  </wp:positionV>
                  <wp:extent cx="1011381" cy="101138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1381" cy="1011381"/>
                          </a:xfrm>
                          <a:prstGeom prst="rect">
                            <a:avLst/>
                          </a:prstGeom>
                          <a:noFill/>
                        </pic:spPr>
                      </pic:pic>
                    </a:graphicData>
                  </a:graphic>
                </wp:anchor>
              </w:drawing>
            </w:r>
          </w:p>
        </w:tc>
        <w:tc>
          <w:tcPr>
            <w:tcW w:w="2031" w:type="dxa"/>
          </w:tcPr>
          <w:p w14:paraId="1C77C451" w14:textId="77777777" w:rsidR="00F7567A" w:rsidRPr="005C5E57" w:rsidRDefault="00F7567A" w:rsidP="00F7567A">
            <w:pPr>
              <w:jc w:val="both"/>
              <w:rPr>
                <w:rFonts w:ascii="Arial" w:hAnsi="Arial" w:cs="Arial"/>
                <w:sz w:val="20"/>
                <w:szCs w:val="20"/>
              </w:rPr>
            </w:pPr>
            <w:r w:rsidRPr="005C5E57">
              <w:rPr>
                <w:rFonts w:ascii="Arial" w:hAnsi="Arial" w:cs="Arial"/>
                <w:noProof/>
                <w:sz w:val="20"/>
                <w:szCs w:val="20"/>
              </w:rPr>
              <w:drawing>
                <wp:inline distT="0" distB="0" distL="0" distR="0" wp14:anchorId="5B3FAC21" wp14:editId="34BB49A0">
                  <wp:extent cx="997528" cy="9975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013958" cy="1013958"/>
                          </a:xfrm>
                          <a:prstGeom prst="rect">
                            <a:avLst/>
                          </a:prstGeom>
                          <a:noFill/>
                        </pic:spPr>
                      </pic:pic>
                    </a:graphicData>
                  </a:graphic>
                </wp:inline>
              </w:drawing>
            </w:r>
          </w:p>
        </w:tc>
      </w:tr>
    </w:tbl>
    <w:p w14:paraId="278D50DF" w14:textId="77777777" w:rsidR="00F7567A" w:rsidRDefault="00F7567A" w:rsidP="003957B7">
      <w:pPr>
        <w:ind w:left="360"/>
        <w:jc w:val="both"/>
        <w:rPr>
          <w:rFonts w:ascii="Arial" w:hAnsi="Arial" w:cs="Arial"/>
          <w:sz w:val="20"/>
          <w:szCs w:val="20"/>
        </w:rPr>
      </w:pPr>
      <w:r w:rsidRPr="00F7567A">
        <w:rPr>
          <w:rFonts w:ascii="Arial" w:hAnsi="Arial" w:cs="Arial"/>
          <w:b/>
          <w:sz w:val="20"/>
          <w:szCs w:val="20"/>
        </w:rPr>
        <w:t>Fig 2</w:t>
      </w:r>
      <w:r w:rsidRPr="00F7567A">
        <w:rPr>
          <w:rFonts w:ascii="Arial" w:hAnsi="Arial" w:cs="Arial"/>
          <w:sz w:val="20"/>
          <w:szCs w:val="20"/>
        </w:rPr>
        <w:t xml:space="preserve">. </w:t>
      </w:r>
      <w:r w:rsidRPr="00862A0D">
        <w:rPr>
          <w:rFonts w:ascii="Arial" w:hAnsi="Arial" w:cs="Arial"/>
          <w:i/>
          <w:sz w:val="20"/>
          <w:szCs w:val="20"/>
        </w:rPr>
        <w:t>Confocal Laser Scanning Microscopy</w:t>
      </w:r>
      <w:r w:rsidRPr="00F7567A">
        <w:rPr>
          <w:rFonts w:ascii="Arial" w:hAnsi="Arial" w:cs="Arial"/>
          <w:sz w:val="20"/>
          <w:szCs w:val="20"/>
        </w:rPr>
        <w:t xml:space="preserve"> (CLSM) </w:t>
      </w:r>
      <w:proofErr w:type="spellStart"/>
      <w:r w:rsidRPr="00F7567A">
        <w:rPr>
          <w:rFonts w:ascii="Arial" w:hAnsi="Arial" w:cs="Arial"/>
          <w:sz w:val="20"/>
          <w:szCs w:val="20"/>
        </w:rPr>
        <w:t>bigel</w:t>
      </w:r>
      <w:proofErr w:type="spellEnd"/>
      <w:r w:rsidRPr="00F7567A">
        <w:rPr>
          <w:rFonts w:ascii="Arial" w:hAnsi="Arial" w:cs="Arial"/>
          <w:sz w:val="20"/>
          <w:szCs w:val="20"/>
        </w:rPr>
        <w:t xml:space="preserve"> image based on beeswax and </w:t>
      </w:r>
      <w:r w:rsidRPr="00F7567A">
        <w:rPr>
          <w:rFonts w:ascii="Arial" w:hAnsi="Arial" w:cs="Arial"/>
          <w:sz w:val="20"/>
          <w:szCs w:val="20"/>
        </w:rPr>
        <w:tab/>
        <w:t xml:space="preserve">gelatin with rhodamine. The top row shows the oil phase distribution (red) and the </w:t>
      </w:r>
      <w:r w:rsidRPr="00F7567A">
        <w:rPr>
          <w:rFonts w:ascii="Arial" w:hAnsi="Arial" w:cs="Arial"/>
          <w:sz w:val="20"/>
          <w:szCs w:val="20"/>
        </w:rPr>
        <w:tab/>
        <w:t xml:space="preserve">bottom row shows the image of the gray scale. a) 80:20, b.) 70:30, c.) 60:40 and d.) </w:t>
      </w:r>
      <w:r w:rsidRPr="00F7567A">
        <w:rPr>
          <w:rFonts w:ascii="Arial" w:hAnsi="Arial" w:cs="Arial"/>
          <w:sz w:val="20"/>
          <w:szCs w:val="20"/>
        </w:rPr>
        <w:tab/>
        <w:t>50:50. Bar scale = 25 µm.</w:t>
      </w:r>
    </w:p>
    <w:p w14:paraId="73644D94" w14:textId="77777777" w:rsidR="003957B7" w:rsidRPr="00572DBC" w:rsidRDefault="003957B7" w:rsidP="003957B7">
      <w:pPr>
        <w:ind w:left="360"/>
        <w:jc w:val="both"/>
        <w:rPr>
          <w:rFonts w:ascii="Arial" w:hAnsi="Arial" w:cs="Arial"/>
          <w:sz w:val="20"/>
          <w:szCs w:val="20"/>
        </w:rPr>
      </w:pPr>
      <w:r w:rsidRPr="00572DBC">
        <w:rPr>
          <w:rFonts w:ascii="Arial" w:hAnsi="Arial" w:cs="Arial"/>
          <w:sz w:val="20"/>
          <w:szCs w:val="20"/>
        </w:rPr>
        <w:t xml:space="preserve">Based on Figure 2. </w:t>
      </w:r>
      <w:r w:rsidR="00F7567A">
        <w:rPr>
          <w:rFonts w:ascii="Arial" w:hAnsi="Arial" w:cs="Arial"/>
          <w:sz w:val="20"/>
          <w:szCs w:val="20"/>
        </w:rPr>
        <w:t>T</w:t>
      </w:r>
      <w:r w:rsidRPr="00572DBC">
        <w:rPr>
          <w:rFonts w:ascii="Arial" w:hAnsi="Arial" w:cs="Arial"/>
          <w:sz w:val="20"/>
          <w:szCs w:val="20"/>
        </w:rPr>
        <w:t xml:space="preserve">he results of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observations using </w:t>
      </w:r>
      <w:r w:rsidRPr="00572DBC">
        <w:rPr>
          <w:rFonts w:ascii="Arial" w:hAnsi="Arial" w:cs="Arial"/>
          <w:i/>
          <w:sz w:val="20"/>
          <w:szCs w:val="20"/>
        </w:rPr>
        <w:t>Confocal Laser Scanning Microscopy</w:t>
      </w:r>
      <w:r w:rsidRPr="00572DBC">
        <w:rPr>
          <w:rFonts w:ascii="Arial" w:hAnsi="Arial" w:cs="Arial"/>
          <w:sz w:val="20"/>
          <w:szCs w:val="20"/>
        </w:rPr>
        <w:t xml:space="preserve"> (CLSM) with rhodamine B staining which shows the difference in oil phase distribution in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with variations in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and hydrogel ratios. Large oil droplets were seen in samples with higher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ratios. The droplets are dispersed in an uneven manner (Figure a). As the proportion of hydrogels increases (Figure b, c, d) the droplet distribution becomes more homogeneous with smaller, evenly dispersed droplet sizes. The network structure formed becomes denser and more continuous, indicating increased interaction between phases. This pattern suggests that hydrogels play a role in stabilizing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system by forming a stable three-dimensional network that is able to limit the movement of the oil phase and inhibit phase separation. </w:t>
      </w:r>
    </w:p>
    <w:p w14:paraId="6A012D69" w14:textId="77777777" w:rsidR="003957B7" w:rsidRPr="00572DBC" w:rsidRDefault="003957B7" w:rsidP="00572DBC">
      <w:pPr>
        <w:ind w:left="360"/>
        <w:jc w:val="both"/>
        <w:rPr>
          <w:rFonts w:ascii="Arial" w:hAnsi="Arial" w:cs="Arial"/>
          <w:sz w:val="20"/>
          <w:szCs w:val="20"/>
        </w:rPr>
      </w:pPr>
      <w:r w:rsidRPr="00572DBC">
        <w:rPr>
          <w:rFonts w:ascii="Arial" w:hAnsi="Arial" w:cs="Arial"/>
          <w:sz w:val="20"/>
          <w:szCs w:val="20"/>
        </w:rPr>
        <w:t xml:space="preserve">According to research by Silva et al (2022), the protein-based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structure of chickpeas along with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glyceryl monostearate shows that increasing the proportion of hydrogels increases the homogeneity of oil droplet distribution along with the stability of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structure. This finding is in line with the research of Zhang et al. (2021), the increase in hydrogel fraction in </w:t>
      </w:r>
      <w:proofErr w:type="spellStart"/>
      <w:r w:rsidRPr="00572DBC">
        <w:rPr>
          <w:rFonts w:ascii="Arial" w:hAnsi="Arial" w:cs="Arial"/>
          <w:sz w:val="20"/>
          <w:szCs w:val="20"/>
        </w:rPr>
        <w:t>oleogel</w:t>
      </w:r>
      <w:proofErr w:type="spellEnd"/>
      <w:r w:rsidRPr="00572DBC">
        <w:rPr>
          <w:rFonts w:ascii="Arial" w:hAnsi="Arial" w:cs="Arial"/>
          <w:sz w:val="20"/>
          <w:szCs w:val="20"/>
        </w:rPr>
        <w:t xml:space="preserve"> monoglyceride-based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and </w:t>
      </w:r>
      <w:proofErr w:type="spellStart"/>
      <w:r w:rsidRPr="00572DBC">
        <w:rPr>
          <w:rFonts w:ascii="Arial" w:hAnsi="Arial" w:cs="Arial"/>
          <w:sz w:val="20"/>
          <w:szCs w:val="20"/>
        </w:rPr>
        <w:t>gellan</w:t>
      </w:r>
      <w:proofErr w:type="spellEnd"/>
      <w:r w:rsidRPr="00572DBC">
        <w:rPr>
          <w:rFonts w:ascii="Arial" w:hAnsi="Arial" w:cs="Arial"/>
          <w:sz w:val="20"/>
          <w:szCs w:val="20"/>
        </w:rPr>
        <w:t xml:space="preserve"> gum hydrogels led to a decrease in oil droplet size as well as an increase in homogeneity of distribution. Similarly, a study by Li et al. (2024), the addition of hydrogels increases the stability of the internal structure of the </w:t>
      </w:r>
      <w:proofErr w:type="spellStart"/>
      <w:r w:rsidRPr="00572DBC">
        <w:rPr>
          <w:rFonts w:ascii="Arial" w:hAnsi="Arial" w:cs="Arial"/>
          <w:sz w:val="20"/>
          <w:szCs w:val="20"/>
        </w:rPr>
        <w:t>bigel</w:t>
      </w:r>
      <w:proofErr w:type="spellEnd"/>
      <w:r w:rsidRPr="00572DBC">
        <w:rPr>
          <w:rFonts w:ascii="Arial" w:hAnsi="Arial" w:cs="Arial"/>
          <w:sz w:val="20"/>
          <w:szCs w:val="20"/>
        </w:rPr>
        <w:t xml:space="preserve"> and reduces the agglomeration of the oil phase and strengthens the interactions between the phases. In addition, these results are also consistent with the research of Kavya et al. (2024), emphasizing the importance of comparisons in determining the microstructure and stability of </w:t>
      </w:r>
      <w:proofErr w:type="spellStart"/>
      <w:r w:rsidRPr="00572DBC">
        <w:rPr>
          <w:rFonts w:ascii="Arial" w:hAnsi="Arial" w:cs="Arial"/>
          <w:sz w:val="20"/>
          <w:szCs w:val="20"/>
        </w:rPr>
        <w:t>bigels</w:t>
      </w:r>
      <w:proofErr w:type="spellEnd"/>
      <w:r w:rsidRPr="00572DBC">
        <w:rPr>
          <w:rFonts w:ascii="Arial" w:hAnsi="Arial" w:cs="Arial"/>
          <w:sz w:val="20"/>
          <w:szCs w:val="20"/>
        </w:rPr>
        <w:t xml:space="preserve">. </w:t>
      </w:r>
    </w:p>
    <w:p w14:paraId="4A37FEB8" w14:textId="77777777" w:rsidR="003957B7" w:rsidRPr="005C5E57" w:rsidRDefault="003957B7" w:rsidP="003957B7">
      <w:pPr>
        <w:spacing w:after="0" w:line="240" w:lineRule="auto"/>
        <w:jc w:val="both"/>
        <w:rPr>
          <w:rFonts w:ascii="Arial" w:eastAsia="Times New Roman" w:hAnsi="Arial" w:cs="Arial"/>
          <w:sz w:val="20"/>
          <w:szCs w:val="20"/>
        </w:rPr>
        <w:sectPr w:rsidR="003957B7" w:rsidRPr="005C5E57" w:rsidSect="00B768FE">
          <w:type w:val="continuous"/>
          <w:pgSz w:w="12240" w:h="15840"/>
          <w:pgMar w:top="1440" w:right="2016" w:bottom="2016" w:left="2016" w:header="720" w:footer="1123" w:gutter="0"/>
          <w:cols w:space="180"/>
          <w:docGrid w:linePitch="272"/>
        </w:sectPr>
      </w:pPr>
    </w:p>
    <w:p w14:paraId="6133B00F" w14:textId="77777777" w:rsidR="003957B7" w:rsidRPr="005C5E57" w:rsidRDefault="003957B7" w:rsidP="003957B7">
      <w:pPr>
        <w:spacing w:after="0" w:line="240" w:lineRule="auto"/>
        <w:jc w:val="both"/>
        <w:rPr>
          <w:rFonts w:ascii="Arial" w:eastAsia="Times New Roman" w:hAnsi="Arial" w:cs="Arial"/>
          <w:sz w:val="20"/>
          <w:szCs w:val="20"/>
        </w:rPr>
      </w:pPr>
    </w:p>
    <w:p w14:paraId="7A47911A" w14:textId="77777777" w:rsidR="003957B7" w:rsidRPr="005C5E57" w:rsidRDefault="003957B7" w:rsidP="003957B7">
      <w:pPr>
        <w:keepNext/>
        <w:spacing w:after="0" w:line="240" w:lineRule="auto"/>
        <w:jc w:val="both"/>
        <w:rPr>
          <w:rFonts w:ascii="Arial" w:eastAsia="Times New Roman" w:hAnsi="Arial" w:cs="Arial"/>
          <w:b/>
          <w:caps/>
          <w:szCs w:val="20"/>
        </w:rPr>
      </w:pPr>
      <w:r w:rsidRPr="005C5E57">
        <w:rPr>
          <w:rFonts w:ascii="Arial" w:eastAsia="Times New Roman" w:hAnsi="Arial" w:cs="Arial"/>
          <w:b/>
          <w:caps/>
          <w:szCs w:val="20"/>
        </w:rPr>
        <w:t>4. Conclusion</w:t>
      </w:r>
    </w:p>
    <w:p w14:paraId="269679EC" w14:textId="77777777" w:rsidR="003957B7" w:rsidRPr="005C5E57" w:rsidRDefault="003957B7" w:rsidP="003957B7">
      <w:pPr>
        <w:keepNext/>
        <w:spacing w:after="0" w:line="240" w:lineRule="auto"/>
        <w:jc w:val="both"/>
        <w:rPr>
          <w:rFonts w:ascii="Arial" w:eastAsia="Times New Roman" w:hAnsi="Arial" w:cs="Arial"/>
          <w:b/>
          <w:caps/>
          <w:szCs w:val="20"/>
        </w:rPr>
      </w:pPr>
    </w:p>
    <w:p w14:paraId="75D026BA" w14:textId="77777777" w:rsidR="003957B7" w:rsidRPr="005C5E57" w:rsidRDefault="003957B7" w:rsidP="003957B7">
      <w:pPr>
        <w:spacing w:line="240" w:lineRule="auto"/>
        <w:jc w:val="both"/>
        <w:rPr>
          <w:rFonts w:ascii="Arial" w:eastAsia="Times New Roman" w:hAnsi="Arial" w:cs="Arial"/>
          <w:sz w:val="20"/>
          <w:szCs w:val="20"/>
        </w:rPr>
      </w:pPr>
      <w:r w:rsidRPr="00572DBC">
        <w:rPr>
          <w:rFonts w:ascii="Arial" w:eastAsia="Times New Roman" w:hAnsi="Arial" w:cs="Arial"/>
          <w:sz w:val="20"/>
          <w:szCs w:val="20"/>
        </w:rPr>
        <w:t xml:space="preserve">The results showed that beeswax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and corn oil based </w:t>
      </w:r>
      <w:proofErr w:type="spellStart"/>
      <w:r w:rsidRPr="00572DBC">
        <w:rPr>
          <w:rFonts w:ascii="Arial" w:eastAsia="Times New Roman" w:hAnsi="Arial" w:cs="Arial"/>
          <w:sz w:val="20"/>
          <w:szCs w:val="20"/>
        </w:rPr>
        <w:t>bigels</w:t>
      </w:r>
      <w:proofErr w:type="spellEnd"/>
      <w:r w:rsidRPr="00572DBC">
        <w:rPr>
          <w:rFonts w:ascii="Arial" w:eastAsia="Times New Roman" w:hAnsi="Arial" w:cs="Arial"/>
          <w:sz w:val="20"/>
          <w:szCs w:val="20"/>
        </w:rPr>
        <w:t xml:space="preserve"> with gelatin hydrogel exerted a very significant effect on moisture content, fat content, texture, weight loss and antioxidant activity, while not providing significant differences on OBC and color. A good ratio of </w:t>
      </w:r>
      <w:proofErr w:type="spellStart"/>
      <w:r w:rsidRPr="00572DBC">
        <w:rPr>
          <w:rFonts w:ascii="Arial" w:eastAsia="Times New Roman" w:hAnsi="Arial" w:cs="Arial"/>
          <w:sz w:val="20"/>
          <w:szCs w:val="20"/>
        </w:rPr>
        <w:t>oleogel</w:t>
      </w:r>
      <w:proofErr w:type="spellEnd"/>
      <w:r w:rsidRPr="00572DBC">
        <w:rPr>
          <w:rFonts w:ascii="Arial" w:eastAsia="Times New Roman" w:hAnsi="Arial" w:cs="Arial"/>
          <w:sz w:val="20"/>
          <w:szCs w:val="20"/>
        </w:rPr>
        <w:t xml:space="preserve"> to hydrogel was present in the P1 treatment at a ratio of 80:20.</w:t>
      </w:r>
    </w:p>
    <w:p w14:paraId="75D4135E" w14:textId="77777777" w:rsidR="00F7567A" w:rsidRDefault="00F7567A" w:rsidP="003957B7">
      <w:pPr>
        <w:keepNext/>
        <w:spacing w:after="0" w:line="240" w:lineRule="auto"/>
        <w:jc w:val="both"/>
        <w:rPr>
          <w:rFonts w:ascii="Arial" w:eastAsia="Times New Roman" w:hAnsi="Arial" w:cs="Arial"/>
          <w:sz w:val="20"/>
          <w:szCs w:val="20"/>
        </w:rPr>
      </w:pPr>
    </w:p>
    <w:p w14:paraId="625721D4" w14:textId="77777777" w:rsidR="00B768FE" w:rsidRPr="00F7567A" w:rsidRDefault="00B768FE" w:rsidP="003957B7">
      <w:pPr>
        <w:keepNext/>
        <w:spacing w:after="0" w:line="240" w:lineRule="auto"/>
        <w:jc w:val="both"/>
        <w:rPr>
          <w:rFonts w:ascii="Arial" w:eastAsia="Times New Roman" w:hAnsi="Arial" w:cs="Arial"/>
          <w:sz w:val="20"/>
          <w:szCs w:val="20"/>
        </w:rPr>
      </w:pPr>
    </w:p>
    <w:p w14:paraId="63F7FDA6" w14:textId="77777777" w:rsidR="003957B7" w:rsidRPr="005C5E57" w:rsidRDefault="003957B7" w:rsidP="003957B7">
      <w:pPr>
        <w:keepNext/>
        <w:spacing w:after="0" w:line="240" w:lineRule="auto"/>
        <w:jc w:val="both"/>
        <w:rPr>
          <w:rFonts w:ascii="Arial" w:eastAsia="Times New Roman" w:hAnsi="Arial" w:cs="Arial"/>
          <w:b/>
          <w:caps/>
          <w:szCs w:val="20"/>
        </w:rPr>
      </w:pPr>
      <w:r w:rsidRPr="005C5E57">
        <w:rPr>
          <w:rFonts w:ascii="Arial" w:eastAsia="Times New Roman" w:hAnsi="Arial" w:cs="Arial"/>
          <w:b/>
          <w:caps/>
          <w:szCs w:val="20"/>
        </w:rPr>
        <w:t>References</w:t>
      </w:r>
    </w:p>
    <w:p w14:paraId="3BCAB6ED" w14:textId="77777777" w:rsidR="003957B7" w:rsidRPr="005C5E57" w:rsidRDefault="003957B7" w:rsidP="003957B7">
      <w:pPr>
        <w:keepNext/>
        <w:spacing w:after="0" w:line="240" w:lineRule="auto"/>
        <w:jc w:val="both"/>
        <w:rPr>
          <w:rFonts w:ascii="Arial" w:eastAsia="Times New Roman" w:hAnsi="Arial" w:cs="Arial"/>
          <w:b/>
          <w:caps/>
          <w:szCs w:val="20"/>
        </w:rPr>
      </w:pPr>
    </w:p>
    <w:p w14:paraId="6AD871F8"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rPr>
        <w:t xml:space="preserve">Cakmak-Arslan, G. (2022). </w:t>
      </w:r>
      <w:r w:rsidRPr="005C5E57">
        <w:rPr>
          <w:rFonts w:ascii="Arial" w:hAnsi="Arial" w:cs="Arial"/>
          <w:i/>
          <w:iCs/>
          <w:sz w:val="20"/>
          <w:szCs w:val="20"/>
        </w:rPr>
        <w:t xml:space="preserve">Characterization of Triglyceride-Based </w:t>
      </w:r>
      <w:proofErr w:type="spellStart"/>
      <w:r w:rsidRPr="005C5E57">
        <w:rPr>
          <w:rFonts w:ascii="Arial" w:hAnsi="Arial" w:cs="Arial"/>
          <w:i/>
          <w:iCs/>
          <w:sz w:val="20"/>
          <w:szCs w:val="20"/>
        </w:rPr>
        <w:t>Oleogels</w:t>
      </w:r>
      <w:proofErr w:type="spellEnd"/>
      <w:r w:rsidRPr="005C5E57">
        <w:rPr>
          <w:rFonts w:ascii="Arial" w:hAnsi="Arial" w:cs="Arial"/>
          <w:i/>
          <w:iCs/>
          <w:sz w:val="20"/>
          <w:szCs w:val="20"/>
        </w:rPr>
        <w:t xml:space="preserve"> Using Spectroscopic </w:t>
      </w:r>
      <w:r w:rsidRPr="005C5E57">
        <w:rPr>
          <w:rFonts w:ascii="Arial" w:hAnsi="Arial" w:cs="Arial"/>
          <w:i/>
          <w:iCs/>
          <w:sz w:val="20"/>
          <w:szCs w:val="20"/>
        </w:rPr>
        <w:tab/>
        <w:t>and Thermal Analysis Techniques</w:t>
      </w:r>
      <w:r w:rsidRPr="005C5E57">
        <w:rPr>
          <w:rFonts w:ascii="Arial" w:hAnsi="Arial" w:cs="Arial"/>
          <w:sz w:val="20"/>
          <w:szCs w:val="20"/>
        </w:rPr>
        <w:t xml:space="preserve">. </w:t>
      </w:r>
      <w:r w:rsidRPr="005C5E57">
        <w:rPr>
          <w:rFonts w:ascii="Arial" w:hAnsi="Arial" w:cs="Arial"/>
          <w:i/>
          <w:sz w:val="20"/>
          <w:szCs w:val="20"/>
        </w:rPr>
        <w:t xml:space="preserve">Journal of Food Science and </w:t>
      </w:r>
      <w:r w:rsidRPr="005C5E57">
        <w:rPr>
          <w:rFonts w:ascii="Arial" w:hAnsi="Arial" w:cs="Arial"/>
          <w:i/>
          <w:sz w:val="20"/>
          <w:szCs w:val="20"/>
        </w:rPr>
        <w:tab/>
        <w:t>Technology</w:t>
      </w:r>
      <w:r w:rsidRPr="005C5E57">
        <w:rPr>
          <w:rFonts w:ascii="Arial" w:hAnsi="Arial" w:cs="Arial"/>
          <w:sz w:val="20"/>
          <w:szCs w:val="20"/>
        </w:rPr>
        <w:t xml:space="preserve">, 59(5), 2134–2142. </w:t>
      </w:r>
      <w:hyperlink r:id="rId22" w:history="1">
        <w:r w:rsidRPr="005C5E57">
          <w:rPr>
            <w:rFonts w:ascii="Arial" w:hAnsi="Arial" w:cs="Arial"/>
            <w:sz w:val="20"/>
            <w:szCs w:val="20"/>
            <w:u w:val="single"/>
          </w:rPr>
          <w:t>https://doi.org/10.1007/s13197-021-05233-7</w:t>
        </w:r>
      </w:hyperlink>
      <w:r w:rsidRPr="005C5E57">
        <w:rPr>
          <w:rFonts w:ascii="Arial" w:hAnsi="Arial" w:cs="Arial"/>
          <w:sz w:val="20"/>
          <w:szCs w:val="20"/>
        </w:rPr>
        <w:t xml:space="preserve"> </w:t>
      </w:r>
    </w:p>
    <w:p w14:paraId="0C992910"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rPr>
        <w:t xml:space="preserve">Chen, J.P., Leu, Y.L., Fang, C.L., Chen, C.H. &amp; Fang, J.Y. </w:t>
      </w:r>
      <w:r w:rsidRPr="00572DBC">
        <w:rPr>
          <w:rFonts w:ascii="Arial" w:hAnsi="Arial" w:cs="Arial"/>
          <w:sz w:val="20"/>
          <w:szCs w:val="20"/>
        </w:rPr>
        <w:t>(</w:t>
      </w:r>
      <w:r w:rsidRPr="005C5E57">
        <w:rPr>
          <w:rFonts w:ascii="Arial" w:hAnsi="Arial" w:cs="Arial"/>
          <w:sz w:val="20"/>
          <w:szCs w:val="20"/>
        </w:rPr>
        <w:t>2011</w:t>
      </w:r>
      <w:r w:rsidRPr="00572DBC">
        <w:rPr>
          <w:rFonts w:ascii="Arial" w:hAnsi="Arial" w:cs="Arial"/>
          <w:sz w:val="20"/>
          <w:szCs w:val="20"/>
        </w:rPr>
        <w:t>)</w:t>
      </w:r>
      <w:r w:rsidRPr="005C5E57">
        <w:rPr>
          <w:rFonts w:ascii="Arial" w:hAnsi="Arial" w:cs="Arial"/>
          <w:sz w:val="20"/>
          <w:szCs w:val="20"/>
        </w:rPr>
        <w:t xml:space="preserve">. Thermosensitive Hydrogels Composed of Hyaluronic Acid and Gelatin as Carriers for The Intravesical </w:t>
      </w:r>
      <w:r w:rsidRPr="005C5E57">
        <w:rPr>
          <w:rFonts w:ascii="Arial" w:hAnsi="Arial" w:cs="Arial"/>
          <w:sz w:val="20"/>
          <w:szCs w:val="20"/>
        </w:rPr>
        <w:tab/>
        <w:t xml:space="preserve">Administration </w:t>
      </w:r>
      <w:r w:rsidRPr="005C5E57">
        <w:rPr>
          <w:rFonts w:ascii="Arial" w:hAnsi="Arial" w:cs="Arial"/>
          <w:sz w:val="20"/>
          <w:szCs w:val="20"/>
        </w:rPr>
        <w:tab/>
        <w:t xml:space="preserve">of Cisplatin. J. Pharm. </w:t>
      </w:r>
      <w:r w:rsidRPr="005C5E57">
        <w:rPr>
          <w:rFonts w:ascii="Arial" w:hAnsi="Arial" w:cs="Arial"/>
          <w:i/>
          <w:sz w:val="20"/>
          <w:szCs w:val="20"/>
        </w:rPr>
        <w:t>Sci</w:t>
      </w:r>
      <w:r w:rsidRPr="005C5E57">
        <w:rPr>
          <w:rFonts w:ascii="Arial" w:hAnsi="Arial" w:cs="Arial"/>
          <w:sz w:val="20"/>
          <w:szCs w:val="20"/>
        </w:rPr>
        <w:t>, 100(2), 655-666</w:t>
      </w:r>
      <w:r w:rsidRPr="00572DBC">
        <w:rPr>
          <w:rFonts w:ascii="Arial" w:hAnsi="Arial" w:cs="Arial"/>
          <w:sz w:val="20"/>
          <w:szCs w:val="20"/>
        </w:rPr>
        <w:t xml:space="preserve">. </w:t>
      </w:r>
      <w:hyperlink r:id="rId23" w:history="1">
        <w:r w:rsidRPr="00572DBC">
          <w:rPr>
            <w:rStyle w:val="Hyperlink"/>
            <w:rFonts w:ascii="Arial" w:hAnsi="Arial" w:cs="Arial"/>
            <w:color w:val="auto"/>
            <w:sz w:val="20"/>
            <w:szCs w:val="20"/>
          </w:rPr>
          <w:t>https://doi.org/10.1002/jps.22309</w:t>
        </w:r>
      </w:hyperlink>
      <w:r w:rsidRPr="00572DBC">
        <w:rPr>
          <w:rFonts w:ascii="Arial" w:hAnsi="Arial" w:cs="Arial"/>
          <w:sz w:val="20"/>
          <w:szCs w:val="20"/>
        </w:rPr>
        <w:t xml:space="preserve"> </w:t>
      </w:r>
    </w:p>
    <w:p w14:paraId="6AC908ED" w14:textId="77777777" w:rsidR="003957B7" w:rsidRPr="005C5E57" w:rsidRDefault="003957B7" w:rsidP="003957B7">
      <w:pPr>
        <w:ind w:left="720" w:hanging="720"/>
        <w:jc w:val="both"/>
        <w:rPr>
          <w:rFonts w:ascii="Arial" w:hAnsi="Arial" w:cs="Arial"/>
          <w:sz w:val="20"/>
          <w:szCs w:val="20"/>
        </w:rPr>
      </w:pPr>
      <w:proofErr w:type="spellStart"/>
      <w:r w:rsidRPr="005C5E57">
        <w:rPr>
          <w:rFonts w:ascii="Arial" w:hAnsi="Arial" w:cs="Arial"/>
          <w:sz w:val="20"/>
          <w:szCs w:val="20"/>
        </w:rPr>
        <w:t>Dwiputra</w:t>
      </w:r>
      <w:proofErr w:type="spellEnd"/>
      <w:r w:rsidRPr="005C5E57">
        <w:rPr>
          <w:rFonts w:ascii="Arial" w:hAnsi="Arial" w:cs="Arial"/>
          <w:sz w:val="20"/>
          <w:szCs w:val="20"/>
        </w:rPr>
        <w:t xml:space="preserve">, D., Jagat, A. N., Wulandari, F. K., Prakarsa, A. S., </w:t>
      </w:r>
      <w:proofErr w:type="spellStart"/>
      <w:r w:rsidRPr="005C5E57">
        <w:rPr>
          <w:rFonts w:ascii="Arial" w:hAnsi="Arial" w:cs="Arial"/>
          <w:sz w:val="20"/>
          <w:szCs w:val="20"/>
        </w:rPr>
        <w:t>Puspaningrum</w:t>
      </w:r>
      <w:proofErr w:type="spellEnd"/>
      <w:r w:rsidRPr="005C5E57">
        <w:rPr>
          <w:rFonts w:ascii="Arial" w:hAnsi="Arial" w:cs="Arial"/>
          <w:sz w:val="20"/>
          <w:szCs w:val="20"/>
        </w:rPr>
        <w:t xml:space="preserve">, D. A. &amp; Islamiyah, F. </w:t>
      </w:r>
      <w:r w:rsidRPr="00572DBC">
        <w:rPr>
          <w:rFonts w:ascii="Arial" w:hAnsi="Arial" w:cs="Arial"/>
          <w:sz w:val="20"/>
          <w:szCs w:val="20"/>
        </w:rPr>
        <w:t>(</w:t>
      </w:r>
      <w:r w:rsidRPr="005C5E57">
        <w:rPr>
          <w:rFonts w:ascii="Arial" w:hAnsi="Arial" w:cs="Arial"/>
          <w:sz w:val="20"/>
          <w:szCs w:val="20"/>
        </w:rPr>
        <w:t>2015</w:t>
      </w:r>
      <w:r w:rsidRPr="00572DBC">
        <w:rPr>
          <w:rFonts w:ascii="Arial" w:hAnsi="Arial" w:cs="Arial"/>
          <w:sz w:val="20"/>
          <w:szCs w:val="20"/>
        </w:rPr>
        <w:t>)</w:t>
      </w:r>
      <w:r w:rsidRPr="005C5E57">
        <w:rPr>
          <w:rFonts w:ascii="Arial" w:hAnsi="Arial" w:cs="Arial"/>
          <w:sz w:val="20"/>
          <w:szCs w:val="20"/>
        </w:rPr>
        <w:t xml:space="preserve">. </w:t>
      </w:r>
      <w:proofErr w:type="spellStart"/>
      <w:r w:rsidRPr="005C5E57">
        <w:rPr>
          <w:rFonts w:ascii="Arial" w:hAnsi="Arial" w:cs="Arial"/>
          <w:sz w:val="20"/>
          <w:szCs w:val="20"/>
        </w:rPr>
        <w:t>Minyak</w:t>
      </w:r>
      <w:proofErr w:type="spellEnd"/>
      <w:r w:rsidRPr="005C5E57">
        <w:rPr>
          <w:rFonts w:ascii="Arial" w:hAnsi="Arial" w:cs="Arial"/>
          <w:sz w:val="20"/>
          <w:szCs w:val="20"/>
        </w:rPr>
        <w:t xml:space="preserve"> </w:t>
      </w:r>
      <w:proofErr w:type="spellStart"/>
      <w:r w:rsidRPr="005C5E57">
        <w:rPr>
          <w:rFonts w:ascii="Arial" w:hAnsi="Arial" w:cs="Arial"/>
          <w:sz w:val="20"/>
          <w:szCs w:val="20"/>
        </w:rPr>
        <w:t>Jagung</w:t>
      </w:r>
      <w:proofErr w:type="spellEnd"/>
      <w:r w:rsidRPr="005C5E57">
        <w:rPr>
          <w:rFonts w:ascii="Arial" w:hAnsi="Arial" w:cs="Arial"/>
          <w:sz w:val="20"/>
          <w:szCs w:val="20"/>
        </w:rPr>
        <w:t xml:space="preserve"> </w:t>
      </w:r>
      <w:proofErr w:type="spellStart"/>
      <w:r w:rsidRPr="005C5E57">
        <w:rPr>
          <w:rFonts w:ascii="Arial" w:hAnsi="Arial" w:cs="Arial"/>
          <w:sz w:val="20"/>
          <w:szCs w:val="20"/>
        </w:rPr>
        <w:t>Alternatif</w:t>
      </w:r>
      <w:proofErr w:type="spellEnd"/>
      <w:r w:rsidRPr="005C5E57">
        <w:rPr>
          <w:rFonts w:ascii="Arial" w:hAnsi="Arial" w:cs="Arial"/>
          <w:sz w:val="20"/>
          <w:szCs w:val="20"/>
        </w:rPr>
        <w:t xml:space="preserve"> </w:t>
      </w:r>
      <w:proofErr w:type="spellStart"/>
      <w:r w:rsidRPr="005C5E57">
        <w:rPr>
          <w:rFonts w:ascii="Arial" w:hAnsi="Arial" w:cs="Arial"/>
          <w:sz w:val="20"/>
          <w:szCs w:val="20"/>
        </w:rPr>
        <w:t>Pengganti</w:t>
      </w:r>
      <w:proofErr w:type="spellEnd"/>
      <w:r w:rsidRPr="005C5E57">
        <w:rPr>
          <w:rFonts w:ascii="Arial" w:hAnsi="Arial" w:cs="Arial"/>
          <w:sz w:val="20"/>
          <w:szCs w:val="20"/>
        </w:rPr>
        <w:t xml:space="preserve"> </w:t>
      </w:r>
      <w:proofErr w:type="spellStart"/>
      <w:r w:rsidRPr="005C5E57">
        <w:rPr>
          <w:rFonts w:ascii="Arial" w:hAnsi="Arial" w:cs="Arial"/>
          <w:sz w:val="20"/>
          <w:szCs w:val="20"/>
        </w:rPr>
        <w:t>Minyak</w:t>
      </w:r>
      <w:proofErr w:type="spellEnd"/>
      <w:r w:rsidRPr="005C5E57">
        <w:rPr>
          <w:rFonts w:ascii="Arial" w:hAnsi="Arial" w:cs="Arial"/>
          <w:sz w:val="20"/>
          <w:szCs w:val="20"/>
        </w:rPr>
        <w:t xml:space="preserve"> yang Sehat. </w:t>
      </w:r>
      <w:proofErr w:type="spellStart"/>
      <w:r w:rsidRPr="005C5E57">
        <w:rPr>
          <w:rFonts w:ascii="Arial" w:hAnsi="Arial" w:cs="Arial"/>
          <w:i/>
          <w:sz w:val="20"/>
          <w:szCs w:val="20"/>
        </w:rPr>
        <w:t>Jurnal</w:t>
      </w:r>
      <w:proofErr w:type="spellEnd"/>
      <w:r w:rsidRPr="005C5E57">
        <w:rPr>
          <w:rFonts w:ascii="Arial" w:hAnsi="Arial" w:cs="Arial"/>
          <w:i/>
          <w:sz w:val="20"/>
          <w:szCs w:val="20"/>
        </w:rPr>
        <w:t xml:space="preserve"> </w:t>
      </w:r>
      <w:proofErr w:type="spellStart"/>
      <w:r w:rsidRPr="005C5E57">
        <w:rPr>
          <w:rFonts w:ascii="Arial" w:hAnsi="Arial" w:cs="Arial"/>
          <w:i/>
          <w:sz w:val="20"/>
          <w:szCs w:val="20"/>
        </w:rPr>
        <w:t>Aplikasi</w:t>
      </w:r>
      <w:proofErr w:type="spellEnd"/>
      <w:r w:rsidRPr="005C5E57">
        <w:rPr>
          <w:rFonts w:ascii="Arial" w:hAnsi="Arial" w:cs="Arial"/>
          <w:i/>
          <w:sz w:val="20"/>
          <w:szCs w:val="20"/>
        </w:rPr>
        <w:t xml:space="preserve"> </w:t>
      </w:r>
      <w:proofErr w:type="spellStart"/>
      <w:r w:rsidRPr="005C5E57">
        <w:rPr>
          <w:rFonts w:ascii="Arial" w:hAnsi="Arial" w:cs="Arial"/>
          <w:i/>
          <w:sz w:val="20"/>
          <w:szCs w:val="20"/>
        </w:rPr>
        <w:t>Teknologi</w:t>
      </w:r>
      <w:proofErr w:type="spellEnd"/>
      <w:r w:rsidRPr="005C5E57">
        <w:rPr>
          <w:rFonts w:ascii="Arial" w:hAnsi="Arial" w:cs="Arial"/>
          <w:i/>
          <w:sz w:val="20"/>
          <w:szCs w:val="20"/>
        </w:rPr>
        <w:t xml:space="preserve"> Pangan</w:t>
      </w:r>
      <w:r w:rsidRPr="005C5E57">
        <w:rPr>
          <w:rFonts w:ascii="Arial" w:hAnsi="Arial" w:cs="Arial"/>
          <w:sz w:val="20"/>
          <w:szCs w:val="20"/>
        </w:rPr>
        <w:t>, 4(2).</w:t>
      </w:r>
    </w:p>
    <w:p w14:paraId="3D685C31"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rPr>
        <w:t xml:space="preserve">Firdaus, M.A. &amp; Sunita, M. </w:t>
      </w:r>
      <w:r w:rsidRPr="00572DBC">
        <w:rPr>
          <w:rFonts w:ascii="Arial" w:hAnsi="Arial" w:cs="Arial"/>
          <w:sz w:val="20"/>
          <w:szCs w:val="20"/>
        </w:rPr>
        <w:t>(</w:t>
      </w:r>
      <w:r w:rsidRPr="005C5E57">
        <w:rPr>
          <w:rFonts w:ascii="Arial" w:hAnsi="Arial" w:cs="Arial"/>
          <w:sz w:val="20"/>
          <w:szCs w:val="20"/>
        </w:rPr>
        <w:t>2024</w:t>
      </w:r>
      <w:r w:rsidRPr="00572DBC">
        <w:rPr>
          <w:rFonts w:ascii="Arial" w:hAnsi="Arial" w:cs="Arial"/>
          <w:sz w:val="20"/>
          <w:szCs w:val="20"/>
        </w:rPr>
        <w:t>)</w:t>
      </w:r>
      <w:r w:rsidRPr="005C5E57">
        <w:rPr>
          <w:rFonts w:ascii="Arial" w:hAnsi="Arial" w:cs="Arial"/>
          <w:sz w:val="20"/>
          <w:szCs w:val="20"/>
        </w:rPr>
        <w:t xml:space="preserve">. characterization of Coconut Oil-Beeswax/Gelatin Based Food-Grade </w:t>
      </w:r>
      <w:proofErr w:type="spellStart"/>
      <w:r w:rsidRPr="005C5E57">
        <w:rPr>
          <w:rFonts w:ascii="Arial" w:hAnsi="Arial" w:cs="Arial"/>
          <w:sz w:val="20"/>
          <w:szCs w:val="20"/>
        </w:rPr>
        <w:t>Bigel</w:t>
      </w:r>
      <w:proofErr w:type="spellEnd"/>
      <w:r w:rsidRPr="005C5E57">
        <w:rPr>
          <w:rFonts w:ascii="Arial" w:hAnsi="Arial" w:cs="Arial"/>
          <w:sz w:val="20"/>
          <w:szCs w:val="20"/>
        </w:rPr>
        <w:t xml:space="preserve"> and Its Application in Muffin as Trans-Fat Replacement. </w:t>
      </w:r>
      <w:r w:rsidRPr="005C5E57">
        <w:rPr>
          <w:rFonts w:ascii="Arial" w:hAnsi="Arial" w:cs="Arial"/>
          <w:i/>
          <w:sz w:val="20"/>
          <w:szCs w:val="20"/>
        </w:rPr>
        <w:t>Journal of Chemical Health Risks</w:t>
      </w:r>
      <w:r w:rsidRPr="005C5E57">
        <w:rPr>
          <w:rFonts w:ascii="Arial" w:hAnsi="Arial" w:cs="Arial"/>
          <w:sz w:val="20"/>
          <w:szCs w:val="20"/>
        </w:rPr>
        <w:t xml:space="preserve">, 14(1), 512-521. </w:t>
      </w:r>
      <w:hyperlink r:id="rId24" w:history="1">
        <w:r w:rsidRPr="00572DBC">
          <w:rPr>
            <w:rFonts w:ascii="Arial" w:hAnsi="Arial" w:cs="Arial"/>
            <w:sz w:val="20"/>
            <w:szCs w:val="20"/>
            <w:u w:val="single"/>
          </w:rPr>
          <w:t>https://doi.org/10.22034/jchr.2024.1988999.1234</w:t>
        </w:r>
      </w:hyperlink>
      <w:r w:rsidRPr="005C5E57">
        <w:rPr>
          <w:rFonts w:ascii="Arial" w:hAnsi="Arial" w:cs="Arial"/>
          <w:sz w:val="20"/>
          <w:szCs w:val="20"/>
        </w:rPr>
        <w:t xml:space="preserve"> </w:t>
      </w:r>
    </w:p>
    <w:p w14:paraId="67A59373" w14:textId="77777777" w:rsidR="003957B7" w:rsidRPr="005C5E57" w:rsidRDefault="003957B7" w:rsidP="003957B7">
      <w:pPr>
        <w:ind w:left="720" w:hanging="720"/>
        <w:jc w:val="both"/>
        <w:rPr>
          <w:rFonts w:ascii="Arial" w:hAnsi="Arial" w:cs="Arial"/>
          <w:sz w:val="20"/>
          <w:szCs w:val="20"/>
        </w:rPr>
      </w:pPr>
      <w:proofErr w:type="spellStart"/>
      <w:r w:rsidRPr="005C5E57">
        <w:rPr>
          <w:rFonts w:ascii="Arial" w:hAnsi="Arial" w:cs="Arial"/>
          <w:sz w:val="20"/>
          <w:szCs w:val="20"/>
        </w:rPr>
        <w:t>Flöter</w:t>
      </w:r>
      <w:proofErr w:type="spellEnd"/>
      <w:r w:rsidRPr="005C5E57">
        <w:rPr>
          <w:rFonts w:ascii="Arial" w:hAnsi="Arial" w:cs="Arial"/>
          <w:sz w:val="20"/>
          <w:szCs w:val="20"/>
        </w:rPr>
        <w:t xml:space="preserve">, E., Wettlaufer, T., Conty, V., &amp; Scharfe, M. 2021. </w:t>
      </w:r>
      <w:proofErr w:type="spellStart"/>
      <w:r w:rsidRPr="005C5E57">
        <w:rPr>
          <w:rFonts w:ascii="Arial" w:hAnsi="Arial" w:cs="Arial"/>
          <w:sz w:val="20"/>
          <w:szCs w:val="20"/>
        </w:rPr>
        <w:t>Oleogels</w:t>
      </w:r>
      <w:proofErr w:type="spellEnd"/>
      <w:r w:rsidRPr="005C5E57">
        <w:rPr>
          <w:rFonts w:ascii="Arial" w:hAnsi="Arial" w:cs="Arial"/>
          <w:sz w:val="20"/>
          <w:szCs w:val="20"/>
        </w:rPr>
        <w:t xml:space="preserve"> Their Applicability and </w:t>
      </w:r>
      <w:r w:rsidRPr="005C5E57">
        <w:rPr>
          <w:rFonts w:ascii="Arial" w:hAnsi="Arial" w:cs="Arial"/>
          <w:sz w:val="20"/>
          <w:szCs w:val="20"/>
        </w:rPr>
        <w:tab/>
        <w:t xml:space="preserve">Methods of Characterization. </w:t>
      </w:r>
      <w:r w:rsidRPr="005C5E57">
        <w:rPr>
          <w:rFonts w:ascii="Arial" w:hAnsi="Arial" w:cs="Arial"/>
          <w:i/>
          <w:sz w:val="20"/>
          <w:szCs w:val="20"/>
        </w:rPr>
        <w:t>Molecules</w:t>
      </w:r>
      <w:r w:rsidRPr="005C5E57">
        <w:rPr>
          <w:rFonts w:ascii="Arial" w:hAnsi="Arial" w:cs="Arial"/>
          <w:sz w:val="20"/>
          <w:szCs w:val="20"/>
        </w:rPr>
        <w:t xml:space="preserve">, 26(6), 1673. </w:t>
      </w:r>
      <w:hyperlink r:id="rId25" w:history="1">
        <w:r w:rsidRPr="00572DBC">
          <w:rPr>
            <w:rFonts w:ascii="Arial" w:hAnsi="Arial" w:cs="Arial"/>
            <w:sz w:val="20"/>
            <w:szCs w:val="20"/>
            <w:u w:val="single"/>
          </w:rPr>
          <w:t>https://doi.org/10.3390/molecules26061673</w:t>
        </w:r>
      </w:hyperlink>
      <w:r w:rsidRPr="005C5E57">
        <w:rPr>
          <w:rFonts w:ascii="Arial" w:hAnsi="Arial" w:cs="Arial"/>
          <w:sz w:val="20"/>
          <w:szCs w:val="20"/>
        </w:rPr>
        <w:t xml:space="preserve"> </w:t>
      </w:r>
    </w:p>
    <w:p w14:paraId="56167FD6" w14:textId="77777777" w:rsidR="003957B7" w:rsidRPr="005C5E57" w:rsidRDefault="003957B7" w:rsidP="003957B7">
      <w:pPr>
        <w:ind w:left="720" w:hanging="720"/>
        <w:jc w:val="both"/>
        <w:rPr>
          <w:rFonts w:ascii="Arial" w:hAnsi="Arial" w:cs="Arial"/>
          <w:sz w:val="20"/>
          <w:szCs w:val="20"/>
          <w:shd w:val="clear" w:color="auto" w:fill="FFFFFF"/>
        </w:rPr>
      </w:pPr>
      <w:proofErr w:type="spellStart"/>
      <w:r w:rsidRPr="005C5E57">
        <w:rPr>
          <w:rFonts w:ascii="Arial" w:hAnsi="Arial" w:cs="Arial"/>
          <w:sz w:val="20"/>
          <w:szCs w:val="20"/>
          <w:shd w:val="clear" w:color="auto" w:fill="FFFFFF"/>
        </w:rPr>
        <w:t>Glusac</w:t>
      </w:r>
      <w:proofErr w:type="spellEnd"/>
      <w:r w:rsidRPr="005C5E57">
        <w:rPr>
          <w:rFonts w:ascii="Arial" w:hAnsi="Arial" w:cs="Arial"/>
          <w:sz w:val="20"/>
          <w:szCs w:val="20"/>
          <w:shd w:val="clear" w:color="auto" w:fill="FFFFFF"/>
        </w:rPr>
        <w:t xml:space="preserve">, J., </w:t>
      </w:r>
      <w:proofErr w:type="spellStart"/>
      <w:r w:rsidRPr="005C5E57">
        <w:rPr>
          <w:rFonts w:ascii="Arial" w:hAnsi="Arial" w:cs="Arial"/>
          <w:sz w:val="20"/>
          <w:szCs w:val="20"/>
          <w:shd w:val="clear" w:color="auto" w:fill="FFFFFF"/>
        </w:rPr>
        <w:t>Moguiliansky</w:t>
      </w:r>
      <w:proofErr w:type="spellEnd"/>
      <w:r w:rsidRPr="005C5E57">
        <w:rPr>
          <w:rFonts w:ascii="Arial" w:hAnsi="Arial" w:cs="Arial"/>
          <w:sz w:val="20"/>
          <w:szCs w:val="20"/>
          <w:shd w:val="clear" w:color="auto" w:fill="FFFFFF"/>
        </w:rPr>
        <w:t xml:space="preserve">, S., Fishman, A., &amp; Davidovich-Pinhas, M. 2024. Plant-Based </w:t>
      </w:r>
      <w:proofErr w:type="spellStart"/>
      <w:r w:rsidRPr="005C5E57">
        <w:rPr>
          <w:rFonts w:ascii="Arial" w:hAnsi="Arial" w:cs="Arial"/>
          <w:sz w:val="20"/>
          <w:szCs w:val="20"/>
          <w:shd w:val="clear" w:color="auto" w:fill="FFFFFF"/>
        </w:rPr>
        <w:t>Bigel</w:t>
      </w:r>
      <w:proofErr w:type="spellEnd"/>
      <w:r w:rsidRPr="005C5E57">
        <w:rPr>
          <w:rFonts w:ascii="Arial" w:hAnsi="Arial" w:cs="Arial"/>
          <w:sz w:val="20"/>
          <w:szCs w:val="20"/>
          <w:shd w:val="clear" w:color="auto" w:fill="FFFFFF"/>
        </w:rPr>
        <w:t xml:space="preserve"> </w:t>
      </w:r>
      <w:r w:rsidRPr="005C5E57">
        <w:rPr>
          <w:rFonts w:ascii="Arial" w:hAnsi="Arial" w:cs="Arial"/>
          <w:sz w:val="20"/>
          <w:szCs w:val="20"/>
          <w:shd w:val="clear" w:color="auto" w:fill="FFFFFF"/>
        </w:rPr>
        <w:tab/>
        <w:t xml:space="preserve">Based on Chickpea-Potato Protein Hydrogel and Glycerol Monostearate </w:t>
      </w:r>
      <w:proofErr w:type="spellStart"/>
      <w:r w:rsidRPr="005C5E57">
        <w:rPr>
          <w:rFonts w:ascii="Arial" w:hAnsi="Arial" w:cs="Arial"/>
          <w:sz w:val="20"/>
          <w:szCs w:val="20"/>
          <w:shd w:val="clear" w:color="auto" w:fill="FFFFFF"/>
        </w:rPr>
        <w:t>Oleogel</w:t>
      </w:r>
      <w:proofErr w:type="spellEnd"/>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Food Structure</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41</w:t>
      </w:r>
      <w:r w:rsidRPr="005C5E57">
        <w:rPr>
          <w:rFonts w:ascii="Arial" w:hAnsi="Arial" w:cs="Arial"/>
          <w:sz w:val="20"/>
          <w:szCs w:val="20"/>
          <w:shd w:val="clear" w:color="auto" w:fill="FFFFFF"/>
        </w:rPr>
        <w:t xml:space="preserve">,100378. </w:t>
      </w:r>
      <w:hyperlink r:id="rId26" w:history="1">
        <w:r w:rsidRPr="005C5E57">
          <w:rPr>
            <w:rFonts w:ascii="Arial" w:hAnsi="Arial" w:cs="Arial"/>
            <w:sz w:val="20"/>
            <w:szCs w:val="20"/>
            <w:u w:val="single"/>
            <w:shd w:val="clear" w:color="auto" w:fill="FFFFFF"/>
          </w:rPr>
          <w:t>https://doi.org/</w:t>
        </w:r>
        <w:r w:rsidRPr="005C5E57">
          <w:rPr>
            <w:rFonts w:ascii="Arial" w:hAnsi="Arial" w:cs="Arial"/>
            <w:sz w:val="20"/>
            <w:szCs w:val="20"/>
            <w:u w:val="single"/>
          </w:rPr>
          <w:t>10.1016/j.foostr.2024.100378</w:t>
        </w:r>
      </w:hyperlink>
      <w:r w:rsidRPr="005C5E57">
        <w:rPr>
          <w:rFonts w:ascii="Arial" w:hAnsi="Arial" w:cs="Arial"/>
          <w:sz w:val="20"/>
          <w:szCs w:val="20"/>
        </w:rPr>
        <w:t xml:space="preserve"> </w:t>
      </w:r>
    </w:p>
    <w:p w14:paraId="38332583"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rPr>
        <w:t xml:space="preserve">Hashemi, S. M. B., </w:t>
      </w:r>
      <w:proofErr w:type="spellStart"/>
      <w:r w:rsidRPr="005C5E57">
        <w:rPr>
          <w:rFonts w:ascii="Arial" w:hAnsi="Arial" w:cs="Arial"/>
          <w:sz w:val="20"/>
          <w:szCs w:val="20"/>
        </w:rPr>
        <w:t>Khaneghah</w:t>
      </w:r>
      <w:proofErr w:type="spellEnd"/>
      <w:r w:rsidRPr="005C5E57">
        <w:rPr>
          <w:rFonts w:ascii="Arial" w:hAnsi="Arial" w:cs="Arial"/>
          <w:sz w:val="20"/>
          <w:szCs w:val="20"/>
        </w:rPr>
        <w:t xml:space="preserve">, A. M., &amp; Barba, F. J. </w:t>
      </w:r>
      <w:r w:rsidRPr="00572DBC">
        <w:rPr>
          <w:rFonts w:ascii="Arial" w:hAnsi="Arial" w:cs="Arial"/>
          <w:sz w:val="20"/>
          <w:szCs w:val="20"/>
        </w:rPr>
        <w:t>(</w:t>
      </w:r>
      <w:r w:rsidRPr="005C5E57">
        <w:rPr>
          <w:rFonts w:ascii="Arial" w:hAnsi="Arial" w:cs="Arial"/>
          <w:sz w:val="20"/>
          <w:szCs w:val="20"/>
        </w:rPr>
        <w:t>2017</w:t>
      </w:r>
      <w:r w:rsidRPr="00572DBC">
        <w:rPr>
          <w:rFonts w:ascii="Arial" w:hAnsi="Arial" w:cs="Arial"/>
          <w:sz w:val="20"/>
          <w:szCs w:val="20"/>
        </w:rPr>
        <w:t>)</w:t>
      </w:r>
      <w:r w:rsidRPr="005C5E57">
        <w:rPr>
          <w:rFonts w:ascii="Arial" w:hAnsi="Arial" w:cs="Arial"/>
          <w:sz w:val="20"/>
          <w:szCs w:val="20"/>
        </w:rPr>
        <w:t xml:space="preserve">. </w:t>
      </w:r>
      <w:r w:rsidRPr="005C5E57">
        <w:rPr>
          <w:rFonts w:ascii="Arial" w:hAnsi="Arial" w:cs="Arial"/>
          <w:i/>
          <w:iCs/>
          <w:sz w:val="20"/>
          <w:szCs w:val="20"/>
        </w:rPr>
        <w:t>Interaction of Protein and Polyphenols in Food Systems: Characterization and Applications Using FTIR Spectroscopy</w:t>
      </w:r>
      <w:r w:rsidRPr="005C5E57">
        <w:rPr>
          <w:rFonts w:ascii="Arial" w:hAnsi="Arial" w:cs="Arial"/>
          <w:i/>
          <w:sz w:val="20"/>
          <w:szCs w:val="20"/>
        </w:rPr>
        <w:t>.</w:t>
      </w:r>
      <w:r w:rsidRPr="005C5E57">
        <w:rPr>
          <w:rFonts w:ascii="Arial" w:hAnsi="Arial" w:cs="Arial"/>
          <w:sz w:val="20"/>
          <w:szCs w:val="20"/>
        </w:rPr>
        <w:t xml:space="preserve"> </w:t>
      </w:r>
      <w:r w:rsidRPr="005C5E57">
        <w:rPr>
          <w:rFonts w:ascii="Arial" w:hAnsi="Arial" w:cs="Arial"/>
          <w:sz w:val="20"/>
          <w:szCs w:val="20"/>
        </w:rPr>
        <w:tab/>
      </w:r>
      <w:r w:rsidRPr="005C5E57">
        <w:rPr>
          <w:rFonts w:ascii="Arial" w:hAnsi="Arial" w:cs="Arial"/>
          <w:i/>
          <w:sz w:val="20"/>
          <w:szCs w:val="20"/>
        </w:rPr>
        <w:t>Critical Reviews in Food Science and Nutrition,</w:t>
      </w:r>
      <w:r w:rsidRPr="005C5E57">
        <w:rPr>
          <w:rFonts w:ascii="Arial" w:hAnsi="Arial" w:cs="Arial"/>
          <w:sz w:val="20"/>
          <w:szCs w:val="20"/>
        </w:rPr>
        <w:t xml:space="preserve"> 57(16), 3443–3451.   </w:t>
      </w:r>
      <w:hyperlink r:id="rId27" w:history="1">
        <w:r w:rsidRPr="00572DBC">
          <w:rPr>
            <w:rFonts w:ascii="Arial" w:hAnsi="Arial" w:cs="Arial"/>
            <w:sz w:val="20"/>
            <w:szCs w:val="20"/>
            <w:u w:val="single"/>
          </w:rPr>
          <w:t>https://doi.org/10.1080/10408398.2015.1121911</w:t>
        </w:r>
      </w:hyperlink>
      <w:r w:rsidRPr="005C5E57">
        <w:rPr>
          <w:rFonts w:ascii="Arial" w:hAnsi="Arial" w:cs="Arial"/>
          <w:sz w:val="20"/>
          <w:szCs w:val="20"/>
        </w:rPr>
        <w:t xml:space="preserve"> </w:t>
      </w:r>
    </w:p>
    <w:p w14:paraId="1D32D43B"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rPr>
        <w:t xml:space="preserve">Jing, X., Chen, Z., Tang, Z., Tao, Y., Huang, Q., Wu, Y. &amp; Sun, Y. </w:t>
      </w:r>
      <w:r w:rsidRPr="00572DBC">
        <w:rPr>
          <w:rFonts w:ascii="Arial" w:hAnsi="Arial" w:cs="Arial"/>
          <w:sz w:val="20"/>
          <w:szCs w:val="20"/>
        </w:rPr>
        <w:t>(</w:t>
      </w:r>
      <w:r w:rsidRPr="005C5E57">
        <w:rPr>
          <w:rFonts w:ascii="Arial" w:hAnsi="Arial" w:cs="Arial"/>
          <w:sz w:val="20"/>
          <w:szCs w:val="20"/>
        </w:rPr>
        <w:t>2022</w:t>
      </w:r>
      <w:r w:rsidRPr="00572DBC">
        <w:rPr>
          <w:rFonts w:ascii="Arial" w:hAnsi="Arial" w:cs="Arial"/>
          <w:sz w:val="20"/>
          <w:szCs w:val="20"/>
        </w:rPr>
        <w:t>)</w:t>
      </w:r>
      <w:r w:rsidRPr="005C5E57">
        <w:rPr>
          <w:rFonts w:ascii="Arial" w:hAnsi="Arial" w:cs="Arial"/>
          <w:sz w:val="20"/>
          <w:szCs w:val="20"/>
        </w:rPr>
        <w:t xml:space="preserve">. Preparation of </w:t>
      </w:r>
      <w:r w:rsidRPr="005C5E57">
        <w:rPr>
          <w:rFonts w:ascii="Arial" w:hAnsi="Arial" w:cs="Arial"/>
          <w:sz w:val="20"/>
          <w:szCs w:val="20"/>
        </w:rPr>
        <w:tab/>
        <w:t xml:space="preserve">Camellia Oil </w:t>
      </w:r>
      <w:proofErr w:type="spellStart"/>
      <w:r w:rsidRPr="005C5E57">
        <w:rPr>
          <w:rFonts w:ascii="Arial" w:hAnsi="Arial" w:cs="Arial"/>
          <w:sz w:val="20"/>
          <w:szCs w:val="20"/>
        </w:rPr>
        <w:t>Oleogel</w:t>
      </w:r>
      <w:proofErr w:type="spellEnd"/>
      <w:r w:rsidRPr="005C5E57">
        <w:rPr>
          <w:rFonts w:ascii="Arial" w:hAnsi="Arial" w:cs="Arial"/>
          <w:sz w:val="20"/>
          <w:szCs w:val="20"/>
        </w:rPr>
        <w:t xml:space="preserve"> and its Application in an Ice Cream System. </w:t>
      </w:r>
      <w:proofErr w:type="spellStart"/>
      <w:r w:rsidRPr="005C5E57">
        <w:rPr>
          <w:rFonts w:ascii="Arial" w:hAnsi="Arial" w:cs="Arial"/>
          <w:i/>
          <w:sz w:val="20"/>
          <w:szCs w:val="20"/>
        </w:rPr>
        <w:t>Lwt</w:t>
      </w:r>
      <w:proofErr w:type="spellEnd"/>
      <w:r w:rsidRPr="005C5E57">
        <w:rPr>
          <w:rFonts w:ascii="Arial" w:hAnsi="Arial" w:cs="Arial"/>
          <w:sz w:val="20"/>
          <w:szCs w:val="20"/>
        </w:rPr>
        <w:t>, 169, 113985.</w:t>
      </w:r>
      <w:r w:rsidRPr="00572DBC">
        <w:rPr>
          <w:rFonts w:ascii="Arial" w:hAnsi="Arial" w:cs="Arial"/>
        </w:rPr>
        <w:t xml:space="preserve"> </w:t>
      </w:r>
      <w:hyperlink r:id="rId28" w:history="1">
        <w:r w:rsidRPr="00572DBC">
          <w:rPr>
            <w:rStyle w:val="Hyperlink"/>
            <w:rFonts w:ascii="Arial" w:hAnsi="Arial" w:cs="Arial"/>
            <w:color w:val="auto"/>
            <w:sz w:val="20"/>
            <w:szCs w:val="20"/>
          </w:rPr>
          <w:t>https://doi.org/10.1016/j.lwt.2022.113985</w:t>
        </w:r>
      </w:hyperlink>
      <w:r w:rsidRPr="00572DBC">
        <w:rPr>
          <w:rFonts w:ascii="Arial" w:hAnsi="Arial" w:cs="Arial"/>
          <w:sz w:val="20"/>
          <w:szCs w:val="20"/>
        </w:rPr>
        <w:t xml:space="preserve"> </w:t>
      </w:r>
    </w:p>
    <w:p w14:paraId="42049368" w14:textId="77777777" w:rsidR="003957B7" w:rsidRPr="005C5E57" w:rsidRDefault="003957B7" w:rsidP="003957B7">
      <w:pPr>
        <w:ind w:left="720" w:hanging="720"/>
        <w:jc w:val="both"/>
        <w:rPr>
          <w:rFonts w:ascii="Arial" w:hAnsi="Arial" w:cs="Arial"/>
          <w:sz w:val="20"/>
          <w:szCs w:val="20"/>
          <w:shd w:val="clear" w:color="auto" w:fill="FFFFFF"/>
        </w:rPr>
      </w:pPr>
      <w:r w:rsidRPr="005C5E57">
        <w:rPr>
          <w:rFonts w:ascii="Arial" w:hAnsi="Arial" w:cs="Arial"/>
          <w:sz w:val="20"/>
          <w:szCs w:val="20"/>
          <w:shd w:val="clear" w:color="auto" w:fill="FFFFFF"/>
        </w:rPr>
        <w:t xml:space="preserve">Kaimal, A. M., &amp; Singhal, R. S.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2023</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w:t>
      </w:r>
      <w:proofErr w:type="spellStart"/>
      <w:r w:rsidRPr="005C5E57">
        <w:rPr>
          <w:rFonts w:ascii="Arial" w:hAnsi="Arial" w:cs="Arial"/>
          <w:sz w:val="20"/>
          <w:szCs w:val="20"/>
          <w:shd w:val="clear" w:color="auto" w:fill="FFFFFF"/>
        </w:rPr>
        <w:t>Bigels</w:t>
      </w:r>
      <w:proofErr w:type="spellEnd"/>
      <w:r w:rsidRPr="005C5E57">
        <w:rPr>
          <w:rFonts w:ascii="Arial" w:hAnsi="Arial" w:cs="Arial"/>
          <w:sz w:val="20"/>
          <w:szCs w:val="20"/>
          <w:shd w:val="clear" w:color="auto" w:fill="FFFFFF"/>
        </w:rPr>
        <w:t xml:space="preserve"> For Controlled Gastric Release of Ascorbic Acid: </w:t>
      </w:r>
      <w:r w:rsidRPr="005C5E57">
        <w:rPr>
          <w:rFonts w:ascii="Arial" w:hAnsi="Arial" w:cs="Arial"/>
          <w:sz w:val="20"/>
          <w:szCs w:val="20"/>
          <w:shd w:val="clear" w:color="auto" w:fill="FFFFFF"/>
        </w:rPr>
        <w:tab/>
        <w:t>Impact on Rheology, Texture, Thermal Stability and Antioxidant Activity. </w:t>
      </w:r>
      <w:r w:rsidRPr="005C5E57">
        <w:rPr>
          <w:rFonts w:ascii="Arial" w:hAnsi="Arial" w:cs="Arial"/>
          <w:i/>
          <w:iCs/>
          <w:sz w:val="20"/>
          <w:szCs w:val="20"/>
          <w:shd w:val="clear" w:color="auto" w:fill="FFFFFF"/>
        </w:rPr>
        <w:t>Food Hydrocolloids for Health</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4</w:t>
      </w:r>
      <w:r w:rsidRPr="005C5E57">
        <w:rPr>
          <w:rFonts w:ascii="Arial" w:hAnsi="Arial" w:cs="Arial"/>
          <w:sz w:val="20"/>
          <w:szCs w:val="20"/>
          <w:shd w:val="clear" w:color="auto" w:fill="FFFFFF"/>
        </w:rPr>
        <w:t xml:space="preserve">, 100171. </w:t>
      </w:r>
      <w:hyperlink r:id="rId29" w:history="1">
        <w:r w:rsidRPr="005C5E57">
          <w:rPr>
            <w:rFonts w:ascii="Arial" w:hAnsi="Arial" w:cs="Arial"/>
            <w:sz w:val="20"/>
            <w:szCs w:val="20"/>
            <w:u w:val="single"/>
          </w:rPr>
          <w:t>https://doi.org/10.1016/j.fhfh.2023.100171</w:t>
        </w:r>
      </w:hyperlink>
      <w:r w:rsidRPr="005C5E57">
        <w:rPr>
          <w:rFonts w:ascii="Arial" w:hAnsi="Arial" w:cs="Arial"/>
          <w:sz w:val="20"/>
          <w:szCs w:val="20"/>
        </w:rPr>
        <w:t xml:space="preserve"> </w:t>
      </w:r>
    </w:p>
    <w:p w14:paraId="4497CA8F" w14:textId="77777777" w:rsidR="003957B7" w:rsidRPr="005C5E57" w:rsidRDefault="003957B7" w:rsidP="003957B7">
      <w:pPr>
        <w:ind w:left="720" w:hanging="720"/>
        <w:jc w:val="both"/>
        <w:rPr>
          <w:rFonts w:ascii="Arial" w:hAnsi="Arial" w:cs="Arial"/>
          <w:sz w:val="20"/>
          <w:szCs w:val="20"/>
          <w:shd w:val="clear" w:color="auto" w:fill="FFFFFF"/>
        </w:rPr>
      </w:pPr>
      <w:r w:rsidRPr="005C5E57">
        <w:rPr>
          <w:rFonts w:ascii="Arial" w:hAnsi="Arial" w:cs="Arial"/>
          <w:sz w:val="20"/>
          <w:szCs w:val="20"/>
          <w:shd w:val="clear" w:color="auto" w:fill="FFFFFF"/>
        </w:rPr>
        <w:t xml:space="preserve">Kavya, N. P., &amp; Pal, K.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2024</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Pectin Emulsions and </w:t>
      </w:r>
      <w:proofErr w:type="spellStart"/>
      <w:r w:rsidRPr="005C5E57">
        <w:rPr>
          <w:rFonts w:ascii="Arial" w:hAnsi="Arial" w:cs="Arial"/>
          <w:sz w:val="20"/>
          <w:szCs w:val="20"/>
          <w:shd w:val="clear" w:color="auto" w:fill="FFFFFF"/>
        </w:rPr>
        <w:t>Emulgels</w:t>
      </w:r>
      <w:proofErr w:type="spellEnd"/>
      <w:r w:rsidRPr="005C5E57">
        <w:rPr>
          <w:rFonts w:ascii="Arial" w:hAnsi="Arial" w:cs="Arial"/>
          <w:sz w:val="20"/>
          <w:szCs w:val="20"/>
          <w:shd w:val="clear" w:color="auto" w:fill="FFFFFF"/>
        </w:rPr>
        <w:t xml:space="preserve">: Bridging the Correlation </w:t>
      </w:r>
      <w:r w:rsidRPr="005C5E57">
        <w:rPr>
          <w:rFonts w:ascii="Arial" w:hAnsi="Arial" w:cs="Arial"/>
          <w:sz w:val="20"/>
          <w:szCs w:val="20"/>
          <w:shd w:val="clear" w:color="auto" w:fill="FFFFFF"/>
        </w:rPr>
        <w:tab/>
        <w:t xml:space="preserve">Between Rheology and Microstructure. </w:t>
      </w:r>
      <w:r w:rsidRPr="005C5E57">
        <w:rPr>
          <w:rFonts w:ascii="Arial" w:hAnsi="Arial" w:cs="Arial"/>
          <w:i/>
          <w:sz w:val="20"/>
          <w:szCs w:val="20"/>
          <w:shd w:val="clear" w:color="auto" w:fill="FFFFFF"/>
        </w:rPr>
        <w:t>Food Hydrocolloids</w:t>
      </w:r>
      <w:r w:rsidRPr="005C5E57">
        <w:rPr>
          <w:rFonts w:ascii="Arial" w:hAnsi="Arial" w:cs="Arial"/>
          <w:sz w:val="20"/>
          <w:szCs w:val="20"/>
          <w:shd w:val="clear" w:color="auto" w:fill="FFFFFF"/>
        </w:rPr>
        <w:t>, 137, 107345.</w:t>
      </w:r>
      <w:r w:rsidRPr="00572DBC">
        <w:rPr>
          <w:rFonts w:ascii="Arial" w:hAnsi="Arial" w:cs="Arial"/>
          <w:sz w:val="20"/>
          <w:szCs w:val="20"/>
          <w:shd w:val="clear" w:color="auto" w:fill="FFFFFF"/>
        </w:rPr>
        <w:t xml:space="preserve"> </w:t>
      </w:r>
      <w:hyperlink r:id="rId30" w:history="1">
        <w:r w:rsidRPr="00572DBC">
          <w:rPr>
            <w:rStyle w:val="Hyperlink"/>
            <w:rFonts w:ascii="Arial" w:hAnsi="Arial" w:cs="Arial"/>
            <w:color w:val="auto"/>
            <w:sz w:val="20"/>
            <w:szCs w:val="20"/>
            <w:shd w:val="clear" w:color="auto" w:fill="FFFFFF"/>
          </w:rPr>
          <w:t>https://doi.org/10.1016/j.foodhyd.2023.108868</w:t>
        </w:r>
      </w:hyperlink>
      <w:r w:rsidRPr="00572DBC">
        <w:rPr>
          <w:rFonts w:ascii="Arial" w:hAnsi="Arial" w:cs="Arial"/>
          <w:sz w:val="20"/>
          <w:szCs w:val="20"/>
          <w:shd w:val="clear" w:color="auto" w:fill="FFFFFF"/>
        </w:rPr>
        <w:t xml:space="preserve"> </w:t>
      </w:r>
    </w:p>
    <w:p w14:paraId="0E429842" w14:textId="77777777" w:rsidR="003957B7" w:rsidRPr="005C5E57" w:rsidRDefault="003957B7" w:rsidP="003957B7">
      <w:pPr>
        <w:ind w:left="720" w:hanging="720"/>
        <w:jc w:val="both"/>
        <w:rPr>
          <w:rFonts w:ascii="Arial" w:hAnsi="Arial" w:cs="Arial"/>
          <w:sz w:val="20"/>
          <w:szCs w:val="20"/>
          <w:shd w:val="clear" w:color="auto" w:fill="FFFFFF"/>
        </w:rPr>
      </w:pPr>
      <w:proofErr w:type="spellStart"/>
      <w:r w:rsidRPr="005C5E57">
        <w:rPr>
          <w:rFonts w:ascii="Arial" w:hAnsi="Arial" w:cs="Arial"/>
          <w:sz w:val="20"/>
          <w:szCs w:val="20"/>
          <w:shd w:val="clear" w:color="auto" w:fill="FFFFFF"/>
        </w:rPr>
        <w:t>Kholifah</w:t>
      </w:r>
      <w:proofErr w:type="spellEnd"/>
      <w:r w:rsidRPr="005C5E57">
        <w:rPr>
          <w:rFonts w:ascii="Arial" w:hAnsi="Arial" w:cs="Arial"/>
          <w:sz w:val="20"/>
          <w:szCs w:val="20"/>
          <w:shd w:val="clear" w:color="auto" w:fill="FFFFFF"/>
        </w:rPr>
        <w:t xml:space="preserve">, E., </w:t>
      </w:r>
      <w:proofErr w:type="spellStart"/>
      <w:r w:rsidRPr="005C5E57">
        <w:rPr>
          <w:rFonts w:ascii="Arial" w:hAnsi="Arial" w:cs="Arial"/>
          <w:sz w:val="20"/>
          <w:szCs w:val="20"/>
          <w:shd w:val="clear" w:color="auto" w:fill="FFFFFF"/>
        </w:rPr>
        <w:t>Nurazizah</w:t>
      </w:r>
      <w:proofErr w:type="spellEnd"/>
      <w:r w:rsidRPr="005C5E57">
        <w:rPr>
          <w:rFonts w:ascii="Arial" w:hAnsi="Arial" w:cs="Arial"/>
          <w:sz w:val="20"/>
          <w:szCs w:val="20"/>
          <w:shd w:val="clear" w:color="auto" w:fill="FFFFFF"/>
        </w:rPr>
        <w:t xml:space="preserve">, D., &amp; </w:t>
      </w:r>
      <w:proofErr w:type="spellStart"/>
      <w:r w:rsidRPr="005C5E57">
        <w:rPr>
          <w:rFonts w:ascii="Arial" w:hAnsi="Arial" w:cs="Arial"/>
          <w:sz w:val="20"/>
          <w:szCs w:val="20"/>
          <w:shd w:val="clear" w:color="auto" w:fill="FFFFFF"/>
        </w:rPr>
        <w:t>Noviyanto</w:t>
      </w:r>
      <w:proofErr w:type="spellEnd"/>
      <w:r w:rsidRPr="005C5E57">
        <w:rPr>
          <w:rFonts w:ascii="Arial" w:hAnsi="Arial" w:cs="Arial"/>
          <w:sz w:val="20"/>
          <w:szCs w:val="20"/>
          <w:shd w:val="clear" w:color="auto" w:fill="FFFFFF"/>
        </w:rPr>
        <w:t xml:space="preserve">, F.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2023</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Antioxidant Activity and Vitamin C Concentration Analysis of Gandaria (</w:t>
      </w:r>
      <w:r w:rsidRPr="005C5E57">
        <w:rPr>
          <w:rFonts w:ascii="Arial" w:hAnsi="Arial" w:cs="Arial"/>
          <w:i/>
          <w:sz w:val="20"/>
          <w:szCs w:val="20"/>
          <w:shd w:val="clear" w:color="auto" w:fill="FFFFFF"/>
        </w:rPr>
        <w:t xml:space="preserve">Bouae macrophylla </w:t>
      </w:r>
      <w:proofErr w:type="spellStart"/>
      <w:r w:rsidRPr="005C5E57">
        <w:rPr>
          <w:rFonts w:ascii="Arial" w:hAnsi="Arial" w:cs="Arial"/>
          <w:i/>
          <w:sz w:val="20"/>
          <w:szCs w:val="20"/>
          <w:shd w:val="clear" w:color="auto" w:fill="FFFFFF"/>
        </w:rPr>
        <w:t>griff</w:t>
      </w:r>
      <w:proofErr w:type="spellEnd"/>
      <w:r w:rsidRPr="005C5E57">
        <w:rPr>
          <w:rFonts w:ascii="Arial" w:hAnsi="Arial" w:cs="Arial"/>
          <w:sz w:val="20"/>
          <w:szCs w:val="20"/>
          <w:shd w:val="clear" w:color="auto" w:fill="FFFFFF"/>
        </w:rPr>
        <w:t>) Ethanol Extract Using Spectrophotometry UV Vis. </w:t>
      </w:r>
      <w:r w:rsidRPr="005C5E57">
        <w:rPr>
          <w:rFonts w:ascii="Arial" w:hAnsi="Arial" w:cs="Arial"/>
          <w:i/>
          <w:iCs/>
          <w:sz w:val="20"/>
          <w:szCs w:val="20"/>
          <w:shd w:val="clear" w:color="auto" w:fill="FFFFFF"/>
        </w:rPr>
        <w:t>Journal of Fundamental and Applied Pharmaceutical Science</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3</w:t>
      </w:r>
      <w:r w:rsidRPr="005C5E57">
        <w:rPr>
          <w:rFonts w:ascii="Arial" w:hAnsi="Arial" w:cs="Arial"/>
          <w:sz w:val="20"/>
          <w:szCs w:val="20"/>
          <w:shd w:val="clear" w:color="auto" w:fill="FFFFFF"/>
        </w:rPr>
        <w:t>(2), 54-63.</w:t>
      </w:r>
      <w:r w:rsidRPr="00572DBC">
        <w:rPr>
          <w:rFonts w:ascii="Arial" w:hAnsi="Arial" w:cs="Arial"/>
        </w:rPr>
        <w:t xml:space="preserve"> </w:t>
      </w:r>
      <w:hyperlink r:id="rId31" w:history="1">
        <w:r w:rsidRPr="00572DBC">
          <w:rPr>
            <w:rStyle w:val="Hyperlink"/>
            <w:rFonts w:ascii="Arial" w:hAnsi="Arial" w:cs="Arial"/>
            <w:color w:val="auto"/>
            <w:sz w:val="20"/>
            <w:szCs w:val="20"/>
            <w:shd w:val="clear" w:color="auto" w:fill="FFFFFF"/>
          </w:rPr>
          <w:t>https://doi.org/10.18196/jfaps.v3i2.15992</w:t>
        </w:r>
      </w:hyperlink>
      <w:r w:rsidRPr="00572DBC">
        <w:rPr>
          <w:rFonts w:ascii="Arial" w:hAnsi="Arial" w:cs="Arial"/>
          <w:sz w:val="20"/>
          <w:szCs w:val="20"/>
          <w:shd w:val="clear" w:color="auto" w:fill="FFFFFF"/>
        </w:rPr>
        <w:t xml:space="preserve"> </w:t>
      </w:r>
    </w:p>
    <w:p w14:paraId="2BD7DA52"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shd w:val="clear" w:color="auto" w:fill="FFFFFF"/>
        </w:rPr>
        <w:lastRenderedPageBreak/>
        <w:t xml:space="preserve">Lee, G. R., Baek, Y., Jeong, E., &amp; Lee, H. G.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2024</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Development and Characterization of a</w:t>
      </w:r>
      <w:r w:rsidRPr="005C5E57">
        <w:rPr>
          <w:rFonts w:ascii="Arial" w:hAnsi="Arial" w:cs="Arial"/>
          <w:sz w:val="20"/>
          <w:szCs w:val="20"/>
          <w:shd w:val="clear" w:color="auto" w:fill="FFFFFF"/>
        </w:rPr>
        <w:tab/>
        <w:t xml:space="preserve">Novel </w:t>
      </w:r>
      <w:proofErr w:type="spellStart"/>
      <w:r w:rsidRPr="005C5E57">
        <w:rPr>
          <w:rFonts w:ascii="Arial" w:hAnsi="Arial" w:cs="Arial"/>
          <w:sz w:val="20"/>
          <w:szCs w:val="20"/>
          <w:shd w:val="clear" w:color="auto" w:fill="FFFFFF"/>
        </w:rPr>
        <w:t>Bigel</w:t>
      </w:r>
      <w:proofErr w:type="spellEnd"/>
      <w:r w:rsidRPr="005C5E57">
        <w:rPr>
          <w:rFonts w:ascii="Arial" w:hAnsi="Arial" w:cs="Arial"/>
          <w:sz w:val="20"/>
          <w:szCs w:val="20"/>
          <w:shd w:val="clear" w:color="auto" w:fill="FFFFFF"/>
        </w:rPr>
        <w:t xml:space="preserve"> System Based on Candelilla Wax </w:t>
      </w:r>
      <w:proofErr w:type="spellStart"/>
      <w:r w:rsidRPr="005C5E57">
        <w:rPr>
          <w:rFonts w:ascii="Arial" w:hAnsi="Arial" w:cs="Arial"/>
          <w:sz w:val="20"/>
          <w:szCs w:val="20"/>
          <w:shd w:val="clear" w:color="auto" w:fill="FFFFFF"/>
        </w:rPr>
        <w:t>Oleogel</w:t>
      </w:r>
      <w:proofErr w:type="spellEnd"/>
      <w:r w:rsidRPr="005C5E57">
        <w:rPr>
          <w:rFonts w:ascii="Arial" w:hAnsi="Arial" w:cs="Arial"/>
          <w:sz w:val="20"/>
          <w:szCs w:val="20"/>
          <w:shd w:val="clear" w:color="auto" w:fill="FFFFFF"/>
        </w:rPr>
        <w:t xml:space="preserve"> and Guar Gum Hydrogel for Heat-</w:t>
      </w:r>
      <w:r w:rsidRPr="005C5E57">
        <w:rPr>
          <w:rFonts w:ascii="Arial" w:hAnsi="Arial" w:cs="Arial"/>
          <w:sz w:val="20"/>
          <w:szCs w:val="20"/>
          <w:shd w:val="clear" w:color="auto" w:fill="FFFFFF"/>
        </w:rPr>
        <w:tab/>
        <w:t>Triggered Release Properties. </w:t>
      </w:r>
      <w:r w:rsidRPr="005C5E57">
        <w:rPr>
          <w:rFonts w:ascii="Arial" w:hAnsi="Arial" w:cs="Arial"/>
          <w:i/>
          <w:iCs/>
          <w:sz w:val="20"/>
          <w:szCs w:val="20"/>
          <w:shd w:val="clear" w:color="auto" w:fill="FFFFFF"/>
        </w:rPr>
        <w:t>Food Hydrocolloids</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152</w:t>
      </w:r>
      <w:r w:rsidRPr="005C5E57">
        <w:rPr>
          <w:rFonts w:ascii="Arial" w:hAnsi="Arial" w:cs="Arial"/>
          <w:sz w:val="20"/>
          <w:szCs w:val="20"/>
          <w:shd w:val="clear" w:color="auto" w:fill="FFFFFF"/>
        </w:rPr>
        <w:t xml:space="preserve">, 109892. </w:t>
      </w:r>
      <w:hyperlink r:id="rId32" w:history="1">
        <w:r w:rsidRPr="00572DBC">
          <w:rPr>
            <w:rFonts w:ascii="Arial" w:hAnsi="Arial" w:cs="Arial"/>
            <w:sz w:val="20"/>
            <w:szCs w:val="20"/>
            <w:u w:val="single"/>
          </w:rPr>
          <w:t>https://doi.org/10.1016/j.foodhyd.2024.109892</w:t>
        </w:r>
      </w:hyperlink>
      <w:r w:rsidRPr="005C5E57">
        <w:rPr>
          <w:rFonts w:ascii="Arial" w:hAnsi="Arial" w:cs="Arial"/>
          <w:sz w:val="20"/>
          <w:szCs w:val="20"/>
        </w:rPr>
        <w:t xml:space="preserve"> </w:t>
      </w:r>
    </w:p>
    <w:p w14:paraId="12DF3410" w14:textId="77777777" w:rsidR="003957B7" w:rsidRPr="005C5E57" w:rsidRDefault="003957B7" w:rsidP="003957B7">
      <w:pPr>
        <w:ind w:left="720" w:hanging="720"/>
        <w:jc w:val="both"/>
        <w:rPr>
          <w:rFonts w:ascii="Arial" w:hAnsi="Arial" w:cs="Arial"/>
          <w:sz w:val="20"/>
          <w:szCs w:val="20"/>
          <w:shd w:val="clear" w:color="auto" w:fill="FFFFFF"/>
        </w:rPr>
      </w:pPr>
      <w:r w:rsidRPr="005C5E57">
        <w:rPr>
          <w:rFonts w:ascii="Arial" w:hAnsi="Arial" w:cs="Arial"/>
          <w:bCs/>
          <w:sz w:val="20"/>
          <w:szCs w:val="20"/>
        </w:rPr>
        <w:t xml:space="preserve">Li, X., Wang, Y., &amp; Liu, Y. </w:t>
      </w:r>
      <w:r w:rsidRPr="00572DBC">
        <w:rPr>
          <w:rFonts w:ascii="Arial" w:hAnsi="Arial" w:cs="Arial"/>
          <w:bCs/>
          <w:sz w:val="20"/>
          <w:szCs w:val="20"/>
        </w:rPr>
        <w:t>(</w:t>
      </w:r>
      <w:r w:rsidRPr="005C5E57">
        <w:rPr>
          <w:rFonts w:ascii="Arial" w:hAnsi="Arial" w:cs="Arial"/>
          <w:bCs/>
          <w:sz w:val="20"/>
          <w:szCs w:val="20"/>
        </w:rPr>
        <w:t>2024</w:t>
      </w:r>
      <w:r w:rsidRPr="00572DBC">
        <w:rPr>
          <w:rFonts w:ascii="Arial" w:hAnsi="Arial" w:cs="Arial"/>
          <w:bCs/>
          <w:sz w:val="20"/>
          <w:szCs w:val="20"/>
        </w:rPr>
        <w:t>)</w:t>
      </w:r>
      <w:r w:rsidRPr="005C5E57">
        <w:rPr>
          <w:rFonts w:ascii="Arial" w:hAnsi="Arial" w:cs="Arial"/>
          <w:bCs/>
          <w:sz w:val="20"/>
          <w:szCs w:val="20"/>
        </w:rPr>
        <w:t>.</w:t>
      </w:r>
      <w:r w:rsidRPr="005C5E57">
        <w:rPr>
          <w:rFonts w:ascii="Arial" w:hAnsi="Arial" w:cs="Arial"/>
          <w:sz w:val="20"/>
          <w:szCs w:val="20"/>
        </w:rPr>
        <w:t xml:space="preserve"> Novel </w:t>
      </w:r>
      <w:proofErr w:type="spellStart"/>
      <w:r w:rsidRPr="005C5E57">
        <w:rPr>
          <w:rFonts w:ascii="Arial" w:hAnsi="Arial" w:cs="Arial"/>
          <w:sz w:val="20"/>
          <w:szCs w:val="20"/>
        </w:rPr>
        <w:t>Bigels</w:t>
      </w:r>
      <w:proofErr w:type="spellEnd"/>
      <w:r w:rsidRPr="005C5E57">
        <w:rPr>
          <w:rFonts w:ascii="Arial" w:hAnsi="Arial" w:cs="Arial"/>
          <w:sz w:val="20"/>
          <w:szCs w:val="20"/>
        </w:rPr>
        <w:t xml:space="preserve"> Based on Walnut Oil </w:t>
      </w:r>
      <w:proofErr w:type="spellStart"/>
      <w:r w:rsidRPr="005C5E57">
        <w:rPr>
          <w:rFonts w:ascii="Arial" w:hAnsi="Arial" w:cs="Arial"/>
          <w:sz w:val="20"/>
          <w:szCs w:val="20"/>
        </w:rPr>
        <w:t>Oleogel</w:t>
      </w:r>
      <w:proofErr w:type="spellEnd"/>
      <w:r w:rsidRPr="005C5E57">
        <w:rPr>
          <w:rFonts w:ascii="Arial" w:hAnsi="Arial" w:cs="Arial"/>
          <w:sz w:val="20"/>
          <w:szCs w:val="20"/>
        </w:rPr>
        <w:t xml:space="preserve"> and Chitosan </w:t>
      </w:r>
      <w:r w:rsidRPr="005C5E57">
        <w:rPr>
          <w:rFonts w:ascii="Arial" w:hAnsi="Arial" w:cs="Arial"/>
          <w:sz w:val="20"/>
          <w:szCs w:val="20"/>
        </w:rPr>
        <w:tab/>
        <w:t xml:space="preserve">Hydrogel: Preparation, Characterization, and Application as Food Spread. </w:t>
      </w:r>
      <w:r w:rsidRPr="005C5E57">
        <w:rPr>
          <w:rFonts w:ascii="Arial" w:hAnsi="Arial" w:cs="Arial"/>
          <w:i/>
          <w:iCs/>
          <w:sz w:val="20"/>
          <w:szCs w:val="20"/>
        </w:rPr>
        <w:t>International Journal of Biological Macromolecules</w:t>
      </w:r>
      <w:r w:rsidRPr="005C5E57">
        <w:rPr>
          <w:rFonts w:ascii="Arial" w:hAnsi="Arial" w:cs="Arial"/>
          <w:sz w:val="20"/>
          <w:szCs w:val="20"/>
        </w:rPr>
        <w:t>, 242, 124567.</w:t>
      </w:r>
      <w:r w:rsidRPr="00572DBC">
        <w:rPr>
          <w:rFonts w:ascii="Arial" w:hAnsi="Arial" w:cs="Arial"/>
          <w:sz w:val="20"/>
          <w:szCs w:val="20"/>
        </w:rPr>
        <w:t xml:space="preserve"> </w:t>
      </w:r>
      <w:hyperlink r:id="rId33" w:history="1">
        <w:r w:rsidRPr="00572DBC">
          <w:rPr>
            <w:rStyle w:val="Hyperlink"/>
            <w:rFonts w:ascii="Arial" w:hAnsi="Arial" w:cs="Arial"/>
            <w:color w:val="auto"/>
            <w:sz w:val="20"/>
            <w:szCs w:val="20"/>
          </w:rPr>
          <w:t>https://doi.org/10.1016/j.ijbiomac.2024.129530</w:t>
        </w:r>
      </w:hyperlink>
      <w:r w:rsidRPr="00572DBC">
        <w:rPr>
          <w:rFonts w:ascii="Arial" w:hAnsi="Arial" w:cs="Arial"/>
          <w:sz w:val="20"/>
          <w:szCs w:val="20"/>
        </w:rPr>
        <w:t xml:space="preserve"> </w:t>
      </w:r>
    </w:p>
    <w:p w14:paraId="17DD0D1A"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shd w:val="clear" w:color="auto" w:fill="FFFFFF"/>
        </w:rPr>
        <w:t xml:space="preserve">Liu, W., Liu, K., McClements, D. J., Jin, Z., &amp; Chen, L.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2025</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Fabrication and Characterization of Starch-Based </w:t>
      </w:r>
      <w:proofErr w:type="spellStart"/>
      <w:r w:rsidRPr="005C5E57">
        <w:rPr>
          <w:rFonts w:ascii="Arial" w:hAnsi="Arial" w:cs="Arial"/>
          <w:sz w:val="20"/>
          <w:szCs w:val="20"/>
          <w:shd w:val="clear" w:color="auto" w:fill="FFFFFF"/>
        </w:rPr>
        <w:t>Bigels</w:t>
      </w:r>
      <w:proofErr w:type="spellEnd"/>
      <w:r w:rsidRPr="005C5E57">
        <w:rPr>
          <w:rFonts w:ascii="Arial" w:hAnsi="Arial" w:cs="Arial"/>
          <w:sz w:val="20"/>
          <w:szCs w:val="20"/>
          <w:shd w:val="clear" w:color="auto" w:fill="FFFFFF"/>
        </w:rPr>
        <w:t xml:space="preserve"> Under Phase Control: Structural, </w:t>
      </w:r>
      <w:r w:rsidRPr="005C5E57">
        <w:rPr>
          <w:rFonts w:ascii="Arial" w:hAnsi="Arial" w:cs="Arial"/>
          <w:sz w:val="20"/>
          <w:szCs w:val="20"/>
          <w:shd w:val="clear" w:color="auto" w:fill="FFFFFF"/>
        </w:rPr>
        <w:tab/>
        <w:t xml:space="preserve">Physicochemical and 3D Printing </w:t>
      </w:r>
      <w:r w:rsidRPr="005C5E57">
        <w:rPr>
          <w:rFonts w:ascii="Arial" w:hAnsi="Arial" w:cs="Arial"/>
          <w:sz w:val="20"/>
          <w:szCs w:val="20"/>
          <w:shd w:val="clear" w:color="auto" w:fill="FFFFFF"/>
        </w:rPr>
        <w:tab/>
        <w:t>Properties. </w:t>
      </w:r>
      <w:r w:rsidRPr="005C5E57">
        <w:rPr>
          <w:rFonts w:ascii="Arial" w:hAnsi="Arial" w:cs="Arial"/>
          <w:i/>
          <w:iCs/>
          <w:sz w:val="20"/>
          <w:szCs w:val="20"/>
          <w:shd w:val="clear" w:color="auto" w:fill="FFFFFF"/>
        </w:rPr>
        <w:t>Food Hydrocolloids</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159</w:t>
      </w:r>
      <w:r w:rsidRPr="005C5E57">
        <w:rPr>
          <w:rFonts w:ascii="Arial" w:hAnsi="Arial" w:cs="Arial"/>
          <w:sz w:val="20"/>
          <w:szCs w:val="20"/>
          <w:shd w:val="clear" w:color="auto" w:fill="FFFFFF"/>
        </w:rPr>
        <w:t xml:space="preserve">, </w:t>
      </w:r>
      <w:r w:rsidRPr="005C5E57">
        <w:rPr>
          <w:rFonts w:ascii="Arial" w:hAnsi="Arial" w:cs="Arial"/>
          <w:sz w:val="20"/>
          <w:szCs w:val="20"/>
          <w:shd w:val="clear" w:color="auto" w:fill="FFFFFF"/>
        </w:rPr>
        <w:tab/>
        <w:t xml:space="preserve">110623. </w:t>
      </w:r>
      <w:hyperlink r:id="rId34" w:history="1">
        <w:r w:rsidRPr="00572DBC">
          <w:rPr>
            <w:rFonts w:ascii="Arial" w:hAnsi="Arial" w:cs="Arial"/>
            <w:sz w:val="20"/>
            <w:szCs w:val="20"/>
            <w:u w:val="single"/>
          </w:rPr>
          <w:t>https://doi.org/10.1016/j.foodhyd.2025.110623</w:t>
        </w:r>
      </w:hyperlink>
      <w:r w:rsidRPr="005C5E57">
        <w:rPr>
          <w:rFonts w:ascii="Arial" w:hAnsi="Arial" w:cs="Arial"/>
          <w:sz w:val="20"/>
          <w:szCs w:val="20"/>
        </w:rPr>
        <w:t xml:space="preserve"> </w:t>
      </w:r>
    </w:p>
    <w:p w14:paraId="164C5645" w14:textId="77777777" w:rsidR="003957B7" w:rsidRPr="005C5E57" w:rsidRDefault="003957B7" w:rsidP="003957B7">
      <w:pPr>
        <w:ind w:left="720" w:hanging="720"/>
        <w:jc w:val="both"/>
        <w:rPr>
          <w:rFonts w:ascii="Arial" w:hAnsi="Arial" w:cs="Arial"/>
          <w:sz w:val="20"/>
          <w:szCs w:val="20"/>
          <w:shd w:val="clear" w:color="auto" w:fill="FFFFFF"/>
        </w:rPr>
      </w:pPr>
      <w:proofErr w:type="spellStart"/>
      <w:r w:rsidRPr="005C5E57">
        <w:rPr>
          <w:rFonts w:ascii="Arial" w:hAnsi="Arial" w:cs="Arial"/>
          <w:sz w:val="20"/>
          <w:szCs w:val="20"/>
        </w:rPr>
        <w:t>Mallamace</w:t>
      </w:r>
      <w:proofErr w:type="spellEnd"/>
      <w:r w:rsidRPr="005C5E57">
        <w:rPr>
          <w:rFonts w:ascii="Arial" w:hAnsi="Arial" w:cs="Arial"/>
          <w:sz w:val="20"/>
          <w:szCs w:val="20"/>
        </w:rPr>
        <w:t xml:space="preserve">, F., Vasi, S., Corsaro, C., et al. </w:t>
      </w:r>
      <w:r w:rsidRPr="00572DBC">
        <w:rPr>
          <w:rFonts w:ascii="Arial" w:hAnsi="Arial" w:cs="Arial"/>
          <w:sz w:val="20"/>
          <w:szCs w:val="20"/>
        </w:rPr>
        <w:t>(</w:t>
      </w:r>
      <w:r w:rsidRPr="005C5E57">
        <w:rPr>
          <w:rFonts w:ascii="Arial" w:hAnsi="Arial" w:cs="Arial"/>
          <w:sz w:val="20"/>
          <w:szCs w:val="20"/>
        </w:rPr>
        <w:t>2015</w:t>
      </w:r>
      <w:r w:rsidRPr="00572DBC">
        <w:rPr>
          <w:rFonts w:ascii="Arial" w:hAnsi="Arial" w:cs="Arial"/>
          <w:sz w:val="20"/>
          <w:szCs w:val="20"/>
        </w:rPr>
        <w:t>)</w:t>
      </w:r>
      <w:r w:rsidRPr="005C5E57">
        <w:rPr>
          <w:rFonts w:ascii="Arial" w:hAnsi="Arial" w:cs="Arial"/>
          <w:sz w:val="20"/>
          <w:szCs w:val="20"/>
        </w:rPr>
        <w:t xml:space="preserve">. </w:t>
      </w:r>
      <w:r w:rsidRPr="005C5E57">
        <w:rPr>
          <w:rFonts w:ascii="Arial" w:hAnsi="Arial" w:cs="Arial"/>
          <w:i/>
          <w:iCs/>
          <w:sz w:val="20"/>
          <w:szCs w:val="20"/>
        </w:rPr>
        <w:t xml:space="preserve">The Role of Hydrogen Bonding in the FTIR </w:t>
      </w:r>
      <w:r w:rsidRPr="005C5E57">
        <w:rPr>
          <w:rFonts w:ascii="Arial" w:hAnsi="Arial" w:cs="Arial"/>
          <w:i/>
          <w:iCs/>
          <w:sz w:val="20"/>
          <w:szCs w:val="20"/>
        </w:rPr>
        <w:tab/>
        <w:t>Spectra of Water</w:t>
      </w:r>
      <w:r w:rsidRPr="005C5E57">
        <w:rPr>
          <w:rFonts w:ascii="Arial" w:hAnsi="Arial" w:cs="Arial"/>
          <w:i/>
          <w:sz w:val="20"/>
          <w:szCs w:val="20"/>
        </w:rPr>
        <w:t>.</w:t>
      </w:r>
      <w:r w:rsidRPr="005C5E57">
        <w:rPr>
          <w:rFonts w:ascii="Arial" w:hAnsi="Arial" w:cs="Arial"/>
          <w:sz w:val="20"/>
          <w:szCs w:val="20"/>
        </w:rPr>
        <w:t xml:space="preserve"> </w:t>
      </w:r>
      <w:r w:rsidRPr="005C5E57">
        <w:rPr>
          <w:rFonts w:ascii="Arial" w:hAnsi="Arial" w:cs="Arial"/>
          <w:i/>
          <w:sz w:val="20"/>
          <w:szCs w:val="20"/>
        </w:rPr>
        <w:t>The Journal of Chemical Physics</w:t>
      </w:r>
      <w:r w:rsidRPr="005C5E57">
        <w:rPr>
          <w:rFonts w:ascii="Arial" w:hAnsi="Arial" w:cs="Arial"/>
          <w:sz w:val="20"/>
          <w:szCs w:val="20"/>
        </w:rPr>
        <w:t xml:space="preserve">, 142(21), 212502. </w:t>
      </w:r>
      <w:hyperlink r:id="rId35" w:history="1">
        <w:r w:rsidRPr="00572DBC">
          <w:rPr>
            <w:rFonts w:ascii="Arial" w:hAnsi="Arial" w:cs="Arial"/>
            <w:sz w:val="20"/>
            <w:szCs w:val="20"/>
            <w:u w:val="single"/>
          </w:rPr>
          <w:t>https://doi.org/10.1063/1.4919366</w:t>
        </w:r>
      </w:hyperlink>
      <w:r w:rsidRPr="005C5E57">
        <w:rPr>
          <w:rFonts w:ascii="Arial" w:hAnsi="Arial" w:cs="Arial"/>
          <w:sz w:val="20"/>
          <w:szCs w:val="20"/>
        </w:rPr>
        <w:t xml:space="preserve"> </w:t>
      </w:r>
    </w:p>
    <w:p w14:paraId="099654E9"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shd w:val="clear" w:color="auto" w:fill="FFFFFF"/>
        </w:rPr>
        <w:t xml:space="preserve">Martins, A. J., Guimarães, A., </w:t>
      </w:r>
      <w:proofErr w:type="spellStart"/>
      <w:r w:rsidRPr="005C5E57">
        <w:rPr>
          <w:rFonts w:ascii="Arial" w:hAnsi="Arial" w:cs="Arial"/>
          <w:sz w:val="20"/>
          <w:szCs w:val="20"/>
          <w:shd w:val="clear" w:color="auto" w:fill="FFFFFF"/>
        </w:rPr>
        <w:t>Fuciños</w:t>
      </w:r>
      <w:proofErr w:type="spellEnd"/>
      <w:r w:rsidRPr="005C5E57">
        <w:rPr>
          <w:rFonts w:ascii="Arial" w:hAnsi="Arial" w:cs="Arial"/>
          <w:sz w:val="20"/>
          <w:szCs w:val="20"/>
          <w:shd w:val="clear" w:color="auto" w:fill="FFFFFF"/>
        </w:rPr>
        <w:t xml:space="preserve">, P., Sousa, P., Venâncio, A., Pastrana, L. M. &amp; Cerqueira, </w:t>
      </w:r>
      <w:r w:rsidRPr="005C5E57">
        <w:rPr>
          <w:rFonts w:ascii="Arial" w:hAnsi="Arial" w:cs="Arial"/>
          <w:sz w:val="20"/>
          <w:szCs w:val="20"/>
          <w:shd w:val="clear" w:color="auto" w:fill="FFFFFF"/>
        </w:rPr>
        <w:tab/>
        <w:t xml:space="preserve">M. A.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2023</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Food-Grade </w:t>
      </w:r>
      <w:proofErr w:type="spellStart"/>
      <w:r w:rsidRPr="005C5E57">
        <w:rPr>
          <w:rFonts w:ascii="Arial" w:hAnsi="Arial" w:cs="Arial"/>
          <w:sz w:val="20"/>
          <w:szCs w:val="20"/>
          <w:shd w:val="clear" w:color="auto" w:fill="FFFFFF"/>
        </w:rPr>
        <w:t>Bigels</w:t>
      </w:r>
      <w:proofErr w:type="spellEnd"/>
      <w:r w:rsidRPr="005C5E57">
        <w:rPr>
          <w:rFonts w:ascii="Arial" w:hAnsi="Arial" w:cs="Arial"/>
          <w:sz w:val="20"/>
          <w:szCs w:val="20"/>
          <w:shd w:val="clear" w:color="auto" w:fill="FFFFFF"/>
        </w:rPr>
        <w:t xml:space="preserve">: Evaluation of hydrogel: </w:t>
      </w:r>
      <w:proofErr w:type="spellStart"/>
      <w:r w:rsidRPr="005C5E57">
        <w:rPr>
          <w:rFonts w:ascii="Arial" w:hAnsi="Arial" w:cs="Arial"/>
          <w:sz w:val="20"/>
          <w:szCs w:val="20"/>
          <w:shd w:val="clear" w:color="auto" w:fill="FFFFFF"/>
        </w:rPr>
        <w:t>Oleogel</w:t>
      </w:r>
      <w:proofErr w:type="spellEnd"/>
      <w:r w:rsidRPr="005C5E57">
        <w:rPr>
          <w:rFonts w:ascii="Arial" w:hAnsi="Arial" w:cs="Arial"/>
          <w:sz w:val="20"/>
          <w:szCs w:val="20"/>
          <w:shd w:val="clear" w:color="auto" w:fill="FFFFFF"/>
        </w:rPr>
        <w:t xml:space="preserve"> Ratio </w:t>
      </w:r>
      <w:r w:rsidRPr="005C5E57">
        <w:rPr>
          <w:rFonts w:ascii="Arial" w:hAnsi="Arial" w:cs="Arial"/>
          <w:sz w:val="20"/>
          <w:szCs w:val="20"/>
          <w:shd w:val="clear" w:color="auto" w:fill="FFFFFF"/>
        </w:rPr>
        <w:tab/>
        <w:t xml:space="preserve">and </w:t>
      </w:r>
      <w:proofErr w:type="spellStart"/>
      <w:r w:rsidRPr="005C5E57">
        <w:rPr>
          <w:rFonts w:ascii="Arial" w:hAnsi="Arial" w:cs="Arial"/>
          <w:sz w:val="20"/>
          <w:szCs w:val="20"/>
          <w:shd w:val="clear" w:color="auto" w:fill="FFFFFF"/>
        </w:rPr>
        <w:t>Gelator</w:t>
      </w:r>
      <w:proofErr w:type="spellEnd"/>
      <w:r w:rsidRPr="005C5E57">
        <w:rPr>
          <w:rFonts w:ascii="Arial" w:hAnsi="Arial" w:cs="Arial"/>
          <w:sz w:val="20"/>
          <w:szCs w:val="20"/>
          <w:shd w:val="clear" w:color="auto" w:fill="FFFFFF"/>
        </w:rPr>
        <w:t xml:space="preserve"> Concentration on Their Physicochemical Properties. </w:t>
      </w:r>
      <w:r w:rsidRPr="005C5E57">
        <w:rPr>
          <w:rFonts w:ascii="Arial" w:hAnsi="Arial" w:cs="Arial"/>
          <w:i/>
          <w:iCs/>
          <w:sz w:val="20"/>
          <w:szCs w:val="20"/>
          <w:shd w:val="clear" w:color="auto" w:fill="FFFFFF"/>
        </w:rPr>
        <w:t>Food Hydrocolloids</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143</w:t>
      </w:r>
      <w:r w:rsidRPr="005C5E57">
        <w:rPr>
          <w:rFonts w:ascii="Arial" w:hAnsi="Arial" w:cs="Arial"/>
          <w:sz w:val="20"/>
          <w:szCs w:val="20"/>
          <w:shd w:val="clear" w:color="auto" w:fill="FFFFFF"/>
        </w:rPr>
        <w:t xml:space="preserve">, 108893. </w:t>
      </w:r>
      <w:hyperlink r:id="rId36" w:history="1">
        <w:r w:rsidRPr="00572DBC">
          <w:rPr>
            <w:rFonts w:ascii="Arial" w:hAnsi="Arial" w:cs="Arial"/>
            <w:sz w:val="20"/>
            <w:szCs w:val="20"/>
            <w:u w:val="single"/>
          </w:rPr>
          <w:t>https://doi.org/10.1016/j.foodhyd.2023.108497</w:t>
        </w:r>
      </w:hyperlink>
      <w:r w:rsidRPr="005C5E57">
        <w:rPr>
          <w:rFonts w:ascii="Arial" w:hAnsi="Arial" w:cs="Arial"/>
          <w:sz w:val="20"/>
          <w:szCs w:val="20"/>
        </w:rPr>
        <w:t xml:space="preserve"> </w:t>
      </w:r>
    </w:p>
    <w:p w14:paraId="674418D4" w14:textId="77777777" w:rsidR="003957B7" w:rsidRPr="005C5E57" w:rsidRDefault="003957B7" w:rsidP="003957B7">
      <w:pPr>
        <w:ind w:left="720" w:hanging="720"/>
        <w:jc w:val="both"/>
        <w:rPr>
          <w:rFonts w:ascii="Arial" w:hAnsi="Arial" w:cs="Arial"/>
          <w:sz w:val="20"/>
          <w:szCs w:val="20"/>
          <w:shd w:val="clear" w:color="auto" w:fill="FFFFFF"/>
        </w:rPr>
      </w:pPr>
      <w:r w:rsidRPr="005C5E57">
        <w:rPr>
          <w:rFonts w:ascii="Arial" w:hAnsi="Arial" w:cs="Arial"/>
          <w:sz w:val="20"/>
          <w:szCs w:val="20"/>
        </w:rPr>
        <w:t xml:space="preserve">Meng, Z., Qi, K., Guo, Y., Wang, Y. dan Liu, Y. </w:t>
      </w:r>
      <w:r w:rsidRPr="00572DBC">
        <w:rPr>
          <w:rFonts w:ascii="Arial" w:hAnsi="Arial" w:cs="Arial"/>
          <w:sz w:val="20"/>
          <w:szCs w:val="20"/>
        </w:rPr>
        <w:t>(</w:t>
      </w:r>
      <w:r w:rsidRPr="005C5E57">
        <w:rPr>
          <w:rFonts w:ascii="Arial" w:hAnsi="Arial" w:cs="Arial"/>
          <w:sz w:val="20"/>
          <w:szCs w:val="20"/>
        </w:rPr>
        <w:t>2018</w:t>
      </w:r>
      <w:r w:rsidRPr="00572DBC">
        <w:rPr>
          <w:rFonts w:ascii="Arial" w:hAnsi="Arial" w:cs="Arial"/>
          <w:sz w:val="20"/>
          <w:szCs w:val="20"/>
        </w:rPr>
        <w:t>)</w:t>
      </w:r>
      <w:r w:rsidRPr="005C5E57">
        <w:rPr>
          <w:rFonts w:ascii="Arial" w:hAnsi="Arial" w:cs="Arial"/>
          <w:sz w:val="20"/>
          <w:szCs w:val="20"/>
        </w:rPr>
        <w:t xml:space="preserve">. Edible </w:t>
      </w:r>
      <w:proofErr w:type="spellStart"/>
      <w:r w:rsidRPr="005C5E57">
        <w:rPr>
          <w:rFonts w:ascii="Arial" w:hAnsi="Arial" w:cs="Arial"/>
          <w:sz w:val="20"/>
          <w:szCs w:val="20"/>
        </w:rPr>
        <w:t>Oleogels</w:t>
      </w:r>
      <w:proofErr w:type="spellEnd"/>
      <w:r w:rsidRPr="005C5E57">
        <w:rPr>
          <w:rFonts w:ascii="Arial" w:hAnsi="Arial" w:cs="Arial"/>
          <w:sz w:val="20"/>
          <w:szCs w:val="20"/>
        </w:rPr>
        <w:t xml:space="preserve"> Prepared from Beeswax and Vegetable Oils: Gel Properties and Crystallization Behavior. </w:t>
      </w:r>
      <w:r w:rsidRPr="005C5E57">
        <w:rPr>
          <w:rFonts w:ascii="Arial" w:hAnsi="Arial" w:cs="Arial"/>
          <w:i/>
          <w:iCs/>
          <w:sz w:val="20"/>
          <w:szCs w:val="20"/>
        </w:rPr>
        <w:t>Food</w:t>
      </w:r>
      <w:r w:rsidR="00572DBC">
        <w:rPr>
          <w:rFonts w:ascii="Arial" w:hAnsi="Arial" w:cs="Arial"/>
          <w:i/>
          <w:iCs/>
          <w:sz w:val="20"/>
          <w:szCs w:val="20"/>
        </w:rPr>
        <w:t xml:space="preserve"> </w:t>
      </w:r>
      <w:r w:rsidRPr="005C5E57">
        <w:rPr>
          <w:rFonts w:ascii="Arial" w:hAnsi="Arial" w:cs="Arial"/>
          <w:i/>
          <w:iCs/>
          <w:sz w:val="20"/>
          <w:szCs w:val="20"/>
        </w:rPr>
        <w:t>Research International</w:t>
      </w:r>
      <w:r w:rsidRPr="005C5E57">
        <w:rPr>
          <w:rFonts w:ascii="Arial" w:hAnsi="Arial" w:cs="Arial"/>
          <w:sz w:val="20"/>
          <w:szCs w:val="20"/>
        </w:rPr>
        <w:t xml:space="preserve">, 105, 36-45. </w:t>
      </w:r>
      <w:hyperlink r:id="rId37" w:history="1">
        <w:r w:rsidRPr="005C5E57">
          <w:rPr>
            <w:rFonts w:ascii="Arial" w:hAnsi="Arial" w:cs="Arial"/>
            <w:sz w:val="20"/>
            <w:szCs w:val="20"/>
            <w:u w:val="single"/>
          </w:rPr>
          <w:t>https://doi.org/10.1016/j.foodres.2017.11.057</w:t>
        </w:r>
      </w:hyperlink>
      <w:r w:rsidRPr="005C5E57">
        <w:rPr>
          <w:rFonts w:ascii="Arial" w:hAnsi="Arial" w:cs="Arial"/>
          <w:sz w:val="20"/>
          <w:szCs w:val="20"/>
        </w:rPr>
        <w:t xml:space="preserve"> </w:t>
      </w:r>
    </w:p>
    <w:p w14:paraId="3A7960F8" w14:textId="77777777" w:rsidR="003957B7" w:rsidRPr="005C5E57" w:rsidRDefault="003957B7" w:rsidP="003957B7">
      <w:pPr>
        <w:ind w:left="720" w:hanging="720"/>
        <w:jc w:val="both"/>
        <w:rPr>
          <w:rFonts w:ascii="Arial" w:hAnsi="Arial" w:cs="Arial"/>
          <w:sz w:val="20"/>
          <w:szCs w:val="20"/>
          <w:shd w:val="clear" w:color="auto" w:fill="FFFFFF"/>
        </w:rPr>
      </w:pPr>
      <w:r w:rsidRPr="005C5E57">
        <w:rPr>
          <w:rFonts w:ascii="Arial" w:hAnsi="Arial" w:cs="Arial"/>
          <w:sz w:val="20"/>
          <w:szCs w:val="20"/>
          <w:shd w:val="clear" w:color="auto" w:fill="FFFFFF"/>
        </w:rPr>
        <w:t xml:space="preserve">Noman, S., &amp; Singh, N.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2024</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Efficacy of </w:t>
      </w:r>
      <w:proofErr w:type="spellStart"/>
      <w:r w:rsidRPr="005C5E57">
        <w:rPr>
          <w:rFonts w:ascii="Arial" w:hAnsi="Arial" w:cs="Arial"/>
          <w:sz w:val="20"/>
          <w:szCs w:val="20"/>
          <w:shd w:val="clear" w:color="auto" w:fill="FFFFFF"/>
        </w:rPr>
        <w:t>Bigel</w:t>
      </w:r>
      <w:proofErr w:type="spellEnd"/>
      <w:r w:rsidRPr="005C5E57">
        <w:rPr>
          <w:rFonts w:ascii="Arial" w:hAnsi="Arial" w:cs="Arial"/>
          <w:sz w:val="20"/>
          <w:szCs w:val="20"/>
          <w:shd w:val="clear" w:color="auto" w:fill="FFFFFF"/>
        </w:rPr>
        <w:t xml:space="preserve"> in Improving the Viability of Probiotic: Experimental Study. </w:t>
      </w:r>
      <w:r w:rsidRPr="005C5E57">
        <w:rPr>
          <w:rFonts w:ascii="Arial" w:hAnsi="Arial" w:cs="Arial"/>
          <w:i/>
          <w:iCs/>
          <w:sz w:val="20"/>
          <w:szCs w:val="20"/>
          <w:shd w:val="clear" w:color="auto" w:fill="FFFFFF"/>
        </w:rPr>
        <w:t>Sustainability, Agri, Food and Environmental Research-DISCONTINUED</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12</w:t>
      </w:r>
      <w:r w:rsidRPr="005C5E57">
        <w:rPr>
          <w:rFonts w:ascii="Arial" w:hAnsi="Arial" w:cs="Arial"/>
          <w:sz w:val="20"/>
          <w:szCs w:val="20"/>
          <w:shd w:val="clear" w:color="auto" w:fill="FFFFFF"/>
        </w:rPr>
        <w:t>(2).</w:t>
      </w:r>
      <w:r w:rsidRPr="00572DBC">
        <w:rPr>
          <w:rFonts w:ascii="Arial" w:hAnsi="Arial" w:cs="Arial"/>
          <w:sz w:val="20"/>
          <w:szCs w:val="20"/>
          <w:shd w:val="clear" w:color="auto" w:fill="FFFFFF"/>
        </w:rPr>
        <w:t xml:space="preserve"> </w:t>
      </w:r>
      <w:hyperlink r:id="rId38" w:history="1">
        <w:r w:rsidRPr="00572DBC">
          <w:rPr>
            <w:rStyle w:val="Hyperlink"/>
            <w:rFonts w:ascii="Arial" w:hAnsi="Arial" w:cs="Arial"/>
            <w:color w:val="auto"/>
            <w:sz w:val="20"/>
            <w:szCs w:val="20"/>
          </w:rPr>
          <w:t>https://doi.org/10.7770/safer-V12N2-art3209</w:t>
        </w:r>
      </w:hyperlink>
      <w:r w:rsidRPr="005C5E57">
        <w:rPr>
          <w:rFonts w:ascii="Arial" w:hAnsi="Arial" w:cs="Arial"/>
          <w:sz w:val="20"/>
          <w:szCs w:val="20"/>
        </w:rPr>
        <w:t xml:space="preserve"> </w:t>
      </w:r>
    </w:p>
    <w:p w14:paraId="5D89EFC5" w14:textId="77777777" w:rsidR="003957B7" w:rsidRPr="005C5E57" w:rsidRDefault="003957B7" w:rsidP="003957B7">
      <w:pPr>
        <w:ind w:left="720" w:hanging="720"/>
        <w:jc w:val="both"/>
        <w:rPr>
          <w:rFonts w:ascii="Arial" w:hAnsi="Arial" w:cs="Arial"/>
          <w:sz w:val="20"/>
          <w:szCs w:val="20"/>
          <w:shd w:val="clear" w:color="auto" w:fill="FFFFFF"/>
        </w:rPr>
      </w:pPr>
      <w:proofErr w:type="spellStart"/>
      <w:r w:rsidRPr="005C5E57">
        <w:rPr>
          <w:rFonts w:ascii="Arial" w:hAnsi="Arial" w:cs="Arial"/>
          <w:sz w:val="20"/>
          <w:szCs w:val="20"/>
          <w:shd w:val="clear" w:color="auto" w:fill="FFFFFF"/>
        </w:rPr>
        <w:t>Pathare</w:t>
      </w:r>
      <w:proofErr w:type="spellEnd"/>
      <w:r w:rsidRPr="005C5E57">
        <w:rPr>
          <w:rFonts w:ascii="Arial" w:hAnsi="Arial" w:cs="Arial"/>
          <w:sz w:val="20"/>
          <w:szCs w:val="20"/>
          <w:shd w:val="clear" w:color="auto" w:fill="FFFFFF"/>
        </w:rPr>
        <w:t xml:space="preserve">, P. B., Opara, U. L. &amp; Al-Said, F. A. J.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2013</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w:t>
      </w:r>
      <w:proofErr w:type="spellStart"/>
      <w:r w:rsidRPr="005C5E57">
        <w:rPr>
          <w:rFonts w:ascii="Arial" w:hAnsi="Arial" w:cs="Arial"/>
          <w:sz w:val="20"/>
          <w:szCs w:val="20"/>
          <w:shd w:val="clear" w:color="auto" w:fill="FFFFFF"/>
        </w:rPr>
        <w:t>Colour</w:t>
      </w:r>
      <w:proofErr w:type="spellEnd"/>
      <w:r w:rsidRPr="005C5E57">
        <w:rPr>
          <w:rFonts w:ascii="Arial" w:hAnsi="Arial" w:cs="Arial"/>
          <w:sz w:val="20"/>
          <w:szCs w:val="20"/>
          <w:shd w:val="clear" w:color="auto" w:fill="FFFFFF"/>
        </w:rPr>
        <w:t xml:space="preserve"> Measurement and Analysis in Fresh </w:t>
      </w:r>
      <w:r w:rsidRPr="005C5E57">
        <w:rPr>
          <w:rFonts w:ascii="Arial" w:hAnsi="Arial" w:cs="Arial"/>
          <w:sz w:val="20"/>
          <w:szCs w:val="20"/>
          <w:shd w:val="clear" w:color="auto" w:fill="FFFFFF"/>
        </w:rPr>
        <w:tab/>
        <w:t>and Processed Foods: A Review. </w:t>
      </w:r>
      <w:r w:rsidRPr="005C5E57">
        <w:rPr>
          <w:rFonts w:ascii="Arial" w:hAnsi="Arial" w:cs="Arial"/>
          <w:i/>
          <w:iCs/>
          <w:sz w:val="20"/>
          <w:szCs w:val="20"/>
          <w:shd w:val="clear" w:color="auto" w:fill="FFFFFF"/>
        </w:rPr>
        <w:t>Food and Bioprocess Technology</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6</w:t>
      </w:r>
      <w:r w:rsidRPr="005C5E57">
        <w:rPr>
          <w:rFonts w:ascii="Arial" w:hAnsi="Arial" w:cs="Arial"/>
          <w:sz w:val="20"/>
          <w:szCs w:val="20"/>
          <w:shd w:val="clear" w:color="auto" w:fill="FFFFFF"/>
        </w:rPr>
        <w:t>, 36-60.</w:t>
      </w:r>
      <w:hyperlink r:id="rId39" w:history="1">
        <w:r w:rsidRPr="00572DBC">
          <w:rPr>
            <w:rStyle w:val="Hyperlink"/>
            <w:rFonts w:ascii="Arial" w:hAnsi="Arial" w:cs="Arial"/>
            <w:color w:val="auto"/>
            <w:sz w:val="20"/>
            <w:szCs w:val="20"/>
          </w:rPr>
          <w:t>https://doi.org/10.1007/s11947-012-0867-9</w:t>
        </w:r>
      </w:hyperlink>
      <w:r w:rsidRPr="005C5E57">
        <w:rPr>
          <w:rFonts w:ascii="Arial" w:hAnsi="Arial" w:cs="Arial"/>
          <w:sz w:val="20"/>
          <w:szCs w:val="20"/>
        </w:rPr>
        <w:t xml:space="preserve"> </w:t>
      </w:r>
    </w:p>
    <w:p w14:paraId="0FC04511"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rPr>
        <w:t xml:space="preserve">Prasad, K., &amp; Kumar, A. </w:t>
      </w:r>
      <w:r w:rsidRPr="00572DBC">
        <w:rPr>
          <w:rFonts w:ascii="Arial" w:hAnsi="Arial" w:cs="Arial"/>
          <w:sz w:val="20"/>
          <w:szCs w:val="20"/>
        </w:rPr>
        <w:t>(</w:t>
      </w:r>
      <w:r w:rsidRPr="005C5E57">
        <w:rPr>
          <w:rFonts w:ascii="Arial" w:hAnsi="Arial" w:cs="Arial"/>
          <w:sz w:val="20"/>
          <w:szCs w:val="20"/>
        </w:rPr>
        <w:t>2023</w:t>
      </w:r>
      <w:r w:rsidRPr="00572DBC">
        <w:rPr>
          <w:rFonts w:ascii="Arial" w:hAnsi="Arial" w:cs="Arial"/>
          <w:sz w:val="20"/>
          <w:szCs w:val="20"/>
        </w:rPr>
        <w:t>)</w:t>
      </w:r>
      <w:r w:rsidRPr="005C5E57">
        <w:rPr>
          <w:rFonts w:ascii="Arial" w:hAnsi="Arial" w:cs="Arial"/>
          <w:sz w:val="20"/>
          <w:szCs w:val="20"/>
        </w:rPr>
        <w:t xml:space="preserve">. Physiochemical, Thermal, Textural, Functional, And Microstructural Characterization of The Developed Shelf Stable </w:t>
      </w:r>
      <w:proofErr w:type="spellStart"/>
      <w:r w:rsidRPr="005C5E57">
        <w:rPr>
          <w:rFonts w:ascii="Arial" w:hAnsi="Arial" w:cs="Arial"/>
          <w:sz w:val="20"/>
          <w:szCs w:val="20"/>
        </w:rPr>
        <w:t>Bigel</w:t>
      </w:r>
      <w:proofErr w:type="spellEnd"/>
      <w:r w:rsidRPr="005C5E57">
        <w:rPr>
          <w:rFonts w:ascii="Arial" w:hAnsi="Arial" w:cs="Arial"/>
          <w:sz w:val="20"/>
          <w:szCs w:val="20"/>
        </w:rPr>
        <w:t xml:space="preserve"> Using Hydrogel and </w:t>
      </w:r>
      <w:r w:rsidRPr="005C5E57">
        <w:rPr>
          <w:rFonts w:ascii="Arial" w:hAnsi="Arial" w:cs="Arial"/>
          <w:sz w:val="20"/>
          <w:szCs w:val="20"/>
        </w:rPr>
        <w:tab/>
      </w:r>
      <w:proofErr w:type="spellStart"/>
      <w:r w:rsidRPr="005C5E57">
        <w:rPr>
          <w:rFonts w:ascii="Arial" w:hAnsi="Arial" w:cs="Arial"/>
          <w:sz w:val="20"/>
          <w:szCs w:val="20"/>
        </w:rPr>
        <w:t>Oleogel</w:t>
      </w:r>
      <w:proofErr w:type="spellEnd"/>
      <w:r w:rsidRPr="005C5E57">
        <w:rPr>
          <w:rFonts w:ascii="Arial" w:hAnsi="Arial" w:cs="Arial"/>
          <w:sz w:val="20"/>
          <w:szCs w:val="20"/>
        </w:rPr>
        <w:t xml:space="preserve">. </w:t>
      </w:r>
      <w:r w:rsidRPr="005C5E57">
        <w:rPr>
          <w:rFonts w:ascii="Arial" w:hAnsi="Arial" w:cs="Arial"/>
          <w:i/>
          <w:sz w:val="20"/>
          <w:szCs w:val="20"/>
        </w:rPr>
        <w:t>In Journal of Physics: Conference Series</w:t>
      </w:r>
      <w:r w:rsidRPr="005C5E57">
        <w:rPr>
          <w:rFonts w:ascii="Arial" w:hAnsi="Arial" w:cs="Arial"/>
          <w:sz w:val="20"/>
          <w:szCs w:val="20"/>
        </w:rPr>
        <w:t>, 2663(1), 012029.</w:t>
      </w:r>
      <w:hyperlink r:id="rId40" w:history="1">
        <w:r w:rsidRPr="00572DBC">
          <w:rPr>
            <w:rFonts w:ascii="Arial" w:hAnsi="Arial" w:cs="Arial"/>
            <w:sz w:val="20"/>
            <w:szCs w:val="20"/>
            <w:u w:val="single"/>
          </w:rPr>
          <w:t>https://doi.org/10.1088/1742-6596/2663/1/012029</w:t>
        </w:r>
      </w:hyperlink>
      <w:r w:rsidRPr="005C5E57">
        <w:rPr>
          <w:rFonts w:ascii="Arial" w:hAnsi="Arial" w:cs="Arial"/>
          <w:sz w:val="20"/>
          <w:szCs w:val="20"/>
        </w:rPr>
        <w:t xml:space="preserve"> </w:t>
      </w:r>
    </w:p>
    <w:p w14:paraId="5E265140" w14:textId="77777777" w:rsidR="003957B7" w:rsidRPr="005C5E57" w:rsidRDefault="003957B7" w:rsidP="003957B7">
      <w:pPr>
        <w:ind w:left="720" w:hanging="720"/>
        <w:jc w:val="both"/>
        <w:rPr>
          <w:rFonts w:ascii="Arial" w:hAnsi="Arial" w:cs="Arial"/>
          <w:sz w:val="20"/>
          <w:szCs w:val="20"/>
          <w:shd w:val="clear" w:color="auto" w:fill="FFFFFF"/>
        </w:rPr>
      </w:pPr>
      <w:r w:rsidRPr="005C5E57">
        <w:rPr>
          <w:rFonts w:ascii="Arial" w:hAnsi="Arial" w:cs="Arial"/>
          <w:sz w:val="20"/>
          <w:szCs w:val="20"/>
        </w:rPr>
        <w:t xml:space="preserve">Pușcaș, A., Mureșan, V., </w:t>
      </w:r>
      <w:proofErr w:type="spellStart"/>
      <w:r w:rsidRPr="005C5E57">
        <w:rPr>
          <w:rFonts w:ascii="Arial" w:hAnsi="Arial" w:cs="Arial"/>
          <w:sz w:val="20"/>
          <w:szCs w:val="20"/>
        </w:rPr>
        <w:t>Socaciu</w:t>
      </w:r>
      <w:proofErr w:type="spellEnd"/>
      <w:r w:rsidRPr="005C5E57">
        <w:rPr>
          <w:rFonts w:ascii="Arial" w:hAnsi="Arial" w:cs="Arial"/>
          <w:sz w:val="20"/>
          <w:szCs w:val="20"/>
        </w:rPr>
        <w:t xml:space="preserve">, C., and </w:t>
      </w:r>
      <w:proofErr w:type="spellStart"/>
      <w:r w:rsidRPr="005C5E57">
        <w:rPr>
          <w:rFonts w:ascii="Arial" w:hAnsi="Arial" w:cs="Arial"/>
          <w:sz w:val="20"/>
          <w:szCs w:val="20"/>
        </w:rPr>
        <w:t>Muste</w:t>
      </w:r>
      <w:proofErr w:type="spellEnd"/>
      <w:r w:rsidRPr="005C5E57">
        <w:rPr>
          <w:rFonts w:ascii="Arial" w:hAnsi="Arial" w:cs="Arial"/>
          <w:sz w:val="20"/>
          <w:szCs w:val="20"/>
        </w:rPr>
        <w:t xml:space="preserve">, S. </w:t>
      </w:r>
      <w:r w:rsidRPr="00572DBC">
        <w:rPr>
          <w:rFonts w:ascii="Arial" w:hAnsi="Arial" w:cs="Arial"/>
          <w:sz w:val="20"/>
          <w:szCs w:val="20"/>
        </w:rPr>
        <w:t>(</w:t>
      </w:r>
      <w:r w:rsidRPr="005C5E57">
        <w:rPr>
          <w:rFonts w:ascii="Arial" w:hAnsi="Arial" w:cs="Arial"/>
          <w:sz w:val="20"/>
          <w:szCs w:val="20"/>
        </w:rPr>
        <w:t>2020</w:t>
      </w:r>
      <w:r w:rsidRPr="00572DBC">
        <w:rPr>
          <w:rFonts w:ascii="Arial" w:hAnsi="Arial" w:cs="Arial"/>
          <w:sz w:val="20"/>
          <w:szCs w:val="20"/>
        </w:rPr>
        <w:t>)</w:t>
      </w:r>
      <w:r w:rsidRPr="005C5E57">
        <w:rPr>
          <w:rFonts w:ascii="Arial" w:hAnsi="Arial" w:cs="Arial"/>
          <w:sz w:val="20"/>
          <w:szCs w:val="20"/>
        </w:rPr>
        <w:t xml:space="preserve">. </w:t>
      </w:r>
      <w:proofErr w:type="spellStart"/>
      <w:r w:rsidRPr="005C5E57">
        <w:rPr>
          <w:rFonts w:ascii="Arial" w:hAnsi="Arial" w:cs="Arial"/>
          <w:sz w:val="20"/>
          <w:szCs w:val="20"/>
        </w:rPr>
        <w:t>Oleogels</w:t>
      </w:r>
      <w:proofErr w:type="spellEnd"/>
      <w:r w:rsidRPr="005C5E57">
        <w:rPr>
          <w:rFonts w:ascii="Arial" w:hAnsi="Arial" w:cs="Arial"/>
          <w:sz w:val="20"/>
          <w:szCs w:val="20"/>
        </w:rPr>
        <w:t xml:space="preserve"> In Food: A Review of Current </w:t>
      </w:r>
      <w:r w:rsidRPr="005C5E57">
        <w:rPr>
          <w:rFonts w:ascii="Arial" w:hAnsi="Arial" w:cs="Arial"/>
          <w:sz w:val="20"/>
          <w:szCs w:val="20"/>
        </w:rPr>
        <w:tab/>
        <w:t xml:space="preserve">and Potential Applications. </w:t>
      </w:r>
      <w:r w:rsidRPr="005C5E57">
        <w:rPr>
          <w:rFonts w:ascii="Arial" w:hAnsi="Arial" w:cs="Arial"/>
          <w:i/>
          <w:sz w:val="20"/>
          <w:szCs w:val="20"/>
        </w:rPr>
        <w:t>Foods</w:t>
      </w:r>
      <w:r w:rsidRPr="005C5E57">
        <w:rPr>
          <w:rFonts w:ascii="Arial" w:hAnsi="Arial" w:cs="Arial"/>
          <w:sz w:val="20"/>
          <w:szCs w:val="20"/>
        </w:rPr>
        <w:t xml:space="preserve">, 9(1). </w:t>
      </w:r>
      <w:hyperlink r:id="rId41" w:history="1">
        <w:r w:rsidRPr="005C5E57">
          <w:rPr>
            <w:rFonts w:ascii="Arial" w:hAnsi="Arial" w:cs="Arial"/>
            <w:sz w:val="20"/>
            <w:szCs w:val="20"/>
            <w:u w:val="single"/>
          </w:rPr>
          <w:t>https://doi.org/10.3390/foods9010070</w:t>
        </w:r>
      </w:hyperlink>
      <w:r w:rsidRPr="005C5E57">
        <w:rPr>
          <w:rFonts w:ascii="Arial" w:hAnsi="Arial" w:cs="Arial"/>
          <w:sz w:val="20"/>
          <w:szCs w:val="20"/>
        </w:rPr>
        <w:t xml:space="preserve"> </w:t>
      </w:r>
    </w:p>
    <w:p w14:paraId="7F07E74D" w14:textId="77777777" w:rsidR="003957B7" w:rsidRPr="005C5E57" w:rsidRDefault="003957B7" w:rsidP="003957B7">
      <w:pPr>
        <w:ind w:left="720" w:hanging="720"/>
        <w:jc w:val="both"/>
        <w:rPr>
          <w:rFonts w:ascii="Arial" w:hAnsi="Arial" w:cs="Arial"/>
          <w:sz w:val="20"/>
          <w:szCs w:val="20"/>
        </w:rPr>
      </w:pPr>
      <w:proofErr w:type="spellStart"/>
      <w:r w:rsidRPr="005C5E57">
        <w:rPr>
          <w:rFonts w:ascii="Arial" w:hAnsi="Arial" w:cs="Arial"/>
          <w:sz w:val="20"/>
          <w:szCs w:val="20"/>
        </w:rPr>
        <w:t>Sagiri</w:t>
      </w:r>
      <w:proofErr w:type="spellEnd"/>
      <w:r w:rsidRPr="005C5E57">
        <w:rPr>
          <w:rFonts w:ascii="Arial" w:hAnsi="Arial" w:cs="Arial"/>
          <w:sz w:val="20"/>
          <w:szCs w:val="20"/>
        </w:rPr>
        <w:t xml:space="preserve">, S. S., Singh, V. K., </w:t>
      </w:r>
      <w:proofErr w:type="spellStart"/>
      <w:r w:rsidRPr="005C5E57">
        <w:rPr>
          <w:rFonts w:ascii="Arial" w:hAnsi="Arial" w:cs="Arial"/>
          <w:sz w:val="20"/>
          <w:szCs w:val="20"/>
        </w:rPr>
        <w:t>Kulanthaivel</w:t>
      </w:r>
      <w:proofErr w:type="spellEnd"/>
      <w:r w:rsidRPr="005C5E57">
        <w:rPr>
          <w:rFonts w:ascii="Arial" w:hAnsi="Arial" w:cs="Arial"/>
          <w:sz w:val="20"/>
          <w:szCs w:val="20"/>
        </w:rPr>
        <w:t xml:space="preserve">, S., Banerjee, I., Basak, P., </w:t>
      </w:r>
      <w:proofErr w:type="spellStart"/>
      <w:r w:rsidRPr="005C5E57">
        <w:rPr>
          <w:rFonts w:ascii="Arial" w:hAnsi="Arial" w:cs="Arial"/>
          <w:sz w:val="20"/>
          <w:szCs w:val="20"/>
        </w:rPr>
        <w:t>Battacharya</w:t>
      </w:r>
      <w:proofErr w:type="spellEnd"/>
      <w:r w:rsidRPr="005C5E57">
        <w:rPr>
          <w:rFonts w:ascii="Arial" w:hAnsi="Arial" w:cs="Arial"/>
          <w:sz w:val="20"/>
          <w:szCs w:val="20"/>
        </w:rPr>
        <w:t xml:space="preserve">, M. K., &amp; Pal, K. </w:t>
      </w:r>
      <w:r w:rsidRPr="00572DBC">
        <w:rPr>
          <w:rFonts w:ascii="Arial" w:hAnsi="Arial" w:cs="Arial"/>
          <w:sz w:val="20"/>
          <w:szCs w:val="20"/>
        </w:rPr>
        <w:t>(</w:t>
      </w:r>
      <w:r w:rsidRPr="005C5E57">
        <w:rPr>
          <w:rFonts w:ascii="Arial" w:hAnsi="Arial" w:cs="Arial"/>
          <w:sz w:val="20"/>
          <w:szCs w:val="20"/>
        </w:rPr>
        <w:t>2015</w:t>
      </w:r>
      <w:r w:rsidRPr="00572DBC">
        <w:rPr>
          <w:rFonts w:ascii="Arial" w:hAnsi="Arial" w:cs="Arial"/>
          <w:sz w:val="20"/>
          <w:szCs w:val="20"/>
        </w:rPr>
        <w:t>)</w:t>
      </w:r>
      <w:r w:rsidRPr="005C5E57">
        <w:rPr>
          <w:rFonts w:ascii="Arial" w:hAnsi="Arial" w:cs="Arial"/>
          <w:sz w:val="20"/>
          <w:szCs w:val="20"/>
        </w:rPr>
        <w:t xml:space="preserve">. </w:t>
      </w:r>
      <w:r w:rsidRPr="005C5E57">
        <w:rPr>
          <w:rFonts w:ascii="Arial" w:hAnsi="Arial" w:cs="Arial"/>
          <w:i/>
          <w:iCs/>
          <w:sz w:val="20"/>
          <w:szCs w:val="20"/>
        </w:rPr>
        <w:t xml:space="preserve">Physical, Mechanical, and Biological Characterization of </w:t>
      </w:r>
      <w:proofErr w:type="spellStart"/>
      <w:r w:rsidRPr="005C5E57">
        <w:rPr>
          <w:rFonts w:ascii="Arial" w:hAnsi="Arial" w:cs="Arial"/>
          <w:i/>
          <w:iCs/>
          <w:sz w:val="20"/>
          <w:szCs w:val="20"/>
        </w:rPr>
        <w:t>Oleogel</w:t>
      </w:r>
      <w:proofErr w:type="spellEnd"/>
      <w:r w:rsidRPr="005C5E57">
        <w:rPr>
          <w:rFonts w:ascii="Arial" w:hAnsi="Arial" w:cs="Arial"/>
          <w:i/>
          <w:iCs/>
          <w:sz w:val="20"/>
          <w:szCs w:val="20"/>
        </w:rPr>
        <w:t xml:space="preserve">-Based </w:t>
      </w:r>
      <w:proofErr w:type="spellStart"/>
      <w:r w:rsidRPr="005C5E57">
        <w:rPr>
          <w:rFonts w:ascii="Arial" w:hAnsi="Arial" w:cs="Arial"/>
          <w:i/>
          <w:iCs/>
          <w:sz w:val="20"/>
          <w:szCs w:val="20"/>
        </w:rPr>
        <w:t>Bigels</w:t>
      </w:r>
      <w:proofErr w:type="spellEnd"/>
      <w:r w:rsidRPr="005C5E57">
        <w:rPr>
          <w:rFonts w:ascii="Arial" w:hAnsi="Arial" w:cs="Arial"/>
          <w:i/>
          <w:iCs/>
          <w:sz w:val="20"/>
          <w:szCs w:val="20"/>
        </w:rPr>
        <w:t xml:space="preserve"> </w:t>
      </w:r>
      <w:r w:rsidRPr="005C5E57">
        <w:rPr>
          <w:rFonts w:ascii="Arial" w:hAnsi="Arial" w:cs="Arial"/>
          <w:i/>
          <w:iCs/>
          <w:sz w:val="20"/>
          <w:szCs w:val="20"/>
        </w:rPr>
        <w:tab/>
        <w:t>for Topical Delivery of Diclofenac</w:t>
      </w:r>
      <w:r w:rsidRPr="005C5E57">
        <w:rPr>
          <w:rFonts w:ascii="Arial" w:hAnsi="Arial" w:cs="Arial"/>
          <w:sz w:val="20"/>
          <w:szCs w:val="20"/>
        </w:rPr>
        <w:t xml:space="preserve">. </w:t>
      </w:r>
      <w:r w:rsidRPr="005C5E57">
        <w:rPr>
          <w:rFonts w:ascii="Arial" w:hAnsi="Arial" w:cs="Arial"/>
          <w:i/>
          <w:sz w:val="20"/>
          <w:szCs w:val="20"/>
        </w:rPr>
        <w:t>Journal of Materials Science: Materials in Medicine</w:t>
      </w:r>
      <w:r w:rsidRPr="005C5E57">
        <w:rPr>
          <w:rFonts w:ascii="Arial" w:hAnsi="Arial" w:cs="Arial"/>
          <w:sz w:val="20"/>
          <w:szCs w:val="20"/>
        </w:rPr>
        <w:t xml:space="preserve">, 26(1), 5346. </w:t>
      </w:r>
      <w:hyperlink r:id="rId42" w:history="1">
        <w:r w:rsidRPr="005C5E57">
          <w:rPr>
            <w:rFonts w:ascii="Arial" w:hAnsi="Arial" w:cs="Arial"/>
            <w:sz w:val="20"/>
            <w:szCs w:val="20"/>
            <w:u w:val="single"/>
          </w:rPr>
          <w:t>https://doi.org/10.1007/s10856-014-5346-5</w:t>
        </w:r>
      </w:hyperlink>
      <w:r w:rsidRPr="005C5E57">
        <w:rPr>
          <w:rFonts w:ascii="Arial" w:hAnsi="Arial" w:cs="Arial"/>
          <w:sz w:val="20"/>
          <w:szCs w:val="20"/>
        </w:rPr>
        <w:t xml:space="preserve"> </w:t>
      </w:r>
    </w:p>
    <w:p w14:paraId="6D417A1E" w14:textId="77777777" w:rsidR="003957B7" w:rsidRPr="005C5E57" w:rsidRDefault="003957B7" w:rsidP="003957B7">
      <w:pPr>
        <w:spacing w:after="0"/>
        <w:ind w:left="720" w:hanging="720"/>
        <w:jc w:val="both"/>
        <w:rPr>
          <w:rFonts w:ascii="Arial" w:hAnsi="Arial" w:cs="Arial"/>
          <w:sz w:val="20"/>
          <w:szCs w:val="20"/>
        </w:rPr>
      </w:pPr>
      <w:proofErr w:type="spellStart"/>
      <w:r w:rsidRPr="005C5E57">
        <w:rPr>
          <w:rFonts w:ascii="Arial" w:hAnsi="Arial" w:cs="Arial"/>
          <w:sz w:val="20"/>
          <w:szCs w:val="20"/>
        </w:rPr>
        <w:t>Sakul</w:t>
      </w:r>
      <w:proofErr w:type="spellEnd"/>
      <w:r w:rsidRPr="005C5E57">
        <w:rPr>
          <w:rFonts w:ascii="Arial" w:hAnsi="Arial" w:cs="Arial"/>
          <w:sz w:val="20"/>
          <w:szCs w:val="20"/>
        </w:rPr>
        <w:t xml:space="preserve">, S. E., </w:t>
      </w:r>
      <w:proofErr w:type="spellStart"/>
      <w:r w:rsidRPr="005C5E57">
        <w:rPr>
          <w:rFonts w:ascii="Arial" w:hAnsi="Arial" w:cs="Arial"/>
          <w:sz w:val="20"/>
          <w:szCs w:val="20"/>
        </w:rPr>
        <w:t>Rosyidi</w:t>
      </w:r>
      <w:proofErr w:type="spellEnd"/>
      <w:r w:rsidRPr="005C5E57">
        <w:rPr>
          <w:rFonts w:ascii="Arial" w:hAnsi="Arial" w:cs="Arial"/>
          <w:sz w:val="20"/>
          <w:szCs w:val="20"/>
        </w:rPr>
        <w:t xml:space="preserve">, D., &amp; </w:t>
      </w:r>
      <w:proofErr w:type="spellStart"/>
      <w:r w:rsidRPr="005C5E57">
        <w:rPr>
          <w:rFonts w:ascii="Arial" w:hAnsi="Arial" w:cs="Arial"/>
          <w:sz w:val="20"/>
          <w:szCs w:val="20"/>
        </w:rPr>
        <w:t>Radiati</w:t>
      </w:r>
      <w:proofErr w:type="spellEnd"/>
      <w:r w:rsidRPr="005C5E57">
        <w:rPr>
          <w:rFonts w:ascii="Arial" w:hAnsi="Arial" w:cs="Arial"/>
          <w:sz w:val="20"/>
          <w:szCs w:val="20"/>
        </w:rPr>
        <w:t xml:space="preserve">, L. E. </w:t>
      </w:r>
      <w:r w:rsidRPr="00572DBC">
        <w:rPr>
          <w:rFonts w:ascii="Arial" w:hAnsi="Arial" w:cs="Arial"/>
          <w:sz w:val="20"/>
          <w:szCs w:val="20"/>
        </w:rPr>
        <w:t>(</w:t>
      </w:r>
      <w:r w:rsidRPr="005C5E57">
        <w:rPr>
          <w:rFonts w:ascii="Arial" w:hAnsi="Arial" w:cs="Arial"/>
          <w:sz w:val="20"/>
          <w:szCs w:val="20"/>
        </w:rPr>
        <w:t>2019</w:t>
      </w:r>
      <w:r w:rsidRPr="00572DBC">
        <w:rPr>
          <w:rFonts w:ascii="Arial" w:hAnsi="Arial" w:cs="Arial"/>
          <w:sz w:val="20"/>
          <w:szCs w:val="20"/>
        </w:rPr>
        <w:t>)</w:t>
      </w:r>
      <w:r w:rsidRPr="005C5E57">
        <w:rPr>
          <w:rFonts w:ascii="Arial" w:hAnsi="Arial" w:cs="Arial"/>
          <w:sz w:val="20"/>
          <w:szCs w:val="20"/>
        </w:rPr>
        <w:t xml:space="preserve">. </w:t>
      </w:r>
      <w:proofErr w:type="spellStart"/>
      <w:r w:rsidRPr="005C5E57">
        <w:rPr>
          <w:rFonts w:ascii="Arial" w:hAnsi="Arial" w:cs="Arial"/>
          <w:sz w:val="20"/>
          <w:szCs w:val="20"/>
        </w:rPr>
        <w:t>Pengaruh</w:t>
      </w:r>
      <w:proofErr w:type="spellEnd"/>
      <w:r w:rsidRPr="005C5E57">
        <w:rPr>
          <w:rFonts w:ascii="Arial" w:hAnsi="Arial" w:cs="Arial"/>
          <w:sz w:val="20"/>
          <w:szCs w:val="20"/>
        </w:rPr>
        <w:t xml:space="preserve"> </w:t>
      </w:r>
      <w:proofErr w:type="spellStart"/>
      <w:r w:rsidRPr="005C5E57">
        <w:rPr>
          <w:rFonts w:ascii="Arial" w:hAnsi="Arial" w:cs="Arial"/>
          <w:sz w:val="20"/>
          <w:szCs w:val="20"/>
        </w:rPr>
        <w:t>Penambahan</w:t>
      </w:r>
      <w:proofErr w:type="spellEnd"/>
      <w:r w:rsidRPr="005C5E57">
        <w:rPr>
          <w:rFonts w:ascii="Arial" w:hAnsi="Arial" w:cs="Arial"/>
          <w:sz w:val="20"/>
          <w:szCs w:val="20"/>
        </w:rPr>
        <w:t xml:space="preserve"> Sari Jamur </w:t>
      </w:r>
      <w:proofErr w:type="spellStart"/>
      <w:r w:rsidRPr="005C5E57">
        <w:rPr>
          <w:rFonts w:ascii="Arial" w:hAnsi="Arial" w:cs="Arial"/>
          <w:sz w:val="20"/>
          <w:szCs w:val="20"/>
        </w:rPr>
        <w:t>Tiram</w:t>
      </w:r>
      <w:proofErr w:type="spellEnd"/>
      <w:r w:rsidRPr="005C5E57">
        <w:rPr>
          <w:rFonts w:ascii="Arial" w:hAnsi="Arial" w:cs="Arial"/>
          <w:sz w:val="20"/>
          <w:szCs w:val="20"/>
        </w:rPr>
        <w:t xml:space="preserve"> Putih (</w:t>
      </w:r>
      <w:r w:rsidRPr="005C5E57">
        <w:rPr>
          <w:rFonts w:ascii="Arial" w:hAnsi="Arial" w:cs="Arial"/>
          <w:i/>
          <w:sz w:val="20"/>
          <w:szCs w:val="20"/>
        </w:rPr>
        <w:t>Pleurotus ostreatus</w:t>
      </w:r>
      <w:r w:rsidRPr="005C5E57">
        <w:rPr>
          <w:rFonts w:ascii="Arial" w:hAnsi="Arial" w:cs="Arial"/>
          <w:sz w:val="20"/>
          <w:szCs w:val="20"/>
        </w:rPr>
        <w:t xml:space="preserve">) </w:t>
      </w:r>
      <w:proofErr w:type="spellStart"/>
      <w:r w:rsidRPr="005C5E57">
        <w:rPr>
          <w:rFonts w:ascii="Arial" w:hAnsi="Arial" w:cs="Arial"/>
          <w:sz w:val="20"/>
          <w:szCs w:val="20"/>
        </w:rPr>
        <w:t>Terhadap</w:t>
      </w:r>
      <w:proofErr w:type="spellEnd"/>
      <w:r w:rsidRPr="005C5E57">
        <w:rPr>
          <w:rFonts w:ascii="Arial" w:hAnsi="Arial" w:cs="Arial"/>
          <w:sz w:val="20"/>
          <w:szCs w:val="20"/>
        </w:rPr>
        <w:t xml:space="preserve"> Kadar Lemak, Kadar Air, Kadar Abu, Daya </w:t>
      </w:r>
      <w:proofErr w:type="spellStart"/>
      <w:r w:rsidRPr="005C5E57">
        <w:rPr>
          <w:rFonts w:ascii="Arial" w:hAnsi="Arial" w:cs="Arial"/>
          <w:sz w:val="20"/>
          <w:szCs w:val="20"/>
        </w:rPr>
        <w:t>Mengikat</w:t>
      </w:r>
      <w:proofErr w:type="spellEnd"/>
      <w:r w:rsidRPr="005C5E57">
        <w:rPr>
          <w:rFonts w:ascii="Arial" w:hAnsi="Arial" w:cs="Arial"/>
          <w:sz w:val="20"/>
          <w:szCs w:val="20"/>
        </w:rPr>
        <w:t xml:space="preserve"> Air, dan Nilai pH </w:t>
      </w:r>
      <w:proofErr w:type="spellStart"/>
      <w:r w:rsidRPr="005C5E57">
        <w:rPr>
          <w:rFonts w:ascii="Arial" w:hAnsi="Arial" w:cs="Arial"/>
          <w:sz w:val="20"/>
          <w:szCs w:val="20"/>
        </w:rPr>
        <w:t>dari</w:t>
      </w:r>
      <w:proofErr w:type="spellEnd"/>
      <w:r w:rsidRPr="005C5E57">
        <w:rPr>
          <w:rFonts w:ascii="Arial" w:hAnsi="Arial" w:cs="Arial"/>
          <w:sz w:val="20"/>
          <w:szCs w:val="20"/>
        </w:rPr>
        <w:t xml:space="preserve"> Yogurt Susu </w:t>
      </w:r>
      <w:proofErr w:type="spellStart"/>
      <w:r w:rsidRPr="005C5E57">
        <w:rPr>
          <w:rFonts w:ascii="Arial" w:hAnsi="Arial" w:cs="Arial"/>
          <w:sz w:val="20"/>
          <w:szCs w:val="20"/>
        </w:rPr>
        <w:t>Sapi</w:t>
      </w:r>
      <w:proofErr w:type="spellEnd"/>
      <w:r w:rsidRPr="005C5E57">
        <w:rPr>
          <w:rFonts w:ascii="Arial" w:hAnsi="Arial" w:cs="Arial"/>
          <w:sz w:val="20"/>
          <w:szCs w:val="20"/>
        </w:rPr>
        <w:t xml:space="preserve">. </w:t>
      </w:r>
      <w:proofErr w:type="spellStart"/>
      <w:r w:rsidRPr="005C5E57">
        <w:rPr>
          <w:rFonts w:ascii="Arial" w:hAnsi="Arial" w:cs="Arial"/>
          <w:i/>
          <w:sz w:val="20"/>
          <w:szCs w:val="20"/>
        </w:rPr>
        <w:t>Jurnal</w:t>
      </w:r>
      <w:proofErr w:type="spellEnd"/>
      <w:r w:rsidRPr="005C5E57">
        <w:rPr>
          <w:rFonts w:ascii="Arial" w:hAnsi="Arial" w:cs="Arial"/>
          <w:i/>
          <w:sz w:val="20"/>
          <w:szCs w:val="20"/>
        </w:rPr>
        <w:t xml:space="preserve"> Sains </w:t>
      </w:r>
      <w:proofErr w:type="spellStart"/>
      <w:r w:rsidRPr="005C5E57">
        <w:rPr>
          <w:rFonts w:ascii="Arial" w:hAnsi="Arial" w:cs="Arial"/>
          <w:i/>
          <w:sz w:val="20"/>
          <w:szCs w:val="20"/>
        </w:rPr>
        <w:t>Peternakan</w:t>
      </w:r>
      <w:proofErr w:type="spellEnd"/>
      <w:r w:rsidRPr="005C5E57">
        <w:rPr>
          <w:rFonts w:ascii="Arial" w:hAnsi="Arial" w:cs="Arial"/>
          <w:sz w:val="20"/>
          <w:szCs w:val="20"/>
        </w:rPr>
        <w:t>, 7(1), 41-46.</w:t>
      </w:r>
      <w:r w:rsidRPr="00572DBC">
        <w:rPr>
          <w:rFonts w:ascii="Arial" w:hAnsi="Arial" w:cs="Arial"/>
          <w:sz w:val="20"/>
          <w:szCs w:val="20"/>
        </w:rPr>
        <w:t xml:space="preserve"> </w:t>
      </w:r>
      <w:hyperlink r:id="rId43" w:history="1">
        <w:r w:rsidRPr="00572DBC">
          <w:rPr>
            <w:rStyle w:val="Hyperlink"/>
            <w:rFonts w:ascii="Arial" w:hAnsi="Arial" w:cs="Arial"/>
            <w:color w:val="auto"/>
            <w:sz w:val="20"/>
            <w:szCs w:val="20"/>
          </w:rPr>
          <w:t>https://doi.org/10.21067/jsp.v7i1.3610</w:t>
        </w:r>
      </w:hyperlink>
      <w:r w:rsidRPr="00572DBC">
        <w:rPr>
          <w:rFonts w:ascii="Arial" w:hAnsi="Arial" w:cs="Arial"/>
          <w:sz w:val="20"/>
          <w:szCs w:val="20"/>
        </w:rPr>
        <w:t xml:space="preserve"> </w:t>
      </w:r>
    </w:p>
    <w:p w14:paraId="03F6C890"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shd w:val="clear" w:color="auto" w:fill="FFFFFF"/>
        </w:rPr>
        <w:t xml:space="preserve">Samui, T., </w:t>
      </w:r>
      <w:proofErr w:type="spellStart"/>
      <w:r w:rsidRPr="005C5E57">
        <w:rPr>
          <w:rFonts w:ascii="Arial" w:hAnsi="Arial" w:cs="Arial"/>
          <w:sz w:val="20"/>
          <w:szCs w:val="20"/>
          <w:shd w:val="clear" w:color="auto" w:fill="FFFFFF"/>
        </w:rPr>
        <w:t>Goldenisky</w:t>
      </w:r>
      <w:proofErr w:type="spellEnd"/>
      <w:r w:rsidRPr="005C5E57">
        <w:rPr>
          <w:rFonts w:ascii="Arial" w:hAnsi="Arial" w:cs="Arial"/>
          <w:sz w:val="20"/>
          <w:szCs w:val="20"/>
          <w:shd w:val="clear" w:color="auto" w:fill="FFFFFF"/>
        </w:rPr>
        <w:t>, D., Rosen-</w:t>
      </w:r>
      <w:proofErr w:type="spellStart"/>
      <w:r w:rsidRPr="005C5E57">
        <w:rPr>
          <w:rFonts w:ascii="Arial" w:hAnsi="Arial" w:cs="Arial"/>
          <w:sz w:val="20"/>
          <w:szCs w:val="20"/>
          <w:shd w:val="clear" w:color="auto" w:fill="FFFFFF"/>
        </w:rPr>
        <w:t>Kligvasser</w:t>
      </w:r>
      <w:proofErr w:type="spellEnd"/>
      <w:r w:rsidRPr="005C5E57">
        <w:rPr>
          <w:rFonts w:ascii="Arial" w:hAnsi="Arial" w:cs="Arial"/>
          <w:sz w:val="20"/>
          <w:szCs w:val="20"/>
          <w:shd w:val="clear" w:color="auto" w:fill="FFFFFF"/>
        </w:rPr>
        <w:t xml:space="preserve">, J., &amp; Davidovich-Pinhas, M.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2021</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The Development and Characterization of Novel in-situ </w:t>
      </w:r>
      <w:proofErr w:type="spellStart"/>
      <w:r w:rsidRPr="005C5E57">
        <w:rPr>
          <w:rFonts w:ascii="Arial" w:hAnsi="Arial" w:cs="Arial"/>
          <w:sz w:val="20"/>
          <w:szCs w:val="20"/>
          <w:shd w:val="clear" w:color="auto" w:fill="FFFFFF"/>
        </w:rPr>
        <w:t>Bigel</w:t>
      </w:r>
      <w:proofErr w:type="spellEnd"/>
      <w:r w:rsidRPr="005C5E57">
        <w:rPr>
          <w:rFonts w:ascii="Arial" w:hAnsi="Arial" w:cs="Arial"/>
          <w:sz w:val="20"/>
          <w:szCs w:val="20"/>
          <w:shd w:val="clear" w:color="auto" w:fill="FFFFFF"/>
        </w:rPr>
        <w:t xml:space="preserve"> Formulation. </w:t>
      </w:r>
      <w:r w:rsidRPr="005C5E57">
        <w:rPr>
          <w:rFonts w:ascii="Arial" w:hAnsi="Arial" w:cs="Arial"/>
          <w:i/>
          <w:iCs/>
          <w:sz w:val="20"/>
          <w:szCs w:val="20"/>
          <w:shd w:val="clear" w:color="auto" w:fill="FFFFFF"/>
        </w:rPr>
        <w:t>Food Hydrocolloids</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113</w:t>
      </w:r>
      <w:r w:rsidRPr="005C5E57">
        <w:rPr>
          <w:rFonts w:ascii="Arial" w:hAnsi="Arial" w:cs="Arial"/>
          <w:sz w:val="20"/>
          <w:szCs w:val="20"/>
          <w:shd w:val="clear" w:color="auto" w:fill="FFFFFF"/>
        </w:rPr>
        <w:t>, 106416.</w:t>
      </w:r>
      <w:r w:rsidRPr="00572DBC">
        <w:rPr>
          <w:rFonts w:ascii="Arial" w:hAnsi="Arial" w:cs="Arial"/>
          <w:sz w:val="20"/>
          <w:szCs w:val="20"/>
          <w:shd w:val="clear" w:color="auto" w:fill="FFFFFF"/>
        </w:rPr>
        <w:t xml:space="preserve"> </w:t>
      </w:r>
      <w:hyperlink r:id="rId44" w:history="1">
        <w:r w:rsidRPr="00572DBC">
          <w:rPr>
            <w:rStyle w:val="Hyperlink"/>
            <w:rFonts w:ascii="Arial" w:hAnsi="Arial" w:cs="Arial"/>
            <w:color w:val="auto"/>
            <w:sz w:val="20"/>
            <w:szCs w:val="20"/>
          </w:rPr>
          <w:t>https://doi.org/10.1016/j.foodhyd.2020.106416</w:t>
        </w:r>
      </w:hyperlink>
      <w:r w:rsidRPr="005C5E57">
        <w:rPr>
          <w:rFonts w:ascii="Arial" w:hAnsi="Arial" w:cs="Arial"/>
          <w:sz w:val="20"/>
          <w:szCs w:val="20"/>
        </w:rPr>
        <w:t xml:space="preserve"> </w:t>
      </w:r>
    </w:p>
    <w:p w14:paraId="2D78F2F0"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shd w:val="clear" w:color="auto" w:fill="FFFFFF"/>
        </w:rPr>
        <w:lastRenderedPageBreak/>
        <w:t xml:space="preserve">Shakouri, S., </w:t>
      </w:r>
      <w:proofErr w:type="spellStart"/>
      <w:r w:rsidRPr="005C5E57">
        <w:rPr>
          <w:rFonts w:ascii="Arial" w:hAnsi="Arial" w:cs="Arial"/>
          <w:sz w:val="20"/>
          <w:szCs w:val="20"/>
          <w:shd w:val="clear" w:color="auto" w:fill="FFFFFF"/>
        </w:rPr>
        <w:t>Arabshahi</w:t>
      </w:r>
      <w:proofErr w:type="spellEnd"/>
      <w:r w:rsidRPr="005C5E57">
        <w:rPr>
          <w:rFonts w:ascii="Arial" w:hAnsi="Arial" w:cs="Arial"/>
          <w:sz w:val="20"/>
          <w:szCs w:val="20"/>
          <w:shd w:val="clear" w:color="auto" w:fill="FFFFFF"/>
        </w:rPr>
        <w:t xml:space="preserve">, S., </w:t>
      </w:r>
      <w:proofErr w:type="spellStart"/>
      <w:r w:rsidRPr="005C5E57">
        <w:rPr>
          <w:rFonts w:ascii="Arial" w:hAnsi="Arial" w:cs="Arial"/>
          <w:sz w:val="20"/>
          <w:szCs w:val="20"/>
          <w:shd w:val="clear" w:color="auto" w:fill="FFFFFF"/>
        </w:rPr>
        <w:t>Madanchi</w:t>
      </w:r>
      <w:proofErr w:type="spellEnd"/>
      <w:r w:rsidRPr="005C5E57">
        <w:rPr>
          <w:rFonts w:ascii="Arial" w:hAnsi="Arial" w:cs="Arial"/>
          <w:sz w:val="20"/>
          <w:szCs w:val="20"/>
          <w:shd w:val="clear" w:color="auto" w:fill="FFFFFF"/>
        </w:rPr>
        <w:t xml:space="preserve">, H., </w:t>
      </w:r>
      <w:proofErr w:type="spellStart"/>
      <w:r w:rsidRPr="005C5E57">
        <w:rPr>
          <w:rFonts w:ascii="Arial" w:hAnsi="Arial" w:cs="Arial"/>
          <w:sz w:val="20"/>
          <w:szCs w:val="20"/>
          <w:shd w:val="clear" w:color="auto" w:fill="FFFFFF"/>
        </w:rPr>
        <w:t>Mohammadifar</w:t>
      </w:r>
      <w:proofErr w:type="spellEnd"/>
      <w:r w:rsidRPr="005C5E57">
        <w:rPr>
          <w:rFonts w:ascii="Arial" w:hAnsi="Arial" w:cs="Arial"/>
          <w:sz w:val="20"/>
          <w:szCs w:val="20"/>
          <w:shd w:val="clear" w:color="auto" w:fill="FFFFFF"/>
        </w:rPr>
        <w:t xml:space="preserve">, M. A., and </w:t>
      </w:r>
      <w:proofErr w:type="spellStart"/>
      <w:r w:rsidRPr="005C5E57">
        <w:rPr>
          <w:rFonts w:ascii="Arial" w:hAnsi="Arial" w:cs="Arial"/>
          <w:sz w:val="20"/>
          <w:szCs w:val="20"/>
          <w:shd w:val="clear" w:color="auto" w:fill="FFFFFF"/>
        </w:rPr>
        <w:t>Abdolshahi</w:t>
      </w:r>
      <w:proofErr w:type="spellEnd"/>
      <w:r w:rsidRPr="005C5E57">
        <w:rPr>
          <w:rFonts w:ascii="Arial" w:hAnsi="Arial" w:cs="Arial"/>
          <w:sz w:val="20"/>
          <w:szCs w:val="20"/>
          <w:shd w:val="clear" w:color="auto" w:fill="FFFFFF"/>
        </w:rPr>
        <w:t xml:space="preserve">, A.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2024</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Effect of Carboxymethyl Cellulose Incorporation to Gelatin</w:t>
      </w:r>
      <w:r w:rsidRPr="005C5E57">
        <w:rPr>
          <w:rFonts w:ascii="Cambria Math" w:hAnsi="Cambria Math" w:cs="Cambria Math"/>
          <w:sz w:val="20"/>
          <w:szCs w:val="20"/>
          <w:shd w:val="clear" w:color="auto" w:fill="FFFFFF"/>
        </w:rPr>
        <w:t>‐</w:t>
      </w:r>
      <w:r w:rsidRPr="005C5E57">
        <w:rPr>
          <w:rFonts w:ascii="Arial" w:hAnsi="Arial" w:cs="Arial"/>
          <w:sz w:val="20"/>
          <w:szCs w:val="20"/>
          <w:shd w:val="clear" w:color="auto" w:fill="FFFFFF"/>
        </w:rPr>
        <w:t xml:space="preserve">Sunflower Oil </w:t>
      </w:r>
      <w:proofErr w:type="spellStart"/>
      <w:r w:rsidRPr="005C5E57">
        <w:rPr>
          <w:rFonts w:ascii="Arial" w:hAnsi="Arial" w:cs="Arial"/>
          <w:sz w:val="20"/>
          <w:szCs w:val="20"/>
          <w:shd w:val="clear" w:color="auto" w:fill="FFFFFF"/>
        </w:rPr>
        <w:t>Bigel</w:t>
      </w:r>
      <w:proofErr w:type="spellEnd"/>
      <w:r w:rsidRPr="005C5E57">
        <w:rPr>
          <w:rFonts w:ascii="Arial" w:hAnsi="Arial" w:cs="Arial"/>
          <w:sz w:val="20"/>
          <w:szCs w:val="20"/>
          <w:shd w:val="clear" w:color="auto" w:fill="FFFFFF"/>
        </w:rPr>
        <w:t xml:space="preserve"> on the Physicochemical and Structural Properties. </w:t>
      </w:r>
      <w:r w:rsidRPr="005C5E57">
        <w:rPr>
          <w:rFonts w:ascii="Arial" w:hAnsi="Arial" w:cs="Arial"/>
          <w:i/>
          <w:iCs/>
          <w:sz w:val="20"/>
          <w:szCs w:val="20"/>
          <w:shd w:val="clear" w:color="auto" w:fill="FFFFFF"/>
        </w:rPr>
        <w:t>Polymers for Advanced Technologies</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35</w:t>
      </w:r>
      <w:r w:rsidRPr="005C5E57">
        <w:rPr>
          <w:rFonts w:ascii="Arial" w:hAnsi="Arial" w:cs="Arial"/>
          <w:sz w:val="20"/>
          <w:szCs w:val="20"/>
          <w:shd w:val="clear" w:color="auto" w:fill="FFFFFF"/>
        </w:rPr>
        <w:t>(9), e6567.</w:t>
      </w:r>
    </w:p>
    <w:p w14:paraId="140CA4A0"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rPr>
        <w:t xml:space="preserve">Silva, R., Ferdaus, M. J., </w:t>
      </w:r>
      <w:proofErr w:type="spellStart"/>
      <w:r w:rsidRPr="005C5E57">
        <w:rPr>
          <w:rFonts w:ascii="Arial" w:hAnsi="Arial" w:cs="Arial"/>
          <w:sz w:val="20"/>
          <w:szCs w:val="20"/>
        </w:rPr>
        <w:t>Foguel</w:t>
      </w:r>
      <w:proofErr w:type="spellEnd"/>
      <w:r w:rsidRPr="005C5E57">
        <w:rPr>
          <w:rFonts w:ascii="Arial" w:hAnsi="Arial" w:cs="Arial"/>
          <w:sz w:val="20"/>
          <w:szCs w:val="20"/>
        </w:rPr>
        <w:t xml:space="preserve">, A., &amp; da Silva, T. L. T. </w:t>
      </w:r>
      <w:r w:rsidRPr="00572DBC">
        <w:rPr>
          <w:rFonts w:ascii="Arial" w:hAnsi="Arial" w:cs="Arial"/>
          <w:sz w:val="20"/>
          <w:szCs w:val="20"/>
        </w:rPr>
        <w:t>(</w:t>
      </w:r>
      <w:r w:rsidRPr="005C5E57">
        <w:rPr>
          <w:rFonts w:ascii="Arial" w:hAnsi="Arial" w:cs="Arial"/>
          <w:sz w:val="20"/>
          <w:szCs w:val="20"/>
        </w:rPr>
        <w:t>2023</w:t>
      </w:r>
      <w:r w:rsidRPr="00572DBC">
        <w:rPr>
          <w:rFonts w:ascii="Arial" w:hAnsi="Arial" w:cs="Arial"/>
          <w:sz w:val="20"/>
          <w:szCs w:val="20"/>
        </w:rPr>
        <w:t>)</w:t>
      </w:r>
      <w:r w:rsidRPr="005C5E57">
        <w:rPr>
          <w:rFonts w:ascii="Arial" w:hAnsi="Arial" w:cs="Arial"/>
          <w:sz w:val="20"/>
          <w:szCs w:val="20"/>
        </w:rPr>
        <w:t xml:space="preserve">. </w:t>
      </w:r>
      <w:proofErr w:type="spellStart"/>
      <w:r w:rsidRPr="005C5E57">
        <w:rPr>
          <w:rFonts w:ascii="Arial" w:hAnsi="Arial" w:cs="Arial"/>
          <w:sz w:val="20"/>
          <w:szCs w:val="20"/>
        </w:rPr>
        <w:t>Oleogels</w:t>
      </w:r>
      <w:proofErr w:type="spellEnd"/>
      <w:r w:rsidRPr="005C5E57">
        <w:rPr>
          <w:rFonts w:ascii="Arial" w:hAnsi="Arial" w:cs="Arial"/>
          <w:sz w:val="20"/>
          <w:szCs w:val="20"/>
        </w:rPr>
        <w:t xml:space="preserve"> as a Fat Substitute in Food: A Current Review. </w:t>
      </w:r>
      <w:r w:rsidRPr="005C5E57">
        <w:rPr>
          <w:rFonts w:ascii="Arial" w:hAnsi="Arial" w:cs="Arial"/>
          <w:i/>
          <w:sz w:val="20"/>
          <w:szCs w:val="20"/>
        </w:rPr>
        <w:t>Gels</w:t>
      </w:r>
      <w:r w:rsidRPr="005C5E57">
        <w:rPr>
          <w:rFonts w:ascii="Arial" w:hAnsi="Arial" w:cs="Arial"/>
          <w:sz w:val="20"/>
          <w:szCs w:val="20"/>
        </w:rPr>
        <w:t xml:space="preserve">, 9, 180. </w:t>
      </w:r>
      <w:hyperlink r:id="rId45" w:history="1">
        <w:r w:rsidRPr="005C5E57">
          <w:rPr>
            <w:rFonts w:ascii="Arial" w:hAnsi="Arial" w:cs="Arial"/>
            <w:sz w:val="20"/>
            <w:szCs w:val="20"/>
            <w:u w:val="single"/>
          </w:rPr>
          <w:t>https://doi.org/10.3390/gels9030180</w:t>
        </w:r>
      </w:hyperlink>
      <w:r w:rsidRPr="005C5E57">
        <w:rPr>
          <w:rFonts w:ascii="Arial" w:hAnsi="Arial" w:cs="Arial"/>
          <w:sz w:val="20"/>
          <w:szCs w:val="20"/>
        </w:rPr>
        <w:t xml:space="preserve"> </w:t>
      </w:r>
    </w:p>
    <w:p w14:paraId="441453E2" w14:textId="77777777" w:rsidR="003957B7" w:rsidRPr="005C5E57" w:rsidRDefault="003957B7" w:rsidP="003957B7">
      <w:pPr>
        <w:ind w:left="720" w:hanging="720"/>
        <w:jc w:val="both"/>
        <w:rPr>
          <w:rFonts w:ascii="Arial" w:hAnsi="Arial" w:cs="Arial"/>
          <w:sz w:val="20"/>
          <w:szCs w:val="20"/>
        </w:rPr>
      </w:pPr>
      <w:r w:rsidRPr="005C5E57">
        <w:rPr>
          <w:rFonts w:ascii="Arial" w:hAnsi="Arial" w:cs="Arial"/>
          <w:sz w:val="20"/>
          <w:szCs w:val="20"/>
          <w:shd w:val="clear" w:color="auto" w:fill="FFFFFF"/>
        </w:rPr>
        <w:t xml:space="preserve">Silva, S. S., Rodrigues, L. C., Fernandes, E. M., Lobo, F. C., Gomes, J. M., &amp; Reis, R. L. </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2022</w:t>
      </w:r>
      <w:r w:rsidRPr="00572DBC">
        <w:rPr>
          <w:rFonts w:ascii="Arial" w:hAnsi="Arial" w:cs="Arial"/>
          <w:sz w:val="20"/>
          <w:szCs w:val="20"/>
          <w:shd w:val="clear" w:color="auto" w:fill="FFFFFF"/>
        </w:rPr>
        <w:t>)</w:t>
      </w:r>
      <w:r w:rsidRPr="005C5E57">
        <w:rPr>
          <w:rFonts w:ascii="Arial" w:hAnsi="Arial" w:cs="Arial"/>
          <w:sz w:val="20"/>
          <w:szCs w:val="20"/>
          <w:shd w:val="clear" w:color="auto" w:fill="FFFFFF"/>
        </w:rPr>
        <w:t xml:space="preserve">. </w:t>
      </w:r>
      <w:r w:rsidRPr="005C5E57">
        <w:rPr>
          <w:rFonts w:ascii="Arial" w:hAnsi="Arial" w:cs="Arial"/>
          <w:sz w:val="20"/>
          <w:szCs w:val="20"/>
          <w:shd w:val="clear" w:color="auto" w:fill="FFFFFF"/>
        </w:rPr>
        <w:tab/>
        <w:t xml:space="preserve">Tailoring Natural-Based </w:t>
      </w:r>
      <w:proofErr w:type="spellStart"/>
      <w:r w:rsidRPr="005C5E57">
        <w:rPr>
          <w:rFonts w:ascii="Arial" w:hAnsi="Arial" w:cs="Arial"/>
          <w:sz w:val="20"/>
          <w:szCs w:val="20"/>
          <w:shd w:val="clear" w:color="auto" w:fill="FFFFFF"/>
        </w:rPr>
        <w:t>Oleogels</w:t>
      </w:r>
      <w:proofErr w:type="spellEnd"/>
      <w:r w:rsidRPr="005C5E57">
        <w:rPr>
          <w:rFonts w:ascii="Arial" w:hAnsi="Arial" w:cs="Arial"/>
          <w:sz w:val="20"/>
          <w:szCs w:val="20"/>
          <w:shd w:val="clear" w:color="auto" w:fill="FFFFFF"/>
        </w:rPr>
        <w:t xml:space="preserve"> Combining </w:t>
      </w:r>
      <w:proofErr w:type="spellStart"/>
      <w:r w:rsidRPr="005C5E57">
        <w:rPr>
          <w:rFonts w:ascii="Arial" w:hAnsi="Arial" w:cs="Arial"/>
          <w:sz w:val="20"/>
          <w:szCs w:val="20"/>
          <w:shd w:val="clear" w:color="auto" w:fill="FFFFFF"/>
        </w:rPr>
        <w:t>Ethylcellulose</w:t>
      </w:r>
      <w:proofErr w:type="spellEnd"/>
      <w:r w:rsidRPr="005C5E57">
        <w:rPr>
          <w:rFonts w:ascii="Arial" w:hAnsi="Arial" w:cs="Arial"/>
          <w:sz w:val="20"/>
          <w:szCs w:val="20"/>
          <w:shd w:val="clear" w:color="auto" w:fill="FFFFFF"/>
        </w:rPr>
        <w:t xml:space="preserve"> and Virgin Coconut Oil. </w:t>
      </w:r>
      <w:r w:rsidRPr="005C5E57">
        <w:rPr>
          <w:rFonts w:ascii="Arial" w:hAnsi="Arial" w:cs="Arial"/>
          <w:i/>
          <w:iCs/>
          <w:sz w:val="20"/>
          <w:szCs w:val="20"/>
          <w:shd w:val="clear" w:color="auto" w:fill="FFFFFF"/>
        </w:rPr>
        <w:t>Polymers</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14</w:t>
      </w:r>
      <w:r w:rsidRPr="005C5E57">
        <w:rPr>
          <w:rFonts w:ascii="Arial" w:hAnsi="Arial" w:cs="Arial"/>
          <w:sz w:val="20"/>
          <w:szCs w:val="20"/>
          <w:shd w:val="clear" w:color="auto" w:fill="FFFFFF"/>
        </w:rPr>
        <w:t xml:space="preserve">(12), 2473. </w:t>
      </w:r>
      <w:hyperlink r:id="rId46" w:history="1">
        <w:r w:rsidRPr="005C5E57">
          <w:rPr>
            <w:rFonts w:ascii="Arial" w:hAnsi="Arial" w:cs="Arial"/>
            <w:sz w:val="20"/>
            <w:szCs w:val="20"/>
            <w:u w:val="single"/>
          </w:rPr>
          <w:t>https://doi.org/10.3390/polym14122473</w:t>
        </w:r>
      </w:hyperlink>
      <w:r w:rsidRPr="005C5E57">
        <w:rPr>
          <w:rFonts w:ascii="Arial" w:hAnsi="Arial" w:cs="Arial"/>
          <w:sz w:val="20"/>
          <w:szCs w:val="20"/>
        </w:rPr>
        <w:t xml:space="preserve"> </w:t>
      </w:r>
    </w:p>
    <w:p w14:paraId="5AE2E30F" w14:textId="77777777" w:rsidR="003957B7" w:rsidRPr="005C5E57" w:rsidRDefault="003957B7" w:rsidP="003957B7">
      <w:pPr>
        <w:ind w:left="720" w:hanging="720"/>
        <w:jc w:val="both"/>
        <w:rPr>
          <w:rFonts w:ascii="Arial" w:hAnsi="Arial" w:cs="Arial"/>
          <w:sz w:val="20"/>
          <w:szCs w:val="20"/>
        </w:rPr>
      </w:pPr>
      <w:r w:rsidRPr="005C5E57">
        <w:rPr>
          <w:rFonts w:ascii="Arial" w:hAnsi="Arial" w:cs="Arial"/>
          <w:bCs/>
          <w:sz w:val="20"/>
          <w:szCs w:val="20"/>
        </w:rPr>
        <w:t xml:space="preserve">Zhu, Q., Gao, J., Han, L., &amp; Zhang, M. </w:t>
      </w:r>
      <w:r w:rsidRPr="00572DBC">
        <w:rPr>
          <w:rFonts w:ascii="Arial" w:hAnsi="Arial" w:cs="Arial"/>
          <w:bCs/>
          <w:sz w:val="20"/>
          <w:szCs w:val="20"/>
        </w:rPr>
        <w:t>(</w:t>
      </w:r>
      <w:r w:rsidRPr="005C5E57">
        <w:rPr>
          <w:rFonts w:ascii="Arial" w:hAnsi="Arial" w:cs="Arial"/>
          <w:bCs/>
          <w:sz w:val="20"/>
          <w:szCs w:val="20"/>
        </w:rPr>
        <w:t>2021</w:t>
      </w:r>
      <w:r w:rsidRPr="00572DBC">
        <w:rPr>
          <w:rFonts w:ascii="Arial" w:hAnsi="Arial" w:cs="Arial"/>
          <w:bCs/>
          <w:sz w:val="20"/>
          <w:szCs w:val="20"/>
        </w:rPr>
        <w:t>)</w:t>
      </w:r>
      <w:r w:rsidRPr="005C5E57">
        <w:rPr>
          <w:rFonts w:ascii="Arial" w:hAnsi="Arial" w:cs="Arial"/>
          <w:b/>
          <w:bCs/>
          <w:sz w:val="20"/>
          <w:szCs w:val="20"/>
        </w:rPr>
        <w:t>.</w:t>
      </w:r>
      <w:r w:rsidRPr="005C5E57">
        <w:rPr>
          <w:rFonts w:ascii="Arial" w:hAnsi="Arial" w:cs="Arial"/>
          <w:sz w:val="20"/>
          <w:szCs w:val="20"/>
        </w:rPr>
        <w:t xml:space="preserve"> Development and Characterization of Novel </w:t>
      </w:r>
      <w:proofErr w:type="spellStart"/>
      <w:r w:rsidRPr="005C5E57">
        <w:rPr>
          <w:rFonts w:ascii="Arial" w:hAnsi="Arial" w:cs="Arial"/>
          <w:sz w:val="20"/>
          <w:szCs w:val="20"/>
        </w:rPr>
        <w:t>Bigels</w:t>
      </w:r>
      <w:proofErr w:type="spellEnd"/>
      <w:r w:rsidRPr="005C5E57">
        <w:rPr>
          <w:rFonts w:ascii="Arial" w:hAnsi="Arial" w:cs="Arial"/>
          <w:sz w:val="20"/>
          <w:szCs w:val="20"/>
        </w:rPr>
        <w:t xml:space="preserve"> </w:t>
      </w:r>
      <w:r w:rsidRPr="005C5E57">
        <w:rPr>
          <w:rFonts w:ascii="Arial" w:hAnsi="Arial" w:cs="Arial"/>
          <w:sz w:val="20"/>
          <w:szCs w:val="20"/>
        </w:rPr>
        <w:tab/>
        <w:t xml:space="preserve">Based on Monoglyceride-Beeswax </w:t>
      </w:r>
      <w:proofErr w:type="spellStart"/>
      <w:r w:rsidRPr="005C5E57">
        <w:rPr>
          <w:rFonts w:ascii="Arial" w:hAnsi="Arial" w:cs="Arial"/>
          <w:sz w:val="20"/>
          <w:szCs w:val="20"/>
        </w:rPr>
        <w:t>Oleogel</w:t>
      </w:r>
      <w:proofErr w:type="spellEnd"/>
      <w:r w:rsidRPr="005C5E57">
        <w:rPr>
          <w:rFonts w:ascii="Arial" w:hAnsi="Arial" w:cs="Arial"/>
          <w:sz w:val="20"/>
          <w:szCs w:val="20"/>
        </w:rPr>
        <w:t xml:space="preserve"> and High Acyl Gellan Gum Hydrogel for Lycopene Delivery. </w:t>
      </w:r>
      <w:r w:rsidRPr="005C5E57">
        <w:rPr>
          <w:rFonts w:ascii="Arial" w:hAnsi="Arial" w:cs="Arial"/>
          <w:i/>
          <w:iCs/>
          <w:sz w:val="20"/>
          <w:szCs w:val="20"/>
        </w:rPr>
        <w:t>Food Chemistry</w:t>
      </w:r>
      <w:r w:rsidRPr="005C5E57">
        <w:rPr>
          <w:rFonts w:ascii="Arial" w:hAnsi="Arial" w:cs="Arial"/>
          <w:sz w:val="20"/>
          <w:szCs w:val="20"/>
        </w:rPr>
        <w:t>, 344, 128624.</w:t>
      </w:r>
    </w:p>
    <w:p w14:paraId="6C7D4515" w14:textId="42C252E6" w:rsidR="00026B41" w:rsidRPr="00572DBC" w:rsidRDefault="003957B7" w:rsidP="002C1394">
      <w:pPr>
        <w:ind w:left="720" w:hanging="720"/>
        <w:jc w:val="both"/>
        <w:rPr>
          <w:rFonts w:ascii="Arial" w:hAnsi="Arial" w:cs="Arial"/>
        </w:rPr>
      </w:pPr>
      <w:r w:rsidRPr="005C5E57">
        <w:rPr>
          <w:rFonts w:ascii="Arial" w:hAnsi="Arial" w:cs="Arial"/>
          <w:sz w:val="20"/>
          <w:szCs w:val="20"/>
          <w:shd w:val="clear" w:color="auto" w:fill="FFFFFF"/>
        </w:rPr>
        <w:t xml:space="preserve">Zulfiqar, A., Shabbir, M. A., Tahir, F., Khan, M. R., Ahmed, W., </w:t>
      </w:r>
      <w:proofErr w:type="spellStart"/>
      <w:r w:rsidRPr="005C5E57">
        <w:rPr>
          <w:rFonts w:ascii="Arial" w:hAnsi="Arial" w:cs="Arial"/>
          <w:sz w:val="20"/>
          <w:szCs w:val="20"/>
          <w:shd w:val="clear" w:color="auto" w:fill="FFFFFF"/>
        </w:rPr>
        <w:t>Yıkmış</w:t>
      </w:r>
      <w:proofErr w:type="spellEnd"/>
      <w:r w:rsidRPr="005C5E57">
        <w:rPr>
          <w:rFonts w:ascii="Arial" w:hAnsi="Arial" w:cs="Arial"/>
          <w:sz w:val="20"/>
          <w:szCs w:val="20"/>
          <w:shd w:val="clear" w:color="auto" w:fill="FFFFFF"/>
        </w:rPr>
        <w:t xml:space="preserve">, S., &amp; Aadil, R. M. (2024). Development of </w:t>
      </w:r>
      <w:proofErr w:type="spellStart"/>
      <w:r w:rsidRPr="005C5E57">
        <w:rPr>
          <w:rFonts w:ascii="Arial" w:hAnsi="Arial" w:cs="Arial"/>
          <w:sz w:val="20"/>
          <w:szCs w:val="20"/>
          <w:shd w:val="clear" w:color="auto" w:fill="FFFFFF"/>
        </w:rPr>
        <w:t>Oleogel</w:t>
      </w:r>
      <w:proofErr w:type="spellEnd"/>
      <w:r w:rsidRPr="005C5E57">
        <w:rPr>
          <w:rFonts w:ascii="Arial" w:hAnsi="Arial" w:cs="Arial"/>
          <w:sz w:val="20"/>
          <w:szCs w:val="20"/>
          <w:shd w:val="clear" w:color="auto" w:fill="FFFFFF"/>
        </w:rPr>
        <w:t xml:space="preserve"> by Structuring the Blend of Corn Oil and Sunflower Oil </w:t>
      </w:r>
      <w:r w:rsidRPr="005C5E57">
        <w:rPr>
          <w:rFonts w:ascii="Arial" w:hAnsi="Arial" w:cs="Arial"/>
          <w:sz w:val="20"/>
          <w:szCs w:val="20"/>
          <w:shd w:val="clear" w:color="auto" w:fill="FFFFFF"/>
        </w:rPr>
        <w:tab/>
        <w:t>with Beeswax to Replace Margarine in Cookies. </w:t>
      </w:r>
      <w:r w:rsidRPr="005C5E57">
        <w:rPr>
          <w:rFonts w:ascii="Arial" w:hAnsi="Arial" w:cs="Arial"/>
          <w:i/>
          <w:iCs/>
          <w:sz w:val="20"/>
          <w:szCs w:val="20"/>
          <w:shd w:val="clear" w:color="auto" w:fill="FFFFFF"/>
        </w:rPr>
        <w:t>Food Chemistry: X</w:t>
      </w:r>
      <w:r w:rsidRPr="005C5E57">
        <w:rPr>
          <w:rFonts w:ascii="Arial" w:hAnsi="Arial" w:cs="Arial"/>
          <w:sz w:val="20"/>
          <w:szCs w:val="20"/>
          <w:shd w:val="clear" w:color="auto" w:fill="FFFFFF"/>
        </w:rPr>
        <w:t>, </w:t>
      </w:r>
      <w:r w:rsidRPr="005C5E57">
        <w:rPr>
          <w:rFonts w:ascii="Arial" w:hAnsi="Arial" w:cs="Arial"/>
          <w:i/>
          <w:iCs/>
          <w:sz w:val="20"/>
          <w:szCs w:val="20"/>
          <w:shd w:val="clear" w:color="auto" w:fill="FFFFFF"/>
        </w:rPr>
        <w:t>23</w:t>
      </w:r>
      <w:r w:rsidRPr="005C5E57">
        <w:rPr>
          <w:rFonts w:ascii="Arial" w:hAnsi="Arial" w:cs="Arial"/>
          <w:sz w:val="20"/>
          <w:szCs w:val="20"/>
          <w:shd w:val="clear" w:color="auto" w:fill="FFFFFF"/>
        </w:rPr>
        <w:t>, 101676.</w:t>
      </w:r>
      <w:r w:rsidRPr="00572DBC">
        <w:rPr>
          <w:rFonts w:ascii="Arial" w:hAnsi="Arial" w:cs="Arial"/>
          <w:sz w:val="20"/>
          <w:szCs w:val="20"/>
          <w:shd w:val="clear" w:color="auto" w:fill="FFFFFF"/>
        </w:rPr>
        <w:t xml:space="preserve"> </w:t>
      </w:r>
      <w:hyperlink r:id="rId47" w:history="1">
        <w:r w:rsidRPr="00572DBC">
          <w:rPr>
            <w:rStyle w:val="Hyperlink"/>
            <w:rFonts w:ascii="Arial" w:hAnsi="Arial" w:cs="Arial"/>
            <w:color w:val="auto"/>
            <w:sz w:val="20"/>
            <w:szCs w:val="20"/>
            <w:shd w:val="clear" w:color="auto" w:fill="FFFFFF"/>
          </w:rPr>
          <w:t>https://doi.org/10.1016/j.fochx.2024.101676</w:t>
        </w:r>
      </w:hyperlink>
      <w:r w:rsidRPr="00572DBC">
        <w:rPr>
          <w:rFonts w:ascii="Arial" w:hAnsi="Arial" w:cs="Arial"/>
          <w:sz w:val="20"/>
          <w:szCs w:val="20"/>
          <w:shd w:val="clear" w:color="auto" w:fill="FFFFFF"/>
        </w:rPr>
        <w:t xml:space="preserve"> </w:t>
      </w:r>
    </w:p>
    <w:sectPr w:rsidR="00026B41" w:rsidRPr="00572DBC" w:rsidSect="00B768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F6C0A" w14:textId="77777777" w:rsidR="004944F9" w:rsidRDefault="004944F9" w:rsidP="00B768FE">
      <w:pPr>
        <w:spacing w:after="0" w:line="240" w:lineRule="auto"/>
      </w:pPr>
      <w:r>
        <w:separator/>
      </w:r>
    </w:p>
  </w:endnote>
  <w:endnote w:type="continuationSeparator" w:id="0">
    <w:p w14:paraId="7EFDCD03" w14:textId="77777777" w:rsidR="004944F9" w:rsidRDefault="004944F9" w:rsidP="00B7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3F7E" w14:textId="77777777" w:rsidR="00B768FE" w:rsidRDefault="00B7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9113" w14:textId="77777777" w:rsidR="00B768FE" w:rsidRDefault="00B76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BB62" w14:textId="77777777" w:rsidR="00B768FE" w:rsidRDefault="00B7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0459" w14:textId="77777777" w:rsidR="004944F9" w:rsidRDefault="004944F9" w:rsidP="00B768FE">
      <w:pPr>
        <w:spacing w:after="0" w:line="240" w:lineRule="auto"/>
      </w:pPr>
      <w:r>
        <w:separator/>
      </w:r>
    </w:p>
  </w:footnote>
  <w:footnote w:type="continuationSeparator" w:id="0">
    <w:p w14:paraId="4F0BEC11" w14:textId="77777777" w:rsidR="004944F9" w:rsidRDefault="004944F9" w:rsidP="00B7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192D" w14:textId="5400802A" w:rsidR="00B768FE" w:rsidRDefault="00B768FE">
    <w:pPr>
      <w:pStyle w:val="Header"/>
    </w:pPr>
    <w:r>
      <w:rPr>
        <w:noProof/>
      </w:rPr>
      <w:pict w14:anchorId="26382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4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43AF" w14:textId="646F3C7F" w:rsidR="00B768FE" w:rsidRDefault="00B768FE">
    <w:pPr>
      <w:pStyle w:val="Header"/>
    </w:pPr>
    <w:r>
      <w:rPr>
        <w:noProof/>
      </w:rPr>
      <w:pict w14:anchorId="2BDD5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4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7FE0" w14:textId="4DABBB91" w:rsidR="00B768FE" w:rsidRDefault="00B768FE">
    <w:pPr>
      <w:pStyle w:val="Header"/>
    </w:pPr>
    <w:r>
      <w:rPr>
        <w:noProof/>
      </w:rPr>
      <w:pict w14:anchorId="015FA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4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431E36"/>
    <w:multiLevelType w:val="multilevel"/>
    <w:tmpl w:val="874045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300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B7"/>
    <w:rsid w:val="000011AC"/>
    <w:rsid w:val="00026B41"/>
    <w:rsid w:val="000E2FF2"/>
    <w:rsid w:val="001E424F"/>
    <w:rsid w:val="001E7E48"/>
    <w:rsid w:val="001F058E"/>
    <w:rsid w:val="00266715"/>
    <w:rsid w:val="002C1394"/>
    <w:rsid w:val="003957B7"/>
    <w:rsid w:val="004944F9"/>
    <w:rsid w:val="00572DBC"/>
    <w:rsid w:val="006629BE"/>
    <w:rsid w:val="00862A0D"/>
    <w:rsid w:val="00B768FE"/>
    <w:rsid w:val="00F7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6C79C"/>
  <w15:chartTrackingRefBased/>
  <w15:docId w15:val="{2F46D18B-0302-4126-B742-EC776D17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57B7"/>
    <w:rPr>
      <w:color w:val="0563C1" w:themeColor="hyperlink"/>
      <w:u w:val="single"/>
    </w:rPr>
  </w:style>
  <w:style w:type="paragraph" w:styleId="ListParagraph">
    <w:name w:val="List Paragraph"/>
    <w:basedOn w:val="Normal"/>
    <w:uiPriority w:val="34"/>
    <w:qFormat/>
    <w:rsid w:val="003957B7"/>
    <w:pPr>
      <w:ind w:left="720"/>
      <w:contextualSpacing/>
    </w:pPr>
  </w:style>
  <w:style w:type="character" w:styleId="LineNumber">
    <w:name w:val="line number"/>
    <w:basedOn w:val="DefaultParagraphFont"/>
    <w:uiPriority w:val="99"/>
    <w:semiHidden/>
    <w:unhideWhenUsed/>
    <w:rsid w:val="006629BE"/>
  </w:style>
  <w:style w:type="character" w:styleId="UnresolvedMention">
    <w:name w:val="Unresolved Mention"/>
    <w:basedOn w:val="DefaultParagraphFont"/>
    <w:uiPriority w:val="99"/>
    <w:semiHidden/>
    <w:unhideWhenUsed/>
    <w:rsid w:val="002C1394"/>
    <w:rPr>
      <w:color w:val="605E5C"/>
      <w:shd w:val="clear" w:color="auto" w:fill="E1DFDD"/>
    </w:rPr>
  </w:style>
  <w:style w:type="paragraph" w:styleId="Header">
    <w:name w:val="header"/>
    <w:basedOn w:val="Normal"/>
    <w:link w:val="HeaderChar"/>
    <w:uiPriority w:val="99"/>
    <w:unhideWhenUsed/>
    <w:rsid w:val="00B7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FE"/>
  </w:style>
  <w:style w:type="paragraph" w:styleId="Footer">
    <w:name w:val="footer"/>
    <w:basedOn w:val="Normal"/>
    <w:link w:val="FooterChar"/>
    <w:uiPriority w:val="99"/>
    <w:unhideWhenUsed/>
    <w:rsid w:val="00B7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yperlink" Target="https://doi.org/10.1016/j.foostr.2024.100378" TargetMode="External"/><Relationship Id="rId39" Type="http://schemas.openxmlformats.org/officeDocument/2006/relationships/hyperlink" Target="https://doi.org/10.1007/s11947-012-0867-9"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https://doi.org/10.1016/j.foodhyd.2025.110623" TargetMode="External"/><Relationship Id="rId42" Type="http://schemas.openxmlformats.org/officeDocument/2006/relationships/hyperlink" Target="https://doi.org/10.1007/s10856-014-5346-5" TargetMode="External"/><Relationship Id="rId47" Type="http://schemas.openxmlformats.org/officeDocument/2006/relationships/hyperlink" Target="https://doi.org/10.1016/j.fochx.2024.10167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doi.org/10.3390/molecules26061673" TargetMode="External"/><Relationship Id="rId33" Type="http://schemas.openxmlformats.org/officeDocument/2006/relationships/hyperlink" Target="https://doi.org/10.1016/j.ijbiomac.2024.129530" TargetMode="External"/><Relationship Id="rId38" Type="http://schemas.openxmlformats.org/officeDocument/2006/relationships/hyperlink" Target="https://doi.org/10.7770/safer-V12N2-art3209" TargetMode="External"/><Relationship Id="rId46" Type="http://schemas.openxmlformats.org/officeDocument/2006/relationships/hyperlink" Target="https://doi.org/10.3390/polym14122473"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s://doi.org/10.1016/j.fhfh.2023.100171" TargetMode="External"/><Relationship Id="rId41" Type="http://schemas.openxmlformats.org/officeDocument/2006/relationships/hyperlink" Target="https://doi.org/10.3390/foods90100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22034/jchr.2024.1988999.1234" TargetMode="External"/><Relationship Id="rId32" Type="http://schemas.openxmlformats.org/officeDocument/2006/relationships/hyperlink" Target="https://doi.org/10.1016/j.foodhyd.2024.109892" TargetMode="External"/><Relationship Id="rId37" Type="http://schemas.openxmlformats.org/officeDocument/2006/relationships/hyperlink" Target="https://doi.org/10.1016/j.foodres.2017.11.057" TargetMode="External"/><Relationship Id="rId40" Type="http://schemas.openxmlformats.org/officeDocument/2006/relationships/hyperlink" Target="https://doi.org/10.1088/1742-6596/2663/1/012029" TargetMode="External"/><Relationship Id="rId45" Type="http://schemas.openxmlformats.org/officeDocument/2006/relationships/hyperlink" Target="https://doi.org/10.3390/gels9030180"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02/jps.22309" TargetMode="External"/><Relationship Id="rId28" Type="http://schemas.openxmlformats.org/officeDocument/2006/relationships/hyperlink" Target="https://doi.org/10.1016/j.lwt.2022.113985" TargetMode="External"/><Relationship Id="rId36" Type="http://schemas.openxmlformats.org/officeDocument/2006/relationships/hyperlink" Target="https://doi.org/10.1016/j.foodhyd.2023.108497"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hyperlink" Target="https://doi.org/10.18196/jfaps.v3i2.15992" TargetMode="External"/><Relationship Id="rId44" Type="http://schemas.openxmlformats.org/officeDocument/2006/relationships/hyperlink" Target="https://doi.org/10.1016/j.foodhyd.2020.10641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07/s13197-021-05233-7" TargetMode="External"/><Relationship Id="rId27" Type="http://schemas.openxmlformats.org/officeDocument/2006/relationships/hyperlink" Target="https://doi.org/10.1080/10408398.2015.1121911" TargetMode="External"/><Relationship Id="rId30" Type="http://schemas.openxmlformats.org/officeDocument/2006/relationships/hyperlink" Target="https://doi.org/10.1016/j.foodhyd.2023.108868" TargetMode="External"/><Relationship Id="rId35" Type="http://schemas.openxmlformats.org/officeDocument/2006/relationships/hyperlink" Target="https://doi.org/10.1063/1.4919366" TargetMode="External"/><Relationship Id="rId43" Type="http://schemas.openxmlformats.org/officeDocument/2006/relationships/hyperlink" Target="https://doi.org/10.21067/jsp.v7i1.3610" TargetMode="Externa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6</cp:revision>
  <dcterms:created xsi:type="dcterms:W3CDTF">2025-05-18T07:16:00Z</dcterms:created>
  <dcterms:modified xsi:type="dcterms:W3CDTF">2025-05-19T09:51:00Z</dcterms:modified>
</cp:coreProperties>
</file>