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92A6A" w:rsidRPr="00611D14" w:rsidRDefault="00992A6A">
      <w:pPr>
        <w:spacing w:before="10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4B0C30" w:rsidRPr="00611D14" w:rsidTr="00B65BA5">
        <w:trPr>
          <w:trHeight w:val="290"/>
        </w:trPr>
        <w:tc>
          <w:tcPr>
            <w:tcW w:w="5166" w:type="dxa"/>
          </w:tcPr>
          <w:p w:rsidR="004B0C30" w:rsidRPr="00611D14" w:rsidRDefault="004B0C30" w:rsidP="004B0C30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Journal</w:t>
            </w:r>
            <w:r w:rsidRPr="00611D14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  <w:vAlign w:val="center"/>
          </w:tcPr>
          <w:p w:rsidR="004B0C30" w:rsidRPr="00611D14" w:rsidRDefault="001416E1" w:rsidP="004B0C3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1416E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Asian Journal of Case Reports in Medicine and Health</w:t>
            </w:r>
          </w:p>
        </w:tc>
      </w:tr>
      <w:tr w:rsidR="004B0C30" w:rsidRPr="00611D14">
        <w:trPr>
          <w:trHeight w:val="290"/>
        </w:trPr>
        <w:tc>
          <w:tcPr>
            <w:tcW w:w="5166" w:type="dxa"/>
          </w:tcPr>
          <w:p w:rsidR="004B0C30" w:rsidRPr="00611D14" w:rsidRDefault="004B0C30" w:rsidP="004B0C30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Manuscript</w:t>
            </w:r>
            <w:r w:rsidRPr="00611D14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:rsidR="004B0C30" w:rsidRPr="00611D14" w:rsidRDefault="004B0C30" w:rsidP="004B0C30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</w:t>
            </w:r>
            <w:r w:rsidR="001416E1">
              <w:t xml:space="preserve"> </w:t>
            </w:r>
            <w:r w:rsidR="001416E1" w:rsidRPr="001416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AJCRMH</w:t>
            </w:r>
            <w:r w:rsidR="001416E1" w:rsidRPr="001416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611D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_135597</w:t>
            </w:r>
          </w:p>
        </w:tc>
      </w:tr>
      <w:tr w:rsidR="004B0C30" w:rsidRPr="00611D14">
        <w:trPr>
          <w:trHeight w:val="650"/>
        </w:trPr>
        <w:tc>
          <w:tcPr>
            <w:tcW w:w="5166" w:type="dxa"/>
          </w:tcPr>
          <w:p w:rsidR="004B0C30" w:rsidRPr="00611D14" w:rsidRDefault="004B0C30" w:rsidP="004B0C30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Title</w:t>
            </w:r>
            <w:r w:rsidRPr="00611D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of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:rsidR="004B0C30" w:rsidRPr="00611D14" w:rsidRDefault="004B0C30" w:rsidP="004B0C30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</w:rPr>
              <w:t>"FROM</w:t>
            </w:r>
            <w:r w:rsidRPr="00611D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CONFUSION</w:t>
            </w:r>
            <w:r w:rsidRPr="00611D1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611D1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CLARITY</w:t>
            </w:r>
            <w:proofErr w:type="gramStart"/>
            <w:r w:rsidRPr="00611D14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611D1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:</w:t>
            </w:r>
            <w:proofErr w:type="gramEnd"/>
            <w:r w:rsidRPr="00611D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611D14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11D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RARE</w:t>
            </w:r>
            <w:r w:rsidRPr="00611D1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11D1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611D14">
              <w:rPr>
                <w:rFonts w:ascii="Arial" w:hAnsi="Arial" w:cs="Arial"/>
                <w:b/>
                <w:sz w:val="20"/>
                <w:szCs w:val="20"/>
              </w:rPr>
              <w:t>ELUSIVE</w:t>
            </w:r>
            <w:r w:rsidRPr="00611D1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,</w:t>
            </w:r>
            <w:proofErr w:type="gramEnd"/>
            <w:r w:rsidRPr="00611D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KIKUCHI-FUJIMOTO</w:t>
            </w:r>
            <w:r w:rsidRPr="00611D1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DISEASE</w:t>
            </w:r>
          </w:p>
        </w:tc>
      </w:tr>
      <w:tr w:rsidR="004B0C30" w:rsidRPr="00611D14">
        <w:trPr>
          <w:trHeight w:val="330"/>
        </w:trPr>
        <w:tc>
          <w:tcPr>
            <w:tcW w:w="5166" w:type="dxa"/>
          </w:tcPr>
          <w:p w:rsidR="004B0C30" w:rsidRPr="00611D14" w:rsidRDefault="004B0C30" w:rsidP="004B0C30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Type</w:t>
            </w:r>
            <w:r w:rsidRPr="00611D1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of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:rsidR="004B0C30" w:rsidRPr="00611D14" w:rsidRDefault="004B0C30" w:rsidP="004B0C30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611D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p w:rsidR="00992A6A" w:rsidRPr="00611D14" w:rsidRDefault="00992A6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7"/>
        <w:gridCol w:w="6376"/>
      </w:tblGrid>
      <w:tr w:rsidR="00992A6A" w:rsidRPr="00611D14">
        <w:trPr>
          <w:trHeight w:val="453"/>
        </w:trPr>
        <w:tc>
          <w:tcPr>
            <w:tcW w:w="20939" w:type="dxa"/>
            <w:gridSpan w:val="3"/>
            <w:tcBorders>
              <w:top w:val="nil"/>
              <w:left w:val="nil"/>
              <w:right w:val="nil"/>
            </w:tcBorders>
          </w:tcPr>
          <w:p w:rsidR="00992A6A" w:rsidRPr="00611D14" w:rsidRDefault="007E74C2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11D14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11D1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992A6A" w:rsidRPr="00611D14">
        <w:trPr>
          <w:trHeight w:val="970"/>
        </w:trPr>
        <w:tc>
          <w:tcPr>
            <w:tcW w:w="5296" w:type="dxa"/>
          </w:tcPr>
          <w:p w:rsidR="00992A6A" w:rsidRPr="00611D14" w:rsidRDefault="00992A6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7" w:type="dxa"/>
          </w:tcPr>
          <w:p w:rsidR="00992A6A" w:rsidRPr="00611D14" w:rsidRDefault="007E74C2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11D14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992A6A" w:rsidRPr="00611D14" w:rsidRDefault="007E74C2">
            <w:pPr>
              <w:pStyle w:val="TableParagraph"/>
              <w:ind w:left="109" w:right="72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11D1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11D1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11D14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11D14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11D1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11D14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11D1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11D1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11D14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11D1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11D14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611D1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:rsidR="00992A6A" w:rsidRPr="00611D14" w:rsidRDefault="007E74C2">
            <w:pPr>
              <w:pStyle w:val="TableParagraph"/>
              <w:spacing w:line="256" w:lineRule="auto"/>
              <w:ind w:left="105" w:right="669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11D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11D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(It</w:t>
            </w:r>
            <w:r w:rsidRPr="00611D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is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mandatory</w:t>
            </w:r>
            <w:r w:rsidRPr="00611D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that</w:t>
            </w:r>
            <w:r w:rsidRPr="00611D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authors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should</w:t>
            </w:r>
            <w:r w:rsidRPr="00611D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write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992A6A" w:rsidRPr="00611D14">
        <w:trPr>
          <w:trHeight w:val="1260"/>
        </w:trPr>
        <w:tc>
          <w:tcPr>
            <w:tcW w:w="5296" w:type="dxa"/>
          </w:tcPr>
          <w:p w:rsidR="00992A6A" w:rsidRPr="00611D14" w:rsidRDefault="007E74C2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11D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11D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11D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11D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11D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11D1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7" w:type="dxa"/>
          </w:tcPr>
          <w:p w:rsidR="00992A6A" w:rsidRPr="00611D14" w:rsidRDefault="007E74C2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The report holds educational value, particularly in highlighting a non-</w:t>
            </w:r>
            <w:proofErr w:type="spellStart"/>
            <w:r w:rsidRPr="00611D14">
              <w:rPr>
                <w:rFonts w:ascii="Arial" w:hAnsi="Arial" w:cs="Arial"/>
                <w:sz w:val="20"/>
                <w:szCs w:val="20"/>
              </w:rPr>
              <w:t>ondontogenic</w:t>
            </w:r>
            <w:proofErr w:type="spellEnd"/>
            <w:r w:rsidRPr="00611D14">
              <w:rPr>
                <w:rFonts w:ascii="Arial" w:hAnsi="Arial" w:cs="Arial"/>
                <w:sz w:val="20"/>
                <w:szCs w:val="20"/>
              </w:rPr>
              <w:t xml:space="preserve"> cause of cervical lymphadenopathy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that</w:t>
            </w:r>
            <w:r w:rsidRPr="00611D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may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mimic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odontogenic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infections,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and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in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reinforcing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importance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of</w:t>
            </w:r>
            <w:r w:rsidRPr="00611D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611D14">
              <w:rPr>
                <w:rFonts w:ascii="Arial" w:hAnsi="Arial" w:cs="Arial"/>
                <w:sz w:val="20"/>
                <w:szCs w:val="20"/>
              </w:rPr>
              <w:t>histopatgological</w:t>
            </w:r>
            <w:proofErr w:type="spellEnd"/>
            <w:r w:rsidRPr="00611D14">
              <w:rPr>
                <w:rFonts w:ascii="Arial" w:hAnsi="Arial" w:cs="Arial"/>
                <w:sz w:val="20"/>
                <w:szCs w:val="20"/>
              </w:rPr>
              <w:t xml:space="preserve"> evaluation in such scenarios.</w:t>
            </w:r>
          </w:p>
        </w:tc>
        <w:tc>
          <w:tcPr>
            <w:tcW w:w="6376" w:type="dxa"/>
          </w:tcPr>
          <w:p w:rsidR="00992A6A" w:rsidRPr="00611D14" w:rsidRDefault="009A5F4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 xml:space="preserve">This report reveals the importance of timely intervention by health care and to differentiate and correctly diagnose using appropriate methods. </w:t>
            </w:r>
            <w:proofErr w:type="gramStart"/>
            <w:r w:rsidRPr="00611D14">
              <w:rPr>
                <w:rFonts w:ascii="Arial" w:hAnsi="Arial" w:cs="Arial"/>
                <w:sz w:val="20"/>
                <w:szCs w:val="20"/>
              </w:rPr>
              <w:t>Also</w:t>
            </w:r>
            <w:proofErr w:type="gramEnd"/>
            <w:r w:rsidRPr="00611D14">
              <w:rPr>
                <w:rFonts w:ascii="Arial" w:hAnsi="Arial" w:cs="Arial"/>
                <w:sz w:val="20"/>
                <w:szCs w:val="20"/>
              </w:rPr>
              <w:t xml:space="preserve"> it explains about the management techniques and importance of histopathological evaluation in these cases as it is a rare disease seen in </w:t>
            </w:r>
            <w:proofErr w:type="spellStart"/>
            <w:r w:rsidR="00135778" w:rsidRPr="00611D14">
              <w:rPr>
                <w:rFonts w:ascii="Arial" w:hAnsi="Arial" w:cs="Arial"/>
                <w:sz w:val="20"/>
                <w:szCs w:val="20"/>
              </w:rPr>
              <w:t>india</w:t>
            </w:r>
            <w:proofErr w:type="spellEnd"/>
            <w:r w:rsidR="00135778" w:rsidRPr="00611D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92A6A" w:rsidRPr="00611D14">
        <w:trPr>
          <w:trHeight w:val="1265"/>
        </w:trPr>
        <w:tc>
          <w:tcPr>
            <w:tcW w:w="5296" w:type="dxa"/>
          </w:tcPr>
          <w:p w:rsidR="00992A6A" w:rsidRPr="00611D14" w:rsidRDefault="007E74C2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11D1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11D1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of the</w:t>
            </w:r>
            <w:r w:rsidRPr="00611D1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11D1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992A6A" w:rsidRPr="00611D14" w:rsidRDefault="007E74C2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</w:rPr>
              <w:t>(If not</w:t>
            </w:r>
            <w:r w:rsidRPr="00611D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11D1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11D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11D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11D1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7" w:type="dxa"/>
          </w:tcPr>
          <w:p w:rsidR="00992A6A" w:rsidRPr="00611D14" w:rsidRDefault="007E74C2">
            <w:pPr>
              <w:pStyle w:val="TableParagraph"/>
              <w:spacing w:line="228" w:lineRule="exact"/>
              <w:ind w:left="0" w:right="84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376" w:type="dxa"/>
          </w:tcPr>
          <w:p w:rsidR="00992A6A" w:rsidRPr="00611D14" w:rsidRDefault="001357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992A6A" w:rsidRPr="00611D14">
        <w:trPr>
          <w:trHeight w:val="1260"/>
        </w:trPr>
        <w:tc>
          <w:tcPr>
            <w:tcW w:w="5296" w:type="dxa"/>
          </w:tcPr>
          <w:p w:rsidR="00992A6A" w:rsidRPr="00611D14" w:rsidRDefault="007E74C2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11D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11D1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11D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11D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7" w:type="dxa"/>
          </w:tcPr>
          <w:p w:rsidR="00992A6A" w:rsidRPr="00611D14" w:rsidRDefault="007E74C2">
            <w:pPr>
              <w:pStyle w:val="TableParagraph"/>
              <w:spacing w:line="229" w:lineRule="exact"/>
              <w:ind w:left="0" w:right="84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376" w:type="dxa"/>
          </w:tcPr>
          <w:p w:rsidR="00992A6A" w:rsidRPr="00611D14" w:rsidRDefault="001357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992A6A" w:rsidRPr="00611D14">
        <w:trPr>
          <w:trHeight w:val="705"/>
        </w:trPr>
        <w:tc>
          <w:tcPr>
            <w:tcW w:w="5296" w:type="dxa"/>
          </w:tcPr>
          <w:p w:rsidR="00992A6A" w:rsidRPr="00611D14" w:rsidRDefault="007E74C2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11D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11D1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11D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11D1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7" w:type="dxa"/>
          </w:tcPr>
          <w:p w:rsidR="00992A6A" w:rsidRPr="00611D14" w:rsidRDefault="007E74C2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376" w:type="dxa"/>
          </w:tcPr>
          <w:p w:rsidR="00992A6A" w:rsidRPr="00611D14" w:rsidRDefault="001357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992A6A" w:rsidRPr="00611D14">
        <w:trPr>
          <w:trHeight w:val="705"/>
        </w:trPr>
        <w:tc>
          <w:tcPr>
            <w:tcW w:w="5296" w:type="dxa"/>
          </w:tcPr>
          <w:p w:rsidR="00992A6A" w:rsidRPr="00611D14" w:rsidRDefault="007E74C2">
            <w:pPr>
              <w:pStyle w:val="TableParagraph"/>
              <w:spacing w:line="230" w:lineRule="exact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11D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11D1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11D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11D1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7" w:type="dxa"/>
          </w:tcPr>
          <w:p w:rsidR="00992A6A" w:rsidRPr="00611D14" w:rsidRDefault="007E74C2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Yes.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It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would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be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useful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to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incorporate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discussing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viral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triggers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in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Kikuchi-Fujimoto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disease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to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support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the ethnological discussion.</w:t>
            </w:r>
          </w:p>
        </w:tc>
        <w:tc>
          <w:tcPr>
            <w:tcW w:w="6376" w:type="dxa"/>
          </w:tcPr>
          <w:p w:rsidR="00992A6A" w:rsidRPr="00611D14" w:rsidRDefault="001357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</w:tr>
      <w:tr w:rsidR="00992A6A" w:rsidRPr="00611D14">
        <w:trPr>
          <w:trHeight w:val="2666"/>
        </w:trPr>
        <w:tc>
          <w:tcPr>
            <w:tcW w:w="5296" w:type="dxa"/>
          </w:tcPr>
          <w:p w:rsidR="00992A6A" w:rsidRPr="00611D14" w:rsidRDefault="007E74C2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11D1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11D1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11D1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11D1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7" w:type="dxa"/>
          </w:tcPr>
          <w:p w:rsidR="00992A6A" w:rsidRPr="00611D14" w:rsidRDefault="007E74C2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I</w:t>
            </w:r>
            <w:r w:rsidRPr="00611D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recommend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addressing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following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points to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align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the quality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of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article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with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academic</w:t>
            </w:r>
            <w:r w:rsidRPr="00611D14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standards:</w:t>
            </w:r>
          </w:p>
          <w:p w:rsidR="00992A6A" w:rsidRPr="00611D14" w:rsidRDefault="007E74C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190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capitalize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all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section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headings</w:t>
            </w:r>
            <w:r w:rsidRPr="00611D1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and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 xml:space="preserve">disease names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consistently.</w:t>
            </w:r>
          </w:p>
          <w:p w:rsidR="00992A6A" w:rsidRPr="00611D14" w:rsidRDefault="007E74C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5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Use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serial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commas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in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lists of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three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or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 xml:space="preserve">more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items.</w:t>
            </w:r>
          </w:p>
          <w:p w:rsidR="00992A6A" w:rsidRPr="00611D14" w:rsidRDefault="007E74C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5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Replace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hyphens with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en-dashes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in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numeric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ranges</w:t>
            </w:r>
            <w:r w:rsidRPr="00611D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and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between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 xml:space="preserve">eponymous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terms.</w:t>
            </w:r>
          </w:p>
          <w:p w:rsidR="00992A6A" w:rsidRPr="00611D14" w:rsidRDefault="007E74C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5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Ensure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subject-verb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agreement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and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maintain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consistent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past-tense narration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through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the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 xml:space="preserve">case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report.</w:t>
            </w:r>
          </w:p>
          <w:p w:rsidR="00992A6A" w:rsidRPr="00611D14" w:rsidRDefault="007E74C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5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Use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parentheses rather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than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11D14">
              <w:rPr>
                <w:rFonts w:ascii="Arial" w:hAnsi="Arial" w:cs="Arial"/>
                <w:sz w:val="20"/>
                <w:szCs w:val="20"/>
              </w:rPr>
              <w:t>em</w:t>
            </w:r>
            <w:proofErr w:type="spellEnd"/>
            <w:r w:rsidRPr="00611D14">
              <w:rPr>
                <w:rFonts w:ascii="Arial" w:hAnsi="Arial" w:cs="Arial"/>
                <w:sz w:val="20"/>
                <w:szCs w:val="20"/>
              </w:rPr>
              <w:t>-dashes for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short,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supplementary</w:t>
            </w:r>
            <w:r w:rsidRPr="00611D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remarks.</w:t>
            </w:r>
          </w:p>
          <w:p w:rsidR="00992A6A" w:rsidRPr="00611D14" w:rsidRDefault="007E74C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5" w:line="276" w:lineRule="auto"/>
              <w:ind w:right="106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 xml:space="preserve">Convert dense, inline clinical data into structured bullet point lists under clear subheadings to improve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clarity.</w:t>
            </w:r>
          </w:p>
        </w:tc>
        <w:tc>
          <w:tcPr>
            <w:tcW w:w="6376" w:type="dxa"/>
          </w:tcPr>
          <w:p w:rsidR="00992A6A" w:rsidRPr="00611D14" w:rsidRDefault="001357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 xml:space="preserve"> We will re assess and make the necessary changes.</w:t>
            </w:r>
          </w:p>
        </w:tc>
      </w:tr>
      <w:tr w:rsidR="00992A6A" w:rsidRPr="00611D14">
        <w:trPr>
          <w:trHeight w:val="1174"/>
        </w:trPr>
        <w:tc>
          <w:tcPr>
            <w:tcW w:w="5296" w:type="dxa"/>
          </w:tcPr>
          <w:p w:rsidR="00992A6A" w:rsidRPr="00611D14" w:rsidRDefault="007E74C2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611D14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7" w:type="dxa"/>
          </w:tcPr>
          <w:p w:rsidR="00992A6A" w:rsidRPr="00611D14" w:rsidRDefault="007E74C2">
            <w:pPr>
              <w:pStyle w:val="TableParagraph"/>
              <w:ind w:left="109" w:right="72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>This</w:t>
            </w:r>
            <w:r w:rsidRPr="00611D1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case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report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presents</w:t>
            </w:r>
            <w:r w:rsidRPr="00611D1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clear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and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logically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structured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account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of</w:t>
            </w:r>
            <w:r w:rsidRPr="00611D1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Kikuchi-Fujimoto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disease,</w:t>
            </w:r>
            <w:r w:rsidRPr="00611D1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a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>rare</w:t>
            </w:r>
            <w:r w:rsidRPr="00611D1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11D14">
              <w:rPr>
                <w:rFonts w:ascii="Arial" w:hAnsi="Arial" w:cs="Arial"/>
                <w:sz w:val="20"/>
                <w:szCs w:val="20"/>
              </w:rPr>
              <w:t xml:space="preserve">but important diagnostic consideration in patients presenting with cervical lymphadenopathy of presumed odontogenic origin. The authors provide a logical clinical narrative, appropriate use of imaging and </w:t>
            </w:r>
            <w:proofErr w:type="spellStart"/>
            <w:r w:rsidRPr="00611D14">
              <w:rPr>
                <w:rFonts w:ascii="Arial" w:hAnsi="Arial" w:cs="Arial"/>
                <w:sz w:val="20"/>
                <w:szCs w:val="20"/>
              </w:rPr>
              <w:t>histopatholohgy</w:t>
            </w:r>
            <w:proofErr w:type="spellEnd"/>
            <w:r w:rsidRPr="00611D14">
              <w:rPr>
                <w:rFonts w:ascii="Arial" w:hAnsi="Arial" w:cs="Arial"/>
                <w:sz w:val="20"/>
                <w:szCs w:val="20"/>
              </w:rPr>
              <w:t>, and practical management approach.</w:t>
            </w:r>
          </w:p>
        </w:tc>
        <w:tc>
          <w:tcPr>
            <w:tcW w:w="6376" w:type="dxa"/>
          </w:tcPr>
          <w:p w:rsidR="00992A6A" w:rsidRPr="00611D14" w:rsidRDefault="001357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11D14">
              <w:rPr>
                <w:rFonts w:ascii="Arial" w:hAnsi="Arial" w:cs="Arial"/>
                <w:sz w:val="20"/>
                <w:szCs w:val="20"/>
              </w:rPr>
              <w:t xml:space="preserve"> This case report presents the rarity of disease as well as its diagnostic difficulties. </w:t>
            </w:r>
            <w:proofErr w:type="gramStart"/>
            <w:r w:rsidRPr="00611D14">
              <w:rPr>
                <w:rFonts w:ascii="Arial" w:hAnsi="Arial" w:cs="Arial"/>
                <w:sz w:val="20"/>
                <w:szCs w:val="20"/>
              </w:rPr>
              <w:t>Also</w:t>
            </w:r>
            <w:proofErr w:type="gramEnd"/>
            <w:r w:rsidRPr="00611D14">
              <w:rPr>
                <w:rFonts w:ascii="Arial" w:hAnsi="Arial" w:cs="Arial"/>
                <w:sz w:val="20"/>
                <w:szCs w:val="20"/>
              </w:rPr>
              <w:t xml:space="preserve"> this report explains the use of histopathological evaluation and to rule out other conditions which can mimic the present scenario for example space infection.</w:t>
            </w:r>
          </w:p>
        </w:tc>
      </w:tr>
    </w:tbl>
    <w:p w:rsidR="00992A6A" w:rsidRPr="00611D14" w:rsidRDefault="00992A6A">
      <w:pPr>
        <w:pStyle w:val="TableParagraph"/>
        <w:rPr>
          <w:rFonts w:ascii="Arial" w:hAnsi="Arial" w:cs="Arial"/>
          <w:sz w:val="20"/>
          <w:szCs w:val="20"/>
        </w:rPr>
        <w:sectPr w:rsidR="00992A6A" w:rsidRPr="00611D14">
          <w:headerReference w:type="default" r:id="rId7"/>
          <w:footerReference w:type="default" r:id="rId8"/>
          <w:pgSz w:w="23820" w:h="16840" w:orient="landscape"/>
          <w:pgMar w:top="1820" w:right="1417" w:bottom="880" w:left="1417" w:header="1283" w:footer="693" w:gutter="0"/>
          <w:cols w:space="720"/>
        </w:sectPr>
      </w:pPr>
    </w:p>
    <w:p w:rsidR="00992A6A" w:rsidRPr="00611D14" w:rsidRDefault="00992A6A">
      <w:pPr>
        <w:ind w:left="23"/>
        <w:rPr>
          <w:rFonts w:ascii="Arial" w:hAnsi="Arial" w:cs="Arial"/>
          <w:sz w:val="20"/>
          <w:szCs w:val="20"/>
        </w:rPr>
      </w:pPr>
      <w:bookmarkStart w:id="0" w:name="Re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9"/>
        <w:gridCol w:w="7110"/>
        <w:gridCol w:w="7097"/>
      </w:tblGrid>
      <w:tr w:rsidR="009F4922" w:rsidRPr="00611D14" w:rsidTr="00480E3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22" w:rsidRPr="00611D14" w:rsidRDefault="009F4922" w:rsidP="009F4922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611D1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11D1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9F4922" w:rsidRPr="00611D14" w:rsidRDefault="009F4922" w:rsidP="009F4922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F4922" w:rsidRPr="00611D14" w:rsidTr="00480E3E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22" w:rsidRPr="00611D14" w:rsidRDefault="009F4922" w:rsidP="009F492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922" w:rsidRPr="00611D14" w:rsidRDefault="009F4922" w:rsidP="009F4922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11D1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9F4922" w:rsidRPr="00611D14" w:rsidRDefault="009F4922" w:rsidP="009F4922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11D1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11D1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9F4922" w:rsidRPr="00611D14" w:rsidRDefault="009F4922" w:rsidP="009F4922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9F4922" w:rsidRPr="00611D14" w:rsidTr="00480E3E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22" w:rsidRPr="00611D14" w:rsidRDefault="009F4922" w:rsidP="009F4922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11D1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9F4922" w:rsidRPr="00611D14" w:rsidRDefault="009F4922" w:rsidP="009F492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22" w:rsidRPr="00611D14" w:rsidRDefault="009F4922" w:rsidP="009F4922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11D1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11D1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11D1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9F4922" w:rsidRPr="00611D14" w:rsidRDefault="009F4922" w:rsidP="009F492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9F4922" w:rsidRPr="00611D14" w:rsidRDefault="009F4922" w:rsidP="009F492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F4922" w:rsidRPr="00611D14" w:rsidRDefault="009F4922" w:rsidP="009F492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F4922" w:rsidRPr="00611D14" w:rsidRDefault="00135778" w:rsidP="009F492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611D1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there are no ethical issues with respect to this.</w:t>
            </w:r>
          </w:p>
        </w:tc>
      </w:tr>
      <w:bookmarkEnd w:id="1"/>
    </w:tbl>
    <w:p w:rsidR="009F4922" w:rsidRPr="00611D14" w:rsidRDefault="009F4922" w:rsidP="009F492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9F4922" w:rsidRPr="00611D14" w:rsidRDefault="009F4922" w:rsidP="009F492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9F4922" w:rsidRPr="00611D14" w:rsidRDefault="009F4922" w:rsidP="009F4922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:rsidR="009F4922" w:rsidRPr="00611D14" w:rsidRDefault="009F4922" w:rsidP="009F492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9F4922" w:rsidRPr="00611D14" w:rsidRDefault="009F4922">
      <w:pPr>
        <w:ind w:left="23"/>
        <w:rPr>
          <w:rFonts w:ascii="Arial" w:hAnsi="Arial" w:cs="Arial"/>
          <w:sz w:val="20"/>
          <w:szCs w:val="20"/>
        </w:rPr>
      </w:pPr>
    </w:p>
    <w:sectPr w:rsidR="009F4922" w:rsidRPr="00611D14">
      <w:pgSz w:w="23820" w:h="16840" w:orient="landscape"/>
      <w:pgMar w:top="1820" w:right="1417" w:bottom="880" w:left="1417" w:header="1283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D1128" w:rsidRDefault="009D1128">
      <w:r>
        <w:separator/>
      </w:r>
    </w:p>
  </w:endnote>
  <w:endnote w:type="continuationSeparator" w:id="0">
    <w:p w:rsidR="009D1128" w:rsidRDefault="009D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92A6A" w:rsidRDefault="007E74C2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9152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10113595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2A6A" w:rsidRDefault="007E74C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35pt;width:52.1pt;height:10.9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MclwEAACEDAAAOAAAAZHJzL2Uyb0RvYy54bWysUsGOEzEMvSPxD1HuNO0uKqtRpytgBUJa&#10;AdLCB6SZpBMxiYOddqZ/j5OdtghuiIvjxM7Le8/Z3E9hEEeL5CG2crVYSmGjgc7HfSu/f/vw6k4K&#10;yjp2eoBoW3myJO+3L19sxtTYG+hh6CwKBonUjKmVfc6pUYpMb4OmBSQbuegAg868xb3qUI+MHgZ1&#10;s1yu1QjYJQRjifj04bkotxXfOWvyF+fIZjG0krnlGrHGXYlqu9HNHnXqvZlp6H9gEbSP/OgF6kFn&#10;LQ7o/4IK3iAQuLwwEBQ4542tGljNavmHmqdeJ1u1sDmULjbR/4M1n49P6SuKPL2DiQdYRVB6BPOD&#10;2Bs1JmrmnuIpNcTdRejkMJSVJQi+yN6eLn7aKQvDh+v1av2GK4ZLq9u717fVb3W9nJDyRwtBlKSV&#10;yOOqBPTxkXJ5XjfnlpnL8/OFSJ52k/Bd4cyd5WQH3YmljDzNVtLPg0YrxfApsl1l9OcEz8nunGAe&#10;3kP9IEVRhLeHDM5XAlfcmQDPofKa/0wZ9O/72nX92dtfAAAA//8DAFBLAwQUAAYACAAAACEAEF+X&#10;peIAAAANAQAADwAAAGRycy9kb3ducmV2LnhtbEyPwU7DMBBE70j8g7VI3KhTKw00xKkqBCekijQc&#10;ODqxm1iN1yF22/D3bE9w29kdzb4pNrMb2NlMwXqUsFwkwAy2XlvsJHzWbw9PwEJUqNXg0Uj4MQE2&#10;5e1NoXLtL1iZ8z52jEIw5EpCH+OYcx7a3jgVFn40SLeDn5yKJKeO60ldKNwNXCRJxp2ySB96NZqX&#10;3rTH/clJ2H5h9Wq/d81HdahsXa8TfM+OUt7fzdtnYNHM8c8MV3xCh5KYGn9CHdhAOhXUJdKwWotH&#10;YGQRaSaANbTKlukKeFnw/y3KXwAAAP//AwBQSwECLQAUAAYACAAAACEAtoM4kv4AAADhAQAAEwAA&#10;AAAAAAAAAAAAAAAAAAAAW0NvbnRlbnRfVHlwZXNdLnhtbFBLAQItABQABgAIAAAAIQA4/SH/1gAA&#10;AJQBAAALAAAAAAAAAAAAAAAAAC8BAABfcmVscy8ucmVsc1BLAQItABQABgAIAAAAIQBnefMclwEA&#10;ACEDAAAOAAAAAAAAAAAAAAAAAC4CAABkcnMvZTJvRG9jLnhtbFBLAQItABQABgAIAAAAIQAQX5el&#10;4gAAAA0BAAAPAAAAAAAAAAAAAAAAAPEDAABkcnMvZG93bnJldi54bWxQSwUGAAAAAAQABADzAAAA&#10;AAUAAAAA&#10;" filled="f" stroked="f">
              <v:textbox inset="0,0,0,0">
                <w:txbxContent>
                  <w:p w:rsidR="00992A6A" w:rsidRDefault="007E74C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9664" behindDoc="1" locked="0" layoutInCell="1" allowOverlap="1">
              <wp:simplePos x="0" y="0"/>
              <wp:positionH relativeFrom="page">
                <wp:posOffset>2642235</wp:posOffset>
              </wp:positionH>
              <wp:positionV relativeFrom="page">
                <wp:posOffset>10113595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2A6A" w:rsidRDefault="007E74C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05pt;margin-top:796.35pt;width:55.6pt;height:10.9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FZmAEAACEDAAAOAAAAZHJzL2Uyb0RvYy54bWysUl9v0zAQf0fad7D8TpN2aExR0wmYmJAm&#10;QBp8ANexG4vY5925TfrtOXtpO8Eb4sW5+M4///54fTf5QRwMkoPQyuWilsIEDZ0Lu1b+/PH57a0U&#10;lFTo1ADBtPJoSN5trt6sx9iYFfQwdAYFgwRqxtjKPqXYVBXp3nhFC4gmcNMCepX4F3dVh2pkdD9U&#10;q7q+qUbALiJoQ8S79y9NuSn41hqdvllLJomhlcwtlRXLus1rtVmrZocq9k7PNNQ/sPDKBb70DHWv&#10;khJ7dH9BeacRCGxaaPAVWOu0KRpYzbL+Q81Tr6IpWtgcimeb6P/B6q+Hp/gdRZo+wsQBFhEUH0H/&#10;IvamGiM180z2lBri6Sx0sujzlyUIPsjeHs9+mikJzZvv65vlijuaW8vr23fXxe/qcjgipQcDXuSi&#10;lchxFQLq8EgpX6+a08jM5eX6TCRN20m4rpWrHGLe2UJ3ZCkjp9lKet4rNFIMXwLblaM/FXgqtqcC&#10;0/AJygPJigJ82CewrhC44M4EOIfCa34zOejX/2Xq8rI3vwEAAP//AwBQSwMEFAAGAAgAAAAhALca&#10;NqTiAAAADQEAAA8AAABkcnMvZG93bnJldi54bWxMj8FOwzAMhu9IvENkJG4sbbd2rDSdpglOSIiu&#10;HDimTdZGa5zSZFt5e8wJjvb/6ffnYjvbgV305I1DAfEiAqaxdcpgJ+Cjfnl4BOaDRCUHh1rAt/aw&#10;LW9vCpkrd8VKXw6hY1SCPpcC+hDGnHPf9tpKv3CjRsqObrIy0Dh1XE3ySuV24EkUZdxKg3Shl6Pe&#10;97o9Hc5WwO4Tq2fz9da8V8fK1PUmwtfsJMT93bx7Ahb0HP5g+NUndSjJqXFnVJ4NAlZxFhNKQbpJ&#10;1sAISZP1ElhDqyxepcDLgv//ovwBAAD//wMAUEsBAi0AFAAGAAgAAAAhALaDOJL+AAAA4QEAABMA&#10;AAAAAAAAAAAAAAAAAAAAAFtDb250ZW50X1R5cGVzXS54bWxQSwECLQAUAAYACAAAACEAOP0h/9YA&#10;AACUAQAACwAAAAAAAAAAAAAAAAAvAQAAX3JlbHMvLnJlbHNQSwECLQAUAAYACAAAACEAj8LxWZgB&#10;AAAhAwAADgAAAAAAAAAAAAAAAAAuAgAAZHJzL2Uyb0RvYy54bWxQSwECLQAUAAYACAAAACEAtxo2&#10;pOIAAAANAQAADwAAAAAAAAAAAAAAAADyAwAAZHJzL2Rvd25yZXYueG1sUEsFBgAAAAAEAAQA8wAA&#10;AAEFAAAAAA==&#10;" filled="f" stroked="f">
              <v:textbox inset="0,0,0,0">
                <w:txbxContent>
                  <w:p w:rsidR="00992A6A" w:rsidRDefault="007E74C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10176" behindDoc="1" locked="0" layoutInCell="1" allowOverlap="1">
              <wp:simplePos x="0" y="0"/>
              <wp:positionH relativeFrom="page">
                <wp:posOffset>4414265</wp:posOffset>
              </wp:positionH>
              <wp:positionV relativeFrom="page">
                <wp:posOffset>10113595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2A6A" w:rsidRDefault="007E74C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6pt;margin-top:796.35pt;width:67.85pt;height:10.9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fGqmQEAACEDAAAOAAAAZHJzL2Uyb0RvYy54bWysUs1uGyEQvlfqOyDuNXYcWe7K66ht1KpS&#10;1FZK+gCYBS/qLkNnsHf99h3I2q7aW5QLDDB8fD9s7sa+E0eL5CHUcjGbS2GDgcaHfS1/Pn1+t5aC&#10;kg6N7iDYWp4sybvt2zebIVb2BlroGouCQQJVQ6xlm1KslCLT2l7TDKINfOgAe514iXvVoB4Yve/U&#10;zXy+UgNgExGMJeLd++dDuS34zlmTvjtHNomulswtlRHLuMuj2m50tUcdW28mGvoFLHrtAz96gbrX&#10;SYsD+v+gem8QCFyaGegVOOeNLRpYzWL+j5rHVkdbtLA5FC820evBmm/Hx/gDRRo/wsgBFhEUH8D8&#10;IvZGDZGqqSd7ShVxdxY6OuzzzBIEX2RvTxc/7ZiE4c31arF6fyuF4aPFcn27LH6r6+WIlL5Y6EUu&#10;aokcVyGgjw+U8vO6OrdMXJ6fz0TSuBuFb2q5zCHmnR00J5YycJq1pN8HjVaK7mtgu3L05wLPxe5c&#10;YOo+QfkgWVGAD4cEzhcCV9yJAOdQeE1/Jgf997p0XX/29g8AAAD//wMAUEsDBBQABgAIAAAAIQAZ&#10;fo2t4gAAAA0BAAAPAAAAZHJzL2Rvd25yZXYueG1sTI/BTsMwDIbvSLxD5EncWLpCy9o1nSYEJyS0&#10;rhw4pk3WRmuc0mRbeXvMCY72/+n352I724Fd9OSNQwGrZQRMY+uUwU7AR/16vwbmg0QlB4dawLf2&#10;sC1vbwqZK3fFSl8OoWNUgj6XAvoQxpxz3/baSr90o0bKjm6yMtA4dVxN8krlduBxFKXcSoN0oZej&#10;fu51ezqcrYDdJ1Yv5uu92VfHytR1FuFbehLibjHvNsCCnsMfDL/6pA4lOTXujMqzQUCaJTGhFCRZ&#10;/ASMkPVDlAFraJWuHhPgZcH/f1H+AAAA//8DAFBLAQItABQABgAIAAAAIQC2gziS/gAAAOEBAAAT&#10;AAAAAAAAAAAAAAAAAAAAAABbQ29udGVudF9UeXBlc10ueG1sUEsBAi0AFAAGAAgAAAAhADj9If/W&#10;AAAAlAEAAAsAAAAAAAAAAAAAAAAALwEAAF9yZWxzLy5yZWxzUEsBAi0AFAAGAAgAAAAhAHvx8aqZ&#10;AQAAIQMAAA4AAAAAAAAAAAAAAAAALgIAAGRycy9lMm9Eb2MueG1sUEsBAi0AFAAGAAgAAAAhABl+&#10;ja3iAAAADQEAAA8AAAAAAAAAAAAAAAAA8wMAAGRycy9kb3ducmV2LnhtbFBLBQYAAAAABAAEAPMA&#10;AAACBQAAAAA=&#10;" filled="f" stroked="f">
              <v:textbox inset="0,0,0,0">
                <w:txbxContent>
                  <w:p w:rsidR="00992A6A" w:rsidRDefault="007E74C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10688" behindDoc="1" locked="0" layoutInCell="1" allowOverlap="1">
              <wp:simplePos x="0" y="0"/>
              <wp:positionH relativeFrom="page">
                <wp:posOffset>6846569</wp:posOffset>
              </wp:positionH>
              <wp:positionV relativeFrom="page">
                <wp:posOffset>10113595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2A6A" w:rsidRDefault="007E74C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1pt;margin-top:796.35pt;width:80.45pt;height:10.9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15mAEAACIDAAAOAAAAZHJzL2Uyb0RvYy54bWysUt1u2yAUvp/Ud0DcL9hpt1VWnGprtWlS&#10;tVVq9wAEQ4xmOIxDYuftd6BOMnV3VW/gAIeP74fVzeQGttcRLfiW14uKM+0VdNZvW/7r6ev7a84w&#10;Sd/JAbxu+UEjv1lfvFuNodFL6GHodGQE4rEZQ8v7lEIjBKpeO4kLCNrToYHoZKJl3IouypHQ3SCW&#10;VfVRjBC7EEFpRNq9ez7k64JvjFbppzGoExtaTtxSGWMZN3kU65VstlGG3qqZhnwFCyetp0dPUHcy&#10;SbaL9j8oZ1UEBJMWCpwAY6zSRQOpqasXah57GXTRQuZgONmEbwerfuwfw0NkafoCEwVYRGC4B/Ub&#10;yRsxBmzmnuwpNkjdWehkosszSWB0kbw9nPzUU2Iqo1XL+lP9gTNFZ/Xl9dVlMVycb4eI6ZsGx3LR&#10;8kh5FQZyf48pvy+bY8tM5vn9zCRNm4nZruVXOcW8s4HuQFpGirPl+Gcno+Zs+O7Jr5z9sYjHYnMs&#10;YhpuofyQLMnD510CYwuBM+5MgIIovOZPk5P+d126zl97/RcAAP//AwBQSwMEFAAGAAgAAAAhAFSZ&#10;iEbjAAAADwEAAA8AAABkcnMvZG93bnJldi54bWxMj8FOwzAQRO9I/IO1SNyok0DTJsSpKgQnJEQa&#10;Dhyd2E2sxusQu234e7ancpvRPs3OFJvZDuykJ28cCogXETCNrVMGOwFf9dvDGpgPEpUcHGoBv9rD&#10;pry9KWSu3BkrfdqFjlEI+lwK6EMYc85922sr/cKNGum2d5OVgezUcTXJM4XbgSdRlHIrDdKHXo76&#10;pdftYXe0ArbfWL2an4/ms9pXpq6zCN/TgxD3d/P2GVjQc7jCcKlP1aGkTo07ovJsIB+t1gmxpJZZ&#10;sgJ2YZLHLAbWkErjpyXwsuD/d5R/AAAA//8DAFBLAQItABQABgAIAAAAIQC2gziS/gAAAOEBAAAT&#10;AAAAAAAAAAAAAAAAAAAAAABbQ29udGVudF9UeXBlc10ueG1sUEsBAi0AFAAGAAgAAAAhADj9If/W&#10;AAAAlAEAAAsAAAAAAAAAAAAAAAAALwEAAF9yZWxzLy5yZWxzUEsBAi0AFAAGAAgAAAAhABd97XmY&#10;AQAAIgMAAA4AAAAAAAAAAAAAAAAALgIAAGRycy9lMm9Eb2MueG1sUEsBAi0AFAAGAAgAAAAhAFSZ&#10;iEbjAAAADwEAAA8AAAAAAAAAAAAAAAAA8gMAAGRycy9kb3ducmV2LnhtbFBLBQYAAAAABAAEAPMA&#10;AAACBQAAAAA=&#10;" filled="f" stroked="f">
              <v:textbox inset="0,0,0,0">
                <w:txbxContent>
                  <w:p w:rsidR="00992A6A" w:rsidRDefault="007E74C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D1128" w:rsidRDefault="009D1128">
      <w:r>
        <w:separator/>
      </w:r>
    </w:p>
  </w:footnote>
  <w:footnote w:type="continuationSeparator" w:id="0">
    <w:p w:rsidR="009D1128" w:rsidRDefault="009D1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92A6A" w:rsidRDefault="007E74C2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8640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802217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2A6A" w:rsidRDefault="007E74C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AMWR5XhAAAA&#10;CwEAAA8AAABkcnMvZG93bnJldi54bWxMj0FPwzAMhe9I/IfISNxYum4rW2k6TQhOSGhdOXBMW6+N&#10;1jilybby7zEnuPnZT8/fy7aT7cUFR28cKZjPIhBItWsMtQo+yteHNQgfNDW6d4QKvtHDNr+9yXTa&#10;uCsVeDmEVnAI+VQr6EIYUil93aHVfuYGJL4d3Wh1YDm2shn1lcNtL+MoSqTVhvhDpwd87rA+Hc5W&#10;we6Tihfz9V7ti2NhynIT0VtyUur+bto9gQg4hT8z/OIzOuTMVLkzNV70rJcxdwk8xMkCBDsW89US&#10;RMWb1WMMMs/k/w75DwAAAP//AwBQSwECLQAUAAYACAAAACEAtoM4kv4AAADhAQAAEwAAAAAAAAAA&#10;AAAAAAAAAAAAW0NvbnRlbnRfVHlwZXNdLnhtbFBLAQItABQABgAIAAAAIQA4/SH/1gAAAJQBAAAL&#10;AAAAAAAAAAAAAAAAAC8BAABfcmVscy8ucmVsc1BLAQItABQABgAIAAAAIQD3H2iOkgEAABsDAAAO&#10;AAAAAAAAAAAAAAAAAC4CAABkcnMvZTJvRG9jLnhtbFBLAQItABQABgAIAAAAIQADFkeV4QAAAAsB&#10;AAAPAAAAAAAAAAAAAAAAAOwDAABkcnMvZG93bnJldi54bWxQSwUGAAAAAAQABADzAAAA+gQAAAAA&#10;" filled="f" stroked="f">
              <v:textbox inset="0,0,0,0">
                <w:txbxContent>
                  <w:p w:rsidR="00992A6A" w:rsidRDefault="007E74C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5727F"/>
    <w:multiLevelType w:val="hybridMultilevel"/>
    <w:tmpl w:val="6D083712"/>
    <w:lvl w:ilvl="0" w:tplc="017C4D12"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1010A692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CCA2D830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3" w:tplc="5BA41174">
      <w:numFmt w:val="bullet"/>
      <w:lvlText w:val="•"/>
      <w:lvlJc w:val="left"/>
      <w:pPr>
        <w:ind w:left="3351" w:hanging="360"/>
      </w:pPr>
      <w:rPr>
        <w:rFonts w:hint="default"/>
        <w:lang w:val="en-US" w:eastAsia="en-US" w:bidi="ar-SA"/>
      </w:rPr>
    </w:lvl>
    <w:lvl w:ilvl="4" w:tplc="D0C6D568">
      <w:numFmt w:val="bullet"/>
      <w:lvlText w:val="•"/>
      <w:lvlJc w:val="left"/>
      <w:pPr>
        <w:ind w:left="4194" w:hanging="360"/>
      </w:pPr>
      <w:rPr>
        <w:rFonts w:hint="default"/>
        <w:lang w:val="en-US" w:eastAsia="en-US" w:bidi="ar-SA"/>
      </w:rPr>
    </w:lvl>
    <w:lvl w:ilvl="5" w:tplc="87A68D9E">
      <w:numFmt w:val="bullet"/>
      <w:lvlText w:val="•"/>
      <w:lvlJc w:val="left"/>
      <w:pPr>
        <w:ind w:left="5038" w:hanging="360"/>
      </w:pPr>
      <w:rPr>
        <w:rFonts w:hint="default"/>
        <w:lang w:val="en-US" w:eastAsia="en-US" w:bidi="ar-SA"/>
      </w:rPr>
    </w:lvl>
    <w:lvl w:ilvl="6" w:tplc="516E64F2">
      <w:numFmt w:val="bullet"/>
      <w:lvlText w:val="•"/>
      <w:lvlJc w:val="left"/>
      <w:pPr>
        <w:ind w:left="5882" w:hanging="360"/>
      </w:pPr>
      <w:rPr>
        <w:rFonts w:hint="default"/>
        <w:lang w:val="en-US" w:eastAsia="en-US" w:bidi="ar-SA"/>
      </w:rPr>
    </w:lvl>
    <w:lvl w:ilvl="7" w:tplc="318E6532">
      <w:numFmt w:val="bullet"/>
      <w:lvlText w:val="•"/>
      <w:lvlJc w:val="left"/>
      <w:pPr>
        <w:ind w:left="6725" w:hanging="360"/>
      </w:pPr>
      <w:rPr>
        <w:rFonts w:hint="default"/>
        <w:lang w:val="en-US" w:eastAsia="en-US" w:bidi="ar-SA"/>
      </w:rPr>
    </w:lvl>
    <w:lvl w:ilvl="8" w:tplc="9DAAF59C">
      <w:numFmt w:val="bullet"/>
      <w:lvlText w:val="•"/>
      <w:lvlJc w:val="left"/>
      <w:pPr>
        <w:ind w:left="7569" w:hanging="360"/>
      </w:pPr>
      <w:rPr>
        <w:rFonts w:hint="default"/>
        <w:lang w:val="en-US" w:eastAsia="en-US" w:bidi="ar-SA"/>
      </w:rPr>
    </w:lvl>
  </w:abstractNum>
  <w:num w:numId="1" w16cid:durableId="2029526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A6A"/>
    <w:rsid w:val="00135778"/>
    <w:rsid w:val="001416E1"/>
    <w:rsid w:val="002B14F7"/>
    <w:rsid w:val="002F3D72"/>
    <w:rsid w:val="004B0C30"/>
    <w:rsid w:val="00500DC2"/>
    <w:rsid w:val="00611D14"/>
    <w:rsid w:val="006D2D58"/>
    <w:rsid w:val="007E74C2"/>
    <w:rsid w:val="00836A0F"/>
    <w:rsid w:val="00924B25"/>
    <w:rsid w:val="00992A6A"/>
    <w:rsid w:val="009A5F4C"/>
    <w:rsid w:val="009B3C3C"/>
    <w:rsid w:val="009D1128"/>
    <w:rsid w:val="009F4922"/>
    <w:rsid w:val="00CF2FF4"/>
    <w:rsid w:val="00F85986"/>
    <w:rsid w:val="00FB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A50EF"/>
  <w15:docId w15:val="{AE01F9B1-CAB4-4321-9506-6E560042C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unhideWhenUsed/>
    <w:rsid w:val="00CF2F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4</cp:revision>
  <dcterms:created xsi:type="dcterms:W3CDTF">2025-05-07T07:14:00Z</dcterms:created>
  <dcterms:modified xsi:type="dcterms:W3CDTF">2025-05-07T13:04:00Z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2025-05-03T00:00:00Z</vt:filetime>
  </property>
  <property fmtid="{D5CDD505-2E9C-101B-9397-08002B2CF9AE}" pid="5" name="Producer">
    <vt:lpwstr>3-Heights(TM) PDF Security Shell 4.8.25.2 (http://www.pdf-tools.com)</vt:lpwstr>
  </property>
</Properties>
</file>