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20DA95" w14:textId="211D3C8D" w:rsidR="009A7D0F" w:rsidRDefault="00652D88" w:rsidP="00441B6F">
      <w:pPr>
        <w:pStyle w:val="Title"/>
        <w:spacing w:after="0"/>
        <w:jc w:val="both"/>
        <w:rPr>
          <w:rFonts w:ascii="Arial" w:hAnsi="Arial" w:cs="Arial"/>
          <w:bCs/>
          <w:i/>
          <w:iCs/>
          <w:sz w:val="22"/>
          <w:szCs w:val="22"/>
          <w:u w:val="single"/>
        </w:rPr>
      </w:pPr>
      <w:r w:rsidRPr="00652D88">
        <w:rPr>
          <w:rFonts w:ascii="Arial" w:hAnsi="Arial" w:cs="Arial"/>
          <w:bCs/>
          <w:i/>
          <w:iCs/>
          <w:sz w:val="22"/>
          <w:szCs w:val="22"/>
          <w:u w:val="single"/>
        </w:rPr>
        <w:t>Original Research Article</w:t>
      </w:r>
    </w:p>
    <w:p w14:paraId="216D0631" w14:textId="77777777" w:rsidR="00652D88" w:rsidRPr="009A7D0F" w:rsidRDefault="00652D88" w:rsidP="00441B6F">
      <w:pPr>
        <w:pStyle w:val="Title"/>
        <w:spacing w:after="0"/>
        <w:jc w:val="both"/>
        <w:rPr>
          <w:rFonts w:ascii="Arial" w:hAnsi="Arial" w:cs="Arial"/>
          <w:sz w:val="22"/>
          <w:szCs w:val="22"/>
        </w:rPr>
      </w:pPr>
    </w:p>
    <w:p w14:paraId="7C6231BB" w14:textId="42726B10" w:rsidR="00163BC4" w:rsidRPr="00163BC4" w:rsidRDefault="005F0012" w:rsidP="005F0012">
      <w:pPr>
        <w:pStyle w:val="Author"/>
        <w:spacing w:line="240" w:lineRule="auto"/>
        <w:rPr>
          <w:rFonts w:ascii="Arial" w:hAnsi="Arial" w:cs="Arial"/>
          <w:bCs/>
          <w:iCs/>
          <w:kern w:val="28"/>
          <w:sz w:val="36"/>
        </w:rPr>
      </w:pPr>
      <w:r w:rsidRPr="005F0012">
        <w:rPr>
          <w:rFonts w:ascii="Arial" w:hAnsi="Arial" w:cs="Arial"/>
          <w:bCs/>
          <w:iCs/>
          <w:kern w:val="28"/>
          <w:sz w:val="36"/>
        </w:rPr>
        <w:t xml:space="preserve">Pharmacological assessment of the </w:t>
      </w:r>
      <w:proofErr w:type="spellStart"/>
      <w:r w:rsidRPr="005F0012">
        <w:rPr>
          <w:rFonts w:ascii="Arial" w:hAnsi="Arial" w:cs="Arial"/>
          <w:bCs/>
          <w:i/>
          <w:kern w:val="28"/>
          <w:sz w:val="36"/>
        </w:rPr>
        <w:t>Ormosia</w:t>
      </w:r>
      <w:proofErr w:type="spellEnd"/>
      <w:r w:rsidRPr="005F0012">
        <w:rPr>
          <w:rFonts w:ascii="Arial" w:hAnsi="Arial" w:cs="Arial"/>
          <w:bCs/>
          <w:i/>
          <w:kern w:val="28"/>
          <w:sz w:val="36"/>
        </w:rPr>
        <w:t xml:space="preserve"> </w:t>
      </w:r>
      <w:proofErr w:type="spellStart"/>
      <w:r w:rsidRPr="005F0012">
        <w:rPr>
          <w:rFonts w:ascii="Arial" w:hAnsi="Arial" w:cs="Arial"/>
          <w:bCs/>
          <w:i/>
          <w:kern w:val="28"/>
          <w:sz w:val="36"/>
        </w:rPr>
        <w:t>robusta</w:t>
      </w:r>
      <w:proofErr w:type="spellEnd"/>
      <w:r w:rsidRPr="005F0012">
        <w:rPr>
          <w:rFonts w:ascii="Arial" w:hAnsi="Arial" w:cs="Arial"/>
          <w:bCs/>
          <w:iCs/>
          <w:kern w:val="28"/>
          <w:sz w:val="36"/>
        </w:rPr>
        <w:t xml:space="preserve"> methanol leaf extract against free radicals, cytotoxicity and inflammation: An </w:t>
      </w:r>
      <w:r w:rsidRPr="005F0012">
        <w:rPr>
          <w:rFonts w:ascii="Arial" w:hAnsi="Arial" w:cs="Arial"/>
          <w:bCs/>
          <w:i/>
          <w:kern w:val="28"/>
          <w:sz w:val="36"/>
        </w:rPr>
        <w:t>in vitro</w:t>
      </w:r>
      <w:r w:rsidRPr="005F0012">
        <w:rPr>
          <w:rFonts w:ascii="Arial" w:hAnsi="Arial" w:cs="Arial"/>
          <w:bCs/>
          <w:iCs/>
          <w:kern w:val="28"/>
          <w:sz w:val="36"/>
        </w:rPr>
        <w:t xml:space="preserve"> and </w:t>
      </w:r>
      <w:r w:rsidRPr="005F0012">
        <w:rPr>
          <w:rFonts w:ascii="Arial" w:hAnsi="Arial" w:cs="Arial"/>
          <w:bCs/>
          <w:i/>
          <w:kern w:val="28"/>
          <w:sz w:val="36"/>
        </w:rPr>
        <w:t>in silico</w:t>
      </w:r>
      <w:r w:rsidRPr="005F0012">
        <w:rPr>
          <w:rFonts w:ascii="Arial" w:hAnsi="Arial" w:cs="Arial"/>
          <w:bCs/>
          <w:iCs/>
          <w:kern w:val="28"/>
          <w:sz w:val="36"/>
        </w:rPr>
        <w:t xml:space="preserve"> investigation</w:t>
      </w:r>
    </w:p>
    <w:p w14:paraId="5E1ADFDF" w14:textId="77777777" w:rsidR="00A258C3" w:rsidRPr="00790ADA" w:rsidRDefault="00A258C3" w:rsidP="00441B6F">
      <w:pPr>
        <w:pStyle w:val="Author"/>
        <w:spacing w:line="240" w:lineRule="auto"/>
        <w:jc w:val="both"/>
        <w:rPr>
          <w:rFonts w:ascii="Arial" w:hAnsi="Arial" w:cs="Arial"/>
          <w:sz w:val="36"/>
        </w:rPr>
      </w:pPr>
    </w:p>
    <w:p w14:paraId="65E8642C" w14:textId="77777777" w:rsidR="00652D88" w:rsidRPr="00DB7627" w:rsidRDefault="00652D88" w:rsidP="00DB7627">
      <w:pPr>
        <w:pStyle w:val="Affiliation"/>
        <w:spacing w:line="240" w:lineRule="auto"/>
        <w:rPr>
          <w:rFonts w:ascii="Arial" w:hAnsi="Arial" w:cs="Arial"/>
          <w:bCs/>
          <w:i/>
          <w:vertAlign w:val="superscript"/>
        </w:rPr>
      </w:pPr>
    </w:p>
    <w:p w14:paraId="629B335B" w14:textId="77777777" w:rsidR="00B01FCD" w:rsidRPr="00FB3A86" w:rsidRDefault="00AF2BCC" w:rsidP="00441B6F">
      <w:pPr>
        <w:pStyle w:val="Copyright"/>
        <w:spacing w:after="0" w:line="240" w:lineRule="auto"/>
        <w:jc w:val="both"/>
        <w:rPr>
          <w:rFonts w:ascii="Arial" w:hAnsi="Arial" w:cs="Arial"/>
        </w:rPr>
        <w:sectPr w:rsidR="00B01FCD" w:rsidRPr="00FB3A86" w:rsidSect="001A126E">
          <w:headerReference w:type="even" r:id="rId9"/>
          <w:headerReference w:type="default" r:id="rId10"/>
          <w:footerReference w:type="even" r:id="rId11"/>
          <w:footerReference w:type="default" r:id="rId12"/>
          <w:headerReference w:type="first" r:id="rId13"/>
          <w:footerReference w:type="first" r:id="rId14"/>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6CB0B3EE" wp14:editId="51F39C15">
                <wp:extent cx="5303520" cy="635"/>
                <wp:effectExtent l="0" t="0" r="11430" b="18415"/>
                <wp:docPr id="219307929" nam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F918AA2" id="_x0000_t32" coordsize="21600,21600" o:spt="32" o:oned="t" path="m,l21600,21600e" filled="f">
                <v:path arrowok="t" fillok="f" o:connecttype="none"/>
                <o:lock v:ext="edit" shapetype="t"/>
              </v:shapetype>
              <v:shape id="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" strokeweight="1.5pt">
                <o:lock v:ext="edit" shapetype="f"/>
                <w10:anchorlock/>
              </v:shape>
            </w:pict>
          </mc:Fallback>
        </mc:AlternateContent>
      </w:r>
      <w:r w:rsidR="00FB3A86">
        <w:rPr>
          <w:rFonts w:ascii="Arial" w:hAnsi="Arial" w:cs="Arial"/>
        </w:rPr>
        <w:t>.</w:t>
      </w:r>
    </w:p>
    <w:p w14:paraId="770E2649" w14:textId="20799809" w:rsidR="00B01FCD" w:rsidRDefault="00B01FCD" w:rsidP="00441B6F">
      <w:pPr>
        <w:pStyle w:val="AbstHead"/>
        <w:spacing w:after="0"/>
        <w:jc w:val="both"/>
        <w:rPr>
          <w:rFonts w:ascii="Arial" w:hAnsi="Arial" w:cs="Arial"/>
        </w:rPr>
      </w:pPr>
      <w:r w:rsidRPr="00FB3A86">
        <w:rPr>
          <w:rFonts w:ascii="Arial" w:hAnsi="Arial" w:cs="Arial"/>
        </w:rPr>
        <w:lastRenderedPageBreak/>
        <w:t>ABSTRACT</w:t>
      </w:r>
    </w:p>
    <w:p w14:paraId="74DFC4DD" w14:textId="77777777" w:rsidR="00790ADA" w:rsidRPr="00FB3A86" w:rsidRDefault="00790ADA" w:rsidP="00441B6F">
      <w:pPr>
        <w:pStyle w:val="AbstHead"/>
        <w:spacing w:after="0"/>
        <w:jc w:val="both"/>
        <w:rPr>
          <w:rFonts w:ascii="Arial" w:hAnsi="Arial" w:cs="Arial"/>
        </w:rPr>
      </w:pPr>
    </w:p>
    <w:tbl>
      <w:tblPr>
        <w:tblW w:w="8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359"/>
      </w:tblGrid>
      <w:tr w:rsidR="00296529" w:rsidRPr="001E44FE" w14:paraId="4F7AF1DD" w14:textId="77777777" w:rsidTr="009A4612">
        <w:tc>
          <w:tcPr>
            <w:tcW w:w="8359" w:type="dxa"/>
            <w:shd w:val="clear" w:color="auto" w:fill="F2F2F2"/>
          </w:tcPr>
          <w:p w14:paraId="1E6C9F41" w14:textId="7F2AAB21"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proofErr w:type="spellStart"/>
            <w:r w:rsidR="005F0012" w:rsidRPr="005F0012">
              <w:rPr>
                <w:rFonts w:ascii="Arial" w:eastAsia="Calibri" w:hAnsi="Arial" w:cs="Arial"/>
                <w:i/>
                <w:iCs/>
                <w:szCs w:val="22"/>
              </w:rPr>
              <w:t>Ormosia</w:t>
            </w:r>
            <w:proofErr w:type="spellEnd"/>
            <w:r w:rsidR="005F0012" w:rsidRPr="005F0012">
              <w:rPr>
                <w:rFonts w:ascii="Arial" w:eastAsia="Calibri" w:hAnsi="Arial" w:cs="Arial"/>
                <w:i/>
                <w:iCs/>
                <w:szCs w:val="22"/>
              </w:rPr>
              <w:t xml:space="preserve"> </w:t>
            </w:r>
            <w:proofErr w:type="spellStart"/>
            <w:r w:rsidR="005F0012" w:rsidRPr="005F0012">
              <w:rPr>
                <w:rFonts w:ascii="Arial" w:eastAsia="Calibri" w:hAnsi="Arial" w:cs="Arial"/>
                <w:i/>
                <w:iCs/>
                <w:szCs w:val="22"/>
              </w:rPr>
              <w:t>robusta</w:t>
            </w:r>
            <w:proofErr w:type="spellEnd"/>
            <w:r w:rsidR="005F0012" w:rsidRPr="005F0012">
              <w:rPr>
                <w:rFonts w:ascii="Arial" w:eastAsia="Calibri" w:hAnsi="Arial" w:cs="Arial"/>
                <w:szCs w:val="22"/>
              </w:rPr>
              <w:t xml:space="preserve"> (</w:t>
            </w:r>
            <w:r w:rsidR="005F0012" w:rsidRPr="005F0012">
              <w:rPr>
                <w:rFonts w:ascii="Arial" w:eastAsia="Calibri" w:hAnsi="Arial" w:cs="Arial"/>
                <w:i/>
                <w:iCs/>
                <w:szCs w:val="22"/>
              </w:rPr>
              <w:t>O. robusta</w:t>
            </w:r>
            <w:r w:rsidR="005F0012" w:rsidRPr="005F0012">
              <w:rPr>
                <w:rFonts w:ascii="Arial" w:eastAsia="Calibri" w:hAnsi="Arial" w:cs="Arial"/>
                <w:szCs w:val="22"/>
              </w:rPr>
              <w:t xml:space="preserve">) grown mainly in East Asia is known for its popular traditional uses. The objective of this research is to examine the phytochemical makeup of </w:t>
            </w:r>
            <w:r w:rsidR="00D4020A" w:rsidRPr="00D4020A">
              <w:rPr>
                <w:rFonts w:ascii="Arial" w:eastAsia="Calibri" w:hAnsi="Arial" w:cs="Arial"/>
                <w:szCs w:val="22"/>
                <w:highlight w:val="yellow"/>
              </w:rPr>
              <w:t xml:space="preserve">methanol leaf extract of </w:t>
            </w:r>
            <w:r w:rsidR="00D4020A" w:rsidRPr="00D4020A">
              <w:rPr>
                <w:rFonts w:ascii="Arial" w:eastAsia="Calibri" w:hAnsi="Arial" w:cs="Arial"/>
                <w:i/>
                <w:iCs/>
                <w:szCs w:val="22"/>
                <w:highlight w:val="yellow"/>
              </w:rPr>
              <w:t>O</w:t>
            </w:r>
            <w:r w:rsidR="00D4020A">
              <w:rPr>
                <w:rFonts w:ascii="Arial" w:eastAsia="Calibri" w:hAnsi="Arial" w:cs="Arial"/>
                <w:i/>
                <w:iCs/>
                <w:szCs w:val="22"/>
                <w:highlight w:val="yellow"/>
              </w:rPr>
              <w:t xml:space="preserve">. </w:t>
            </w:r>
            <w:proofErr w:type="spellStart"/>
            <w:r w:rsidR="00D4020A" w:rsidRPr="00D4020A">
              <w:rPr>
                <w:rFonts w:ascii="Arial" w:eastAsia="Calibri" w:hAnsi="Arial" w:cs="Arial"/>
                <w:i/>
                <w:iCs/>
                <w:szCs w:val="22"/>
                <w:highlight w:val="yellow"/>
              </w:rPr>
              <w:t>robusta</w:t>
            </w:r>
            <w:proofErr w:type="spellEnd"/>
            <w:r w:rsidR="00D4020A" w:rsidRPr="00D4020A">
              <w:rPr>
                <w:rFonts w:ascii="Arial" w:eastAsia="Calibri" w:hAnsi="Arial" w:cs="Arial"/>
                <w:szCs w:val="22"/>
                <w:highlight w:val="yellow"/>
              </w:rPr>
              <w:t xml:space="preserve"> (MELOR)</w:t>
            </w:r>
            <w:r w:rsidR="005F0012" w:rsidRPr="005F0012">
              <w:rPr>
                <w:rFonts w:ascii="Arial" w:eastAsia="Calibri" w:hAnsi="Arial" w:cs="Arial"/>
                <w:szCs w:val="22"/>
              </w:rPr>
              <w:t xml:space="preserve"> and assess its </w:t>
            </w:r>
            <w:r w:rsidR="005F0012" w:rsidRPr="00661DF4">
              <w:rPr>
                <w:rFonts w:ascii="Arial" w:eastAsia="Calibri" w:hAnsi="Arial" w:cs="Arial"/>
                <w:i/>
                <w:iCs/>
                <w:szCs w:val="22"/>
              </w:rPr>
              <w:t>in</w:t>
            </w:r>
            <w:r w:rsidR="00661DF4">
              <w:rPr>
                <w:rFonts w:ascii="Arial" w:eastAsia="Calibri" w:hAnsi="Arial" w:cs="Arial"/>
                <w:i/>
                <w:iCs/>
                <w:szCs w:val="22"/>
              </w:rPr>
              <w:t xml:space="preserve"> </w:t>
            </w:r>
            <w:r w:rsidR="005F0012" w:rsidRPr="00661DF4">
              <w:rPr>
                <w:rFonts w:ascii="Arial" w:eastAsia="Calibri" w:hAnsi="Arial" w:cs="Arial"/>
                <w:i/>
                <w:iCs/>
                <w:szCs w:val="22"/>
              </w:rPr>
              <w:t>vitro</w:t>
            </w:r>
            <w:r w:rsidR="005F0012" w:rsidRPr="005F0012">
              <w:rPr>
                <w:rFonts w:ascii="Arial" w:eastAsia="Calibri" w:hAnsi="Arial" w:cs="Arial"/>
                <w:szCs w:val="22"/>
              </w:rPr>
              <w:t xml:space="preserve"> antioxidant, cytotoxic, and anti-inflammatory properties</w:t>
            </w:r>
            <w:r w:rsidR="00661DF4">
              <w:rPr>
                <w:rFonts w:ascii="Arial" w:eastAsia="Calibri" w:hAnsi="Arial" w:cs="Arial"/>
                <w:szCs w:val="22"/>
              </w:rPr>
              <w:t>.</w:t>
            </w:r>
          </w:p>
          <w:p w14:paraId="66235EB6" w14:textId="405C9E34"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5F0012" w:rsidRPr="005F0012">
              <w:rPr>
                <w:rFonts w:ascii="Arial" w:eastAsia="Calibri" w:hAnsi="Arial" w:cs="Arial"/>
                <w:szCs w:val="22"/>
              </w:rPr>
              <w:t xml:space="preserve">DPPH free radical scavenging assay was utilized to assess its antioxidant activity. The brine shrimp lethality bioassay was used to check cytotoxicity. Additionally, </w:t>
            </w:r>
            <w:r w:rsidR="005F0012" w:rsidRPr="00661DF4">
              <w:rPr>
                <w:rFonts w:ascii="Arial" w:eastAsia="Calibri" w:hAnsi="Arial" w:cs="Arial"/>
                <w:i/>
                <w:iCs/>
                <w:szCs w:val="22"/>
              </w:rPr>
              <w:t>in</w:t>
            </w:r>
            <w:r w:rsidR="00661DF4" w:rsidRPr="00661DF4">
              <w:rPr>
                <w:rFonts w:ascii="Arial" w:eastAsia="Calibri" w:hAnsi="Arial" w:cs="Arial"/>
                <w:i/>
                <w:iCs/>
                <w:szCs w:val="22"/>
              </w:rPr>
              <w:t xml:space="preserve"> </w:t>
            </w:r>
            <w:r w:rsidR="005F0012" w:rsidRPr="00661DF4">
              <w:rPr>
                <w:rFonts w:ascii="Arial" w:eastAsia="Calibri" w:hAnsi="Arial" w:cs="Arial"/>
                <w:i/>
                <w:iCs/>
                <w:szCs w:val="22"/>
              </w:rPr>
              <w:t>vitro</w:t>
            </w:r>
            <w:r w:rsidR="005F0012" w:rsidRPr="005F0012">
              <w:rPr>
                <w:rFonts w:ascii="Arial" w:eastAsia="Calibri" w:hAnsi="Arial" w:cs="Arial"/>
                <w:szCs w:val="22"/>
              </w:rPr>
              <w:t xml:space="preserve"> anti-inflammatory potential of this plant was evaluated by utilizing the protein denaturation test. Moreover, molecular docking was performed to assess the binding affinity of phytoconstituents, and drug-like properties were evaluated by ADME/T analysis.</w:t>
            </w:r>
          </w:p>
          <w:p w14:paraId="75F5547E" w14:textId="5A353598" w:rsidR="00BA1B01" w:rsidRPr="00BA1B01" w:rsidRDefault="00BA1B01" w:rsidP="00441B6F">
            <w:pPr>
              <w:pStyle w:val="Body"/>
              <w:spacing w:after="0"/>
              <w:rPr>
                <w:rFonts w:ascii="Arial" w:eastAsia="Calibri" w:hAnsi="Arial" w:cs="Arial"/>
                <w:b/>
                <w:bCs/>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504E99">
              <w:rPr>
                <w:rFonts w:ascii="Arial" w:eastAsia="Calibri" w:hAnsi="Arial" w:cs="Arial"/>
                <w:szCs w:val="22"/>
              </w:rPr>
              <w:t>MELOR</w:t>
            </w:r>
            <w:r w:rsidR="005F0012" w:rsidRPr="005F0012">
              <w:rPr>
                <w:rFonts w:ascii="Arial" w:eastAsia="Calibri" w:hAnsi="Arial" w:cs="Arial"/>
                <w:szCs w:val="22"/>
              </w:rPr>
              <w:t xml:space="preserve"> showed an IC</w:t>
            </w:r>
            <w:r w:rsidR="005F0012" w:rsidRPr="005F0012">
              <w:rPr>
                <w:rFonts w:ascii="Arial" w:eastAsia="Calibri" w:hAnsi="Arial" w:cs="Arial"/>
                <w:szCs w:val="22"/>
                <w:vertAlign w:val="subscript"/>
              </w:rPr>
              <w:t>50</w:t>
            </w:r>
            <w:r w:rsidR="005F0012" w:rsidRPr="005F0012">
              <w:rPr>
                <w:rFonts w:ascii="Arial" w:eastAsia="Calibri" w:hAnsi="Arial" w:cs="Arial"/>
                <w:szCs w:val="22"/>
              </w:rPr>
              <w:t xml:space="preserve"> </w:t>
            </w:r>
            <w:proofErr w:type="gramStart"/>
            <w:r w:rsidR="005F0012" w:rsidRPr="005F0012">
              <w:rPr>
                <w:rFonts w:ascii="Arial" w:eastAsia="Calibri" w:hAnsi="Arial" w:cs="Arial"/>
                <w:szCs w:val="22"/>
              </w:rPr>
              <w:t xml:space="preserve">of 63.81 </w:t>
            </w:r>
            <w:proofErr w:type="spellStart"/>
            <w:r w:rsidR="00765BB1">
              <w:rPr>
                <w:rFonts w:ascii="Arial" w:eastAsia="Calibri" w:hAnsi="Arial" w:cs="Arial"/>
                <w:szCs w:val="22"/>
              </w:rPr>
              <w:t>μg</w:t>
            </w:r>
            <w:proofErr w:type="spellEnd"/>
            <w:r w:rsidR="00765BB1">
              <w:rPr>
                <w:rFonts w:ascii="Arial" w:eastAsia="Calibri" w:hAnsi="Arial" w:cs="Arial"/>
                <w:szCs w:val="22"/>
              </w:rPr>
              <w:t>/mL</w:t>
            </w:r>
            <w:proofErr w:type="gramEnd"/>
            <w:r w:rsidR="005F0012" w:rsidRPr="005F0012">
              <w:rPr>
                <w:rFonts w:ascii="Arial" w:eastAsia="Calibri" w:hAnsi="Arial" w:cs="Arial"/>
                <w:szCs w:val="22"/>
              </w:rPr>
              <w:t xml:space="preserve"> compared to the standard 12.90 </w:t>
            </w:r>
            <w:proofErr w:type="spellStart"/>
            <w:r w:rsidR="00765BB1">
              <w:rPr>
                <w:rFonts w:ascii="Arial" w:eastAsia="Calibri" w:hAnsi="Arial" w:cs="Arial"/>
                <w:szCs w:val="22"/>
              </w:rPr>
              <w:t>μg</w:t>
            </w:r>
            <w:proofErr w:type="spellEnd"/>
            <w:r w:rsidR="00765BB1">
              <w:rPr>
                <w:rFonts w:ascii="Arial" w:eastAsia="Calibri" w:hAnsi="Arial" w:cs="Arial"/>
                <w:szCs w:val="22"/>
              </w:rPr>
              <w:t>/mL</w:t>
            </w:r>
            <w:r w:rsidR="005F0012" w:rsidRPr="005F0012">
              <w:rPr>
                <w:rFonts w:ascii="Arial" w:eastAsia="Calibri" w:hAnsi="Arial" w:cs="Arial"/>
                <w:szCs w:val="22"/>
              </w:rPr>
              <w:t xml:space="preserve"> in the DPPH free radical scavenging assay. </w:t>
            </w:r>
            <w:r w:rsidR="00504E99">
              <w:rPr>
                <w:rFonts w:ascii="Arial" w:eastAsia="Calibri" w:hAnsi="Arial" w:cs="Arial"/>
                <w:szCs w:val="22"/>
              </w:rPr>
              <w:t>MELOR</w:t>
            </w:r>
            <w:r w:rsidR="005F0012" w:rsidRPr="005F0012">
              <w:rPr>
                <w:rFonts w:ascii="Arial" w:eastAsia="Calibri" w:hAnsi="Arial" w:cs="Arial"/>
                <w:szCs w:val="22"/>
              </w:rPr>
              <w:t xml:space="preserve"> showed concentration-dependent cytotoxic activity with </w:t>
            </w:r>
            <w:r w:rsidR="005F0012" w:rsidRPr="008025B0">
              <w:rPr>
                <w:rFonts w:ascii="Arial" w:eastAsia="Calibri" w:hAnsi="Arial" w:cs="Arial"/>
                <w:szCs w:val="22"/>
                <w:highlight w:val="yellow"/>
              </w:rPr>
              <w:t>a</w:t>
            </w:r>
            <w:r w:rsidR="0061595E" w:rsidRPr="008025B0">
              <w:rPr>
                <w:rFonts w:ascii="Arial" w:eastAsia="Calibri" w:hAnsi="Arial" w:cs="Arial"/>
                <w:szCs w:val="22"/>
                <w:highlight w:val="yellow"/>
              </w:rPr>
              <w:t>n</w:t>
            </w:r>
            <w:r w:rsidR="005F0012" w:rsidRPr="005F0012">
              <w:rPr>
                <w:rFonts w:ascii="Arial" w:eastAsia="Calibri" w:hAnsi="Arial" w:cs="Arial"/>
                <w:szCs w:val="22"/>
              </w:rPr>
              <w:t xml:space="preserve"> LC</w:t>
            </w:r>
            <w:r w:rsidR="005F0012" w:rsidRPr="005F0012">
              <w:rPr>
                <w:rFonts w:ascii="Arial" w:eastAsia="Calibri" w:hAnsi="Arial" w:cs="Arial"/>
                <w:szCs w:val="22"/>
                <w:vertAlign w:val="subscript"/>
              </w:rPr>
              <w:t>50</w:t>
            </w:r>
            <w:r w:rsidR="005F0012" w:rsidRPr="005F0012">
              <w:rPr>
                <w:rFonts w:ascii="Arial" w:eastAsia="Calibri" w:hAnsi="Arial" w:cs="Arial"/>
                <w:szCs w:val="22"/>
              </w:rPr>
              <w:t xml:space="preserve"> value </w:t>
            </w:r>
            <w:proofErr w:type="gramStart"/>
            <w:r w:rsidR="005F0012" w:rsidRPr="005F0012">
              <w:rPr>
                <w:rFonts w:ascii="Arial" w:eastAsia="Calibri" w:hAnsi="Arial" w:cs="Arial"/>
                <w:szCs w:val="22"/>
              </w:rPr>
              <w:t xml:space="preserve">of 167.19 </w:t>
            </w:r>
            <w:proofErr w:type="spellStart"/>
            <w:r w:rsidR="00765BB1">
              <w:rPr>
                <w:rFonts w:ascii="Arial" w:eastAsia="Calibri" w:hAnsi="Arial" w:cs="Arial"/>
                <w:szCs w:val="22"/>
              </w:rPr>
              <w:t>μg</w:t>
            </w:r>
            <w:proofErr w:type="spellEnd"/>
            <w:r w:rsidR="00765BB1">
              <w:rPr>
                <w:rFonts w:ascii="Arial" w:eastAsia="Calibri" w:hAnsi="Arial" w:cs="Arial"/>
                <w:szCs w:val="22"/>
              </w:rPr>
              <w:t>/</w:t>
            </w:r>
            <w:proofErr w:type="spellStart"/>
            <w:r w:rsidR="00765BB1">
              <w:rPr>
                <w:rFonts w:ascii="Arial" w:eastAsia="Calibri" w:hAnsi="Arial" w:cs="Arial"/>
                <w:szCs w:val="22"/>
              </w:rPr>
              <w:t>mL</w:t>
            </w:r>
            <w:proofErr w:type="gramEnd"/>
            <w:r w:rsidR="00765BB1">
              <w:rPr>
                <w:rFonts w:ascii="Arial" w:eastAsia="Calibri" w:hAnsi="Arial" w:cs="Arial"/>
                <w:szCs w:val="22"/>
              </w:rPr>
              <w:t>.</w:t>
            </w:r>
            <w:proofErr w:type="spellEnd"/>
            <w:r w:rsidR="00765BB1">
              <w:rPr>
                <w:rFonts w:ascii="Arial" w:eastAsia="Calibri" w:hAnsi="Arial" w:cs="Arial"/>
                <w:szCs w:val="22"/>
              </w:rPr>
              <w:t xml:space="preserve"> </w:t>
            </w:r>
            <w:r w:rsidR="005F0012" w:rsidRPr="005F0012">
              <w:rPr>
                <w:rFonts w:ascii="Arial" w:eastAsia="Calibri" w:hAnsi="Arial" w:cs="Arial"/>
                <w:szCs w:val="22"/>
              </w:rPr>
              <w:t xml:space="preserve">On the other hand, diclofenac-Na was used as a standard for evaluating </w:t>
            </w:r>
            <w:r w:rsidR="005F0012" w:rsidRPr="00661DF4">
              <w:rPr>
                <w:rFonts w:ascii="Arial" w:eastAsia="Calibri" w:hAnsi="Arial" w:cs="Arial"/>
                <w:i/>
                <w:iCs/>
                <w:szCs w:val="22"/>
              </w:rPr>
              <w:t>in</w:t>
            </w:r>
            <w:r w:rsidR="00661DF4">
              <w:rPr>
                <w:rFonts w:ascii="Arial" w:eastAsia="Calibri" w:hAnsi="Arial" w:cs="Arial"/>
                <w:i/>
                <w:iCs/>
                <w:szCs w:val="22"/>
              </w:rPr>
              <w:t xml:space="preserve"> </w:t>
            </w:r>
            <w:r w:rsidR="005F0012" w:rsidRPr="00661DF4">
              <w:rPr>
                <w:rFonts w:ascii="Arial" w:eastAsia="Calibri" w:hAnsi="Arial" w:cs="Arial"/>
                <w:i/>
                <w:iCs/>
                <w:szCs w:val="22"/>
              </w:rPr>
              <w:t>vitro</w:t>
            </w:r>
            <w:r w:rsidR="005F0012" w:rsidRPr="005F0012">
              <w:rPr>
                <w:rFonts w:ascii="Arial" w:eastAsia="Calibri" w:hAnsi="Arial" w:cs="Arial"/>
                <w:szCs w:val="22"/>
              </w:rPr>
              <w:t xml:space="preserve"> anti-inflammatory activity and showed 84.76% suppression of protein denaturation compared to the sample with a maximum of 93.29%. All the selected phytochemicals showed good binding affinity with each target protein in the molecular docking study and were pharmacologically safe based on the ADME/T analysis.</w:t>
            </w:r>
          </w:p>
          <w:p w14:paraId="15ED6651" w14:textId="481B00EE" w:rsidR="00505F06"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5F0012" w:rsidRPr="005F0012">
              <w:rPr>
                <w:rFonts w:ascii="Arial" w:eastAsia="Calibri" w:hAnsi="Arial" w:cs="Arial"/>
                <w:szCs w:val="22"/>
              </w:rPr>
              <w:t xml:space="preserve">This investigation suggested the </w:t>
            </w:r>
            <w:r w:rsidR="005F0012" w:rsidRPr="00661DF4">
              <w:rPr>
                <w:rFonts w:ascii="Arial" w:eastAsia="Calibri" w:hAnsi="Arial" w:cs="Arial"/>
                <w:i/>
                <w:iCs/>
                <w:szCs w:val="22"/>
              </w:rPr>
              <w:t>in</w:t>
            </w:r>
            <w:r w:rsidR="00661DF4" w:rsidRPr="00661DF4">
              <w:rPr>
                <w:rFonts w:ascii="Arial" w:eastAsia="Calibri" w:hAnsi="Arial" w:cs="Arial"/>
                <w:i/>
                <w:iCs/>
                <w:szCs w:val="22"/>
              </w:rPr>
              <w:t xml:space="preserve"> </w:t>
            </w:r>
            <w:r w:rsidR="005F0012" w:rsidRPr="00661DF4">
              <w:rPr>
                <w:rFonts w:ascii="Arial" w:eastAsia="Calibri" w:hAnsi="Arial" w:cs="Arial"/>
                <w:i/>
                <w:iCs/>
                <w:szCs w:val="22"/>
              </w:rPr>
              <w:t>vitro</w:t>
            </w:r>
            <w:r w:rsidR="005F0012" w:rsidRPr="005F0012">
              <w:rPr>
                <w:rFonts w:ascii="Arial" w:eastAsia="Calibri" w:hAnsi="Arial" w:cs="Arial"/>
                <w:szCs w:val="22"/>
              </w:rPr>
              <w:t xml:space="preserve"> antioxidant, cytotoxic, and anti-inflammatory potential of </w:t>
            </w:r>
            <w:r w:rsidR="00504E99">
              <w:rPr>
                <w:rFonts w:ascii="Arial" w:eastAsia="Calibri" w:hAnsi="Arial" w:cs="Arial"/>
                <w:szCs w:val="22"/>
              </w:rPr>
              <w:t>MELOR</w:t>
            </w:r>
            <w:r w:rsidR="005F0012" w:rsidRPr="005F0012">
              <w:rPr>
                <w:rFonts w:ascii="Arial" w:eastAsia="Calibri" w:hAnsi="Arial" w:cs="Arial"/>
                <w:szCs w:val="22"/>
              </w:rPr>
              <w:t xml:space="preserve"> and ensured the validity of this plant as a promising source of medication.</w:t>
            </w:r>
          </w:p>
        </w:tc>
      </w:tr>
    </w:tbl>
    <w:p w14:paraId="3A9D8D38" w14:textId="77777777" w:rsidR="00636EB2" w:rsidRDefault="00636EB2" w:rsidP="00441B6F">
      <w:pPr>
        <w:pStyle w:val="Body"/>
        <w:spacing w:after="0"/>
        <w:rPr>
          <w:rFonts w:ascii="Arial" w:hAnsi="Arial" w:cs="Arial"/>
          <w:i/>
        </w:rPr>
      </w:pPr>
    </w:p>
    <w:p w14:paraId="77C0190D" w14:textId="09B825BA" w:rsidR="0024282C" w:rsidRPr="005F0012" w:rsidRDefault="00A24E7E" w:rsidP="00441B6F">
      <w:pPr>
        <w:pStyle w:val="Body"/>
        <w:spacing w:after="0"/>
        <w:rPr>
          <w:rFonts w:ascii="Arial" w:hAnsi="Arial" w:cs="Arial"/>
          <w:i/>
        </w:rPr>
      </w:pPr>
      <w:r>
        <w:rPr>
          <w:rFonts w:ascii="Arial" w:hAnsi="Arial" w:cs="Arial"/>
          <w:i/>
        </w:rPr>
        <w:t xml:space="preserve">Keywords: </w:t>
      </w:r>
      <w:r w:rsidR="005F0012" w:rsidRPr="005F0012">
        <w:rPr>
          <w:rFonts w:ascii="Arial" w:hAnsi="Arial" w:cs="Arial"/>
          <w:i/>
          <w:iCs/>
        </w:rPr>
        <w:t>O. robusta</w:t>
      </w:r>
      <w:r w:rsidR="005F0012" w:rsidRPr="005F0012">
        <w:rPr>
          <w:rFonts w:ascii="Arial" w:hAnsi="Arial" w:cs="Arial"/>
          <w:i/>
        </w:rPr>
        <w:t>, antioxidant, cytotoxicity, inflammation, molecular docking</w:t>
      </w:r>
    </w:p>
    <w:p w14:paraId="1F8DECCE" w14:textId="77777777" w:rsidR="00505F06" w:rsidRPr="00A24E7E" w:rsidRDefault="00505F06" w:rsidP="00441B6F">
      <w:pPr>
        <w:pStyle w:val="Body"/>
        <w:spacing w:after="0"/>
        <w:rPr>
          <w:rFonts w:ascii="Arial" w:hAnsi="Arial" w:cs="Arial"/>
          <w:i/>
        </w:rPr>
      </w:pPr>
    </w:p>
    <w:p w14:paraId="22C24FAA" w14:textId="05758D38"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5874E6D0" w14:textId="77777777" w:rsidR="00505F06" w:rsidRDefault="00505F06" w:rsidP="00441B6F">
      <w:pPr>
        <w:pStyle w:val="Body"/>
        <w:spacing w:after="0"/>
        <w:rPr>
          <w:rFonts w:ascii="Arial" w:hAnsi="Arial" w:cs="Arial"/>
        </w:rPr>
      </w:pPr>
    </w:p>
    <w:p w14:paraId="5E51E962" w14:textId="6A1B7100" w:rsidR="00790ADA" w:rsidRDefault="003933B5" w:rsidP="00441B6F">
      <w:pPr>
        <w:pStyle w:val="Body"/>
        <w:spacing w:after="0"/>
        <w:rPr>
          <w:rFonts w:ascii="Arial" w:hAnsi="Arial" w:cs="Arial"/>
          <w:color w:val="000000" w:themeColor="text1"/>
        </w:rPr>
      </w:pPr>
      <w:r w:rsidRPr="004D2C33">
        <w:rPr>
          <w:rFonts w:ascii="Arial" w:hAnsi="Arial" w:cs="Arial"/>
          <w:color w:val="000000" w:themeColor="text1"/>
        </w:rPr>
        <w:t>Medicines produced from plants remain a valuable resource in the battle against deadly illness in underdeveloped regions</w:t>
      </w:r>
      <w:r w:rsidR="00230BEF" w:rsidRPr="008025B0">
        <w:rPr>
          <w:rFonts w:ascii="Arial" w:hAnsi="Arial" w:cs="Arial"/>
          <w:color w:val="000000" w:themeColor="text1"/>
          <w:highlight w:val="yellow"/>
        </w:rPr>
        <w:t>,</w:t>
      </w:r>
      <w:r w:rsidRPr="004D2C33">
        <w:rPr>
          <w:rFonts w:ascii="Arial" w:hAnsi="Arial" w:cs="Arial"/>
          <w:color w:val="000000" w:themeColor="text1"/>
        </w:rPr>
        <w:t xml:space="preserve"> particularly </w:t>
      </w:r>
      <w:r w:rsidRPr="004D2C33">
        <w:rPr>
          <w:rStyle w:val="FootnoteReference"/>
          <w:rFonts w:ascii="Arial" w:hAnsi="Arial" w:cs="Arial"/>
          <w:color w:val="000000" w:themeColor="text1"/>
        </w:rPr>
        <w:fldChar w:fldCharType="begin" w:fldLock="1"/>
      </w:r>
      <w:r w:rsidR="00E772A2">
        <w:rPr>
          <w:rFonts w:ascii="Arial" w:hAnsi="Arial" w:cs="Arial"/>
          <w:color w:val="000000" w:themeColor="text1"/>
        </w:rPr>
        <w:instrText>ADDIN CSL_CITATION {"citationItems":[{"id":"ITEM-1","itemData":{"DOI":"10.3390/molecules27020349","ISSN":"14203049","PMID":"35056662","abstract":"Natural products represents an important source of new lead compounds in drug discovery research. Several drugs currently used as therapeutic agents have been developed from natural sources; plant sources are specifically important. In the past few decades, pharmaceutical companies demonstrated insignificant attention towards natural product drug discovery, mainly due to its intrinsic complexity. Recently, technological advancements greatly helped to address the challenges and resulted in the revived scientific interest in drug discovery from natural sources. This review provides a comprehensive overview of various approaches used in the selection, authentication, extraction/isolation, biological screening, and analogue development through the application of modern drug-development principles of plant-based natural products. Main focus is given to the bioactivity-guided fractionation approach along with associated challenges and major advancements. A brief outline of historical development in natural product drug discovery and a snapshot of the prominent natural drugs developed in the last few decades are also presented. The researcher’s opinions indicated that an integrated interdisciplinary approach utilizing technological advances is necessary for the successful development of natural products. These involve the application of efficient selection method, well-designed extraction/isolation procedure, advanced structure elucidation techniques, and bioassays with a high-throughput capacity to establish druggability and patentability of phyto-compounds. A number of modern approaches including molecular modeling, virtual screening, natural product library, and database mining are being used for improving natural product drug discovery research. Renewed scientific interest and recent research trends in natural product drug discovery clearly indicated that natural products will play important role in the future development of new therapeutic drugs and it is also anticipated that efficient application of new approaches will further improve the drug discovery campaign.","author":[{"dropping-particle":"","family":"Najmi","given":"Asim","non-dropping-particle":"","parse-names":false,"suffix":""},{"dropping-particle":"","family":"Javed","given":"Sadique A.","non-dropping-particle":"","parse-names":false,"suffix":""},{"dropping-particle":"","family":"Bratty","given":"Mohammed","non-dropping-particle":"Al","parse-names":false,"suffix":""},{"dropping-particle":"","family":"Alhazmi","given":"Hassan A.","non-dropping-particle":"","parse-names":false,"suffix":""}],"container-title":"Molecules","id":"ITEM-1","issue":"2","issued":{"date-parts":[["2022"]]},"title":"Modern Approaches in the Discovery and Development of Plant-Based Natural Products and Their Analogues as Potential Therapeutic Agents","type":"article-journal","volume":"27"},"uris":["http://www.mendeley.com/documents/?uuid=84856610-4cf0-4b26-9572-271382ccc46e"]}],"mendeley":{"formattedCitation":"(Najmi et al., 2022)","plainTextFormattedCitation":"(Najmi et al., 2022)","previouslyFormattedCitation":"(1)"},"properties":{"noteIndex":0},"schema":"https://github.com/citation-style-language/schema/raw/master/csl-citation.json"}</w:instrText>
      </w:r>
      <w:r w:rsidRPr="004D2C33">
        <w:rPr>
          <w:rStyle w:val="FootnoteReference"/>
          <w:rFonts w:ascii="Arial" w:hAnsi="Arial" w:cs="Arial"/>
          <w:color w:val="000000" w:themeColor="text1"/>
        </w:rPr>
        <w:fldChar w:fldCharType="separate"/>
      </w:r>
      <w:r w:rsidR="00E772A2" w:rsidRPr="00E772A2">
        <w:rPr>
          <w:rFonts w:ascii="Arial" w:hAnsi="Arial" w:cs="Arial"/>
          <w:bCs/>
          <w:noProof/>
          <w:color w:val="000000" w:themeColor="text1"/>
        </w:rPr>
        <w:t>(Najmi et al., 2022)</w:t>
      </w:r>
      <w:r w:rsidRPr="004D2C33">
        <w:rPr>
          <w:rStyle w:val="FootnoteReference"/>
          <w:rFonts w:ascii="Arial" w:hAnsi="Arial" w:cs="Arial"/>
          <w:color w:val="000000" w:themeColor="text1"/>
        </w:rPr>
        <w:fldChar w:fldCharType="end"/>
      </w:r>
      <w:r w:rsidRPr="004D2C33">
        <w:rPr>
          <w:rFonts w:ascii="Arial" w:hAnsi="Arial" w:cs="Arial"/>
          <w:color w:val="000000" w:themeColor="text1"/>
        </w:rPr>
        <w:t xml:space="preserve">. Approximately 60 to 80 percent of the global population continues to depend on plant-derived remedies and medicines to treat a wide range of illnesses. Oxidation is an essential mechanism in humans that facilitates the conversion of nutrients like protein, fat, </w:t>
      </w:r>
      <w:r w:rsidR="00230BEF" w:rsidRPr="008025B0">
        <w:rPr>
          <w:rFonts w:ascii="Arial" w:hAnsi="Arial" w:cs="Arial"/>
          <w:color w:val="000000" w:themeColor="text1"/>
          <w:highlight w:val="yellow"/>
        </w:rPr>
        <w:t>and</w:t>
      </w:r>
      <w:r w:rsidRPr="004D2C33">
        <w:rPr>
          <w:rFonts w:ascii="Arial" w:hAnsi="Arial" w:cs="Arial"/>
          <w:color w:val="000000" w:themeColor="text1"/>
        </w:rPr>
        <w:t xml:space="preserve"> carbohydrates into energy. In the course of this common metabolic process, reactive oxygen species (ROS) are generated as a secondary outcome. These ROS consist of hydroxyl radicals (OH*), superoxide anion radicals (O</w:t>
      </w:r>
      <w:r w:rsidRPr="008025B0">
        <w:rPr>
          <w:rFonts w:ascii="Arial" w:hAnsi="Arial" w:cs="Arial"/>
          <w:color w:val="000000" w:themeColor="text1"/>
          <w:highlight w:val="yellow"/>
          <w:vertAlign w:val="subscript"/>
        </w:rPr>
        <w:t>2</w:t>
      </w:r>
      <w:r w:rsidRPr="008025B0">
        <w:rPr>
          <w:rFonts w:ascii="Arial" w:hAnsi="Arial" w:cs="Arial"/>
          <w:color w:val="000000" w:themeColor="text1"/>
          <w:highlight w:val="yellow"/>
          <w:vertAlign w:val="superscript"/>
        </w:rPr>
        <w:t>−</w:t>
      </w:r>
      <w:r w:rsidRPr="004D2C33">
        <w:rPr>
          <w:rFonts w:ascii="Arial" w:hAnsi="Arial" w:cs="Arial"/>
          <w:color w:val="000000" w:themeColor="text1"/>
        </w:rPr>
        <w:t xml:space="preserve">), and various other non-free radical entities </w:t>
      </w:r>
      <w:r w:rsidRPr="004D2C33">
        <w:rPr>
          <w:rStyle w:val="FootnoteReference"/>
          <w:rFonts w:ascii="Arial" w:hAnsi="Arial" w:cs="Arial"/>
          <w:color w:val="000000" w:themeColor="text1"/>
        </w:rPr>
        <w:fldChar w:fldCharType="begin" w:fldLock="1"/>
      </w:r>
      <w:r w:rsidR="00E772A2">
        <w:rPr>
          <w:rFonts w:ascii="Arial" w:hAnsi="Arial" w:cs="Arial"/>
          <w:color w:val="000000" w:themeColor="text1"/>
        </w:rPr>
        <w:instrText>ADDIN CSL_CITATION {"citationItems":[{"id":"ITEM-1","itemData":{"DOI":"10.1186/s40816-020-0152-9","abstract":"In this present study, antioxidant, anti-hemolytic, cytotoxic and anti-bacterial activities derived from methanol extracts of Bruguiera gymnorrhiza and Heritiera littoralis were investigated in order to determine their medicinal activities. Folin-Ciocalteu reagent method and aluminum chloride methods were used to determine the mangroves’ total phenolics and total flavonoid content, respectively. Antioxidant capacity was assessed via the following methods: 1,1-diphenyl-2-picryl hydroxyl (DPPH), 43 mM H2O2, Fe2+ quenching assay, and anti-hemolytic activity. Brine shrimp (Artemia salina L.) lethality assay was also carried out to determine the cytotoxic potential of the mangroves along with anti-bacterial activity test using five Gram-negative and another two Gram-positive bacterial strains. The mangroves yielded 58.917 ± 0.601 and 36.625 ± 0.551 mg Gallic acid equivalent (GAE)/g sample and 76.417 ± 0.19 and 113.637 ± 0.17 mg quercetin equivalent (QE)/g sample in B. gymnorrhiza and H. littoralis, respectively. Methanol extracts of both mangroves exhibited high radical scavenging activity against DPPH, H2O2 and Fe2+ radicals. The reductive capacity of the extracts increased with increasing concentrations of samples, and the extracts inhibited H2O2 induced hemolysis in human red blood cells (RBCs). Antioxidant properties were found to be moderately weaker than that of the reference standard, L-ascorbic acid (AA), and Gallic acid (GA). Further, brine shrimp (Artemia salina L.) lethality assay revealed significant cytotoxicity (241.4 and 272.6 μg/mL, respectively). Methanol extracts could also inhibit the growth of pathogenic bacterial strains. This study showed that the crude methanol extract of selected mangrove plants possesses free radical scavenging, anti-hemolytic, cytotoxic and anti-bacterial activity. The experimented plant has the potential to be used as a traditional medicine and replace synthetic drugs. Further studies are necessary to isolate active compounds responsible for the overall antioxidant activity of the crude extracts.","author":[{"dropping-particle":"","family":"Karim","given":"Md. Adnan","non-dropping-particle":"","parse-names":false,"suffix":""},{"dropping-particle":"","family":"Islam","given":"Md. Aminul","non-dropping-particle":"","parse-names":false,"suffix":""},{"dropping-particle":"","family":"Islam","given":"Md. Muzahidul","non-dropping-particle":"","parse-names":false,"suffix":""},{"dropping-particle":"","family":"Rahman","given":"Md. Saidur","non-dropping-particle":"","parse-names":false,"suffix":""},{"dropping-particle":"","family":"Sultana","given":"Sharmin","non-dropping-particle":"","parse-names":false,"suffix":""},{"dropping-particle":"","family":"Biswas","given":"Satyajit","non-dropping-particle":"","parse-names":false,"suffix":""},{"dropping-particle":"","family":"Hosen","given":"Mohammad Jakir","non-dropping-particle":"","parse-names":false,"suffix":""},{"dropping-particle":"","family":"Mazumder","given":"Kishor","non-dropping-particle":"","parse-names":false,"suffix":""},{"dropping-particle":"","family":"Rahman","given":"Md. Masuder","non-dropping-particle":"","parse-names":false,"suffix":""},{"dropping-particle":"","family":"Hasan","given":"Md. Nazmul","non-dropping-particle":"","parse-names":false,"suffix":""}],"container-title":"Clinical Phytoscience","id":"ITEM-1","issue":"1","issued":{"date-parts":[["2020"]]},"publisher":"Clinical Phytoscience","title":"Evaluation of antioxidant, anti-hemolytic, cytotoxic effects and anti-bacterial activity of selected mangrove plants (Bruguiera gymnorrhiza and Heritiera littoralis) in Bangladesh","type":"article-journal","volume":"6"},"uris":["http://www.mendeley.com/documents/?uuid=1a6ea6f7-6859-4309-86bc-cd65bcf194ad"]}],"mendeley":{"formattedCitation":"(Karim et al., 2020)","plainTextFormattedCitation":"(Karim et al., 2020)","previouslyFormattedCitation":"(2)"},"properties":{"noteIndex":0},"schema":"https://github.com/citation-style-language/schema/raw/master/csl-citation.json"}</w:instrText>
      </w:r>
      <w:r w:rsidRPr="004D2C33">
        <w:rPr>
          <w:rStyle w:val="FootnoteReference"/>
          <w:rFonts w:ascii="Arial" w:hAnsi="Arial" w:cs="Arial"/>
          <w:color w:val="000000" w:themeColor="text1"/>
        </w:rPr>
        <w:fldChar w:fldCharType="separate"/>
      </w:r>
      <w:r w:rsidR="00E772A2" w:rsidRPr="00E772A2">
        <w:rPr>
          <w:rFonts w:ascii="Arial" w:hAnsi="Arial" w:cs="Arial"/>
          <w:bCs/>
          <w:noProof/>
          <w:color w:val="000000" w:themeColor="text1"/>
        </w:rPr>
        <w:t>(Karim et al., 2020)</w:t>
      </w:r>
      <w:r w:rsidRPr="004D2C33">
        <w:rPr>
          <w:rStyle w:val="FootnoteReference"/>
          <w:rFonts w:ascii="Arial" w:hAnsi="Arial" w:cs="Arial"/>
          <w:color w:val="000000" w:themeColor="text1"/>
        </w:rPr>
        <w:fldChar w:fldCharType="end"/>
      </w:r>
      <w:r w:rsidRPr="004D2C33">
        <w:rPr>
          <w:rFonts w:ascii="Arial" w:hAnsi="Arial" w:cs="Arial"/>
          <w:color w:val="000000" w:themeColor="text1"/>
        </w:rPr>
        <w:t xml:space="preserve">. Food spoilage and the pathophysiology of different human illnesses and age-related ailments have both been linked to ROS </w:t>
      </w:r>
      <w:r w:rsidRPr="004D2C33">
        <w:rPr>
          <w:rStyle w:val="FootnoteReference"/>
          <w:rFonts w:ascii="Arial" w:hAnsi="Arial" w:cs="Arial"/>
          <w:color w:val="000000" w:themeColor="text1"/>
        </w:rPr>
        <w:fldChar w:fldCharType="begin" w:fldLock="1"/>
      </w:r>
      <w:r w:rsidR="00E772A2">
        <w:rPr>
          <w:rFonts w:ascii="Arial" w:hAnsi="Arial" w:cs="Arial"/>
          <w:color w:val="000000" w:themeColor="text1"/>
        </w:rPr>
        <w:instrText>ADDIN CSL_CITATION {"citationItems":[{"id":"ITEM-1","itemData":{"DOI":"10.1155/2012/464238","ISSN":"1741427X","abstract":"Considering the importance of diet in prevention of oxidative stress-related diseases including hypertension, this study was undertaken to evaluate the in vitro antioxidant and ACE inhibitory activities of selected culinary-medicinal mushrooms extracted by boiling in water for 30min. Antioxidant capacity was measured using the following assays: DPPH free radical scavenging activity, β-carotene bleaching, inhibition of lipid peroxidation, reducing power ability, and cupric ion reducing antioxidant capacity (CUPRAC). Antioxidant potential of each mushroom species was calculated based on the average percentages relative to quercetin and summarized as Antioxidant Index (AI). Ganoderma lucidum (30.1), Schizophyllum commune (27.6%), and Hericium erinaceus (17.7%) showed relatively high AI. Total phenolics in these mushrooms varied between 6.19 to 63.51mg GAE/g extract. In the ACE inhibitory assay, G. lucidum was shown to be the most potent species (IC 50 = 50 μg/mL). Based on our findings, culinary-medicinal mushrooms can be considered as potential source of dietary antioxidant and ACE inhibitory agents.","author":[{"dropping-particle":"","family":"Abdullah","given":"Noorlidah","non-dropping-particle":"","parse-names":false,"suffix":""},{"dropping-particle":"","family":"Ismail","given":"Siti Marjiana","non-dropping-particle":"","parse-names":false,"suffix":""},{"dropping-particle":"","family":"Aminudin","given":"Norhaniza","non-dropping-particle":"","parse-names":false,"suffix":""},{"dropping-particle":"","family":"Shuib","given":"Adawiyah Suriza","non-dropping-particle":"","parse-names":false,"suffix":""},{"dropping-particle":"","family":"Lau","given":"Beng Fye","non-dropping-particle":"","parse-names":false,"suffix":""}],"container-title":"Evidence-based Complementary and Alternative Medicine","id":"ITEM-1","issued":{"date-parts":[["2012"]]},"title":"Evaluation of selected culinary-medicinal mushrooms for antioxidant and ACE inhibitory activities","type":"article-journal","volume":"2012"},"uris":["http://www.mendeley.com/documents/?uuid=818857b8-2246-42bc-a1ac-36748b5e1f26"]}],"mendeley":{"formattedCitation":"(Abdullah et al., 2012)","plainTextFormattedCitation":"(Abdullah et al., 2012)","previouslyFormattedCitation":"(3)"},"properties":{"noteIndex":0},"schema":"https://github.com/citation-style-language/schema/raw/master/csl-citation.json"}</w:instrText>
      </w:r>
      <w:r w:rsidRPr="004D2C33">
        <w:rPr>
          <w:rStyle w:val="FootnoteReference"/>
          <w:rFonts w:ascii="Arial" w:hAnsi="Arial" w:cs="Arial"/>
          <w:color w:val="000000" w:themeColor="text1"/>
        </w:rPr>
        <w:fldChar w:fldCharType="separate"/>
      </w:r>
      <w:r w:rsidR="00E772A2" w:rsidRPr="00E772A2">
        <w:rPr>
          <w:rFonts w:ascii="Arial" w:hAnsi="Arial" w:cs="Arial"/>
          <w:noProof/>
          <w:color w:val="000000" w:themeColor="text1"/>
        </w:rPr>
        <w:t>(Abdullah et al., 2012)</w:t>
      </w:r>
      <w:r w:rsidRPr="004D2C33">
        <w:rPr>
          <w:rStyle w:val="FootnoteReference"/>
          <w:rFonts w:ascii="Arial" w:hAnsi="Arial" w:cs="Arial"/>
          <w:color w:val="000000" w:themeColor="text1"/>
        </w:rPr>
        <w:fldChar w:fldCharType="end"/>
      </w:r>
      <w:r w:rsidRPr="004D2C33">
        <w:rPr>
          <w:rFonts w:ascii="Arial" w:hAnsi="Arial" w:cs="Arial"/>
          <w:color w:val="000000" w:themeColor="text1"/>
        </w:rPr>
        <w:t xml:space="preserve">. Although ROS have crucial roles in the body's normal functioning at low concentrations (operating as secondary messengers), at higher levels they may have deleterious effects and can be partially liable for a wide range of disorders such as diabetes mellitus, cardiovascular disease, neurodegenerative disease, </w:t>
      </w:r>
      <w:r w:rsidRPr="004D2C33">
        <w:rPr>
          <w:rFonts w:ascii="Arial" w:hAnsi="Arial" w:cs="Arial"/>
          <w:color w:val="000000" w:themeColor="text1"/>
        </w:rPr>
        <w:lastRenderedPageBreak/>
        <w:t xml:space="preserve">and many other pathologies </w:t>
      </w:r>
      <w:r w:rsidRPr="004D2C33">
        <w:rPr>
          <w:rStyle w:val="FootnoteReference"/>
          <w:rFonts w:ascii="Arial" w:hAnsi="Arial" w:cs="Arial"/>
          <w:color w:val="000000" w:themeColor="text1"/>
        </w:rPr>
        <w:fldChar w:fldCharType="begin" w:fldLock="1"/>
      </w:r>
      <w:r w:rsidR="00E772A2">
        <w:rPr>
          <w:rFonts w:ascii="Arial" w:hAnsi="Arial" w:cs="Arial"/>
          <w:color w:val="000000" w:themeColor="text1"/>
        </w:rPr>
        <w:instrText>ADDIN CSL_CITATION {"citationItems":[{"id":"ITEM-1","itemData":{"DOI":"10.1016/j.ccell.2020.06.001","ISSN":"18783686","PMID":"32649885","abstract":"Contingent upon concentration, reactive oxygen species (ROS) influence cancer evolution in apparently contradictory ways, either initiating/stimulating tumorigenesis and supporting transformation/proliferation of cancer cells or causing cell death. To accommodate high ROS levels, tumor cells modify sulfur-based metabolism, NADPH generation, and the activity of antioxidant transcription factors. During initiation, genetic changes enable cell survival under high ROS levels by activating antioxidant transcription factors or increasing NADPH via the pentose phosphate pathway (PPP). During progression and metastasis, tumor cells adapt to oxidative stress by increasing NADPH in various ways, including activation of AMPK, the PPP, and reductive glutamine and folate metabolism.","author":[{"dropping-particle":"","family":"Hayes","given":"John D.","non-dropping-particle":"","parse-names":false,"suffix":""},{"dropping-particle":"","family":"Dinkova-Kostova","given":"Albena T.","non-dropping-particle":"","parse-names":false,"suffix":""},{"dropping-particle":"","family":"Tew","given":"Kenneth D.","non-dropping-particle":"","parse-names":false,"suffix":""}],"container-title":"Cancer Cell","id":"ITEM-1","issue":"2","issued":{"date-parts":[["2020"]]},"page":"167-197","publisher":"Elsevier","title":"Oxidative Stress in Cancer","type":"article-journal","volume":"38"},"uris":["http://www.mendeley.com/documents/?uuid=b18d59dd-36cc-46ed-ba77-5b0ed0250c67"]}],"mendeley":{"formattedCitation":"(Hayes et al., 2020)","plainTextFormattedCitation":"(Hayes et al., 2020)","previouslyFormattedCitation":"(4)"},"properties":{"noteIndex":0},"schema":"https://github.com/citation-style-language/schema/raw/master/csl-citation.json"}</w:instrText>
      </w:r>
      <w:r w:rsidRPr="004D2C33">
        <w:rPr>
          <w:rStyle w:val="FootnoteReference"/>
          <w:rFonts w:ascii="Arial" w:hAnsi="Arial" w:cs="Arial"/>
          <w:color w:val="000000" w:themeColor="text1"/>
        </w:rPr>
        <w:fldChar w:fldCharType="separate"/>
      </w:r>
      <w:r w:rsidR="00E772A2" w:rsidRPr="00E772A2">
        <w:rPr>
          <w:rFonts w:ascii="Arial" w:hAnsi="Arial" w:cs="Arial"/>
          <w:bCs/>
          <w:noProof/>
          <w:color w:val="000000" w:themeColor="text1"/>
        </w:rPr>
        <w:t>(Hayes et al., 2020)</w:t>
      </w:r>
      <w:r w:rsidRPr="004D2C33">
        <w:rPr>
          <w:rStyle w:val="FootnoteReference"/>
          <w:rFonts w:ascii="Arial" w:hAnsi="Arial" w:cs="Arial"/>
          <w:color w:val="000000" w:themeColor="text1"/>
        </w:rPr>
        <w:fldChar w:fldCharType="end"/>
      </w:r>
      <w:r w:rsidRPr="004D2C33">
        <w:rPr>
          <w:rFonts w:ascii="Arial" w:hAnsi="Arial" w:cs="Arial"/>
          <w:color w:val="000000" w:themeColor="text1"/>
        </w:rPr>
        <w:t xml:space="preserve">. Oxidative stress is the overproduction of ROS relative to the antioxidant defense system in the body </w:t>
      </w:r>
      <w:r w:rsidRPr="004D2C33">
        <w:rPr>
          <w:rStyle w:val="FootnoteReference"/>
          <w:rFonts w:ascii="Arial" w:hAnsi="Arial" w:cs="Arial"/>
          <w:color w:val="000000" w:themeColor="text1"/>
        </w:rPr>
        <w:fldChar w:fldCharType="begin" w:fldLock="1"/>
      </w:r>
      <w:r w:rsidR="00E772A2">
        <w:rPr>
          <w:rFonts w:ascii="Arial" w:hAnsi="Arial" w:cs="Arial"/>
          <w:color w:val="000000" w:themeColor="text1"/>
        </w:rPr>
        <w:instrText>ADDIN CSL_CITATION {"citationItems":[{"id":"ITEM-1","itemData":{"DOI":"10.2147/CIA.S158513","ISSN":"11781998","PMID":"29731617","abstract":"Reactive oxygen and nitrogen species (RONS) are produced by several endogenous and exogenous processes, and their negative effects are neutralized by antioxidant defenses. Oxidative stress occurs from the imbalance between RONS production and these antioxidant defenses. Aging is a process characterized by the progressive loss of tissue and organ function. The oxidative stress theory of aging is based on the hypothesis that age-associated functional losses are due to the accumulation of RONS-induced damages. At the same time, oxidative stress is involved in several age-related conditions (ie, cardiovascular diseases [CVDs], chronic obstructive pulmonary disease, chronic kidney disease, neurodegenerative diseases, and cancer), including sarcopenia and frailty. Different types of oxidative stress biomarkers have been identified and may provide important information about the efficacy of the treatment, guiding the selection of the most effective drugs/dose regimens for patients and, if particularly relevant from a pathophysiological point of view, acting on a specific therapeutic target. Given the important role of oxidative stress in the pathogenesis of many clinical conditions and aging, antioxidant therapy could positively affect the natural history of several diseases, but further investigation is needed to evaluate the real efficacy of these therapeutic interventions. The purpose of this paper is to provide a review of literature on this complex topic of ever increasing interest.","author":[{"dropping-particle":"","family":"Liguori","given":"Ilaria","non-dropping-particle":"","parse-names":false,"suffix":""},{"dropping-particle":"","family":"Russo","given":"Gennaro","non-dropping-particle":"","parse-names":false,"suffix":""},{"dropping-particle":"","family":"Curcio","given":"Francesco","non-dropping-particle":"","parse-names":false,"suffix":""},{"dropping-particle":"","family":"Bulli","given":"Giulia","non-dropping-particle":"","parse-names":false,"suffix":""},{"dropping-particle":"","family":"Aran","given":"Luisa","non-dropping-particle":"","parse-names":false,"suffix":""},{"dropping-particle":"","family":"Della-Morte","given":"David","non-dropping-particle":"","parse-names":false,"suffix":""},{"dropping-particle":"","family":"Gargiulo","given":"Gaetano","non-dropping-particle":"","parse-names":false,"suffix":""},{"dropping-particle":"","family":"Testa","given":"Gianluca","non-dropping-particle":"","parse-names":false,"suffix":""},{"dropping-particle":"","family":"Cacciatore","given":"Francesco","non-dropping-particle":"","parse-names":false,"suffix":""},{"dropping-particle":"","family":"Bonaduce","given":"Domenico","non-dropping-particle":"","parse-names":false,"suffix":""},{"dropping-particle":"","family":"Abete","given":"Pasquale","non-dropping-particle":"","parse-names":false,"suffix":""}],"container-title":"Clinical Interventions in Aging","id":"ITEM-1","issued":{"date-parts":[["2018"]]},"page":"757-772","title":"Oxidative stress, aging, and diseases","type":"article-journal","volume":"13"},"uris":["http://www.mendeley.com/documents/?uuid=a6f9bd0a-4b10-4a36-bf43-78fda0cd7064"]}],"mendeley":{"formattedCitation":"(Liguori et al., 2018)","plainTextFormattedCitation":"(Liguori et al., 2018)","previouslyFormattedCitation":"(5)"},"properties":{"noteIndex":0},"schema":"https://github.com/citation-style-language/schema/raw/master/csl-citation.json"}</w:instrText>
      </w:r>
      <w:r w:rsidRPr="004D2C33">
        <w:rPr>
          <w:rStyle w:val="FootnoteReference"/>
          <w:rFonts w:ascii="Arial" w:hAnsi="Arial" w:cs="Arial"/>
          <w:color w:val="000000" w:themeColor="text1"/>
        </w:rPr>
        <w:fldChar w:fldCharType="separate"/>
      </w:r>
      <w:r w:rsidR="00E772A2" w:rsidRPr="00E772A2">
        <w:rPr>
          <w:rFonts w:ascii="Arial" w:hAnsi="Arial" w:cs="Arial"/>
          <w:bCs/>
          <w:noProof/>
          <w:color w:val="000000" w:themeColor="text1"/>
        </w:rPr>
        <w:t>(Liguori et al., 2018)</w:t>
      </w:r>
      <w:r w:rsidRPr="004D2C33">
        <w:rPr>
          <w:rStyle w:val="FootnoteReference"/>
          <w:rFonts w:ascii="Arial" w:hAnsi="Arial" w:cs="Arial"/>
          <w:color w:val="000000" w:themeColor="text1"/>
        </w:rPr>
        <w:fldChar w:fldCharType="end"/>
      </w:r>
      <w:r w:rsidR="00230BEF">
        <w:rPr>
          <w:rFonts w:ascii="Arial" w:hAnsi="Arial" w:cs="Arial"/>
          <w:color w:val="000000" w:themeColor="text1"/>
        </w:rPr>
        <w:t xml:space="preserve"> </w:t>
      </w:r>
      <w:r w:rsidRPr="004D2C33">
        <w:rPr>
          <w:rStyle w:val="FootnoteReference"/>
          <w:rFonts w:ascii="Arial" w:hAnsi="Arial" w:cs="Arial"/>
          <w:color w:val="000000" w:themeColor="text1"/>
        </w:rPr>
        <w:fldChar w:fldCharType="begin" w:fldLock="1"/>
      </w:r>
      <w:r w:rsidR="00E772A2">
        <w:rPr>
          <w:rFonts w:ascii="Arial" w:hAnsi="Arial" w:cs="Arial"/>
          <w:color w:val="000000" w:themeColor="text1"/>
        </w:rPr>
        <w:instrText>ADDIN CSL_CITATION {"citationItems":[{"id":"ITEM-1","itemData":{"DOI":"10.15406/jabb.2019.06.00173","abstract":"The present review aims to high light on the oxidative stress, and prevention by internal antioxidants and external antioxidants by some natural products possessing antioxidant properties. Oxidative stress occurs when the balance between reactive oxygen species (ROS) formation and detoxification favors an increase in ROS levels, leading to disturbed cellular function. ROS causes damage to cellular macromolecules causing lipid peroxidation, nucleic acid, and protein alterations. Their formation is considered as a pathobiochemical mechanism involved in the initiation or progression phase of various diseases such as atherosclerosis, ischemic heart diseases, diabetes, and initiation of carcinogenesis or liver diseases. In order to maintain proper cell signaling, it is likely that a number of radical scavenging enzymes maintain a threshold level of ROS inside the cell. However, when the level of ROS exceeds this threshold, an increase in ROS production may lead to excessive signals to the cell, in addition to direct damage to key components in signaling pathways. ROS can also irreversibly damage essential macromolecules. Protein-bound thiol and non-protein-thiol are the major cytosolic low molecular weight sulfhydryl compound that acts as a cellular reducing and a protective reagent against numerous toxic substances including most inorganic pollutants, through the –SH group. Hence, thiol is often the first line of defense against oxidative stress. Flavonoids have been found to play important roles in the non-enzymatic protection against oxidative stress, especially in the case of cancer. Flavonoids have occurred widely in tea, fruit, red wine, vegetables, and cocoas. Flavonoids, including flavones, flavanone, flavonols, and isoflavones, are polyphenolic compounds which are widespread in foods and beverages, and possess a wide range of biological activities, of which anti-oxidation has been extensively explored. It can be concluded that oxidative stress causes irreversible damage in cellular macromolecules that leads to initiation of various diseases such as atherosclerosis, ischemic heart diseases, liver diseases, diabetes, and initiation of carcinogenesis. Antioxidants inhibit reactive oxygen species production and scavenging of free radicals. Therefore, the review recommends that high consumption of natural foods that are rich in antioxidants will provide more protection against toxic agents and related diseases.","author":[{"dropping-particle":"","family":"Elsayed Azab","given":"Azab","non-dropping-particle":"","parse-names":false,"suffix":""},{"dropping-particle":"","family":"A Adwas","given":" Almokhtar","non-dropping-particle":"","parse-names":false,"suffix":""},{"dropping-particle":"","family":"Ibrahim Elsayed","given":"Ata Sedik","non-dropping-particle":"","parse-names":false,"suffix":""},{"dropping-particle":"","family":"A Adwas","given":"Almokhtar","non-dropping-particle":"","parse-names":false,"suffix":""},{"dropping-particle":"","family":"Ibrahim Elsayed","given":" Ata Sedik","non-dropping-particle":"","parse-names":false,"suffix":""},{"dropping-particle":"","family":"Quwaydir","given":"Fawzia Amhimmid","non-dropping-particle":"","parse-names":false,"suffix":""}],"container-title":"Journal of Applied Biotechnology &amp; Bioengineering","id":"ITEM-1","issue":"1","issued":{"date-parts":[["2019"]]},"page":"43-47","title":"Oxidative stress and antioxidant mechanisms in human body","type":"article-journal","volume":"6"},"uris":["http://www.mendeley.com/documents/?uuid=364e9714-1d06-404b-b2b2-aa7fc5a2250c"]}],"mendeley":{"formattedCitation":"(Elsayed Azab et al., 2019)","plainTextFormattedCitation":"(Elsayed Azab et al., 2019)","previouslyFormattedCitation":"(6)"},"properties":{"noteIndex":0},"schema":"https://github.com/citation-style-language/schema/raw/master/csl-citation.json"}</w:instrText>
      </w:r>
      <w:r w:rsidRPr="004D2C33">
        <w:rPr>
          <w:rStyle w:val="FootnoteReference"/>
          <w:rFonts w:ascii="Arial" w:hAnsi="Arial" w:cs="Arial"/>
          <w:color w:val="000000" w:themeColor="text1"/>
        </w:rPr>
        <w:fldChar w:fldCharType="separate"/>
      </w:r>
      <w:r w:rsidR="00E772A2" w:rsidRPr="00E772A2">
        <w:rPr>
          <w:rFonts w:ascii="Arial" w:hAnsi="Arial" w:cs="Arial"/>
          <w:bCs/>
          <w:noProof/>
          <w:color w:val="000000" w:themeColor="text1"/>
        </w:rPr>
        <w:t>(Elsayed Azab et al., 2019)</w:t>
      </w:r>
      <w:r w:rsidRPr="004D2C33">
        <w:rPr>
          <w:rStyle w:val="FootnoteReference"/>
          <w:rFonts w:ascii="Arial" w:hAnsi="Arial" w:cs="Arial"/>
          <w:color w:val="000000" w:themeColor="text1"/>
        </w:rPr>
        <w:fldChar w:fldCharType="end"/>
      </w:r>
      <w:r w:rsidRPr="004D2C33">
        <w:rPr>
          <w:rFonts w:ascii="Arial" w:hAnsi="Arial" w:cs="Arial"/>
          <w:color w:val="000000" w:themeColor="text1"/>
        </w:rPr>
        <w:t xml:space="preserve">. Endogenous antioxidants produced by the body are vital in maintaining peak cellular function by scavenging free radicals in low quantities. However, in the presence of oxidative stress, it has been shown that these endogenous antioxidants are not enough to safeguard the organism against the deleterious effects of ROS. Exogenous antioxidants obtained from food or nutritional supplements may be necessary for proper cellular function </w:t>
      </w:r>
      <w:r w:rsidRPr="004D2C33">
        <w:rPr>
          <w:rStyle w:val="FootnoteReference"/>
          <w:rFonts w:ascii="Arial" w:hAnsi="Arial" w:cs="Arial"/>
          <w:color w:val="000000" w:themeColor="text1"/>
        </w:rPr>
        <w:fldChar w:fldCharType="begin" w:fldLock="1"/>
      </w:r>
      <w:r w:rsidR="00E772A2">
        <w:rPr>
          <w:rFonts w:ascii="Arial" w:hAnsi="Arial" w:cs="Arial"/>
          <w:color w:val="000000" w:themeColor="text1"/>
        </w:rPr>
        <w:instrText>ADDIN CSL_CITATION {"citationItems":[{"id":"ITEM-1","itemData":{"DOI":"10.1002/fsn3.2650","ISSN":"20487177","abstract":"This study was undertaken to evaluate the appearance of phytochemicals and antioxidant activity of seven wild mushrooms of the University of Chittagong campus. Phytochemical screening was performed using standard methods, whereas DPPH radical scavenging assay was used to elucidate the antioxidant effect. Besides, in silico studies were implemented using the targets of human erythrocyte catalase 3-amino-1,2,4-triazole, human glutathione reductase, and selected compounds. Again, the absorption, distribution, metabolism, elimination and toxicity (ADME/T) analysis has been determined by using online tools. Both Ganoderma lucidum (Curtis) Karst. and Ganoderma applanatum (Pers.) Pat. showed a significant (p &lt;.001) increase in the percentage of scavenging activity at 400 μg/ml concentration when compared with ascorbic acid. The methanol extract of G. lucidum, G. applanatum, and Rhodofomes cajanderi (P. Karst.) B. K. Cui, M. L. Han &amp; Y. C. Dai showed strong antioxidant activity with an IC50 value. In addition, molecular docking studies of the previously isolated compounds from three selective mushrooms revealed that the targeted compounds along with positive controls were able to interact strongly (range: −3.498 to −8.655) with the enzymes. The study concludes that the G. lucidum, G. applanatum, and R. cajanderi mushrooms can be a strong source in the management of oxidative stress-induced diseases.","author":[{"dropping-particle":"","family":"Hossen","given":"S. M.Moazzem","non-dropping-particle":"","parse-names":false,"suffix":""},{"dropping-particle":"","family":"Hossain","given":"Mohammad Shahadat","non-dropping-particle":"","parse-names":false,"suffix":""},{"dropping-particle":"","family":"Yusuf","given":"A. T.M.","non-dropping-particle":"","parse-names":false,"suffix":""},{"dropping-particle":"","family":"Chaudhary","given":"Priya","non-dropping-particle":"","parse-names":false,"suffix":""},{"dropping-particle":"","family":"Emon","given":"Nazim Uddin","non-dropping-particle":"","parse-names":false,"suffix":""},{"dropping-particle":"","family":"Janmeda","given":"Pracheta","non-dropping-particle":"","parse-names":false,"suffix":""}],"container-title":"Food Science and Nutrition","id":"ITEM-1","issue":"1","issued":{"date-parts":[["2022"]]},"page":"88-102","title":"Profiling of phytochemical and antioxidant activity of wild mushrooms: Evidence from the in vitro study and phytoconstituent's binding affinity to the human erythrocyte catalase and human glutathione reductase","type":"article-journal","volume":"10"},"uris":["http://www.mendeley.com/documents/?uuid=756f051a-0e4a-4458-a5aa-33569ef8e390"]}],"mendeley":{"formattedCitation":"(Hossen et al., 2022)","plainTextFormattedCitation":"(Hossen et al., 2022)","previouslyFormattedCitation":"(7)"},"properties":{"noteIndex":0},"schema":"https://github.com/citation-style-language/schema/raw/master/csl-citation.json"}</w:instrText>
      </w:r>
      <w:r w:rsidRPr="004D2C33">
        <w:rPr>
          <w:rStyle w:val="FootnoteReference"/>
          <w:rFonts w:ascii="Arial" w:hAnsi="Arial" w:cs="Arial"/>
          <w:color w:val="000000" w:themeColor="text1"/>
        </w:rPr>
        <w:fldChar w:fldCharType="separate"/>
      </w:r>
      <w:r w:rsidR="00E772A2" w:rsidRPr="00E772A2">
        <w:rPr>
          <w:rFonts w:ascii="Arial" w:hAnsi="Arial" w:cs="Arial"/>
          <w:bCs/>
          <w:noProof/>
          <w:color w:val="000000" w:themeColor="text1"/>
        </w:rPr>
        <w:t>(Hossen et al., 2022)</w:t>
      </w:r>
      <w:r w:rsidRPr="004D2C33">
        <w:rPr>
          <w:rStyle w:val="FootnoteReference"/>
          <w:rFonts w:ascii="Arial" w:hAnsi="Arial" w:cs="Arial"/>
          <w:color w:val="000000" w:themeColor="text1"/>
        </w:rPr>
        <w:fldChar w:fldCharType="end"/>
      </w:r>
      <w:r w:rsidRPr="004D2C33">
        <w:rPr>
          <w:rFonts w:ascii="Arial" w:hAnsi="Arial" w:cs="Arial"/>
          <w:color w:val="000000" w:themeColor="text1"/>
        </w:rPr>
        <w:t xml:space="preserve">. The incidence of cancer continues to rise, and it is now the second leading reason </w:t>
      </w:r>
      <w:r w:rsidR="00230BEF" w:rsidRPr="00D45891">
        <w:rPr>
          <w:rFonts w:ascii="Arial" w:hAnsi="Arial" w:cs="Arial"/>
          <w:color w:val="000000" w:themeColor="text1"/>
          <w:highlight w:val="yellow"/>
        </w:rPr>
        <w:t>for</w:t>
      </w:r>
      <w:r w:rsidRPr="004D2C33">
        <w:rPr>
          <w:rFonts w:ascii="Arial" w:hAnsi="Arial" w:cs="Arial"/>
          <w:color w:val="000000" w:themeColor="text1"/>
        </w:rPr>
        <w:t xml:space="preserve"> mortality in the world, behind only cardiovascular disease </w:t>
      </w:r>
      <w:r w:rsidRPr="004D2C33">
        <w:rPr>
          <w:rStyle w:val="FootnoteReference"/>
          <w:rFonts w:ascii="Arial" w:hAnsi="Arial" w:cs="Arial"/>
          <w:color w:val="000000" w:themeColor="text1"/>
        </w:rPr>
        <w:fldChar w:fldCharType="begin" w:fldLock="1"/>
      </w:r>
      <w:r w:rsidR="00E772A2">
        <w:rPr>
          <w:rFonts w:ascii="Arial" w:hAnsi="Arial" w:cs="Arial"/>
          <w:color w:val="000000" w:themeColor="text1"/>
        </w:rPr>
        <w:instrText>ADDIN CSL_CITATION {"citationItems":[{"id":"ITEM-1","itemData":{"DOI":"10.1002/ptr.5751","ISSN":"10991573","PMID":"28093828","abstract":"Cancer is a serious health problem and the second leading cause of death around the globe. Present review is an attempt to provide utmost information based on ethno-pharmacological and toxicological aspects of anti-cancer plants of the world. A total of 276 articles published in English journals and containing maximum ethnomedicinal information were reviewed using several data sources such as; Google scholar, Web of Science, Scopus, PubMed and floras of different countries. A total of 199 anti-cancer plants were recorded in present review and results indicated that traditional medicines are mostly being use in developing countries for cancer treatment. Traditionally and scientifically skin and breast cancer types gained more focus. Seventy plants were reportedly analyzed for in-vitro activities while 32 plants were having in-vivo reports. Twenty nine pure compounds (mostly phenolic) were reportedly isolated from anti-cancer plants and tested against different cancer cell lines. Inspite having better efficiency of ethnomedicines as compared to synthetic drugs, several plants have also shown toxic effects on living system. Therefore, we invite researchers attention to carry out detailed ethno-pharmacological and toxicological studies on un-explored anti-cancer plants in order to provide reliable knowledge to the patients and develop novel anti-cancer drugs. Copyright © 2017 John Wiley &amp; Sons, Ltd.","author":[{"dropping-particle":"","family":"Tariq","given":"Akash","non-dropping-particle":"","parse-names":false,"suffix":""},{"dropping-particle":"","family":"Sadia","given":"Sehrish","non-dropping-particle":"","parse-names":false,"suffix":""},{"dropping-particle":"","family":"Pan","given":"Kaiwen","non-dropping-particle":"","parse-names":false,"suffix":""},{"dropping-particle":"","family":"Ullah","given":"Ihteram","non-dropping-particle":"","parse-names":false,"suffix":""},{"dropping-particle":"","family":"Mussarat","given":"Sakina","non-dropping-particle":"","parse-names":false,"suffix":""},{"dropping-particle":"","family":"Sun","given":"Feng","non-dropping-particle":"","parse-names":false,"suffix":""},{"dropping-particle":"","family":"Abiodun","given":"Olatunji Olusanya","non-dropping-particle":"","parse-names":false,"suffix":""},{"dropping-particle":"","family":"Batbaatar","given":"Altanzagas","non-dropping-particle":"","parse-names":false,"suffix":""},{"dropping-particle":"","family":"Li","given":"Zilong","non-dropping-particle":"","parse-names":false,"suffix":""},{"dropping-particle":"","family":"Song","given":"Dagang","non-dropping-particle":"","parse-names":false,"suffix":""},{"dropping-particle":"","family":"Xiong","given":"Qinli","non-dropping-particle":"","parse-names":false,"suffix":""},{"dropping-particle":"","family":"Ullah","given":"Riaz","non-dropping-particle":"","parse-names":false,"suffix":""},{"dropping-particle":"","family":"Khan","given":"Suliman","non-dropping-particle":"","parse-names":false,"suffix":""},{"dropping-particle":"","family":"Basnet","given":"Buddha Bahadur","non-dropping-particle":"","parse-names":false,"suffix":""},{"dropping-particle":"","family":"Kumar","given":"Brawin","non-dropping-particle":"","parse-names":false,"suffix":""},{"dropping-particle":"","family":"Islam","given":"Rabiul","non-dropping-particle":"","parse-names":false,"suffix":""},{"dropping-particle":"","family":"Adnan","given":"Muhammad","non-dropping-particle":"","parse-names":false,"suffix":""}],"container-title":"Phytotherapy Research","id":"ITEM-1","issue":"2","issued":{"date-parts":[["2017"]]},"page":"202-264","title":"A systematic review on ethnomedicines of anti-cancer plants","type":"article-journal","volume":"31"},"uris":["http://www.mendeley.com/documents/?uuid=52053ee8-9260-4e87-945f-dffcba256a59"]}],"mendeley":{"formattedCitation":"(Tariq et al., 2017)","plainTextFormattedCitation":"(Tariq et al., 2017)","previouslyFormattedCitation":"(8)"},"properties":{"noteIndex":0},"schema":"https://github.com/citation-style-language/schema/raw/master/csl-citation.json"}</w:instrText>
      </w:r>
      <w:r w:rsidRPr="004D2C33">
        <w:rPr>
          <w:rStyle w:val="FootnoteReference"/>
          <w:rFonts w:ascii="Arial" w:hAnsi="Arial" w:cs="Arial"/>
          <w:color w:val="000000" w:themeColor="text1"/>
        </w:rPr>
        <w:fldChar w:fldCharType="separate"/>
      </w:r>
      <w:r w:rsidR="00E772A2" w:rsidRPr="00E772A2">
        <w:rPr>
          <w:rFonts w:ascii="Arial" w:hAnsi="Arial" w:cs="Arial"/>
          <w:bCs/>
          <w:noProof/>
          <w:color w:val="000000" w:themeColor="text1"/>
        </w:rPr>
        <w:t>(Tariq et al., 2017)</w:t>
      </w:r>
      <w:r w:rsidRPr="004D2C33">
        <w:rPr>
          <w:rStyle w:val="FootnoteReference"/>
          <w:rFonts w:ascii="Arial" w:hAnsi="Arial" w:cs="Arial"/>
          <w:color w:val="000000" w:themeColor="text1"/>
        </w:rPr>
        <w:fldChar w:fldCharType="end"/>
      </w:r>
      <w:r w:rsidRPr="004D2C33">
        <w:rPr>
          <w:rFonts w:ascii="Arial" w:hAnsi="Arial" w:cs="Arial"/>
          <w:color w:val="000000" w:themeColor="text1"/>
        </w:rPr>
        <w:t xml:space="preserve">. Approximately 60% of all anticancer medicines are derived from plants, making them an essential part of the drug development process </w:t>
      </w:r>
      <w:r w:rsidRPr="004D2C33">
        <w:rPr>
          <w:rStyle w:val="FootnoteReference"/>
          <w:rFonts w:ascii="Arial" w:hAnsi="Arial" w:cs="Arial"/>
          <w:color w:val="000000" w:themeColor="text1"/>
        </w:rPr>
        <w:fldChar w:fldCharType="begin" w:fldLock="1"/>
      </w:r>
      <w:r w:rsidR="00E772A2">
        <w:rPr>
          <w:rFonts w:ascii="Arial" w:hAnsi="Arial" w:cs="Arial"/>
          <w:color w:val="000000" w:themeColor="text1"/>
        </w:rPr>
        <w:instrText>ADDIN CSL_CITATION {"citationItems":[{"id":"ITEM-1","itemData":{"DOI":"10.1016/j.jep.2020.113101","ISSN":"18727573","PMID":"32562876","abstract":"Ethnopharmacological relevance: Approximately 70% of anticancer drugs were developed or derived from natural products or plants. Southern Africa boasts an enormous floral diversity with approximately 22,755 plant species with an estimated 3000 used as traditional medicines. In South Africa more than 27 million individuals rely on traditional medicine for healthcare. The use of South African plants for the treatment of cancer is poorly documented, however there is potential to develop anticancer agents from these plants. Limited ethnobotanical studies report the use of plants for cancer treatment in traditional medicine. Plants growing in tropical or subtropical regions, such as in South Africa, produce important secondary metabolites as a protective mechanism, which could be used to target various factors that play a key role in carcinogenesis. Aims: The aim was to collate information from primary ethnobotanical studies on South African plants traditionally used for the treatment of cancer. Evaluation of literature focused on traditionally used plants that have been tested for their in vitro activity against cancer cells. Secondary metabolites, previously identified within these plant species, were also included for discussion regarding their activity against cancer. The toxicity was evaluated to ascertain the therapeutic potential in further studies. Additionally, the aim was to highlight where a lack of reports were found regarding plant species with potential activity and to substantiate the need for further testing. Materials and methods: A review of ethnobotanical surveys conducted in South Africa for plants used in the treatment of cancer was performed. Databases such as Science Direct, PubMed and Google Scholar, university repositories of master's dissertations and PhD theses, patents and books were used. Plant species showing significant to moderate activity were discussed regarding their toxicity. Compounds identified within these species were discussed for their activity against cancer cells and toxicity. Traditionally used plants which have not been scientifically validated for their activity against cancer were excluded. Results: Twenty plants were documented in ethnobotanical surveys as cancer treatments. Numerous scientific reports on the potential in vitro activity against cancer of these plants and the identification of secondary metabolites were found. Many of the secondary metabolites have not been tested for their activity against can…","author":[{"dropping-particle":"","family":"Twilley","given":"Danielle","non-dropping-particle":"","parse-names":false,"suffix":""},{"dropping-particle":"","family":"Rademan","given":"Sunelle","non-dropping-particle":"","parse-names":false,"suffix":""},{"dropping-particle":"","family":"Lall","given":"Namrita","non-dropping-particle":"","parse-names":false,"suffix":""}],"container-title":"Journal of Ethnopharmacology","id":"ITEM-1","issued":{"date-parts":[["2020"]]},"page":"113101","publisher":"Elsevier B.V.","title":"A review on traditionally used South African medicinal plants, their secondary metabolites and their potential development into anticancer agents","type":"article-journal","volume":"261"},"uris":["http://www.mendeley.com/documents/?uuid=3ff9c43b-6f56-4dce-bf4d-af17a28b7f13"]}],"mendeley":{"formattedCitation":"(Twilley et al., 2020)","plainTextFormattedCitation":"(Twilley et al., 2020)","previouslyFormattedCitation":"(9)"},"properties":{"noteIndex":0},"schema":"https://github.com/citation-style-language/schema/raw/master/csl-citation.json"}</w:instrText>
      </w:r>
      <w:r w:rsidRPr="004D2C33">
        <w:rPr>
          <w:rStyle w:val="FootnoteReference"/>
          <w:rFonts w:ascii="Arial" w:hAnsi="Arial" w:cs="Arial"/>
          <w:color w:val="000000" w:themeColor="text1"/>
        </w:rPr>
        <w:fldChar w:fldCharType="separate"/>
      </w:r>
      <w:r w:rsidR="00E772A2" w:rsidRPr="00E772A2">
        <w:rPr>
          <w:rFonts w:ascii="Arial" w:hAnsi="Arial" w:cs="Arial"/>
          <w:noProof/>
          <w:color w:val="000000" w:themeColor="text1"/>
        </w:rPr>
        <w:t>(Twilley et al., 2020)</w:t>
      </w:r>
      <w:r w:rsidRPr="004D2C33">
        <w:rPr>
          <w:rStyle w:val="FootnoteReference"/>
          <w:rFonts w:ascii="Arial" w:hAnsi="Arial" w:cs="Arial"/>
          <w:color w:val="000000" w:themeColor="text1"/>
        </w:rPr>
        <w:fldChar w:fldCharType="end"/>
      </w:r>
      <w:r w:rsidRPr="004D2C33">
        <w:rPr>
          <w:rFonts w:ascii="Arial" w:hAnsi="Arial" w:cs="Arial"/>
          <w:color w:val="000000" w:themeColor="text1"/>
        </w:rPr>
        <w:t>. Several anticancer medicines produced from plants are now in use</w:t>
      </w:r>
      <w:r w:rsidR="00230BEF" w:rsidRPr="008025B0">
        <w:rPr>
          <w:rFonts w:ascii="Arial" w:hAnsi="Arial" w:cs="Arial"/>
          <w:color w:val="000000" w:themeColor="text1"/>
          <w:highlight w:val="yellow"/>
        </w:rPr>
        <w:t>,</w:t>
      </w:r>
      <w:r w:rsidRPr="004D2C33">
        <w:rPr>
          <w:rFonts w:ascii="Arial" w:hAnsi="Arial" w:cs="Arial"/>
          <w:color w:val="000000" w:themeColor="text1"/>
        </w:rPr>
        <w:t xml:space="preserve"> namely </w:t>
      </w:r>
      <w:proofErr w:type="spellStart"/>
      <w:r w:rsidRPr="004D2C33">
        <w:rPr>
          <w:rFonts w:ascii="Arial" w:hAnsi="Arial" w:cs="Arial"/>
          <w:color w:val="000000" w:themeColor="text1"/>
        </w:rPr>
        <w:t>etoposide</w:t>
      </w:r>
      <w:proofErr w:type="spellEnd"/>
      <w:r w:rsidRPr="004D2C33">
        <w:rPr>
          <w:rFonts w:ascii="Arial" w:hAnsi="Arial" w:cs="Arial"/>
          <w:color w:val="000000" w:themeColor="text1"/>
        </w:rPr>
        <w:t xml:space="preserve">, </w:t>
      </w:r>
      <w:proofErr w:type="spellStart"/>
      <w:r w:rsidRPr="004D2C33">
        <w:rPr>
          <w:rFonts w:ascii="Arial" w:hAnsi="Arial" w:cs="Arial"/>
          <w:color w:val="000000" w:themeColor="text1"/>
        </w:rPr>
        <w:t>teniposide</w:t>
      </w:r>
      <w:proofErr w:type="spellEnd"/>
      <w:r w:rsidRPr="004D2C33">
        <w:rPr>
          <w:rFonts w:ascii="Arial" w:hAnsi="Arial" w:cs="Arial"/>
          <w:color w:val="000000" w:themeColor="text1"/>
        </w:rPr>
        <w:t>, </w:t>
      </w:r>
      <w:proofErr w:type="spellStart"/>
      <w:r w:rsidRPr="004D2C33">
        <w:rPr>
          <w:rFonts w:ascii="Arial" w:hAnsi="Arial" w:cs="Arial"/>
          <w:color w:val="000000" w:themeColor="text1"/>
        </w:rPr>
        <w:t>docetaxel</w:t>
      </w:r>
      <w:proofErr w:type="spellEnd"/>
      <w:r w:rsidR="008025B0">
        <w:rPr>
          <w:rFonts w:ascii="Arial" w:hAnsi="Arial" w:cs="Arial"/>
          <w:color w:val="000000" w:themeColor="text1"/>
        </w:rPr>
        <w:t xml:space="preserve"> </w:t>
      </w:r>
      <w:r w:rsidRPr="004D2C33">
        <w:rPr>
          <w:rFonts w:ascii="Arial" w:hAnsi="Arial" w:cs="Arial"/>
          <w:color w:val="000000" w:themeColor="text1"/>
        </w:rPr>
        <w:t>(</w:t>
      </w:r>
      <w:proofErr w:type="spellStart"/>
      <w:r w:rsidRPr="004D2C33">
        <w:rPr>
          <w:rFonts w:ascii="Arial" w:hAnsi="Arial" w:cs="Arial"/>
          <w:color w:val="000000" w:themeColor="text1"/>
        </w:rPr>
        <w:t>taxotere</w:t>
      </w:r>
      <w:proofErr w:type="spellEnd"/>
      <w:r w:rsidRPr="004D2C33">
        <w:rPr>
          <w:rFonts w:ascii="Arial" w:hAnsi="Arial" w:cs="Arial"/>
          <w:color w:val="000000" w:themeColor="text1"/>
        </w:rPr>
        <w:t>), paclitaxel (</w:t>
      </w:r>
      <w:proofErr w:type="spellStart"/>
      <w:r w:rsidRPr="004D2C33">
        <w:rPr>
          <w:rFonts w:ascii="Arial" w:hAnsi="Arial" w:cs="Arial"/>
          <w:color w:val="000000" w:themeColor="text1"/>
        </w:rPr>
        <w:t>taxol</w:t>
      </w:r>
      <w:proofErr w:type="spellEnd"/>
      <w:r w:rsidRPr="004D2C33">
        <w:rPr>
          <w:rFonts w:ascii="Arial" w:hAnsi="Arial" w:cs="Arial"/>
          <w:color w:val="000000" w:themeColor="text1"/>
        </w:rPr>
        <w:t>), </w:t>
      </w:r>
      <w:proofErr w:type="spellStart"/>
      <w:r w:rsidRPr="004D2C33">
        <w:rPr>
          <w:rFonts w:ascii="Arial" w:hAnsi="Arial" w:cs="Arial"/>
          <w:color w:val="000000" w:themeColor="text1"/>
        </w:rPr>
        <w:t>camptothecin</w:t>
      </w:r>
      <w:proofErr w:type="spellEnd"/>
      <w:r w:rsidRPr="004D2C33">
        <w:rPr>
          <w:rFonts w:ascii="Arial" w:hAnsi="Arial" w:cs="Arial"/>
          <w:color w:val="000000" w:themeColor="text1"/>
        </w:rPr>
        <w:t xml:space="preserve">, </w:t>
      </w:r>
      <w:proofErr w:type="spellStart"/>
      <w:r w:rsidRPr="004D2C33">
        <w:rPr>
          <w:rFonts w:ascii="Arial" w:hAnsi="Arial" w:cs="Arial"/>
          <w:color w:val="000000" w:themeColor="text1"/>
        </w:rPr>
        <w:t>homoharringtonine</w:t>
      </w:r>
      <w:proofErr w:type="spellEnd"/>
      <w:r w:rsidRPr="004D2C33">
        <w:rPr>
          <w:rFonts w:ascii="Arial" w:hAnsi="Arial" w:cs="Arial"/>
          <w:color w:val="000000" w:themeColor="text1"/>
        </w:rPr>
        <w:t xml:space="preserve">, </w:t>
      </w:r>
      <w:proofErr w:type="spellStart"/>
      <w:r w:rsidRPr="004D2C33">
        <w:rPr>
          <w:rFonts w:ascii="Arial" w:hAnsi="Arial" w:cs="Arial"/>
          <w:color w:val="000000" w:themeColor="text1"/>
        </w:rPr>
        <w:t>elliptinium</w:t>
      </w:r>
      <w:proofErr w:type="spellEnd"/>
      <w:r w:rsidRPr="004D2C33">
        <w:rPr>
          <w:rFonts w:ascii="Arial" w:hAnsi="Arial" w:cs="Arial"/>
          <w:color w:val="000000" w:themeColor="text1"/>
        </w:rPr>
        <w:t xml:space="preserve">, vincristine and vinblastine </w:t>
      </w:r>
      <w:r w:rsidRPr="004D2C33">
        <w:rPr>
          <w:rStyle w:val="FootnoteReference"/>
          <w:rFonts w:ascii="Arial" w:hAnsi="Arial" w:cs="Arial"/>
          <w:color w:val="000000" w:themeColor="text1"/>
        </w:rPr>
        <w:fldChar w:fldCharType="begin" w:fldLock="1"/>
      </w:r>
      <w:r w:rsidR="00E772A2">
        <w:rPr>
          <w:rFonts w:ascii="Arial" w:hAnsi="Arial" w:cs="Arial"/>
          <w:color w:val="000000" w:themeColor="text1"/>
        </w:rPr>
        <w:instrText>ADDIN CSL_CITATION {"citationItems":[{"id":"ITEM-1","itemData":{"DOI":"10.1016/j.heliyon.2020.e03991","ISSN":"24058440","abstract":"Majority of the orchid species are used in the traditional medicines for the treatment of several diseases. They are the sources of polysaccharides, phenanthrenes, bibenzyl derivatives, revesteral, stilbenoids and polyphenol compounds. This study explored the cytotoxic activity of seven wild orchid species and identification of medicinally active compounds. The extracts of orchid species were screened for cytotoxic effect on the human cervical cancer cells (HeLa) and human glioblastoma cells (U251) using an MTT assay. The medicinally active compounds of high cytotoxic extracts were identified by GC-MS resulting in many stilbenoids and phenolic derivatives. The extract of Dendrobium transparens (DTs) and Vanda cristata (VCw) showed high cytotoxic effect towards the HeLa and U251 cell lines (IC50 of DTs: 382.14 μg/ml and 75.84 μg/ml respectively and IC50 of VCw: 317.23 μg/ml and 163.66 μg/ml respectively). This study concludes that they could be used as cancer therapeutics.","author":[{"dropping-particle":"","family":"Joshi","given":"Pusp Raj","non-dropping-particle":"","parse-names":false,"suffix":""},{"dropping-particle":"","family":"Paudel","given":"Mukti Ram","non-dropping-particle":"","parse-names":false,"suffix":""},{"dropping-particle":"","family":"Chand","given":"Mukesh Babu","non-dropping-particle":"","parse-names":false,"suffix":""},{"dropping-particle":"","family":"Pradhan","given":"Shreeti","non-dropping-particle":"","parse-names":false,"suffix":""},{"dropping-particle":"","family":"Pant","given":"Krishna Kumar","non-dropping-particle":"","parse-names":false,"suffix":""},{"dropping-particle":"","family":"Joshi","given":"Giri Prasad","non-dropping-particle":"","parse-names":false,"suffix":""},{"dropping-particle":"","family":"Bohara","given":"Manoj","non-dropping-particle":"","parse-names":false,"suffix":""},{"dropping-particle":"","family":"Wagner","given":"Sven H.","non-dropping-particle":"","parse-names":false,"suffix":""},{"dropping-particle":"","family":"Pant","given":"Basant","non-dropping-particle":"","parse-names":false,"suffix":""},{"dropping-particle":"","family":"Pant","given":"Bijaya","non-dropping-particle":"","parse-names":false,"suffix":""}],"container-title":"Heliyon","id":"ITEM-1","issue":"5","issued":{"date-parts":[["2020"]]},"page":"e03991","publisher":"Elsevier Ltd","title":"Cytotoxic effect of selected wild orchids on two different human cancer cell lines","type":"article-journal","volume":"6"},"uris":["http://www.mendeley.com/documents/?uuid=13901cd1-3c47-4344-b3f9-15eba90af23d"]}],"mendeley":{"formattedCitation":"(Joshi et al., 2020)","plainTextFormattedCitation":"(Joshi et al., 2020)","previouslyFormattedCitation":"(10)"},"properties":{"noteIndex":0},"schema":"https://github.com/citation-style-language/schema/raw/master/csl-citation.json"}</w:instrText>
      </w:r>
      <w:r w:rsidRPr="004D2C33">
        <w:rPr>
          <w:rStyle w:val="FootnoteReference"/>
          <w:rFonts w:ascii="Arial" w:hAnsi="Arial" w:cs="Arial"/>
          <w:color w:val="000000" w:themeColor="text1"/>
        </w:rPr>
        <w:fldChar w:fldCharType="separate"/>
      </w:r>
      <w:r w:rsidR="00E772A2" w:rsidRPr="00E772A2">
        <w:rPr>
          <w:rFonts w:ascii="Arial" w:hAnsi="Arial" w:cs="Arial"/>
          <w:bCs/>
          <w:noProof/>
          <w:color w:val="000000" w:themeColor="text1"/>
        </w:rPr>
        <w:t>(Joshi et al., 2020)</w:t>
      </w:r>
      <w:r w:rsidRPr="004D2C33">
        <w:rPr>
          <w:rStyle w:val="FootnoteReference"/>
          <w:rFonts w:ascii="Arial" w:hAnsi="Arial" w:cs="Arial"/>
          <w:color w:val="000000" w:themeColor="text1"/>
        </w:rPr>
        <w:fldChar w:fldCharType="end"/>
      </w:r>
      <w:r w:rsidRPr="004D2C33">
        <w:rPr>
          <w:rFonts w:ascii="Arial" w:hAnsi="Arial" w:cs="Arial"/>
          <w:color w:val="000000" w:themeColor="text1"/>
        </w:rPr>
        <w:t xml:space="preserve">. In its natural state, inflammation protects the body against a wide range of pathogens and traumas by limiting tissue damage </w:t>
      </w:r>
      <w:r w:rsidRPr="004D2C33">
        <w:rPr>
          <w:rStyle w:val="FootnoteReference"/>
          <w:rFonts w:ascii="Arial" w:hAnsi="Arial" w:cs="Arial"/>
          <w:color w:val="000000" w:themeColor="text1"/>
        </w:rPr>
        <w:fldChar w:fldCharType="begin" w:fldLock="1"/>
      </w:r>
      <w:r w:rsidR="00E772A2">
        <w:rPr>
          <w:rFonts w:ascii="Arial" w:hAnsi="Arial" w:cs="Arial"/>
          <w:color w:val="000000" w:themeColor="text1"/>
        </w:rPr>
        <w:instrText>ADDIN CSL_CITATION {"citationItems":[{"id":"ITEM-1","itemData":{"DOI":"10.1016/j.ijbiomac.2019.02.023","ISSN":"18790003","PMID":"30731160","abstract":"Inflammatory response remains one of the most common and serious complications of disease. In order to profound understanding relationship between Phellinus linteus polysaccharides (TCM) and inflammation, inflammatory cell model was constructed by LPS acting RAW264.7 cell line. The results showed that TCM could decrease the pro-inflammatory cytokines (TNF-α IL-1β IL-2, IL-6 and IL-12) contents and the mRNA expression levels and increase the anti-inflammatory cytokines (IL-4 and IL-10) contents and the mRNA expression levels. Additionally, the levels of NF-κB translocation was significantly decreased, which associated with the IκBα phosphorylation level decreased and the AMPKα phosphorylation level increased. These results indicated that TCM could reduce the inflammatory responses in the LPS induced inflammatory cell model might be related to inhibit NF-κB translocation and regulate the balance of anti-inflammatory and pro-inflammatory factors.","author":[{"dropping-particle":"","family":"Xie","given":"Zhenglu","non-dropping-particle":"","parse-names":false,"suffix":""},{"dropping-particle":"","family":"Wang","given":"Yang","non-dropping-particle":"","parse-names":false,"suffix":""},{"dropping-particle":"","family":"Huang","given":"Juqing","non-dropping-particle":"","parse-names":false,"suffix":""},{"dropping-particle":"","family":"Qian","given":"Ning","non-dropping-particle":"","parse-names":false,"suffix":""},{"dropping-particle":"","family":"Shen","given":"Guozhi","non-dropping-particle":"","parse-names":false,"suffix":""},{"dropping-particle":"","family":"Chen","given":"Linghua","non-dropping-particle":"","parse-names":false,"suffix":""}],"container-title":"International Journal of Biological Macromolecules","id":"ITEM-1","issued":{"date-parts":[["2019"]]},"page":"61-67","publisher":"Elsevier B.V.","title":"Anti-inflammatory activity of polysaccharides from Phellinus linteus by regulating the NF-κB translocation in LPS-stimulated RAW264.7 macrophages","type":"article-journal","volume":"129"},"uris":["http://www.mendeley.com/documents/?uuid=201515e5-666c-461d-a2cd-d308c454663b"]}],"mendeley":{"formattedCitation":"(Xie et al., 2019)","plainTextFormattedCitation":"(Xie et al., 2019)","previouslyFormattedCitation":"(11)"},"properties":{"noteIndex":0},"schema":"https://github.com/citation-style-language/schema/raw/master/csl-citation.json"}</w:instrText>
      </w:r>
      <w:r w:rsidRPr="004D2C33">
        <w:rPr>
          <w:rStyle w:val="FootnoteReference"/>
          <w:rFonts w:ascii="Arial" w:hAnsi="Arial" w:cs="Arial"/>
          <w:color w:val="000000" w:themeColor="text1"/>
        </w:rPr>
        <w:fldChar w:fldCharType="separate"/>
      </w:r>
      <w:r w:rsidR="00E772A2" w:rsidRPr="00E772A2">
        <w:rPr>
          <w:rFonts w:ascii="Arial" w:hAnsi="Arial" w:cs="Arial"/>
          <w:bCs/>
          <w:noProof/>
          <w:color w:val="000000" w:themeColor="text1"/>
        </w:rPr>
        <w:t>(Xie et al., 2019)</w:t>
      </w:r>
      <w:r w:rsidRPr="004D2C33">
        <w:rPr>
          <w:rStyle w:val="FootnoteReference"/>
          <w:rFonts w:ascii="Arial" w:hAnsi="Arial" w:cs="Arial"/>
          <w:color w:val="000000" w:themeColor="text1"/>
        </w:rPr>
        <w:fldChar w:fldCharType="end"/>
      </w:r>
      <w:r w:rsidRPr="004D2C33">
        <w:rPr>
          <w:rFonts w:ascii="Arial" w:hAnsi="Arial" w:cs="Arial"/>
          <w:color w:val="000000" w:themeColor="text1"/>
        </w:rPr>
        <w:t xml:space="preserve">. Cancer, dermatitis, rheumatoid arthritis, osteoarthritis, inflammatory bowel disease, systemic lupus erythematosus, and cardiovascular diseases are all linked to immune cell dysregulation caused by chronic inflammation </w:t>
      </w:r>
      <w:r w:rsidRPr="004D2C33">
        <w:rPr>
          <w:rStyle w:val="FootnoteReference"/>
          <w:rFonts w:ascii="Arial" w:hAnsi="Arial" w:cs="Arial"/>
          <w:color w:val="000000" w:themeColor="text1"/>
        </w:rPr>
        <w:fldChar w:fldCharType="begin" w:fldLock="1"/>
      </w:r>
      <w:r w:rsidR="00E772A2">
        <w:rPr>
          <w:rFonts w:ascii="Arial" w:hAnsi="Arial" w:cs="Arial"/>
          <w:color w:val="000000" w:themeColor="text1"/>
        </w:rPr>
        <w:instrText>ADDIN CSL_CITATION {"citationItems":[{"id":"ITEM-1","itemData":{"DOI":"10.3390/plants9091127","ISSN":"22237747","abstract":"Psilocybin-containing mushrooms, commonly known as magic mushrooms, have been used since ancient and recent times for depression and to improve quality of life. However, their anti-inflammatory properties are not known. The study aims at investing cytotoxicity; antioxidant; and, for the first time, anti-inflammatory effects of Psilocybe natalensis, a psilocybin-containing mushroom that grows in South Africa, on lipopolysaccharide-induced RAW 264.7 macrophages. Macrophage cells were stimulated with lipopolysaccharide and treated with different concentrations of Psilocybe natalensis mushroom extracted with boiling hot water, cold water and ethanol over 24 h. Quercetin and N-nitro-L-arginine methyl ester were used as positive controls. Effects of extracts on the lipopolysaccharide-induced nitric oxide, prostaglandin E2, and cytokine activities were investigated. Phytochemical analysis, and the antioxidant and cytotoxicity of extracts, were determined. Results showed that the three extracts inhibited the lipopolysaccharide-induced nitric oxide, prostaglandin E2, and interleukin 1β cytokine production significantly in a dose-dependent manner close to that of the positive controls. A study proposed that ethanol and water extracts of Psilocybe natalensis mushroom were safe at concentrations used, and have antioxidant and anti-inflammatory effects. Phytochemical analysis confirmed the presence of natural antioxidant and anti-inflammatory compounds in the mushroom extracts.","author":[{"dropping-particle":"","family":"Nkadimeng","given":"Sanah M.","non-dropping-particle":"","parse-names":false,"suffix":""},{"dropping-particle":"","family":"Nabatanzi","given":"Alice","non-dropping-particle":"","parse-names":false,"suffix":""},{"dropping-particle":"","family":"Steinmann","given":"Christiaan M.L.","non-dropping-particle":"","parse-names":false,"suffix":""},{"dropping-particle":"","family":"Eloff","given":"Jacobus N.","non-dropping-particle":"","parse-names":false,"suffix":""}],"container-title":"Plants","id":"ITEM-1","issue":"9","issued":{"date-parts":[["2020"]]},"page":"1-13","title":"Phytochemical, cytotoxicity, antioxidant and anti-inflammatory effects of psilocybe natalensis magic mushroom","type":"article-journal","volume":"9"},"uris":["http://www.mendeley.com/documents/?uuid=0d07b671-5180-4711-beb2-b8ce9828a69f"]}],"mendeley":{"formattedCitation":"(Nkadimeng et al., 2020)","plainTextFormattedCitation":"(Nkadimeng et al., 2020)","previouslyFormattedCitation":"(12)"},"properties":{"noteIndex":0},"schema":"https://github.com/citation-style-language/schema/raw/master/csl-citation.json"}</w:instrText>
      </w:r>
      <w:r w:rsidRPr="004D2C33">
        <w:rPr>
          <w:rStyle w:val="FootnoteReference"/>
          <w:rFonts w:ascii="Arial" w:hAnsi="Arial" w:cs="Arial"/>
          <w:color w:val="000000" w:themeColor="text1"/>
        </w:rPr>
        <w:fldChar w:fldCharType="separate"/>
      </w:r>
      <w:r w:rsidR="00E772A2" w:rsidRPr="00E772A2">
        <w:rPr>
          <w:rFonts w:ascii="Arial" w:hAnsi="Arial" w:cs="Arial"/>
          <w:bCs/>
          <w:noProof/>
          <w:color w:val="000000" w:themeColor="text1"/>
        </w:rPr>
        <w:t>(Nkadimeng et al., 2020)</w:t>
      </w:r>
      <w:r w:rsidRPr="004D2C33">
        <w:rPr>
          <w:rStyle w:val="FootnoteReference"/>
          <w:rFonts w:ascii="Arial" w:hAnsi="Arial" w:cs="Arial"/>
          <w:color w:val="000000" w:themeColor="text1"/>
        </w:rPr>
        <w:fldChar w:fldCharType="end"/>
      </w:r>
      <w:r w:rsidRPr="004D2C33">
        <w:rPr>
          <w:rFonts w:ascii="Arial" w:hAnsi="Arial" w:cs="Arial"/>
          <w:color w:val="000000" w:themeColor="text1"/>
        </w:rPr>
        <w:t xml:space="preserve">. Macrophages are kinds of immune cells that impart a major contribution to how the body responds to inflammation. Lipopolysaccharide (LPS), an endotoxin, causes macrophages to release inflammatory </w:t>
      </w:r>
      <w:r w:rsidRPr="004D2C33">
        <w:rPr>
          <w:rStyle w:val="FootnoteReference"/>
          <w:rFonts w:ascii="Arial" w:hAnsi="Arial" w:cs="Arial"/>
          <w:color w:val="000000" w:themeColor="text1"/>
        </w:rPr>
        <w:fldChar w:fldCharType="begin" w:fldLock="1"/>
      </w:r>
      <w:r w:rsidR="00E772A2">
        <w:rPr>
          <w:rFonts w:ascii="Arial" w:hAnsi="Arial" w:cs="Arial"/>
          <w:color w:val="000000" w:themeColor="text1"/>
        </w:rPr>
        <w:instrText>ADDIN CSL_CITATION {"citationItems":[{"id":"ITEM-1","itemData":{"DOI":"10.1016/j.phymed.2018.12.012","ISSN":"1618095X","PMID":"31009851","abstract":"Background: Anemarrhena asphodeloides has been widely used in traditional medicine for thousands of years; it has been reported to improve learning and memory, and to reduce inflammation. However, the role of A. asphodeloides in enhancing the immune response has remained unclear. Purpose: This study aimed to evaluate the effect of A. asphodeloides extract (AA-Ex) on enhancing the immune response in macrophages and to identify the active compounds causing these effects. Study Design/Methods: To determine the enhancing immune response of AA-Ex and its active compounds, cell proliferation and cell cycle of RAW 264.7 cells were analyzed by MTS assay and flow cytometry. The gene expression of p53, p27, cyclin D2, and cyclin E2 was measured by real-time PCR. To evaluate the anti-inflammatory effects of AA-Ex and its active compounds, the production of nitric oxide (NO), reactive oxygen species (ROS), and pro-inflammatory cytokines was analyzed by Griess reagent, flow cytometry, and real-time PCR. The phosphorylation of p38, c-Jun N-terminal kinase, inhibitory kappa B alpha, and p65 was examined by western blot analysis. Results: AA-Ex increased cell proliferation by extending the cell cycle S-phase; timosaponin B and timosaponin B-II affected cell proliferation and the cell cycle as active compounds of A. asphodeloides. Next, we determined that A. asphodeloides displayed anti-inflammatory effects, including the inhibition of the production of NO, ROS, and pro-inflammatory cytokines through the suppression of mitogen-activated protein kinase and nuclear factor kappa B phosphorylation downstream of the toll-like receptor 4 signaling pathway. Moreover, we identified that timosaponin B and timosaponin B-II were the active compounds for these effects. Conclusion: Our results suggest that A. asphodeloides promotes the immune response and has anti-inflammatory effects. Moreover, timosaponin B and B-II played important roles as the active compounds of A. asphodeloides in enhancing the immune and anti-inflammatory responses in this model.","author":[{"dropping-particle":"","family":"Ji","given":"Kon Young","non-dropping-particle":"","parse-names":false,"suffix":""},{"dropping-particle":"","family":"Kim","given":"Ki Mo","non-dropping-particle":"","parse-names":false,"suffix":""},{"dropping-particle":"","family":"Kim","given":"Yun Hee","non-dropping-particle":"","parse-names":false,"suffix":""},{"dropping-particle":"","family":"Im","given":"A. Rang","non-dropping-particle":"","parse-names":false,"suffix":""},{"dropping-particle":"","family":"Lee","given":"Joo Young","non-dropping-particle":"","parse-names":false,"suffix":""},{"dropping-particle":"","family":"Park","given":"Boram","non-dropping-particle":"","parse-names":false,"suffix":""},{"dropping-particle":"","family":"Na","given":"Min Kyun","non-dropping-particle":"","parse-names":false,"suffix":""},{"dropping-particle":"","family":"Chae","given":"Sungwook","non-dropping-particle":"","parse-names":false,"suffix":""}],"container-title":"Phytomedicine","id":"ITEM-1","issued":{"date-parts":[["2019"]]},"publisher":"Elsevier GmbH","title":"The enhancing immune response and anti-inflammatory effects of Anemarrhena asphodeloides extract in RAW 264.7 cells","type":"article-journal","volume":"59"},"uris":["http://www.mendeley.com/documents/?uuid=506a4e40-3130-41b4-9ca3-db6ddf407790"]}],"mendeley":{"formattedCitation":"(Ji et al., 2019)","plainTextFormattedCitation":"(Ji et al., 2019)","previouslyFormattedCitation":"(13)"},"properties":{"noteIndex":0},"schema":"https://github.com/citation-style-language/schema/raw/master/csl-citation.json"}</w:instrText>
      </w:r>
      <w:r w:rsidRPr="004D2C33">
        <w:rPr>
          <w:rStyle w:val="FootnoteReference"/>
          <w:rFonts w:ascii="Arial" w:hAnsi="Arial" w:cs="Arial"/>
          <w:color w:val="000000" w:themeColor="text1"/>
        </w:rPr>
        <w:fldChar w:fldCharType="separate"/>
      </w:r>
      <w:r w:rsidR="00E772A2" w:rsidRPr="00E772A2">
        <w:rPr>
          <w:rFonts w:ascii="Arial" w:hAnsi="Arial" w:cs="Arial"/>
          <w:noProof/>
          <w:color w:val="000000" w:themeColor="text1"/>
        </w:rPr>
        <w:t>(Ji et al., 2019)</w:t>
      </w:r>
      <w:r w:rsidRPr="004D2C33">
        <w:rPr>
          <w:rStyle w:val="FootnoteReference"/>
          <w:rFonts w:ascii="Arial" w:hAnsi="Arial" w:cs="Arial"/>
          <w:color w:val="000000" w:themeColor="text1"/>
        </w:rPr>
        <w:fldChar w:fldCharType="end"/>
      </w:r>
      <w:r w:rsidRPr="004D2C33">
        <w:rPr>
          <w:rFonts w:ascii="Arial" w:hAnsi="Arial" w:cs="Arial"/>
          <w:color w:val="000000" w:themeColor="text1"/>
        </w:rPr>
        <w:t>. Several inflammatory mediators have been linked to both the inception and progression of inflammation. These include inducible nitric oxide (</w:t>
      </w:r>
      <w:proofErr w:type="spellStart"/>
      <w:r w:rsidRPr="004D2C33">
        <w:rPr>
          <w:rFonts w:ascii="Arial" w:hAnsi="Arial" w:cs="Arial"/>
          <w:color w:val="000000" w:themeColor="text1"/>
        </w:rPr>
        <w:t>iNO</w:t>
      </w:r>
      <w:proofErr w:type="spellEnd"/>
      <w:r w:rsidRPr="004D2C33">
        <w:rPr>
          <w:rFonts w:ascii="Arial" w:hAnsi="Arial" w:cs="Arial"/>
          <w:color w:val="000000" w:themeColor="text1"/>
        </w:rPr>
        <w:t xml:space="preserve">), prostaglandin E2, and cyclooxygenase-2 (COX-2) </w:t>
      </w:r>
      <w:r w:rsidRPr="004D2C33">
        <w:rPr>
          <w:rStyle w:val="FootnoteReference"/>
          <w:rFonts w:ascii="Arial" w:hAnsi="Arial" w:cs="Arial"/>
          <w:color w:val="000000" w:themeColor="text1"/>
        </w:rPr>
        <w:fldChar w:fldCharType="begin" w:fldLock="1"/>
      </w:r>
      <w:r w:rsidR="00E772A2">
        <w:rPr>
          <w:rFonts w:ascii="Arial" w:hAnsi="Arial" w:cs="Arial"/>
          <w:color w:val="000000" w:themeColor="text1"/>
        </w:rPr>
        <w:instrText>ADDIN CSL_CITATION {"citationItems":[{"id":"ITEM-1","itemData":{"DOI":"10.3390/ijms21103439","ISSN":"14220067","PMID":"32414062","abstract":"Lasia spinosa (L.) Thwaites was used as a traditional medicine to treat many inflammatory diseases for centuries. However, its effects on the inflammatory response are not yet characterized. In this study, we investigated the anti-inflammatory activities of L. spinosa leaf extract in lipopolysaccharide (LPS)-induced RAW 264.7 macrophages. We found that ethanol extracts of L. spinosa leaves showed anti-oxidant activity due to the presence of high levels of polyphenolic compounds. Treatment with the leaf extract significantly repressed the production of inflammatory mediators such as nitric oxide and reactive oxygen species and the expression of pro-inflammatory cytokines in the LPS-stimulated RAW264.7 cells. Moreover, L. spinosa leaf extract treatment prevented activation of the nuclear factor-kappa B pathway by inhibiting nuclear factor of kappa light polypeptide gene enhancer in B-cells inhibitor, alpha (IBff) degradation. Furthermore, the mitogen-activated kinase and phosphoinositide-3-kinase/protein kinase B (PI3K/Akt) pathways were suppressed upon treatment with the leaf extract. In addition to suppressing inflammatory factors, the extract also activated the nuclear factor erythroid 2-related factor 2/heme-oxygenase-1 pathway. We propose that L. spinosa leaf extract has the potential as an effective therapeutic agent for alleviating oxidative stress and excessive inflammation.","author":[{"dropping-particle":"","family":"Nguyen","given":"Thanh Q.C.","non-dropping-particle":"","parse-names":false,"suffix":""},{"dropping-particle":"","family":"Binh","given":"Tran Duy","non-dropping-particle":"","parse-names":false,"suffix":""},{"dropping-particle":"","family":"Pham","given":"Tuan L.A.","non-dropping-particle":"","parse-names":false,"suffix":""},{"dropping-particle":"","family":"Nguyen","given":"Yen D.H.","non-dropping-particle":"","parse-names":false,"suffix":""},{"dropping-particle":"","family":"Trang","given":"Dai Thi Xuan","non-dropping-particle":"","parse-names":false,"suffix":""},{"dropping-particle":"","family":"Nguyen","given":"Trong Tuan","non-dropping-particle":"","parse-names":false,"suffix":""},{"dropping-particle":"","family":"Kanaori","given":"Kenji","non-dropping-particle":"","parse-names":false,"suffix":""},{"dropping-particle":"","family":"Kamei","given":"Kaeko","non-dropping-particle":"","parse-names":false,"suffix":""}],"container-title":"International Journal of Molecular Sciences","id":"ITEM-1","issue":"10","issued":{"date-parts":[["2020"]]},"title":"Anti-inflammatory effects of lasia spinosa leaf extract in lipopolysaccharide-induced raw 264.7 macrophages","type":"article-journal","volume":"21"},"uris":["http://www.mendeley.com/documents/?uuid=57d13295-ebe4-4c80-a2ff-af77450aefec"]}],"mendeley":{"formattedCitation":"(Nguyen et al., 2020)","plainTextFormattedCitation":"(Nguyen et al., 2020)","previouslyFormattedCitation":"(14)"},"properties":{"noteIndex":0},"schema":"https://github.com/citation-style-language/schema/raw/master/csl-citation.json"}</w:instrText>
      </w:r>
      <w:r w:rsidRPr="004D2C33">
        <w:rPr>
          <w:rStyle w:val="FootnoteReference"/>
          <w:rFonts w:ascii="Arial" w:hAnsi="Arial" w:cs="Arial"/>
          <w:color w:val="000000" w:themeColor="text1"/>
        </w:rPr>
        <w:fldChar w:fldCharType="separate"/>
      </w:r>
      <w:r w:rsidR="00E772A2" w:rsidRPr="00E772A2">
        <w:rPr>
          <w:rFonts w:ascii="Arial" w:hAnsi="Arial" w:cs="Arial"/>
          <w:bCs/>
          <w:noProof/>
          <w:color w:val="000000" w:themeColor="text1"/>
        </w:rPr>
        <w:t>(Nguyen et al., 2020)</w:t>
      </w:r>
      <w:r w:rsidRPr="004D2C33">
        <w:rPr>
          <w:rStyle w:val="FootnoteReference"/>
          <w:rFonts w:ascii="Arial" w:hAnsi="Arial" w:cs="Arial"/>
          <w:color w:val="000000" w:themeColor="text1"/>
        </w:rPr>
        <w:fldChar w:fldCharType="end"/>
      </w:r>
      <w:r w:rsidRPr="004D2C33">
        <w:rPr>
          <w:rFonts w:ascii="Arial" w:hAnsi="Arial" w:cs="Arial"/>
          <w:color w:val="000000" w:themeColor="text1"/>
        </w:rPr>
        <w:t xml:space="preserve">. It is believed that the use of anti-inflammatory and antioxidant medicines may help mitigate the role that chronic inflammation plays in the occurrence of degenerative disorders </w:t>
      </w:r>
      <w:r w:rsidRPr="004D2C33">
        <w:rPr>
          <w:rStyle w:val="FootnoteReference"/>
          <w:rFonts w:ascii="Arial" w:hAnsi="Arial" w:cs="Arial"/>
          <w:color w:val="000000" w:themeColor="text1"/>
        </w:rPr>
        <w:fldChar w:fldCharType="begin" w:fldLock="1"/>
      </w:r>
      <w:r w:rsidR="00E772A2">
        <w:rPr>
          <w:rFonts w:ascii="Arial" w:hAnsi="Arial" w:cs="Arial"/>
          <w:color w:val="000000" w:themeColor="text1"/>
        </w:rPr>
        <w:instrText>ADDIN CSL_CITATION {"citationItems":[{"id":"ITEM-1","itemData":{"DOI":"10.1016/j.cell.2010.02.043","ISSN":"00928674","PMID":"20303881","abstract":"Inflammation involving the innate and adaptive immune systems is a normal response to infection. However, when allowed to continue unchecked, inflammation may result in autoimmune or autoinflammatory disorders, neurodegenerative disease, or cancer. A variety of safe and effective anti-inflammatory agents are available, including aspirin and other nonsteroidal anti-inflammatories, with many more drugs under development. In particular, the new era of anti-inflammatory agents includes \" biologicals\" such as anticytokine therapies and small molecules that block the activity of kinases. Other anti-inflammatories currently in use or under development include statins, histone deacetylase inhibitors, PPAR agonists, and small RNAs. This Review discusses the current status of anti-inflammatory drug research and the development of new anti-inflammatory therapeutics. © 2010 Elsevier Inc.","author":[{"dropping-particle":"","family":"Dinarello","given":"Charles A.","non-dropping-particle":"","parse-names":false,"suffix":""}],"container-title":"Cell","id":"ITEM-1","issue":"6","issued":{"date-parts":[["2010"]]},"page":"935-950","publisher":"Elsevier Inc.","title":"Anti-inflammatory Agents: Present and Future","type":"article-journal","volume":"140"},"uris":["http://www.mendeley.com/documents/?uuid=aae2095c-b984-44ba-9f61-b504ac68d350"]}],"mendeley":{"formattedCitation":"(Dinarello, 2010)","plainTextFormattedCitation":"(Dinarello, 2010)","previouslyFormattedCitation":"(15)"},"properties":{"noteIndex":0},"schema":"https://github.com/citation-style-language/schema/raw/master/csl-citation.json"}</w:instrText>
      </w:r>
      <w:r w:rsidRPr="004D2C33">
        <w:rPr>
          <w:rStyle w:val="FootnoteReference"/>
          <w:rFonts w:ascii="Arial" w:hAnsi="Arial" w:cs="Arial"/>
          <w:color w:val="000000" w:themeColor="text1"/>
        </w:rPr>
        <w:fldChar w:fldCharType="separate"/>
      </w:r>
      <w:r w:rsidR="00E772A2" w:rsidRPr="00E772A2">
        <w:rPr>
          <w:rFonts w:ascii="Arial" w:hAnsi="Arial" w:cs="Arial"/>
          <w:noProof/>
          <w:color w:val="000000" w:themeColor="text1"/>
        </w:rPr>
        <w:t>(Dinarello, 2010)</w:t>
      </w:r>
      <w:r w:rsidRPr="004D2C33">
        <w:rPr>
          <w:rStyle w:val="FootnoteReference"/>
          <w:rFonts w:ascii="Arial" w:hAnsi="Arial" w:cs="Arial"/>
          <w:color w:val="000000" w:themeColor="text1"/>
        </w:rPr>
        <w:fldChar w:fldCharType="end"/>
      </w:r>
      <w:r w:rsidRPr="004D2C33">
        <w:rPr>
          <w:rFonts w:ascii="Arial" w:hAnsi="Arial" w:cs="Arial"/>
          <w:color w:val="000000" w:themeColor="text1"/>
        </w:rPr>
        <w:t xml:space="preserve">. To overcome these obstacles, safer and more efficient drugs for treating acute and chronic inflammatory illnesses need to be created. Due to the deleterious effects of non-steroidal anti-inflammatory drugs (NSAIDs), researchers are looking into plant extracts and essential oils </w:t>
      </w:r>
      <w:r w:rsidRPr="00332526">
        <w:rPr>
          <w:rFonts w:ascii="Arial" w:hAnsi="Arial" w:cs="Arial"/>
          <w:color w:val="000000" w:themeColor="text1"/>
          <w:highlight w:val="yellow"/>
        </w:rPr>
        <w:t>a</w:t>
      </w:r>
      <w:r w:rsidR="00CE5D21" w:rsidRPr="00332526">
        <w:rPr>
          <w:rFonts w:ascii="Arial" w:hAnsi="Arial" w:cs="Arial"/>
          <w:color w:val="000000" w:themeColor="text1"/>
          <w:highlight w:val="yellow"/>
        </w:rPr>
        <w:t>s</w:t>
      </w:r>
      <w:r w:rsidRPr="004D2C33">
        <w:rPr>
          <w:rFonts w:ascii="Arial" w:hAnsi="Arial" w:cs="Arial"/>
          <w:color w:val="000000" w:themeColor="text1"/>
        </w:rPr>
        <w:t xml:space="preserve"> being explored as a novel framework for anti-inflammatory drugs, potentially inhibiting the release of inflammatory mediators as well as free radicals while simultaneously increasing antioxidant defenses </w:t>
      </w:r>
      <w:r w:rsidRPr="004D2C33">
        <w:rPr>
          <w:rStyle w:val="FootnoteReference"/>
          <w:rFonts w:ascii="Arial" w:hAnsi="Arial" w:cs="Arial"/>
          <w:color w:val="000000" w:themeColor="text1"/>
        </w:rPr>
        <w:fldChar w:fldCharType="begin" w:fldLock="1"/>
      </w:r>
      <w:r w:rsidR="00E772A2">
        <w:rPr>
          <w:rFonts w:ascii="Arial" w:hAnsi="Arial" w:cs="Arial"/>
          <w:color w:val="000000" w:themeColor="text1"/>
        </w:rPr>
        <w:instrText>ADDIN CSL_CITATION {"citationItems":[{"id":"ITEM-1","itemData":{"DOI":"10.1016/j.lwt.2004.07.007","ISSN":"00236438","abstract":"Eight popularly consumed green leafy vegetables in Nigeria namely: Structium sparejanophora, Amarantus cruentus, Telfairia occidentalis, Baselia alba, Solanum macrocarpon, Corchorus olitorus, Vernonia amygdalina, and Ocimum gratissimum were blanched in hot water for 5 mins. The antioxidant properties of the fresh and blanched green leafy vegetables were subsequently determined. The total phenol, ascorbic acid and the antioxidant potentials as typified by reducing property and free radical scavenging activity was also determined. The results of the study revealed that blanching cause a significant (P&lt;0.05) increase in the total phenol [fresh (0.1-0.3 g/100 g), blanched (0.2-0.6 g/100 g)] content of the green leafy vegetables except in Amarantus cruentus and Vernonia amygdalina where there was no change. Conversely, there was a significant (P&lt;0.05) decrease in the vitamin C [fresh (43.5-148.0 mg/100 g), blanched (15.8-27.3 mg/100 g)], reducing property [fresh (0.5-1.5 absorbance), blanched (0.1-0.6 absorbance)] and free radical scavenging ability [fresh (20.0-51.4%), blanched (16.4-47.1%)] of the blanched green leafy vegetables except in Structium sparejanophora, where there was no change in the reducing property (0.6 absorbance) and free radical scavenging ability (59.8%) of the blanched vegetable. In view of this it could be concluded that blanching of vegetables though makes green leafy vegetables more palatable and less toxic, however it reduces their antioxidant properties drastically. © 2004 Swiss Society of Food Science and Technology. Published by Elsevier Ltd. All rights reserved.","author":[{"dropping-particle":"","family":"Oboh","given":"Ganiyu","non-dropping-particle":"","parse-names":false,"suffix":""}],"container-title":"Lwt","id":"ITEM-1","issue":"5","issued":{"date-parts":[["2005"]]},"page":"513-517","title":"Effect of blanching on the antioxidant properties of some tropical green leafy vegetables","type":"article-journal","volume":"38"},"uris":["http://www.mendeley.com/documents/?uuid=e4df6299-075e-4447-ac3f-a02c028b843a"]}],"mendeley":{"formattedCitation":"(Oboh, 2005)","plainTextFormattedCitation":"(Oboh, 2005)","previouslyFormattedCitation":"(16)"},"properties":{"noteIndex":0},"schema":"https://github.com/citation-style-language/schema/raw/master/csl-citation.json"}</w:instrText>
      </w:r>
      <w:r w:rsidRPr="004D2C33">
        <w:rPr>
          <w:rStyle w:val="FootnoteReference"/>
          <w:rFonts w:ascii="Arial" w:hAnsi="Arial" w:cs="Arial"/>
          <w:color w:val="000000" w:themeColor="text1"/>
        </w:rPr>
        <w:fldChar w:fldCharType="separate"/>
      </w:r>
      <w:r w:rsidR="00E772A2" w:rsidRPr="00E772A2">
        <w:rPr>
          <w:rFonts w:ascii="Arial" w:hAnsi="Arial" w:cs="Arial"/>
          <w:bCs/>
          <w:noProof/>
          <w:color w:val="000000" w:themeColor="text1"/>
        </w:rPr>
        <w:t>(Oboh, 2005)</w:t>
      </w:r>
      <w:r w:rsidRPr="004D2C33">
        <w:rPr>
          <w:rStyle w:val="FootnoteReference"/>
          <w:rFonts w:ascii="Arial" w:hAnsi="Arial" w:cs="Arial"/>
          <w:color w:val="000000" w:themeColor="text1"/>
        </w:rPr>
        <w:fldChar w:fldCharType="end"/>
      </w:r>
      <w:r w:rsidRPr="004D2C33">
        <w:rPr>
          <w:rFonts w:ascii="Arial" w:hAnsi="Arial" w:cs="Arial"/>
          <w:color w:val="000000" w:themeColor="text1"/>
        </w:rPr>
        <w:t xml:space="preserve">. </w:t>
      </w:r>
      <w:proofErr w:type="spellStart"/>
      <w:r w:rsidRPr="004D2C33">
        <w:rPr>
          <w:rFonts w:ascii="Arial" w:hAnsi="Arial" w:cs="Arial"/>
          <w:i/>
          <w:iCs/>
          <w:color w:val="000000" w:themeColor="text1"/>
        </w:rPr>
        <w:t>Ormosia</w:t>
      </w:r>
      <w:proofErr w:type="spellEnd"/>
      <w:r w:rsidRPr="004D2C33">
        <w:rPr>
          <w:rFonts w:ascii="Arial" w:hAnsi="Arial" w:cs="Arial"/>
          <w:i/>
          <w:iCs/>
          <w:color w:val="000000" w:themeColor="text1"/>
        </w:rPr>
        <w:t xml:space="preserve"> </w:t>
      </w:r>
      <w:proofErr w:type="spellStart"/>
      <w:r w:rsidRPr="004D2C33">
        <w:rPr>
          <w:rFonts w:ascii="Arial" w:hAnsi="Arial" w:cs="Arial"/>
          <w:i/>
          <w:iCs/>
          <w:color w:val="000000" w:themeColor="text1"/>
        </w:rPr>
        <w:t>robusta</w:t>
      </w:r>
      <w:proofErr w:type="spellEnd"/>
      <w:r w:rsidRPr="004D2C33">
        <w:rPr>
          <w:rFonts w:ascii="Arial" w:hAnsi="Arial" w:cs="Arial"/>
          <w:color w:val="000000" w:themeColor="text1"/>
        </w:rPr>
        <w:t xml:space="preserve"> baker (</w:t>
      </w:r>
      <w:r w:rsidRPr="004D2C33">
        <w:rPr>
          <w:rFonts w:ascii="Arial" w:hAnsi="Arial" w:cs="Arial"/>
          <w:i/>
          <w:iCs/>
          <w:color w:val="000000" w:themeColor="text1"/>
        </w:rPr>
        <w:t>O. robusta</w:t>
      </w:r>
      <w:r w:rsidRPr="004D2C33">
        <w:rPr>
          <w:rFonts w:ascii="Arial" w:hAnsi="Arial" w:cs="Arial"/>
          <w:color w:val="000000" w:themeColor="text1"/>
        </w:rPr>
        <w:t xml:space="preserve">) is a member of the family Fabaceae, which is also known as the legume family: Leguminosae. The Garo tribes call this plant Sanchi or Sanchi-blog </w:t>
      </w:r>
      <w:r w:rsidRPr="004D2C33">
        <w:rPr>
          <w:rStyle w:val="FootnoteReference"/>
          <w:rFonts w:ascii="Arial" w:hAnsi="Arial" w:cs="Arial"/>
          <w:color w:val="000000" w:themeColor="text1"/>
        </w:rPr>
        <w:fldChar w:fldCharType="begin" w:fldLock="1"/>
      </w:r>
      <w:r w:rsidR="00E772A2">
        <w:rPr>
          <w:rFonts w:ascii="Arial" w:hAnsi="Arial" w:cs="Arial"/>
          <w:color w:val="000000" w:themeColor="text1"/>
        </w:rPr>
        <w:instrText>ADDIN CSL_CITATION {"citationItems":[{"id":"ITEM-1","itemData":{"author":[{"dropping-particle":"","family":"Ahmed","given":"Kh Tanvir","non-dropping-particle":"","parse-names":false,"suffix":""},{"dropping-particle":"","family":"Haque","given":"Mohammad Rashedul","non-dropping-particle":"","parse-names":false,"suffix":""},{"dropping-particle":"","family":"Ahsan","given":"Monira","non-dropping-particle":"","parse-names":false,"suffix":""}],"container-title":"American Journal of Pharmtech Research","id":"ITEM-1","issue":"November 2012","issued":{"date-parts":[["2013"]]},"page":"1-8","title":"Isoflavones from the Bark of Ormosia robusta ( Fabaceae ) baker .","type":"article-journal","volume":"3"},"uris":["http://www.mendeley.com/documents/?uuid=48cb8b33-4e2f-46ff-8e55-6890315ce904"]}],"mendeley":{"formattedCitation":"(K. T. Ahmed et al., 2013)","plainTextFormattedCitation":"(K. T. Ahmed et al., 2013)","previouslyFormattedCitation":"(17)"},"properties":{"noteIndex":0},"schema":"https://github.com/citation-style-language/schema/raw/master/csl-citation.json"}</w:instrText>
      </w:r>
      <w:r w:rsidRPr="004D2C33">
        <w:rPr>
          <w:rStyle w:val="FootnoteReference"/>
          <w:rFonts w:ascii="Arial" w:hAnsi="Arial" w:cs="Arial"/>
          <w:color w:val="000000" w:themeColor="text1"/>
        </w:rPr>
        <w:fldChar w:fldCharType="separate"/>
      </w:r>
      <w:r w:rsidR="00E772A2" w:rsidRPr="00E772A2">
        <w:rPr>
          <w:rFonts w:ascii="Arial" w:hAnsi="Arial" w:cs="Arial"/>
          <w:bCs/>
          <w:noProof/>
          <w:color w:val="000000" w:themeColor="text1"/>
        </w:rPr>
        <w:t>(K. T. Ahmed et al., 2013)</w:t>
      </w:r>
      <w:r w:rsidRPr="004D2C33">
        <w:rPr>
          <w:rStyle w:val="FootnoteReference"/>
          <w:rFonts w:ascii="Arial" w:hAnsi="Arial" w:cs="Arial"/>
          <w:color w:val="000000" w:themeColor="text1"/>
        </w:rPr>
        <w:fldChar w:fldCharType="end"/>
      </w:r>
      <w:r w:rsidRPr="004D2C33">
        <w:rPr>
          <w:rFonts w:ascii="Arial" w:hAnsi="Arial" w:cs="Arial"/>
          <w:color w:val="000000" w:themeColor="text1"/>
        </w:rPr>
        <w:t xml:space="preserve">. It grows on tropical semi-evergreen forest hills. It is found across East Asia, including Meghalaya, Arunachal Pradesh, Assam, Mizoram, Myanmar, and Thailand. </w:t>
      </w:r>
      <w:proofErr w:type="spellStart"/>
      <w:r w:rsidRPr="004D2C33">
        <w:rPr>
          <w:rFonts w:ascii="Arial" w:hAnsi="Arial" w:cs="Arial"/>
          <w:color w:val="000000" w:themeColor="text1"/>
        </w:rPr>
        <w:t>Sylhet</w:t>
      </w:r>
      <w:proofErr w:type="spellEnd"/>
      <w:r w:rsidRPr="004D2C33">
        <w:rPr>
          <w:rFonts w:ascii="Arial" w:hAnsi="Arial" w:cs="Arial"/>
          <w:color w:val="000000" w:themeColor="text1"/>
        </w:rPr>
        <w:t xml:space="preserve">, </w:t>
      </w:r>
      <w:proofErr w:type="spellStart"/>
      <w:r w:rsidRPr="004D2C33">
        <w:rPr>
          <w:rFonts w:ascii="Arial" w:hAnsi="Arial" w:cs="Arial"/>
          <w:color w:val="000000" w:themeColor="text1"/>
        </w:rPr>
        <w:t>Maheskhali</w:t>
      </w:r>
      <w:proofErr w:type="spellEnd"/>
      <w:r w:rsidRPr="004D2C33">
        <w:rPr>
          <w:rFonts w:ascii="Arial" w:hAnsi="Arial" w:cs="Arial"/>
          <w:color w:val="000000" w:themeColor="text1"/>
        </w:rPr>
        <w:t>, </w:t>
      </w:r>
      <w:proofErr w:type="spellStart"/>
      <w:r w:rsidRPr="004D2C33">
        <w:rPr>
          <w:rFonts w:ascii="Arial" w:hAnsi="Arial" w:cs="Arial"/>
          <w:color w:val="000000" w:themeColor="text1"/>
        </w:rPr>
        <w:t>Hathazari</w:t>
      </w:r>
      <w:proofErr w:type="spellEnd"/>
      <w:r w:rsidRPr="004D2C33">
        <w:rPr>
          <w:rFonts w:ascii="Arial" w:hAnsi="Arial" w:cs="Arial"/>
          <w:color w:val="000000" w:themeColor="text1"/>
        </w:rPr>
        <w:t xml:space="preserve">, and </w:t>
      </w:r>
      <w:proofErr w:type="spellStart"/>
      <w:r w:rsidRPr="004D2C33">
        <w:rPr>
          <w:rFonts w:ascii="Arial" w:hAnsi="Arial" w:cs="Arial"/>
          <w:color w:val="000000" w:themeColor="text1"/>
        </w:rPr>
        <w:t>Sitakunda</w:t>
      </w:r>
      <w:proofErr w:type="spellEnd"/>
      <w:r w:rsidRPr="004D2C33">
        <w:rPr>
          <w:rFonts w:ascii="Arial" w:hAnsi="Arial" w:cs="Arial"/>
          <w:color w:val="000000" w:themeColor="text1"/>
        </w:rPr>
        <w:t xml:space="preserve"> are its habitats in Bangladesh </w:t>
      </w:r>
      <w:r w:rsidRPr="004D2C33">
        <w:rPr>
          <w:rStyle w:val="FootnoteReference"/>
          <w:rFonts w:ascii="Arial" w:hAnsi="Arial" w:cs="Arial"/>
          <w:color w:val="000000" w:themeColor="text1"/>
        </w:rPr>
        <w:fldChar w:fldCharType="begin" w:fldLock="1"/>
      </w:r>
      <w:r w:rsidR="00E772A2">
        <w:rPr>
          <w:rFonts w:ascii="Arial" w:hAnsi="Arial" w:cs="Arial"/>
          <w:color w:val="000000" w:themeColor="text1"/>
        </w:rPr>
        <w:instrText>ADDIN CSL_CITATION {"citationItems":[{"id":"ITEM-1","itemData":{"ISSN":"2319–3824","abstract":"The paper deals with the revised taxonomic description of Ormosia robusta Baker along with photographic illustration based on live plant material, which is the first authentic report of its occurrence in Meghalaya and Mizoram","author":[{"dropping-particle":"","family":"Sinha","given":"Bipin Kumar","non-dropping-particle":"","parse-names":false,"suffix":""},{"dropping-particle":"Das","family":"Talukdar","given":"Anupam","non-dropping-particle":"","parse-names":false,"suffix":""},{"dropping-particle":"","family":"Roy","given":"Dilip Kumar","non-dropping-particle":"","parse-names":false,"suffix":""},{"dropping-particle":"","family":"Verma","given":"Durgesh","non-dropping-particle":"","parse-names":false,"suffix":""},{"dropping-particle":"","family":"Choudhury","given":"Manabendra Dutta","non-dropping-particle":"","parse-names":false,"suffix":""}],"container-title":"Indian Jounrnal of Plant Sciences","id":"ITEM-1","issue":"4","issued":{"date-parts":[["2014"]]},"page":"53-57","title":"On the identity and occurrence of Ormosia robusta (Fabaceae sophorea) in India","type":"article-journal","volume":"3"},"uris":["http://www.mendeley.com/documents/?uuid=b6f98f28-1ee0-4666-b45b-2d011817cc75"]}],"mendeley":{"formattedCitation":"(Sinha et al., 2014)","plainTextFormattedCitation":"(Sinha et al., 2014)","previouslyFormattedCitation":"(18)"},"properties":{"noteIndex":0},"schema":"https://github.com/citation-style-language/schema/raw/master/csl-citation.json"}</w:instrText>
      </w:r>
      <w:r w:rsidRPr="004D2C33">
        <w:rPr>
          <w:rStyle w:val="FootnoteReference"/>
          <w:rFonts w:ascii="Arial" w:hAnsi="Arial" w:cs="Arial"/>
          <w:color w:val="000000" w:themeColor="text1"/>
        </w:rPr>
        <w:fldChar w:fldCharType="separate"/>
      </w:r>
      <w:r w:rsidR="00E772A2" w:rsidRPr="00E772A2">
        <w:rPr>
          <w:rFonts w:ascii="Arial" w:hAnsi="Arial" w:cs="Arial"/>
          <w:bCs/>
          <w:noProof/>
          <w:color w:val="000000" w:themeColor="text1"/>
        </w:rPr>
        <w:t>(Sinha et al., 2014)</w:t>
      </w:r>
      <w:r w:rsidRPr="004D2C33">
        <w:rPr>
          <w:rStyle w:val="FootnoteReference"/>
          <w:rFonts w:ascii="Arial" w:hAnsi="Arial" w:cs="Arial"/>
          <w:color w:val="000000" w:themeColor="text1"/>
        </w:rPr>
        <w:fldChar w:fldCharType="end"/>
      </w:r>
      <w:r w:rsidRPr="004D2C33">
        <w:rPr>
          <w:rFonts w:ascii="Arial" w:hAnsi="Arial" w:cs="Arial"/>
          <w:color w:val="000000" w:themeColor="text1"/>
        </w:rPr>
        <w:t xml:space="preserve">. The </w:t>
      </w:r>
      <w:r w:rsidRPr="004D2C33">
        <w:rPr>
          <w:rFonts w:ascii="Arial" w:hAnsi="Arial" w:cs="Arial"/>
          <w:i/>
          <w:iCs/>
          <w:color w:val="000000" w:themeColor="text1"/>
        </w:rPr>
        <w:t>O. robusta</w:t>
      </w:r>
      <w:r w:rsidRPr="004D2C33">
        <w:rPr>
          <w:rFonts w:ascii="Arial" w:hAnsi="Arial" w:cs="Arial"/>
          <w:color w:val="000000" w:themeColor="text1"/>
        </w:rPr>
        <w:t xml:space="preserve"> tree may grow up to 12 meters tall and produces beautiful orange-colored fruit. Leaves are imparipinnate; blooms are creamy white; seeds contain one to two yellowish-green seeds; seeds may be cylindrical or slightly compressed. Timber-based goods and fuel are its primary uses. The Garo tribes treat jaundice using an extract of bark (soaked in water overnight). However, this plant has not been explored much </w:t>
      </w:r>
      <w:r w:rsidRPr="004D2C33">
        <w:rPr>
          <w:rStyle w:val="FootnoteReference"/>
          <w:rFonts w:ascii="Arial" w:hAnsi="Arial" w:cs="Arial"/>
          <w:color w:val="000000" w:themeColor="text1"/>
        </w:rPr>
        <w:fldChar w:fldCharType="begin" w:fldLock="1"/>
      </w:r>
      <w:r w:rsidR="00E772A2">
        <w:rPr>
          <w:rFonts w:ascii="Arial" w:hAnsi="Arial" w:cs="Arial"/>
          <w:color w:val="000000" w:themeColor="text1"/>
        </w:rPr>
        <w:instrText>ADDIN CSL_CITATION {"citationItems":[{"id":"ITEM-1","itemData":{"DOI":"10.36713/epra2013","ISSN":"2455-3662","abstract":"ANNOTATION Practice shows that the lack or late receipt of information with special conditions for the use of territories often has a negative impact not only on the budget and time frame for the construction of a real estate facility, but also on the fate of the built facility in general. The protection areas of underground and above-ground engineering communications play an important role for the future in land use. And also, when using these lands for agricultural needs, with the correct organization of cadastral relations represents the relevance of the issue under study. In the present, as an example, a section of high-voltage power transmission lines (power lines) of 1 km length is presented.","author":[{"dropping-particle":"","family":"Numanovich","given":"Abdullayev Ibrohim","non-dropping-particle":"","parse-names":false,"suffix":""},{"dropping-particle":"","family":"Abbosxonovich","given":"Marupov Azizxon","non-dropping-particle":"","parse-names":false,"suffix":""}],"container-title":"EPRA International Journal of Multidisciplinary Research (IJMR)-Peer Reviewed Journal","id":"ITEM-1","issue":"2","issued":{"date-parts":[["2020"]]},"page":"198-210","title":"THE ANALYSIS OF LANDS IN SECURITY ZONES OF HIGH-VOLTAGE POWER LINES (POWER LINE) ON THE EXAMPLE OF THE FERGANA REGION PhD of Fergana polytechnic institute, Uzbekistan PhD applicant of Fergana polytechnic institute, Uzbekistan","type":"article-journal"},"uris":["http://www.mendeley.com/documents/?uuid=cc9e4e77-f28b-43cc-9e88-0ad520ad0783"]}],"mendeley":{"formattedCitation":"(Numanovich &amp; Abbosxonovich, 2020)","plainTextFormattedCitation":"(Numanovich &amp; Abbosxonovich, 2020)","previouslyFormattedCitation":"(19)"},"properties":{"noteIndex":0},"schema":"https://github.com/citation-style-language/schema/raw/master/csl-citation.json"}</w:instrText>
      </w:r>
      <w:r w:rsidRPr="004D2C33">
        <w:rPr>
          <w:rStyle w:val="FootnoteReference"/>
          <w:rFonts w:ascii="Arial" w:hAnsi="Arial" w:cs="Arial"/>
          <w:color w:val="000000" w:themeColor="text1"/>
        </w:rPr>
        <w:fldChar w:fldCharType="separate"/>
      </w:r>
      <w:r w:rsidR="00E772A2" w:rsidRPr="00E772A2">
        <w:rPr>
          <w:rFonts w:ascii="Arial" w:hAnsi="Arial" w:cs="Arial"/>
          <w:bCs/>
          <w:noProof/>
          <w:color w:val="000000" w:themeColor="text1"/>
        </w:rPr>
        <w:t>(Numanovich &amp; Abbosxonovich, 2020)</w:t>
      </w:r>
      <w:r w:rsidRPr="004D2C33">
        <w:rPr>
          <w:rStyle w:val="FootnoteReference"/>
          <w:rFonts w:ascii="Arial" w:hAnsi="Arial" w:cs="Arial"/>
          <w:color w:val="000000" w:themeColor="text1"/>
        </w:rPr>
        <w:fldChar w:fldCharType="end"/>
      </w:r>
      <w:r w:rsidRPr="004D2C33">
        <w:rPr>
          <w:rFonts w:ascii="Arial" w:hAnsi="Arial" w:cs="Arial"/>
          <w:color w:val="000000" w:themeColor="text1"/>
        </w:rPr>
        <w:t xml:space="preserve">. Therefore, we analyzed the phytochemical composition of </w:t>
      </w:r>
      <w:r w:rsidR="00D4020A" w:rsidRPr="00D4020A">
        <w:rPr>
          <w:rFonts w:ascii="Arial" w:eastAsia="Calibri" w:hAnsi="Arial" w:cs="Arial"/>
          <w:szCs w:val="22"/>
          <w:highlight w:val="yellow"/>
        </w:rPr>
        <w:t xml:space="preserve">methanol leaf extract of </w:t>
      </w:r>
      <w:r w:rsidR="00D4020A" w:rsidRPr="00D4020A">
        <w:rPr>
          <w:rFonts w:ascii="Arial" w:eastAsia="Calibri" w:hAnsi="Arial" w:cs="Arial"/>
          <w:i/>
          <w:iCs/>
          <w:szCs w:val="22"/>
          <w:highlight w:val="yellow"/>
        </w:rPr>
        <w:t>O</w:t>
      </w:r>
      <w:r w:rsidR="00D4020A">
        <w:rPr>
          <w:rFonts w:ascii="Arial" w:eastAsia="Calibri" w:hAnsi="Arial" w:cs="Arial"/>
          <w:i/>
          <w:iCs/>
          <w:szCs w:val="22"/>
          <w:highlight w:val="yellow"/>
        </w:rPr>
        <w:t xml:space="preserve">. </w:t>
      </w:r>
      <w:proofErr w:type="spellStart"/>
      <w:r w:rsidR="00D4020A" w:rsidRPr="00D4020A">
        <w:rPr>
          <w:rFonts w:ascii="Arial" w:eastAsia="Calibri" w:hAnsi="Arial" w:cs="Arial"/>
          <w:i/>
          <w:iCs/>
          <w:szCs w:val="22"/>
          <w:highlight w:val="yellow"/>
        </w:rPr>
        <w:t>robusta</w:t>
      </w:r>
      <w:proofErr w:type="spellEnd"/>
      <w:r w:rsidR="00D4020A" w:rsidRPr="00D4020A">
        <w:rPr>
          <w:rFonts w:ascii="Arial" w:eastAsia="Calibri" w:hAnsi="Arial" w:cs="Arial"/>
          <w:szCs w:val="22"/>
          <w:highlight w:val="yellow"/>
        </w:rPr>
        <w:t xml:space="preserve"> (MELOR)</w:t>
      </w:r>
      <w:r w:rsidRPr="004D2C33">
        <w:rPr>
          <w:rFonts w:ascii="Arial" w:hAnsi="Arial" w:cs="Arial"/>
          <w:color w:val="000000" w:themeColor="text1"/>
        </w:rPr>
        <w:t xml:space="preserve"> and evaluated </w:t>
      </w:r>
      <w:proofErr w:type="spellStart"/>
      <w:r w:rsidRPr="004D2C33">
        <w:rPr>
          <w:rFonts w:ascii="Arial" w:hAnsi="Arial" w:cs="Arial"/>
          <w:color w:val="000000" w:themeColor="text1"/>
        </w:rPr>
        <w:t>its</w:t>
      </w:r>
      <w:proofErr w:type="spellEnd"/>
      <w:r w:rsidRPr="004D2C33">
        <w:rPr>
          <w:rFonts w:ascii="Arial" w:hAnsi="Arial" w:cs="Arial"/>
          <w:color w:val="000000" w:themeColor="text1"/>
        </w:rPr>
        <w:t xml:space="preserve"> </w:t>
      </w:r>
      <w:r w:rsidRPr="004D2C33">
        <w:rPr>
          <w:rFonts w:ascii="Arial" w:hAnsi="Arial" w:cs="Arial"/>
          <w:i/>
          <w:iCs/>
          <w:color w:val="000000" w:themeColor="text1"/>
        </w:rPr>
        <w:t>in</w:t>
      </w:r>
      <w:r w:rsidR="00992ACC">
        <w:rPr>
          <w:rFonts w:ascii="Arial" w:hAnsi="Arial" w:cs="Arial"/>
          <w:i/>
          <w:iCs/>
          <w:color w:val="000000" w:themeColor="text1"/>
        </w:rPr>
        <w:t xml:space="preserve"> </w:t>
      </w:r>
      <w:r w:rsidRPr="004D2C33">
        <w:rPr>
          <w:rFonts w:ascii="Arial" w:hAnsi="Arial" w:cs="Arial"/>
          <w:i/>
          <w:iCs/>
          <w:color w:val="000000" w:themeColor="text1"/>
        </w:rPr>
        <w:t>vitro</w:t>
      </w:r>
      <w:r w:rsidRPr="004D2C33">
        <w:rPr>
          <w:rFonts w:ascii="Arial" w:hAnsi="Arial" w:cs="Arial"/>
          <w:color w:val="000000" w:themeColor="text1"/>
        </w:rPr>
        <w:t xml:space="preserve"> antioxidant, anthelmintic, cytotoxic, anti-arthritic, anti-inflammatory, and thrombolytic activities. In addition, </w:t>
      </w:r>
      <w:r w:rsidRPr="004D2C33">
        <w:rPr>
          <w:rFonts w:ascii="Arial" w:hAnsi="Arial" w:cs="Arial"/>
          <w:i/>
          <w:iCs/>
          <w:color w:val="000000" w:themeColor="text1"/>
        </w:rPr>
        <w:t>in silico</w:t>
      </w:r>
      <w:r w:rsidRPr="004D2C33">
        <w:rPr>
          <w:rFonts w:ascii="Arial" w:hAnsi="Arial" w:cs="Arial"/>
          <w:color w:val="000000" w:themeColor="text1"/>
        </w:rPr>
        <w:t xml:space="preserve"> molecular docking as well as ADME/T investigation were carried out to get </w:t>
      </w:r>
      <w:r w:rsidR="00055E7B" w:rsidRPr="00055E7B">
        <w:rPr>
          <w:rFonts w:ascii="Arial" w:eastAsia="Calibri" w:hAnsi="Arial" w:cs="Arial"/>
          <w:szCs w:val="22"/>
          <w:highlight w:val="yellow"/>
        </w:rPr>
        <w:t>MELOR</w:t>
      </w:r>
      <w:r w:rsidR="00055E7B" w:rsidRPr="004D2C33">
        <w:rPr>
          <w:rFonts w:ascii="Arial" w:hAnsi="Arial" w:cs="Arial"/>
          <w:color w:val="000000" w:themeColor="text1"/>
        </w:rPr>
        <w:t xml:space="preserve"> </w:t>
      </w:r>
      <w:r w:rsidRPr="004D2C33">
        <w:rPr>
          <w:rFonts w:ascii="Arial" w:hAnsi="Arial" w:cs="Arial"/>
          <w:color w:val="000000" w:themeColor="text1"/>
        </w:rPr>
        <w:t>insights into the previously identified compounds from this plant for the investigated pharmacological attributes.</w:t>
      </w:r>
    </w:p>
    <w:p w14:paraId="7209B82C" w14:textId="79EB7654" w:rsidR="001A126E" w:rsidRDefault="001A126E" w:rsidP="00441B6F">
      <w:pPr>
        <w:pStyle w:val="Body"/>
        <w:spacing w:after="0"/>
        <w:rPr>
          <w:rFonts w:ascii="Arial" w:hAnsi="Arial" w:cs="Arial"/>
        </w:rPr>
      </w:pPr>
    </w:p>
    <w:p w14:paraId="59276894" w14:textId="57E3DD8A" w:rsidR="001A126E" w:rsidRDefault="001A126E" w:rsidP="00441B6F">
      <w:pPr>
        <w:pStyle w:val="Body"/>
        <w:spacing w:after="0"/>
        <w:rPr>
          <w:rFonts w:ascii="Arial" w:hAnsi="Arial" w:cs="Arial"/>
        </w:rPr>
      </w:pPr>
    </w:p>
    <w:p w14:paraId="5BB6E6ED" w14:textId="77777777" w:rsidR="001A126E" w:rsidRPr="00FB3A86" w:rsidRDefault="001A126E" w:rsidP="00441B6F">
      <w:pPr>
        <w:pStyle w:val="Body"/>
        <w:spacing w:after="0"/>
        <w:rPr>
          <w:rFonts w:ascii="Arial" w:hAnsi="Arial" w:cs="Arial"/>
        </w:rPr>
      </w:pPr>
    </w:p>
    <w:p w14:paraId="077330D8" w14:textId="70970F9D" w:rsidR="007F7B32" w:rsidRDefault="00902823" w:rsidP="00441B6F">
      <w:pPr>
        <w:pStyle w:val="AbstHead"/>
        <w:spacing w:after="0"/>
        <w:jc w:val="both"/>
        <w:rPr>
          <w:rFonts w:ascii="Arial" w:hAnsi="Arial" w:cs="Arial"/>
        </w:rPr>
      </w:pPr>
      <w:r>
        <w:rPr>
          <w:rFonts w:ascii="Arial" w:hAnsi="Arial" w:cs="Arial"/>
        </w:rPr>
        <w:t>2. method</w:t>
      </w:r>
      <w:r w:rsidR="006F2E85">
        <w:rPr>
          <w:rFonts w:ascii="Arial" w:hAnsi="Arial" w:cs="Arial"/>
        </w:rPr>
        <w:t>OLOGY</w:t>
      </w:r>
    </w:p>
    <w:p w14:paraId="69257295" w14:textId="77777777" w:rsidR="00790ADA" w:rsidRPr="00FB3A86" w:rsidRDefault="00790ADA" w:rsidP="00441B6F">
      <w:pPr>
        <w:pStyle w:val="AbstHead"/>
        <w:spacing w:after="0"/>
        <w:jc w:val="both"/>
        <w:rPr>
          <w:rFonts w:ascii="Arial" w:hAnsi="Arial" w:cs="Arial"/>
        </w:rPr>
      </w:pPr>
    </w:p>
    <w:p w14:paraId="6ADE2086" w14:textId="433B4BC7" w:rsidR="00CD45C0" w:rsidRPr="00CD45C0" w:rsidRDefault="00CD45C0" w:rsidP="00CD45C0">
      <w:pPr>
        <w:pStyle w:val="Body"/>
        <w:rPr>
          <w:rFonts w:ascii="Arial" w:hAnsi="Arial" w:cs="Arial"/>
          <w:b/>
          <w:sz w:val="22"/>
          <w:szCs w:val="22"/>
        </w:rPr>
      </w:pPr>
      <w:r w:rsidRPr="00CD45C0">
        <w:rPr>
          <w:rFonts w:ascii="Arial" w:hAnsi="Arial" w:cs="Arial"/>
          <w:b/>
          <w:sz w:val="22"/>
          <w:szCs w:val="22"/>
        </w:rPr>
        <w:t>2.1 Solvents and Chemicals</w:t>
      </w:r>
    </w:p>
    <w:p w14:paraId="66929CAE" w14:textId="7057F8EA" w:rsidR="00CD45C0" w:rsidRPr="00CD45C0" w:rsidRDefault="00CD45C0" w:rsidP="00CD45C0">
      <w:pPr>
        <w:pStyle w:val="Body"/>
        <w:rPr>
          <w:rFonts w:ascii="Arial" w:hAnsi="Arial" w:cs="Arial"/>
        </w:rPr>
      </w:pPr>
      <w:r w:rsidRPr="00CD45C0">
        <w:rPr>
          <w:rFonts w:ascii="Arial" w:hAnsi="Arial" w:cs="Arial"/>
        </w:rPr>
        <w:lastRenderedPageBreak/>
        <w:t>Analytical and laboratory</w:t>
      </w:r>
      <w:r w:rsidR="00AB44E0" w:rsidRPr="00AB44E0">
        <w:rPr>
          <w:rFonts w:ascii="Arial" w:hAnsi="Arial" w:cs="Arial"/>
          <w:highlight w:val="yellow"/>
        </w:rPr>
        <w:t>-</w:t>
      </w:r>
      <w:r w:rsidRPr="00CD45C0">
        <w:rPr>
          <w:rFonts w:ascii="Arial" w:hAnsi="Arial" w:cs="Arial"/>
        </w:rPr>
        <w:t>grade (e.g., SIGMA, E. Merck, or BDH) solvents and chemicals were employed throughout. Pure methanol was bought from Merck (Darmstadt, Germany), Whitman No. 1 was obtained from Sargent-Welch (New York, USA), and vincristine sulfate was acquired from Beacon Pharmaceuticals Ltd. (Mymensingh, Bangladesh). All chemicals, including DPPH, phosphate buffer saline, diclofenac sodium, and others, were acquired from a local supplier and were of analytical quality.</w:t>
      </w:r>
    </w:p>
    <w:p w14:paraId="21919D8C" w14:textId="7C0C5F9F" w:rsidR="00CD45C0" w:rsidRPr="00CD45C0" w:rsidRDefault="00CD45C0" w:rsidP="00CD45C0">
      <w:pPr>
        <w:pStyle w:val="Body"/>
        <w:spacing w:after="0"/>
        <w:rPr>
          <w:rFonts w:ascii="Arial" w:hAnsi="Arial" w:cs="Arial"/>
          <w:b/>
          <w:sz w:val="22"/>
          <w:szCs w:val="22"/>
        </w:rPr>
      </w:pPr>
      <w:r w:rsidRPr="00CD45C0">
        <w:rPr>
          <w:rFonts w:ascii="Arial" w:hAnsi="Arial" w:cs="Arial"/>
          <w:b/>
          <w:sz w:val="22"/>
          <w:szCs w:val="22"/>
        </w:rPr>
        <w:t>2.2 Sample collection and plant identification</w:t>
      </w:r>
    </w:p>
    <w:p w14:paraId="6A55D1A2" w14:textId="666EFEB5" w:rsidR="00CD45C0" w:rsidRPr="00CD45C0" w:rsidRDefault="00CD45C0" w:rsidP="00CD45C0">
      <w:pPr>
        <w:pStyle w:val="Body"/>
        <w:rPr>
          <w:rFonts w:ascii="Arial" w:hAnsi="Arial" w:cs="Arial"/>
        </w:rPr>
      </w:pPr>
      <w:r w:rsidRPr="00CD45C0">
        <w:rPr>
          <w:rFonts w:ascii="Arial" w:hAnsi="Arial" w:cs="Arial"/>
        </w:rPr>
        <w:t xml:space="preserve">The leaves of the </w:t>
      </w:r>
      <w:r w:rsidRPr="00CD45C0">
        <w:rPr>
          <w:rFonts w:ascii="Arial" w:hAnsi="Arial" w:cs="Arial"/>
          <w:i/>
          <w:iCs/>
        </w:rPr>
        <w:t>O. robusta</w:t>
      </w:r>
      <w:r w:rsidRPr="00CD45C0">
        <w:rPr>
          <w:rFonts w:ascii="Arial" w:hAnsi="Arial" w:cs="Arial"/>
        </w:rPr>
        <w:t xml:space="preserve"> specime</w:t>
      </w:r>
      <w:r w:rsidR="0050372C">
        <w:rPr>
          <w:rFonts w:ascii="Arial" w:hAnsi="Arial" w:cs="Arial"/>
        </w:rPr>
        <w:t>n were collected in July of 2023</w:t>
      </w:r>
      <w:r w:rsidRPr="00CD45C0">
        <w:rPr>
          <w:rFonts w:ascii="Arial" w:hAnsi="Arial" w:cs="Arial"/>
        </w:rPr>
        <w:t xml:space="preserve"> from a hillside near Chittagong. Dr. </w:t>
      </w:r>
      <w:proofErr w:type="spellStart"/>
      <w:r w:rsidRPr="00CD45C0">
        <w:rPr>
          <w:rFonts w:ascii="Arial" w:hAnsi="Arial" w:cs="Arial"/>
        </w:rPr>
        <w:t>Shaikh</w:t>
      </w:r>
      <w:proofErr w:type="spellEnd"/>
      <w:r w:rsidRPr="00CD45C0">
        <w:rPr>
          <w:rFonts w:ascii="Arial" w:hAnsi="Arial" w:cs="Arial"/>
        </w:rPr>
        <w:t xml:space="preserve"> </w:t>
      </w:r>
      <w:proofErr w:type="spellStart"/>
      <w:r w:rsidRPr="00CD45C0">
        <w:rPr>
          <w:rFonts w:ascii="Arial" w:hAnsi="Arial" w:cs="Arial"/>
        </w:rPr>
        <w:t>Bokhtear</w:t>
      </w:r>
      <w:proofErr w:type="spellEnd"/>
      <w:r w:rsidRPr="00CD45C0">
        <w:rPr>
          <w:rFonts w:ascii="Arial" w:hAnsi="Arial" w:cs="Arial"/>
        </w:rPr>
        <w:t xml:space="preserve"> </w:t>
      </w:r>
      <w:proofErr w:type="spellStart"/>
      <w:r w:rsidRPr="00CD45C0">
        <w:rPr>
          <w:rFonts w:ascii="Arial" w:hAnsi="Arial" w:cs="Arial"/>
        </w:rPr>
        <w:t>Uddin</w:t>
      </w:r>
      <w:proofErr w:type="spellEnd"/>
      <w:r w:rsidRPr="00CD45C0">
        <w:rPr>
          <w:rFonts w:ascii="Arial" w:hAnsi="Arial" w:cs="Arial"/>
        </w:rPr>
        <w:t xml:space="preserve">, </w:t>
      </w:r>
      <w:r w:rsidR="00AB44E0" w:rsidRPr="00AB44E0">
        <w:rPr>
          <w:rFonts w:ascii="Arial" w:hAnsi="Arial" w:cs="Arial"/>
          <w:highlight w:val="yellow"/>
        </w:rPr>
        <w:t>p</w:t>
      </w:r>
      <w:r w:rsidRPr="00CD45C0">
        <w:rPr>
          <w:rFonts w:ascii="Arial" w:hAnsi="Arial" w:cs="Arial"/>
        </w:rPr>
        <w:t>rofessor and taxonomist from the Department of Botany, Faculty of Biological Sciences, University of Chittagong</w:t>
      </w:r>
      <w:r w:rsidR="00AB44E0" w:rsidRPr="00AB44E0">
        <w:rPr>
          <w:rFonts w:ascii="Arial" w:hAnsi="Arial" w:cs="Arial"/>
          <w:highlight w:val="yellow"/>
        </w:rPr>
        <w:t>,</w:t>
      </w:r>
      <w:r w:rsidRPr="00CD45C0">
        <w:rPr>
          <w:rFonts w:ascii="Arial" w:hAnsi="Arial" w:cs="Arial"/>
        </w:rPr>
        <w:t xml:space="preserve"> identified the specimen after it was obtained.</w:t>
      </w:r>
    </w:p>
    <w:p w14:paraId="79582284" w14:textId="06500F91" w:rsidR="00CD45C0" w:rsidRPr="00CD45C0" w:rsidRDefault="00CD45C0" w:rsidP="00CD45C0">
      <w:pPr>
        <w:pStyle w:val="Body"/>
        <w:rPr>
          <w:rFonts w:ascii="Arial" w:hAnsi="Arial" w:cs="Arial"/>
          <w:b/>
          <w:sz w:val="22"/>
          <w:szCs w:val="22"/>
        </w:rPr>
      </w:pPr>
      <w:r w:rsidRPr="00CD45C0">
        <w:rPr>
          <w:rFonts w:ascii="Arial" w:hAnsi="Arial" w:cs="Arial"/>
          <w:b/>
          <w:sz w:val="22"/>
          <w:szCs w:val="22"/>
        </w:rPr>
        <w:t>2.3 Extract preparation</w:t>
      </w:r>
    </w:p>
    <w:p w14:paraId="45312D05" w14:textId="20229035" w:rsidR="00CD45C0" w:rsidRPr="00CD45C0" w:rsidRDefault="00CD45C0" w:rsidP="00CD45C0">
      <w:pPr>
        <w:pStyle w:val="Body"/>
        <w:rPr>
          <w:rFonts w:ascii="Arial" w:hAnsi="Arial" w:cs="Arial"/>
        </w:rPr>
      </w:pPr>
      <w:r w:rsidRPr="00CD45C0">
        <w:rPr>
          <w:rFonts w:ascii="Arial" w:hAnsi="Arial" w:cs="Arial"/>
        </w:rPr>
        <w:t>The representative samples of the suggested plant's leaves were cleaned, whacked, and allowed to dry for several days. Dried specimens were ground using a high-speed grinder. The items that were grounded were then placed in an airtight container for safekeeping. The process began by placing 300 g of ground plant material into a consecrated, 5</w:t>
      </w:r>
      <w:r w:rsidR="00AB44E0">
        <w:rPr>
          <w:rFonts w:ascii="Arial" w:hAnsi="Arial" w:cs="Arial"/>
        </w:rPr>
        <w:t xml:space="preserve"> </w:t>
      </w:r>
      <w:r w:rsidR="00522DBA">
        <w:rPr>
          <w:rFonts w:ascii="Arial" w:hAnsi="Arial" w:cs="Arial"/>
        </w:rPr>
        <w:t>L</w:t>
      </w:r>
      <w:r w:rsidRPr="00CD45C0">
        <w:rPr>
          <w:rFonts w:ascii="Arial" w:hAnsi="Arial" w:cs="Arial"/>
        </w:rPr>
        <w:t xml:space="preserve"> round-bottom flask. Subsequently, 2 </w:t>
      </w:r>
      <w:r w:rsidR="00522DBA">
        <w:rPr>
          <w:rFonts w:ascii="Arial" w:hAnsi="Arial" w:cs="Arial"/>
        </w:rPr>
        <w:t>L</w:t>
      </w:r>
      <w:r w:rsidRPr="00CD45C0">
        <w:rPr>
          <w:rFonts w:ascii="Arial" w:hAnsi="Arial" w:cs="Arial"/>
        </w:rPr>
        <w:t xml:space="preserve"> of pure methanol were added to the flask. The entire setup, including the container and its contents, was covered with aluminum foil and kept concealed for a minimum duration of 2-3 weeks. After this soaking period, the mixture underwent filtration through a fresh cotton plug, followed by a second purification and filtration step using Whitman No.</w:t>
      </w:r>
      <w:r w:rsidR="00AB44E0">
        <w:rPr>
          <w:rFonts w:ascii="Arial" w:hAnsi="Arial" w:cs="Arial"/>
        </w:rPr>
        <w:t xml:space="preserve"> </w:t>
      </w:r>
      <w:r w:rsidRPr="00AB44E0">
        <w:rPr>
          <w:rFonts w:ascii="Arial" w:hAnsi="Arial" w:cs="Arial"/>
          <w:highlight w:val="yellow"/>
        </w:rPr>
        <w:t>1</w:t>
      </w:r>
      <w:r w:rsidRPr="00CD45C0">
        <w:rPr>
          <w:rFonts w:ascii="Arial" w:hAnsi="Arial" w:cs="Arial"/>
        </w:rPr>
        <w:t xml:space="preserve"> filter paper. To eliminate the solvent volume in the filtrate, the Buchi Rota Evaporator (Cole-Parmer, UK) was employed under extremely low temperatures and pressure. The result was a semisolid methanol extract with a greenish-black color, yielding 27 g when the solvent was evaporated. This yield index was expressed as a percentage, calculated through a straightforward mathematical method </w:t>
      </w:r>
      <w:r w:rsidRPr="00CD45C0">
        <w:rPr>
          <w:rFonts w:ascii="Arial" w:hAnsi="Arial" w:cs="Arial"/>
          <w:vertAlign w:val="superscript"/>
        </w:rPr>
        <w:fldChar w:fldCharType="begin" w:fldLock="1"/>
      </w:r>
      <w:r w:rsidR="00E772A2">
        <w:rPr>
          <w:rFonts w:ascii="Arial" w:hAnsi="Arial" w:cs="Arial"/>
        </w:rPr>
        <w:instrText>ADDIN CSL_CITATION {"citationItems":[{"id":"ITEM-1","itemData":{"DOI":"10.1186/s40816-019-0128-9","abstract":"The Bangladeshi rural and hilly areas people have long tradition to use various medicinal plants for treating different diseases. That’s why, the crude methanolic leaf extract of Ardisia solanacea with its different fractions (petroleum ether, carbon tetrachloride, n-hexane and chloroform fractions) were subjected to investigate bioactivities in swiss albino mice; namely analgesic, CNS, and Oral hypoglycemic activities, while in-vitro evaluation of cytotoxicity. Central nervous system activity was investigated by various method such as Elevated plus maze, Hole board, Hole cross and Open field test apparatus. Analgesic activity was evaluated by both acetic acid induced and tail immersion method. Hypoglycemic activity was evaluated by oral glucose tolerance test and cytotoxicity was evaluated by Brine shrimp lethality bioassay. In CNS activity, among others fractions, ASCF fraction produced a significant anxiolytic activity in both elevated plus maze and Hole board test. During open-field test almost all the fractions of A. solanacea leaves extract display decreased locomotor activities that indicates significant sedative activity. The ASME and ASCF showed significant peripheral analgesic activity at a dose of 200 mg/kg and 400 mg/kg body weight (p &lt; 0.05). In tail immersion method, among others extracts chloroform fractions exhibited significant (p &lt; 0.05) elongation of reaction time 30 min after oral dose of 200 and 400 mg/kg body weight respectively. The methanolic and n-hexane extracts reduced blood glucose level significantly after 90 min with value of 53.94% and 48.15% respectively (p &lt; 0.05). In case of cytotoxicity activity, among other fractions carbon tetrachloride fraction showed lowest LC50 values. From the above results, it is clear that different fractions of A. solanacea showed significant pharmacological potentiality in different in-vitro and in-vivo study model. So, it will be very much possible source for an isolating lead compound for curing the numerous disorders.","author":[{"dropping-particle":"","family":"Islam","given":"Mohammad Rashedul","non-dropping-particle":"","parse-names":false,"suffix":""},{"dropping-particle":"","family":"Naima","given":"Jannatul","non-dropping-particle":"","parse-names":false,"suffix":""},{"dropping-particle":"","family":"Proma","given":"Nawreen Monir","non-dropping-particle":"","parse-names":false,"suffix":""},{"dropping-particle":"","family":"Hussain","given":"Md. Saddam","non-dropping-particle":"","parse-names":false,"suffix":""},{"dropping-particle":"","family":"Uddin","given":"S. M. Naim","non-dropping-particle":"","parse-names":false,"suffix":""},{"dropping-particle":"","family":"Hossain","given":"Mohammed Kamrul","non-dropping-particle":"","parse-names":false,"suffix":""}],"container-title":"Clinical Phytoscience","id":"ITEM-1","issue":"1","issued":{"date-parts":[["2019"]]},"publisher":"Clinical Phytoscience","title":"In-vivo and in-vitro evaluation of pharmacological activities of Ardisia solanacea leaf extract","type":"article-journal","volume":"5"},"uris":["http://www.mendeley.com/documents/?uuid=916812e8-b793-4293-9ed9-9ca09affe215"]}],"mendeley":{"formattedCitation":"(Islam et al., 2019)","plainTextFormattedCitation":"(Islam et al., 2019)","previouslyFormattedCitation":"(Islam et al. 2019)"},"properties":{"noteIndex":0},"schema":"https://github.com/citation-style-language/schema/raw/master/csl-citation.json"}</w:instrText>
      </w:r>
      <w:r w:rsidRPr="00CD45C0">
        <w:rPr>
          <w:rFonts w:ascii="Arial" w:hAnsi="Arial" w:cs="Arial"/>
          <w:vertAlign w:val="superscript"/>
        </w:rPr>
        <w:fldChar w:fldCharType="separate"/>
      </w:r>
      <w:r w:rsidR="00E772A2" w:rsidRPr="00E772A2">
        <w:rPr>
          <w:rFonts w:ascii="Arial" w:hAnsi="Arial" w:cs="Arial"/>
          <w:bCs/>
          <w:noProof/>
        </w:rPr>
        <w:t>(Islam et al., 2019)</w:t>
      </w:r>
      <w:r w:rsidRPr="00CD45C0">
        <w:rPr>
          <w:rFonts w:ascii="Arial" w:hAnsi="Arial" w:cs="Arial"/>
        </w:rPr>
        <w:fldChar w:fldCharType="end"/>
      </w:r>
      <w:r w:rsidRPr="00CD45C0">
        <w:rPr>
          <w:rFonts w:ascii="Arial" w:hAnsi="Arial" w:cs="Arial"/>
        </w:rPr>
        <w:t>.</w:t>
      </w:r>
    </w:p>
    <w:p w14:paraId="0A98F774" w14:textId="08055616" w:rsidR="00CD45C0" w:rsidRPr="00CD45C0" w:rsidRDefault="00CD45C0" w:rsidP="00CD45C0">
      <w:pPr>
        <w:pStyle w:val="Body"/>
        <w:rPr>
          <w:rFonts w:ascii="Arial" w:hAnsi="Arial" w:cs="Arial"/>
          <w:b/>
          <w:sz w:val="22"/>
          <w:szCs w:val="22"/>
        </w:rPr>
      </w:pPr>
      <w:r w:rsidRPr="00CD45C0">
        <w:rPr>
          <w:rFonts w:ascii="Arial" w:hAnsi="Arial" w:cs="Arial"/>
          <w:b/>
          <w:sz w:val="22"/>
          <w:szCs w:val="22"/>
        </w:rPr>
        <w:t>2.4 Phytochemical analysis</w:t>
      </w:r>
    </w:p>
    <w:p w14:paraId="2959E06E" w14:textId="07E12788" w:rsidR="00CD45C0" w:rsidRPr="00CD45C0" w:rsidRDefault="00CD45C0" w:rsidP="00CD45C0">
      <w:pPr>
        <w:pStyle w:val="Body"/>
        <w:rPr>
          <w:rFonts w:ascii="Arial" w:hAnsi="Arial" w:cs="Arial"/>
        </w:rPr>
      </w:pPr>
      <w:r w:rsidRPr="00CD45C0">
        <w:rPr>
          <w:rFonts w:ascii="Arial" w:hAnsi="Arial" w:cs="Arial"/>
        </w:rPr>
        <w:t xml:space="preserve">The methanolic extract underwent qualitative phytochemical tests according to the protocols described by </w:t>
      </w:r>
      <w:proofErr w:type="spellStart"/>
      <w:r w:rsidRPr="00CD45C0">
        <w:rPr>
          <w:rFonts w:ascii="Arial" w:hAnsi="Arial" w:cs="Arial"/>
        </w:rPr>
        <w:t>Sofowara</w:t>
      </w:r>
      <w:proofErr w:type="spellEnd"/>
      <w:r w:rsidRPr="00CD45C0">
        <w:rPr>
          <w:rFonts w:ascii="Arial" w:hAnsi="Arial" w:cs="Arial"/>
        </w:rPr>
        <w:t xml:space="preserve">, </w:t>
      </w:r>
      <w:proofErr w:type="spellStart"/>
      <w:r w:rsidRPr="00CD45C0">
        <w:rPr>
          <w:rFonts w:ascii="Arial" w:hAnsi="Arial" w:cs="Arial"/>
        </w:rPr>
        <w:t>Trease</w:t>
      </w:r>
      <w:proofErr w:type="spellEnd"/>
      <w:r w:rsidRPr="00CD45C0">
        <w:rPr>
          <w:rFonts w:ascii="Arial" w:hAnsi="Arial" w:cs="Arial"/>
        </w:rPr>
        <w:t xml:space="preserve"> and Evans, and Harborne, allowing for the identification of alkaloids, saponins, volatile oil, phytosterols, glycosides, proteins </w:t>
      </w:r>
      <w:r w:rsidR="00AB44E0" w:rsidRPr="00AB44E0">
        <w:rPr>
          <w:rFonts w:ascii="Arial" w:hAnsi="Arial" w:cs="Arial"/>
          <w:highlight w:val="yellow"/>
        </w:rPr>
        <w:t>and</w:t>
      </w:r>
      <w:r w:rsidRPr="00CD45C0">
        <w:rPr>
          <w:rFonts w:ascii="Arial" w:hAnsi="Arial" w:cs="Arial"/>
        </w:rPr>
        <w:t xml:space="preserve"> amino acids, fixed oils </w:t>
      </w:r>
      <w:r w:rsidR="00AB44E0">
        <w:rPr>
          <w:rFonts w:ascii="Arial" w:hAnsi="Arial" w:cs="Arial"/>
        </w:rPr>
        <w:t>and</w:t>
      </w:r>
      <w:r w:rsidRPr="00CD45C0">
        <w:rPr>
          <w:rFonts w:ascii="Arial" w:hAnsi="Arial" w:cs="Arial"/>
        </w:rPr>
        <w:t xml:space="preserve"> fats, lipids, flavonoids, terpenes, gum </w:t>
      </w:r>
      <w:r w:rsidR="00AB44E0" w:rsidRPr="00AB44E0">
        <w:rPr>
          <w:rFonts w:ascii="Arial" w:hAnsi="Arial" w:cs="Arial"/>
          <w:highlight w:val="yellow"/>
        </w:rPr>
        <w:t>and</w:t>
      </w:r>
      <w:r w:rsidRPr="00CD45C0">
        <w:rPr>
          <w:rFonts w:ascii="Arial" w:hAnsi="Arial" w:cs="Arial"/>
        </w:rPr>
        <w:t xml:space="preserve"> mucilage, carbohydrates, phenols, and tannins </w:t>
      </w:r>
      <w:r w:rsidRPr="00CD45C0">
        <w:rPr>
          <w:rFonts w:ascii="Arial" w:hAnsi="Arial" w:cs="Arial"/>
          <w:vertAlign w:val="superscript"/>
        </w:rPr>
        <w:fldChar w:fldCharType="begin" w:fldLock="1"/>
      </w:r>
      <w:r w:rsidR="00E772A2">
        <w:rPr>
          <w:rFonts w:ascii="Arial" w:hAnsi="Arial" w:cs="Arial"/>
        </w:rPr>
        <w:instrText>ADDIN CSL_CITATION {"citationItems":[{"id":"ITEM-1","itemData":{"DOI":"10.12691/ajfn-2-1-3","abstract":"The proximate, mineral and amino acid compositions of two different seeds belonging to different families; Brachystegia eurycoma harms and Pipper guineense schum and thonn were investigated. The proximate analysis revealed the values of carbohydrate, fat, crude protein, crude fibre, ash and moisture contents present to be 53.57%, 4.49%, 8.75%, 17.20%, 5% and 10.60%; 46.57%, 17.30%, 9.33%, 4.20%, 9.90% and 12.70% respectively. Minerals present are Ca (0.64), Na (0.09), K (0.25), Fe (0.111), Mg (0.05) and Mn (0.066) for Brachystegia eurycoma harms and Ca (0.42), K (0.81), Na (0.32), Ph (0.25), Zn (0.081), Mg (0.04) and Mn(0.098) in ppm. The anti-nutrient constituents of both seeds revealed the presence of tannins, phytate and cyanide at relatively low concentrations. Phytochemical screening also analysed for the seeds were all positive except glycosides and anthraquinones which are negative in Brachystegia eurycoma harms and Pipper guineense schum and thonn respectively. This shows that both seeds have therapeutic roles in living organisms. The amino acid (AA) analysis revealed that AA was more concentrated in B. eurycoma harms with the total value of 42.28g/100g than 38.78g/100g of P. guineense schum and thonn. The former also exceeded the later in total EAA by difference of 4.67g/100g. The P-PER and pI both seeds were 2.59; 2.54 and 2.61; 2.18, while the limiting AA was Met + Cys (0.40) and Ile (0.28) for B. eurycoma harms and P. Guineense schum and thonn respectively.","author":[{"dropping-particle":"","family":"Bolanle","given":"Ajayi Olubunmi","non-dropping-particle":"","parse-names":false,"suffix":""},{"dropping-particle":"","family":"Funmilola","given":"Akomolafe Seun","non-dropping-particle":"","parse-names":false,"suffix":""},{"dropping-particle":"","family":"Adedayo","given":"Adefioye","non-dropping-particle":"","parse-names":false,"suffix":""}],"container-title":"Am. J. Food Nutr.","id":"ITEM-1","issue":"1","issued":{"date-parts":[["2014"]]},"page":"11-17","title":"Proximate analysis, mineral contents, amino acid composition, anti-nutrients and phytochemical screening of Brachystegia eurycoma harms and Pipper guineense schum and Thonn","type":"article-journal","volume":"2"},"uris":["http://www.mendeley.com/documents/?uuid=ee36c414-1366-46ee-b499-c8acb086a849"]}],"mendeley":{"formattedCitation":"(Bolanle et al., 2014)","plainTextFormattedCitation":"(Bolanle et al., 2014)","previouslyFormattedCitation":"(Bolanle, Funmilola, and Adedayo 2014)"},"properties":{"noteIndex":0},"schema":"https://github.com/citation-style-language/schema/raw/master/csl-citation.json"}</w:instrText>
      </w:r>
      <w:r w:rsidRPr="00CD45C0">
        <w:rPr>
          <w:rFonts w:ascii="Arial" w:hAnsi="Arial" w:cs="Arial"/>
          <w:vertAlign w:val="superscript"/>
        </w:rPr>
        <w:fldChar w:fldCharType="separate"/>
      </w:r>
      <w:r w:rsidR="00E772A2" w:rsidRPr="00E772A2">
        <w:rPr>
          <w:rFonts w:ascii="Arial" w:hAnsi="Arial" w:cs="Arial"/>
          <w:bCs/>
          <w:noProof/>
        </w:rPr>
        <w:t>(Bolanle et al., 2014)</w:t>
      </w:r>
      <w:r w:rsidRPr="00CD45C0">
        <w:rPr>
          <w:rFonts w:ascii="Arial" w:hAnsi="Arial" w:cs="Arial"/>
        </w:rPr>
        <w:fldChar w:fldCharType="end"/>
      </w:r>
      <w:r w:rsidR="00AB44E0">
        <w:rPr>
          <w:rFonts w:ascii="Arial" w:hAnsi="Arial" w:cs="Arial"/>
        </w:rPr>
        <w:t xml:space="preserve"> </w:t>
      </w:r>
      <w:r w:rsidRPr="00CD45C0">
        <w:rPr>
          <w:rFonts w:ascii="Arial" w:hAnsi="Arial" w:cs="Arial"/>
          <w:vertAlign w:val="superscript"/>
        </w:rPr>
        <w:fldChar w:fldCharType="begin" w:fldLock="1"/>
      </w:r>
      <w:r w:rsidR="00E772A2">
        <w:rPr>
          <w:rFonts w:ascii="Arial" w:hAnsi="Arial" w:cs="Arial"/>
        </w:rPr>
        <w:instrText>ADDIN CSL_CITATION {"citationItems":[{"id":"ITEM-1","itemData":{"DOI":"10.4236/ajps.2017.82021","ISSN":"2158-2742","abstract":"The phytochemical and nutritional composition of Trichosanthes cucumerina L. an underutilized vegetable used as substitute for Solanaceous tomatoes by rural dwellers was examined in comparison with majorly cultivated tomato cultivars in Nigeria (Roma VF and Ibadan local). The fruit pulp of T. cucume-rina was higher in carotenoid (2053.33 mg/100g), flavonoid (861.67 mg/100g), cardiac glycoside (11.67 mg/100g), alkaloids (93.33 mg/100g), lycopene (118.5 μg/100g), tannin (555.00 mg/100g), oxalate (2.55 mg/100g) and quercetin (5.25 mg/100g) than Roma VF and Ibadan local. However, Roma VF had the highest concentration of saponin (66.67 mg/100g) but there was no significant difference in steroid among the fruits. The Vitamins A, E and C contents of T. cucumerina (5346 μg/100g, 6.23 μg/100g and 25.33 μg/100g) were significantly higher (P &lt; 0.05) than those in S. lycopersicum. T. cucumerina had the highest values of crude protein and crude lipid (1.97% and 0.40%). The fruit pulp of T. cucumerina also had the highest ash and total carbohydrate contents (1.63% and 16.50%). Roma VF was significantly higher in crude fibre and moisture contents (1.77% and 89.40%) than other vegetables investigated. All the evaluated mineral elements (Na, K, Ca Mg, Zn, Fe, Mn, P and S) in T. cu-cumerina compared favourably with S. lycopersicum cultivars. It was observed that T. cucumerina pulp contained an appreciable number of nutrients and secondary metabolites which qualify it as a good substitute to S. lycopersicum.","author":[{"dropping-particle":"","family":"Ugbaja","given":"Clementina Chekwube","non-dropping-particle":"","parse-names":false,"suffix":""},{"dropping-particle":"","family":"Fawibe","given":"Oluwasegun Olamide","non-dropping-particle":"","parse-names":false,"suffix":""},{"dropping-particle":"","family":"Oyelakin","given":"Abiodun Sunday","non-dropping-particle":"","parse-names":false,"suffix":""},{"dropping-particle":"","family":"Fadimu","given":"Idris Olatoye","non-dropping-particle":"","parse-names":false,"suffix":""},{"dropping-particle":"","family":"Ajiboye","given":"Abiodun Akeem","non-dropping-particle":"","parse-names":false,"suffix":""},{"dropping-particle":"","family":"Agboola","given":"David Adejare","non-dropping-particle":"","parse-names":false,"suffix":""}],"container-title":"American Journal of Plant Sciences","id":"ITEM-1","issue":"02","issued":{"date-parts":[["2017"]]},"page":"297-309","title":"Comparative Phytochemical and Nutritional Composition of &amp;lt;i&amp;gt;Trichosanthes cucumerina&amp;lt;/i&amp;gt; (L.) and Some&amp;lt;i&amp;gt; Solanum lycopersicum &amp;lt;/i&amp;gt;(L.) Cultivars in Nigeria","type":"article-journal","volume":"08"},"uris":["http://www.mendeley.com/documents/?uuid=cef7ee44-07dc-4d98-b3e0-c96f49c5b63d"]}],"mendeley":{"formattedCitation":"(Ugbaja et al., 2017)","plainTextFormattedCitation":"(Ugbaja et al., 2017)","previouslyFormattedCitation":"(Ugbaja et al. 2017)"},"properties":{"noteIndex":0},"schema":"https://github.com/citation-style-language/schema/raw/master/csl-citation.json"}</w:instrText>
      </w:r>
      <w:r w:rsidRPr="00CD45C0">
        <w:rPr>
          <w:rFonts w:ascii="Arial" w:hAnsi="Arial" w:cs="Arial"/>
          <w:vertAlign w:val="superscript"/>
        </w:rPr>
        <w:fldChar w:fldCharType="separate"/>
      </w:r>
      <w:r w:rsidR="00E772A2" w:rsidRPr="00E772A2">
        <w:rPr>
          <w:rFonts w:ascii="Arial" w:hAnsi="Arial" w:cs="Arial"/>
          <w:bCs/>
          <w:noProof/>
        </w:rPr>
        <w:t>(Ugbaja et al., 2017)</w:t>
      </w:r>
      <w:r w:rsidRPr="00CD45C0">
        <w:rPr>
          <w:rFonts w:ascii="Arial" w:hAnsi="Arial" w:cs="Arial"/>
        </w:rPr>
        <w:fldChar w:fldCharType="end"/>
      </w:r>
      <w:r w:rsidRPr="00CD45C0">
        <w:rPr>
          <w:rFonts w:ascii="Arial" w:hAnsi="Arial" w:cs="Arial"/>
        </w:rPr>
        <w:t>.</w:t>
      </w:r>
    </w:p>
    <w:p w14:paraId="780393C8" w14:textId="2A45CC9F" w:rsidR="00CD45C0" w:rsidRPr="00CD45C0" w:rsidRDefault="00CD45C0" w:rsidP="00CD45C0">
      <w:pPr>
        <w:pStyle w:val="Body"/>
        <w:rPr>
          <w:rFonts w:ascii="Arial" w:hAnsi="Arial" w:cs="Arial"/>
          <w:b/>
          <w:sz w:val="22"/>
          <w:szCs w:val="22"/>
        </w:rPr>
      </w:pPr>
      <w:r w:rsidRPr="00CD45C0">
        <w:rPr>
          <w:rFonts w:ascii="Arial" w:hAnsi="Arial" w:cs="Arial"/>
          <w:b/>
          <w:sz w:val="22"/>
          <w:szCs w:val="22"/>
        </w:rPr>
        <w:t>2.5 DPPH (1, 1-diphenyl-2-picryl-hydrazyl) free radical-scavenging activity</w:t>
      </w:r>
    </w:p>
    <w:p w14:paraId="3C4945DC" w14:textId="4DCF1282" w:rsidR="00CD45C0" w:rsidRPr="00CD45C0" w:rsidRDefault="00CD45C0" w:rsidP="00CD45C0">
      <w:pPr>
        <w:pStyle w:val="Body"/>
        <w:rPr>
          <w:rFonts w:ascii="Arial" w:hAnsi="Arial" w:cs="Arial"/>
        </w:rPr>
      </w:pPr>
      <w:r w:rsidRPr="00CD45C0">
        <w:rPr>
          <w:rFonts w:ascii="Arial" w:hAnsi="Arial" w:cs="Arial"/>
        </w:rPr>
        <w:t xml:space="preserve">The Brand-Williams assay was used to measure the ability of a sample to scavenge the free radical 2,2-diphenyl-1-picryl </w:t>
      </w:r>
      <w:proofErr w:type="spellStart"/>
      <w:r w:rsidRPr="00CD45C0">
        <w:rPr>
          <w:rFonts w:ascii="Arial" w:hAnsi="Arial" w:cs="Arial"/>
        </w:rPr>
        <w:t>hydrazyl</w:t>
      </w:r>
      <w:proofErr w:type="spellEnd"/>
      <w:r w:rsidRPr="00CD45C0">
        <w:rPr>
          <w:rFonts w:ascii="Arial" w:hAnsi="Arial" w:cs="Arial"/>
        </w:rPr>
        <w:t xml:space="preserve"> (DPPH) </w:t>
      </w:r>
      <w:r w:rsidRPr="00CD45C0">
        <w:rPr>
          <w:rFonts w:ascii="Arial" w:hAnsi="Arial" w:cs="Arial"/>
          <w:vertAlign w:val="superscript"/>
        </w:rPr>
        <w:fldChar w:fldCharType="begin" w:fldLock="1"/>
      </w:r>
      <w:r w:rsidR="00E772A2">
        <w:rPr>
          <w:rFonts w:ascii="Arial" w:hAnsi="Arial" w:cs="Arial"/>
        </w:rPr>
        <w:instrText>ADDIN CSL_CITATION {"citationItems":[{"id":"ITEM-1","itemData":{"DOI":"10.1016/S0023-6438(95)80008-5","ISSN":"00236438","abstract":"The antiradical activities of various antioxidants were determined using the free radical, 2,2-Diphenyl-1-picrylhydrazyl (DPPH*). In its radical form. DPPH* has an absorption band at 515 nm which dissappears upon reduction by an antiradical compound. Twenty compounds were reacted with the DPPH* and shown to follow one of three possible reaction kinetic types. Ascorbic acid, isoascorbic acid and isoeugenol reacted quickly with the DPPH* reaching a steady state immediately. Rosmarinic acid and δ-tocopherol reacted a little slower and reached a steady state within 30 min. The remaining compounds reacted more progressively with the DPPH* reaching a steady state from 1 to 6 h. Caffeic acid, gentisic acid and gallic acid showed the highest antiradical activities with a stoichiometry of 4 to 6 reduced DPPH* molecules per molecule of antioxidant. Vanillin, phenol, γ-resorcylic acid and vanillic acid were found to be poor antiradical compounds. The stoichiometry for the other 13 phenolic compounds varied from one to three reduced DPPH* molecules per molecule of antioxidant. Possible mechanisms are proposed to explain the experimental results. © 1995 Academic Press Limited.","author":[{"dropping-particle":"","family":"Brand-Williams","given":"W.","non-dropping-particle":"","parse-names":false,"suffix":""},{"dropping-particle":"","family":"Cuvelier","given":"M. E.","non-dropping-particle":"","parse-names":false,"suffix":""},{"dropping-particle":"","family":"Berset","given":"C.","non-dropping-particle":"","parse-names":false,"suffix":""}],"container-title":"LWT - Food Science and Technology","id":"ITEM-1","issue":"1","issued":{"date-parts":[["1995"]]},"page":"25-30","title":"Use of a free radical method to evaluate antioxidant activity","type":"article-journal","volume":"28"},"uris":["http://www.mendeley.com/documents/?uuid=814ae018-b9ab-4c15-b746-026cd65ea174"]}],"mendeley":{"formattedCitation":"(Brand-Williams et al., 1995)","plainTextFormattedCitation":"(Brand-Williams et al., 1995)","previouslyFormattedCitation":"(Brand-Williams, Cuvelier, and Berset 1995)"},"properties":{"noteIndex":0},"schema":"https://github.com/citation-style-language/schema/raw/master/csl-citation.json"}</w:instrText>
      </w:r>
      <w:r w:rsidRPr="00CD45C0">
        <w:rPr>
          <w:rFonts w:ascii="Arial" w:hAnsi="Arial" w:cs="Arial"/>
          <w:vertAlign w:val="superscript"/>
        </w:rPr>
        <w:fldChar w:fldCharType="separate"/>
      </w:r>
      <w:r w:rsidR="00E772A2" w:rsidRPr="00E772A2">
        <w:rPr>
          <w:rFonts w:ascii="Arial" w:hAnsi="Arial" w:cs="Arial"/>
          <w:bCs/>
          <w:noProof/>
        </w:rPr>
        <w:t>(Brand-Williams et al., 1995)</w:t>
      </w:r>
      <w:r w:rsidRPr="00CD45C0">
        <w:rPr>
          <w:rFonts w:ascii="Arial" w:hAnsi="Arial" w:cs="Arial"/>
        </w:rPr>
        <w:fldChar w:fldCharType="end"/>
      </w:r>
      <w:r w:rsidRPr="00CD45C0">
        <w:rPr>
          <w:rFonts w:ascii="Arial" w:hAnsi="Arial" w:cs="Arial"/>
        </w:rPr>
        <w:t xml:space="preserve">. </w:t>
      </w:r>
      <w:r w:rsidR="00504E99">
        <w:rPr>
          <w:rFonts w:ascii="Arial" w:hAnsi="Arial" w:cs="Arial"/>
        </w:rPr>
        <w:t>MELOR</w:t>
      </w:r>
      <w:r w:rsidRPr="00CD45C0">
        <w:rPr>
          <w:rFonts w:ascii="Arial" w:hAnsi="Arial" w:cs="Arial"/>
        </w:rPr>
        <w:t xml:space="preserve"> extract was diluted with methanol at various concentrations (500, 250, 125, 62.5, 31.25, and </w:t>
      </w:r>
      <w:proofErr w:type="gramStart"/>
      <w:r w:rsidRPr="00CD45C0">
        <w:rPr>
          <w:rFonts w:ascii="Arial" w:hAnsi="Arial" w:cs="Arial"/>
        </w:rPr>
        <w:t xml:space="preserve">15.625 </w:t>
      </w:r>
      <w:proofErr w:type="spellStart"/>
      <w:r w:rsidR="00765BB1">
        <w:rPr>
          <w:rFonts w:ascii="Arial" w:hAnsi="Arial" w:cs="Arial"/>
        </w:rPr>
        <w:t>μg</w:t>
      </w:r>
      <w:proofErr w:type="spellEnd"/>
      <w:r w:rsidR="00765BB1">
        <w:rPr>
          <w:rFonts w:ascii="Arial" w:hAnsi="Arial" w:cs="Arial"/>
        </w:rPr>
        <w:t>/mL</w:t>
      </w:r>
      <w:proofErr w:type="gramEnd"/>
      <w:r w:rsidRPr="00CD45C0">
        <w:rPr>
          <w:rFonts w:ascii="Arial" w:hAnsi="Arial" w:cs="Arial"/>
        </w:rPr>
        <w:t>). Then, 3 m</w:t>
      </w:r>
      <w:r w:rsidR="00522DBA">
        <w:rPr>
          <w:rFonts w:ascii="Arial" w:hAnsi="Arial" w:cs="Arial"/>
        </w:rPr>
        <w:t>L</w:t>
      </w:r>
      <w:r w:rsidRPr="00CD45C0">
        <w:rPr>
          <w:rFonts w:ascii="Arial" w:hAnsi="Arial" w:cs="Arial"/>
        </w:rPr>
        <w:t> of DPPH-containing methanol solution (0.004% w/v) was added to each test tube. The percentage inhibitory activity was determined by measuring the absorbance at 517 nm after 30 minutes, comparing it to a blank, and employing the following equation:</w:t>
      </w:r>
    </w:p>
    <w:p w14:paraId="6209D978" w14:textId="7B013AD6" w:rsidR="00CD45C0" w:rsidRPr="00CD45C0" w:rsidRDefault="00CD45C0" w:rsidP="00CD45C0">
      <w:pPr>
        <w:pStyle w:val="Body"/>
        <w:rPr>
          <w:rFonts w:ascii="Arial" w:hAnsi="Arial" w:cs="Arial"/>
        </w:rPr>
      </w:pPr>
      <w:r w:rsidRPr="00CD45C0">
        <w:rPr>
          <w:rFonts w:ascii="Arial" w:hAnsi="Arial" w:cs="Arial"/>
        </w:rPr>
        <w:t xml:space="preserve">   </w:t>
      </w:r>
      <w:r w:rsidRPr="00C871AE">
        <w:rPr>
          <w:rFonts w:ascii="Arial" w:hAnsi="Arial" w:cs="Arial"/>
          <w:highlight w:val="yellow"/>
        </w:rPr>
        <w:t>%</w:t>
      </w:r>
      <w:r w:rsidR="00C871AE">
        <w:rPr>
          <w:rFonts w:ascii="Arial" w:hAnsi="Arial" w:cs="Arial"/>
          <w:highlight w:val="yellow"/>
        </w:rPr>
        <w:t>I</w:t>
      </w:r>
      <w:r w:rsidRPr="00C871AE">
        <w:rPr>
          <w:rFonts w:ascii="Arial" w:hAnsi="Arial" w:cs="Arial"/>
          <w:highlight w:val="yellow"/>
        </w:rPr>
        <w:t>nhibition</w:t>
      </w:r>
      <w:r w:rsidR="00C871AE">
        <w:rPr>
          <w:rFonts w:ascii="Arial" w:hAnsi="Arial" w:cs="Arial"/>
        </w:rPr>
        <w:t xml:space="preserve"> </w:t>
      </w:r>
      <w:r w:rsidRPr="00CD45C0">
        <w:rPr>
          <w:rFonts w:ascii="Arial" w:hAnsi="Arial" w:cs="Arial"/>
        </w:rPr>
        <w:t>=</w:t>
      </w:r>
      <w:r w:rsidR="00C871AE">
        <w:rPr>
          <w:rFonts w:ascii="Arial" w:hAnsi="Arial" w:cs="Arial"/>
        </w:rPr>
        <w:t xml:space="preserve"> </w:t>
      </w:r>
      <w:r w:rsidRPr="00CD45C0">
        <w:rPr>
          <w:rFonts w:ascii="Arial" w:hAnsi="Arial" w:cs="Arial"/>
        </w:rPr>
        <w:t>[(A0-A1)/A0] × 100…………………………. (1)</w:t>
      </w:r>
    </w:p>
    <w:p w14:paraId="2EE8B48D" w14:textId="3A5EC76A" w:rsidR="00CD45C0" w:rsidRPr="00CD45C0" w:rsidRDefault="00CD45C0" w:rsidP="00CD45C0">
      <w:pPr>
        <w:pStyle w:val="Body"/>
        <w:rPr>
          <w:rFonts w:ascii="Arial" w:hAnsi="Arial" w:cs="Arial"/>
        </w:rPr>
      </w:pPr>
      <w:r w:rsidRPr="00C871AE">
        <w:rPr>
          <w:rFonts w:ascii="Arial" w:hAnsi="Arial" w:cs="Arial"/>
          <w:highlight w:val="yellow"/>
        </w:rPr>
        <w:t>Where</w:t>
      </w:r>
      <w:r w:rsidRPr="00CD45C0">
        <w:rPr>
          <w:rFonts w:ascii="Arial" w:hAnsi="Arial" w:cs="Arial"/>
        </w:rPr>
        <w:t xml:space="preserve"> A0 </w:t>
      </w:r>
      <w:r w:rsidR="00697D32" w:rsidRPr="00697D32">
        <w:rPr>
          <w:rFonts w:ascii="Arial" w:hAnsi="Arial" w:cs="Arial"/>
          <w:highlight w:val="yellow"/>
        </w:rPr>
        <w:t>=</w:t>
      </w:r>
      <w:r w:rsidRPr="00CD45C0">
        <w:rPr>
          <w:rFonts w:ascii="Arial" w:hAnsi="Arial" w:cs="Arial"/>
        </w:rPr>
        <w:t xml:space="preserve"> reference absorbance and A1 </w:t>
      </w:r>
      <w:r w:rsidR="00697D32" w:rsidRPr="00697D32">
        <w:rPr>
          <w:rFonts w:ascii="Arial" w:hAnsi="Arial" w:cs="Arial"/>
          <w:highlight w:val="yellow"/>
        </w:rPr>
        <w:t>=</w:t>
      </w:r>
      <w:r w:rsidR="00697D32" w:rsidRPr="00CD45C0">
        <w:rPr>
          <w:rFonts w:ascii="Arial" w:hAnsi="Arial" w:cs="Arial"/>
        </w:rPr>
        <w:t xml:space="preserve"> </w:t>
      </w:r>
      <w:r w:rsidRPr="00CD45C0">
        <w:rPr>
          <w:rFonts w:ascii="Arial" w:hAnsi="Arial" w:cs="Arial"/>
        </w:rPr>
        <w:t>sample absorbance.</w:t>
      </w:r>
    </w:p>
    <w:p w14:paraId="3063448A" w14:textId="77777777" w:rsidR="00CD45C0" w:rsidRPr="00CD45C0" w:rsidRDefault="00CD45C0" w:rsidP="00CD45C0">
      <w:pPr>
        <w:pStyle w:val="Body"/>
        <w:rPr>
          <w:rFonts w:ascii="Arial" w:hAnsi="Arial" w:cs="Arial"/>
        </w:rPr>
      </w:pPr>
      <w:r w:rsidRPr="00CD45C0">
        <w:rPr>
          <w:rFonts w:ascii="Arial" w:hAnsi="Arial" w:cs="Arial"/>
        </w:rPr>
        <w:t xml:space="preserve">Ascorbic acid was dissolved using methanol to create the stock solution with the identical </w:t>
      </w:r>
      <w:proofErr w:type="gramStart"/>
      <w:r w:rsidRPr="00CD45C0">
        <w:rPr>
          <w:rFonts w:ascii="Arial" w:hAnsi="Arial" w:cs="Arial"/>
        </w:rPr>
        <w:t>concentration</w:t>
      </w:r>
      <w:proofErr w:type="gramEnd"/>
      <w:r w:rsidRPr="00CD45C0">
        <w:rPr>
          <w:rFonts w:ascii="Arial" w:hAnsi="Arial" w:cs="Arial"/>
        </w:rPr>
        <w:t xml:space="preserve">. This was done so that it could be used as a reference standard. The test sample and the control sample both have the same volume, but the control sample does not </w:t>
      </w:r>
      <w:r w:rsidRPr="00CD45C0">
        <w:rPr>
          <w:rFonts w:ascii="Arial" w:hAnsi="Arial" w:cs="Arial"/>
        </w:rPr>
        <w:lastRenderedPageBreak/>
        <w:t>include any extract or reference medication. Methanol was used as a control substance. After preparing the inhibition curves and using linear regression analysis, the values for the half maximum inhibitory concentration (IC</w:t>
      </w:r>
      <w:r w:rsidRPr="00CD45C0">
        <w:rPr>
          <w:rFonts w:ascii="Arial" w:hAnsi="Arial" w:cs="Arial"/>
          <w:vertAlign w:val="subscript"/>
        </w:rPr>
        <w:t>50</w:t>
      </w:r>
      <w:r w:rsidRPr="00CD45C0">
        <w:rPr>
          <w:rFonts w:ascii="Arial" w:hAnsi="Arial" w:cs="Arial"/>
        </w:rPr>
        <w:t>) were determined.</w:t>
      </w:r>
    </w:p>
    <w:p w14:paraId="6B492843" w14:textId="37C9FA82" w:rsidR="00CD45C0" w:rsidRPr="00CD45C0" w:rsidRDefault="00CD45C0" w:rsidP="00CD45C0">
      <w:pPr>
        <w:pStyle w:val="Body"/>
        <w:rPr>
          <w:rFonts w:ascii="Arial" w:hAnsi="Arial" w:cs="Arial"/>
          <w:b/>
          <w:sz w:val="22"/>
          <w:szCs w:val="22"/>
        </w:rPr>
      </w:pPr>
      <w:r w:rsidRPr="00CD45C0">
        <w:rPr>
          <w:rFonts w:ascii="Arial" w:hAnsi="Arial" w:cs="Arial"/>
          <w:b/>
          <w:sz w:val="22"/>
          <w:szCs w:val="22"/>
        </w:rPr>
        <w:t>2.6 Brine Shrimp lethality bioassay</w:t>
      </w:r>
    </w:p>
    <w:p w14:paraId="709A9324" w14:textId="0A321C94" w:rsidR="00CD45C0" w:rsidRPr="00CD45C0" w:rsidRDefault="00CD45C0" w:rsidP="00CD45C0">
      <w:pPr>
        <w:pStyle w:val="Body"/>
        <w:rPr>
          <w:rFonts w:ascii="Arial" w:hAnsi="Arial" w:cs="Arial"/>
        </w:rPr>
      </w:pPr>
      <w:r w:rsidRPr="00CD45C0">
        <w:rPr>
          <w:rFonts w:ascii="Arial" w:hAnsi="Arial" w:cs="Arial"/>
        </w:rPr>
        <w:t xml:space="preserve">The brine shrimp lethality assay was used to determine the extract's cytotoxicity </w:t>
      </w:r>
      <w:r w:rsidRPr="00CD45C0">
        <w:rPr>
          <w:rFonts w:ascii="Arial" w:hAnsi="Arial" w:cs="Arial"/>
          <w:vertAlign w:val="superscript"/>
        </w:rPr>
        <w:fldChar w:fldCharType="begin" w:fldLock="1"/>
      </w:r>
      <w:r w:rsidR="00E772A2">
        <w:rPr>
          <w:rFonts w:ascii="Arial" w:hAnsi="Arial" w:cs="Arial"/>
        </w:rPr>
        <w:instrText>ADDIN CSL_CITATION {"citationItems":[{"id":"ITEM-1","itemData":{"DOI":"10.1055/s-2007-971236","ISSN":"00320943","PMID":"7100305","author":[{"dropping-particle":"","family":"Meyer","given":"B. N.","non-dropping-particle":"","parse-names":false,"suffix":""},{"dropping-particle":"","family":"Ferrigni","given":"N. R.","non-dropping-particle":"","parse-names":false,"suffix":""},{"dropping-particle":"","family":"Putnam","given":"J. E.","non-dropping-particle":"","parse-names":false,"suffix":""},{"dropping-particle":"","family":"Jacobsen","given":"L. B.","non-dropping-particle":"","parse-names":false,"suffix":""},{"dropping-particle":"","family":"Nichols","given":"D. E.","non-dropping-particle":"","parse-names":false,"suffix":""},{"dropping-particle":"","family":"McLaughlin","given":"J. L.","non-dropping-particle":"","parse-names":false,"suffix":""}],"container-title":"Planta Medica","id":"ITEM-1","issue":"1","issued":{"date-parts":[["1982"]]},"page":"31-34","title":"Brine shrimp: A convenient general bioassay for active plant constituents","type":"article-journal","volume":"45"},"uris":["http://www.mendeley.com/documents/?uuid=7547934f-3e71-4fb9-a3be-98557210f7bc"]}],"mendeley":{"formattedCitation":"(Meyer et al., 1982)","plainTextFormattedCitation":"(Meyer et al., 1982)","previouslyFormattedCitation":"(Meyer et al. 1982)"},"properties":{"noteIndex":0},"schema":"https://github.com/citation-style-language/schema/raw/master/csl-citation.json"}</w:instrText>
      </w:r>
      <w:r w:rsidRPr="00CD45C0">
        <w:rPr>
          <w:rFonts w:ascii="Arial" w:hAnsi="Arial" w:cs="Arial"/>
          <w:vertAlign w:val="superscript"/>
        </w:rPr>
        <w:fldChar w:fldCharType="separate"/>
      </w:r>
      <w:r w:rsidR="00E772A2" w:rsidRPr="00E772A2">
        <w:rPr>
          <w:rFonts w:ascii="Arial" w:hAnsi="Arial" w:cs="Arial"/>
          <w:bCs/>
          <w:noProof/>
        </w:rPr>
        <w:t>(Meyer et al., 1982)</w:t>
      </w:r>
      <w:r w:rsidRPr="00CD45C0">
        <w:rPr>
          <w:rFonts w:ascii="Arial" w:hAnsi="Arial" w:cs="Arial"/>
        </w:rPr>
        <w:fldChar w:fldCharType="end"/>
      </w:r>
      <w:r w:rsidRPr="00CD45C0">
        <w:rPr>
          <w:rFonts w:ascii="Arial" w:hAnsi="Arial" w:cs="Arial"/>
        </w:rPr>
        <w:t xml:space="preserve">. Filtering a solution of 38 g of NaCl (3.8% concentration) dissolved in 1000 ml of distilled water yielded transparent artificial </w:t>
      </w:r>
      <w:r w:rsidRPr="00C871AE">
        <w:rPr>
          <w:rFonts w:ascii="Arial" w:hAnsi="Arial" w:cs="Arial"/>
          <w:highlight w:val="yellow"/>
        </w:rPr>
        <w:t>seawater</w:t>
      </w:r>
      <w:r w:rsidRPr="00CD45C0">
        <w:rPr>
          <w:rFonts w:ascii="Arial" w:hAnsi="Arial" w:cs="Arial"/>
        </w:rPr>
        <w:t xml:space="preserve">. Dry brine shrimp cysts were submerged in oxygenated artificial </w:t>
      </w:r>
      <w:r w:rsidRPr="00C871AE">
        <w:rPr>
          <w:rFonts w:ascii="Arial" w:hAnsi="Arial" w:cs="Arial"/>
          <w:highlight w:val="yellow"/>
        </w:rPr>
        <w:t>seawater</w:t>
      </w:r>
      <w:r w:rsidRPr="00CD45C0">
        <w:rPr>
          <w:rFonts w:ascii="Arial" w:hAnsi="Arial" w:cs="Arial"/>
        </w:rPr>
        <w:t xml:space="preserve"> for 48 hours to facilitate hatching. Concentrations of </w:t>
      </w:r>
      <w:r w:rsidRPr="00B41860">
        <w:rPr>
          <w:rFonts w:ascii="Arial" w:hAnsi="Arial" w:cs="Arial"/>
          <w:highlight w:val="yellow"/>
        </w:rPr>
        <w:t>31.25,</w:t>
      </w:r>
      <w:r w:rsidR="00C871AE" w:rsidRPr="00B41860">
        <w:rPr>
          <w:rFonts w:ascii="Arial" w:hAnsi="Arial" w:cs="Arial"/>
          <w:highlight w:val="yellow"/>
        </w:rPr>
        <w:t xml:space="preserve"> </w:t>
      </w:r>
      <w:r w:rsidRPr="00B41860">
        <w:rPr>
          <w:rFonts w:ascii="Arial" w:hAnsi="Arial" w:cs="Arial"/>
          <w:highlight w:val="yellow"/>
        </w:rPr>
        <w:t>62.5</w:t>
      </w:r>
      <w:r w:rsidR="00B41860" w:rsidRPr="00B41860">
        <w:rPr>
          <w:rFonts w:ascii="Arial" w:hAnsi="Arial" w:cs="Arial"/>
          <w:highlight w:val="yellow"/>
        </w:rPr>
        <w:t>0</w:t>
      </w:r>
      <w:r w:rsidRPr="00B41860">
        <w:rPr>
          <w:rFonts w:ascii="Arial" w:hAnsi="Arial" w:cs="Arial"/>
          <w:highlight w:val="yellow"/>
        </w:rPr>
        <w:t>,</w:t>
      </w:r>
      <w:r w:rsidR="00C871AE" w:rsidRPr="00B41860">
        <w:rPr>
          <w:rFonts w:ascii="Arial" w:hAnsi="Arial" w:cs="Arial"/>
          <w:highlight w:val="yellow"/>
        </w:rPr>
        <w:t xml:space="preserve"> </w:t>
      </w:r>
      <w:r w:rsidRPr="00B41860">
        <w:rPr>
          <w:rFonts w:ascii="Arial" w:hAnsi="Arial" w:cs="Arial"/>
          <w:highlight w:val="yellow"/>
        </w:rPr>
        <w:t>125,</w:t>
      </w:r>
      <w:r w:rsidRPr="00CD45C0">
        <w:rPr>
          <w:rFonts w:ascii="Arial" w:hAnsi="Arial" w:cs="Arial"/>
        </w:rPr>
        <w:t xml:space="preserve"> 250, 500, and 1000 </w:t>
      </w:r>
      <w:proofErr w:type="spellStart"/>
      <w:r w:rsidR="00765BB1">
        <w:rPr>
          <w:rFonts w:ascii="Arial" w:hAnsi="Arial" w:cs="Arial"/>
        </w:rPr>
        <w:t>μg</w:t>
      </w:r>
      <w:proofErr w:type="spellEnd"/>
      <w:r w:rsidR="00765BB1">
        <w:rPr>
          <w:rFonts w:ascii="Arial" w:hAnsi="Arial" w:cs="Arial"/>
        </w:rPr>
        <w:t>/mL</w:t>
      </w:r>
      <w:r w:rsidRPr="00CD45C0">
        <w:rPr>
          <w:rFonts w:ascii="Arial" w:hAnsi="Arial" w:cs="Arial"/>
        </w:rPr>
        <w:t xml:space="preserve"> were achieved in 5 m</w:t>
      </w:r>
      <w:r w:rsidR="00522DBA">
        <w:rPr>
          <w:rFonts w:ascii="Arial" w:hAnsi="Arial" w:cs="Arial"/>
        </w:rPr>
        <w:t>L</w:t>
      </w:r>
      <w:r w:rsidRPr="00CD45C0">
        <w:rPr>
          <w:rFonts w:ascii="Arial" w:hAnsi="Arial" w:cs="Arial"/>
        </w:rPr>
        <w:t xml:space="preserve"> artificial sea water with 10 nauplii in each test tube after dissolving methanol extract in </w:t>
      </w:r>
      <w:r w:rsidRPr="00C871AE">
        <w:rPr>
          <w:rFonts w:ascii="Arial" w:hAnsi="Arial" w:cs="Arial"/>
          <w:highlight w:val="yellow"/>
        </w:rPr>
        <w:t>seawater</w:t>
      </w:r>
      <w:r w:rsidRPr="00CD45C0">
        <w:rPr>
          <w:rFonts w:ascii="Arial" w:hAnsi="Arial" w:cs="Arial"/>
        </w:rPr>
        <w:t xml:space="preserve"> with DMSO (&lt;0.01%). Vincristine sulphate (VCS), a reference medication, was utilized at 10, 5, 2.5, 1.25, 0.625, and 0.312 </w:t>
      </w:r>
      <w:proofErr w:type="spellStart"/>
      <w:r w:rsidR="00765BB1">
        <w:rPr>
          <w:rFonts w:ascii="Arial" w:hAnsi="Arial" w:cs="Arial"/>
        </w:rPr>
        <w:t>μg</w:t>
      </w:r>
      <w:proofErr w:type="spellEnd"/>
      <w:r w:rsidR="00765BB1">
        <w:rPr>
          <w:rFonts w:ascii="Arial" w:hAnsi="Arial" w:cs="Arial"/>
        </w:rPr>
        <w:t>/mL</w:t>
      </w:r>
      <w:r w:rsidRPr="00CD45C0">
        <w:rPr>
          <w:rFonts w:ascii="Arial" w:hAnsi="Arial" w:cs="Arial"/>
        </w:rPr>
        <w:t xml:space="preserve"> concentrations as a positive control. In each pre-designated petri dish marked beforehand, 100 </w:t>
      </w:r>
      <w:proofErr w:type="spellStart"/>
      <w:r w:rsidRPr="00CD45C0">
        <w:rPr>
          <w:rFonts w:ascii="Arial" w:hAnsi="Arial" w:cs="Arial"/>
        </w:rPr>
        <w:t>μ</w:t>
      </w:r>
      <w:r w:rsidR="0011086F">
        <w:rPr>
          <w:rFonts w:ascii="Arial" w:hAnsi="Arial" w:cs="Arial"/>
        </w:rPr>
        <w:t>L</w:t>
      </w:r>
      <w:proofErr w:type="spellEnd"/>
      <w:r w:rsidRPr="00CD45C0">
        <w:rPr>
          <w:rFonts w:ascii="Arial" w:hAnsi="Arial" w:cs="Arial"/>
        </w:rPr>
        <w:t xml:space="preserve"> of DMSO was introduced, along with 5 m</w:t>
      </w:r>
      <w:r w:rsidR="00522DBA">
        <w:rPr>
          <w:rFonts w:ascii="Arial" w:hAnsi="Arial" w:cs="Arial"/>
        </w:rPr>
        <w:t>L</w:t>
      </w:r>
      <w:r w:rsidRPr="00CD45C0">
        <w:rPr>
          <w:rFonts w:ascii="Arial" w:hAnsi="Arial" w:cs="Arial"/>
        </w:rPr>
        <w:t xml:space="preserve"> of simulated </w:t>
      </w:r>
      <w:r w:rsidRPr="00C871AE">
        <w:rPr>
          <w:rFonts w:ascii="Arial" w:hAnsi="Arial" w:cs="Arial"/>
          <w:highlight w:val="yellow"/>
        </w:rPr>
        <w:t>seawater</w:t>
      </w:r>
      <w:r w:rsidRPr="00CD45C0">
        <w:rPr>
          <w:rFonts w:ascii="Arial" w:hAnsi="Arial" w:cs="Arial"/>
        </w:rPr>
        <w:t xml:space="preserve"> and 10 shrimp nauplii, serving as control groups. A magnifying lens was used to count the number of live nauplii after a 24-hour incubation period at 25–30</w:t>
      </w:r>
      <w:r w:rsidR="0011086F">
        <w:rPr>
          <w:rFonts w:ascii="Arial" w:hAnsi="Arial" w:cs="Arial"/>
        </w:rPr>
        <w:t xml:space="preserve"> </w:t>
      </w:r>
      <w:r w:rsidRPr="00CD45C0">
        <w:rPr>
          <w:rFonts w:ascii="Arial" w:hAnsi="Arial" w:cs="Arial"/>
        </w:rPr>
        <w:t>°C. The following formula was used to get the mortality percentage (%):</w:t>
      </w:r>
    </w:p>
    <w:p w14:paraId="750BAF35" w14:textId="3852861F" w:rsidR="00CD45C0" w:rsidRPr="00CD45C0" w:rsidRDefault="00CD45C0" w:rsidP="00CD45C0">
      <w:pPr>
        <w:pStyle w:val="Body"/>
        <w:rPr>
          <w:rFonts w:ascii="Arial" w:hAnsi="Arial" w:cs="Arial"/>
        </w:rPr>
      </w:pPr>
      <w:r w:rsidRPr="00CD45C0">
        <w:rPr>
          <w:rFonts w:ascii="Arial" w:hAnsi="Arial" w:cs="Arial"/>
        </w:rPr>
        <w:t>%Mortality</w:t>
      </w:r>
      <w:r w:rsidR="00C871AE">
        <w:rPr>
          <w:rFonts w:ascii="Arial" w:hAnsi="Arial" w:cs="Arial"/>
        </w:rPr>
        <w:t xml:space="preserve"> </w:t>
      </w:r>
      <w:r w:rsidRPr="00CD45C0">
        <w:rPr>
          <w:rFonts w:ascii="Arial" w:hAnsi="Arial" w:cs="Arial"/>
        </w:rPr>
        <w:t>= (</w:t>
      </w:r>
      <w:proofErr w:type="spellStart"/>
      <w:r w:rsidRPr="00CD45C0">
        <w:rPr>
          <w:rFonts w:ascii="Arial" w:hAnsi="Arial" w:cs="Arial"/>
        </w:rPr>
        <w:t>Nt</w:t>
      </w:r>
      <w:proofErr w:type="spellEnd"/>
      <w:r w:rsidRPr="00CD45C0">
        <w:rPr>
          <w:rFonts w:ascii="Arial" w:hAnsi="Arial" w:cs="Arial"/>
        </w:rPr>
        <w:t>/N</w:t>
      </w:r>
      <w:r w:rsidRPr="00C871AE">
        <w:rPr>
          <w:rFonts w:ascii="Arial" w:hAnsi="Arial" w:cs="Arial"/>
          <w:highlight w:val="yellow"/>
        </w:rPr>
        <w:t>0</w:t>
      </w:r>
      <w:r w:rsidRPr="00CD45C0">
        <w:rPr>
          <w:rFonts w:ascii="Arial" w:hAnsi="Arial" w:cs="Arial"/>
        </w:rPr>
        <w:t>) ×100……………………. (2)</w:t>
      </w:r>
    </w:p>
    <w:p w14:paraId="5C4D6A14" w14:textId="1E2DEEBD" w:rsidR="00CD45C0" w:rsidRPr="00CD45C0" w:rsidRDefault="00CD45C0" w:rsidP="00CD45C0">
      <w:pPr>
        <w:pStyle w:val="Body"/>
        <w:rPr>
          <w:rFonts w:ascii="Arial" w:hAnsi="Arial" w:cs="Arial"/>
        </w:rPr>
      </w:pPr>
      <w:r w:rsidRPr="00C871AE">
        <w:rPr>
          <w:rFonts w:ascii="Arial" w:hAnsi="Arial" w:cs="Arial"/>
          <w:highlight w:val="yellow"/>
        </w:rPr>
        <w:t>Where</w:t>
      </w:r>
      <w:r w:rsidRPr="00CD45C0">
        <w:rPr>
          <w:rFonts w:ascii="Arial" w:hAnsi="Arial" w:cs="Arial"/>
        </w:rPr>
        <w:t xml:space="preserve"> </w:t>
      </w:r>
      <w:proofErr w:type="spellStart"/>
      <w:proofErr w:type="gramStart"/>
      <w:r w:rsidRPr="00CD45C0">
        <w:rPr>
          <w:rFonts w:ascii="Arial" w:hAnsi="Arial" w:cs="Arial"/>
        </w:rPr>
        <w:t>Nt</w:t>
      </w:r>
      <w:proofErr w:type="spellEnd"/>
      <w:proofErr w:type="gramEnd"/>
      <w:r w:rsidRPr="00CD45C0">
        <w:rPr>
          <w:rFonts w:ascii="Arial" w:hAnsi="Arial" w:cs="Arial"/>
        </w:rPr>
        <w:t xml:space="preserve"> = Number of nauplii that failed to survive incubation for 24 hours, and N</w:t>
      </w:r>
      <w:r w:rsidR="00C871AE" w:rsidRPr="00C871AE">
        <w:rPr>
          <w:rFonts w:ascii="Arial" w:hAnsi="Arial" w:cs="Arial"/>
          <w:highlight w:val="yellow"/>
        </w:rPr>
        <w:t>0</w:t>
      </w:r>
      <w:r w:rsidRPr="00CD45C0">
        <w:rPr>
          <w:rFonts w:ascii="Arial" w:hAnsi="Arial" w:cs="Arial"/>
        </w:rPr>
        <w:t xml:space="preserve"> = Total number of nauplii transferred </w:t>
      </w:r>
      <w:r w:rsidRPr="00C871AE">
        <w:rPr>
          <w:rFonts w:ascii="Arial" w:hAnsi="Arial" w:cs="Arial"/>
          <w:highlight w:val="yellow"/>
        </w:rPr>
        <w:t>(n</w:t>
      </w:r>
      <w:r w:rsidR="00C871AE" w:rsidRPr="00C871AE">
        <w:rPr>
          <w:rFonts w:ascii="Arial" w:hAnsi="Arial" w:cs="Arial"/>
          <w:highlight w:val="yellow"/>
        </w:rPr>
        <w:t xml:space="preserve"> </w:t>
      </w:r>
      <w:r w:rsidRPr="00C871AE">
        <w:rPr>
          <w:rFonts w:ascii="Arial" w:hAnsi="Arial" w:cs="Arial"/>
          <w:highlight w:val="yellow"/>
        </w:rPr>
        <w:t>=</w:t>
      </w:r>
      <w:r w:rsidR="00C871AE" w:rsidRPr="00C871AE">
        <w:rPr>
          <w:rFonts w:ascii="Arial" w:hAnsi="Arial" w:cs="Arial"/>
          <w:highlight w:val="yellow"/>
        </w:rPr>
        <w:t xml:space="preserve"> </w:t>
      </w:r>
      <w:r w:rsidRPr="00C871AE">
        <w:rPr>
          <w:rFonts w:ascii="Arial" w:hAnsi="Arial" w:cs="Arial"/>
          <w:highlight w:val="yellow"/>
        </w:rPr>
        <w:t>10)</w:t>
      </w:r>
      <w:r w:rsidRPr="00CD45C0">
        <w:rPr>
          <w:rFonts w:ascii="Arial" w:hAnsi="Arial" w:cs="Arial"/>
        </w:rPr>
        <w:t>. After that, we calculated the LC</w:t>
      </w:r>
      <w:r w:rsidRPr="00CD45C0">
        <w:rPr>
          <w:rFonts w:ascii="Arial" w:hAnsi="Arial" w:cs="Arial"/>
          <w:vertAlign w:val="subscript"/>
        </w:rPr>
        <w:t>50</w:t>
      </w:r>
      <w:r w:rsidRPr="00CD45C0">
        <w:rPr>
          <w:rFonts w:ascii="Arial" w:hAnsi="Arial" w:cs="Arial"/>
        </w:rPr>
        <w:t xml:space="preserve"> or the median lethal concentration.</w:t>
      </w:r>
    </w:p>
    <w:p w14:paraId="20EB7BC7" w14:textId="05E371B9" w:rsidR="00CD45C0" w:rsidRPr="00CD45C0" w:rsidRDefault="00CD45C0" w:rsidP="00CD45C0">
      <w:pPr>
        <w:pStyle w:val="Body"/>
        <w:rPr>
          <w:rFonts w:ascii="Arial" w:hAnsi="Arial" w:cs="Arial"/>
          <w:b/>
          <w:sz w:val="22"/>
          <w:szCs w:val="22"/>
        </w:rPr>
      </w:pPr>
      <w:r w:rsidRPr="00CD45C0">
        <w:rPr>
          <w:rFonts w:ascii="Arial" w:hAnsi="Arial" w:cs="Arial"/>
          <w:b/>
          <w:sz w:val="22"/>
          <w:szCs w:val="22"/>
        </w:rPr>
        <w:t>2.7 Inhibition of protein denaturation</w:t>
      </w:r>
    </w:p>
    <w:p w14:paraId="04F83419" w14:textId="2093B5BA" w:rsidR="00CD45C0" w:rsidRPr="00CD45C0" w:rsidRDefault="00CD45C0" w:rsidP="00CD45C0">
      <w:pPr>
        <w:pStyle w:val="Body"/>
        <w:spacing w:after="0"/>
        <w:rPr>
          <w:rFonts w:ascii="Arial" w:hAnsi="Arial" w:cs="Arial"/>
        </w:rPr>
      </w:pPr>
      <w:r w:rsidRPr="00CD45C0">
        <w:rPr>
          <w:rFonts w:ascii="Arial" w:hAnsi="Arial" w:cs="Arial"/>
        </w:rPr>
        <w:t xml:space="preserve">The anti-inflammatory effectiveness of </w:t>
      </w:r>
      <w:r w:rsidR="00504E99" w:rsidRPr="00055E7B">
        <w:rPr>
          <w:rFonts w:ascii="Arial" w:hAnsi="Arial" w:cs="Arial"/>
          <w:highlight w:val="yellow"/>
        </w:rPr>
        <w:t>MELOR</w:t>
      </w:r>
      <w:r w:rsidRPr="00CD45C0">
        <w:rPr>
          <w:rFonts w:ascii="Arial" w:hAnsi="Arial" w:cs="Arial"/>
        </w:rPr>
        <w:t xml:space="preserve"> was assessed using a methodology akin to a previously described one, with minor </w:t>
      </w:r>
      <w:r w:rsidRPr="00C871AE">
        <w:rPr>
          <w:rFonts w:ascii="Arial" w:hAnsi="Arial" w:cs="Arial"/>
          <w:highlight w:val="yellow"/>
        </w:rPr>
        <w:t>adjustments</w:t>
      </w:r>
      <w:r w:rsidR="00C871AE">
        <w:rPr>
          <w:rFonts w:ascii="Arial" w:hAnsi="Arial" w:cs="Arial"/>
        </w:rPr>
        <w:t xml:space="preserve"> </w:t>
      </w:r>
      <w:r w:rsidRPr="00CD45C0">
        <w:rPr>
          <w:rFonts w:ascii="Arial" w:hAnsi="Arial" w:cs="Arial"/>
          <w:vertAlign w:val="superscript"/>
        </w:rPr>
        <w:fldChar w:fldCharType="begin" w:fldLock="1"/>
      </w:r>
      <w:r w:rsidR="00E772A2">
        <w:rPr>
          <w:rFonts w:ascii="Arial" w:hAnsi="Arial" w:cs="Arial"/>
        </w:rPr>
        <w:instrText>ADDIN CSL_CITATION {"citationItems":[{"id":"ITEM-1","itemData":{"DOI":"10.1016/j.heliyon.2020.e04061","ISSN":"24058440","abstract":"Cycas pectinata; Antioxidant; Anxiolytic; Analgesic; Anti-inflammatory; Plant biology; Bioinformatics; Pharmaceutical science; Alternative medicine; Evidence-based medicine","author":[{"dropping-particle":"","family":"Tareq","given":"Abu Montakim","non-dropping-particle":"","parse-names":false,"suffix":""},{"dropping-particle":"","family":"Farhad","given":"Saifuddin","non-dropping-particle":"","parse-names":false,"suffix":""},{"dropping-particle":"","family":"Neshar Uddin","given":"A. B.M.","non-dropping-particle":"","parse-names":false,"suffix":""},{"dropping-particle":"","family":"Hoque","given":"Muminul","non-dropping-particle":"","parse-names":false,"suffix":""},{"dropping-particle":"","family":"Nasrin","given":"Mst Samima","non-dropping-particle":"","parse-names":false,"suffix":""},{"dropping-particle":"","family":"Uddin","given":"Mir Md Rokib","non-dropping-particle":"","parse-names":false,"suffix":""},{"dropping-particle":"","family":"Hasan","given":"Mohiminul","non-dropping-particle":"","parse-names":false,"suffix":""},{"dropping-particle":"","family":"Sultana","given":"Arafat","non-dropping-particle":"","parse-names":false,"suffix":""},{"dropping-particle":"","family":"Munira","given":"Mst Shirajum","non-dropping-particle":"","parse-names":false,"suffix":""},{"dropping-particle":"","family":"Lyzu","given":"Chadni","non-dropping-particle":"","parse-names":false,"suffix":""},{"dropping-particle":"","family":"Moazzem Hossen","given":"S. M.","non-dropping-particle":"","parse-names":false,"suffix":""},{"dropping-particle":"","family":"Ali Reza","given":"A. S.M.","non-dropping-particle":"","parse-names":false,"suffix":""},{"dropping-particle":"Bin","family":"Emran","given":"Talha","non-dropping-particle":"","parse-names":false,"suffix":""}],"container-title":"Heliyon","id":"ITEM-1","issue":"6","issued":{"date-parts":[["2020"]]},"page":"e04061","publisher":"Elsevier Ltd","title":"Chemical profiles, pharmacological properties, and in silico studies provide new insights on Cycas pectinata","type":"article-journal","volume":"6"},"uris":["http://www.mendeley.com/documents/?uuid=1bff6863-2ce1-4faf-a66b-572201552482"]}],"mendeley":{"formattedCitation":"(Tareq et al., 2020)","plainTextFormattedCitation":"(Tareq et al., 2020)","previouslyFormattedCitation":"(Tareq et al. 2020)"},"properties":{"noteIndex":0},"schema":"https://github.com/citation-style-language/schema/raw/master/csl-citation.json"}</w:instrText>
      </w:r>
      <w:r w:rsidRPr="00CD45C0">
        <w:rPr>
          <w:rFonts w:ascii="Arial" w:hAnsi="Arial" w:cs="Arial"/>
          <w:vertAlign w:val="superscript"/>
        </w:rPr>
        <w:fldChar w:fldCharType="separate"/>
      </w:r>
      <w:r w:rsidR="00E772A2" w:rsidRPr="00E772A2">
        <w:rPr>
          <w:rFonts w:ascii="Arial" w:hAnsi="Arial" w:cs="Arial"/>
          <w:bCs/>
          <w:noProof/>
        </w:rPr>
        <w:t>(Tareq et al., 2020)</w:t>
      </w:r>
      <w:r w:rsidRPr="00CD45C0">
        <w:rPr>
          <w:rFonts w:ascii="Arial" w:hAnsi="Arial" w:cs="Arial"/>
        </w:rPr>
        <w:fldChar w:fldCharType="end"/>
      </w:r>
      <w:r w:rsidRPr="00CD45C0">
        <w:rPr>
          <w:rFonts w:ascii="Arial" w:hAnsi="Arial" w:cs="Arial"/>
        </w:rPr>
        <w:t xml:space="preserve">. 0.05 mL of test samples and 0.45 mL of a 5% w/v aqueous albumin solution made up the 0.5 mL test solution. For the test, the 0.5 mL control solution was made up of 0.45 mL of albumin solution (5% w/v aqueous solution) and 0.05 mL of distilled water. 100 mL of distilled water were used to dissolve 5 gm of albumin, yielding a 5% albumin solution. Both </w:t>
      </w:r>
      <w:r w:rsidR="00504E99" w:rsidRPr="00055E7B">
        <w:rPr>
          <w:rFonts w:ascii="Arial" w:hAnsi="Arial" w:cs="Arial"/>
          <w:highlight w:val="yellow"/>
        </w:rPr>
        <w:t>MELOR</w:t>
      </w:r>
      <w:r w:rsidRPr="00CD45C0">
        <w:rPr>
          <w:rFonts w:ascii="Arial" w:hAnsi="Arial" w:cs="Arial"/>
        </w:rPr>
        <w:t xml:space="preserve"> and diclofenac-Na were acquired at various concentrations through serial dilution (31.25, 62.5, 125, 250, 500, and 1000 µg/</w:t>
      </w:r>
      <w:r w:rsidRPr="00522DBA">
        <w:rPr>
          <w:rFonts w:ascii="Arial" w:hAnsi="Arial" w:cs="Arial"/>
          <w:highlight w:val="yellow"/>
        </w:rPr>
        <w:t>m</w:t>
      </w:r>
      <w:r w:rsidR="00522DBA" w:rsidRPr="00522DBA">
        <w:rPr>
          <w:rFonts w:ascii="Arial" w:hAnsi="Arial" w:cs="Arial"/>
          <w:highlight w:val="yellow"/>
        </w:rPr>
        <w:t>L</w:t>
      </w:r>
      <w:r w:rsidRPr="00CD45C0">
        <w:rPr>
          <w:rFonts w:ascii="Arial" w:hAnsi="Arial" w:cs="Arial"/>
        </w:rPr>
        <w:t>). Every solution was brought to a pH of 6.3 using 1N HCl. The samples underwent a 20-minute incubation period at 37</w:t>
      </w:r>
      <w:r w:rsidR="0011086F">
        <w:rPr>
          <w:rFonts w:ascii="Arial" w:hAnsi="Arial" w:cs="Arial"/>
        </w:rPr>
        <w:t xml:space="preserve"> </w:t>
      </w:r>
      <w:r w:rsidRPr="00CD45C0">
        <w:rPr>
          <w:rFonts w:ascii="Arial" w:hAnsi="Arial" w:cs="Arial"/>
        </w:rPr>
        <w:t>°C, followed by an additional 30 minutes at 57</w:t>
      </w:r>
      <w:r w:rsidR="0011086F">
        <w:rPr>
          <w:rFonts w:ascii="Arial" w:hAnsi="Arial" w:cs="Arial"/>
        </w:rPr>
        <w:t xml:space="preserve"> </w:t>
      </w:r>
      <w:r w:rsidRPr="00CD45C0">
        <w:rPr>
          <w:rFonts w:ascii="Arial" w:hAnsi="Arial" w:cs="Arial"/>
        </w:rPr>
        <w:t xml:space="preserve">°C. Following the incubations, 2.5 </w:t>
      </w:r>
      <w:r w:rsidRPr="00522DBA">
        <w:rPr>
          <w:rFonts w:ascii="Arial" w:hAnsi="Arial" w:cs="Arial"/>
          <w:highlight w:val="yellow"/>
        </w:rPr>
        <w:t>m</w:t>
      </w:r>
      <w:r w:rsidR="00522DBA" w:rsidRPr="00522DBA">
        <w:rPr>
          <w:rFonts w:ascii="Arial" w:hAnsi="Arial" w:cs="Arial"/>
          <w:highlight w:val="yellow"/>
        </w:rPr>
        <w:t>L</w:t>
      </w:r>
      <w:r w:rsidRPr="00CD45C0">
        <w:rPr>
          <w:rFonts w:ascii="Arial" w:hAnsi="Arial" w:cs="Arial"/>
        </w:rPr>
        <w:t> of phosphate buffer was added to the solutions that had been allowed to cool. The absorbance was measured with a UV spectrophotometer using a wavelength of 416 nm. Except for the extract, all of the reagents were present in the solution that served as the blank.</w:t>
      </w:r>
    </w:p>
    <w:p w14:paraId="40F35C67" w14:textId="77777777" w:rsidR="00CD45C0" w:rsidRPr="00CD45C0" w:rsidRDefault="00CD45C0" w:rsidP="00CD45C0">
      <w:pPr>
        <w:pStyle w:val="Body"/>
        <w:rPr>
          <w:rFonts w:ascii="Arial" w:hAnsi="Arial" w:cs="Arial"/>
          <w:b/>
        </w:rPr>
      </w:pPr>
      <w:r w:rsidRPr="00CD45C0">
        <w:rPr>
          <w:rFonts w:ascii="Arial" w:hAnsi="Arial" w:cs="Arial"/>
        </w:rPr>
        <w:t>As shown in Equation 5, we were able to determine what percentage of protein denaturation inhibition we achieved.</w:t>
      </w:r>
    </w:p>
    <w:p w14:paraId="532CB388" w14:textId="77777777" w:rsidR="00CD45C0" w:rsidRPr="00CD45C0" w:rsidRDefault="00CD45C0" w:rsidP="00CD45C0">
      <w:pPr>
        <w:pStyle w:val="Body"/>
        <w:rPr>
          <w:rFonts w:ascii="Arial" w:hAnsi="Arial" w:cs="Arial"/>
        </w:rPr>
      </w:pPr>
      <w:r w:rsidRPr="00CD45C0">
        <w:rPr>
          <w:rFonts w:ascii="Arial" w:hAnsi="Arial" w:cs="Arial"/>
        </w:rPr>
        <w:t>(%) Inhibition of protein denaturation = [(Ac - As) / Ac] × 100…………………… (3)</w:t>
      </w:r>
    </w:p>
    <w:p w14:paraId="74F0599F" w14:textId="48E25B41" w:rsidR="00CD45C0" w:rsidRPr="00CD45C0" w:rsidRDefault="00CD45C0" w:rsidP="00CD45C0">
      <w:pPr>
        <w:pStyle w:val="Body"/>
        <w:rPr>
          <w:rFonts w:ascii="Arial" w:hAnsi="Arial" w:cs="Arial"/>
        </w:rPr>
      </w:pPr>
      <w:r w:rsidRPr="00C871AE">
        <w:rPr>
          <w:rFonts w:ascii="Arial" w:hAnsi="Arial" w:cs="Arial"/>
          <w:highlight w:val="yellow"/>
        </w:rPr>
        <w:t>Where</w:t>
      </w:r>
      <w:r w:rsidRPr="00CD45C0">
        <w:rPr>
          <w:rFonts w:ascii="Arial" w:hAnsi="Arial" w:cs="Arial"/>
        </w:rPr>
        <w:t xml:space="preserve"> Ac</w:t>
      </w:r>
      <w:r w:rsidR="00C871AE">
        <w:rPr>
          <w:rFonts w:ascii="Arial" w:hAnsi="Arial" w:cs="Arial"/>
        </w:rPr>
        <w:t xml:space="preserve"> </w:t>
      </w:r>
      <w:r w:rsidRPr="00CD45C0">
        <w:rPr>
          <w:rFonts w:ascii="Arial" w:hAnsi="Arial" w:cs="Arial"/>
        </w:rPr>
        <w:t xml:space="preserve">= absorbance of control and </w:t>
      </w:r>
      <w:proofErr w:type="gramStart"/>
      <w:r w:rsidRPr="00CD45C0">
        <w:rPr>
          <w:rFonts w:ascii="Arial" w:hAnsi="Arial" w:cs="Arial"/>
        </w:rPr>
        <w:t>As</w:t>
      </w:r>
      <w:proofErr w:type="gramEnd"/>
      <w:r w:rsidRPr="00CD45C0">
        <w:rPr>
          <w:rFonts w:ascii="Arial" w:hAnsi="Arial" w:cs="Arial"/>
        </w:rPr>
        <w:t xml:space="preserve"> =</w:t>
      </w:r>
      <w:r w:rsidR="00C871AE">
        <w:rPr>
          <w:rFonts w:ascii="Arial" w:hAnsi="Arial" w:cs="Arial"/>
        </w:rPr>
        <w:t xml:space="preserve"> </w:t>
      </w:r>
      <w:r w:rsidRPr="00CD45C0">
        <w:rPr>
          <w:rFonts w:ascii="Arial" w:hAnsi="Arial" w:cs="Arial"/>
        </w:rPr>
        <w:t>absorbance of sample.</w:t>
      </w:r>
    </w:p>
    <w:p w14:paraId="43AB1436" w14:textId="444DFBFC" w:rsidR="00CD45C0" w:rsidRPr="00CD45C0" w:rsidRDefault="00CD45C0" w:rsidP="00CD45C0">
      <w:pPr>
        <w:pStyle w:val="Body"/>
        <w:rPr>
          <w:rFonts w:ascii="Arial" w:hAnsi="Arial" w:cs="Arial"/>
          <w:b/>
          <w:iCs/>
          <w:sz w:val="22"/>
          <w:szCs w:val="22"/>
        </w:rPr>
      </w:pPr>
      <w:r w:rsidRPr="00CD45C0">
        <w:rPr>
          <w:rFonts w:ascii="Arial" w:hAnsi="Arial" w:cs="Arial"/>
          <w:b/>
          <w:iCs/>
          <w:sz w:val="22"/>
          <w:szCs w:val="22"/>
        </w:rPr>
        <w:t>2.8 Molecular docking study</w:t>
      </w:r>
    </w:p>
    <w:p w14:paraId="15332161" w14:textId="53D50874" w:rsidR="00CD45C0" w:rsidRPr="00CD45C0" w:rsidRDefault="00CD45C0" w:rsidP="00CD45C0">
      <w:pPr>
        <w:pStyle w:val="Body"/>
        <w:rPr>
          <w:rFonts w:ascii="Arial" w:hAnsi="Arial" w:cs="Arial"/>
          <w:b/>
          <w:u w:val="single"/>
        </w:rPr>
      </w:pPr>
      <w:r w:rsidRPr="00CD45C0">
        <w:rPr>
          <w:rFonts w:ascii="Arial" w:hAnsi="Arial" w:cs="Arial"/>
          <w:b/>
          <w:u w:val="single"/>
        </w:rPr>
        <w:t>2.8.1 Ligand preparation</w:t>
      </w:r>
    </w:p>
    <w:p w14:paraId="65943DD5" w14:textId="0802EB75" w:rsidR="00CD45C0" w:rsidRPr="00BA1B80" w:rsidRDefault="00BA1B80" w:rsidP="00CD45C0">
      <w:pPr>
        <w:pStyle w:val="Body"/>
      </w:pPr>
      <w:r w:rsidRPr="002C6A55">
        <w:rPr>
          <w:highlight w:val="yellow"/>
        </w:rPr>
        <w:t xml:space="preserve">Based on a </w:t>
      </w:r>
      <w:r w:rsidRPr="002C6A55">
        <w:rPr>
          <w:rFonts w:ascii="Arial" w:hAnsi="Arial" w:cs="Arial"/>
          <w:highlight w:val="yellow"/>
        </w:rPr>
        <w:t xml:space="preserve">literature review </w:t>
      </w:r>
      <w:r w:rsidRPr="002C6A55">
        <w:rPr>
          <w:rFonts w:ascii="Arial" w:hAnsi="Arial" w:cs="Arial"/>
          <w:highlight w:val="yellow"/>
          <w:vertAlign w:val="superscript"/>
        </w:rPr>
        <w:fldChar w:fldCharType="begin" w:fldLock="1"/>
      </w:r>
      <w:r w:rsidRPr="002C6A55">
        <w:rPr>
          <w:rFonts w:ascii="Arial" w:hAnsi="Arial" w:cs="Arial"/>
          <w:highlight w:val="yellow"/>
        </w:rPr>
        <w:instrText>ADDIN CSL_CITATION {"citationItems":[{"id":"ITEM-1","itemData":{"author":[{"dropping-particle":"","family":"Ahmed","given":"Kh Tanvir","non-dropping-particle":"","parse-names":false,"suffix":""},{"dropping-particle":"","family":"Haque","given":"Mohammad Rashedul","non-dropping-particle":"","parse-names":false,"suffix":""},{"dropping-particle":"","family":"Ahsan","given":"Monira","non-dropping-particle":"","parse-names":false,"suffix":""}],"container-title":"American Journal of Pharmtech Research","id":"ITEM-1","issue":"November 2012","issued":{"date-parts":[["2013"]]},"page":"1-8","title":"Isoflavones from the Bark of Ormosia robusta ( Fabaceae ) baker .","type":"article-journal","volume":"3"},"uris":["http://www.mendeley.com/documents/?uuid=013dd8a2-bda6-45b0-a348-e1b631be398e"]}],"mendeley":{"formattedCitation":"(K. T. Ahmed et al., 2013)","plainTextFormattedCitation":"(K. T. Ahmed et al., 2013)","previouslyFormattedCitation":"(Ahmed, Haque, and Ahsan 2013)"},"properties":{"noteIndex":0},"schema":"https://github.com/citation-style-language/schema/raw/master/csl-citation.json"}</w:instrText>
      </w:r>
      <w:r w:rsidRPr="002C6A55">
        <w:rPr>
          <w:rFonts w:ascii="Arial" w:hAnsi="Arial" w:cs="Arial"/>
          <w:highlight w:val="yellow"/>
          <w:vertAlign w:val="superscript"/>
        </w:rPr>
        <w:fldChar w:fldCharType="separate"/>
      </w:r>
      <w:r w:rsidRPr="002C6A55">
        <w:rPr>
          <w:rFonts w:ascii="Arial" w:hAnsi="Arial" w:cs="Arial"/>
          <w:noProof/>
          <w:highlight w:val="yellow"/>
        </w:rPr>
        <w:t>(K. T. Ahmed et al., 2013)</w:t>
      </w:r>
      <w:r w:rsidRPr="002C6A55">
        <w:rPr>
          <w:rFonts w:ascii="Arial" w:hAnsi="Arial" w:cs="Arial"/>
          <w:highlight w:val="yellow"/>
        </w:rPr>
        <w:fldChar w:fldCharType="end"/>
      </w:r>
      <w:r w:rsidRPr="002C6A55">
        <w:rPr>
          <w:highlight w:val="yellow"/>
        </w:rPr>
        <w:t xml:space="preserve">, we selected four biological compounds found in </w:t>
      </w:r>
      <w:r w:rsidRPr="002C6A55">
        <w:rPr>
          <w:rStyle w:val="Emphasis"/>
          <w:highlight w:val="yellow"/>
        </w:rPr>
        <w:t xml:space="preserve">O. </w:t>
      </w:r>
      <w:proofErr w:type="spellStart"/>
      <w:r w:rsidRPr="002C6A55">
        <w:rPr>
          <w:rStyle w:val="Emphasis"/>
          <w:highlight w:val="yellow"/>
        </w:rPr>
        <w:t>robusta</w:t>
      </w:r>
      <w:proofErr w:type="spellEnd"/>
      <w:r w:rsidRPr="002C6A55">
        <w:rPr>
          <w:highlight w:val="yellow"/>
        </w:rPr>
        <w:t xml:space="preserve"> leaf extract—</w:t>
      </w:r>
      <w:proofErr w:type="spellStart"/>
      <w:r w:rsidRPr="002C6A55">
        <w:rPr>
          <w:highlight w:val="yellow"/>
        </w:rPr>
        <w:t>Betulinic</w:t>
      </w:r>
      <w:proofErr w:type="spellEnd"/>
      <w:r w:rsidRPr="002C6A55">
        <w:rPr>
          <w:highlight w:val="yellow"/>
        </w:rPr>
        <w:t xml:space="preserve"> acid (PubChem CID: 64971), Lupeol </w:t>
      </w:r>
      <w:r w:rsidRPr="002C6A55">
        <w:rPr>
          <w:highlight w:val="yellow"/>
        </w:rPr>
        <w:lastRenderedPageBreak/>
        <w:t>(PubChem CID: 259846), Warangalone (PubChem CID: 5379679), and Euchrenone B8 (PubChem CID: 14704591)—for molecular docking studies.</w:t>
      </w:r>
      <w:r w:rsidR="00BF612B">
        <w:t xml:space="preserve"> </w:t>
      </w:r>
      <w:r w:rsidR="00CD45C0" w:rsidRPr="00CD45C0">
        <w:rPr>
          <w:rFonts w:ascii="Arial" w:hAnsi="Arial" w:cs="Arial"/>
          <w:bCs/>
        </w:rPr>
        <w:t>The chemical structure of all of them is shown in Fig. 1.</w:t>
      </w:r>
      <w:r w:rsidR="00CD45C0" w:rsidRPr="00CD45C0">
        <w:rPr>
          <w:rFonts w:ascii="Arial" w:hAnsi="Arial" w:cs="Arial"/>
        </w:rPr>
        <w:t xml:space="preserve"> The PubChem database was utilized for the collection of these compounds in </w:t>
      </w:r>
      <w:r w:rsidR="00CD45C0" w:rsidRPr="00CD45C0">
        <w:rPr>
          <w:rFonts w:ascii="Arial" w:hAnsi="Arial" w:cs="Arial"/>
          <w:i/>
          <w:iCs/>
        </w:rPr>
        <w:t>.</w:t>
      </w:r>
      <w:proofErr w:type="spellStart"/>
      <w:r w:rsidR="00CD45C0" w:rsidRPr="00CD45C0">
        <w:rPr>
          <w:rFonts w:ascii="Arial" w:hAnsi="Arial" w:cs="Arial"/>
          <w:i/>
          <w:iCs/>
        </w:rPr>
        <w:t>sdf</w:t>
      </w:r>
      <w:proofErr w:type="spellEnd"/>
      <w:r w:rsidR="00CD45C0" w:rsidRPr="00CD45C0">
        <w:rPr>
          <w:rFonts w:ascii="Arial" w:hAnsi="Arial" w:cs="Arial"/>
        </w:rPr>
        <w:t xml:space="preserve"> format. The next step in the process was to prepare the ligands by reducing the amount of energy they contained and changing the format of their </w:t>
      </w:r>
      <w:r w:rsidR="00CD45C0" w:rsidRPr="00CD45C0">
        <w:rPr>
          <w:rFonts w:ascii="Arial" w:hAnsi="Arial" w:cs="Arial"/>
          <w:i/>
          <w:iCs/>
        </w:rPr>
        <w:t>.</w:t>
      </w:r>
      <w:proofErr w:type="spellStart"/>
      <w:r w:rsidR="00CD45C0" w:rsidRPr="00CD45C0">
        <w:rPr>
          <w:rFonts w:ascii="Arial" w:hAnsi="Arial" w:cs="Arial"/>
          <w:i/>
          <w:iCs/>
        </w:rPr>
        <w:t>sdf</w:t>
      </w:r>
      <w:proofErr w:type="spellEnd"/>
      <w:r w:rsidR="00CD45C0" w:rsidRPr="00CD45C0">
        <w:rPr>
          <w:rFonts w:ascii="Arial" w:hAnsi="Arial" w:cs="Arial"/>
        </w:rPr>
        <w:t xml:space="preserve"> files to a</w:t>
      </w:r>
      <w:r w:rsidR="00CD45C0">
        <w:rPr>
          <w:rFonts w:ascii="Arial" w:hAnsi="Arial" w:cs="Arial"/>
        </w:rPr>
        <w:t xml:space="preserve"> </w:t>
      </w:r>
      <w:r w:rsidR="00CD45C0" w:rsidRPr="00CD45C0">
        <w:rPr>
          <w:rFonts w:ascii="Arial" w:hAnsi="Arial" w:cs="Arial"/>
          <w:i/>
          <w:iCs/>
        </w:rPr>
        <w:t>.</w:t>
      </w:r>
      <w:proofErr w:type="spellStart"/>
      <w:r w:rsidR="00CD45C0" w:rsidRPr="00CD45C0">
        <w:rPr>
          <w:rFonts w:ascii="Arial" w:hAnsi="Arial" w:cs="Arial"/>
          <w:i/>
          <w:iCs/>
        </w:rPr>
        <w:t>pdbqt</w:t>
      </w:r>
      <w:proofErr w:type="spellEnd"/>
      <w:r w:rsidR="00CD45C0" w:rsidRPr="00CD45C0">
        <w:rPr>
          <w:rFonts w:ascii="Arial" w:hAnsi="Arial" w:cs="Arial"/>
        </w:rPr>
        <w:t xml:space="preserve"> file using the </w:t>
      </w:r>
      <w:proofErr w:type="spellStart"/>
      <w:r w:rsidR="00CD45C0" w:rsidRPr="00CD45C0">
        <w:rPr>
          <w:rFonts w:ascii="Arial" w:hAnsi="Arial" w:cs="Arial"/>
        </w:rPr>
        <w:t>OpenBabel</w:t>
      </w:r>
      <w:proofErr w:type="spellEnd"/>
      <w:r w:rsidR="00CD45C0" w:rsidRPr="00CD45C0">
        <w:rPr>
          <w:rFonts w:ascii="Arial" w:hAnsi="Arial" w:cs="Arial"/>
        </w:rPr>
        <w:t xml:space="preserve"> module of </w:t>
      </w:r>
      <w:proofErr w:type="spellStart"/>
      <w:r w:rsidR="00CD45C0" w:rsidRPr="00CD45C0">
        <w:rPr>
          <w:rFonts w:ascii="Arial" w:hAnsi="Arial" w:cs="Arial"/>
        </w:rPr>
        <w:t>PyRx</w:t>
      </w:r>
      <w:proofErr w:type="spellEnd"/>
      <w:r w:rsidR="00CD45C0" w:rsidRPr="00CD45C0">
        <w:rPr>
          <w:rFonts w:ascii="Arial" w:hAnsi="Arial" w:cs="Arial"/>
        </w:rPr>
        <w:t xml:space="preserve"> 0.8 software.</w:t>
      </w:r>
    </w:p>
    <w:p w14:paraId="78BA0165" w14:textId="01E8146F" w:rsidR="0050372C" w:rsidRPr="00D47153" w:rsidRDefault="0050372C" w:rsidP="00CD45C0">
      <w:pPr>
        <w:pStyle w:val="Body"/>
        <w:rPr>
          <w:rFonts w:ascii="Arial" w:hAnsi="Arial" w:cs="Arial"/>
        </w:rPr>
      </w:pPr>
      <w:r w:rsidRPr="00DE5703">
        <w:rPr>
          <w:rFonts w:ascii="Arial" w:hAnsi="Arial" w:cs="Arial"/>
          <w:noProof/>
        </w:rPr>
        <w:drawing>
          <wp:inline distT="0" distB="0" distL="0" distR="0" wp14:anchorId="11D475BD" wp14:editId="3A2A400D">
            <wp:extent cx="4209237" cy="3410971"/>
            <wp:effectExtent l="0" t="0" r="1270" b="0"/>
            <wp:docPr id="353499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499417" name="Picture 35349941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27561" cy="3425820"/>
                    </a:xfrm>
                    <a:prstGeom prst="rect">
                      <a:avLst/>
                    </a:prstGeom>
                  </pic:spPr>
                </pic:pic>
              </a:graphicData>
            </a:graphic>
          </wp:inline>
        </w:drawing>
      </w:r>
    </w:p>
    <w:p w14:paraId="2D8DB228" w14:textId="03A824B1" w:rsidR="0050372C" w:rsidRPr="00BA1B80" w:rsidRDefault="0050372C" w:rsidP="00253FB5">
      <w:pPr>
        <w:pStyle w:val="Body"/>
        <w:rPr>
          <w:rFonts w:ascii="Arial" w:hAnsi="Arial" w:cs="Arial"/>
          <w:b/>
        </w:rPr>
      </w:pPr>
      <w:proofErr w:type="gramStart"/>
      <w:r w:rsidRPr="002C6A55">
        <w:rPr>
          <w:rFonts w:ascii="Arial" w:hAnsi="Arial" w:cs="Arial"/>
          <w:b/>
          <w:bCs/>
          <w:highlight w:val="yellow"/>
        </w:rPr>
        <w:t>Fig. 1.</w:t>
      </w:r>
      <w:proofErr w:type="gramEnd"/>
      <w:r w:rsidRPr="002C6A55">
        <w:rPr>
          <w:rFonts w:ascii="Arial" w:hAnsi="Arial" w:cs="Arial"/>
          <w:b/>
          <w:bCs/>
          <w:highlight w:val="yellow"/>
        </w:rPr>
        <w:t xml:space="preserve"> Phytochemicals isolated from </w:t>
      </w:r>
      <w:r w:rsidRPr="002C6A55">
        <w:rPr>
          <w:rFonts w:ascii="Arial" w:hAnsi="Arial" w:cs="Arial"/>
          <w:b/>
          <w:bCs/>
          <w:i/>
          <w:iCs/>
          <w:highlight w:val="yellow"/>
        </w:rPr>
        <w:t xml:space="preserve">O. </w:t>
      </w:r>
      <w:proofErr w:type="spellStart"/>
      <w:r w:rsidRPr="002C6A55">
        <w:rPr>
          <w:rFonts w:ascii="Arial" w:hAnsi="Arial" w:cs="Arial"/>
          <w:b/>
          <w:bCs/>
          <w:i/>
          <w:iCs/>
          <w:highlight w:val="yellow"/>
        </w:rPr>
        <w:t>robusta</w:t>
      </w:r>
      <w:proofErr w:type="spellEnd"/>
      <w:r w:rsidRPr="002C6A55">
        <w:rPr>
          <w:rFonts w:ascii="Arial" w:hAnsi="Arial" w:cs="Arial"/>
          <w:b/>
          <w:bCs/>
          <w:highlight w:val="yellow"/>
        </w:rPr>
        <w:t xml:space="preserve"> leaves</w:t>
      </w:r>
      <w:r w:rsidR="00BA1B80" w:rsidRPr="002C6A55">
        <w:rPr>
          <w:rFonts w:ascii="Arial" w:hAnsi="Arial" w:cs="Arial"/>
          <w:highlight w:val="yellow"/>
        </w:rPr>
        <w:t xml:space="preserve"> </w:t>
      </w:r>
      <w:r w:rsidR="00BA1B80" w:rsidRPr="002C6A55">
        <w:rPr>
          <w:rFonts w:ascii="Arial" w:hAnsi="Arial" w:cs="Arial"/>
          <w:b/>
          <w:highlight w:val="yellow"/>
          <w:vertAlign w:val="superscript"/>
        </w:rPr>
        <w:fldChar w:fldCharType="begin" w:fldLock="1"/>
      </w:r>
      <w:r w:rsidR="00BA1B80" w:rsidRPr="002C6A55">
        <w:rPr>
          <w:rFonts w:ascii="Arial" w:hAnsi="Arial" w:cs="Arial"/>
          <w:b/>
          <w:highlight w:val="yellow"/>
        </w:rPr>
        <w:instrText>ADDIN CSL_CITATION {"citationItems":[{"id":"ITEM-1","itemData":{"author":[{"dropping-particle":"","family":"Ahmed","given":"Kh Tanvir","non-dropping-particle":"","parse-names":false,"suffix":""},{"dropping-particle":"","family":"Haque","given":"Mohammad Rashedul","non-dropping-particle":"","parse-names":false,"suffix":""},{"dropping-particle":"","family":"Ahsan","given":"Monira","non-dropping-particle":"","parse-names":false,"suffix":""}],"container-title":"American Journal of Pharmtech Research","id":"ITEM-1","issue":"November 2012","issued":{"date-parts":[["2013"]]},"page":"1-8","title":"Isoflavones from the Bark of Ormosia robusta ( Fabaceae ) baker .","type":"article-journal","volume":"3"},"uris":["http://www.mendeley.com/documents/?uuid=013dd8a2-bda6-45b0-a348-e1b631be398e"]}],"mendeley":{"formattedCitation":"(K. T. Ahmed et al., 2013)","plainTextFormattedCitation":"(K. T. Ahmed et al., 2013)","previouslyFormattedCitation":"(Ahmed, Haque, and Ahsan 2013)"},"properties":{"noteIndex":0},"schema":"https://github.com/citation-style-language/schema/raw/master/csl-citation.json"}</w:instrText>
      </w:r>
      <w:r w:rsidR="00BA1B80" w:rsidRPr="002C6A55">
        <w:rPr>
          <w:rFonts w:ascii="Arial" w:hAnsi="Arial" w:cs="Arial"/>
          <w:b/>
          <w:highlight w:val="yellow"/>
          <w:vertAlign w:val="superscript"/>
        </w:rPr>
        <w:fldChar w:fldCharType="separate"/>
      </w:r>
      <w:r w:rsidR="00BA1B80" w:rsidRPr="002C6A55">
        <w:rPr>
          <w:rFonts w:ascii="Arial" w:hAnsi="Arial" w:cs="Arial"/>
          <w:b/>
          <w:noProof/>
          <w:highlight w:val="yellow"/>
        </w:rPr>
        <w:t>(K. T. Ahmed et al., 2013)</w:t>
      </w:r>
      <w:r w:rsidR="00BA1B80" w:rsidRPr="002C6A55">
        <w:rPr>
          <w:rFonts w:ascii="Arial" w:hAnsi="Arial" w:cs="Arial"/>
          <w:b/>
          <w:highlight w:val="yellow"/>
        </w:rPr>
        <w:fldChar w:fldCharType="end"/>
      </w:r>
    </w:p>
    <w:p w14:paraId="03150C0B" w14:textId="0A58DB7E" w:rsidR="00CD45C0" w:rsidRPr="00CD45C0" w:rsidRDefault="00CD45C0" w:rsidP="00CD45C0">
      <w:pPr>
        <w:pStyle w:val="Body"/>
        <w:rPr>
          <w:rFonts w:ascii="Arial" w:hAnsi="Arial" w:cs="Arial"/>
          <w:b/>
          <w:u w:val="single"/>
        </w:rPr>
      </w:pPr>
      <w:r w:rsidRPr="00CD45C0">
        <w:rPr>
          <w:rFonts w:ascii="Arial" w:hAnsi="Arial" w:cs="Arial"/>
          <w:b/>
          <w:u w:val="single"/>
        </w:rPr>
        <w:t>2.8.2 Protein preparation</w:t>
      </w:r>
    </w:p>
    <w:p w14:paraId="597BB88B" w14:textId="1A8C66AF" w:rsidR="00CD45C0" w:rsidRPr="00CD45C0" w:rsidRDefault="00CD45C0" w:rsidP="00CD45C0">
      <w:pPr>
        <w:pStyle w:val="Body"/>
        <w:rPr>
          <w:rFonts w:ascii="Arial" w:hAnsi="Arial" w:cs="Arial"/>
        </w:rPr>
      </w:pPr>
      <w:r w:rsidRPr="00CD45C0">
        <w:rPr>
          <w:rFonts w:ascii="Arial" w:hAnsi="Arial" w:cs="Arial"/>
        </w:rPr>
        <w:t xml:space="preserve">Antioxidant, cytotoxic, and anti-inflammatory target proteins such as </w:t>
      </w:r>
      <w:r w:rsidRPr="00CD45C0">
        <w:rPr>
          <w:rFonts w:ascii="Arial" w:hAnsi="Arial" w:cs="Arial"/>
          <w:bCs/>
        </w:rPr>
        <w:t xml:space="preserve">glutathione reductase (PDB ID: 1XAN) </w:t>
      </w:r>
      <w:r w:rsidRPr="00CD45C0">
        <w:rPr>
          <w:rFonts w:ascii="Arial" w:hAnsi="Arial" w:cs="Arial"/>
          <w:bCs/>
          <w:vertAlign w:val="superscript"/>
        </w:rPr>
        <w:fldChar w:fldCharType="begin" w:fldLock="1"/>
      </w:r>
      <w:r w:rsidR="00E772A2">
        <w:rPr>
          <w:rFonts w:ascii="Arial" w:hAnsi="Arial" w:cs="Arial"/>
          <w:bCs/>
        </w:rPr>
        <w:instrText>ADDIN CSL_CITATION {"citationItems":[{"id":"ITEM-1","itemData":{"DOI":"10.1016/j.ibror.2019.05.003","ISSN":"24518301","abstract":"Elevation in the levels of reactive oxygen and nitrogen species (RONS), and downregulation of cellular antixoidants, have ubiquitously been reported from studies in animal models of neurodegenerative diseases, including Parkinson's disease (PD)and Alzheimer's disease (AD). Thus, plant-derived compounds are widely being investigated for their beneficial effects in these models. However, while studies have reported antioxidant potentials of several phytochemicals, a large number of studies have demonstrated different phytochemicals to be rather pro-oxidant and exaggerate oxidative stress (OS). One such study aimed to investigate possible ameliorative effect of Pomegranate juice (PJ)in rat model of toxin-induced parkinsonism revealed that PJ exacerbates OS, inflammation and promotes neurodegeneration. Thus, it remains to be investigated whether different constituents and metabolites of PJ are pro-oxidant or anti-oxidant. Using computational modeling, we investigated possible inhibitory potential of different constituents of PJ and their metabolites viz. delphinidin-3-glucoside, dimethylellagic acid-glucuronide, ellagic acid, ellagitannin, gallic acid, gallotannin 23, pelargonidin, punicalagin, urolithin A, urolithin A-glucuronide and urolithin B, on anti-oxidant defense system of the brain. The results indicate that the constituents of PJ have the potential to inhibit five key enzymes of the neuronal antioxidant defense system, viz. catalase, superoxide dismutase, glutathione peroxidase 4, glutathione reductase and glutathione-S-transferase. Thus, it is surmised that the constituents of PJ may contribute to OS and neurodegeneration by way of affecting antioxidant defense mechanism. This may particularly be more pronounced in neurodegenerative diseases, since neurons are known to be more vulnerable to OS. Thus, the present findings caution the use of PJ in patients prone to OS, especially those suffering from neurodegenerative diseases, and warrant further experimental studies to unveil the effects of individual components and metabolites of PJ on antioxidant defense system of brain.","author":[{"dropping-particle":"","family":"Mazumder","given":"Muhammed Khairujjaman","non-dropping-particle":"","parse-names":false,"suffix":""},{"dropping-particle":"","family":"Choudhury","given":"Shuvasish","non-dropping-particle":"","parse-names":false,"suffix":""},{"dropping-particle":"","family":"Borah","given":"Anupom","non-dropping-particle":"","parse-names":false,"suffix":""}],"container-title":"IBRO Reports","id":"ITEM-1","issue":"May","issued":{"date-parts":[["2019"]]},"page":"153-159","publisher":"Elsevier","title":"An in silico investigation on the inhibitory potential of the constituents of Pomegranate juice on antioxidant defense mechanism: Relevance to neurodegenerative diseases","type":"article-journal","volume":"6"},"uris":["http://www.mendeley.com/documents/?uuid=ccad4426-a642-4fa3-ba17-ec657b7167b8"]}],"mendeley":{"formattedCitation":"(Mazumder et al., 2019)","plainTextFormattedCitation":"(Mazumder et al., 2019)","previouslyFormattedCitation":"(Mazumder, Choudhury, and Borah 2019)"},"properties":{"noteIndex":0},"schema":"https://github.com/citation-style-language/schema/raw/master/csl-citation.json"}</w:instrText>
      </w:r>
      <w:r w:rsidRPr="00CD45C0">
        <w:rPr>
          <w:rFonts w:ascii="Arial" w:hAnsi="Arial" w:cs="Arial"/>
          <w:bCs/>
          <w:vertAlign w:val="superscript"/>
        </w:rPr>
        <w:fldChar w:fldCharType="separate"/>
      </w:r>
      <w:r w:rsidR="00E772A2" w:rsidRPr="00E772A2">
        <w:rPr>
          <w:rFonts w:ascii="Arial" w:hAnsi="Arial" w:cs="Arial"/>
          <w:noProof/>
        </w:rPr>
        <w:t>(Mazumder et al., 2019)</w:t>
      </w:r>
      <w:r w:rsidRPr="00CD45C0">
        <w:rPr>
          <w:rFonts w:ascii="Arial" w:hAnsi="Arial" w:cs="Arial"/>
        </w:rPr>
        <w:fldChar w:fldCharType="end"/>
      </w:r>
      <w:r w:rsidRPr="00CD45C0">
        <w:rPr>
          <w:rFonts w:ascii="Arial" w:hAnsi="Arial" w:cs="Arial"/>
        </w:rPr>
        <w:t xml:space="preserve">, human cytochrome P450 CYP2C9 </w:t>
      </w:r>
      <w:r w:rsidRPr="00CD45C0">
        <w:rPr>
          <w:rFonts w:ascii="Arial" w:hAnsi="Arial" w:cs="Arial"/>
          <w:bCs/>
        </w:rPr>
        <w:t xml:space="preserve">(PDB ID: 1OG5) </w:t>
      </w:r>
      <w:r w:rsidRPr="00CD45C0">
        <w:rPr>
          <w:rFonts w:ascii="Arial" w:hAnsi="Arial" w:cs="Arial"/>
          <w:bCs/>
          <w:vertAlign w:val="superscript"/>
        </w:rPr>
        <w:fldChar w:fldCharType="begin" w:fldLock="1"/>
      </w:r>
      <w:r w:rsidR="00E772A2">
        <w:rPr>
          <w:rFonts w:ascii="Arial" w:hAnsi="Arial" w:cs="Arial"/>
          <w:bCs/>
        </w:rPr>
        <w:instrText>ADDIN CSL_CITATION {"citationItems":[{"id":"ITEM-1","itemData":{"DOI":"10.1016/j.heliyon.2021.e07997","ISSN":"24058440","abstract":"This study was designed to evaluate the cytotoxic and analgesic potential of methanol extracts of five wild mushrooms available in the University of Chittagong, Bangladesh. The acetic acid-induced writhing method was used for the analgesic activity, while cytotoxicity was tested using brine shrimp lethality bioassay. In silico molecular docking and ADME/T study have been employed by using Schrodinger v11.1, BIOVIA Discovery Studio 2020 and online tool (AdmeSAR) respectively. The methanol extracts of Daldinia concentrica, Trametes lactinea, Fomitopsis cajanderi and Daedaleopsis confragosa exhibited a significant (p &lt; 0.001) decrease in the number of writhing when compared to the control group. Except for Lentinus squarrosulus at 200 mg/kg body weight, the remaining mushroom extracts showed equal to or above 50 % inhibition of writhing. Daldinia concentrica showed the lowest LC50 values with 0.63 μg/mL, while Daedaleopsis confragosa showed the highest LC50 values of 2.33 μg/ mL, indicating decisive cytotoxic action all mushrooms extracts. Considering the secondary metabolites, daldinan A and fomlactone A were found the most promising myco-compounds in analgesic and cytotoxic molecular docking studies. Besides, all the selected metabolites meet the rule of Lipinski's drug-likeliness. These results concluded that each mushroom extracts except Lentinus squarrosulus possess a potential analgesic. All the mushroom extracts embrace a promising cytotoxic activity that may guide the progress of a new drug.","author":[{"dropping-particle":"","family":"Hossen","given":"S. M.Moazzem","non-dropping-particle":"","parse-names":false,"suffix":""},{"dropping-particle":"","family":"Hossain","given":"Mohammad Shahadat","non-dropping-particle":"","parse-names":false,"suffix":""},{"dropping-particle":"","family":"Akbar","given":"Sumaiya","non-dropping-particle":"","parse-names":false,"suffix":""},{"dropping-particle":"","family":"Tahmida","given":"Umme","non-dropping-particle":"","parse-names":false,"suffix":""},{"dropping-particle":"","family":"Mawa","given":"Jannatul","non-dropping-particle":"","parse-names":false,"suffix":""},{"dropping-particle":"","family":"Emon","given":"Nazim Uddin","non-dropping-particle":"","parse-names":false,"suffix":""}],"container-title":"Heliyon","id":"ITEM-1","issue":"9","issued":{"date-parts":[["2021"]]},"page":"e07997","publisher":"Elsevier Ltd","title":"Wild mushrooms showed analgesic and cytotoxic properties along with phytoconstituent's binding affinity to COX-1, COX-2 and cytochrome P450 2C9","type":"article-journal","volume":"7"},"uris":["http://www.mendeley.com/documents/?uuid=f6045e1a-aae3-4668-b209-e14b9cdb2b20"]}],"mendeley":{"formattedCitation":"(Hossen et al., 2021)","plainTextFormattedCitation":"(Hossen et al., 2021)","previouslyFormattedCitation":"(Hossen et al. 2021)"},"properties":{"noteIndex":0},"schema":"https://github.com/citation-style-language/schema/raw/master/csl-citation.json"}</w:instrText>
      </w:r>
      <w:r w:rsidRPr="00CD45C0">
        <w:rPr>
          <w:rFonts w:ascii="Arial" w:hAnsi="Arial" w:cs="Arial"/>
          <w:bCs/>
          <w:vertAlign w:val="superscript"/>
        </w:rPr>
        <w:fldChar w:fldCharType="separate"/>
      </w:r>
      <w:r w:rsidR="00E772A2" w:rsidRPr="00E772A2">
        <w:rPr>
          <w:rFonts w:ascii="Arial" w:hAnsi="Arial" w:cs="Arial"/>
          <w:noProof/>
        </w:rPr>
        <w:t>(Hossen et al., 2021)</w:t>
      </w:r>
      <w:r w:rsidRPr="00CD45C0">
        <w:rPr>
          <w:rFonts w:ascii="Arial" w:hAnsi="Arial" w:cs="Arial"/>
        </w:rPr>
        <w:fldChar w:fldCharType="end"/>
      </w:r>
      <w:r w:rsidRPr="00CD45C0">
        <w:rPr>
          <w:rFonts w:ascii="Arial" w:hAnsi="Arial" w:cs="Arial"/>
        </w:rPr>
        <w:t>, and Phosphodiesterase-4 inhibitor (PDE4) receptor</w:t>
      </w:r>
      <w:r w:rsidRPr="00CD45C0">
        <w:rPr>
          <w:rFonts w:ascii="Arial" w:hAnsi="Arial" w:cs="Arial"/>
          <w:bCs/>
        </w:rPr>
        <w:t xml:space="preserve"> (PDB ID: 4WCU) </w:t>
      </w:r>
      <w:r w:rsidRPr="00CD45C0">
        <w:rPr>
          <w:rFonts w:ascii="Arial" w:hAnsi="Arial" w:cs="Arial"/>
          <w:bCs/>
          <w:vertAlign w:val="superscript"/>
        </w:rPr>
        <w:fldChar w:fldCharType="begin" w:fldLock="1"/>
      </w:r>
      <w:r w:rsidR="00E772A2">
        <w:rPr>
          <w:rFonts w:ascii="Arial" w:hAnsi="Arial" w:cs="Arial"/>
          <w:bCs/>
        </w:rPr>
        <w:instrText>ADDIN CSL_CITATION {"citationItems":[{"id":"ITEM-1","itemData":{"DOI":"10.3389/fchem.2019.00634","ISSN":"22962646","abstract":"Bacterial resistance to antibiotics has become one of the most challenging problems of infectious disease treatment. Ten new derivatives of benzenesulphonamide bearing carboxamide functionality were synthesized and investigated for their in vivo anti-inflammatory, in vitro anti-microbial and anti-oxidant activities. The base promoted reactions of the appropriate amino acids with substituted benzenesulphonyl chlorides gave the benzene sulphonamides (3a-j) in excellent yields. Palladium mediated amidation of the benzenesulphonamides (3a-j) and butylamine gave the new carboxamides (4a-j) in excellent yield. Compounds 4a and 4c inhibited carrageenan induced rat-paw edema at 94.69, 89.66, and 87.83% each at 1, 2, and 3 h, respectively. In the antimicrobial activity, compound 4d (MIC 6.72 mg/mL) was most potent against E. coli, compound 4h (MIC 6.63 mg/mL) was the most active against S. aureus, compound 4a (MIC 6.67 and 6.45 mg/mL) was most active against P. aeruginosa and S. typhi, respectively, compound 4f (MIC 6.63 mg/mL) was the most active against B. subtilis, compounds 4e and 4h (MIC 6.63 mg/mL) each were the most active against C. albicans, while compound 4e (MIC 6.28 mg/mL) was most active against A. niger. Only compound 4e (IC50 0.3287 mg/mL) had comparable activity with Vitamin C (IC50 0.2090 mg/mL).","author":[{"dropping-particle":"","family":"Eze","given":"Florence Uchenna","non-dropping-particle":"","parse-names":false,"suffix":""},{"dropping-particle":"","family":"Okoro","given":"Uchechukwu Christopher","non-dropping-particle":"","parse-names":false,"suffix":""},{"dropping-particle":"","family":"Ugwu","given":"David Izuchukwu","non-dropping-particle":"","parse-names":false,"suffix":""},{"dropping-particle":"","family":"Okafor","given":"Sunday N.","non-dropping-particle":"","parse-names":false,"suffix":""}],"container-title":"Frontiers in Chemistry","id":"ITEM-1","issue":"September","issued":{"date-parts":[["2019"]]},"page":"1-12","title":"Biological Activity Evaluation of Some New Benzenesulphonamide Derivatives","type":"article-journal","volume":"7"},"uris":["http://www.mendeley.com/documents/?uuid=567f3f33-8c15-48ec-a5cf-1a69ca132b13"]}],"mendeley":{"formattedCitation":"(Eze et al., 2019)","plainTextFormattedCitation":"(Eze et al., 2019)","previouslyFormattedCitation":"(Eze et al. 2019)"},"properties":{"noteIndex":0},"schema":"https://github.com/citation-style-language/schema/raw/master/csl-citation.json"}</w:instrText>
      </w:r>
      <w:r w:rsidRPr="00CD45C0">
        <w:rPr>
          <w:rFonts w:ascii="Arial" w:hAnsi="Arial" w:cs="Arial"/>
          <w:bCs/>
          <w:vertAlign w:val="superscript"/>
        </w:rPr>
        <w:fldChar w:fldCharType="separate"/>
      </w:r>
      <w:r w:rsidR="00E772A2" w:rsidRPr="00E772A2">
        <w:rPr>
          <w:rFonts w:ascii="Arial" w:hAnsi="Arial" w:cs="Arial"/>
          <w:noProof/>
        </w:rPr>
        <w:t>(Eze et al., 2019)</w:t>
      </w:r>
      <w:r w:rsidRPr="00CD45C0">
        <w:rPr>
          <w:rFonts w:ascii="Arial" w:hAnsi="Arial" w:cs="Arial"/>
        </w:rPr>
        <w:fldChar w:fldCharType="end"/>
      </w:r>
      <w:r w:rsidRPr="00CD45C0">
        <w:rPr>
          <w:rFonts w:ascii="Arial" w:hAnsi="Arial" w:cs="Arial"/>
          <w:bCs/>
        </w:rPr>
        <w:t xml:space="preserve">, </w:t>
      </w:r>
      <w:r w:rsidRPr="00CD45C0">
        <w:rPr>
          <w:rFonts w:ascii="Arial" w:hAnsi="Arial" w:cs="Arial"/>
        </w:rPr>
        <w:t xml:space="preserve">respectively, have been retrieved from the </w:t>
      </w:r>
      <w:r w:rsidR="00CE7E2A" w:rsidRPr="00CE7E2A">
        <w:rPr>
          <w:rFonts w:ascii="Arial" w:hAnsi="Arial" w:cs="Arial"/>
          <w:highlight w:val="yellow"/>
        </w:rPr>
        <w:t>Protein Data Bank</w:t>
      </w:r>
      <w:r w:rsidR="00CE7E2A" w:rsidRPr="00CD45C0">
        <w:rPr>
          <w:rFonts w:ascii="Arial" w:hAnsi="Arial" w:cs="Arial"/>
        </w:rPr>
        <w:t xml:space="preserve"> </w:t>
      </w:r>
      <w:r w:rsidRPr="00CD45C0">
        <w:rPr>
          <w:rFonts w:ascii="Arial" w:hAnsi="Arial" w:cs="Arial"/>
        </w:rPr>
        <w:t xml:space="preserve">(PDB) </w:t>
      </w:r>
      <w:r w:rsidRPr="00CD45C0">
        <w:rPr>
          <w:rFonts w:ascii="Arial" w:hAnsi="Arial" w:cs="Arial"/>
          <w:vertAlign w:val="superscript"/>
        </w:rPr>
        <w:fldChar w:fldCharType="begin" w:fldLock="1"/>
      </w:r>
      <w:r w:rsidR="00E772A2">
        <w:rPr>
          <w:rFonts w:ascii="Arial" w:hAnsi="Arial" w:cs="Arial"/>
        </w:rPr>
        <w:instrText>ADDIN CSL_CITATION {"citationItems":[{"id":"ITEM-1","itemData":{"DOI":"10.1038/s41577-020-00473-z","ISSN":"14741741","PMID":"33293618","abstract":"Animal and plant immune systems use intracellular nucleotide-binding oligomerization domain (NOD)-like receptors (NLRs) to detect pathogens, resulting in the activation of immune responses that are often associated with localized host cell death. Whereas vertebrate NLRs detect evolutionarily conserved molecular patterns and have undergone comparatively little copy number expansion, plant NLRs detect virulence factors that have often diversified in plant pathogen populations, and thus plant NLRs have been subject to parallel diversification. Plant NLRs sense the presence of virulence factors with enzymatic virulence activity often indirectly through their modification of host target proteins. By contrast, phytopathogenic virulence factors without enzymatic activity are usually recognized by NLRs directly by their structure. Structural and biochemical analyses have shown that both indirect and direct recognition of plant pathogens trigger the oligomerization of plant NLRs into active complexes. Assembly into three-layered ring-like structures has emerged as a common principle of NLR activation in plants and animals, but with distinct amino-terminal domains initiating different signalling pathways. Collectively, these analyses point to host cell membranes as a convergence point for activated plant NLRs and the disruption of cellular ion homeostasis as a possible major factor in NLR-triggered cell death signalling.","author":[{"dropping-particle":"","family":"Saur","given":"Isabel M.L.","non-dropping-particle":"","parse-names":false,"suffix":""},{"dropping-particle":"","family":"Panstruga","given":"Ralph","non-dropping-particle":"","parse-names":false,"suffix":""},{"dropping-particle":"","family":"Schulze-Lefert","given":"Paul","non-dropping-particle":"","parse-names":false,"suffix":""}],"container-title":"Nature Reviews Immunology","id":"ITEM-1","issue":"5","issued":{"date-parts":[["2021"]]},"page":"305-318","title":"NOD-like receptor-mediated plant immunity: from structure to cell death","type":"article-journal","volume":"21"},"uris":["http://www.mendeley.com/documents/?uuid=a6a1b913-0688-4a4e-a3ff-65fb95991ae4"]}],"mendeley":{"formattedCitation":"(Saur et al., 2021)","plainTextFormattedCitation":"(Saur et al., 2021)","previouslyFormattedCitation":"(Saur, Panstruga, and Schulze-Lefert 2021)"},"properties":{"noteIndex":0},"schema":"https://github.com/citation-style-language/schema/raw/master/csl-citation.json"}</w:instrText>
      </w:r>
      <w:r w:rsidRPr="00CD45C0">
        <w:rPr>
          <w:rFonts w:ascii="Arial" w:hAnsi="Arial" w:cs="Arial"/>
          <w:vertAlign w:val="superscript"/>
        </w:rPr>
        <w:fldChar w:fldCharType="separate"/>
      </w:r>
      <w:r w:rsidR="00E772A2" w:rsidRPr="00E772A2">
        <w:rPr>
          <w:rFonts w:ascii="Arial" w:hAnsi="Arial" w:cs="Arial"/>
          <w:bCs/>
          <w:noProof/>
        </w:rPr>
        <w:t>(Saur et al., 2021)</w:t>
      </w:r>
      <w:r w:rsidRPr="00CD45C0">
        <w:rPr>
          <w:rFonts w:ascii="Arial" w:hAnsi="Arial" w:cs="Arial"/>
        </w:rPr>
        <w:fldChar w:fldCharType="end"/>
      </w:r>
      <w:r w:rsidRPr="00CD45C0">
        <w:rPr>
          <w:rFonts w:ascii="Arial" w:hAnsi="Arial" w:cs="Arial"/>
        </w:rPr>
        <w:t xml:space="preserve">. After collecting from PDB, we removed water molecules and heteroatoms from these proteins using Discovery Studio (DS) 2021. Using Swiss-PDB Viewer, we were able to reduce the amount of energy that was associated with each protein that was retrieved </w:t>
      </w:r>
      <w:r w:rsidRPr="00CD45C0">
        <w:rPr>
          <w:rFonts w:ascii="Arial" w:hAnsi="Arial" w:cs="Arial"/>
          <w:vertAlign w:val="superscript"/>
        </w:rPr>
        <w:fldChar w:fldCharType="begin" w:fldLock="1"/>
      </w:r>
      <w:r w:rsidR="00E772A2">
        <w:rPr>
          <w:rFonts w:ascii="Arial" w:hAnsi="Arial" w:cs="Arial"/>
        </w:rPr>
        <w:instrText>ADDIN CSL_CITATION {"citationItems":[{"id":"ITEM-1","itemData":{"DOI":"10.1002/elps.1150181505","ISSN":"01730835","PMID":"9504803","abstract":"Comparative protein modeling is increasingly gaining interest since it is of great assistance during the rational design of mutagenesis experiments. The availability of this method, and the resulting models, has however been restricted by the availability of expensive computer hardware and software. To overcome these limitations, we have developed an environment for comparative protein modeling that consists of SWISS-MODEL, a server for automated comparative protein modeling and of the SWISS-PdbViewer, a sequence to structure workbench. The Swiss-PdbViewer not only acts as a client for SWISS-MODEL, but also provides a-large selection of structure analysis and display tools. In addition, we provide the SWISS-MODEL Repository, a database containing more than 3500 automatically generated protein models. By making such tools freely available to the scientific community, we hope to increase the use of protein structures and models in the process of experiment design.","author":[{"dropping-particle":"","family":"Guex","given":"Nicolas","non-dropping-particle":"","parse-names":false,"suffix":""},{"dropping-particle":"","family":"Peitsch","given":"Manuel C.","non-dropping-particle":"","parse-names":false,"suffix":""}],"container-title":"Electrophoresis","id":"ITEM-1","issue":"15","issued":{"date-parts":[["1997"]]},"page":"2714-2723","title":"SWISS-MODEL and the Swiss-PdbViewer: An environment for comparative protein modeling","type":"article-journal","volume":"18"},"uris":["http://www.mendeley.com/documents/?uuid=210f61d2-b897-47d6-972a-0424c1e4ce1c"]}],"mendeley":{"formattedCitation":"(Guex &amp; Peitsch, 1997)","plainTextFormattedCitation":"(Guex &amp; Peitsch, 1997)","previouslyFormattedCitation":"(Guex and Peitsch 1997)"},"properties":{"noteIndex":0},"schema":"https://github.com/citation-style-language/schema/raw/master/csl-citation.json"}</w:instrText>
      </w:r>
      <w:r w:rsidRPr="00CD45C0">
        <w:rPr>
          <w:rFonts w:ascii="Arial" w:hAnsi="Arial" w:cs="Arial"/>
          <w:vertAlign w:val="superscript"/>
        </w:rPr>
        <w:fldChar w:fldCharType="separate"/>
      </w:r>
      <w:r w:rsidR="00E772A2" w:rsidRPr="00E772A2">
        <w:rPr>
          <w:rFonts w:ascii="Arial" w:hAnsi="Arial" w:cs="Arial"/>
          <w:bCs/>
          <w:noProof/>
        </w:rPr>
        <w:t>(Guex &amp; Peitsch, 1997)</w:t>
      </w:r>
      <w:r w:rsidRPr="00CD45C0">
        <w:rPr>
          <w:rFonts w:ascii="Arial" w:hAnsi="Arial" w:cs="Arial"/>
        </w:rPr>
        <w:fldChar w:fldCharType="end"/>
      </w:r>
      <w:r w:rsidRPr="00CD45C0">
        <w:rPr>
          <w:rFonts w:ascii="Arial" w:hAnsi="Arial" w:cs="Arial"/>
        </w:rPr>
        <w:t>. Following that, the structures were ultimately preserved in the DS in the .</w:t>
      </w:r>
      <w:proofErr w:type="spellStart"/>
      <w:r w:rsidRPr="00CD45C0">
        <w:rPr>
          <w:rFonts w:ascii="Arial" w:hAnsi="Arial" w:cs="Arial"/>
          <w:i/>
          <w:iCs/>
        </w:rPr>
        <w:t>pdb</w:t>
      </w:r>
      <w:proofErr w:type="spellEnd"/>
      <w:r w:rsidRPr="00CD45C0">
        <w:rPr>
          <w:rFonts w:ascii="Arial" w:hAnsi="Arial" w:cs="Arial"/>
        </w:rPr>
        <w:t xml:space="preserve"> file format.</w:t>
      </w:r>
    </w:p>
    <w:p w14:paraId="7A638F53" w14:textId="78C0F394" w:rsidR="00CD45C0" w:rsidRPr="00CD45C0" w:rsidRDefault="00CD45C0" w:rsidP="00CD45C0">
      <w:pPr>
        <w:pStyle w:val="Body"/>
        <w:rPr>
          <w:rFonts w:ascii="Arial" w:hAnsi="Arial" w:cs="Arial"/>
          <w:b/>
          <w:u w:val="single"/>
        </w:rPr>
      </w:pPr>
      <w:r w:rsidRPr="00CD45C0">
        <w:rPr>
          <w:rFonts w:ascii="Arial" w:hAnsi="Arial" w:cs="Arial"/>
          <w:b/>
          <w:u w:val="single"/>
        </w:rPr>
        <w:t>2.8.3 Molecular docking</w:t>
      </w:r>
    </w:p>
    <w:p w14:paraId="587E6A66" w14:textId="4D8AE4F1" w:rsidR="00CD45C0" w:rsidRPr="00CD45C0" w:rsidRDefault="00CD45C0" w:rsidP="00CD45C0">
      <w:pPr>
        <w:pStyle w:val="Body"/>
        <w:rPr>
          <w:rFonts w:ascii="Arial" w:hAnsi="Arial" w:cs="Arial"/>
        </w:rPr>
      </w:pPr>
      <w:r w:rsidRPr="00CD45C0">
        <w:rPr>
          <w:rFonts w:ascii="Arial" w:hAnsi="Arial" w:cs="Arial"/>
        </w:rPr>
        <w:t xml:space="preserve">The protein-ligand complexes of interest have been docked using </w:t>
      </w:r>
      <w:proofErr w:type="spellStart"/>
      <w:r w:rsidRPr="00CD45C0">
        <w:rPr>
          <w:rFonts w:ascii="Arial" w:hAnsi="Arial" w:cs="Arial"/>
        </w:rPr>
        <w:t>PyRx</w:t>
      </w:r>
      <w:proofErr w:type="spellEnd"/>
      <w:r w:rsidRPr="00CD45C0">
        <w:rPr>
          <w:rFonts w:ascii="Arial" w:hAnsi="Arial" w:cs="Arial"/>
        </w:rPr>
        <w:t xml:space="preserve"> </w:t>
      </w:r>
      <w:proofErr w:type="spellStart"/>
      <w:r w:rsidRPr="00CD45C0">
        <w:rPr>
          <w:rFonts w:ascii="Arial" w:hAnsi="Arial" w:cs="Arial"/>
        </w:rPr>
        <w:t>AutoDock</w:t>
      </w:r>
      <w:proofErr w:type="spellEnd"/>
      <w:r w:rsidRPr="00CD45C0">
        <w:rPr>
          <w:rFonts w:ascii="Arial" w:hAnsi="Arial" w:cs="Arial"/>
        </w:rPr>
        <w:t xml:space="preserve"> </w:t>
      </w:r>
      <w:proofErr w:type="spellStart"/>
      <w:r w:rsidRPr="00CD45C0">
        <w:rPr>
          <w:rFonts w:ascii="Arial" w:hAnsi="Arial" w:cs="Arial"/>
        </w:rPr>
        <w:t>Vina</w:t>
      </w:r>
      <w:proofErr w:type="spellEnd"/>
      <w:r w:rsidRPr="00CD45C0">
        <w:rPr>
          <w:rFonts w:ascii="Arial" w:hAnsi="Arial" w:cs="Arial"/>
        </w:rPr>
        <w:t xml:space="preserve"> </w:t>
      </w:r>
      <w:r w:rsidRPr="00CD45C0">
        <w:rPr>
          <w:rFonts w:ascii="Arial" w:hAnsi="Arial" w:cs="Arial"/>
          <w:vertAlign w:val="superscript"/>
        </w:rPr>
        <w:fldChar w:fldCharType="begin" w:fldLock="1"/>
      </w:r>
      <w:r w:rsidR="00E772A2">
        <w:rPr>
          <w:rFonts w:ascii="Arial" w:hAnsi="Arial" w:cs="Arial"/>
        </w:rPr>
        <w:instrText>ADDIN CSL_CITATION {"citationItems":[{"id":"ITEM-1","itemData":{"DOI":"10.1016/j.proche.2014.12.007","ISSN":"18766196","abstract":"Tinospora cordifolia extract decreased the activity of glycogen phosphorylase in the liver and widely used in the treatment of diabetes mellitus. This in silico study aimed to screen the active compound(s) of T. cordifolia which play a role in its hypoglycemic activity as glycogen phosphorylase inhibitor by molecular docking analysis. Thirteen chemical constituents of T. cordifolia were used as ligands for docking study. The glycogen phosphorylase structure was obtained from Brookhaven protein databank (1LWO). Docking analysis was performed using Autodock Vina and PyRx 8. The inhibitory activity was analyzed by comparison the binding energy and binding mode of interaction of T. cordifolia chemical constituents on glycogen phosphorylase. The results indicate that magnoflorine, cordiofolioside A, and syringin exhibited good affinity to glycogen phosphorylase, by interacted at catalytic site of enzyme","author":[{"dropping-particle":"","family":"Herowati","given":"Rina","non-dropping-particle":"","parse-names":false,"suffix":""},{"dropping-particle":"","family":"Widodo","given":"Gunawan Pamudji","non-dropping-particle":"","parse-names":false,"suffix":""}],"container-title":"Procedia Chemistry","id":"ITEM-1","issued":{"date-parts":[["2014"]]},"page":"63-68","publisher":"Elsevier Ltd.","title":"Molecular Docking Studies of Chemical Constituents of Tinospora cordifolia on Glycogen Phosphorylase","type":"article-journal","volume":"13"},"uris":["http://www.mendeley.com/documents/?uuid=6b1833ca-45fb-4d05-ae52-63e90a07eff1"]}],"mendeley":{"formattedCitation":"(Herowati &amp; Widodo, 2014)","plainTextFormattedCitation":"(Herowati &amp; Widodo, 2014)","previouslyFormattedCitation":"(Herowati and Widodo 2014)"},"properties":{"noteIndex":0},"schema":"https://github.com/citation-style-language/schema/raw/master/csl-citation.json"}</w:instrText>
      </w:r>
      <w:r w:rsidRPr="00CD45C0">
        <w:rPr>
          <w:rFonts w:ascii="Arial" w:hAnsi="Arial" w:cs="Arial"/>
          <w:vertAlign w:val="superscript"/>
        </w:rPr>
        <w:fldChar w:fldCharType="separate"/>
      </w:r>
      <w:r w:rsidR="00E772A2" w:rsidRPr="00E772A2">
        <w:rPr>
          <w:rFonts w:ascii="Arial" w:hAnsi="Arial" w:cs="Arial"/>
          <w:bCs/>
          <w:noProof/>
        </w:rPr>
        <w:t>(Herowati &amp; Widodo, 2014)</w:t>
      </w:r>
      <w:r w:rsidRPr="00CD45C0">
        <w:rPr>
          <w:rFonts w:ascii="Arial" w:hAnsi="Arial" w:cs="Arial"/>
        </w:rPr>
        <w:fldChar w:fldCharType="end"/>
      </w:r>
      <w:r w:rsidRPr="00CD45C0">
        <w:rPr>
          <w:rFonts w:ascii="Arial" w:hAnsi="Arial" w:cs="Arial"/>
        </w:rPr>
        <w:t xml:space="preserve">. The docking analysis has made use of a semiflexible docking method. This investigation preserved both the protein's rigidness and the ligand's flexibility. The grid box was constructed around an active site. Additionally, we used BIOVIA DS Visualizer 2021 to locate optimal docking sites </w:t>
      </w:r>
      <w:r w:rsidRPr="00CD45C0">
        <w:rPr>
          <w:rFonts w:ascii="Arial" w:hAnsi="Arial" w:cs="Arial"/>
          <w:vertAlign w:val="superscript"/>
        </w:rPr>
        <w:fldChar w:fldCharType="begin" w:fldLock="1"/>
      </w:r>
      <w:r w:rsidR="00E772A2">
        <w:rPr>
          <w:rFonts w:ascii="Arial" w:hAnsi="Arial" w:cs="Arial"/>
        </w:rPr>
        <w:instrText>ADDIN CSL_CITATION {"citationItems":[{"id":"ITEM-1","itemData":{"abstract":"Discovery Studio® is a singleunifi ed, easy-to-use, graphical interface for powerful drug design and protein modeling research. Discovery Studio contains both established gold-standard applications (e.g., Catalyst, MODELER, CHARMm, etc.) with years of proven published results, as well as and cutting-edge science to address today's drug discovery challenges. Discovery Studio is built on the SciTegic Pipeline PilotScitegic Enterprise Server platform™ open operating platform, allowing seamless integration of protein modeling, pharmacophore analysis, and structure-based design, as well as third-party applications. Product Description Discovery Studio Standalone Discovery Studio Standalone is a complete molecular modeling platform designed for the independent modeler. This standalone environment, powered by the Pipeline Pilot open platform, includes the entire infrastructure needed to design and run modeling experiments with Discovery Studio Science. Easily visualize, model, and analyze biological and chemical data using tools for sketching 3D molecules, visualizing dynamic changes, 3D graphing and a host of other functionality. The standalone installation can be connected to a Pipeline Pilot Server for easy sharing of workfl ows and data. This confi guration also includes access to a rich set of perl-based scripting commands. Discovery Studio Visualizer Client Discovery Studio Visualizer Client is a powerful graphical interface to access Discovery Studio Science. DS Visualizer Clients can be inexpensively deployed and easily maintained for research teams while still offering world-class science. When deployed with a Pipeline Pilot Server, DS Visualizer Client offers unparalleled capabilities for sharing data, workfl ows, and computational resources. A rich set of perl-based scripting commands, and customized scripts, are also available for the automation and customization of common modeling operations that replicate UI actions or act on DS data models. Some examples of the large collection of scriptable actions include molecular overlay, chirality and valency checks, prediction of DSC secondary structure, access to electrostatics tools, management of constraints/restraints, and display of surfaces, Pipeline Pilot Server Pipeline Pilot makes the most of your information through industrial-scale data fl ow control and powerful mining capabilities. You can graphically compose data processing networks, using hundreds of different confi gurable components for op…","author":[{"dropping-particle":"","family":"Corporate","given":"Accelrys","non-dropping-particle":"","parse-names":false,"suffix":""}],"container-title":"Researchgate.Net‏","id":"ITEM-1","issued":{"date-parts":[["2008"]]},"page":"1-8","title":"Discovery Studio Life Science Modeling and Simulations","type":"article-journal"},"uris":["http://www.mendeley.com/documents/?uuid=815e5852-1d6e-478b-9c58-899954072484"]}],"mendeley":{"formattedCitation":"(Corporate, 2008)","plainTextFormattedCitation":"(Corporate, 2008)","previouslyFormattedCitation":"(Corporate 2008)"},"properties":{"noteIndex":0},"schema":"https://github.com/citation-style-language/schema/raw/master/csl-citation.json"}</w:instrText>
      </w:r>
      <w:r w:rsidRPr="00CD45C0">
        <w:rPr>
          <w:rFonts w:ascii="Arial" w:hAnsi="Arial" w:cs="Arial"/>
          <w:vertAlign w:val="superscript"/>
        </w:rPr>
        <w:fldChar w:fldCharType="separate"/>
      </w:r>
      <w:r w:rsidR="00E772A2" w:rsidRPr="00E772A2">
        <w:rPr>
          <w:rFonts w:ascii="Arial" w:hAnsi="Arial" w:cs="Arial"/>
          <w:bCs/>
          <w:noProof/>
        </w:rPr>
        <w:t>(Corporate, 2008)</w:t>
      </w:r>
      <w:r w:rsidRPr="00CD45C0">
        <w:rPr>
          <w:rFonts w:ascii="Arial" w:hAnsi="Arial" w:cs="Arial"/>
        </w:rPr>
        <w:fldChar w:fldCharType="end"/>
      </w:r>
      <w:r w:rsidRPr="00CD45C0">
        <w:rPr>
          <w:rFonts w:ascii="Arial" w:hAnsi="Arial" w:cs="Arial"/>
        </w:rPr>
        <w:t>.</w:t>
      </w:r>
    </w:p>
    <w:p w14:paraId="04C49FA7" w14:textId="4A2AE1A9" w:rsidR="00CD45C0" w:rsidRPr="00CD45C0" w:rsidRDefault="00CD45C0" w:rsidP="00CD45C0">
      <w:pPr>
        <w:pStyle w:val="Body"/>
        <w:rPr>
          <w:rFonts w:ascii="Arial" w:hAnsi="Arial" w:cs="Arial"/>
          <w:b/>
          <w:sz w:val="22"/>
          <w:szCs w:val="22"/>
        </w:rPr>
      </w:pPr>
      <w:r w:rsidRPr="00CD45C0">
        <w:rPr>
          <w:rFonts w:ascii="Arial" w:hAnsi="Arial" w:cs="Arial"/>
          <w:b/>
          <w:sz w:val="22"/>
          <w:szCs w:val="22"/>
        </w:rPr>
        <w:lastRenderedPageBreak/>
        <w:t>2.9 ADME/T analysis</w:t>
      </w:r>
    </w:p>
    <w:p w14:paraId="062D7FEB" w14:textId="01031923" w:rsidR="00CD45C0" w:rsidRPr="00CD45C0" w:rsidRDefault="00CD45C0" w:rsidP="00CD45C0">
      <w:pPr>
        <w:pStyle w:val="Body"/>
        <w:rPr>
          <w:rFonts w:ascii="Arial" w:hAnsi="Arial" w:cs="Arial"/>
          <w:bCs/>
        </w:rPr>
      </w:pPr>
      <w:r w:rsidRPr="00CD45C0">
        <w:rPr>
          <w:rFonts w:ascii="Arial" w:hAnsi="Arial" w:cs="Arial"/>
          <w:bCs/>
        </w:rPr>
        <w:t xml:space="preserve">To further evaluate the results of the molecular docking simulation, an attempt was made to predict the ADME/T profile of docked molecules. To determine which compounds have desirable drug-like properties, Lipinski's rule of five was applied </w:t>
      </w:r>
      <w:r w:rsidRPr="00CD45C0">
        <w:rPr>
          <w:rFonts w:ascii="Arial" w:hAnsi="Arial" w:cs="Arial"/>
          <w:bCs/>
          <w:vertAlign w:val="superscript"/>
        </w:rPr>
        <w:fldChar w:fldCharType="begin" w:fldLock="1"/>
      </w:r>
      <w:r w:rsidR="00E772A2">
        <w:rPr>
          <w:rFonts w:ascii="Arial" w:hAnsi="Arial" w:cs="Arial"/>
          <w:bCs/>
        </w:rPr>
        <w:instrText>ADDIN CSL_CITATION {"citationItems":[{"id":"ITEM-1","itemData":{"DOI":"10.1016/j.addr.2012.09.019","ISSN":"0169409X","PMID":"11259830","abstract":"Experimental and computational approaches to estimate solubility and permeability in discovery and development settings are described. In the discovery setting 'the rule of 5' predicts that poor absorption or permeation is more likely when there are more than 5 H-bond donors, 10 H-bond acceptors, the molecular weight (MWT) is greater than 500 and the calculated Log P (CLogP) is greater than 5 (or MlogP. &gt;. 4.15). Computational methodology for the rule-based Moriguchi Log P (MLogP) calculation is described. Turbidimetric solubility measurement is described and applied to known drugs. High throughput screening (HTS) leads tend to have higher MWT and Log P and lower turbidimetric solubility than leads in the pre-HTS era. In the development setting, solubility calculations focus on exact value prediction and are difficult because of polymorphism. Recent work on linear free energy relationships and Log P approaches are critically reviewed. Useful predictions are possible in closely related analog series when coupled with experimental thermodynamic solubility measurements. © 2012.","author":[{"dropping-particle":"","family":"Lipinski","given":"Christopher A.","non-dropping-particle":"","parse-names":false,"suffix":""},{"dropping-particle":"","family":"Lombardo","given":"Franco","non-dropping-particle":"","parse-names":false,"suffix":""},{"dropping-particle":"","family":"Dominy","given":"Beryl W.","non-dropping-particle":"","parse-names":false,"suffix":""},{"dropping-particle":"","family":"Feeney","given":"Paul J.","non-dropping-particle":"","parse-names":false,"suffix":""}],"container-title":"Advanced Drug Delivery Reviews","id":"ITEM-1","issue":"SUPPL.","issued":{"date-parts":[["2012"]]},"page":"4-17","publisher":"Elsevier B.V.","title":"Experimental and computational approaches to estimate solubility and permeability in drug discovery and development settings","type":"article-journal","volume":"64"},"uris":["http://www.mendeley.com/documents/?uuid=472e70d1-fcde-4163-b0b2-2103622be4d1"]}],"mendeley":{"formattedCitation":"(Lipinski et al., 2012)","plainTextFormattedCitation":"(Lipinski et al., 2012)","previouslyFormattedCitation":"(Lipinski et al. 2012)"},"properties":{"noteIndex":0},"schema":"https://github.com/citation-style-language/schema/raw/master/csl-citation.json"}</w:instrText>
      </w:r>
      <w:r w:rsidRPr="00CD45C0">
        <w:rPr>
          <w:rFonts w:ascii="Arial" w:hAnsi="Arial" w:cs="Arial"/>
          <w:bCs/>
          <w:vertAlign w:val="superscript"/>
        </w:rPr>
        <w:fldChar w:fldCharType="separate"/>
      </w:r>
      <w:r w:rsidR="00E772A2" w:rsidRPr="00E772A2">
        <w:rPr>
          <w:rFonts w:ascii="Arial" w:hAnsi="Arial" w:cs="Arial"/>
          <w:noProof/>
        </w:rPr>
        <w:t>(Lipinski et al., 2012)</w:t>
      </w:r>
      <w:r w:rsidRPr="00CD45C0">
        <w:rPr>
          <w:rFonts w:ascii="Arial" w:hAnsi="Arial" w:cs="Arial"/>
        </w:rPr>
        <w:fldChar w:fldCharType="end"/>
      </w:r>
      <w:r w:rsidRPr="00CD45C0">
        <w:rPr>
          <w:rFonts w:ascii="Arial" w:hAnsi="Arial" w:cs="Arial"/>
          <w:bCs/>
        </w:rPr>
        <w:t xml:space="preserve">. This rule stipulates that a compound's molecular weight should not exceed 500, that the number of H-bond donors should not exceed 5, that the number of H-bond acceptors should not exceed 10, that its lipophilicity should not exceed 5, and that its molar refractivity should fall between 40 and 130. Analyzing the ADME profile of the compounds was accomplished with the help of the </w:t>
      </w:r>
      <w:proofErr w:type="spellStart"/>
      <w:r w:rsidRPr="00CD45C0">
        <w:rPr>
          <w:rFonts w:ascii="Arial" w:hAnsi="Arial" w:cs="Arial"/>
          <w:bCs/>
        </w:rPr>
        <w:t>SwissADME</w:t>
      </w:r>
      <w:proofErr w:type="spellEnd"/>
      <w:r w:rsidRPr="00CD45C0">
        <w:rPr>
          <w:rFonts w:ascii="Arial" w:hAnsi="Arial" w:cs="Arial"/>
          <w:bCs/>
        </w:rPr>
        <w:t xml:space="preserve"> server, which predicts the pharmacokinetic features of molecules </w:t>
      </w:r>
      <w:r w:rsidRPr="00CD45C0">
        <w:rPr>
          <w:rFonts w:ascii="Arial" w:hAnsi="Arial" w:cs="Arial"/>
          <w:bCs/>
          <w:vertAlign w:val="superscript"/>
        </w:rPr>
        <w:fldChar w:fldCharType="begin" w:fldLock="1"/>
      </w:r>
      <w:r w:rsidR="00E772A2">
        <w:rPr>
          <w:rFonts w:ascii="Arial" w:hAnsi="Arial" w:cs="Arial"/>
          <w:bCs/>
        </w:rPr>
        <w:instrText>ADDIN CSL_CITATION {"citationItems":[{"id":"ITEM-1","itemData":{"DOI":"10.1038/srep42717","ISSN":"20452322","PMID":"28256516","abstract":"To be effective as a drug, a potent molecule must reach its target in the body in sufficient concentration, and stay there in a bioactive form long enough for the expected biologic events to occur. Drug development involves assessment of absorption, distribution, metabolism and excretion (ADME) increasingly earlier in the discovery process, at a stage when considered compounds are numerous but access to the physical samples is limited. In that context, computer models constitute valid alternatives to experiments. Here, we present the new SwissADME web tool that gives free access to a pool of fast yet robust predictive models for physicochemical properties, pharmacokinetics, drug-likeness and medicinal chemistry friendliness, among which in-house proficient methods such as the BOILED-Egg, iLOGP and Bioavailability Radar. Easy efficient input and interpretation are ensured thanks to a user-friendly interface through the login-free website http://www.swissadme.ch. Specialists, but also nonexpert in cheminformatics or computational chemistry can predict rapidly key parameters for a collection of molecules to support their drug discovery endeavours.","author":[{"dropping-particle":"","family":"Daina","given":"Antoine","non-dropping-particle":"","parse-names":false,"suffix":""},{"dropping-particle":"","family":"Michielin","given":"Olivier","non-dropping-particle":"","parse-names":false,"suffix":""},{"dropping-particle":"","family":"Zoete","given":"Vincent","non-dropping-particle":"","parse-names":false,"suffix":""}],"container-title":"Scientific Reports","id":"ITEM-1","issue":"January","issued":{"date-parts":[["2017"]]},"page":"1-13","publisher":"Nature Publishing Group","title":"SwissADME: A free web tool to evaluate pharmacokinetics, drug-likeness and medicinal chemistry friendliness of small molecules","type":"article-journal","volume":"7"},"uris":["http://www.mendeley.com/documents/?uuid=455b480a-4c9f-417e-b72f-70cc823d505b"]}],"mendeley":{"formattedCitation":"(Daina et al., 2017)","plainTextFormattedCitation":"(Daina et al., 2017)","previouslyFormattedCitation":"(Daina, Michielin, and Zoete 2017)"},"properties":{"noteIndex":0},"schema":"https://github.com/citation-style-language/schema/raw/master/csl-citation.json"}</w:instrText>
      </w:r>
      <w:r w:rsidRPr="00CD45C0">
        <w:rPr>
          <w:rFonts w:ascii="Arial" w:hAnsi="Arial" w:cs="Arial"/>
          <w:bCs/>
          <w:vertAlign w:val="superscript"/>
        </w:rPr>
        <w:fldChar w:fldCharType="separate"/>
      </w:r>
      <w:r w:rsidR="00E772A2" w:rsidRPr="00E772A2">
        <w:rPr>
          <w:rFonts w:ascii="Arial" w:hAnsi="Arial" w:cs="Arial"/>
          <w:noProof/>
        </w:rPr>
        <w:t>(Daina et al., 2017)</w:t>
      </w:r>
      <w:r w:rsidRPr="00CD45C0">
        <w:rPr>
          <w:rFonts w:ascii="Arial" w:hAnsi="Arial" w:cs="Arial"/>
        </w:rPr>
        <w:fldChar w:fldCharType="end"/>
      </w:r>
      <w:r w:rsidRPr="00CD45C0">
        <w:rPr>
          <w:rFonts w:ascii="Arial" w:hAnsi="Arial" w:cs="Arial"/>
          <w:bCs/>
        </w:rPr>
        <w:t>.</w:t>
      </w:r>
      <w:r w:rsidRPr="00CD45C0">
        <w:rPr>
          <w:rFonts w:ascii="Arial" w:hAnsi="Arial" w:cs="Arial"/>
          <w:b/>
          <w:bCs/>
        </w:rPr>
        <w:t xml:space="preserve"> </w:t>
      </w:r>
      <w:r w:rsidRPr="00CD45C0">
        <w:rPr>
          <w:rFonts w:ascii="Arial" w:hAnsi="Arial" w:cs="Arial"/>
          <w:bCs/>
        </w:rPr>
        <w:t xml:space="preserve">In addition, the web application called </w:t>
      </w:r>
      <w:proofErr w:type="spellStart"/>
      <w:r w:rsidRPr="00CD45C0">
        <w:rPr>
          <w:rFonts w:ascii="Arial" w:hAnsi="Arial" w:cs="Arial"/>
          <w:bCs/>
        </w:rPr>
        <w:t>admetSAR</w:t>
      </w:r>
      <w:proofErr w:type="spellEnd"/>
      <w:r w:rsidRPr="00CD45C0">
        <w:rPr>
          <w:rFonts w:ascii="Arial" w:hAnsi="Arial" w:cs="Arial"/>
          <w:bCs/>
        </w:rPr>
        <w:t xml:space="preserve"> was used to research the toxicological characteristics of each of the compounds </w:t>
      </w:r>
      <w:r w:rsidRPr="00CD45C0">
        <w:rPr>
          <w:rFonts w:ascii="Arial" w:hAnsi="Arial" w:cs="Arial"/>
          <w:bCs/>
          <w:vertAlign w:val="superscript"/>
        </w:rPr>
        <w:fldChar w:fldCharType="begin" w:fldLock="1"/>
      </w:r>
      <w:r w:rsidR="00E772A2">
        <w:rPr>
          <w:rFonts w:ascii="Arial" w:hAnsi="Arial" w:cs="Arial"/>
          <w:bCs/>
        </w:rPr>
        <w:instrText>ADDIN CSL_CITATION {"citationItems":[{"id":"ITEM-1","itemData":{"DOI":"10.1021/ci300367a","ISSN":"1549960X","PMID":"23092397","abstract":"Absorption, distribution, metabolism, excretion, and toxicity (ADMET) properties play key roles in the discovery/development of drugs, pesticides, food additives, consumer products, and industrial chemicals. This information is especially useful when to conduct environmental and human hazard assessment. The most critical rate limiting step in the chemical safety assessment workflow is the availability of high quality data. This paper describes an ADMET structure-activity relationship database, abbreviated as admetSAR. It is an open source, text and structure searchable, and continually updated database that collects, curates, and manages available ADMET-associated properties data from the published literature. In admetSAR, over 210-000 ADMET annotated data points for more than 96-000 unique compounds with 45 kinds of ADMET-associated properties, proteins, species, or organisms have been carefully curated from a large number of diverse literatures. The database provides a user-friendly interface to query a specific chemical profile, using either CAS registry number, common name, or structure similarity. In addition, the database includes 22 qualitative classification and 5 quantitative regression models with highly predictive accuracy, allowing to estimate ecological/mammalian ADMET properties for novel chemicals. AdmetSAR is accessible free of charge at http://www.admetexp.org. © 2012 American Chemical Society.","author":[{"dropping-particle":"","family":"Cheng","given":"Feixiong","non-dropping-particle":"","parse-names":false,"suffix":""},{"dropping-particle":"","family":"Li","given":"Weihua","non-dropping-particle":"","parse-names":false,"suffix":""},{"dropping-particle":"","family":"Zhou","given":"Yadi","non-dropping-particle":"","parse-names":false,"suffix":""},{"dropping-particle":"","family":"Shen","given":"Jie","non-dropping-particle":"","parse-names":false,"suffix":""},{"dropping-particle":"","family":"Wu","given":"Zengrui","non-dropping-particle":"","parse-names":false,"suffix":""},{"dropping-particle":"","family":"Liu","given":"Guixia","non-dropping-particle":"","parse-names":false,"suffix":""},{"dropping-particle":"","family":"Lee","given":"Philip W.","non-dropping-particle":"","parse-names":false,"suffix":""},{"dropping-particle":"","family":"Tang","given":"Yun","non-dropping-particle":"","parse-names":false,"suffix":""}],"container-title":"Journal of Chemical Information and Modeling","id":"ITEM-1","issue":"11","issued":{"date-parts":[["2012"]]},"page":"3099-3105","title":"AdmetSAR: A comprehensive source and free tool for assessment of chemical ADMET properties","type":"article-journal","volume":"52"},"uris":["http://www.mendeley.com/documents/?uuid=680c220e-04e3-4a50-83e7-2f709bd728dc"]}],"mendeley":{"formattedCitation":"(Cheng et al., 2012)","plainTextFormattedCitation":"(Cheng et al., 2012)","previouslyFormattedCitation":"(Cheng et al. 2012)"},"properties":{"noteIndex":0},"schema":"https://github.com/citation-style-language/schema/raw/master/csl-citation.json"}</w:instrText>
      </w:r>
      <w:r w:rsidRPr="00CD45C0">
        <w:rPr>
          <w:rFonts w:ascii="Arial" w:hAnsi="Arial" w:cs="Arial"/>
          <w:bCs/>
          <w:vertAlign w:val="superscript"/>
        </w:rPr>
        <w:fldChar w:fldCharType="separate"/>
      </w:r>
      <w:r w:rsidR="00E772A2" w:rsidRPr="00E772A2">
        <w:rPr>
          <w:rFonts w:ascii="Arial" w:hAnsi="Arial" w:cs="Arial"/>
          <w:noProof/>
        </w:rPr>
        <w:t>(Cheng et al., 2012)</w:t>
      </w:r>
      <w:r w:rsidRPr="00CD45C0">
        <w:rPr>
          <w:rFonts w:ascii="Arial" w:hAnsi="Arial" w:cs="Arial"/>
        </w:rPr>
        <w:fldChar w:fldCharType="end"/>
      </w:r>
      <w:r w:rsidRPr="00CD45C0">
        <w:rPr>
          <w:rFonts w:ascii="Arial" w:hAnsi="Arial" w:cs="Arial"/>
          <w:bCs/>
        </w:rPr>
        <w:t>.</w:t>
      </w:r>
    </w:p>
    <w:p w14:paraId="1A912155" w14:textId="3D0F7266" w:rsidR="00CD45C0" w:rsidRPr="00CD45C0" w:rsidRDefault="00CD45C0" w:rsidP="00CD45C0">
      <w:pPr>
        <w:pStyle w:val="Body"/>
        <w:rPr>
          <w:rFonts w:ascii="Arial" w:hAnsi="Arial" w:cs="Arial"/>
          <w:b/>
          <w:bCs/>
          <w:sz w:val="22"/>
          <w:szCs w:val="22"/>
        </w:rPr>
      </w:pPr>
      <w:r w:rsidRPr="00CD45C0">
        <w:rPr>
          <w:rFonts w:ascii="Arial" w:hAnsi="Arial" w:cs="Arial"/>
          <w:b/>
          <w:bCs/>
          <w:sz w:val="22"/>
          <w:szCs w:val="22"/>
        </w:rPr>
        <w:t>2.10 Statistical analysis</w:t>
      </w:r>
    </w:p>
    <w:p w14:paraId="23FBDBC0" w14:textId="2C469C78" w:rsidR="00790ADA" w:rsidRPr="00FB3A86" w:rsidRDefault="00CD45C0" w:rsidP="00CD45C0">
      <w:pPr>
        <w:pStyle w:val="Body"/>
        <w:rPr>
          <w:rFonts w:ascii="Arial" w:hAnsi="Arial" w:cs="Arial"/>
        </w:rPr>
      </w:pPr>
      <w:r w:rsidRPr="00CD45C0">
        <w:rPr>
          <w:rFonts w:ascii="Arial" w:hAnsi="Arial" w:cs="Arial"/>
        </w:rPr>
        <w:t>The data was reported in the form of mean ± SEM. In addition to other statistical analyses, the analysis of variance (one-way ANOVA) was carried out with the assistance of GraphPad Prism (version 8.0.1). For statistical significance, the following degrees of significance are considered: *</w:t>
      </w:r>
      <w:r w:rsidRPr="00CD45C0">
        <w:rPr>
          <w:rFonts w:ascii="Arial" w:hAnsi="Arial" w:cs="Arial"/>
          <w:i/>
          <w:iCs/>
        </w:rPr>
        <w:t>p&lt; 0.05</w:t>
      </w:r>
      <w:r w:rsidRPr="00CD45C0">
        <w:rPr>
          <w:rFonts w:ascii="Arial" w:hAnsi="Arial" w:cs="Arial"/>
        </w:rPr>
        <w:t>, **</w:t>
      </w:r>
      <w:r w:rsidRPr="00CD45C0">
        <w:rPr>
          <w:rFonts w:ascii="Arial" w:hAnsi="Arial" w:cs="Arial"/>
          <w:i/>
          <w:iCs/>
        </w:rPr>
        <w:t>p&lt;0.01</w:t>
      </w:r>
      <w:r w:rsidRPr="00CD45C0">
        <w:rPr>
          <w:rFonts w:ascii="Arial" w:hAnsi="Arial" w:cs="Arial"/>
        </w:rPr>
        <w:t>, and ***</w:t>
      </w:r>
      <w:r w:rsidRPr="00CD45C0">
        <w:rPr>
          <w:rFonts w:ascii="Arial" w:hAnsi="Arial" w:cs="Arial"/>
          <w:i/>
          <w:iCs/>
        </w:rPr>
        <w:t>p&lt;0.001</w:t>
      </w:r>
      <w:r w:rsidRPr="00CD45C0">
        <w:rPr>
          <w:rFonts w:ascii="Arial" w:hAnsi="Arial" w:cs="Arial"/>
        </w:rPr>
        <w:t>.</w:t>
      </w:r>
    </w:p>
    <w:p w14:paraId="102A0ADA" w14:textId="35D4EB5B"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sidR="00BA1B80" w:rsidRPr="002C6A55">
        <w:rPr>
          <w:rFonts w:ascii="Arial" w:hAnsi="Arial" w:cs="Arial"/>
          <w:highlight w:val="yellow"/>
        </w:rPr>
        <w:t>results</w:t>
      </w:r>
    </w:p>
    <w:p w14:paraId="37EF0637" w14:textId="77777777" w:rsidR="00790ADA" w:rsidRPr="00FB3A86" w:rsidRDefault="00790ADA" w:rsidP="00441B6F">
      <w:pPr>
        <w:pStyle w:val="Head1"/>
        <w:spacing w:after="0"/>
        <w:jc w:val="both"/>
        <w:rPr>
          <w:rFonts w:ascii="Arial" w:hAnsi="Arial" w:cs="Arial"/>
        </w:rPr>
      </w:pPr>
    </w:p>
    <w:p w14:paraId="230810EE" w14:textId="7B22A725" w:rsidR="00C73625" w:rsidRPr="00C73625" w:rsidRDefault="00C73625" w:rsidP="00C73625">
      <w:pPr>
        <w:pStyle w:val="Body"/>
        <w:rPr>
          <w:rFonts w:ascii="Arial" w:hAnsi="Arial" w:cs="Arial"/>
          <w:b/>
          <w:bCs/>
          <w:sz w:val="22"/>
          <w:szCs w:val="22"/>
        </w:rPr>
      </w:pPr>
      <w:r w:rsidRPr="00C73625">
        <w:rPr>
          <w:rFonts w:ascii="Arial" w:hAnsi="Arial" w:cs="Arial"/>
          <w:b/>
          <w:sz w:val="22"/>
          <w:szCs w:val="22"/>
        </w:rPr>
        <w:t>3.1</w:t>
      </w:r>
      <w:r w:rsidRPr="00C73625">
        <w:rPr>
          <w:rFonts w:ascii="Arial" w:hAnsi="Arial" w:cs="Arial"/>
          <w:sz w:val="22"/>
          <w:szCs w:val="22"/>
        </w:rPr>
        <w:t xml:space="preserve"> </w:t>
      </w:r>
      <w:r w:rsidRPr="00C73625">
        <w:rPr>
          <w:rFonts w:ascii="Arial" w:hAnsi="Arial" w:cs="Arial"/>
          <w:b/>
          <w:bCs/>
          <w:sz w:val="22"/>
          <w:szCs w:val="22"/>
        </w:rPr>
        <w:t>Phytochemical screening</w:t>
      </w:r>
    </w:p>
    <w:p w14:paraId="077E434C" w14:textId="77777777" w:rsidR="00C73625" w:rsidRDefault="00C73625" w:rsidP="00C73625">
      <w:pPr>
        <w:pStyle w:val="Body"/>
        <w:rPr>
          <w:rFonts w:ascii="Arial" w:hAnsi="Arial" w:cs="Arial"/>
        </w:rPr>
      </w:pPr>
      <w:r w:rsidRPr="00C73625">
        <w:rPr>
          <w:rFonts w:ascii="Arial" w:hAnsi="Arial" w:cs="Arial"/>
        </w:rPr>
        <w:t>Phytochemical analysis of the leaf extract revealed the presence of glycosides, saponins, terpenoids, tannins, flavonoids, and resins (Table 1).</w:t>
      </w:r>
    </w:p>
    <w:p w14:paraId="3A3B7982" w14:textId="77777777" w:rsidR="00060483" w:rsidRPr="00253FB5" w:rsidRDefault="00060483" w:rsidP="00060483">
      <w:pPr>
        <w:spacing w:line="480" w:lineRule="auto"/>
        <w:rPr>
          <w:rFonts w:ascii="Arial" w:hAnsi="Arial" w:cs="Arial"/>
          <w:b/>
        </w:rPr>
      </w:pPr>
      <w:proofErr w:type="gramStart"/>
      <w:r w:rsidRPr="00253FB5">
        <w:rPr>
          <w:rFonts w:ascii="Arial" w:hAnsi="Arial" w:cs="Arial"/>
          <w:b/>
        </w:rPr>
        <w:t>Table 1.</w:t>
      </w:r>
      <w:proofErr w:type="gramEnd"/>
      <w:r w:rsidRPr="00253FB5">
        <w:rPr>
          <w:rFonts w:ascii="Arial" w:hAnsi="Arial" w:cs="Arial"/>
          <w:b/>
        </w:rPr>
        <w:t xml:space="preserve"> The findings from different group tests of </w:t>
      </w:r>
      <w:r w:rsidRPr="00253FB5">
        <w:rPr>
          <w:rFonts w:ascii="Arial" w:hAnsi="Arial" w:cs="Arial"/>
          <w:b/>
          <w:i/>
        </w:rPr>
        <w:t>O. robusta</w:t>
      </w:r>
      <w:r w:rsidRPr="00253FB5">
        <w:rPr>
          <w:rFonts w:ascii="Arial" w:hAnsi="Arial" w:cs="Arial"/>
          <w:b/>
        </w:rPr>
        <w:t xml:space="preserve"> leaves</w:t>
      </w:r>
    </w:p>
    <w:tbl>
      <w:tblPr>
        <w:tblStyle w:val="TableGrid"/>
        <w:tblW w:w="0" w:type="auto"/>
        <w:tblLook w:val="04A0" w:firstRow="1" w:lastRow="0" w:firstColumn="1" w:lastColumn="0" w:noHBand="0" w:noVBand="1"/>
      </w:tblPr>
      <w:tblGrid>
        <w:gridCol w:w="4279"/>
        <w:gridCol w:w="4145"/>
      </w:tblGrid>
      <w:tr w:rsidR="00060483" w:rsidRPr="006A333F" w14:paraId="2524ABD5" w14:textId="77777777" w:rsidTr="003933B5">
        <w:tc>
          <w:tcPr>
            <w:tcW w:w="4788" w:type="dxa"/>
          </w:tcPr>
          <w:p w14:paraId="3FD8F815" w14:textId="77777777" w:rsidR="00060483" w:rsidRPr="006A333F" w:rsidRDefault="00060483" w:rsidP="003933B5">
            <w:pPr>
              <w:spacing w:line="480" w:lineRule="auto"/>
              <w:rPr>
                <w:rFonts w:ascii="Arial" w:hAnsi="Arial" w:cs="Arial"/>
                <w:sz w:val="20"/>
                <w:szCs w:val="20"/>
              </w:rPr>
            </w:pPr>
            <w:r w:rsidRPr="006A333F">
              <w:rPr>
                <w:rFonts w:ascii="Arial" w:hAnsi="Arial" w:cs="Arial"/>
                <w:b/>
                <w:bCs/>
                <w:sz w:val="20"/>
                <w:szCs w:val="20"/>
              </w:rPr>
              <w:t>Phytochemicals</w:t>
            </w:r>
          </w:p>
        </w:tc>
        <w:tc>
          <w:tcPr>
            <w:tcW w:w="4788" w:type="dxa"/>
          </w:tcPr>
          <w:p w14:paraId="01B202DE" w14:textId="6D398E52" w:rsidR="00060483" w:rsidRPr="00BA1B80" w:rsidRDefault="00504E99" w:rsidP="003933B5">
            <w:pPr>
              <w:spacing w:line="480" w:lineRule="auto"/>
              <w:jc w:val="center"/>
              <w:rPr>
                <w:rFonts w:ascii="Arial" w:hAnsi="Arial" w:cs="Arial"/>
                <w:b/>
                <w:sz w:val="20"/>
                <w:szCs w:val="20"/>
              </w:rPr>
            </w:pPr>
            <w:r w:rsidRPr="00055E7B">
              <w:rPr>
                <w:rFonts w:ascii="Arial" w:hAnsi="Arial" w:cs="Arial"/>
                <w:b/>
                <w:sz w:val="20"/>
                <w:szCs w:val="20"/>
                <w:highlight w:val="yellow"/>
              </w:rPr>
              <w:t>MELOR</w:t>
            </w:r>
          </w:p>
        </w:tc>
      </w:tr>
      <w:tr w:rsidR="00060483" w:rsidRPr="006A333F" w14:paraId="79D5DD7D" w14:textId="77777777" w:rsidTr="003933B5">
        <w:tc>
          <w:tcPr>
            <w:tcW w:w="4788" w:type="dxa"/>
          </w:tcPr>
          <w:p w14:paraId="0AE0D22B" w14:textId="77777777" w:rsidR="00060483" w:rsidRPr="006A333F" w:rsidRDefault="00060483" w:rsidP="003933B5">
            <w:pPr>
              <w:spacing w:line="480" w:lineRule="auto"/>
              <w:rPr>
                <w:rFonts w:ascii="Arial" w:hAnsi="Arial" w:cs="Arial"/>
                <w:sz w:val="20"/>
                <w:szCs w:val="20"/>
              </w:rPr>
            </w:pPr>
            <w:r w:rsidRPr="006A333F">
              <w:rPr>
                <w:rFonts w:ascii="Arial" w:hAnsi="Arial" w:cs="Arial"/>
                <w:sz w:val="20"/>
                <w:szCs w:val="20"/>
              </w:rPr>
              <w:t>Alkaloids</w:t>
            </w:r>
          </w:p>
        </w:tc>
        <w:tc>
          <w:tcPr>
            <w:tcW w:w="4788" w:type="dxa"/>
          </w:tcPr>
          <w:p w14:paraId="6DEB602F" w14:textId="77777777" w:rsidR="00060483" w:rsidRPr="006A333F" w:rsidRDefault="00060483" w:rsidP="003933B5">
            <w:pPr>
              <w:spacing w:line="480" w:lineRule="auto"/>
              <w:jc w:val="center"/>
              <w:rPr>
                <w:rFonts w:ascii="Arial" w:hAnsi="Arial" w:cs="Arial"/>
                <w:sz w:val="20"/>
                <w:szCs w:val="20"/>
              </w:rPr>
            </w:pPr>
            <w:r w:rsidRPr="006A333F">
              <w:rPr>
                <w:rFonts w:ascii="Arial" w:hAnsi="Arial" w:cs="Arial"/>
                <w:sz w:val="20"/>
                <w:szCs w:val="20"/>
              </w:rPr>
              <w:t>-</w:t>
            </w:r>
          </w:p>
        </w:tc>
      </w:tr>
      <w:tr w:rsidR="00060483" w:rsidRPr="006A333F" w14:paraId="261EF071" w14:textId="77777777" w:rsidTr="003933B5">
        <w:tc>
          <w:tcPr>
            <w:tcW w:w="4788" w:type="dxa"/>
          </w:tcPr>
          <w:p w14:paraId="1C9EEC57" w14:textId="77777777" w:rsidR="00060483" w:rsidRPr="006A333F" w:rsidRDefault="00060483" w:rsidP="003933B5">
            <w:pPr>
              <w:spacing w:line="480" w:lineRule="auto"/>
              <w:rPr>
                <w:rFonts w:ascii="Arial" w:hAnsi="Arial" w:cs="Arial"/>
                <w:sz w:val="20"/>
                <w:szCs w:val="20"/>
              </w:rPr>
            </w:pPr>
            <w:r w:rsidRPr="006A333F">
              <w:rPr>
                <w:rFonts w:ascii="Arial" w:hAnsi="Arial" w:cs="Arial"/>
                <w:sz w:val="20"/>
                <w:szCs w:val="20"/>
              </w:rPr>
              <w:t>Reducing sugars</w:t>
            </w:r>
          </w:p>
        </w:tc>
        <w:tc>
          <w:tcPr>
            <w:tcW w:w="4788" w:type="dxa"/>
          </w:tcPr>
          <w:p w14:paraId="17DD76B0" w14:textId="77777777" w:rsidR="00060483" w:rsidRPr="006A333F" w:rsidRDefault="00060483" w:rsidP="003933B5">
            <w:pPr>
              <w:spacing w:line="480" w:lineRule="auto"/>
              <w:jc w:val="center"/>
              <w:rPr>
                <w:rFonts w:ascii="Arial" w:hAnsi="Arial" w:cs="Arial"/>
                <w:sz w:val="20"/>
                <w:szCs w:val="20"/>
              </w:rPr>
            </w:pPr>
            <w:r w:rsidRPr="006A333F">
              <w:rPr>
                <w:rFonts w:ascii="Arial" w:hAnsi="Arial" w:cs="Arial"/>
                <w:sz w:val="20"/>
                <w:szCs w:val="20"/>
              </w:rPr>
              <w:t>-</w:t>
            </w:r>
          </w:p>
        </w:tc>
      </w:tr>
      <w:tr w:rsidR="00060483" w:rsidRPr="006A333F" w14:paraId="08E0B00A" w14:textId="77777777" w:rsidTr="003933B5">
        <w:tc>
          <w:tcPr>
            <w:tcW w:w="4788" w:type="dxa"/>
          </w:tcPr>
          <w:p w14:paraId="0BFAE2DD" w14:textId="77777777" w:rsidR="00060483" w:rsidRPr="006A333F" w:rsidRDefault="00060483" w:rsidP="003933B5">
            <w:pPr>
              <w:spacing w:line="480" w:lineRule="auto"/>
              <w:rPr>
                <w:rFonts w:ascii="Arial" w:hAnsi="Arial" w:cs="Arial"/>
                <w:sz w:val="20"/>
                <w:szCs w:val="20"/>
              </w:rPr>
            </w:pPr>
            <w:r w:rsidRPr="006A333F">
              <w:rPr>
                <w:rFonts w:ascii="Arial" w:hAnsi="Arial" w:cs="Arial"/>
                <w:sz w:val="20"/>
                <w:szCs w:val="20"/>
              </w:rPr>
              <w:t>Glycosides</w:t>
            </w:r>
          </w:p>
        </w:tc>
        <w:tc>
          <w:tcPr>
            <w:tcW w:w="4788" w:type="dxa"/>
          </w:tcPr>
          <w:p w14:paraId="32DDFA86" w14:textId="77777777" w:rsidR="00060483" w:rsidRPr="006A333F" w:rsidRDefault="00060483" w:rsidP="003933B5">
            <w:pPr>
              <w:spacing w:line="480" w:lineRule="auto"/>
              <w:jc w:val="center"/>
              <w:rPr>
                <w:rFonts w:ascii="Arial" w:hAnsi="Arial" w:cs="Arial"/>
                <w:sz w:val="20"/>
                <w:szCs w:val="20"/>
              </w:rPr>
            </w:pPr>
            <w:r w:rsidRPr="006A333F">
              <w:rPr>
                <w:rFonts w:ascii="Arial" w:hAnsi="Arial" w:cs="Arial"/>
                <w:sz w:val="20"/>
                <w:szCs w:val="20"/>
              </w:rPr>
              <w:t>+</w:t>
            </w:r>
          </w:p>
        </w:tc>
      </w:tr>
      <w:tr w:rsidR="00060483" w:rsidRPr="006A333F" w14:paraId="2D02F997" w14:textId="77777777" w:rsidTr="003933B5">
        <w:tc>
          <w:tcPr>
            <w:tcW w:w="4788" w:type="dxa"/>
          </w:tcPr>
          <w:p w14:paraId="2ECE1C71" w14:textId="77777777" w:rsidR="00060483" w:rsidRPr="006A333F" w:rsidRDefault="00060483" w:rsidP="003933B5">
            <w:pPr>
              <w:spacing w:line="480" w:lineRule="auto"/>
              <w:rPr>
                <w:rFonts w:ascii="Arial" w:hAnsi="Arial" w:cs="Arial"/>
                <w:sz w:val="20"/>
                <w:szCs w:val="20"/>
              </w:rPr>
            </w:pPr>
            <w:r w:rsidRPr="006A333F">
              <w:rPr>
                <w:rFonts w:ascii="Arial" w:hAnsi="Arial" w:cs="Arial"/>
                <w:sz w:val="20"/>
                <w:szCs w:val="20"/>
              </w:rPr>
              <w:t>Cardiac glycosides</w:t>
            </w:r>
          </w:p>
        </w:tc>
        <w:tc>
          <w:tcPr>
            <w:tcW w:w="4788" w:type="dxa"/>
          </w:tcPr>
          <w:p w14:paraId="3425E65B" w14:textId="77777777" w:rsidR="00060483" w:rsidRPr="006A333F" w:rsidRDefault="00060483" w:rsidP="003933B5">
            <w:pPr>
              <w:spacing w:line="480" w:lineRule="auto"/>
              <w:jc w:val="center"/>
              <w:rPr>
                <w:rFonts w:ascii="Arial" w:hAnsi="Arial" w:cs="Arial"/>
                <w:sz w:val="20"/>
                <w:szCs w:val="20"/>
              </w:rPr>
            </w:pPr>
            <w:r w:rsidRPr="006A333F">
              <w:rPr>
                <w:rFonts w:ascii="Arial" w:hAnsi="Arial" w:cs="Arial"/>
                <w:sz w:val="20"/>
                <w:szCs w:val="20"/>
              </w:rPr>
              <w:t>-</w:t>
            </w:r>
          </w:p>
        </w:tc>
      </w:tr>
      <w:tr w:rsidR="00060483" w:rsidRPr="006A333F" w14:paraId="6175C340" w14:textId="77777777" w:rsidTr="003933B5">
        <w:tc>
          <w:tcPr>
            <w:tcW w:w="4788" w:type="dxa"/>
          </w:tcPr>
          <w:p w14:paraId="662DE919" w14:textId="77777777" w:rsidR="00060483" w:rsidRPr="006A333F" w:rsidRDefault="00060483" w:rsidP="003933B5">
            <w:pPr>
              <w:spacing w:line="480" w:lineRule="auto"/>
              <w:rPr>
                <w:rFonts w:ascii="Arial" w:hAnsi="Arial" w:cs="Arial"/>
                <w:sz w:val="20"/>
                <w:szCs w:val="20"/>
              </w:rPr>
            </w:pPr>
            <w:r w:rsidRPr="006A333F">
              <w:rPr>
                <w:rFonts w:ascii="Arial" w:hAnsi="Arial" w:cs="Arial"/>
                <w:sz w:val="20"/>
                <w:szCs w:val="20"/>
              </w:rPr>
              <w:t>Flavonoids</w:t>
            </w:r>
          </w:p>
        </w:tc>
        <w:tc>
          <w:tcPr>
            <w:tcW w:w="4788" w:type="dxa"/>
          </w:tcPr>
          <w:p w14:paraId="0A545CB8" w14:textId="77777777" w:rsidR="00060483" w:rsidRPr="006A333F" w:rsidRDefault="00060483" w:rsidP="003933B5">
            <w:pPr>
              <w:spacing w:line="480" w:lineRule="auto"/>
              <w:jc w:val="center"/>
              <w:rPr>
                <w:rFonts w:ascii="Arial" w:hAnsi="Arial" w:cs="Arial"/>
                <w:sz w:val="20"/>
                <w:szCs w:val="20"/>
              </w:rPr>
            </w:pPr>
            <w:r w:rsidRPr="006A333F">
              <w:rPr>
                <w:rFonts w:ascii="Arial" w:hAnsi="Arial" w:cs="Arial"/>
                <w:sz w:val="20"/>
                <w:szCs w:val="20"/>
              </w:rPr>
              <w:t>+</w:t>
            </w:r>
          </w:p>
        </w:tc>
      </w:tr>
      <w:tr w:rsidR="00060483" w:rsidRPr="006A333F" w14:paraId="6BBE9519" w14:textId="77777777" w:rsidTr="003933B5">
        <w:tc>
          <w:tcPr>
            <w:tcW w:w="4788" w:type="dxa"/>
          </w:tcPr>
          <w:p w14:paraId="7DD0683B" w14:textId="77777777" w:rsidR="00060483" w:rsidRPr="006A333F" w:rsidRDefault="00060483" w:rsidP="003933B5">
            <w:pPr>
              <w:spacing w:line="480" w:lineRule="auto"/>
              <w:rPr>
                <w:rFonts w:ascii="Arial" w:hAnsi="Arial" w:cs="Arial"/>
                <w:sz w:val="20"/>
                <w:szCs w:val="20"/>
              </w:rPr>
            </w:pPr>
            <w:r w:rsidRPr="006A333F">
              <w:rPr>
                <w:rFonts w:ascii="Arial" w:hAnsi="Arial" w:cs="Arial"/>
                <w:sz w:val="20"/>
                <w:szCs w:val="20"/>
              </w:rPr>
              <w:t>Phenolic Compounds</w:t>
            </w:r>
          </w:p>
        </w:tc>
        <w:tc>
          <w:tcPr>
            <w:tcW w:w="4788" w:type="dxa"/>
          </w:tcPr>
          <w:p w14:paraId="3F3B948C" w14:textId="77777777" w:rsidR="00060483" w:rsidRPr="006A333F" w:rsidRDefault="00060483" w:rsidP="003933B5">
            <w:pPr>
              <w:spacing w:line="480" w:lineRule="auto"/>
              <w:jc w:val="center"/>
              <w:rPr>
                <w:rFonts w:ascii="Arial" w:hAnsi="Arial" w:cs="Arial"/>
                <w:sz w:val="20"/>
                <w:szCs w:val="20"/>
              </w:rPr>
            </w:pPr>
            <w:r w:rsidRPr="006A333F">
              <w:rPr>
                <w:rFonts w:ascii="Arial" w:hAnsi="Arial" w:cs="Arial"/>
                <w:sz w:val="20"/>
                <w:szCs w:val="20"/>
              </w:rPr>
              <w:t>-</w:t>
            </w:r>
          </w:p>
        </w:tc>
      </w:tr>
      <w:tr w:rsidR="00060483" w:rsidRPr="006A333F" w14:paraId="796C055C" w14:textId="77777777" w:rsidTr="003933B5">
        <w:tc>
          <w:tcPr>
            <w:tcW w:w="4788" w:type="dxa"/>
          </w:tcPr>
          <w:p w14:paraId="096AE2E9" w14:textId="77777777" w:rsidR="00060483" w:rsidRPr="006A333F" w:rsidRDefault="00060483" w:rsidP="003933B5">
            <w:pPr>
              <w:spacing w:line="480" w:lineRule="auto"/>
              <w:rPr>
                <w:rFonts w:ascii="Arial" w:hAnsi="Arial" w:cs="Arial"/>
                <w:sz w:val="20"/>
                <w:szCs w:val="20"/>
              </w:rPr>
            </w:pPr>
            <w:r w:rsidRPr="006A333F">
              <w:rPr>
                <w:rFonts w:ascii="Arial" w:hAnsi="Arial" w:cs="Arial"/>
                <w:sz w:val="20"/>
                <w:szCs w:val="20"/>
              </w:rPr>
              <w:t>Tannins</w:t>
            </w:r>
          </w:p>
        </w:tc>
        <w:tc>
          <w:tcPr>
            <w:tcW w:w="4788" w:type="dxa"/>
          </w:tcPr>
          <w:p w14:paraId="648FBDAA" w14:textId="77777777" w:rsidR="00060483" w:rsidRPr="006A333F" w:rsidRDefault="00060483" w:rsidP="003933B5">
            <w:pPr>
              <w:spacing w:line="480" w:lineRule="auto"/>
              <w:jc w:val="center"/>
              <w:rPr>
                <w:rFonts w:ascii="Arial" w:hAnsi="Arial" w:cs="Arial"/>
                <w:sz w:val="20"/>
                <w:szCs w:val="20"/>
              </w:rPr>
            </w:pPr>
            <w:r w:rsidRPr="006A333F">
              <w:rPr>
                <w:rFonts w:ascii="Arial" w:hAnsi="Arial" w:cs="Arial"/>
                <w:sz w:val="20"/>
                <w:szCs w:val="20"/>
              </w:rPr>
              <w:t>+</w:t>
            </w:r>
          </w:p>
        </w:tc>
      </w:tr>
      <w:tr w:rsidR="00060483" w:rsidRPr="006A333F" w14:paraId="729F3A2E" w14:textId="77777777" w:rsidTr="003933B5">
        <w:tc>
          <w:tcPr>
            <w:tcW w:w="4788" w:type="dxa"/>
          </w:tcPr>
          <w:p w14:paraId="40169C20" w14:textId="77777777" w:rsidR="00060483" w:rsidRPr="006A333F" w:rsidRDefault="00060483" w:rsidP="003933B5">
            <w:pPr>
              <w:spacing w:line="480" w:lineRule="auto"/>
              <w:rPr>
                <w:rFonts w:ascii="Arial" w:hAnsi="Arial" w:cs="Arial"/>
                <w:sz w:val="20"/>
                <w:szCs w:val="20"/>
              </w:rPr>
            </w:pPr>
            <w:proofErr w:type="spellStart"/>
            <w:r w:rsidRPr="006A333F">
              <w:rPr>
                <w:rFonts w:ascii="Arial" w:hAnsi="Arial" w:cs="Arial"/>
                <w:sz w:val="20"/>
                <w:szCs w:val="20"/>
              </w:rPr>
              <w:t>Phlobatannins</w:t>
            </w:r>
            <w:proofErr w:type="spellEnd"/>
          </w:p>
        </w:tc>
        <w:tc>
          <w:tcPr>
            <w:tcW w:w="4788" w:type="dxa"/>
          </w:tcPr>
          <w:p w14:paraId="3E703B49" w14:textId="77777777" w:rsidR="00060483" w:rsidRPr="006A333F" w:rsidRDefault="00060483" w:rsidP="003933B5">
            <w:pPr>
              <w:spacing w:line="480" w:lineRule="auto"/>
              <w:jc w:val="center"/>
              <w:rPr>
                <w:rFonts w:ascii="Arial" w:hAnsi="Arial" w:cs="Arial"/>
                <w:sz w:val="20"/>
                <w:szCs w:val="20"/>
              </w:rPr>
            </w:pPr>
            <w:r w:rsidRPr="006A333F">
              <w:rPr>
                <w:rFonts w:ascii="Arial" w:hAnsi="Arial" w:cs="Arial"/>
                <w:sz w:val="20"/>
                <w:szCs w:val="20"/>
              </w:rPr>
              <w:t>-</w:t>
            </w:r>
          </w:p>
        </w:tc>
      </w:tr>
      <w:tr w:rsidR="00060483" w:rsidRPr="006A333F" w14:paraId="33378C80" w14:textId="77777777" w:rsidTr="003933B5">
        <w:tc>
          <w:tcPr>
            <w:tcW w:w="4788" w:type="dxa"/>
          </w:tcPr>
          <w:p w14:paraId="6187EEAB" w14:textId="77777777" w:rsidR="00060483" w:rsidRPr="006A333F" w:rsidRDefault="00060483" w:rsidP="003933B5">
            <w:pPr>
              <w:spacing w:line="480" w:lineRule="auto"/>
              <w:rPr>
                <w:rFonts w:ascii="Arial" w:hAnsi="Arial" w:cs="Arial"/>
                <w:sz w:val="20"/>
                <w:szCs w:val="20"/>
              </w:rPr>
            </w:pPr>
            <w:r w:rsidRPr="006A333F">
              <w:rPr>
                <w:rFonts w:ascii="Arial" w:hAnsi="Arial" w:cs="Arial"/>
                <w:sz w:val="20"/>
                <w:szCs w:val="20"/>
              </w:rPr>
              <w:t>Saponins</w:t>
            </w:r>
          </w:p>
        </w:tc>
        <w:tc>
          <w:tcPr>
            <w:tcW w:w="4788" w:type="dxa"/>
          </w:tcPr>
          <w:p w14:paraId="36DC0EFB" w14:textId="77777777" w:rsidR="00060483" w:rsidRPr="006A333F" w:rsidRDefault="00060483" w:rsidP="003933B5">
            <w:pPr>
              <w:spacing w:line="480" w:lineRule="auto"/>
              <w:jc w:val="center"/>
              <w:rPr>
                <w:rFonts w:ascii="Arial" w:hAnsi="Arial" w:cs="Arial"/>
                <w:sz w:val="20"/>
                <w:szCs w:val="20"/>
              </w:rPr>
            </w:pPr>
            <w:r w:rsidRPr="006A333F">
              <w:rPr>
                <w:rFonts w:ascii="Arial" w:hAnsi="Arial" w:cs="Arial"/>
                <w:sz w:val="20"/>
                <w:szCs w:val="20"/>
              </w:rPr>
              <w:t>+</w:t>
            </w:r>
          </w:p>
        </w:tc>
      </w:tr>
      <w:tr w:rsidR="00060483" w:rsidRPr="006A333F" w14:paraId="294B7B4D" w14:textId="77777777" w:rsidTr="003933B5">
        <w:tc>
          <w:tcPr>
            <w:tcW w:w="4788" w:type="dxa"/>
          </w:tcPr>
          <w:p w14:paraId="7515D1C1" w14:textId="77777777" w:rsidR="00060483" w:rsidRPr="006A333F" w:rsidRDefault="00060483" w:rsidP="003933B5">
            <w:pPr>
              <w:spacing w:line="480" w:lineRule="auto"/>
              <w:rPr>
                <w:rFonts w:ascii="Arial" w:hAnsi="Arial" w:cs="Arial"/>
                <w:sz w:val="20"/>
                <w:szCs w:val="20"/>
              </w:rPr>
            </w:pPr>
            <w:r w:rsidRPr="006A333F">
              <w:rPr>
                <w:rFonts w:ascii="Arial" w:hAnsi="Arial" w:cs="Arial"/>
                <w:sz w:val="20"/>
                <w:szCs w:val="20"/>
              </w:rPr>
              <w:t>Phytosterols</w:t>
            </w:r>
          </w:p>
        </w:tc>
        <w:tc>
          <w:tcPr>
            <w:tcW w:w="4788" w:type="dxa"/>
          </w:tcPr>
          <w:p w14:paraId="611CCF59" w14:textId="77777777" w:rsidR="00060483" w:rsidRPr="006A333F" w:rsidRDefault="00060483" w:rsidP="003933B5">
            <w:pPr>
              <w:spacing w:line="480" w:lineRule="auto"/>
              <w:jc w:val="center"/>
              <w:rPr>
                <w:rFonts w:ascii="Arial" w:hAnsi="Arial" w:cs="Arial"/>
                <w:sz w:val="20"/>
                <w:szCs w:val="20"/>
              </w:rPr>
            </w:pPr>
            <w:r w:rsidRPr="006A333F">
              <w:rPr>
                <w:rFonts w:ascii="Arial" w:hAnsi="Arial" w:cs="Arial"/>
                <w:sz w:val="20"/>
                <w:szCs w:val="20"/>
              </w:rPr>
              <w:t>-</w:t>
            </w:r>
          </w:p>
        </w:tc>
      </w:tr>
      <w:tr w:rsidR="00060483" w:rsidRPr="006A333F" w14:paraId="7D616CBF" w14:textId="77777777" w:rsidTr="003933B5">
        <w:tc>
          <w:tcPr>
            <w:tcW w:w="4788" w:type="dxa"/>
          </w:tcPr>
          <w:p w14:paraId="4FC5F703" w14:textId="77777777" w:rsidR="00060483" w:rsidRPr="006A333F" w:rsidRDefault="00060483" w:rsidP="003933B5">
            <w:pPr>
              <w:spacing w:line="480" w:lineRule="auto"/>
              <w:rPr>
                <w:rFonts w:ascii="Arial" w:hAnsi="Arial" w:cs="Arial"/>
                <w:sz w:val="20"/>
                <w:szCs w:val="20"/>
              </w:rPr>
            </w:pPr>
            <w:r w:rsidRPr="006A333F">
              <w:rPr>
                <w:rFonts w:ascii="Arial" w:hAnsi="Arial" w:cs="Arial"/>
                <w:sz w:val="20"/>
                <w:szCs w:val="20"/>
              </w:rPr>
              <w:lastRenderedPageBreak/>
              <w:t>Terpenoids</w:t>
            </w:r>
          </w:p>
        </w:tc>
        <w:tc>
          <w:tcPr>
            <w:tcW w:w="4788" w:type="dxa"/>
          </w:tcPr>
          <w:p w14:paraId="78A21736" w14:textId="77777777" w:rsidR="00060483" w:rsidRPr="006A333F" w:rsidRDefault="00060483" w:rsidP="003933B5">
            <w:pPr>
              <w:spacing w:line="480" w:lineRule="auto"/>
              <w:jc w:val="center"/>
              <w:rPr>
                <w:rFonts w:ascii="Arial" w:hAnsi="Arial" w:cs="Arial"/>
                <w:sz w:val="20"/>
                <w:szCs w:val="20"/>
              </w:rPr>
            </w:pPr>
            <w:r w:rsidRPr="006A333F">
              <w:rPr>
                <w:rFonts w:ascii="Arial" w:hAnsi="Arial" w:cs="Arial"/>
                <w:sz w:val="20"/>
                <w:szCs w:val="20"/>
              </w:rPr>
              <w:t>+</w:t>
            </w:r>
          </w:p>
        </w:tc>
      </w:tr>
      <w:tr w:rsidR="00060483" w:rsidRPr="006A333F" w14:paraId="5ABC0926" w14:textId="77777777" w:rsidTr="003933B5">
        <w:tc>
          <w:tcPr>
            <w:tcW w:w="4788" w:type="dxa"/>
          </w:tcPr>
          <w:p w14:paraId="1D95DE70" w14:textId="77777777" w:rsidR="00060483" w:rsidRPr="006A333F" w:rsidRDefault="00060483" w:rsidP="003933B5">
            <w:pPr>
              <w:spacing w:line="480" w:lineRule="auto"/>
              <w:rPr>
                <w:rFonts w:ascii="Arial" w:hAnsi="Arial" w:cs="Arial"/>
                <w:sz w:val="20"/>
                <w:szCs w:val="20"/>
              </w:rPr>
            </w:pPr>
            <w:r w:rsidRPr="006A333F">
              <w:rPr>
                <w:rFonts w:ascii="Arial" w:hAnsi="Arial" w:cs="Arial"/>
                <w:sz w:val="20"/>
                <w:szCs w:val="20"/>
              </w:rPr>
              <w:t>Quinones</w:t>
            </w:r>
          </w:p>
        </w:tc>
        <w:tc>
          <w:tcPr>
            <w:tcW w:w="4788" w:type="dxa"/>
          </w:tcPr>
          <w:p w14:paraId="19833CB1" w14:textId="77777777" w:rsidR="00060483" w:rsidRPr="006A333F" w:rsidRDefault="00060483" w:rsidP="003933B5">
            <w:pPr>
              <w:spacing w:line="480" w:lineRule="auto"/>
              <w:jc w:val="center"/>
              <w:rPr>
                <w:rFonts w:ascii="Arial" w:hAnsi="Arial" w:cs="Arial"/>
                <w:sz w:val="20"/>
                <w:szCs w:val="20"/>
              </w:rPr>
            </w:pPr>
            <w:r w:rsidRPr="006A333F">
              <w:rPr>
                <w:rFonts w:ascii="Arial" w:hAnsi="Arial" w:cs="Arial"/>
                <w:sz w:val="20"/>
                <w:szCs w:val="20"/>
              </w:rPr>
              <w:t>-</w:t>
            </w:r>
          </w:p>
        </w:tc>
      </w:tr>
      <w:tr w:rsidR="00060483" w:rsidRPr="006A333F" w14:paraId="2BCBE99D" w14:textId="77777777" w:rsidTr="003933B5">
        <w:tc>
          <w:tcPr>
            <w:tcW w:w="4788" w:type="dxa"/>
          </w:tcPr>
          <w:p w14:paraId="7AB7CF24" w14:textId="77777777" w:rsidR="00060483" w:rsidRPr="006A333F" w:rsidRDefault="00060483" w:rsidP="003933B5">
            <w:pPr>
              <w:spacing w:line="480" w:lineRule="auto"/>
              <w:rPr>
                <w:rFonts w:ascii="Arial" w:hAnsi="Arial" w:cs="Arial"/>
                <w:sz w:val="20"/>
                <w:szCs w:val="20"/>
              </w:rPr>
            </w:pPr>
            <w:r w:rsidRPr="006A333F">
              <w:rPr>
                <w:rFonts w:ascii="Arial" w:hAnsi="Arial" w:cs="Arial"/>
                <w:sz w:val="20"/>
                <w:szCs w:val="20"/>
              </w:rPr>
              <w:t>Anthraquinones</w:t>
            </w:r>
          </w:p>
        </w:tc>
        <w:tc>
          <w:tcPr>
            <w:tcW w:w="4788" w:type="dxa"/>
          </w:tcPr>
          <w:p w14:paraId="78929E32" w14:textId="77777777" w:rsidR="00060483" w:rsidRPr="006A333F" w:rsidRDefault="00060483" w:rsidP="003933B5">
            <w:pPr>
              <w:spacing w:line="480" w:lineRule="auto"/>
              <w:jc w:val="center"/>
              <w:rPr>
                <w:rFonts w:ascii="Arial" w:hAnsi="Arial" w:cs="Arial"/>
                <w:sz w:val="20"/>
                <w:szCs w:val="20"/>
              </w:rPr>
            </w:pPr>
            <w:r w:rsidRPr="006A333F">
              <w:rPr>
                <w:rFonts w:ascii="Arial" w:hAnsi="Arial" w:cs="Arial"/>
                <w:sz w:val="20"/>
                <w:szCs w:val="20"/>
              </w:rPr>
              <w:t>-</w:t>
            </w:r>
          </w:p>
        </w:tc>
      </w:tr>
      <w:tr w:rsidR="00060483" w:rsidRPr="006A333F" w14:paraId="72307985" w14:textId="77777777" w:rsidTr="003933B5">
        <w:tc>
          <w:tcPr>
            <w:tcW w:w="4788" w:type="dxa"/>
          </w:tcPr>
          <w:p w14:paraId="48CDF2D8" w14:textId="77777777" w:rsidR="00060483" w:rsidRPr="006A333F" w:rsidRDefault="00060483" w:rsidP="003933B5">
            <w:pPr>
              <w:spacing w:line="480" w:lineRule="auto"/>
              <w:rPr>
                <w:rFonts w:ascii="Arial" w:hAnsi="Arial" w:cs="Arial"/>
                <w:sz w:val="20"/>
                <w:szCs w:val="20"/>
              </w:rPr>
            </w:pPr>
            <w:r w:rsidRPr="006A333F">
              <w:rPr>
                <w:rFonts w:ascii="Arial" w:hAnsi="Arial" w:cs="Arial"/>
                <w:sz w:val="20"/>
                <w:szCs w:val="20"/>
              </w:rPr>
              <w:t>Carboxylic acid</w:t>
            </w:r>
          </w:p>
        </w:tc>
        <w:tc>
          <w:tcPr>
            <w:tcW w:w="4788" w:type="dxa"/>
          </w:tcPr>
          <w:p w14:paraId="1FEA14E6" w14:textId="77777777" w:rsidR="00060483" w:rsidRPr="006A333F" w:rsidRDefault="00060483" w:rsidP="003933B5">
            <w:pPr>
              <w:spacing w:line="480" w:lineRule="auto"/>
              <w:jc w:val="center"/>
              <w:rPr>
                <w:rFonts w:ascii="Arial" w:hAnsi="Arial" w:cs="Arial"/>
                <w:sz w:val="20"/>
                <w:szCs w:val="20"/>
              </w:rPr>
            </w:pPr>
            <w:r w:rsidRPr="006A333F">
              <w:rPr>
                <w:rFonts w:ascii="Arial" w:hAnsi="Arial" w:cs="Arial"/>
                <w:sz w:val="20"/>
                <w:szCs w:val="20"/>
              </w:rPr>
              <w:t>-</w:t>
            </w:r>
          </w:p>
        </w:tc>
      </w:tr>
      <w:tr w:rsidR="00060483" w:rsidRPr="006A333F" w14:paraId="19318325" w14:textId="77777777" w:rsidTr="003933B5">
        <w:tc>
          <w:tcPr>
            <w:tcW w:w="4788" w:type="dxa"/>
          </w:tcPr>
          <w:p w14:paraId="48B2C579" w14:textId="77777777" w:rsidR="00060483" w:rsidRPr="006A333F" w:rsidRDefault="00060483" w:rsidP="003933B5">
            <w:pPr>
              <w:spacing w:line="480" w:lineRule="auto"/>
              <w:rPr>
                <w:rFonts w:ascii="Arial" w:hAnsi="Arial" w:cs="Arial"/>
                <w:sz w:val="20"/>
                <w:szCs w:val="20"/>
              </w:rPr>
            </w:pPr>
            <w:r w:rsidRPr="006A333F">
              <w:rPr>
                <w:rFonts w:ascii="Arial" w:hAnsi="Arial" w:cs="Arial"/>
                <w:sz w:val="20"/>
                <w:szCs w:val="20"/>
              </w:rPr>
              <w:t>Resins</w:t>
            </w:r>
          </w:p>
        </w:tc>
        <w:tc>
          <w:tcPr>
            <w:tcW w:w="4788" w:type="dxa"/>
          </w:tcPr>
          <w:p w14:paraId="0D4E8ADA" w14:textId="77777777" w:rsidR="00060483" w:rsidRPr="006A333F" w:rsidRDefault="00060483" w:rsidP="003933B5">
            <w:pPr>
              <w:spacing w:line="480" w:lineRule="auto"/>
              <w:jc w:val="center"/>
              <w:rPr>
                <w:rFonts w:ascii="Arial" w:hAnsi="Arial" w:cs="Arial"/>
                <w:sz w:val="20"/>
                <w:szCs w:val="20"/>
              </w:rPr>
            </w:pPr>
            <w:r w:rsidRPr="006A333F">
              <w:rPr>
                <w:rFonts w:ascii="Arial" w:hAnsi="Arial" w:cs="Arial"/>
                <w:sz w:val="20"/>
                <w:szCs w:val="20"/>
              </w:rPr>
              <w:t>+</w:t>
            </w:r>
          </w:p>
        </w:tc>
      </w:tr>
      <w:tr w:rsidR="00060483" w:rsidRPr="006A333F" w14:paraId="0B4575A8" w14:textId="77777777" w:rsidTr="003933B5">
        <w:tc>
          <w:tcPr>
            <w:tcW w:w="4788" w:type="dxa"/>
          </w:tcPr>
          <w:p w14:paraId="1B80F3E4" w14:textId="77777777" w:rsidR="00060483" w:rsidRPr="006A333F" w:rsidRDefault="00060483" w:rsidP="003933B5">
            <w:pPr>
              <w:spacing w:line="480" w:lineRule="auto"/>
              <w:rPr>
                <w:rFonts w:ascii="Arial" w:hAnsi="Arial" w:cs="Arial"/>
                <w:sz w:val="20"/>
                <w:szCs w:val="20"/>
              </w:rPr>
            </w:pPr>
            <w:r w:rsidRPr="006A333F">
              <w:rPr>
                <w:rFonts w:ascii="Arial" w:hAnsi="Arial" w:cs="Arial"/>
                <w:sz w:val="20"/>
                <w:szCs w:val="20"/>
              </w:rPr>
              <w:t>Fixed oils and Fats</w:t>
            </w:r>
          </w:p>
        </w:tc>
        <w:tc>
          <w:tcPr>
            <w:tcW w:w="4788" w:type="dxa"/>
          </w:tcPr>
          <w:p w14:paraId="3D193650" w14:textId="77777777" w:rsidR="00060483" w:rsidRPr="006A333F" w:rsidRDefault="00060483" w:rsidP="003933B5">
            <w:pPr>
              <w:spacing w:line="480" w:lineRule="auto"/>
              <w:jc w:val="center"/>
              <w:rPr>
                <w:rFonts w:ascii="Arial" w:hAnsi="Arial" w:cs="Arial"/>
                <w:sz w:val="20"/>
                <w:szCs w:val="20"/>
              </w:rPr>
            </w:pPr>
            <w:r w:rsidRPr="006A333F">
              <w:rPr>
                <w:rFonts w:ascii="Arial" w:hAnsi="Arial" w:cs="Arial"/>
                <w:sz w:val="20"/>
                <w:szCs w:val="20"/>
              </w:rPr>
              <w:t>-</w:t>
            </w:r>
          </w:p>
        </w:tc>
      </w:tr>
    </w:tbl>
    <w:p w14:paraId="602A9EB6" w14:textId="77777777" w:rsidR="00060483" w:rsidRPr="006A333F" w:rsidRDefault="00060483" w:rsidP="00060483">
      <w:pPr>
        <w:spacing w:line="480" w:lineRule="auto"/>
        <w:rPr>
          <w:rFonts w:ascii="Arial" w:hAnsi="Arial" w:cs="Arial"/>
        </w:rPr>
      </w:pPr>
      <w:r>
        <w:rPr>
          <w:rFonts w:ascii="Arial" w:hAnsi="Arial" w:cs="Arial"/>
        </w:rPr>
        <w:t>*</w:t>
      </w:r>
      <w:r w:rsidRPr="006A333F">
        <w:rPr>
          <w:rFonts w:ascii="Arial" w:hAnsi="Arial" w:cs="Arial"/>
        </w:rPr>
        <w:t>‘+’ represents presence and ‘–’ represents absence</w:t>
      </w:r>
    </w:p>
    <w:p w14:paraId="5F6A3E87" w14:textId="60778472" w:rsidR="00060483" w:rsidRPr="00C73625" w:rsidRDefault="00060483" w:rsidP="00C73625">
      <w:pPr>
        <w:pStyle w:val="Body"/>
        <w:rPr>
          <w:rFonts w:ascii="Arial" w:hAnsi="Arial" w:cs="Arial"/>
        </w:rPr>
      </w:pPr>
    </w:p>
    <w:p w14:paraId="11E85D01" w14:textId="7F3AA23A" w:rsidR="00C73625" w:rsidRPr="00C73625" w:rsidRDefault="00C73625" w:rsidP="00C73625">
      <w:pPr>
        <w:pStyle w:val="Body"/>
        <w:rPr>
          <w:rFonts w:ascii="Arial" w:hAnsi="Arial" w:cs="Arial"/>
          <w:b/>
          <w:sz w:val="22"/>
          <w:szCs w:val="22"/>
        </w:rPr>
      </w:pPr>
      <w:r w:rsidRPr="00C73625">
        <w:rPr>
          <w:rFonts w:ascii="Arial" w:hAnsi="Arial" w:cs="Arial"/>
          <w:b/>
          <w:sz w:val="22"/>
          <w:szCs w:val="22"/>
        </w:rPr>
        <w:t>3.2 DPPH free radical-scavenging activity</w:t>
      </w:r>
    </w:p>
    <w:p w14:paraId="1A44B127" w14:textId="19EC2881" w:rsidR="00C73625" w:rsidRDefault="00C73625" w:rsidP="00C73625">
      <w:pPr>
        <w:pStyle w:val="Body"/>
        <w:rPr>
          <w:rFonts w:ascii="Arial" w:hAnsi="Arial" w:cs="Arial"/>
        </w:rPr>
      </w:pPr>
      <w:r w:rsidRPr="00C73625">
        <w:rPr>
          <w:rFonts w:ascii="Arial" w:hAnsi="Arial" w:cs="Arial"/>
        </w:rPr>
        <w:t xml:space="preserve">In the DPPH experiment, </w:t>
      </w:r>
      <w:r w:rsidR="00504E99">
        <w:rPr>
          <w:rFonts w:ascii="Arial" w:hAnsi="Arial" w:cs="Arial"/>
        </w:rPr>
        <w:t>MELOR</w:t>
      </w:r>
      <w:r w:rsidRPr="00C73625">
        <w:rPr>
          <w:rFonts w:ascii="Arial" w:hAnsi="Arial" w:cs="Arial"/>
        </w:rPr>
        <w:t xml:space="preserve"> demonstrated a level of radical scavenging activity that was moderate. The value of the minimum inhibitory concentration (IC</w:t>
      </w:r>
      <w:r w:rsidRPr="00C73625">
        <w:rPr>
          <w:rFonts w:ascii="Arial" w:hAnsi="Arial" w:cs="Arial"/>
          <w:vertAlign w:val="subscript"/>
        </w:rPr>
        <w:t>50</w:t>
      </w:r>
      <w:r w:rsidRPr="00C73625">
        <w:rPr>
          <w:rFonts w:ascii="Arial" w:hAnsi="Arial" w:cs="Arial"/>
        </w:rPr>
        <w:t xml:space="preserve">) for </w:t>
      </w:r>
      <w:r w:rsidR="00504E99" w:rsidRPr="00055E7B">
        <w:rPr>
          <w:rFonts w:ascii="Arial" w:hAnsi="Arial" w:cs="Arial"/>
          <w:highlight w:val="yellow"/>
        </w:rPr>
        <w:t>MELOR</w:t>
      </w:r>
      <w:r w:rsidRPr="00C73625">
        <w:rPr>
          <w:rFonts w:ascii="Arial" w:hAnsi="Arial" w:cs="Arial"/>
        </w:rPr>
        <w:t xml:space="preserve"> was determined to be 63.81 </w:t>
      </w:r>
      <w:proofErr w:type="spellStart"/>
      <w:r w:rsidR="00765BB1">
        <w:rPr>
          <w:rFonts w:ascii="Arial" w:hAnsi="Arial" w:cs="Arial"/>
        </w:rPr>
        <w:t>μg</w:t>
      </w:r>
      <w:proofErr w:type="spellEnd"/>
      <w:r w:rsidR="00765BB1">
        <w:rPr>
          <w:rFonts w:ascii="Arial" w:hAnsi="Arial" w:cs="Arial"/>
        </w:rPr>
        <w:t>/mL</w:t>
      </w:r>
      <w:r w:rsidRPr="00C73625">
        <w:rPr>
          <w:rFonts w:ascii="Arial" w:hAnsi="Arial" w:cs="Arial"/>
        </w:rPr>
        <w:t>, and the regression equation was y = 0.1097x + 43.00, with R</w:t>
      </w:r>
      <w:r w:rsidRPr="00C73625">
        <w:rPr>
          <w:rFonts w:ascii="Arial" w:hAnsi="Arial" w:cs="Arial"/>
          <w:vertAlign w:val="superscript"/>
        </w:rPr>
        <w:t>2</w:t>
      </w:r>
      <w:r w:rsidRPr="00C73625">
        <w:rPr>
          <w:rFonts w:ascii="Arial" w:hAnsi="Arial" w:cs="Arial"/>
        </w:rPr>
        <w:t xml:space="preserve">= </w:t>
      </w:r>
      <w:bookmarkStart w:id="0" w:name="OLE_LINK3"/>
      <w:r w:rsidRPr="00C73625">
        <w:rPr>
          <w:rFonts w:ascii="Arial" w:hAnsi="Arial" w:cs="Arial"/>
        </w:rPr>
        <w:t>0.8204</w:t>
      </w:r>
      <w:bookmarkEnd w:id="0"/>
      <w:r w:rsidRPr="00C73625">
        <w:rPr>
          <w:rFonts w:ascii="Arial" w:hAnsi="Arial" w:cs="Arial"/>
        </w:rPr>
        <w:t xml:space="preserve">. The </w:t>
      </w:r>
      <w:bookmarkStart w:id="1" w:name="OLE_LINK1"/>
      <w:r w:rsidRPr="00C73625">
        <w:rPr>
          <w:rFonts w:ascii="Arial" w:hAnsi="Arial" w:cs="Arial"/>
        </w:rPr>
        <w:t>IC</w:t>
      </w:r>
      <w:r w:rsidRPr="00C73625">
        <w:rPr>
          <w:rFonts w:ascii="Arial" w:hAnsi="Arial" w:cs="Arial"/>
          <w:vertAlign w:val="subscript"/>
        </w:rPr>
        <w:t>50</w:t>
      </w:r>
      <w:bookmarkEnd w:id="1"/>
      <w:r w:rsidRPr="00C73625">
        <w:rPr>
          <w:rFonts w:ascii="Arial" w:hAnsi="Arial" w:cs="Arial"/>
        </w:rPr>
        <w:t xml:space="preserve"> value for the standard ascorbic acid was determined to be 12.90 </w:t>
      </w:r>
      <w:proofErr w:type="spellStart"/>
      <w:r w:rsidR="00765BB1">
        <w:rPr>
          <w:rFonts w:ascii="Arial" w:hAnsi="Arial" w:cs="Arial"/>
        </w:rPr>
        <w:t>μg</w:t>
      </w:r>
      <w:proofErr w:type="spellEnd"/>
      <w:r w:rsidR="00765BB1">
        <w:rPr>
          <w:rFonts w:ascii="Arial" w:hAnsi="Arial" w:cs="Arial"/>
        </w:rPr>
        <w:t>/mL</w:t>
      </w:r>
      <w:r w:rsidRPr="00C73625">
        <w:rPr>
          <w:rFonts w:ascii="Arial" w:hAnsi="Arial" w:cs="Arial"/>
        </w:rPr>
        <w:t>, and the regression equation was y = 0.1069x + 48.62, with R</w:t>
      </w:r>
      <w:r w:rsidRPr="00C73625">
        <w:rPr>
          <w:rFonts w:ascii="Arial" w:hAnsi="Arial" w:cs="Arial"/>
          <w:vertAlign w:val="superscript"/>
        </w:rPr>
        <w:t>2</w:t>
      </w:r>
      <w:r w:rsidRPr="00C73625">
        <w:rPr>
          <w:rFonts w:ascii="Arial" w:hAnsi="Arial" w:cs="Arial"/>
        </w:rPr>
        <w:t xml:space="preserve">= </w:t>
      </w:r>
      <w:bookmarkStart w:id="2" w:name="OLE_LINK4"/>
      <w:r w:rsidRPr="00C73625">
        <w:rPr>
          <w:rFonts w:ascii="Arial" w:hAnsi="Arial" w:cs="Arial"/>
        </w:rPr>
        <w:t>0.8313</w:t>
      </w:r>
      <w:bookmarkEnd w:id="2"/>
      <w:r w:rsidRPr="00C73625">
        <w:rPr>
          <w:rFonts w:ascii="Arial" w:hAnsi="Arial" w:cs="Arial"/>
        </w:rPr>
        <w:t xml:space="preserve">. When compared to that of ascorbic acid, the antioxidant DPPH scavenging activity of </w:t>
      </w:r>
      <w:r w:rsidR="00504E99" w:rsidRPr="00055E7B">
        <w:rPr>
          <w:rFonts w:ascii="Arial" w:hAnsi="Arial" w:cs="Arial"/>
          <w:highlight w:val="yellow"/>
        </w:rPr>
        <w:t>MELOR</w:t>
      </w:r>
      <w:r w:rsidRPr="00C73625">
        <w:rPr>
          <w:rFonts w:ascii="Arial" w:hAnsi="Arial" w:cs="Arial"/>
        </w:rPr>
        <w:t xml:space="preserve"> was shown to be considerably similar. There were six different concentrations of </w:t>
      </w:r>
      <w:r w:rsidR="00504E99" w:rsidRPr="00055E7B">
        <w:rPr>
          <w:rFonts w:ascii="Arial" w:hAnsi="Arial" w:cs="Arial"/>
          <w:highlight w:val="yellow"/>
        </w:rPr>
        <w:t>MELOR</w:t>
      </w:r>
      <w:r w:rsidRPr="00C73625">
        <w:rPr>
          <w:rFonts w:ascii="Arial" w:hAnsi="Arial" w:cs="Arial"/>
        </w:rPr>
        <w:t xml:space="preserve">. The one with the most scavenging activity was 1000 </w:t>
      </w:r>
      <w:proofErr w:type="spellStart"/>
      <w:r w:rsidR="00765BB1">
        <w:rPr>
          <w:rFonts w:ascii="Arial" w:hAnsi="Arial" w:cs="Arial"/>
        </w:rPr>
        <w:t>μg</w:t>
      </w:r>
      <w:proofErr w:type="spellEnd"/>
      <w:r w:rsidR="00765BB1">
        <w:rPr>
          <w:rFonts w:ascii="Arial" w:hAnsi="Arial" w:cs="Arial"/>
        </w:rPr>
        <w:t>/mL</w:t>
      </w:r>
      <w:r w:rsidRPr="00C73625">
        <w:rPr>
          <w:rFonts w:ascii="Arial" w:hAnsi="Arial" w:cs="Arial"/>
        </w:rPr>
        <w:t xml:space="preserve"> (91.26%, </w:t>
      </w:r>
      <w:r w:rsidRPr="00C73625">
        <w:rPr>
          <w:rFonts w:ascii="Arial" w:hAnsi="Arial" w:cs="Arial"/>
          <w:i/>
          <w:iCs/>
        </w:rPr>
        <w:t>P &lt; 0.001</w:t>
      </w:r>
      <w:r w:rsidRPr="00C73625">
        <w:rPr>
          <w:rFonts w:ascii="Arial" w:hAnsi="Arial" w:cs="Arial"/>
        </w:rPr>
        <w:t>), while the same amount of ascorbic acid had 95.12% scavenging activity (Fig. 2).</w:t>
      </w:r>
    </w:p>
    <w:p w14:paraId="1F075C32" w14:textId="32EB51EE" w:rsidR="0050372C" w:rsidRDefault="00FC1C37" w:rsidP="00C73625">
      <w:pPr>
        <w:pStyle w:val="Body"/>
        <w:rPr>
          <w:rFonts w:ascii="Arial" w:hAnsi="Arial" w:cs="Arial"/>
          <w:b/>
        </w:rPr>
      </w:pPr>
      <w:r>
        <w:rPr>
          <w:rFonts w:ascii="Arial" w:hAnsi="Arial" w:cs="Arial"/>
          <w:b/>
          <w:noProof/>
        </w:rPr>
        <w:drawing>
          <wp:inline distT="0" distB="0" distL="0" distR="0" wp14:anchorId="08B2D86D" wp14:editId="05AF16CA">
            <wp:extent cx="5212080" cy="246316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ioxidant south asian.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12080" cy="2463165"/>
                    </a:xfrm>
                    <a:prstGeom prst="rect">
                      <a:avLst/>
                    </a:prstGeom>
                  </pic:spPr>
                </pic:pic>
              </a:graphicData>
            </a:graphic>
          </wp:inline>
        </w:drawing>
      </w:r>
    </w:p>
    <w:p w14:paraId="23C86592" w14:textId="62D385F3" w:rsidR="0050372C" w:rsidRPr="00253FB5" w:rsidRDefault="0020328D" w:rsidP="00253FB5">
      <w:pPr>
        <w:jc w:val="both"/>
        <w:rPr>
          <w:rFonts w:ascii="Arial" w:hAnsi="Arial" w:cs="Arial"/>
          <w:b/>
          <w:bCs/>
        </w:rPr>
      </w:pPr>
      <w:proofErr w:type="gramStart"/>
      <w:r w:rsidRPr="002C6A55">
        <w:rPr>
          <w:rFonts w:ascii="Arial" w:hAnsi="Arial" w:cs="Arial"/>
          <w:b/>
          <w:bCs/>
          <w:highlight w:val="yellow"/>
        </w:rPr>
        <w:t>Fig. 2.</w:t>
      </w:r>
      <w:proofErr w:type="gramEnd"/>
      <w:r w:rsidR="0050372C" w:rsidRPr="002C6A55">
        <w:rPr>
          <w:rFonts w:ascii="Arial" w:hAnsi="Arial" w:cs="Arial"/>
          <w:b/>
          <w:bCs/>
          <w:highlight w:val="yellow"/>
        </w:rPr>
        <w:t xml:space="preserve"> DPPH scavenging pote</w:t>
      </w:r>
      <w:r w:rsidRPr="002C6A55">
        <w:rPr>
          <w:rFonts w:ascii="Arial" w:hAnsi="Arial" w:cs="Arial"/>
          <w:b/>
          <w:bCs/>
          <w:highlight w:val="yellow"/>
        </w:rPr>
        <w:t xml:space="preserve">ntial of </w:t>
      </w:r>
      <w:r w:rsidR="00504E99" w:rsidRPr="00055E7B">
        <w:rPr>
          <w:rFonts w:ascii="Arial" w:hAnsi="Arial" w:cs="Arial"/>
          <w:b/>
          <w:bCs/>
          <w:highlight w:val="yellow"/>
        </w:rPr>
        <w:t>MELOR</w:t>
      </w:r>
      <w:r w:rsidRPr="00055E7B">
        <w:rPr>
          <w:rFonts w:ascii="Arial" w:hAnsi="Arial" w:cs="Arial"/>
          <w:b/>
          <w:bCs/>
          <w:highlight w:val="yellow"/>
        </w:rPr>
        <w:t xml:space="preserve"> </w:t>
      </w:r>
      <w:r w:rsidRPr="002C6A55">
        <w:rPr>
          <w:rFonts w:ascii="Arial" w:hAnsi="Arial" w:cs="Arial"/>
          <w:b/>
          <w:bCs/>
          <w:highlight w:val="yellow"/>
        </w:rPr>
        <w:t>and</w:t>
      </w:r>
      <w:r w:rsidR="0050372C" w:rsidRPr="002C6A55">
        <w:rPr>
          <w:rFonts w:ascii="Arial" w:hAnsi="Arial" w:cs="Arial"/>
          <w:b/>
          <w:bCs/>
          <w:highlight w:val="yellow"/>
        </w:rPr>
        <w:t xml:space="preserve"> ascorbic acid</w:t>
      </w:r>
    </w:p>
    <w:p w14:paraId="0B82A62F" w14:textId="77777777" w:rsidR="0050372C" w:rsidRDefault="0050372C" w:rsidP="00C73625">
      <w:pPr>
        <w:pStyle w:val="Body"/>
        <w:rPr>
          <w:rFonts w:ascii="Arial" w:hAnsi="Arial" w:cs="Arial"/>
          <w:b/>
          <w:sz w:val="22"/>
          <w:szCs w:val="22"/>
        </w:rPr>
      </w:pPr>
      <w:bookmarkStart w:id="3" w:name="_GoBack"/>
      <w:bookmarkEnd w:id="3"/>
    </w:p>
    <w:p w14:paraId="584CEB13" w14:textId="557BE8BF" w:rsidR="00C73625" w:rsidRPr="00C73625" w:rsidRDefault="00C73625" w:rsidP="00C73625">
      <w:pPr>
        <w:pStyle w:val="Body"/>
        <w:rPr>
          <w:rFonts w:ascii="Arial" w:hAnsi="Arial" w:cs="Arial"/>
          <w:b/>
          <w:sz w:val="22"/>
          <w:szCs w:val="22"/>
        </w:rPr>
      </w:pPr>
      <w:r w:rsidRPr="00C73625">
        <w:rPr>
          <w:rFonts w:ascii="Arial" w:hAnsi="Arial" w:cs="Arial"/>
          <w:b/>
          <w:sz w:val="22"/>
          <w:szCs w:val="22"/>
        </w:rPr>
        <w:t>3.3 Brine Shrimp lethality bioassay</w:t>
      </w:r>
    </w:p>
    <w:p w14:paraId="19E323CD" w14:textId="49EFFEE5" w:rsidR="00C73625" w:rsidRDefault="00C73625" w:rsidP="00C73625">
      <w:pPr>
        <w:pStyle w:val="Body"/>
        <w:rPr>
          <w:rFonts w:ascii="Arial" w:hAnsi="Arial" w:cs="Arial"/>
        </w:rPr>
      </w:pPr>
      <w:r w:rsidRPr="00C73625">
        <w:rPr>
          <w:rFonts w:ascii="Arial" w:hAnsi="Arial" w:cs="Arial"/>
        </w:rPr>
        <w:t xml:space="preserve">At each of the randomly selected concentrations of </w:t>
      </w:r>
      <w:r w:rsidR="00504E99" w:rsidRPr="00055E7B">
        <w:rPr>
          <w:rFonts w:ascii="Arial" w:hAnsi="Arial" w:cs="Arial"/>
          <w:highlight w:val="yellow"/>
        </w:rPr>
        <w:t>MELOR</w:t>
      </w:r>
      <w:r w:rsidRPr="00C73625">
        <w:rPr>
          <w:rFonts w:ascii="Arial" w:hAnsi="Arial" w:cs="Arial"/>
        </w:rPr>
        <w:t xml:space="preserve"> </w:t>
      </w:r>
      <w:r w:rsidRPr="00B41860">
        <w:rPr>
          <w:rFonts w:ascii="Arial" w:hAnsi="Arial" w:cs="Arial"/>
          <w:highlight w:val="yellow"/>
        </w:rPr>
        <w:t>(31.25,</w:t>
      </w:r>
      <w:r w:rsidR="00B41860" w:rsidRPr="00B41860">
        <w:rPr>
          <w:rFonts w:ascii="Arial" w:hAnsi="Arial" w:cs="Arial"/>
          <w:highlight w:val="yellow"/>
        </w:rPr>
        <w:t xml:space="preserve"> </w:t>
      </w:r>
      <w:r w:rsidRPr="00B41860">
        <w:rPr>
          <w:rFonts w:ascii="Arial" w:hAnsi="Arial" w:cs="Arial"/>
          <w:highlight w:val="yellow"/>
        </w:rPr>
        <w:t>62.5</w:t>
      </w:r>
      <w:r w:rsidR="00B41860" w:rsidRPr="00B41860">
        <w:rPr>
          <w:rFonts w:ascii="Arial" w:hAnsi="Arial" w:cs="Arial"/>
          <w:highlight w:val="yellow"/>
        </w:rPr>
        <w:t>0</w:t>
      </w:r>
      <w:r w:rsidRPr="00B41860">
        <w:rPr>
          <w:rFonts w:ascii="Arial" w:hAnsi="Arial" w:cs="Arial"/>
          <w:highlight w:val="yellow"/>
        </w:rPr>
        <w:t>,</w:t>
      </w:r>
      <w:r w:rsidR="00B41860" w:rsidRPr="00B41860">
        <w:rPr>
          <w:rFonts w:ascii="Arial" w:hAnsi="Arial" w:cs="Arial"/>
          <w:highlight w:val="yellow"/>
        </w:rPr>
        <w:t xml:space="preserve"> </w:t>
      </w:r>
      <w:r w:rsidRPr="00B41860">
        <w:rPr>
          <w:rFonts w:ascii="Arial" w:hAnsi="Arial" w:cs="Arial"/>
          <w:highlight w:val="yellow"/>
        </w:rPr>
        <w:t>125,</w:t>
      </w:r>
      <w:r w:rsidRPr="00C73625">
        <w:rPr>
          <w:rFonts w:ascii="Arial" w:hAnsi="Arial" w:cs="Arial"/>
        </w:rPr>
        <w:t xml:space="preserve"> 250, 500, and 1000 </w:t>
      </w:r>
      <w:proofErr w:type="spellStart"/>
      <w:r w:rsidR="00765BB1">
        <w:rPr>
          <w:rFonts w:ascii="Arial" w:hAnsi="Arial" w:cs="Arial"/>
        </w:rPr>
        <w:t>μg</w:t>
      </w:r>
      <w:proofErr w:type="spellEnd"/>
      <w:r w:rsidR="00765BB1">
        <w:rPr>
          <w:rFonts w:ascii="Arial" w:hAnsi="Arial" w:cs="Arial"/>
        </w:rPr>
        <w:t>/mL</w:t>
      </w:r>
      <w:r w:rsidRPr="00C73625">
        <w:rPr>
          <w:rFonts w:ascii="Arial" w:hAnsi="Arial" w:cs="Arial"/>
        </w:rPr>
        <w:t xml:space="preserve">), distinct death rates were observed. It was found that an increase in the </w:t>
      </w:r>
      <w:r w:rsidR="00504E99" w:rsidRPr="00055E7B">
        <w:rPr>
          <w:rFonts w:ascii="Arial" w:hAnsi="Arial" w:cs="Arial"/>
          <w:highlight w:val="yellow"/>
        </w:rPr>
        <w:lastRenderedPageBreak/>
        <w:t>MELOR</w:t>
      </w:r>
      <w:r w:rsidRPr="00C73625">
        <w:rPr>
          <w:rFonts w:ascii="Arial" w:hAnsi="Arial" w:cs="Arial"/>
        </w:rPr>
        <w:t xml:space="preserve"> concentration led to an increase in the death rate of brine shrimp nauplii. The LC</w:t>
      </w:r>
      <w:r w:rsidRPr="00C73625">
        <w:rPr>
          <w:rFonts w:ascii="Arial" w:hAnsi="Arial" w:cs="Arial"/>
          <w:vertAlign w:val="subscript"/>
        </w:rPr>
        <w:t>50</w:t>
      </w:r>
      <w:r w:rsidRPr="00C73625">
        <w:rPr>
          <w:rFonts w:ascii="Arial" w:hAnsi="Arial" w:cs="Arial"/>
        </w:rPr>
        <w:t xml:space="preserve"> values for </w:t>
      </w:r>
      <w:r w:rsidR="00504E99" w:rsidRPr="00055E7B">
        <w:rPr>
          <w:rFonts w:ascii="Arial" w:hAnsi="Arial" w:cs="Arial"/>
          <w:highlight w:val="yellow"/>
        </w:rPr>
        <w:t>MELOR</w:t>
      </w:r>
      <w:r w:rsidRPr="00C73625">
        <w:rPr>
          <w:rFonts w:ascii="Arial" w:hAnsi="Arial" w:cs="Arial"/>
        </w:rPr>
        <w:t xml:space="preserve"> were found to be </w:t>
      </w:r>
      <w:proofErr w:type="gramStart"/>
      <w:r w:rsidRPr="00C73625">
        <w:rPr>
          <w:rFonts w:ascii="Arial" w:hAnsi="Arial" w:cs="Arial"/>
        </w:rPr>
        <w:t xml:space="preserve">167.19 </w:t>
      </w:r>
      <w:proofErr w:type="spellStart"/>
      <w:r w:rsidR="00765BB1">
        <w:rPr>
          <w:rFonts w:ascii="Arial" w:hAnsi="Arial" w:cs="Arial"/>
        </w:rPr>
        <w:t>μg</w:t>
      </w:r>
      <w:proofErr w:type="spellEnd"/>
      <w:r w:rsidR="00765BB1">
        <w:rPr>
          <w:rFonts w:ascii="Arial" w:hAnsi="Arial" w:cs="Arial"/>
        </w:rPr>
        <w:t>/mL</w:t>
      </w:r>
      <w:r w:rsidRPr="00C73625">
        <w:rPr>
          <w:rFonts w:ascii="Arial" w:hAnsi="Arial" w:cs="Arial"/>
        </w:rPr>
        <w:t>, with an R</w:t>
      </w:r>
      <w:r w:rsidRPr="00C73625">
        <w:rPr>
          <w:rFonts w:ascii="Arial" w:hAnsi="Arial" w:cs="Arial"/>
          <w:vertAlign w:val="superscript"/>
        </w:rPr>
        <w:t>2</w:t>
      </w:r>
      <w:r w:rsidRPr="00C73625">
        <w:rPr>
          <w:rFonts w:ascii="Arial" w:hAnsi="Arial" w:cs="Arial"/>
        </w:rPr>
        <w:t xml:space="preserve"> value of 0.8828,</w:t>
      </w:r>
      <w:proofErr w:type="gramEnd"/>
      <w:r w:rsidRPr="00C73625">
        <w:rPr>
          <w:rFonts w:ascii="Arial" w:hAnsi="Arial" w:cs="Arial"/>
        </w:rPr>
        <w:t xml:space="preserve"> whereas the LC</w:t>
      </w:r>
      <w:r w:rsidRPr="00C73625">
        <w:rPr>
          <w:rFonts w:ascii="Arial" w:hAnsi="Arial" w:cs="Arial"/>
          <w:vertAlign w:val="subscript"/>
        </w:rPr>
        <w:t xml:space="preserve">50 </w:t>
      </w:r>
      <w:r w:rsidRPr="00C73625">
        <w:rPr>
          <w:rFonts w:ascii="Arial" w:hAnsi="Arial" w:cs="Arial"/>
        </w:rPr>
        <w:t xml:space="preserve">values for vincristine sulfate were found to be 1.84 </w:t>
      </w:r>
      <w:proofErr w:type="spellStart"/>
      <w:r w:rsidR="00765BB1">
        <w:rPr>
          <w:rFonts w:ascii="Arial" w:hAnsi="Arial" w:cs="Arial"/>
        </w:rPr>
        <w:t>μg</w:t>
      </w:r>
      <w:proofErr w:type="spellEnd"/>
      <w:r w:rsidR="00765BB1">
        <w:rPr>
          <w:rFonts w:ascii="Arial" w:hAnsi="Arial" w:cs="Arial"/>
        </w:rPr>
        <w:t>/mL</w:t>
      </w:r>
      <w:r w:rsidRPr="00C73625">
        <w:rPr>
          <w:rFonts w:ascii="Arial" w:hAnsi="Arial" w:cs="Arial"/>
        </w:rPr>
        <w:t>, with an R</w:t>
      </w:r>
      <w:r w:rsidRPr="00C73625">
        <w:rPr>
          <w:rFonts w:ascii="Arial" w:hAnsi="Arial" w:cs="Arial"/>
          <w:vertAlign w:val="superscript"/>
        </w:rPr>
        <w:t>2</w:t>
      </w:r>
      <w:r w:rsidRPr="00C73625">
        <w:rPr>
          <w:rFonts w:ascii="Arial" w:hAnsi="Arial" w:cs="Arial"/>
        </w:rPr>
        <w:t xml:space="preserve"> value of 0.8612. The findings are depicted in Fig. 3.</w:t>
      </w:r>
    </w:p>
    <w:p w14:paraId="436ED57D" w14:textId="72881644" w:rsidR="0050372C" w:rsidRDefault="0050372C" w:rsidP="00C73625">
      <w:pPr>
        <w:pStyle w:val="Body"/>
        <w:rPr>
          <w:rFonts w:ascii="Arial" w:hAnsi="Arial" w:cs="Arial"/>
        </w:rPr>
      </w:pPr>
      <w:r>
        <w:rPr>
          <w:rFonts w:ascii="Arial" w:hAnsi="Arial" w:cs="Arial"/>
          <w:noProof/>
          <w:color w:val="252525"/>
        </w:rPr>
        <w:drawing>
          <wp:inline distT="0" distB="0" distL="0" distR="0" wp14:anchorId="69CB27B6" wp14:editId="2EE08223">
            <wp:extent cx="5212080" cy="1759077"/>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totoxic.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12080" cy="1759077"/>
                    </a:xfrm>
                    <a:prstGeom prst="rect">
                      <a:avLst/>
                    </a:prstGeom>
                  </pic:spPr>
                </pic:pic>
              </a:graphicData>
            </a:graphic>
          </wp:inline>
        </w:drawing>
      </w:r>
    </w:p>
    <w:p w14:paraId="7E4B320F" w14:textId="2E5439A6" w:rsidR="0050372C" w:rsidRPr="00253FB5" w:rsidRDefault="0050372C" w:rsidP="00253FB5">
      <w:pPr>
        <w:jc w:val="both"/>
        <w:rPr>
          <w:rFonts w:ascii="Arial" w:hAnsi="Arial" w:cs="Arial"/>
          <w:b/>
          <w:bCs/>
        </w:rPr>
      </w:pPr>
      <w:proofErr w:type="gramStart"/>
      <w:r w:rsidRPr="00253FB5">
        <w:rPr>
          <w:rFonts w:ascii="Arial" w:hAnsi="Arial" w:cs="Arial"/>
          <w:b/>
          <w:bCs/>
        </w:rPr>
        <w:t>Fig. 3.</w:t>
      </w:r>
      <w:proofErr w:type="gramEnd"/>
      <w:r w:rsidRPr="00253FB5">
        <w:rPr>
          <w:rFonts w:ascii="Arial" w:hAnsi="Arial" w:cs="Arial"/>
          <w:b/>
          <w:bCs/>
        </w:rPr>
        <w:t xml:space="preserve"> (A) The % of brine shrimp that died when exposed to varying amounts of </w:t>
      </w:r>
      <w:r w:rsidR="00504E99" w:rsidRPr="00055E7B">
        <w:rPr>
          <w:rFonts w:ascii="Arial" w:hAnsi="Arial" w:cs="Arial"/>
          <w:b/>
          <w:bCs/>
          <w:highlight w:val="yellow"/>
        </w:rPr>
        <w:t>MELOR</w:t>
      </w:r>
      <w:r w:rsidRPr="00253FB5">
        <w:rPr>
          <w:rFonts w:ascii="Arial" w:hAnsi="Arial" w:cs="Arial"/>
          <w:b/>
          <w:bCs/>
        </w:rPr>
        <w:t xml:space="preserve"> and (B) Vincristine sulphate (VCS)</w:t>
      </w:r>
    </w:p>
    <w:p w14:paraId="6BE0836C" w14:textId="77777777" w:rsidR="0050372C" w:rsidRPr="00C73625" w:rsidRDefault="0050372C" w:rsidP="00C73625">
      <w:pPr>
        <w:pStyle w:val="Body"/>
        <w:rPr>
          <w:rFonts w:ascii="Arial" w:hAnsi="Arial" w:cs="Arial"/>
        </w:rPr>
      </w:pPr>
    </w:p>
    <w:p w14:paraId="39E13887" w14:textId="49136471" w:rsidR="00C73625" w:rsidRPr="00C73625" w:rsidRDefault="00C73625" w:rsidP="00C73625">
      <w:pPr>
        <w:pStyle w:val="Body"/>
        <w:rPr>
          <w:rFonts w:ascii="Arial" w:hAnsi="Arial" w:cs="Arial"/>
          <w:b/>
          <w:sz w:val="22"/>
          <w:szCs w:val="22"/>
        </w:rPr>
      </w:pPr>
      <w:r w:rsidRPr="00C73625">
        <w:rPr>
          <w:rFonts w:ascii="Arial" w:hAnsi="Arial" w:cs="Arial"/>
          <w:b/>
          <w:sz w:val="22"/>
          <w:szCs w:val="22"/>
        </w:rPr>
        <w:t>3.4 Inhibition of protein denaturation</w:t>
      </w:r>
    </w:p>
    <w:p w14:paraId="104270B5" w14:textId="38CF19DB" w:rsidR="00C73625" w:rsidRDefault="00C73625" w:rsidP="00C73625">
      <w:pPr>
        <w:pStyle w:val="Body"/>
        <w:rPr>
          <w:rFonts w:ascii="Arial" w:hAnsi="Arial" w:cs="Arial"/>
        </w:rPr>
      </w:pPr>
      <w:r w:rsidRPr="00C73625">
        <w:rPr>
          <w:rFonts w:ascii="Arial" w:hAnsi="Arial" w:cs="Arial"/>
        </w:rPr>
        <w:t>At dosages of 31.25, 62.5</w:t>
      </w:r>
      <w:r w:rsidR="002C6961">
        <w:rPr>
          <w:rFonts w:ascii="Arial" w:hAnsi="Arial" w:cs="Arial"/>
        </w:rPr>
        <w:t>0</w:t>
      </w:r>
      <w:r w:rsidRPr="00C73625">
        <w:rPr>
          <w:rFonts w:ascii="Arial" w:hAnsi="Arial" w:cs="Arial"/>
        </w:rPr>
        <w:t xml:space="preserve">, 125, 250, 500, and 1000 </w:t>
      </w:r>
      <w:proofErr w:type="spellStart"/>
      <w:r w:rsidR="00765BB1">
        <w:rPr>
          <w:rFonts w:ascii="Arial" w:hAnsi="Arial" w:cs="Arial"/>
        </w:rPr>
        <w:t>μg</w:t>
      </w:r>
      <w:proofErr w:type="spellEnd"/>
      <w:r w:rsidR="00765BB1">
        <w:rPr>
          <w:rFonts w:ascii="Arial" w:hAnsi="Arial" w:cs="Arial"/>
        </w:rPr>
        <w:t>/mL</w:t>
      </w:r>
      <w:r w:rsidRPr="00C73625">
        <w:rPr>
          <w:rFonts w:ascii="Arial" w:hAnsi="Arial" w:cs="Arial"/>
        </w:rPr>
        <w:t xml:space="preserve">, </w:t>
      </w:r>
      <w:r w:rsidR="00504E99" w:rsidRPr="00055E7B">
        <w:rPr>
          <w:rFonts w:ascii="Arial" w:hAnsi="Arial" w:cs="Arial"/>
          <w:highlight w:val="yellow"/>
        </w:rPr>
        <w:t>MELOR</w:t>
      </w:r>
      <w:r w:rsidRPr="00C73625">
        <w:rPr>
          <w:rFonts w:ascii="Arial" w:hAnsi="Arial" w:cs="Arial"/>
        </w:rPr>
        <w:t xml:space="preserve"> demonstrated considerable protective efficacy against the denaturation of egg albumin. Based on the results obtained in the present investigation, the crude extract and diclofenac-Na each had a considerable effect on the suppression of protein denaturation (93.29% and 84.76%, respectively), as can be shown in Fig. 4.</w:t>
      </w:r>
    </w:p>
    <w:p w14:paraId="22CECBCF" w14:textId="1BD4398A" w:rsidR="0050372C" w:rsidRDefault="0050372C" w:rsidP="00C73625">
      <w:pPr>
        <w:pStyle w:val="Body"/>
        <w:rPr>
          <w:rFonts w:ascii="Arial" w:hAnsi="Arial" w:cs="Arial"/>
        </w:rPr>
      </w:pPr>
      <w:r>
        <w:rPr>
          <w:rFonts w:ascii="Arial" w:hAnsi="Arial" w:cs="Arial"/>
          <w:noProof/>
        </w:rPr>
        <w:drawing>
          <wp:inline distT="0" distB="0" distL="0" distR="0" wp14:anchorId="37B028D1" wp14:editId="6D43ECEC">
            <wp:extent cx="5212080" cy="3037596"/>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i inflammatory revised.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12080" cy="3037596"/>
                    </a:xfrm>
                    <a:prstGeom prst="rect">
                      <a:avLst/>
                    </a:prstGeom>
                  </pic:spPr>
                </pic:pic>
              </a:graphicData>
            </a:graphic>
          </wp:inline>
        </w:drawing>
      </w:r>
    </w:p>
    <w:p w14:paraId="08E9D242" w14:textId="6A4AB9A4" w:rsidR="0050372C" w:rsidRPr="00253FB5" w:rsidRDefault="0050372C" w:rsidP="00253FB5">
      <w:pPr>
        <w:jc w:val="both"/>
        <w:rPr>
          <w:rFonts w:ascii="Arial" w:hAnsi="Arial" w:cs="Arial"/>
          <w:b/>
          <w:bCs/>
        </w:rPr>
      </w:pPr>
      <w:proofErr w:type="gramStart"/>
      <w:r w:rsidRPr="00253FB5">
        <w:rPr>
          <w:rFonts w:ascii="Arial" w:hAnsi="Arial" w:cs="Arial"/>
          <w:b/>
          <w:bCs/>
        </w:rPr>
        <w:lastRenderedPageBreak/>
        <w:t>Fig. 4.</w:t>
      </w:r>
      <w:proofErr w:type="gramEnd"/>
      <w:r w:rsidRPr="00253FB5">
        <w:rPr>
          <w:rFonts w:ascii="Arial" w:hAnsi="Arial" w:cs="Arial"/>
          <w:b/>
          <w:bCs/>
        </w:rPr>
        <w:t xml:space="preserve"> </w:t>
      </w:r>
      <w:proofErr w:type="gramStart"/>
      <w:r w:rsidRPr="00253FB5">
        <w:rPr>
          <w:rFonts w:ascii="Arial" w:hAnsi="Arial" w:cs="Arial"/>
          <w:b/>
          <w:bCs/>
        </w:rPr>
        <w:t xml:space="preserve">Anti-inflammatory potential of </w:t>
      </w:r>
      <w:r w:rsidR="00504E99" w:rsidRPr="00055E7B">
        <w:rPr>
          <w:rFonts w:ascii="Arial" w:hAnsi="Arial" w:cs="Arial"/>
          <w:b/>
          <w:bCs/>
          <w:highlight w:val="yellow"/>
        </w:rPr>
        <w:t>MELOR</w:t>
      </w:r>
      <w:r w:rsidRPr="00253FB5">
        <w:rPr>
          <w:rFonts w:ascii="Arial" w:hAnsi="Arial" w:cs="Arial"/>
          <w:b/>
          <w:bCs/>
        </w:rPr>
        <w:t xml:space="preserve"> and Standard </w:t>
      </w:r>
      <w:r w:rsidRPr="00253FB5">
        <w:rPr>
          <w:rFonts w:ascii="Arial" w:hAnsi="Arial" w:cs="Arial"/>
          <w:b/>
          <w:color w:val="000000" w:themeColor="text1"/>
        </w:rPr>
        <w:t>diclofenac-Na</w:t>
      </w:r>
      <w:r w:rsidRPr="00253FB5">
        <w:rPr>
          <w:rFonts w:ascii="Arial" w:hAnsi="Arial" w:cs="Arial"/>
          <w:b/>
          <w:bCs/>
        </w:rPr>
        <w:t xml:space="preserve"> at different concentrations.</w:t>
      </w:r>
      <w:proofErr w:type="gramEnd"/>
      <w:r w:rsidRPr="00253FB5">
        <w:rPr>
          <w:rFonts w:ascii="Arial" w:hAnsi="Arial" w:cs="Arial"/>
          <w:b/>
          <w:bCs/>
        </w:rPr>
        <w:t xml:space="preserve"> The results were presented as mean ± SEM. By using one-way ANOVA (Dunnett's test), statistical significance was determined at the *p &lt; 0.05, **p &lt; 0.01, and ***p &lt; 0.001 levels</w:t>
      </w:r>
    </w:p>
    <w:p w14:paraId="5F4014C9" w14:textId="77777777" w:rsidR="0050372C" w:rsidRPr="00C73625" w:rsidRDefault="0050372C" w:rsidP="00C73625">
      <w:pPr>
        <w:pStyle w:val="Body"/>
        <w:rPr>
          <w:rFonts w:ascii="Arial" w:hAnsi="Arial" w:cs="Arial"/>
        </w:rPr>
      </w:pPr>
    </w:p>
    <w:p w14:paraId="5FEA852D" w14:textId="359228DE" w:rsidR="00C73625" w:rsidRPr="00C73625" w:rsidRDefault="00C73625" w:rsidP="00C73625">
      <w:pPr>
        <w:pStyle w:val="Body"/>
        <w:rPr>
          <w:rFonts w:ascii="Arial" w:hAnsi="Arial" w:cs="Arial"/>
          <w:b/>
          <w:sz w:val="22"/>
          <w:szCs w:val="22"/>
        </w:rPr>
      </w:pPr>
      <w:r w:rsidRPr="00C73625">
        <w:rPr>
          <w:rFonts w:ascii="Arial" w:hAnsi="Arial" w:cs="Arial"/>
          <w:b/>
          <w:sz w:val="22"/>
          <w:szCs w:val="22"/>
        </w:rPr>
        <w:t>3.5 In silico molecular docking study</w:t>
      </w:r>
    </w:p>
    <w:p w14:paraId="4303FCBE" w14:textId="1509AE38" w:rsidR="00C73625" w:rsidRPr="00C73625" w:rsidRDefault="00C73625" w:rsidP="00C73625">
      <w:pPr>
        <w:pStyle w:val="Body"/>
        <w:rPr>
          <w:rFonts w:ascii="Arial" w:hAnsi="Arial" w:cs="Arial"/>
          <w:bCs/>
        </w:rPr>
      </w:pPr>
      <w:r w:rsidRPr="00C73625">
        <w:rPr>
          <w:rFonts w:ascii="Arial" w:hAnsi="Arial" w:cs="Arial"/>
          <w:bCs/>
        </w:rPr>
        <w:t>The selected compounds interacted with the target proteins</w:t>
      </w:r>
      <w:r w:rsidR="00625522" w:rsidRPr="00625522">
        <w:rPr>
          <w:rFonts w:ascii="Arial" w:hAnsi="Arial" w:cs="Arial"/>
          <w:bCs/>
          <w:highlight w:val="yellow"/>
        </w:rPr>
        <w:t>,</w:t>
      </w:r>
      <w:r w:rsidRPr="00C73625">
        <w:rPr>
          <w:rFonts w:ascii="Arial" w:hAnsi="Arial" w:cs="Arial"/>
          <w:bCs/>
        </w:rPr>
        <w:t xml:space="preserve"> and the interactions of all the compounds are represented in Table 2, Fig. 5, and Supplementary Fig</w:t>
      </w:r>
      <w:r>
        <w:rPr>
          <w:rFonts w:ascii="Arial" w:hAnsi="Arial" w:cs="Arial"/>
          <w:bCs/>
        </w:rPr>
        <w:t>ure</w:t>
      </w:r>
      <w:r w:rsidRPr="00C73625">
        <w:rPr>
          <w:rFonts w:ascii="Arial" w:hAnsi="Arial" w:cs="Arial"/>
          <w:bCs/>
        </w:rPr>
        <w:t>s S1-S3.</w:t>
      </w:r>
    </w:p>
    <w:p w14:paraId="0B03E65C" w14:textId="263A4585" w:rsidR="00C73625" w:rsidRDefault="00C73625" w:rsidP="00C73625">
      <w:pPr>
        <w:pStyle w:val="Body"/>
        <w:rPr>
          <w:rFonts w:ascii="Arial" w:hAnsi="Arial" w:cs="Arial"/>
        </w:rPr>
      </w:pPr>
      <w:r w:rsidRPr="00C73625">
        <w:rPr>
          <w:rFonts w:ascii="Arial" w:hAnsi="Arial" w:cs="Arial"/>
        </w:rPr>
        <w:t xml:space="preserve">For antioxidant activity, molecular docking simulation was conducted against glutathione reductase (PDB ID: 1XAN), and euchrenone </w:t>
      </w:r>
      <w:r w:rsidR="00AE27F5">
        <w:rPr>
          <w:rFonts w:ascii="Arial" w:hAnsi="Arial" w:cs="Arial"/>
        </w:rPr>
        <w:t>B</w:t>
      </w:r>
      <w:r w:rsidRPr="00C73625">
        <w:rPr>
          <w:rFonts w:ascii="Arial" w:hAnsi="Arial" w:cs="Arial"/>
        </w:rPr>
        <w:t>8 demonstrated the highest docking interaction (-11.8 kcal/mol)</w:t>
      </w:r>
      <w:r w:rsidR="00625522" w:rsidRPr="00625522">
        <w:rPr>
          <w:rFonts w:ascii="Arial" w:hAnsi="Arial" w:cs="Arial"/>
          <w:highlight w:val="yellow"/>
        </w:rPr>
        <w:t>,</w:t>
      </w:r>
      <w:r w:rsidRPr="00C73625">
        <w:rPr>
          <w:rFonts w:ascii="Arial" w:hAnsi="Arial" w:cs="Arial"/>
        </w:rPr>
        <w:t xml:space="preserve"> whereas the native co-crystalized ligand showed a docking score of -13.1 kcal/mol (Table 2). Euchrenone </w:t>
      </w:r>
      <w:r w:rsidR="00AE27F5">
        <w:rPr>
          <w:rFonts w:ascii="Arial" w:hAnsi="Arial" w:cs="Arial"/>
        </w:rPr>
        <w:t>B</w:t>
      </w:r>
      <w:r w:rsidRPr="00C73625">
        <w:rPr>
          <w:rFonts w:ascii="Arial" w:hAnsi="Arial" w:cs="Arial"/>
        </w:rPr>
        <w:t>8 showed comparatively good interaction with the target protein as it interacted with Gly128, Gly158, Ala130, and Ser51 via four conventional H-bonds (Fig. 5,</w:t>
      </w:r>
      <w:r w:rsidR="00625522">
        <w:rPr>
          <w:rFonts w:ascii="Arial" w:hAnsi="Arial" w:cs="Arial"/>
        </w:rPr>
        <w:t xml:space="preserve"> </w:t>
      </w:r>
      <w:r w:rsidRPr="00C73625">
        <w:rPr>
          <w:rFonts w:ascii="Arial" w:hAnsi="Arial" w:cs="Arial"/>
        </w:rPr>
        <w:t>B)</w:t>
      </w:r>
      <w:r w:rsidR="00625522" w:rsidRPr="00625522">
        <w:rPr>
          <w:rFonts w:ascii="Arial" w:hAnsi="Arial" w:cs="Arial"/>
          <w:highlight w:val="yellow"/>
        </w:rPr>
        <w:t>,</w:t>
      </w:r>
      <w:r w:rsidRPr="00C73625">
        <w:rPr>
          <w:rFonts w:ascii="Arial" w:hAnsi="Arial" w:cs="Arial"/>
        </w:rPr>
        <w:t xml:space="preserve"> displaying the stability of the interaction. For cytotoxic activity, molecular docking simulation was conducted against human cytochrome P450 CYP2C9 (PDB ID: 1OG5), and lupeol demonstrated the highest docking interaction (-10.5 kcal/mol)</w:t>
      </w:r>
      <w:r w:rsidR="00625522" w:rsidRPr="00625522">
        <w:rPr>
          <w:rFonts w:ascii="Arial" w:hAnsi="Arial" w:cs="Arial"/>
          <w:highlight w:val="yellow"/>
        </w:rPr>
        <w:t>,</w:t>
      </w:r>
      <w:r w:rsidRPr="00C73625">
        <w:rPr>
          <w:rFonts w:ascii="Arial" w:hAnsi="Arial" w:cs="Arial"/>
        </w:rPr>
        <w:t xml:space="preserve"> whereas the native co-crystalized ligand showed a docking score of -9.9 kcal/mol (Table 2). Lupeol showed comparatively good interaction with the target protein as it interacted with Ile99, Ile205, Leu208, Leu366, Val113, Arg97, Ala103, Pro367 via alkyl bonds (Fig. 5,</w:t>
      </w:r>
      <w:r w:rsidR="00625522">
        <w:rPr>
          <w:rFonts w:ascii="Arial" w:hAnsi="Arial" w:cs="Arial"/>
        </w:rPr>
        <w:t xml:space="preserve"> </w:t>
      </w:r>
      <w:r w:rsidRPr="00C73625">
        <w:rPr>
          <w:rFonts w:ascii="Arial" w:hAnsi="Arial" w:cs="Arial"/>
        </w:rPr>
        <w:t>D)</w:t>
      </w:r>
      <w:r w:rsidR="00625522" w:rsidRPr="00625522">
        <w:rPr>
          <w:rFonts w:ascii="Arial" w:hAnsi="Arial" w:cs="Arial"/>
          <w:highlight w:val="yellow"/>
        </w:rPr>
        <w:t>,</w:t>
      </w:r>
      <w:r w:rsidRPr="00C73625">
        <w:rPr>
          <w:rFonts w:ascii="Arial" w:hAnsi="Arial" w:cs="Arial"/>
        </w:rPr>
        <w:t xml:space="preserve"> displaying the stability of the interaction. For anti-inflammatory activity, molecular docking simulation was conducted against phosphodiesterase-4 inhibitor (PDE4) receptor (PDB ID: 4WCU), and euchrenone </w:t>
      </w:r>
      <w:r w:rsidR="00D714DC">
        <w:rPr>
          <w:rFonts w:ascii="Arial" w:hAnsi="Arial" w:cs="Arial"/>
        </w:rPr>
        <w:t>B</w:t>
      </w:r>
      <w:r w:rsidRPr="00C73625">
        <w:rPr>
          <w:rFonts w:ascii="Arial" w:hAnsi="Arial" w:cs="Arial"/>
        </w:rPr>
        <w:t>8 demonstrated the highest docking interaction (-10.0 kcal/mol)</w:t>
      </w:r>
      <w:r w:rsidR="00625522" w:rsidRPr="00625522">
        <w:rPr>
          <w:rFonts w:ascii="Arial" w:hAnsi="Arial" w:cs="Arial"/>
          <w:highlight w:val="yellow"/>
        </w:rPr>
        <w:t>,</w:t>
      </w:r>
      <w:r w:rsidRPr="00C73625">
        <w:rPr>
          <w:rFonts w:ascii="Arial" w:hAnsi="Arial" w:cs="Arial"/>
        </w:rPr>
        <w:t xml:space="preserve"> whereas the native co-crystalized ligand showed a docking score of -8.7 kcal/mol (Table 2). Euchrenone </w:t>
      </w:r>
      <w:r w:rsidR="002F04CD" w:rsidRPr="002F04CD">
        <w:rPr>
          <w:rFonts w:ascii="Arial" w:hAnsi="Arial" w:cs="Arial"/>
          <w:highlight w:val="yellow"/>
        </w:rPr>
        <w:t>B</w:t>
      </w:r>
      <w:r w:rsidRPr="00C73625">
        <w:rPr>
          <w:rFonts w:ascii="Arial" w:hAnsi="Arial" w:cs="Arial"/>
        </w:rPr>
        <w:t>8, showed comparatively good interaction with the target protein</w:t>
      </w:r>
      <w:r w:rsidR="00625522" w:rsidRPr="00625522">
        <w:rPr>
          <w:rFonts w:ascii="Arial" w:hAnsi="Arial" w:cs="Arial"/>
          <w:highlight w:val="yellow"/>
        </w:rPr>
        <w:t>,</w:t>
      </w:r>
      <w:r w:rsidRPr="00C73625">
        <w:rPr>
          <w:rFonts w:ascii="Arial" w:hAnsi="Arial" w:cs="Arial"/>
        </w:rPr>
        <w:t xml:space="preserve"> as it interacted with His160 via conventional H-bonds (Fig. 5)</w:t>
      </w:r>
      <w:r w:rsidR="00625522" w:rsidRPr="00625522">
        <w:rPr>
          <w:rFonts w:ascii="Arial" w:hAnsi="Arial" w:cs="Arial"/>
          <w:highlight w:val="yellow"/>
        </w:rPr>
        <w:t>,</w:t>
      </w:r>
      <w:r w:rsidRPr="00C73625">
        <w:rPr>
          <w:rFonts w:ascii="Arial" w:hAnsi="Arial" w:cs="Arial"/>
        </w:rPr>
        <w:t xml:space="preserve"> displaying the stability of the interaction.</w:t>
      </w:r>
    </w:p>
    <w:p w14:paraId="132EDF90" w14:textId="2B8077FB" w:rsidR="00060483" w:rsidRPr="00253FB5" w:rsidRDefault="00060483" w:rsidP="00253FB5">
      <w:pPr>
        <w:pStyle w:val="Body"/>
        <w:spacing w:line="480" w:lineRule="auto"/>
        <w:rPr>
          <w:rFonts w:ascii="Arial" w:hAnsi="Arial" w:cs="Arial"/>
          <w:b/>
          <w:color w:val="2E2E2E"/>
        </w:rPr>
      </w:pPr>
      <w:proofErr w:type="gramStart"/>
      <w:r w:rsidRPr="00253FB5">
        <w:rPr>
          <w:rStyle w:val="label"/>
          <w:rFonts w:ascii="Arial" w:hAnsi="Arial" w:cs="Arial"/>
          <w:b/>
          <w:color w:val="2E2E2E"/>
        </w:rPr>
        <w:t>Table 2</w:t>
      </w:r>
      <w:r w:rsidRPr="00253FB5">
        <w:rPr>
          <w:rFonts w:ascii="Arial" w:hAnsi="Arial" w:cs="Arial"/>
          <w:b/>
          <w:color w:val="2E2E2E"/>
        </w:rPr>
        <w:t>.</w:t>
      </w:r>
      <w:proofErr w:type="gramEnd"/>
      <w:r w:rsidRPr="00253FB5">
        <w:rPr>
          <w:rFonts w:ascii="Arial" w:hAnsi="Arial" w:cs="Arial"/>
          <w:b/>
          <w:color w:val="2E2E2E"/>
        </w:rPr>
        <w:t>  The selected phytoconstituents binding description with their respective target proteins</w:t>
      </w:r>
    </w:p>
    <w:tbl>
      <w:tblPr>
        <w:tblStyle w:val="TableGrid"/>
        <w:tblW w:w="0" w:type="auto"/>
        <w:tblInd w:w="1276" w:type="dxa"/>
        <w:tblLook w:val="04A0" w:firstRow="1" w:lastRow="0" w:firstColumn="1" w:lastColumn="0" w:noHBand="0" w:noVBand="1"/>
      </w:tblPr>
      <w:tblGrid>
        <w:gridCol w:w="1875"/>
        <w:gridCol w:w="1261"/>
        <w:gridCol w:w="1256"/>
        <w:gridCol w:w="1278"/>
        <w:gridCol w:w="8"/>
      </w:tblGrid>
      <w:tr w:rsidR="00060483" w:rsidRPr="006A333F" w14:paraId="5264B613" w14:textId="77777777" w:rsidTr="00E772A2">
        <w:trPr>
          <w:gridAfter w:val="1"/>
          <w:wAfter w:w="8" w:type="dxa"/>
          <w:trHeight w:val="400"/>
        </w:trPr>
        <w:tc>
          <w:tcPr>
            <w:tcW w:w="1875" w:type="dxa"/>
            <w:vMerge w:val="restart"/>
            <w:tcBorders>
              <w:top w:val="single" w:sz="4" w:space="0" w:color="auto"/>
              <w:left w:val="single" w:sz="4" w:space="0" w:color="auto"/>
              <w:bottom w:val="single" w:sz="4" w:space="0" w:color="auto"/>
              <w:right w:val="single" w:sz="4" w:space="0" w:color="auto"/>
            </w:tcBorders>
            <w:vAlign w:val="center"/>
          </w:tcPr>
          <w:p w14:paraId="7607B4CC" w14:textId="77777777" w:rsidR="00060483" w:rsidRPr="006A333F" w:rsidRDefault="00060483" w:rsidP="003933B5">
            <w:pPr>
              <w:spacing w:line="480" w:lineRule="auto"/>
              <w:rPr>
                <w:rFonts w:ascii="Arial" w:hAnsi="Arial" w:cs="Arial"/>
                <w:b/>
                <w:sz w:val="20"/>
                <w:szCs w:val="20"/>
              </w:rPr>
            </w:pPr>
          </w:p>
          <w:p w14:paraId="20AFEF32" w14:textId="77777777" w:rsidR="00060483" w:rsidRPr="006A333F" w:rsidRDefault="00060483" w:rsidP="003933B5">
            <w:pPr>
              <w:spacing w:line="480" w:lineRule="auto"/>
              <w:rPr>
                <w:rFonts w:ascii="Arial" w:hAnsi="Arial" w:cs="Arial"/>
                <w:b/>
                <w:sz w:val="20"/>
                <w:szCs w:val="20"/>
              </w:rPr>
            </w:pPr>
            <w:r w:rsidRPr="006A333F">
              <w:rPr>
                <w:rFonts w:ascii="Arial" w:hAnsi="Arial" w:cs="Arial"/>
                <w:b/>
                <w:sz w:val="20"/>
                <w:szCs w:val="20"/>
              </w:rPr>
              <w:t>Compounds</w:t>
            </w:r>
          </w:p>
        </w:tc>
        <w:tc>
          <w:tcPr>
            <w:tcW w:w="3795" w:type="dxa"/>
            <w:gridSpan w:val="3"/>
            <w:shd w:val="clear" w:color="auto" w:fill="auto"/>
          </w:tcPr>
          <w:p w14:paraId="18781906" w14:textId="77777777" w:rsidR="00060483" w:rsidRPr="006A333F" w:rsidRDefault="00060483" w:rsidP="003933B5">
            <w:pPr>
              <w:spacing w:line="480" w:lineRule="auto"/>
              <w:jc w:val="center"/>
              <w:rPr>
                <w:rFonts w:ascii="Arial" w:hAnsi="Arial" w:cs="Arial"/>
                <w:sz w:val="20"/>
                <w:szCs w:val="20"/>
              </w:rPr>
            </w:pPr>
            <w:r w:rsidRPr="006A333F">
              <w:rPr>
                <w:rStyle w:val="Strong"/>
                <w:rFonts w:ascii="Arial" w:hAnsi="Arial" w:cs="Arial"/>
                <w:color w:val="2E2E2E"/>
                <w:sz w:val="20"/>
                <w:szCs w:val="20"/>
              </w:rPr>
              <w:t>Docking score (kcal/mol)</w:t>
            </w:r>
          </w:p>
        </w:tc>
      </w:tr>
      <w:tr w:rsidR="00060483" w:rsidRPr="006A333F" w14:paraId="7290E645" w14:textId="77777777" w:rsidTr="00E772A2">
        <w:trPr>
          <w:trHeight w:val="35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A9C7E5" w14:textId="77777777" w:rsidR="00060483" w:rsidRPr="006A333F" w:rsidRDefault="00060483" w:rsidP="003933B5">
            <w:pPr>
              <w:spacing w:line="480" w:lineRule="auto"/>
              <w:rPr>
                <w:rFonts w:ascii="Arial" w:hAnsi="Arial" w:cs="Arial"/>
                <w:b/>
                <w:sz w:val="20"/>
                <w:szCs w:val="20"/>
              </w:rPr>
            </w:pPr>
          </w:p>
        </w:tc>
        <w:tc>
          <w:tcPr>
            <w:tcW w:w="1261" w:type="dxa"/>
            <w:tcBorders>
              <w:top w:val="single" w:sz="4" w:space="0" w:color="auto"/>
              <w:left w:val="single" w:sz="4" w:space="0" w:color="auto"/>
              <w:bottom w:val="single" w:sz="4" w:space="0" w:color="auto"/>
              <w:right w:val="single" w:sz="4" w:space="0" w:color="auto"/>
            </w:tcBorders>
            <w:vAlign w:val="center"/>
            <w:hideMark/>
          </w:tcPr>
          <w:p w14:paraId="1866A9F5" w14:textId="77777777" w:rsidR="00060483" w:rsidRPr="006A333F" w:rsidRDefault="00060483" w:rsidP="003933B5">
            <w:pPr>
              <w:spacing w:line="480" w:lineRule="auto"/>
              <w:jc w:val="center"/>
              <w:rPr>
                <w:rFonts w:ascii="Arial" w:hAnsi="Arial" w:cs="Arial"/>
                <w:b/>
                <w:sz w:val="20"/>
                <w:szCs w:val="20"/>
              </w:rPr>
            </w:pPr>
            <w:r w:rsidRPr="006A333F">
              <w:rPr>
                <w:rFonts w:ascii="Arial" w:hAnsi="Arial" w:cs="Arial"/>
                <w:b/>
                <w:sz w:val="20"/>
                <w:szCs w:val="20"/>
              </w:rPr>
              <w:t>1XAN</w:t>
            </w:r>
          </w:p>
        </w:tc>
        <w:tc>
          <w:tcPr>
            <w:tcW w:w="1256" w:type="dxa"/>
            <w:tcBorders>
              <w:top w:val="single" w:sz="4" w:space="0" w:color="auto"/>
              <w:left w:val="single" w:sz="4" w:space="0" w:color="auto"/>
              <w:bottom w:val="single" w:sz="4" w:space="0" w:color="auto"/>
              <w:right w:val="single" w:sz="4" w:space="0" w:color="auto"/>
            </w:tcBorders>
            <w:vAlign w:val="center"/>
            <w:hideMark/>
          </w:tcPr>
          <w:p w14:paraId="3592E8F5" w14:textId="77777777" w:rsidR="00060483" w:rsidRPr="006A333F" w:rsidRDefault="00060483" w:rsidP="003933B5">
            <w:pPr>
              <w:spacing w:line="480" w:lineRule="auto"/>
              <w:jc w:val="center"/>
              <w:rPr>
                <w:rFonts w:ascii="Arial" w:hAnsi="Arial" w:cs="Arial"/>
                <w:b/>
                <w:sz w:val="20"/>
                <w:szCs w:val="20"/>
              </w:rPr>
            </w:pPr>
            <w:r w:rsidRPr="006A333F">
              <w:rPr>
                <w:rFonts w:ascii="Arial" w:hAnsi="Arial" w:cs="Arial"/>
                <w:b/>
                <w:sz w:val="20"/>
                <w:szCs w:val="20"/>
              </w:rPr>
              <w:t>1OG5</w:t>
            </w:r>
          </w:p>
        </w:tc>
        <w:tc>
          <w:tcPr>
            <w:tcW w:w="1286" w:type="dxa"/>
            <w:gridSpan w:val="2"/>
            <w:tcBorders>
              <w:top w:val="single" w:sz="4" w:space="0" w:color="auto"/>
              <w:left w:val="single" w:sz="4" w:space="0" w:color="auto"/>
              <w:bottom w:val="single" w:sz="4" w:space="0" w:color="auto"/>
              <w:right w:val="single" w:sz="4" w:space="0" w:color="auto"/>
            </w:tcBorders>
            <w:vAlign w:val="center"/>
            <w:hideMark/>
          </w:tcPr>
          <w:p w14:paraId="5FFFC762" w14:textId="77777777" w:rsidR="00060483" w:rsidRPr="006A333F" w:rsidRDefault="00060483" w:rsidP="003933B5">
            <w:pPr>
              <w:spacing w:line="480" w:lineRule="auto"/>
              <w:jc w:val="center"/>
              <w:rPr>
                <w:rFonts w:ascii="Arial" w:hAnsi="Arial" w:cs="Arial"/>
                <w:b/>
                <w:sz w:val="20"/>
                <w:szCs w:val="20"/>
              </w:rPr>
            </w:pPr>
            <w:r w:rsidRPr="006A333F">
              <w:rPr>
                <w:rFonts w:ascii="Arial" w:hAnsi="Arial" w:cs="Arial"/>
                <w:b/>
                <w:sz w:val="20"/>
                <w:szCs w:val="20"/>
              </w:rPr>
              <w:t>4WCU</w:t>
            </w:r>
          </w:p>
        </w:tc>
      </w:tr>
      <w:tr w:rsidR="00060483" w:rsidRPr="006A333F" w14:paraId="2E53D15A" w14:textId="77777777" w:rsidTr="00E772A2">
        <w:trPr>
          <w:trHeight w:val="350"/>
        </w:trPr>
        <w:tc>
          <w:tcPr>
            <w:tcW w:w="1875" w:type="dxa"/>
            <w:tcBorders>
              <w:top w:val="single" w:sz="4" w:space="0" w:color="auto"/>
              <w:left w:val="single" w:sz="4" w:space="0" w:color="auto"/>
              <w:bottom w:val="single" w:sz="4" w:space="0" w:color="auto"/>
              <w:right w:val="single" w:sz="4" w:space="0" w:color="auto"/>
            </w:tcBorders>
            <w:vAlign w:val="center"/>
            <w:hideMark/>
          </w:tcPr>
          <w:p w14:paraId="3BDEE5F2" w14:textId="77777777" w:rsidR="00060483" w:rsidRPr="006A333F" w:rsidRDefault="00060483" w:rsidP="003933B5">
            <w:pPr>
              <w:spacing w:line="480" w:lineRule="auto"/>
              <w:rPr>
                <w:rFonts w:ascii="Arial" w:hAnsi="Arial" w:cs="Arial"/>
                <w:sz w:val="20"/>
                <w:szCs w:val="20"/>
              </w:rPr>
            </w:pPr>
            <w:bookmarkStart w:id="4" w:name="_Hlk146214432"/>
            <w:proofErr w:type="spellStart"/>
            <w:r w:rsidRPr="006A333F">
              <w:rPr>
                <w:rFonts w:ascii="Arial" w:hAnsi="Arial" w:cs="Arial"/>
                <w:sz w:val="20"/>
                <w:szCs w:val="20"/>
              </w:rPr>
              <w:t>Betulinic</w:t>
            </w:r>
            <w:proofErr w:type="spellEnd"/>
            <w:r w:rsidRPr="006A333F">
              <w:rPr>
                <w:rFonts w:ascii="Arial" w:hAnsi="Arial" w:cs="Arial"/>
                <w:sz w:val="20"/>
                <w:szCs w:val="20"/>
              </w:rPr>
              <w:t xml:space="preserve"> acid</w:t>
            </w:r>
            <w:bookmarkEnd w:id="4"/>
          </w:p>
        </w:tc>
        <w:tc>
          <w:tcPr>
            <w:tcW w:w="1261" w:type="dxa"/>
            <w:tcBorders>
              <w:top w:val="single" w:sz="4" w:space="0" w:color="auto"/>
              <w:left w:val="single" w:sz="4" w:space="0" w:color="auto"/>
              <w:bottom w:val="single" w:sz="4" w:space="0" w:color="auto"/>
              <w:right w:val="single" w:sz="4" w:space="0" w:color="auto"/>
            </w:tcBorders>
            <w:vAlign w:val="center"/>
            <w:hideMark/>
          </w:tcPr>
          <w:p w14:paraId="71283892" w14:textId="77777777" w:rsidR="00060483" w:rsidRPr="006A333F" w:rsidRDefault="00060483" w:rsidP="003933B5">
            <w:pPr>
              <w:spacing w:line="480" w:lineRule="auto"/>
              <w:jc w:val="center"/>
              <w:rPr>
                <w:rFonts w:ascii="Arial" w:hAnsi="Arial" w:cs="Arial"/>
                <w:sz w:val="20"/>
                <w:szCs w:val="20"/>
              </w:rPr>
            </w:pPr>
            <w:r w:rsidRPr="006A333F">
              <w:rPr>
                <w:rFonts w:ascii="Arial" w:hAnsi="Arial" w:cs="Arial"/>
                <w:sz w:val="20"/>
                <w:szCs w:val="20"/>
              </w:rPr>
              <w:t>-6.4</w:t>
            </w:r>
          </w:p>
        </w:tc>
        <w:tc>
          <w:tcPr>
            <w:tcW w:w="1256" w:type="dxa"/>
            <w:tcBorders>
              <w:top w:val="single" w:sz="4" w:space="0" w:color="auto"/>
              <w:left w:val="single" w:sz="4" w:space="0" w:color="auto"/>
              <w:bottom w:val="single" w:sz="4" w:space="0" w:color="auto"/>
              <w:right w:val="single" w:sz="4" w:space="0" w:color="auto"/>
            </w:tcBorders>
            <w:vAlign w:val="center"/>
            <w:hideMark/>
          </w:tcPr>
          <w:p w14:paraId="2F0F3A11" w14:textId="77777777" w:rsidR="00060483" w:rsidRPr="006A333F" w:rsidRDefault="00060483" w:rsidP="003933B5">
            <w:pPr>
              <w:spacing w:line="480" w:lineRule="auto"/>
              <w:jc w:val="center"/>
              <w:rPr>
                <w:rFonts w:ascii="Arial" w:hAnsi="Arial" w:cs="Arial"/>
                <w:sz w:val="20"/>
                <w:szCs w:val="20"/>
              </w:rPr>
            </w:pPr>
            <w:r w:rsidRPr="006A333F">
              <w:rPr>
                <w:rFonts w:ascii="Arial" w:hAnsi="Arial" w:cs="Arial"/>
                <w:sz w:val="20"/>
                <w:szCs w:val="20"/>
              </w:rPr>
              <w:t>-9.7</w:t>
            </w:r>
          </w:p>
        </w:tc>
        <w:tc>
          <w:tcPr>
            <w:tcW w:w="1286" w:type="dxa"/>
            <w:gridSpan w:val="2"/>
            <w:tcBorders>
              <w:top w:val="single" w:sz="4" w:space="0" w:color="auto"/>
              <w:left w:val="single" w:sz="4" w:space="0" w:color="auto"/>
              <w:bottom w:val="single" w:sz="4" w:space="0" w:color="auto"/>
              <w:right w:val="single" w:sz="4" w:space="0" w:color="auto"/>
            </w:tcBorders>
            <w:vAlign w:val="center"/>
            <w:hideMark/>
          </w:tcPr>
          <w:p w14:paraId="76336FC5" w14:textId="77777777" w:rsidR="00060483" w:rsidRPr="006A333F" w:rsidRDefault="00060483" w:rsidP="003933B5">
            <w:pPr>
              <w:spacing w:line="480" w:lineRule="auto"/>
              <w:jc w:val="center"/>
              <w:rPr>
                <w:rFonts w:ascii="Arial" w:hAnsi="Arial" w:cs="Arial"/>
                <w:sz w:val="20"/>
                <w:szCs w:val="20"/>
              </w:rPr>
            </w:pPr>
            <w:r w:rsidRPr="006A333F">
              <w:rPr>
                <w:rFonts w:ascii="Arial" w:hAnsi="Arial" w:cs="Arial"/>
                <w:sz w:val="20"/>
                <w:szCs w:val="20"/>
              </w:rPr>
              <w:t>-8.3</w:t>
            </w:r>
          </w:p>
        </w:tc>
      </w:tr>
      <w:tr w:rsidR="00060483" w:rsidRPr="006A333F" w14:paraId="2F866FA6" w14:textId="77777777" w:rsidTr="00E772A2">
        <w:trPr>
          <w:trHeight w:val="341"/>
        </w:trPr>
        <w:tc>
          <w:tcPr>
            <w:tcW w:w="1875" w:type="dxa"/>
            <w:tcBorders>
              <w:top w:val="single" w:sz="4" w:space="0" w:color="auto"/>
              <w:left w:val="single" w:sz="4" w:space="0" w:color="auto"/>
              <w:bottom w:val="single" w:sz="4" w:space="0" w:color="auto"/>
              <w:right w:val="single" w:sz="4" w:space="0" w:color="auto"/>
            </w:tcBorders>
            <w:vAlign w:val="center"/>
            <w:hideMark/>
          </w:tcPr>
          <w:p w14:paraId="60933C0A" w14:textId="77777777" w:rsidR="00060483" w:rsidRPr="006A333F" w:rsidRDefault="00060483" w:rsidP="003933B5">
            <w:pPr>
              <w:spacing w:line="480" w:lineRule="auto"/>
              <w:rPr>
                <w:rFonts w:ascii="Arial" w:hAnsi="Arial" w:cs="Arial"/>
                <w:sz w:val="20"/>
                <w:szCs w:val="20"/>
              </w:rPr>
            </w:pPr>
            <w:bookmarkStart w:id="5" w:name="_Hlk146214418"/>
            <w:r w:rsidRPr="006A333F">
              <w:rPr>
                <w:rFonts w:ascii="Arial" w:hAnsi="Arial" w:cs="Arial"/>
                <w:sz w:val="20"/>
                <w:szCs w:val="20"/>
              </w:rPr>
              <w:t>Lupeol</w:t>
            </w:r>
            <w:bookmarkEnd w:id="5"/>
          </w:p>
        </w:tc>
        <w:tc>
          <w:tcPr>
            <w:tcW w:w="1261" w:type="dxa"/>
            <w:tcBorders>
              <w:top w:val="single" w:sz="4" w:space="0" w:color="auto"/>
              <w:left w:val="single" w:sz="4" w:space="0" w:color="auto"/>
              <w:bottom w:val="single" w:sz="4" w:space="0" w:color="auto"/>
              <w:right w:val="single" w:sz="4" w:space="0" w:color="auto"/>
            </w:tcBorders>
            <w:vAlign w:val="center"/>
            <w:hideMark/>
          </w:tcPr>
          <w:p w14:paraId="0B733D61" w14:textId="77777777" w:rsidR="00060483" w:rsidRPr="006A333F" w:rsidRDefault="00060483" w:rsidP="003933B5">
            <w:pPr>
              <w:spacing w:line="480" w:lineRule="auto"/>
              <w:jc w:val="center"/>
              <w:rPr>
                <w:rFonts w:ascii="Arial" w:hAnsi="Arial" w:cs="Arial"/>
                <w:sz w:val="20"/>
                <w:szCs w:val="20"/>
              </w:rPr>
            </w:pPr>
            <w:r w:rsidRPr="006A333F">
              <w:rPr>
                <w:rFonts w:ascii="Arial" w:hAnsi="Arial" w:cs="Arial"/>
                <w:sz w:val="20"/>
                <w:szCs w:val="20"/>
              </w:rPr>
              <w:t>-6.9</w:t>
            </w:r>
          </w:p>
        </w:tc>
        <w:tc>
          <w:tcPr>
            <w:tcW w:w="1256" w:type="dxa"/>
            <w:tcBorders>
              <w:top w:val="single" w:sz="4" w:space="0" w:color="auto"/>
              <w:left w:val="single" w:sz="4" w:space="0" w:color="auto"/>
              <w:bottom w:val="single" w:sz="4" w:space="0" w:color="auto"/>
              <w:right w:val="single" w:sz="4" w:space="0" w:color="auto"/>
            </w:tcBorders>
            <w:vAlign w:val="center"/>
            <w:hideMark/>
          </w:tcPr>
          <w:p w14:paraId="5F065B5F" w14:textId="77777777" w:rsidR="00060483" w:rsidRPr="006A333F" w:rsidRDefault="00060483" w:rsidP="003933B5">
            <w:pPr>
              <w:spacing w:line="480" w:lineRule="auto"/>
              <w:jc w:val="center"/>
              <w:rPr>
                <w:rFonts w:ascii="Arial" w:hAnsi="Arial" w:cs="Arial"/>
                <w:b/>
                <w:sz w:val="20"/>
                <w:szCs w:val="20"/>
              </w:rPr>
            </w:pPr>
            <w:r w:rsidRPr="006A333F">
              <w:rPr>
                <w:rFonts w:ascii="Arial" w:hAnsi="Arial" w:cs="Arial"/>
                <w:b/>
                <w:sz w:val="20"/>
                <w:szCs w:val="20"/>
              </w:rPr>
              <w:t>-10.5</w:t>
            </w:r>
          </w:p>
        </w:tc>
        <w:tc>
          <w:tcPr>
            <w:tcW w:w="1286" w:type="dxa"/>
            <w:gridSpan w:val="2"/>
            <w:tcBorders>
              <w:top w:val="single" w:sz="4" w:space="0" w:color="auto"/>
              <w:left w:val="single" w:sz="4" w:space="0" w:color="auto"/>
              <w:bottom w:val="single" w:sz="4" w:space="0" w:color="auto"/>
              <w:right w:val="single" w:sz="4" w:space="0" w:color="auto"/>
            </w:tcBorders>
            <w:vAlign w:val="center"/>
            <w:hideMark/>
          </w:tcPr>
          <w:p w14:paraId="11EC4101" w14:textId="77777777" w:rsidR="00060483" w:rsidRPr="006A333F" w:rsidRDefault="00060483" w:rsidP="003933B5">
            <w:pPr>
              <w:spacing w:line="480" w:lineRule="auto"/>
              <w:jc w:val="center"/>
              <w:rPr>
                <w:rFonts w:ascii="Arial" w:hAnsi="Arial" w:cs="Arial"/>
                <w:sz w:val="20"/>
                <w:szCs w:val="20"/>
              </w:rPr>
            </w:pPr>
            <w:r w:rsidRPr="006A333F">
              <w:rPr>
                <w:rFonts w:ascii="Arial" w:hAnsi="Arial" w:cs="Arial"/>
                <w:sz w:val="20"/>
                <w:szCs w:val="20"/>
              </w:rPr>
              <w:t>-8.3</w:t>
            </w:r>
          </w:p>
        </w:tc>
      </w:tr>
      <w:tr w:rsidR="00060483" w:rsidRPr="006A333F" w14:paraId="52E6C707" w14:textId="77777777" w:rsidTr="00E772A2">
        <w:trPr>
          <w:trHeight w:val="350"/>
        </w:trPr>
        <w:tc>
          <w:tcPr>
            <w:tcW w:w="1875" w:type="dxa"/>
            <w:tcBorders>
              <w:top w:val="single" w:sz="4" w:space="0" w:color="auto"/>
              <w:left w:val="single" w:sz="4" w:space="0" w:color="auto"/>
              <w:bottom w:val="single" w:sz="4" w:space="0" w:color="auto"/>
              <w:right w:val="single" w:sz="4" w:space="0" w:color="auto"/>
            </w:tcBorders>
            <w:vAlign w:val="center"/>
            <w:hideMark/>
          </w:tcPr>
          <w:p w14:paraId="5375F431" w14:textId="77777777" w:rsidR="00060483" w:rsidRPr="006A333F" w:rsidRDefault="00060483" w:rsidP="003933B5">
            <w:pPr>
              <w:spacing w:line="480" w:lineRule="auto"/>
              <w:rPr>
                <w:rFonts w:ascii="Arial" w:hAnsi="Arial" w:cs="Arial"/>
                <w:sz w:val="20"/>
                <w:szCs w:val="20"/>
              </w:rPr>
            </w:pPr>
            <w:bookmarkStart w:id="6" w:name="_Hlk146214395"/>
            <w:r w:rsidRPr="006A333F">
              <w:rPr>
                <w:rFonts w:ascii="Arial" w:hAnsi="Arial" w:cs="Arial"/>
                <w:sz w:val="20"/>
                <w:szCs w:val="20"/>
              </w:rPr>
              <w:t>Warangalone</w:t>
            </w:r>
            <w:bookmarkEnd w:id="6"/>
          </w:p>
        </w:tc>
        <w:tc>
          <w:tcPr>
            <w:tcW w:w="1261" w:type="dxa"/>
            <w:tcBorders>
              <w:top w:val="single" w:sz="4" w:space="0" w:color="auto"/>
              <w:left w:val="single" w:sz="4" w:space="0" w:color="auto"/>
              <w:bottom w:val="single" w:sz="4" w:space="0" w:color="auto"/>
              <w:right w:val="single" w:sz="4" w:space="0" w:color="auto"/>
            </w:tcBorders>
            <w:vAlign w:val="center"/>
            <w:hideMark/>
          </w:tcPr>
          <w:p w14:paraId="6F25E12D" w14:textId="77777777" w:rsidR="00060483" w:rsidRPr="006A333F" w:rsidRDefault="00060483" w:rsidP="003933B5">
            <w:pPr>
              <w:spacing w:line="480" w:lineRule="auto"/>
              <w:jc w:val="center"/>
              <w:rPr>
                <w:rFonts w:ascii="Arial" w:hAnsi="Arial" w:cs="Arial"/>
                <w:sz w:val="20"/>
                <w:szCs w:val="20"/>
              </w:rPr>
            </w:pPr>
            <w:r w:rsidRPr="006A333F">
              <w:rPr>
                <w:rFonts w:ascii="Arial" w:hAnsi="Arial" w:cs="Arial"/>
                <w:sz w:val="20"/>
                <w:szCs w:val="20"/>
              </w:rPr>
              <w:t>-8.7</w:t>
            </w:r>
          </w:p>
        </w:tc>
        <w:tc>
          <w:tcPr>
            <w:tcW w:w="1256" w:type="dxa"/>
            <w:tcBorders>
              <w:top w:val="single" w:sz="4" w:space="0" w:color="auto"/>
              <w:left w:val="single" w:sz="4" w:space="0" w:color="auto"/>
              <w:bottom w:val="single" w:sz="4" w:space="0" w:color="auto"/>
              <w:right w:val="single" w:sz="4" w:space="0" w:color="auto"/>
            </w:tcBorders>
            <w:vAlign w:val="center"/>
            <w:hideMark/>
          </w:tcPr>
          <w:p w14:paraId="1B3C7256" w14:textId="77777777" w:rsidR="00060483" w:rsidRPr="006A333F" w:rsidRDefault="00060483" w:rsidP="003933B5">
            <w:pPr>
              <w:spacing w:line="480" w:lineRule="auto"/>
              <w:jc w:val="center"/>
              <w:rPr>
                <w:rFonts w:ascii="Arial" w:hAnsi="Arial" w:cs="Arial"/>
                <w:sz w:val="20"/>
                <w:szCs w:val="20"/>
              </w:rPr>
            </w:pPr>
            <w:r w:rsidRPr="006A333F">
              <w:rPr>
                <w:rFonts w:ascii="Arial" w:hAnsi="Arial" w:cs="Arial"/>
                <w:sz w:val="20"/>
                <w:szCs w:val="20"/>
              </w:rPr>
              <w:t>-9.8</w:t>
            </w:r>
          </w:p>
        </w:tc>
        <w:tc>
          <w:tcPr>
            <w:tcW w:w="1286" w:type="dxa"/>
            <w:gridSpan w:val="2"/>
            <w:tcBorders>
              <w:top w:val="single" w:sz="4" w:space="0" w:color="auto"/>
              <w:left w:val="single" w:sz="4" w:space="0" w:color="auto"/>
              <w:bottom w:val="single" w:sz="4" w:space="0" w:color="auto"/>
              <w:right w:val="single" w:sz="4" w:space="0" w:color="auto"/>
            </w:tcBorders>
            <w:vAlign w:val="center"/>
            <w:hideMark/>
          </w:tcPr>
          <w:p w14:paraId="78FB11CC" w14:textId="77777777" w:rsidR="00060483" w:rsidRPr="006A333F" w:rsidRDefault="00060483" w:rsidP="003933B5">
            <w:pPr>
              <w:spacing w:line="480" w:lineRule="auto"/>
              <w:jc w:val="center"/>
              <w:rPr>
                <w:rFonts w:ascii="Arial" w:hAnsi="Arial" w:cs="Arial"/>
                <w:sz w:val="20"/>
                <w:szCs w:val="20"/>
              </w:rPr>
            </w:pPr>
            <w:r w:rsidRPr="006A333F">
              <w:rPr>
                <w:rFonts w:ascii="Arial" w:hAnsi="Arial" w:cs="Arial"/>
                <w:sz w:val="20"/>
                <w:szCs w:val="20"/>
              </w:rPr>
              <w:t>-9.3</w:t>
            </w:r>
          </w:p>
        </w:tc>
      </w:tr>
      <w:tr w:rsidR="00060483" w:rsidRPr="006A333F" w14:paraId="0B019D61" w14:textId="77777777" w:rsidTr="00E772A2">
        <w:trPr>
          <w:trHeight w:val="359"/>
        </w:trPr>
        <w:tc>
          <w:tcPr>
            <w:tcW w:w="1875" w:type="dxa"/>
            <w:tcBorders>
              <w:top w:val="single" w:sz="4" w:space="0" w:color="auto"/>
              <w:left w:val="single" w:sz="4" w:space="0" w:color="auto"/>
              <w:bottom w:val="single" w:sz="4" w:space="0" w:color="auto"/>
              <w:right w:val="single" w:sz="4" w:space="0" w:color="auto"/>
            </w:tcBorders>
            <w:vAlign w:val="center"/>
            <w:hideMark/>
          </w:tcPr>
          <w:p w14:paraId="7A6E4469" w14:textId="245F48DD" w:rsidR="00060483" w:rsidRPr="006A333F" w:rsidRDefault="00060483" w:rsidP="003933B5">
            <w:pPr>
              <w:spacing w:line="480" w:lineRule="auto"/>
              <w:rPr>
                <w:rFonts w:ascii="Arial" w:hAnsi="Arial" w:cs="Arial"/>
                <w:sz w:val="20"/>
                <w:szCs w:val="20"/>
              </w:rPr>
            </w:pPr>
            <w:r w:rsidRPr="006A333F">
              <w:rPr>
                <w:rFonts w:ascii="Arial" w:hAnsi="Arial" w:cs="Arial"/>
                <w:sz w:val="20"/>
                <w:szCs w:val="20"/>
              </w:rPr>
              <w:t xml:space="preserve">Euchrenone </w:t>
            </w:r>
            <w:r w:rsidR="003C4618">
              <w:rPr>
                <w:rFonts w:ascii="Arial" w:hAnsi="Arial" w:cs="Arial"/>
                <w:sz w:val="20"/>
                <w:szCs w:val="20"/>
              </w:rPr>
              <w:t>B</w:t>
            </w:r>
            <w:r w:rsidRPr="006A333F">
              <w:rPr>
                <w:rFonts w:ascii="Arial" w:hAnsi="Arial" w:cs="Arial"/>
                <w:sz w:val="20"/>
                <w:szCs w:val="20"/>
              </w:rPr>
              <w:t>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3436D6C" w14:textId="77777777" w:rsidR="00060483" w:rsidRPr="006A333F" w:rsidRDefault="00060483" w:rsidP="003933B5">
            <w:pPr>
              <w:spacing w:line="480" w:lineRule="auto"/>
              <w:jc w:val="center"/>
              <w:rPr>
                <w:rFonts w:ascii="Arial" w:hAnsi="Arial" w:cs="Arial"/>
                <w:b/>
                <w:sz w:val="20"/>
                <w:szCs w:val="20"/>
              </w:rPr>
            </w:pPr>
            <w:r w:rsidRPr="006A333F">
              <w:rPr>
                <w:rFonts w:ascii="Arial" w:hAnsi="Arial" w:cs="Arial"/>
                <w:b/>
                <w:sz w:val="20"/>
                <w:szCs w:val="20"/>
              </w:rPr>
              <w:t>-11.8</w:t>
            </w:r>
          </w:p>
        </w:tc>
        <w:tc>
          <w:tcPr>
            <w:tcW w:w="1256" w:type="dxa"/>
            <w:tcBorders>
              <w:top w:val="single" w:sz="4" w:space="0" w:color="auto"/>
              <w:left w:val="single" w:sz="4" w:space="0" w:color="auto"/>
              <w:bottom w:val="single" w:sz="4" w:space="0" w:color="auto"/>
              <w:right w:val="single" w:sz="4" w:space="0" w:color="auto"/>
            </w:tcBorders>
            <w:vAlign w:val="center"/>
            <w:hideMark/>
          </w:tcPr>
          <w:p w14:paraId="7CC9BD0B" w14:textId="77777777" w:rsidR="00060483" w:rsidRPr="006A333F" w:rsidRDefault="00060483" w:rsidP="003933B5">
            <w:pPr>
              <w:spacing w:line="480" w:lineRule="auto"/>
              <w:jc w:val="center"/>
              <w:rPr>
                <w:rFonts w:ascii="Arial" w:hAnsi="Arial" w:cs="Arial"/>
                <w:sz w:val="20"/>
                <w:szCs w:val="20"/>
              </w:rPr>
            </w:pPr>
            <w:r w:rsidRPr="006A333F">
              <w:rPr>
                <w:rFonts w:ascii="Arial" w:hAnsi="Arial" w:cs="Arial"/>
                <w:sz w:val="20"/>
                <w:szCs w:val="20"/>
              </w:rPr>
              <w:t>-9.7</w:t>
            </w:r>
          </w:p>
        </w:tc>
        <w:tc>
          <w:tcPr>
            <w:tcW w:w="1286" w:type="dxa"/>
            <w:gridSpan w:val="2"/>
            <w:tcBorders>
              <w:top w:val="single" w:sz="4" w:space="0" w:color="auto"/>
              <w:left w:val="single" w:sz="4" w:space="0" w:color="auto"/>
              <w:bottom w:val="single" w:sz="4" w:space="0" w:color="auto"/>
              <w:right w:val="single" w:sz="4" w:space="0" w:color="auto"/>
            </w:tcBorders>
            <w:vAlign w:val="center"/>
            <w:hideMark/>
          </w:tcPr>
          <w:p w14:paraId="62665617" w14:textId="77777777" w:rsidR="00060483" w:rsidRPr="006A333F" w:rsidRDefault="00060483" w:rsidP="003933B5">
            <w:pPr>
              <w:spacing w:line="480" w:lineRule="auto"/>
              <w:jc w:val="center"/>
              <w:rPr>
                <w:rFonts w:ascii="Arial" w:hAnsi="Arial" w:cs="Arial"/>
                <w:b/>
                <w:sz w:val="20"/>
                <w:szCs w:val="20"/>
              </w:rPr>
            </w:pPr>
            <w:r w:rsidRPr="006A333F">
              <w:rPr>
                <w:rFonts w:ascii="Arial" w:hAnsi="Arial" w:cs="Arial"/>
                <w:b/>
                <w:sz w:val="20"/>
                <w:szCs w:val="20"/>
              </w:rPr>
              <w:t>-10.0</w:t>
            </w:r>
          </w:p>
        </w:tc>
      </w:tr>
      <w:tr w:rsidR="00060483" w:rsidRPr="006A333F" w14:paraId="35848558" w14:textId="77777777" w:rsidTr="00E772A2">
        <w:trPr>
          <w:trHeight w:val="341"/>
        </w:trPr>
        <w:tc>
          <w:tcPr>
            <w:tcW w:w="1875" w:type="dxa"/>
            <w:tcBorders>
              <w:top w:val="single" w:sz="4" w:space="0" w:color="auto"/>
              <w:left w:val="single" w:sz="4" w:space="0" w:color="auto"/>
              <w:bottom w:val="single" w:sz="4" w:space="0" w:color="auto"/>
              <w:right w:val="single" w:sz="4" w:space="0" w:color="auto"/>
            </w:tcBorders>
            <w:vAlign w:val="center"/>
            <w:hideMark/>
          </w:tcPr>
          <w:p w14:paraId="57FF50BA" w14:textId="77777777" w:rsidR="00060483" w:rsidRPr="006A333F" w:rsidRDefault="00060483" w:rsidP="003933B5">
            <w:pPr>
              <w:spacing w:line="480" w:lineRule="auto"/>
              <w:rPr>
                <w:rFonts w:ascii="Arial" w:hAnsi="Arial" w:cs="Arial"/>
                <w:b/>
                <w:sz w:val="20"/>
                <w:szCs w:val="20"/>
              </w:rPr>
            </w:pPr>
            <w:r w:rsidRPr="006A333F">
              <w:rPr>
                <w:rFonts w:ascii="Arial" w:eastAsia="Times New Roman" w:hAnsi="Arial" w:cs="Arial"/>
                <w:color w:val="252525"/>
                <w:sz w:val="20"/>
                <w:szCs w:val="20"/>
              </w:rPr>
              <w:t>Known inhibitor (</w:t>
            </w:r>
            <w:bookmarkStart w:id="7" w:name="_Hlk146214444"/>
            <w:r w:rsidRPr="006A333F">
              <w:rPr>
                <w:rFonts w:ascii="Arial" w:eastAsia="Times New Roman" w:hAnsi="Arial" w:cs="Arial"/>
                <w:color w:val="252525"/>
                <w:sz w:val="20"/>
                <w:szCs w:val="20"/>
              </w:rPr>
              <w:t>co-crystalized ligand</w:t>
            </w:r>
            <w:bookmarkEnd w:id="7"/>
            <w:r w:rsidRPr="006A333F">
              <w:rPr>
                <w:rFonts w:ascii="Arial" w:eastAsia="Times New Roman" w:hAnsi="Arial" w:cs="Arial"/>
                <w:color w:val="252525"/>
                <w:sz w:val="20"/>
                <w:szCs w:val="20"/>
              </w:rPr>
              <w:t>)</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8C8DC23" w14:textId="77777777" w:rsidR="00060483" w:rsidRPr="006A333F" w:rsidRDefault="00060483" w:rsidP="003933B5">
            <w:pPr>
              <w:spacing w:line="480" w:lineRule="auto"/>
              <w:jc w:val="center"/>
              <w:rPr>
                <w:rFonts w:ascii="Arial" w:hAnsi="Arial" w:cs="Arial"/>
                <w:b/>
                <w:sz w:val="20"/>
                <w:szCs w:val="20"/>
              </w:rPr>
            </w:pPr>
            <w:r w:rsidRPr="006A333F">
              <w:rPr>
                <w:rFonts w:ascii="Arial" w:hAnsi="Arial" w:cs="Arial"/>
                <w:b/>
                <w:sz w:val="20"/>
                <w:szCs w:val="20"/>
              </w:rPr>
              <w:t>-13.1</w:t>
            </w:r>
          </w:p>
        </w:tc>
        <w:tc>
          <w:tcPr>
            <w:tcW w:w="1256" w:type="dxa"/>
            <w:tcBorders>
              <w:top w:val="single" w:sz="4" w:space="0" w:color="auto"/>
              <w:left w:val="single" w:sz="4" w:space="0" w:color="auto"/>
              <w:bottom w:val="single" w:sz="4" w:space="0" w:color="auto"/>
              <w:right w:val="single" w:sz="4" w:space="0" w:color="auto"/>
            </w:tcBorders>
            <w:vAlign w:val="center"/>
            <w:hideMark/>
          </w:tcPr>
          <w:p w14:paraId="4CB2327C" w14:textId="77777777" w:rsidR="00060483" w:rsidRPr="006A333F" w:rsidRDefault="00060483" w:rsidP="003933B5">
            <w:pPr>
              <w:spacing w:line="480" w:lineRule="auto"/>
              <w:jc w:val="center"/>
              <w:rPr>
                <w:rFonts w:ascii="Arial" w:hAnsi="Arial" w:cs="Arial"/>
                <w:b/>
                <w:sz w:val="20"/>
                <w:szCs w:val="20"/>
              </w:rPr>
            </w:pPr>
            <w:r w:rsidRPr="006A333F">
              <w:rPr>
                <w:rFonts w:ascii="Arial" w:hAnsi="Arial" w:cs="Arial"/>
                <w:b/>
                <w:sz w:val="20"/>
                <w:szCs w:val="20"/>
              </w:rPr>
              <w:t>-9.9</w:t>
            </w:r>
          </w:p>
        </w:tc>
        <w:tc>
          <w:tcPr>
            <w:tcW w:w="1286" w:type="dxa"/>
            <w:gridSpan w:val="2"/>
            <w:tcBorders>
              <w:top w:val="single" w:sz="4" w:space="0" w:color="auto"/>
              <w:left w:val="single" w:sz="4" w:space="0" w:color="auto"/>
              <w:bottom w:val="single" w:sz="4" w:space="0" w:color="auto"/>
              <w:right w:val="single" w:sz="4" w:space="0" w:color="auto"/>
            </w:tcBorders>
            <w:vAlign w:val="center"/>
            <w:hideMark/>
          </w:tcPr>
          <w:p w14:paraId="6B479DFB" w14:textId="77777777" w:rsidR="00060483" w:rsidRPr="006A333F" w:rsidRDefault="00060483" w:rsidP="003933B5">
            <w:pPr>
              <w:spacing w:line="480" w:lineRule="auto"/>
              <w:jc w:val="center"/>
              <w:rPr>
                <w:rFonts w:ascii="Arial" w:hAnsi="Arial" w:cs="Arial"/>
                <w:b/>
                <w:sz w:val="20"/>
                <w:szCs w:val="20"/>
              </w:rPr>
            </w:pPr>
            <w:r w:rsidRPr="006A333F">
              <w:rPr>
                <w:rFonts w:ascii="Arial" w:hAnsi="Arial" w:cs="Arial"/>
                <w:b/>
                <w:sz w:val="20"/>
                <w:szCs w:val="20"/>
              </w:rPr>
              <w:t>-8.7</w:t>
            </w:r>
          </w:p>
        </w:tc>
      </w:tr>
    </w:tbl>
    <w:p w14:paraId="5477E4AA" w14:textId="44145AF1" w:rsidR="00060483" w:rsidRDefault="00E772A2" w:rsidP="00C73625">
      <w:pPr>
        <w:pStyle w:val="Body"/>
        <w:rPr>
          <w:rFonts w:ascii="Arial" w:hAnsi="Arial" w:cs="Arial"/>
        </w:rPr>
      </w:pPr>
      <w:r>
        <w:rPr>
          <w:rFonts w:ascii="Arial" w:hAnsi="Arial" w:cs="Arial"/>
        </w:rPr>
        <w:lastRenderedPageBreak/>
        <w:t xml:space="preserve">                    </w:t>
      </w:r>
      <w:r w:rsidR="00060483">
        <w:rPr>
          <w:rFonts w:ascii="Arial" w:hAnsi="Arial" w:cs="Arial"/>
        </w:rPr>
        <w:t>*</w:t>
      </w:r>
      <w:r w:rsidR="00060483" w:rsidRPr="00060483">
        <w:rPr>
          <w:rFonts w:ascii="Arial" w:hAnsi="Arial" w:cs="Arial"/>
          <w:color w:val="2E2E2E"/>
        </w:rPr>
        <w:t xml:space="preserve"> </w:t>
      </w:r>
      <w:r w:rsidR="00060483" w:rsidRPr="006A333F">
        <w:rPr>
          <w:rStyle w:val="label"/>
          <w:rFonts w:ascii="Arial" w:hAnsi="Arial" w:cs="Arial"/>
          <w:color w:val="2E2E2E"/>
        </w:rPr>
        <w:t>Bold indicates best docking score</w:t>
      </w:r>
    </w:p>
    <w:p w14:paraId="6D0714CA" w14:textId="054F15B4" w:rsidR="0050372C" w:rsidRDefault="0050372C" w:rsidP="00C73625">
      <w:pPr>
        <w:pStyle w:val="Body"/>
        <w:rPr>
          <w:rFonts w:ascii="Arial" w:hAnsi="Arial" w:cs="Arial"/>
        </w:rPr>
      </w:pPr>
      <w:r w:rsidRPr="00DE5703">
        <w:rPr>
          <w:rFonts w:ascii="Arial" w:hAnsi="Arial" w:cs="Arial"/>
          <w:noProof/>
        </w:rPr>
        <w:drawing>
          <wp:inline distT="0" distB="0" distL="0" distR="0" wp14:anchorId="46005CA1" wp14:editId="66689018">
            <wp:extent cx="5212080" cy="5297834"/>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t paper_docking.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12080" cy="5297834"/>
                    </a:xfrm>
                    <a:prstGeom prst="rect">
                      <a:avLst/>
                    </a:prstGeom>
                  </pic:spPr>
                </pic:pic>
              </a:graphicData>
            </a:graphic>
          </wp:inline>
        </w:drawing>
      </w:r>
    </w:p>
    <w:p w14:paraId="6C30398E" w14:textId="6B2339CE" w:rsidR="0050372C" w:rsidRPr="00253FB5" w:rsidRDefault="0050372C" w:rsidP="00253FB5">
      <w:pPr>
        <w:jc w:val="both"/>
        <w:rPr>
          <w:rFonts w:ascii="Arial" w:hAnsi="Arial" w:cs="Arial"/>
          <w:b/>
          <w:bCs/>
        </w:rPr>
      </w:pPr>
      <w:proofErr w:type="gramStart"/>
      <w:r w:rsidRPr="00253FB5">
        <w:rPr>
          <w:rFonts w:ascii="Arial" w:hAnsi="Arial" w:cs="Arial"/>
          <w:b/>
          <w:bCs/>
        </w:rPr>
        <w:t>Fig. 5.</w:t>
      </w:r>
      <w:proofErr w:type="gramEnd"/>
      <w:r w:rsidRPr="00253FB5">
        <w:rPr>
          <w:rFonts w:ascii="Arial" w:hAnsi="Arial" w:cs="Arial"/>
          <w:b/>
          <w:bCs/>
        </w:rPr>
        <w:t xml:space="preserve"> Presentation of best binding mode A) 3D interaction of euchrenone </w:t>
      </w:r>
      <w:r w:rsidR="00040FA6">
        <w:rPr>
          <w:rFonts w:ascii="Arial" w:hAnsi="Arial" w:cs="Arial"/>
          <w:b/>
          <w:bCs/>
        </w:rPr>
        <w:t>B</w:t>
      </w:r>
      <w:r w:rsidRPr="00253FB5">
        <w:rPr>
          <w:rFonts w:ascii="Arial" w:hAnsi="Arial" w:cs="Arial"/>
          <w:b/>
          <w:bCs/>
        </w:rPr>
        <w:t xml:space="preserve">8 and glutathione reductase (PDB ID: 1XAN), B) 2D interaction of euchrenone </w:t>
      </w:r>
      <w:r w:rsidR="00040FA6">
        <w:rPr>
          <w:rFonts w:ascii="Arial" w:hAnsi="Arial" w:cs="Arial"/>
          <w:b/>
          <w:bCs/>
        </w:rPr>
        <w:t>B</w:t>
      </w:r>
      <w:r w:rsidRPr="00253FB5">
        <w:rPr>
          <w:rFonts w:ascii="Arial" w:hAnsi="Arial" w:cs="Arial"/>
          <w:b/>
          <w:bCs/>
        </w:rPr>
        <w:t xml:space="preserve">8 and glutathione reductase (PDB ID: 1XAN), C) 3D interaction of lupeol and human cytochrome P450 CYP2C9 (PDB ID: 1OG5), D) 2D interaction of lupeol and human cytochrome P450 CYP2C9 (PDB ID: 1OG5), E) 3D interaction of euchrenone </w:t>
      </w:r>
      <w:r w:rsidR="00040FA6">
        <w:rPr>
          <w:rFonts w:ascii="Arial" w:hAnsi="Arial" w:cs="Arial"/>
          <w:b/>
          <w:bCs/>
        </w:rPr>
        <w:t>B</w:t>
      </w:r>
      <w:r w:rsidRPr="00253FB5">
        <w:rPr>
          <w:rFonts w:ascii="Arial" w:hAnsi="Arial" w:cs="Arial"/>
          <w:b/>
          <w:bCs/>
        </w:rPr>
        <w:t xml:space="preserve">8 and phosphodiesterase-4 inhibitor (PDE4) receptor (PDB ID: 4WCU), F) 2D interaction of euchrenone </w:t>
      </w:r>
      <w:r w:rsidR="00040FA6">
        <w:rPr>
          <w:rFonts w:ascii="Arial" w:hAnsi="Arial" w:cs="Arial"/>
          <w:b/>
          <w:bCs/>
        </w:rPr>
        <w:t>B</w:t>
      </w:r>
      <w:r w:rsidRPr="00253FB5">
        <w:rPr>
          <w:rFonts w:ascii="Arial" w:hAnsi="Arial" w:cs="Arial"/>
          <w:b/>
          <w:bCs/>
        </w:rPr>
        <w:t>8 and phosphodiesterase-4 inhibitor (PDE4) receptor (PDB ID: 4WCU)</w:t>
      </w:r>
    </w:p>
    <w:p w14:paraId="018C15BA" w14:textId="77777777" w:rsidR="00D12D7E" w:rsidRDefault="00D12D7E" w:rsidP="0050372C">
      <w:pPr>
        <w:spacing w:line="480" w:lineRule="auto"/>
        <w:jc w:val="both"/>
        <w:rPr>
          <w:rFonts w:ascii="Arial" w:hAnsi="Arial" w:cs="Arial"/>
          <w:bCs/>
        </w:rPr>
      </w:pPr>
    </w:p>
    <w:p w14:paraId="66B16CED" w14:textId="77777777" w:rsidR="0050372C" w:rsidRPr="00C73625" w:rsidRDefault="0050372C" w:rsidP="00C73625">
      <w:pPr>
        <w:pStyle w:val="Body"/>
        <w:rPr>
          <w:rFonts w:ascii="Arial" w:hAnsi="Arial" w:cs="Arial"/>
        </w:rPr>
      </w:pPr>
    </w:p>
    <w:p w14:paraId="2FA90907" w14:textId="77777777" w:rsidR="00C73625" w:rsidRPr="00C73625" w:rsidRDefault="00C73625" w:rsidP="00C73625">
      <w:pPr>
        <w:pStyle w:val="Body"/>
        <w:rPr>
          <w:rFonts w:ascii="Arial" w:hAnsi="Arial" w:cs="Arial"/>
          <w:b/>
        </w:rPr>
      </w:pPr>
      <w:r w:rsidRPr="00C73625">
        <w:rPr>
          <w:rFonts w:ascii="Arial" w:hAnsi="Arial" w:cs="Arial"/>
          <w:b/>
        </w:rPr>
        <w:t>3.6. ADME/T analysis</w:t>
      </w:r>
    </w:p>
    <w:p w14:paraId="70A9ABD4" w14:textId="0D6E959A" w:rsidR="00790ADA" w:rsidRDefault="00C73625" w:rsidP="00BC70AD">
      <w:pPr>
        <w:pStyle w:val="Body"/>
        <w:rPr>
          <w:rFonts w:ascii="Arial" w:hAnsi="Arial" w:cs="Arial"/>
        </w:rPr>
      </w:pPr>
      <w:r w:rsidRPr="00C73625">
        <w:rPr>
          <w:rFonts w:ascii="Arial" w:hAnsi="Arial" w:cs="Arial"/>
        </w:rPr>
        <w:lastRenderedPageBreak/>
        <w:t xml:space="preserve">According to Lipinski's rules as well as the degree of human intestinal absorption, AMES mutagenesis, and carcinogenesis in humans have all been shown to be within the limit. Importantly, </w:t>
      </w:r>
      <w:proofErr w:type="spellStart"/>
      <w:r w:rsidRPr="00C73625">
        <w:rPr>
          <w:rFonts w:ascii="Arial" w:hAnsi="Arial" w:cs="Arial"/>
        </w:rPr>
        <w:t>betulinic</w:t>
      </w:r>
      <w:proofErr w:type="spellEnd"/>
      <w:r w:rsidRPr="00C73625">
        <w:rPr>
          <w:rFonts w:ascii="Arial" w:hAnsi="Arial" w:cs="Arial"/>
        </w:rPr>
        <w:t xml:space="preserve"> acid, </w:t>
      </w:r>
      <w:proofErr w:type="spellStart"/>
      <w:r w:rsidRPr="00C73625">
        <w:rPr>
          <w:rFonts w:ascii="Arial" w:hAnsi="Arial" w:cs="Arial"/>
        </w:rPr>
        <w:t>lupeol</w:t>
      </w:r>
      <w:proofErr w:type="spellEnd"/>
      <w:r w:rsidRPr="00C73625">
        <w:rPr>
          <w:rFonts w:ascii="Arial" w:hAnsi="Arial" w:cs="Arial"/>
        </w:rPr>
        <w:t xml:space="preserve">, </w:t>
      </w:r>
      <w:proofErr w:type="spellStart"/>
      <w:r w:rsidRPr="00C73625">
        <w:rPr>
          <w:rFonts w:ascii="Arial" w:hAnsi="Arial" w:cs="Arial"/>
        </w:rPr>
        <w:t>warangalone</w:t>
      </w:r>
      <w:proofErr w:type="spellEnd"/>
      <w:r w:rsidRPr="00C73625">
        <w:rPr>
          <w:rFonts w:ascii="Arial" w:hAnsi="Arial" w:cs="Arial"/>
        </w:rPr>
        <w:t xml:space="preserve">, and euchrenone </w:t>
      </w:r>
      <w:r w:rsidR="00D646EB">
        <w:rPr>
          <w:rFonts w:ascii="Arial" w:hAnsi="Arial" w:cs="Arial"/>
        </w:rPr>
        <w:t>B</w:t>
      </w:r>
      <w:r w:rsidRPr="00C73625">
        <w:rPr>
          <w:rFonts w:ascii="Arial" w:hAnsi="Arial" w:cs="Arial"/>
        </w:rPr>
        <w:t>8 fulfill the criteria of Lipinski's rule of five (Table 3).</w:t>
      </w:r>
    </w:p>
    <w:p w14:paraId="49FD7C4D" w14:textId="77777777" w:rsidR="00060483" w:rsidRPr="00253FB5" w:rsidRDefault="00060483" w:rsidP="00060483">
      <w:pPr>
        <w:spacing w:line="480" w:lineRule="auto"/>
        <w:jc w:val="both"/>
        <w:rPr>
          <w:rStyle w:val="Strong"/>
          <w:rFonts w:ascii="Arial" w:hAnsi="Arial" w:cs="Arial"/>
          <w:b w:val="0"/>
          <w:bCs w:val="0"/>
        </w:rPr>
      </w:pPr>
      <w:proofErr w:type="gramStart"/>
      <w:r w:rsidRPr="00253FB5">
        <w:rPr>
          <w:rStyle w:val="label"/>
          <w:rFonts w:ascii="Arial" w:hAnsi="Arial" w:cs="Arial"/>
          <w:b/>
          <w:color w:val="2E2E2E"/>
        </w:rPr>
        <w:t>Table 3</w:t>
      </w:r>
      <w:r w:rsidRPr="00253FB5">
        <w:rPr>
          <w:rFonts w:ascii="Arial" w:hAnsi="Arial" w:cs="Arial"/>
          <w:b/>
        </w:rPr>
        <w:t>.</w:t>
      </w:r>
      <w:proofErr w:type="gramEnd"/>
      <w:r w:rsidRPr="00253FB5">
        <w:rPr>
          <w:rFonts w:ascii="Arial" w:hAnsi="Arial" w:cs="Arial"/>
          <w:b/>
        </w:rPr>
        <w:t> Properties of the compounds in terms of their absorption, distribution, metabolism, excretion, and toxicology, abbreviated as ADME/T</w:t>
      </w:r>
    </w:p>
    <w:tbl>
      <w:tblPr>
        <w:tblStyle w:val="TableGrid"/>
        <w:tblW w:w="9704" w:type="dxa"/>
        <w:jc w:val="center"/>
        <w:tblLook w:val="04A0" w:firstRow="1" w:lastRow="0" w:firstColumn="1" w:lastColumn="0" w:noHBand="0" w:noVBand="1"/>
      </w:tblPr>
      <w:tblGrid>
        <w:gridCol w:w="1708"/>
        <w:gridCol w:w="1107"/>
        <w:gridCol w:w="888"/>
        <w:gridCol w:w="688"/>
        <w:gridCol w:w="688"/>
        <w:gridCol w:w="837"/>
        <w:gridCol w:w="828"/>
        <w:gridCol w:w="828"/>
        <w:gridCol w:w="982"/>
        <w:gridCol w:w="1150"/>
      </w:tblGrid>
      <w:tr w:rsidR="00060483" w:rsidRPr="006A333F" w14:paraId="2B540D08" w14:textId="77777777" w:rsidTr="00060483">
        <w:trPr>
          <w:trHeight w:val="998"/>
          <w:jc w:val="center"/>
        </w:trPr>
        <w:tc>
          <w:tcPr>
            <w:tcW w:w="1708" w:type="dxa"/>
            <w:tcBorders>
              <w:top w:val="single" w:sz="4" w:space="0" w:color="auto"/>
              <w:left w:val="single" w:sz="4" w:space="0" w:color="auto"/>
              <w:bottom w:val="single" w:sz="4" w:space="0" w:color="auto"/>
              <w:right w:val="single" w:sz="4" w:space="0" w:color="auto"/>
            </w:tcBorders>
            <w:vAlign w:val="center"/>
            <w:hideMark/>
          </w:tcPr>
          <w:p w14:paraId="6342AEC7" w14:textId="77777777" w:rsidR="00060483" w:rsidRPr="006A333F" w:rsidRDefault="00060483" w:rsidP="003933B5">
            <w:pPr>
              <w:spacing w:line="480" w:lineRule="auto"/>
              <w:rPr>
                <w:rStyle w:val="Strong"/>
                <w:rFonts w:ascii="Arial" w:hAnsi="Arial" w:cs="Arial"/>
                <w:color w:val="2E2E2E"/>
                <w:sz w:val="20"/>
                <w:szCs w:val="20"/>
              </w:rPr>
            </w:pPr>
            <w:r w:rsidRPr="006A333F">
              <w:rPr>
                <w:rStyle w:val="Strong"/>
                <w:rFonts w:ascii="Arial" w:hAnsi="Arial" w:cs="Arial"/>
                <w:color w:val="2E2E2E"/>
                <w:sz w:val="20"/>
                <w:szCs w:val="20"/>
              </w:rPr>
              <w:t>Compounds</w:t>
            </w:r>
          </w:p>
        </w:tc>
        <w:tc>
          <w:tcPr>
            <w:tcW w:w="1107" w:type="dxa"/>
            <w:tcBorders>
              <w:top w:val="single" w:sz="4" w:space="0" w:color="auto"/>
              <w:left w:val="single" w:sz="4" w:space="0" w:color="auto"/>
              <w:bottom w:val="single" w:sz="4" w:space="0" w:color="auto"/>
              <w:right w:val="single" w:sz="4" w:space="0" w:color="auto"/>
            </w:tcBorders>
            <w:vAlign w:val="center"/>
            <w:hideMark/>
          </w:tcPr>
          <w:p w14:paraId="1037F83D" w14:textId="77777777" w:rsidR="00060483" w:rsidRPr="006A333F" w:rsidRDefault="00060483" w:rsidP="003933B5">
            <w:pPr>
              <w:spacing w:line="480" w:lineRule="auto"/>
              <w:jc w:val="center"/>
              <w:rPr>
                <w:rStyle w:val="Strong"/>
                <w:rFonts w:ascii="Arial" w:hAnsi="Arial" w:cs="Arial"/>
                <w:color w:val="2E2E2E"/>
                <w:sz w:val="20"/>
                <w:szCs w:val="20"/>
              </w:rPr>
            </w:pPr>
            <w:r w:rsidRPr="006A333F">
              <w:rPr>
                <w:rStyle w:val="Strong"/>
                <w:rFonts w:ascii="Arial" w:hAnsi="Arial" w:cs="Arial"/>
                <w:color w:val="2E2E2E"/>
                <w:sz w:val="20"/>
                <w:szCs w:val="20"/>
              </w:rPr>
              <w:t>PID</w:t>
            </w:r>
          </w:p>
        </w:tc>
        <w:tc>
          <w:tcPr>
            <w:tcW w:w="888" w:type="dxa"/>
            <w:tcBorders>
              <w:top w:val="single" w:sz="4" w:space="0" w:color="auto"/>
              <w:left w:val="single" w:sz="4" w:space="0" w:color="auto"/>
              <w:bottom w:val="single" w:sz="4" w:space="0" w:color="auto"/>
              <w:right w:val="single" w:sz="4" w:space="0" w:color="auto"/>
            </w:tcBorders>
            <w:vAlign w:val="center"/>
            <w:hideMark/>
          </w:tcPr>
          <w:p w14:paraId="4E3AFDDF" w14:textId="77777777" w:rsidR="00060483" w:rsidRPr="006A333F" w:rsidRDefault="00060483" w:rsidP="003933B5">
            <w:pPr>
              <w:spacing w:line="480" w:lineRule="auto"/>
              <w:jc w:val="center"/>
              <w:rPr>
                <w:rFonts w:ascii="Arial" w:hAnsi="Arial" w:cs="Arial"/>
                <w:b/>
                <w:bCs/>
                <w:color w:val="2E2E2E"/>
                <w:sz w:val="20"/>
                <w:szCs w:val="20"/>
              </w:rPr>
            </w:pPr>
            <w:r w:rsidRPr="006A333F">
              <w:rPr>
                <w:rFonts w:ascii="Arial" w:hAnsi="Arial" w:cs="Arial"/>
                <w:b/>
                <w:bCs/>
                <w:color w:val="2E2E2E"/>
                <w:sz w:val="20"/>
                <w:szCs w:val="20"/>
              </w:rPr>
              <w:t>MW</w:t>
            </w:r>
          </w:p>
          <w:p w14:paraId="482A3951" w14:textId="77777777" w:rsidR="00060483" w:rsidRPr="006A333F" w:rsidRDefault="00060483" w:rsidP="003933B5">
            <w:pPr>
              <w:spacing w:line="480" w:lineRule="auto"/>
              <w:jc w:val="center"/>
              <w:rPr>
                <w:rStyle w:val="Strong"/>
                <w:rFonts w:ascii="Arial" w:hAnsi="Arial" w:cs="Arial"/>
                <w:color w:val="2E2E2E"/>
                <w:sz w:val="20"/>
                <w:szCs w:val="20"/>
              </w:rPr>
            </w:pPr>
            <w:r w:rsidRPr="006A333F">
              <w:rPr>
                <w:rFonts w:ascii="Arial" w:hAnsi="Arial" w:cs="Arial"/>
                <w:b/>
                <w:bCs/>
                <w:color w:val="2E2E2E"/>
                <w:sz w:val="20"/>
                <w:szCs w:val="20"/>
              </w:rPr>
              <w:t>(g/mol)</w:t>
            </w:r>
          </w:p>
        </w:tc>
        <w:tc>
          <w:tcPr>
            <w:tcW w:w="688" w:type="dxa"/>
            <w:tcBorders>
              <w:top w:val="single" w:sz="4" w:space="0" w:color="auto"/>
              <w:left w:val="single" w:sz="4" w:space="0" w:color="auto"/>
              <w:bottom w:val="single" w:sz="4" w:space="0" w:color="auto"/>
              <w:right w:val="single" w:sz="4" w:space="0" w:color="auto"/>
            </w:tcBorders>
            <w:vAlign w:val="center"/>
            <w:hideMark/>
          </w:tcPr>
          <w:p w14:paraId="16E5A215" w14:textId="77777777" w:rsidR="00060483" w:rsidRPr="006A333F" w:rsidRDefault="00060483" w:rsidP="003933B5">
            <w:pPr>
              <w:spacing w:line="480" w:lineRule="auto"/>
              <w:jc w:val="center"/>
              <w:rPr>
                <w:rStyle w:val="Strong"/>
                <w:rFonts w:ascii="Arial" w:hAnsi="Arial" w:cs="Arial"/>
                <w:color w:val="2E2E2E"/>
                <w:sz w:val="20"/>
                <w:szCs w:val="20"/>
              </w:rPr>
            </w:pPr>
            <w:r w:rsidRPr="006A333F">
              <w:rPr>
                <w:rStyle w:val="Strong"/>
                <w:rFonts w:ascii="Arial" w:hAnsi="Arial" w:cs="Arial"/>
                <w:color w:val="2E2E2E"/>
                <w:sz w:val="20"/>
                <w:szCs w:val="20"/>
              </w:rPr>
              <w:t>HBA</w:t>
            </w:r>
          </w:p>
        </w:tc>
        <w:tc>
          <w:tcPr>
            <w:tcW w:w="688" w:type="dxa"/>
            <w:tcBorders>
              <w:top w:val="single" w:sz="4" w:space="0" w:color="auto"/>
              <w:left w:val="single" w:sz="4" w:space="0" w:color="auto"/>
              <w:bottom w:val="single" w:sz="4" w:space="0" w:color="auto"/>
              <w:right w:val="single" w:sz="4" w:space="0" w:color="auto"/>
            </w:tcBorders>
            <w:vAlign w:val="center"/>
          </w:tcPr>
          <w:p w14:paraId="27CB905C" w14:textId="476DE147" w:rsidR="00D21404" w:rsidRPr="006A333F" w:rsidRDefault="00060483" w:rsidP="00D21404">
            <w:pPr>
              <w:spacing w:line="480" w:lineRule="auto"/>
              <w:jc w:val="center"/>
              <w:rPr>
                <w:rFonts w:ascii="Arial" w:hAnsi="Arial" w:cs="Arial"/>
                <w:b/>
                <w:bCs/>
                <w:color w:val="2E2E2E"/>
                <w:sz w:val="20"/>
                <w:szCs w:val="20"/>
              </w:rPr>
            </w:pPr>
            <w:r w:rsidRPr="006A333F">
              <w:rPr>
                <w:rFonts w:ascii="Arial" w:hAnsi="Arial" w:cs="Arial"/>
                <w:b/>
                <w:bCs/>
                <w:color w:val="2E2E2E"/>
                <w:sz w:val="20"/>
                <w:szCs w:val="20"/>
              </w:rPr>
              <w:t>HBD</w:t>
            </w:r>
          </w:p>
          <w:p w14:paraId="2E1C5FE2" w14:textId="77777777" w:rsidR="00060483" w:rsidRPr="006A333F" w:rsidRDefault="00060483" w:rsidP="003933B5">
            <w:pPr>
              <w:spacing w:line="480" w:lineRule="auto"/>
              <w:jc w:val="center"/>
              <w:rPr>
                <w:rStyle w:val="Strong"/>
                <w:rFonts w:ascii="Arial" w:hAnsi="Arial" w:cs="Arial"/>
                <w:sz w:val="20"/>
                <w:szCs w:val="20"/>
              </w:rPr>
            </w:pPr>
          </w:p>
        </w:tc>
        <w:tc>
          <w:tcPr>
            <w:tcW w:w="837" w:type="dxa"/>
            <w:tcBorders>
              <w:top w:val="single" w:sz="4" w:space="0" w:color="auto"/>
              <w:left w:val="single" w:sz="4" w:space="0" w:color="auto"/>
              <w:bottom w:val="single" w:sz="4" w:space="0" w:color="auto"/>
              <w:right w:val="single" w:sz="4" w:space="0" w:color="auto"/>
            </w:tcBorders>
            <w:vAlign w:val="center"/>
            <w:hideMark/>
          </w:tcPr>
          <w:p w14:paraId="11972B23" w14:textId="77777777" w:rsidR="00060483" w:rsidRPr="006A333F" w:rsidRDefault="00060483" w:rsidP="003933B5">
            <w:pPr>
              <w:spacing w:line="480" w:lineRule="auto"/>
              <w:jc w:val="center"/>
              <w:rPr>
                <w:rStyle w:val="Strong"/>
                <w:rFonts w:ascii="Arial" w:hAnsi="Arial" w:cs="Arial"/>
                <w:color w:val="2E2E2E"/>
                <w:sz w:val="20"/>
                <w:szCs w:val="20"/>
              </w:rPr>
            </w:pPr>
            <w:proofErr w:type="spellStart"/>
            <w:r w:rsidRPr="006A333F">
              <w:rPr>
                <w:rStyle w:val="Strong"/>
                <w:rFonts w:ascii="Arial" w:hAnsi="Arial" w:cs="Arial"/>
                <w:color w:val="2E2E2E"/>
                <w:sz w:val="20"/>
                <w:szCs w:val="20"/>
              </w:rPr>
              <w:t>MlogP</w:t>
            </w:r>
            <w:proofErr w:type="spellEnd"/>
          </w:p>
        </w:tc>
        <w:tc>
          <w:tcPr>
            <w:tcW w:w="828" w:type="dxa"/>
            <w:tcBorders>
              <w:top w:val="single" w:sz="4" w:space="0" w:color="auto"/>
              <w:left w:val="single" w:sz="4" w:space="0" w:color="auto"/>
              <w:bottom w:val="single" w:sz="4" w:space="0" w:color="auto"/>
              <w:right w:val="single" w:sz="4" w:space="0" w:color="auto"/>
            </w:tcBorders>
            <w:vAlign w:val="center"/>
            <w:hideMark/>
          </w:tcPr>
          <w:p w14:paraId="6F5E9383" w14:textId="77777777" w:rsidR="00060483" w:rsidRPr="006A333F" w:rsidRDefault="00060483" w:rsidP="003933B5">
            <w:pPr>
              <w:spacing w:line="480" w:lineRule="auto"/>
              <w:jc w:val="center"/>
              <w:rPr>
                <w:rStyle w:val="Strong"/>
                <w:rFonts w:ascii="Arial" w:hAnsi="Arial" w:cs="Arial"/>
                <w:color w:val="2E2E2E"/>
                <w:sz w:val="20"/>
                <w:szCs w:val="20"/>
              </w:rPr>
            </w:pPr>
            <w:r w:rsidRPr="006A333F">
              <w:rPr>
                <w:rFonts w:ascii="Arial" w:hAnsi="Arial" w:cs="Arial"/>
                <w:b/>
                <w:bCs/>
                <w:color w:val="2E2E2E"/>
                <w:sz w:val="20"/>
                <w:szCs w:val="20"/>
              </w:rPr>
              <w:t>HIA</w:t>
            </w:r>
          </w:p>
        </w:tc>
        <w:tc>
          <w:tcPr>
            <w:tcW w:w="828" w:type="dxa"/>
            <w:tcBorders>
              <w:top w:val="single" w:sz="4" w:space="0" w:color="auto"/>
              <w:left w:val="single" w:sz="4" w:space="0" w:color="auto"/>
              <w:bottom w:val="single" w:sz="4" w:space="0" w:color="auto"/>
              <w:right w:val="single" w:sz="4" w:space="0" w:color="auto"/>
            </w:tcBorders>
            <w:vAlign w:val="center"/>
            <w:hideMark/>
          </w:tcPr>
          <w:p w14:paraId="1A4DF277" w14:textId="77777777" w:rsidR="00060483" w:rsidRPr="006A333F" w:rsidRDefault="00060483" w:rsidP="003933B5">
            <w:pPr>
              <w:spacing w:line="480" w:lineRule="auto"/>
              <w:jc w:val="center"/>
              <w:rPr>
                <w:rStyle w:val="Strong"/>
                <w:rFonts w:ascii="Arial" w:hAnsi="Arial" w:cs="Arial"/>
                <w:color w:val="2E2E2E"/>
                <w:sz w:val="20"/>
                <w:szCs w:val="20"/>
              </w:rPr>
            </w:pPr>
            <w:r w:rsidRPr="006A333F">
              <w:rPr>
                <w:rFonts w:ascii="Arial" w:hAnsi="Arial" w:cs="Arial"/>
                <w:b/>
                <w:bCs/>
                <w:color w:val="2E2E2E"/>
                <w:sz w:val="20"/>
                <w:szCs w:val="20"/>
              </w:rPr>
              <w:t>AM</w:t>
            </w:r>
          </w:p>
        </w:tc>
        <w:tc>
          <w:tcPr>
            <w:tcW w:w="982" w:type="dxa"/>
            <w:tcBorders>
              <w:top w:val="single" w:sz="4" w:space="0" w:color="auto"/>
              <w:left w:val="single" w:sz="4" w:space="0" w:color="auto"/>
              <w:bottom w:val="single" w:sz="4" w:space="0" w:color="auto"/>
              <w:right w:val="single" w:sz="4" w:space="0" w:color="auto"/>
            </w:tcBorders>
            <w:vAlign w:val="center"/>
            <w:hideMark/>
          </w:tcPr>
          <w:p w14:paraId="3B5B8C08" w14:textId="77777777" w:rsidR="00060483" w:rsidRPr="006A333F" w:rsidRDefault="00060483" w:rsidP="003933B5">
            <w:pPr>
              <w:spacing w:line="480" w:lineRule="auto"/>
              <w:jc w:val="center"/>
              <w:rPr>
                <w:rStyle w:val="Strong"/>
                <w:rFonts w:ascii="Arial" w:hAnsi="Arial" w:cs="Arial"/>
                <w:color w:val="2E2E2E"/>
                <w:sz w:val="20"/>
                <w:szCs w:val="20"/>
              </w:rPr>
            </w:pPr>
            <w:r w:rsidRPr="006A333F">
              <w:rPr>
                <w:rFonts w:ascii="Arial" w:hAnsi="Arial" w:cs="Arial"/>
                <w:b/>
                <w:bCs/>
                <w:color w:val="2E2E2E"/>
                <w:sz w:val="20"/>
                <w:szCs w:val="20"/>
              </w:rPr>
              <w:t>CAR (binary)</w:t>
            </w:r>
          </w:p>
        </w:tc>
        <w:tc>
          <w:tcPr>
            <w:tcW w:w="1150" w:type="dxa"/>
            <w:tcBorders>
              <w:top w:val="single" w:sz="4" w:space="0" w:color="auto"/>
              <w:left w:val="single" w:sz="4" w:space="0" w:color="auto"/>
              <w:bottom w:val="single" w:sz="4" w:space="0" w:color="auto"/>
              <w:right w:val="single" w:sz="4" w:space="0" w:color="auto"/>
            </w:tcBorders>
            <w:vAlign w:val="center"/>
            <w:hideMark/>
          </w:tcPr>
          <w:p w14:paraId="4217EFB7" w14:textId="77777777" w:rsidR="00060483" w:rsidRPr="006A333F" w:rsidRDefault="00060483" w:rsidP="003933B5">
            <w:pPr>
              <w:spacing w:line="480" w:lineRule="auto"/>
              <w:jc w:val="center"/>
              <w:rPr>
                <w:rStyle w:val="Strong"/>
                <w:rFonts w:ascii="Arial" w:hAnsi="Arial" w:cs="Arial"/>
                <w:color w:val="2E2E2E"/>
                <w:sz w:val="20"/>
                <w:szCs w:val="20"/>
              </w:rPr>
            </w:pPr>
            <w:r w:rsidRPr="006A333F">
              <w:rPr>
                <w:rStyle w:val="Strong"/>
                <w:rFonts w:ascii="Arial" w:hAnsi="Arial" w:cs="Arial"/>
                <w:color w:val="2E2E2E"/>
                <w:sz w:val="20"/>
                <w:szCs w:val="20"/>
              </w:rPr>
              <w:t>No. of Lipinski violations</w:t>
            </w:r>
          </w:p>
        </w:tc>
      </w:tr>
      <w:tr w:rsidR="00060483" w:rsidRPr="006A333F" w14:paraId="03161A54" w14:textId="77777777" w:rsidTr="00060483">
        <w:trPr>
          <w:trHeight w:val="341"/>
          <w:jc w:val="center"/>
        </w:trPr>
        <w:tc>
          <w:tcPr>
            <w:tcW w:w="1708" w:type="dxa"/>
            <w:tcBorders>
              <w:top w:val="single" w:sz="4" w:space="0" w:color="auto"/>
              <w:left w:val="single" w:sz="4" w:space="0" w:color="auto"/>
              <w:bottom w:val="single" w:sz="4" w:space="0" w:color="auto"/>
              <w:right w:val="single" w:sz="4" w:space="0" w:color="auto"/>
            </w:tcBorders>
            <w:vAlign w:val="center"/>
            <w:hideMark/>
          </w:tcPr>
          <w:p w14:paraId="5284C5AB" w14:textId="77777777" w:rsidR="00060483" w:rsidRPr="006A333F" w:rsidRDefault="00060483" w:rsidP="003933B5">
            <w:pPr>
              <w:spacing w:line="480" w:lineRule="auto"/>
              <w:rPr>
                <w:rFonts w:ascii="Arial" w:hAnsi="Arial" w:cs="Arial"/>
                <w:sz w:val="20"/>
                <w:szCs w:val="20"/>
              </w:rPr>
            </w:pPr>
            <w:proofErr w:type="spellStart"/>
            <w:r w:rsidRPr="006A333F">
              <w:rPr>
                <w:rFonts w:ascii="Arial" w:hAnsi="Arial" w:cs="Arial"/>
                <w:sz w:val="20"/>
                <w:szCs w:val="20"/>
              </w:rPr>
              <w:t>Betulinic</w:t>
            </w:r>
            <w:proofErr w:type="spellEnd"/>
            <w:r w:rsidRPr="006A333F">
              <w:rPr>
                <w:rFonts w:ascii="Arial" w:hAnsi="Arial" w:cs="Arial"/>
                <w:sz w:val="20"/>
                <w:szCs w:val="20"/>
              </w:rPr>
              <w:t xml:space="preserve"> acid</w:t>
            </w:r>
          </w:p>
        </w:tc>
        <w:tc>
          <w:tcPr>
            <w:tcW w:w="1107" w:type="dxa"/>
            <w:tcBorders>
              <w:top w:val="single" w:sz="4" w:space="0" w:color="auto"/>
              <w:left w:val="single" w:sz="4" w:space="0" w:color="auto"/>
              <w:bottom w:val="single" w:sz="4" w:space="0" w:color="auto"/>
              <w:right w:val="single" w:sz="4" w:space="0" w:color="auto"/>
            </w:tcBorders>
            <w:vAlign w:val="center"/>
            <w:hideMark/>
          </w:tcPr>
          <w:p w14:paraId="4AA02230"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64971</w:t>
            </w:r>
          </w:p>
        </w:tc>
        <w:tc>
          <w:tcPr>
            <w:tcW w:w="888" w:type="dxa"/>
            <w:tcBorders>
              <w:top w:val="single" w:sz="4" w:space="0" w:color="auto"/>
              <w:left w:val="single" w:sz="4" w:space="0" w:color="auto"/>
              <w:bottom w:val="single" w:sz="4" w:space="0" w:color="auto"/>
              <w:right w:val="single" w:sz="4" w:space="0" w:color="auto"/>
            </w:tcBorders>
            <w:vAlign w:val="center"/>
            <w:hideMark/>
          </w:tcPr>
          <w:p w14:paraId="7C4C68F2"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456.70</w:t>
            </w:r>
          </w:p>
        </w:tc>
        <w:tc>
          <w:tcPr>
            <w:tcW w:w="688" w:type="dxa"/>
            <w:tcBorders>
              <w:top w:val="single" w:sz="4" w:space="0" w:color="auto"/>
              <w:left w:val="single" w:sz="4" w:space="0" w:color="auto"/>
              <w:bottom w:val="single" w:sz="4" w:space="0" w:color="auto"/>
              <w:right w:val="single" w:sz="4" w:space="0" w:color="auto"/>
            </w:tcBorders>
            <w:vAlign w:val="center"/>
            <w:hideMark/>
          </w:tcPr>
          <w:p w14:paraId="1A630021"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3</w:t>
            </w:r>
          </w:p>
        </w:tc>
        <w:tc>
          <w:tcPr>
            <w:tcW w:w="688" w:type="dxa"/>
            <w:tcBorders>
              <w:top w:val="single" w:sz="4" w:space="0" w:color="auto"/>
              <w:left w:val="single" w:sz="4" w:space="0" w:color="auto"/>
              <w:bottom w:val="single" w:sz="4" w:space="0" w:color="auto"/>
              <w:right w:val="single" w:sz="4" w:space="0" w:color="auto"/>
            </w:tcBorders>
            <w:vAlign w:val="center"/>
            <w:hideMark/>
          </w:tcPr>
          <w:p w14:paraId="6308C156"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2</w:t>
            </w:r>
          </w:p>
        </w:tc>
        <w:tc>
          <w:tcPr>
            <w:tcW w:w="837" w:type="dxa"/>
            <w:tcBorders>
              <w:top w:val="single" w:sz="4" w:space="0" w:color="auto"/>
              <w:left w:val="single" w:sz="4" w:space="0" w:color="auto"/>
              <w:bottom w:val="single" w:sz="4" w:space="0" w:color="auto"/>
              <w:right w:val="single" w:sz="4" w:space="0" w:color="auto"/>
            </w:tcBorders>
            <w:vAlign w:val="center"/>
            <w:hideMark/>
          </w:tcPr>
          <w:p w14:paraId="61EDE7CB"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5.82</w:t>
            </w:r>
          </w:p>
        </w:tc>
        <w:tc>
          <w:tcPr>
            <w:tcW w:w="828" w:type="dxa"/>
            <w:tcBorders>
              <w:top w:val="single" w:sz="4" w:space="0" w:color="auto"/>
              <w:left w:val="single" w:sz="4" w:space="0" w:color="auto"/>
              <w:bottom w:val="single" w:sz="4" w:space="0" w:color="auto"/>
              <w:right w:val="single" w:sz="4" w:space="0" w:color="auto"/>
            </w:tcBorders>
            <w:vAlign w:val="center"/>
            <w:hideMark/>
          </w:tcPr>
          <w:p w14:paraId="7EE231A1"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0.9952</w:t>
            </w:r>
          </w:p>
        </w:tc>
        <w:tc>
          <w:tcPr>
            <w:tcW w:w="828" w:type="dxa"/>
            <w:tcBorders>
              <w:top w:val="single" w:sz="4" w:space="0" w:color="auto"/>
              <w:left w:val="single" w:sz="4" w:space="0" w:color="auto"/>
              <w:bottom w:val="single" w:sz="4" w:space="0" w:color="auto"/>
              <w:right w:val="single" w:sz="4" w:space="0" w:color="auto"/>
            </w:tcBorders>
            <w:vAlign w:val="center"/>
            <w:hideMark/>
          </w:tcPr>
          <w:p w14:paraId="4696FA5A"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0.8867</w:t>
            </w:r>
          </w:p>
        </w:tc>
        <w:tc>
          <w:tcPr>
            <w:tcW w:w="982" w:type="dxa"/>
            <w:tcBorders>
              <w:top w:val="single" w:sz="4" w:space="0" w:color="auto"/>
              <w:left w:val="single" w:sz="4" w:space="0" w:color="auto"/>
              <w:bottom w:val="single" w:sz="4" w:space="0" w:color="auto"/>
              <w:right w:val="single" w:sz="4" w:space="0" w:color="auto"/>
            </w:tcBorders>
            <w:vAlign w:val="center"/>
            <w:hideMark/>
          </w:tcPr>
          <w:p w14:paraId="290F3B1E"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0.9363</w:t>
            </w:r>
          </w:p>
        </w:tc>
        <w:tc>
          <w:tcPr>
            <w:tcW w:w="1150" w:type="dxa"/>
            <w:tcBorders>
              <w:top w:val="single" w:sz="4" w:space="0" w:color="auto"/>
              <w:left w:val="single" w:sz="4" w:space="0" w:color="auto"/>
              <w:bottom w:val="single" w:sz="4" w:space="0" w:color="auto"/>
              <w:right w:val="single" w:sz="4" w:space="0" w:color="auto"/>
            </w:tcBorders>
            <w:vAlign w:val="center"/>
            <w:hideMark/>
          </w:tcPr>
          <w:p w14:paraId="485BC15E"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1</w:t>
            </w:r>
          </w:p>
        </w:tc>
      </w:tr>
      <w:tr w:rsidR="00060483" w:rsidRPr="006A333F" w14:paraId="13FFCD73" w14:textId="77777777" w:rsidTr="00060483">
        <w:trPr>
          <w:trHeight w:val="350"/>
          <w:jc w:val="center"/>
        </w:trPr>
        <w:tc>
          <w:tcPr>
            <w:tcW w:w="1708" w:type="dxa"/>
            <w:tcBorders>
              <w:top w:val="single" w:sz="4" w:space="0" w:color="auto"/>
              <w:left w:val="single" w:sz="4" w:space="0" w:color="auto"/>
              <w:bottom w:val="single" w:sz="4" w:space="0" w:color="auto"/>
              <w:right w:val="single" w:sz="4" w:space="0" w:color="auto"/>
            </w:tcBorders>
            <w:vAlign w:val="center"/>
            <w:hideMark/>
          </w:tcPr>
          <w:p w14:paraId="01FCC091" w14:textId="77777777" w:rsidR="00060483" w:rsidRPr="006A333F" w:rsidRDefault="00060483" w:rsidP="003933B5">
            <w:pPr>
              <w:spacing w:line="480" w:lineRule="auto"/>
              <w:rPr>
                <w:rFonts w:ascii="Arial" w:hAnsi="Arial" w:cs="Arial"/>
                <w:sz w:val="20"/>
                <w:szCs w:val="20"/>
              </w:rPr>
            </w:pPr>
            <w:r w:rsidRPr="006A333F">
              <w:rPr>
                <w:rFonts w:ascii="Arial" w:hAnsi="Arial" w:cs="Arial"/>
                <w:sz w:val="20"/>
                <w:szCs w:val="20"/>
              </w:rPr>
              <w:t>Lupeol</w:t>
            </w:r>
          </w:p>
        </w:tc>
        <w:tc>
          <w:tcPr>
            <w:tcW w:w="1107" w:type="dxa"/>
            <w:tcBorders>
              <w:top w:val="single" w:sz="4" w:space="0" w:color="auto"/>
              <w:left w:val="single" w:sz="4" w:space="0" w:color="auto"/>
              <w:bottom w:val="single" w:sz="4" w:space="0" w:color="auto"/>
              <w:right w:val="single" w:sz="4" w:space="0" w:color="auto"/>
            </w:tcBorders>
            <w:vAlign w:val="center"/>
            <w:hideMark/>
          </w:tcPr>
          <w:p w14:paraId="5874290F"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259846</w:t>
            </w:r>
          </w:p>
        </w:tc>
        <w:tc>
          <w:tcPr>
            <w:tcW w:w="888" w:type="dxa"/>
            <w:tcBorders>
              <w:top w:val="single" w:sz="4" w:space="0" w:color="auto"/>
              <w:left w:val="single" w:sz="4" w:space="0" w:color="auto"/>
              <w:bottom w:val="single" w:sz="4" w:space="0" w:color="auto"/>
              <w:right w:val="single" w:sz="4" w:space="0" w:color="auto"/>
            </w:tcBorders>
            <w:vAlign w:val="center"/>
            <w:hideMark/>
          </w:tcPr>
          <w:p w14:paraId="7B57FFA1"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426.72</w:t>
            </w:r>
          </w:p>
        </w:tc>
        <w:tc>
          <w:tcPr>
            <w:tcW w:w="688" w:type="dxa"/>
            <w:tcBorders>
              <w:top w:val="single" w:sz="4" w:space="0" w:color="auto"/>
              <w:left w:val="single" w:sz="4" w:space="0" w:color="auto"/>
              <w:bottom w:val="single" w:sz="4" w:space="0" w:color="auto"/>
              <w:right w:val="single" w:sz="4" w:space="0" w:color="auto"/>
            </w:tcBorders>
            <w:vAlign w:val="center"/>
            <w:hideMark/>
          </w:tcPr>
          <w:p w14:paraId="79F6BE38"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1</w:t>
            </w:r>
          </w:p>
        </w:tc>
        <w:tc>
          <w:tcPr>
            <w:tcW w:w="688" w:type="dxa"/>
            <w:tcBorders>
              <w:top w:val="single" w:sz="4" w:space="0" w:color="auto"/>
              <w:left w:val="single" w:sz="4" w:space="0" w:color="auto"/>
              <w:bottom w:val="single" w:sz="4" w:space="0" w:color="auto"/>
              <w:right w:val="single" w:sz="4" w:space="0" w:color="auto"/>
            </w:tcBorders>
            <w:vAlign w:val="center"/>
            <w:hideMark/>
          </w:tcPr>
          <w:p w14:paraId="09EC586B"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1</w:t>
            </w:r>
          </w:p>
        </w:tc>
        <w:tc>
          <w:tcPr>
            <w:tcW w:w="837" w:type="dxa"/>
            <w:tcBorders>
              <w:top w:val="single" w:sz="4" w:space="0" w:color="auto"/>
              <w:left w:val="single" w:sz="4" w:space="0" w:color="auto"/>
              <w:bottom w:val="single" w:sz="4" w:space="0" w:color="auto"/>
              <w:right w:val="single" w:sz="4" w:space="0" w:color="auto"/>
            </w:tcBorders>
            <w:vAlign w:val="center"/>
            <w:hideMark/>
          </w:tcPr>
          <w:p w14:paraId="4B08ADE7"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6.92</w:t>
            </w:r>
          </w:p>
        </w:tc>
        <w:tc>
          <w:tcPr>
            <w:tcW w:w="828" w:type="dxa"/>
            <w:tcBorders>
              <w:top w:val="single" w:sz="4" w:space="0" w:color="auto"/>
              <w:left w:val="single" w:sz="4" w:space="0" w:color="auto"/>
              <w:bottom w:val="single" w:sz="4" w:space="0" w:color="auto"/>
              <w:right w:val="single" w:sz="4" w:space="0" w:color="auto"/>
            </w:tcBorders>
            <w:vAlign w:val="center"/>
            <w:hideMark/>
          </w:tcPr>
          <w:p w14:paraId="27045721"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0.9974</w:t>
            </w:r>
          </w:p>
        </w:tc>
        <w:tc>
          <w:tcPr>
            <w:tcW w:w="828" w:type="dxa"/>
            <w:tcBorders>
              <w:top w:val="single" w:sz="4" w:space="0" w:color="auto"/>
              <w:left w:val="single" w:sz="4" w:space="0" w:color="auto"/>
              <w:bottom w:val="single" w:sz="4" w:space="0" w:color="auto"/>
              <w:right w:val="single" w:sz="4" w:space="0" w:color="auto"/>
            </w:tcBorders>
            <w:vAlign w:val="center"/>
            <w:hideMark/>
          </w:tcPr>
          <w:p w14:paraId="6C8F4927"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0.9420</w:t>
            </w:r>
          </w:p>
        </w:tc>
        <w:tc>
          <w:tcPr>
            <w:tcW w:w="982" w:type="dxa"/>
            <w:tcBorders>
              <w:top w:val="single" w:sz="4" w:space="0" w:color="auto"/>
              <w:left w:val="single" w:sz="4" w:space="0" w:color="auto"/>
              <w:bottom w:val="single" w:sz="4" w:space="0" w:color="auto"/>
              <w:right w:val="single" w:sz="4" w:space="0" w:color="auto"/>
            </w:tcBorders>
            <w:vAlign w:val="center"/>
            <w:hideMark/>
          </w:tcPr>
          <w:p w14:paraId="4FF657E6"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0.9188</w:t>
            </w:r>
          </w:p>
        </w:tc>
        <w:tc>
          <w:tcPr>
            <w:tcW w:w="1150" w:type="dxa"/>
            <w:tcBorders>
              <w:top w:val="single" w:sz="4" w:space="0" w:color="auto"/>
              <w:left w:val="single" w:sz="4" w:space="0" w:color="auto"/>
              <w:bottom w:val="single" w:sz="4" w:space="0" w:color="auto"/>
              <w:right w:val="single" w:sz="4" w:space="0" w:color="auto"/>
            </w:tcBorders>
            <w:vAlign w:val="center"/>
            <w:hideMark/>
          </w:tcPr>
          <w:p w14:paraId="389700A0"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1</w:t>
            </w:r>
          </w:p>
        </w:tc>
      </w:tr>
      <w:tr w:rsidR="00060483" w:rsidRPr="006A333F" w14:paraId="1F61F873" w14:textId="77777777" w:rsidTr="00060483">
        <w:trPr>
          <w:trHeight w:val="350"/>
          <w:jc w:val="center"/>
        </w:trPr>
        <w:tc>
          <w:tcPr>
            <w:tcW w:w="1708" w:type="dxa"/>
            <w:tcBorders>
              <w:top w:val="single" w:sz="4" w:space="0" w:color="auto"/>
              <w:left w:val="single" w:sz="4" w:space="0" w:color="auto"/>
              <w:bottom w:val="single" w:sz="4" w:space="0" w:color="auto"/>
              <w:right w:val="single" w:sz="4" w:space="0" w:color="auto"/>
            </w:tcBorders>
            <w:vAlign w:val="center"/>
            <w:hideMark/>
          </w:tcPr>
          <w:p w14:paraId="577967A7" w14:textId="77777777" w:rsidR="00060483" w:rsidRPr="006A333F" w:rsidRDefault="00060483" w:rsidP="003933B5">
            <w:pPr>
              <w:spacing w:line="480" w:lineRule="auto"/>
              <w:rPr>
                <w:rFonts w:ascii="Arial" w:hAnsi="Arial" w:cs="Arial"/>
                <w:sz w:val="20"/>
                <w:szCs w:val="20"/>
              </w:rPr>
            </w:pPr>
            <w:r w:rsidRPr="006A333F">
              <w:rPr>
                <w:rFonts w:ascii="Arial" w:hAnsi="Arial" w:cs="Arial"/>
                <w:sz w:val="20"/>
                <w:szCs w:val="20"/>
              </w:rPr>
              <w:t>Warangalone</w:t>
            </w:r>
          </w:p>
        </w:tc>
        <w:tc>
          <w:tcPr>
            <w:tcW w:w="1107" w:type="dxa"/>
            <w:tcBorders>
              <w:top w:val="single" w:sz="4" w:space="0" w:color="auto"/>
              <w:left w:val="single" w:sz="4" w:space="0" w:color="auto"/>
              <w:bottom w:val="single" w:sz="4" w:space="0" w:color="auto"/>
              <w:right w:val="single" w:sz="4" w:space="0" w:color="auto"/>
            </w:tcBorders>
            <w:vAlign w:val="center"/>
            <w:hideMark/>
          </w:tcPr>
          <w:p w14:paraId="678A5851"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5379679</w:t>
            </w:r>
          </w:p>
        </w:tc>
        <w:tc>
          <w:tcPr>
            <w:tcW w:w="888" w:type="dxa"/>
            <w:tcBorders>
              <w:top w:val="single" w:sz="4" w:space="0" w:color="auto"/>
              <w:left w:val="single" w:sz="4" w:space="0" w:color="auto"/>
              <w:bottom w:val="single" w:sz="4" w:space="0" w:color="auto"/>
              <w:right w:val="single" w:sz="4" w:space="0" w:color="auto"/>
            </w:tcBorders>
            <w:vAlign w:val="center"/>
            <w:hideMark/>
          </w:tcPr>
          <w:p w14:paraId="416B15C9"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404.46</w:t>
            </w:r>
          </w:p>
        </w:tc>
        <w:tc>
          <w:tcPr>
            <w:tcW w:w="688" w:type="dxa"/>
            <w:tcBorders>
              <w:top w:val="single" w:sz="4" w:space="0" w:color="auto"/>
              <w:left w:val="single" w:sz="4" w:space="0" w:color="auto"/>
              <w:bottom w:val="single" w:sz="4" w:space="0" w:color="auto"/>
              <w:right w:val="single" w:sz="4" w:space="0" w:color="auto"/>
            </w:tcBorders>
            <w:vAlign w:val="center"/>
            <w:hideMark/>
          </w:tcPr>
          <w:p w14:paraId="442F8B3F"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5</w:t>
            </w:r>
          </w:p>
        </w:tc>
        <w:tc>
          <w:tcPr>
            <w:tcW w:w="688" w:type="dxa"/>
            <w:tcBorders>
              <w:top w:val="single" w:sz="4" w:space="0" w:color="auto"/>
              <w:left w:val="single" w:sz="4" w:space="0" w:color="auto"/>
              <w:bottom w:val="single" w:sz="4" w:space="0" w:color="auto"/>
              <w:right w:val="single" w:sz="4" w:space="0" w:color="auto"/>
            </w:tcBorders>
            <w:vAlign w:val="center"/>
            <w:hideMark/>
          </w:tcPr>
          <w:p w14:paraId="6EFDD7CF"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2</w:t>
            </w:r>
          </w:p>
        </w:tc>
        <w:tc>
          <w:tcPr>
            <w:tcW w:w="837" w:type="dxa"/>
            <w:tcBorders>
              <w:top w:val="single" w:sz="4" w:space="0" w:color="auto"/>
              <w:left w:val="single" w:sz="4" w:space="0" w:color="auto"/>
              <w:bottom w:val="single" w:sz="4" w:space="0" w:color="auto"/>
              <w:right w:val="single" w:sz="4" w:space="0" w:color="auto"/>
            </w:tcBorders>
            <w:vAlign w:val="center"/>
            <w:hideMark/>
          </w:tcPr>
          <w:p w14:paraId="1B4D1DEE"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2.64</w:t>
            </w:r>
          </w:p>
        </w:tc>
        <w:tc>
          <w:tcPr>
            <w:tcW w:w="828" w:type="dxa"/>
            <w:tcBorders>
              <w:top w:val="single" w:sz="4" w:space="0" w:color="auto"/>
              <w:left w:val="single" w:sz="4" w:space="0" w:color="auto"/>
              <w:bottom w:val="single" w:sz="4" w:space="0" w:color="auto"/>
              <w:right w:val="single" w:sz="4" w:space="0" w:color="auto"/>
            </w:tcBorders>
            <w:vAlign w:val="center"/>
            <w:hideMark/>
          </w:tcPr>
          <w:p w14:paraId="7882055B"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0.9950</w:t>
            </w:r>
          </w:p>
        </w:tc>
        <w:tc>
          <w:tcPr>
            <w:tcW w:w="828" w:type="dxa"/>
            <w:tcBorders>
              <w:top w:val="single" w:sz="4" w:space="0" w:color="auto"/>
              <w:left w:val="single" w:sz="4" w:space="0" w:color="auto"/>
              <w:bottom w:val="single" w:sz="4" w:space="0" w:color="auto"/>
              <w:right w:val="single" w:sz="4" w:space="0" w:color="auto"/>
            </w:tcBorders>
            <w:vAlign w:val="center"/>
            <w:hideMark/>
          </w:tcPr>
          <w:p w14:paraId="2F14625B"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0.7229</w:t>
            </w:r>
          </w:p>
        </w:tc>
        <w:tc>
          <w:tcPr>
            <w:tcW w:w="982" w:type="dxa"/>
            <w:tcBorders>
              <w:top w:val="single" w:sz="4" w:space="0" w:color="auto"/>
              <w:left w:val="single" w:sz="4" w:space="0" w:color="auto"/>
              <w:bottom w:val="single" w:sz="4" w:space="0" w:color="auto"/>
              <w:right w:val="single" w:sz="4" w:space="0" w:color="auto"/>
            </w:tcBorders>
            <w:vAlign w:val="center"/>
            <w:hideMark/>
          </w:tcPr>
          <w:p w14:paraId="3C0DFEEC"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0.8939</w:t>
            </w:r>
          </w:p>
        </w:tc>
        <w:tc>
          <w:tcPr>
            <w:tcW w:w="1150" w:type="dxa"/>
            <w:tcBorders>
              <w:top w:val="single" w:sz="4" w:space="0" w:color="auto"/>
              <w:left w:val="single" w:sz="4" w:space="0" w:color="auto"/>
              <w:bottom w:val="single" w:sz="4" w:space="0" w:color="auto"/>
              <w:right w:val="single" w:sz="4" w:space="0" w:color="auto"/>
            </w:tcBorders>
            <w:vAlign w:val="center"/>
            <w:hideMark/>
          </w:tcPr>
          <w:p w14:paraId="7FF9709B"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0</w:t>
            </w:r>
          </w:p>
        </w:tc>
      </w:tr>
      <w:tr w:rsidR="00060483" w:rsidRPr="006A333F" w14:paraId="0FA62F4E" w14:textId="77777777" w:rsidTr="00060483">
        <w:trPr>
          <w:trHeight w:val="359"/>
          <w:jc w:val="center"/>
        </w:trPr>
        <w:tc>
          <w:tcPr>
            <w:tcW w:w="1708" w:type="dxa"/>
            <w:tcBorders>
              <w:top w:val="single" w:sz="4" w:space="0" w:color="auto"/>
              <w:left w:val="single" w:sz="4" w:space="0" w:color="auto"/>
              <w:bottom w:val="single" w:sz="4" w:space="0" w:color="auto"/>
              <w:right w:val="single" w:sz="4" w:space="0" w:color="auto"/>
            </w:tcBorders>
            <w:vAlign w:val="center"/>
            <w:hideMark/>
          </w:tcPr>
          <w:p w14:paraId="0C851D49" w14:textId="64348661" w:rsidR="00060483" w:rsidRPr="006A333F" w:rsidRDefault="00060483" w:rsidP="003933B5">
            <w:pPr>
              <w:spacing w:line="480" w:lineRule="auto"/>
              <w:rPr>
                <w:rFonts w:ascii="Arial" w:hAnsi="Arial" w:cs="Arial"/>
                <w:sz w:val="20"/>
                <w:szCs w:val="20"/>
              </w:rPr>
            </w:pPr>
            <w:r w:rsidRPr="006A333F">
              <w:rPr>
                <w:rFonts w:ascii="Arial" w:hAnsi="Arial" w:cs="Arial"/>
                <w:sz w:val="20"/>
                <w:szCs w:val="20"/>
              </w:rPr>
              <w:t xml:space="preserve">Euchrenone </w:t>
            </w:r>
            <w:r w:rsidR="003A0AF8">
              <w:rPr>
                <w:rFonts w:ascii="Arial" w:hAnsi="Arial" w:cs="Arial"/>
                <w:sz w:val="20"/>
                <w:szCs w:val="20"/>
              </w:rPr>
              <w:t>B</w:t>
            </w:r>
            <w:r w:rsidRPr="006A333F">
              <w:rPr>
                <w:rFonts w:ascii="Arial" w:hAnsi="Arial" w:cs="Arial"/>
                <w:sz w:val="20"/>
                <w:szCs w:val="20"/>
              </w:rPr>
              <w:t>8</w:t>
            </w:r>
          </w:p>
        </w:tc>
        <w:tc>
          <w:tcPr>
            <w:tcW w:w="1107" w:type="dxa"/>
            <w:tcBorders>
              <w:top w:val="single" w:sz="4" w:space="0" w:color="auto"/>
              <w:left w:val="single" w:sz="4" w:space="0" w:color="auto"/>
              <w:bottom w:val="single" w:sz="4" w:space="0" w:color="auto"/>
              <w:right w:val="single" w:sz="4" w:space="0" w:color="auto"/>
            </w:tcBorders>
            <w:vAlign w:val="center"/>
            <w:hideMark/>
          </w:tcPr>
          <w:p w14:paraId="69C13443"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14704591</w:t>
            </w:r>
          </w:p>
        </w:tc>
        <w:tc>
          <w:tcPr>
            <w:tcW w:w="888" w:type="dxa"/>
            <w:tcBorders>
              <w:top w:val="single" w:sz="4" w:space="0" w:color="auto"/>
              <w:left w:val="single" w:sz="4" w:space="0" w:color="auto"/>
              <w:bottom w:val="single" w:sz="4" w:space="0" w:color="auto"/>
              <w:right w:val="single" w:sz="4" w:space="0" w:color="auto"/>
            </w:tcBorders>
            <w:vAlign w:val="center"/>
            <w:hideMark/>
          </w:tcPr>
          <w:p w14:paraId="33FED7C4"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420.45</w:t>
            </w:r>
          </w:p>
        </w:tc>
        <w:tc>
          <w:tcPr>
            <w:tcW w:w="688" w:type="dxa"/>
            <w:tcBorders>
              <w:top w:val="single" w:sz="4" w:space="0" w:color="auto"/>
              <w:left w:val="single" w:sz="4" w:space="0" w:color="auto"/>
              <w:bottom w:val="single" w:sz="4" w:space="0" w:color="auto"/>
              <w:right w:val="single" w:sz="4" w:space="0" w:color="auto"/>
            </w:tcBorders>
            <w:vAlign w:val="center"/>
            <w:hideMark/>
          </w:tcPr>
          <w:p w14:paraId="52A8437B"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6</w:t>
            </w:r>
          </w:p>
        </w:tc>
        <w:tc>
          <w:tcPr>
            <w:tcW w:w="688" w:type="dxa"/>
            <w:tcBorders>
              <w:top w:val="single" w:sz="4" w:space="0" w:color="auto"/>
              <w:left w:val="single" w:sz="4" w:space="0" w:color="auto"/>
              <w:bottom w:val="single" w:sz="4" w:space="0" w:color="auto"/>
              <w:right w:val="single" w:sz="4" w:space="0" w:color="auto"/>
            </w:tcBorders>
            <w:vAlign w:val="center"/>
            <w:hideMark/>
          </w:tcPr>
          <w:p w14:paraId="1C31B840"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3</w:t>
            </w:r>
          </w:p>
        </w:tc>
        <w:tc>
          <w:tcPr>
            <w:tcW w:w="837" w:type="dxa"/>
            <w:tcBorders>
              <w:top w:val="single" w:sz="4" w:space="0" w:color="auto"/>
              <w:left w:val="single" w:sz="4" w:space="0" w:color="auto"/>
              <w:bottom w:val="single" w:sz="4" w:space="0" w:color="auto"/>
              <w:right w:val="single" w:sz="4" w:space="0" w:color="auto"/>
            </w:tcBorders>
            <w:vAlign w:val="center"/>
            <w:hideMark/>
          </w:tcPr>
          <w:p w14:paraId="3A763EAD"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1.83</w:t>
            </w:r>
          </w:p>
        </w:tc>
        <w:tc>
          <w:tcPr>
            <w:tcW w:w="828" w:type="dxa"/>
            <w:tcBorders>
              <w:top w:val="single" w:sz="4" w:space="0" w:color="auto"/>
              <w:left w:val="single" w:sz="4" w:space="0" w:color="auto"/>
              <w:bottom w:val="single" w:sz="4" w:space="0" w:color="auto"/>
              <w:right w:val="single" w:sz="4" w:space="0" w:color="auto"/>
            </w:tcBorders>
            <w:vAlign w:val="center"/>
            <w:hideMark/>
          </w:tcPr>
          <w:p w14:paraId="654F3B00"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0.9880</w:t>
            </w:r>
          </w:p>
        </w:tc>
        <w:tc>
          <w:tcPr>
            <w:tcW w:w="828" w:type="dxa"/>
            <w:tcBorders>
              <w:top w:val="single" w:sz="4" w:space="0" w:color="auto"/>
              <w:left w:val="single" w:sz="4" w:space="0" w:color="auto"/>
              <w:bottom w:val="single" w:sz="4" w:space="0" w:color="auto"/>
              <w:right w:val="single" w:sz="4" w:space="0" w:color="auto"/>
            </w:tcBorders>
            <w:vAlign w:val="center"/>
            <w:hideMark/>
          </w:tcPr>
          <w:p w14:paraId="2B976C22"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0.7035</w:t>
            </w:r>
          </w:p>
        </w:tc>
        <w:tc>
          <w:tcPr>
            <w:tcW w:w="982" w:type="dxa"/>
            <w:tcBorders>
              <w:top w:val="single" w:sz="4" w:space="0" w:color="auto"/>
              <w:left w:val="single" w:sz="4" w:space="0" w:color="auto"/>
              <w:bottom w:val="single" w:sz="4" w:space="0" w:color="auto"/>
              <w:right w:val="single" w:sz="4" w:space="0" w:color="auto"/>
            </w:tcBorders>
            <w:vAlign w:val="center"/>
            <w:hideMark/>
          </w:tcPr>
          <w:p w14:paraId="6B1C14DD"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0.8917</w:t>
            </w:r>
          </w:p>
        </w:tc>
        <w:tc>
          <w:tcPr>
            <w:tcW w:w="1150" w:type="dxa"/>
            <w:tcBorders>
              <w:top w:val="single" w:sz="4" w:space="0" w:color="auto"/>
              <w:left w:val="single" w:sz="4" w:space="0" w:color="auto"/>
              <w:bottom w:val="single" w:sz="4" w:space="0" w:color="auto"/>
              <w:right w:val="single" w:sz="4" w:space="0" w:color="auto"/>
            </w:tcBorders>
            <w:vAlign w:val="center"/>
            <w:hideMark/>
          </w:tcPr>
          <w:p w14:paraId="2F594B30"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0</w:t>
            </w:r>
          </w:p>
        </w:tc>
      </w:tr>
    </w:tbl>
    <w:p w14:paraId="462A254E" w14:textId="6FB6659F" w:rsidR="00E053D0" w:rsidRPr="00E772A2" w:rsidRDefault="00060483" w:rsidP="00E772A2">
      <w:pPr>
        <w:pStyle w:val="NormalWeb"/>
        <w:spacing w:line="480" w:lineRule="auto"/>
        <w:jc w:val="both"/>
        <w:rPr>
          <w:rFonts w:ascii="Arial" w:hAnsi="Arial" w:cs="Arial"/>
          <w:b/>
          <w:color w:val="252525"/>
          <w:sz w:val="20"/>
          <w:szCs w:val="20"/>
        </w:rPr>
      </w:pPr>
      <w:r w:rsidRPr="00060483">
        <w:rPr>
          <w:rFonts w:ascii="Arial" w:hAnsi="Arial"/>
          <w:bCs/>
          <w:i/>
          <w:sz w:val="18"/>
        </w:rPr>
        <w:t>*</w:t>
      </w:r>
      <w:r w:rsidRPr="006A333F">
        <w:rPr>
          <w:rFonts w:ascii="Arial" w:hAnsi="Arial" w:cs="Arial"/>
          <w:sz w:val="20"/>
          <w:szCs w:val="20"/>
        </w:rPr>
        <w:t>PID = PubChem ID, MW = Molecular Weight (acceptance range: &lt;500), HBA = Hydrogen Bond Acceptor (acceptance range: ≤ 10),  HBD = </w:t>
      </w:r>
      <w:hyperlink r:id="rId20" w:tooltip="Learn more about Hydrogen Bond from ScienceDirect's AI-generated Topic Pages" w:history="1">
        <w:r w:rsidRPr="006A333F">
          <w:rPr>
            <w:rStyle w:val="Hyperlink"/>
            <w:rFonts w:ascii="Arial" w:hAnsi="Arial" w:cs="Arial"/>
            <w:color w:val="2E2E2E"/>
            <w:sz w:val="20"/>
            <w:szCs w:val="20"/>
          </w:rPr>
          <w:t>Hydrogen Bond</w:t>
        </w:r>
      </w:hyperlink>
      <w:r w:rsidRPr="006A333F">
        <w:rPr>
          <w:rFonts w:ascii="Arial" w:hAnsi="Arial" w:cs="Arial"/>
          <w:sz w:val="20"/>
          <w:szCs w:val="20"/>
        </w:rPr>
        <w:t xml:space="preserve"> Donor (acceptance range: ≤ 5), </w:t>
      </w:r>
      <w:proofErr w:type="spellStart"/>
      <w:r w:rsidRPr="006A333F">
        <w:rPr>
          <w:rFonts w:ascii="Arial" w:hAnsi="Arial" w:cs="Arial"/>
          <w:sz w:val="20"/>
          <w:szCs w:val="20"/>
        </w:rPr>
        <w:t>MLogP</w:t>
      </w:r>
      <w:proofErr w:type="spellEnd"/>
      <w:r w:rsidRPr="006A333F">
        <w:rPr>
          <w:rFonts w:ascii="Arial" w:hAnsi="Arial" w:cs="Arial"/>
          <w:sz w:val="20"/>
          <w:szCs w:val="20"/>
        </w:rPr>
        <w:t> = High </w:t>
      </w:r>
      <w:proofErr w:type="spellStart"/>
      <w:r w:rsidR="007B170B">
        <w:fldChar w:fldCharType="begin"/>
      </w:r>
      <w:r w:rsidR="007B170B">
        <w:instrText xml:space="preserve"> HYPERLINK "https://www.sciencedirect.com/topics/pharmacology-toxicology-and-pharmaceutical-science/lipophilicity" \o "Learn more about Lipophilicity from ScienceDirect's AI-generated Topic Pages" </w:instrText>
      </w:r>
      <w:r w:rsidR="007B170B">
        <w:fldChar w:fldCharType="separate"/>
      </w:r>
      <w:r w:rsidRPr="006A333F">
        <w:rPr>
          <w:rStyle w:val="Hyperlink"/>
          <w:rFonts w:ascii="Arial" w:hAnsi="Arial" w:cs="Arial"/>
          <w:color w:val="2E2E2E"/>
          <w:sz w:val="20"/>
          <w:szCs w:val="20"/>
        </w:rPr>
        <w:t>Lipophilicity</w:t>
      </w:r>
      <w:proofErr w:type="spellEnd"/>
      <w:r w:rsidR="007B170B">
        <w:rPr>
          <w:rStyle w:val="Hyperlink"/>
          <w:rFonts w:ascii="Arial" w:hAnsi="Arial" w:cs="Arial"/>
          <w:color w:val="2E2E2E"/>
          <w:sz w:val="20"/>
          <w:szCs w:val="20"/>
        </w:rPr>
        <w:fldChar w:fldCharType="end"/>
      </w:r>
      <w:r w:rsidRPr="006A333F">
        <w:rPr>
          <w:rFonts w:ascii="Arial" w:hAnsi="Arial" w:cs="Arial"/>
          <w:sz w:val="20"/>
          <w:szCs w:val="20"/>
        </w:rPr>
        <w:t> (acceptance range: &lt; 5), HIA = Human Intestinal Absorption, AM = AMES </w:t>
      </w:r>
      <w:hyperlink r:id="rId21" w:tooltip="Learn more about Mutagenesis from ScienceDirect's AI-generated Topic Pages" w:history="1">
        <w:r w:rsidRPr="006A333F">
          <w:rPr>
            <w:rStyle w:val="Hyperlink"/>
            <w:rFonts w:ascii="Arial" w:hAnsi="Arial" w:cs="Arial"/>
            <w:color w:val="2E2E2E"/>
            <w:sz w:val="20"/>
            <w:szCs w:val="20"/>
          </w:rPr>
          <w:t>Mutagenesis</w:t>
        </w:r>
      </w:hyperlink>
      <w:r w:rsidRPr="006A333F">
        <w:rPr>
          <w:rFonts w:ascii="Arial" w:hAnsi="Arial" w:cs="Arial"/>
          <w:sz w:val="20"/>
          <w:szCs w:val="20"/>
        </w:rPr>
        <w:t>, CAR = Carcinogens, Lipinski’s rule of five violations less than or equal 1.</w:t>
      </w:r>
    </w:p>
    <w:p w14:paraId="0633C05F" w14:textId="08B1BCAA" w:rsidR="00C73625" w:rsidRDefault="00C73625" w:rsidP="00C73625">
      <w:pPr>
        <w:pStyle w:val="Head1"/>
        <w:spacing w:after="0"/>
        <w:jc w:val="both"/>
        <w:rPr>
          <w:rFonts w:ascii="Arial" w:hAnsi="Arial" w:cs="Arial"/>
        </w:rPr>
      </w:pPr>
      <w:r>
        <w:rPr>
          <w:rFonts w:ascii="Arial" w:hAnsi="Arial" w:cs="Arial"/>
        </w:rPr>
        <w:t>4. discussion</w:t>
      </w:r>
    </w:p>
    <w:p w14:paraId="59E60238" w14:textId="560868A8" w:rsidR="00790ADA" w:rsidRDefault="00790ADA" w:rsidP="00441B6F">
      <w:pPr>
        <w:pStyle w:val="Body"/>
        <w:spacing w:after="0"/>
        <w:rPr>
          <w:rFonts w:ascii="Arial" w:hAnsi="Arial" w:cs="Arial"/>
        </w:rPr>
      </w:pPr>
    </w:p>
    <w:p w14:paraId="3536B623" w14:textId="064FBF67" w:rsidR="00C73625" w:rsidRPr="00C73625" w:rsidRDefault="00C73625" w:rsidP="00C73625">
      <w:pPr>
        <w:pStyle w:val="Body"/>
        <w:rPr>
          <w:rFonts w:ascii="Arial" w:hAnsi="Arial" w:cs="Arial"/>
        </w:rPr>
      </w:pPr>
      <w:r w:rsidRPr="00C73625">
        <w:rPr>
          <w:rFonts w:ascii="Arial" w:hAnsi="Arial" w:cs="Arial"/>
        </w:rPr>
        <w:t xml:space="preserve">People in underdeveloped countries still widely rely on medicinal plants due to their cost-effectiveness. Even without any scientific proof, native people are using medicinal plants in a wide variety of dosage forms. This makes researchers curious about uncovering the potentiality of medicinal plants using efficient experimental methods. Recently, interest in medicinal plants has increased significantly because of the undesirable side effects of synthetic drugs. To investigate the pharmacological activities of a medicinal plant extract, methanol is highly preferred. The polarity index of methanol is comparatively high, which makes it the best choice for the extraction of medicinal plants </w:t>
      </w:r>
      <w:r w:rsidRPr="00C73625">
        <w:rPr>
          <w:rFonts w:ascii="Arial" w:hAnsi="Arial" w:cs="Arial"/>
          <w:vertAlign w:val="superscript"/>
        </w:rPr>
        <w:fldChar w:fldCharType="begin" w:fldLock="1"/>
      </w:r>
      <w:r w:rsidR="00E772A2">
        <w:rPr>
          <w:rFonts w:ascii="Arial" w:hAnsi="Arial" w:cs="Arial"/>
        </w:rPr>
        <w:instrText>ADDIN CSL_CITATION {"citationItems":[{"id":"ITEM-1","itemData":{"DOI":"10.1186/s13065-014-0048-1","ISSN":"1752153X","abstract":"Background: This study evaluated the effect of the solvent on the extraction of antioxidant compounds from black mulberry (Morus nigra), blackberry (Rubus ulmifolius) and strawberry (Fragaria x ananassa). Different extracts of each berry were evaluated from the determination of total phenolic content, anthocyanin content and antioxidant capacity, and data were applied to the principal component analysis (PCA) to gain an overview of the effect of the solvent in extraction method.Results: For all the berries analyzed, acetone/water (70/30, v/v) solvent mixture was more efficient solvent in the extracting of phenolic compounds, and methanol/water/acetic acid (70/29.5/0.5, v/v/v) showed the best values for anthocyanin content. Mixtures of ethanol/water (50/50, v/v), acetone water/acetic acid (70/29.5/0.5, v/v/v) and acetone/water (50/50, v/v) presented the highest antioxidant capacities for black mulberries, blackberries and strawberries, respectively.Conclusion: Antioxidants extractions are extremely affected by the solvent combination used. In addition, the obtained extracts with the organic solvent-water mixtures were distinguished from the extracts obtained with pure organic solvents, through the PCA analysis.","author":[{"dropping-particle":"","family":"Boeing","given":"Joana S.","non-dropping-particle":"","parse-names":false,"suffix":""},{"dropping-particle":"","family":"Barizão","given":"Érica O.","non-dropping-particle":"","parse-names":false,"suffix":""},{"dropping-particle":"","family":"e Silva","given":"Beatriz C.","non-dropping-particle":"","parse-names":false,"suffix":""},{"dropping-particle":"","family":"Montanher","given":"Paula F.","non-dropping-particle":"","parse-names":false,"suffix":""},{"dropping-particle":"","family":"Cinque Almeida","given":"Vitor","non-dropping-particle":"de","parse-names":false,"suffix":""},{"dropping-particle":"V.","family":"Visentainer","given":"Jesuí","non-dropping-particle":"","parse-names":false,"suffix":""}],"container-title":"Chemistry Central Journal","id":"ITEM-1","issue":"1","issued":{"date-parts":[["2014"]]},"page":"1-9","title":"Evaluation of solvent effect on the extraction of phenolic compounds and antioxidant capacities from the berries: Application of principal component analysis","type":"article-journal","volume":"8"},"uris":["http://www.mendeley.com/documents/?uuid=81d4df4f-7e34-4edc-a43e-7c4cea012ee4"]}],"mendeley":{"formattedCitation":"(Boeing et al., 2014)","plainTextFormattedCitation":"(Boeing et al., 2014)","previouslyFormattedCitation":"(Boeing et al. 2014)"},"properties":{"noteIndex":0},"schema":"https://github.com/citation-style-language/schema/raw/master/csl-citation.json"}</w:instrText>
      </w:r>
      <w:r w:rsidRPr="00C73625">
        <w:rPr>
          <w:rFonts w:ascii="Arial" w:hAnsi="Arial" w:cs="Arial"/>
          <w:vertAlign w:val="superscript"/>
        </w:rPr>
        <w:fldChar w:fldCharType="separate"/>
      </w:r>
      <w:r w:rsidR="00E772A2" w:rsidRPr="00E772A2">
        <w:rPr>
          <w:rFonts w:ascii="Arial" w:hAnsi="Arial" w:cs="Arial"/>
          <w:bCs/>
          <w:noProof/>
        </w:rPr>
        <w:t>(Boeing et al., 2014)</w:t>
      </w:r>
      <w:r w:rsidRPr="00C73625">
        <w:rPr>
          <w:rFonts w:ascii="Arial" w:hAnsi="Arial" w:cs="Arial"/>
        </w:rPr>
        <w:fldChar w:fldCharType="end"/>
      </w:r>
      <w:r w:rsidRPr="00C73625">
        <w:rPr>
          <w:rFonts w:ascii="Arial" w:hAnsi="Arial" w:cs="Arial"/>
        </w:rPr>
        <w:t xml:space="preserve">. Methanol is used as a solvent in this investigation. Medicinal plants contain a wide variety of phytoconstituents, and these are accountable for various pharmacological potentialities. In this investigation, the antioxidant activity of </w:t>
      </w:r>
      <w:r w:rsidR="00504E99" w:rsidRPr="00055E7B">
        <w:rPr>
          <w:rFonts w:ascii="Arial" w:hAnsi="Arial" w:cs="Arial"/>
          <w:highlight w:val="yellow"/>
        </w:rPr>
        <w:t>MELOR</w:t>
      </w:r>
      <w:r w:rsidRPr="00C73625">
        <w:rPr>
          <w:rFonts w:ascii="Arial" w:hAnsi="Arial" w:cs="Arial"/>
        </w:rPr>
        <w:t xml:space="preserve"> was evaluated to reduce undesirable side effects of conventional antioxidants and find better alternatives </w:t>
      </w:r>
      <w:r w:rsidRPr="00C73625">
        <w:rPr>
          <w:rFonts w:ascii="Arial" w:hAnsi="Arial" w:cs="Arial"/>
          <w:vertAlign w:val="superscript"/>
        </w:rPr>
        <w:fldChar w:fldCharType="begin" w:fldLock="1"/>
      </w:r>
      <w:r w:rsidR="00E772A2">
        <w:rPr>
          <w:rFonts w:ascii="Arial" w:hAnsi="Arial" w:cs="Arial"/>
        </w:rPr>
        <w:instrText>ADDIN CSL_CITATION {"citationItems":[{"id":"ITEM-1","itemData":{"DOI":"10.3390/biom8040124","ISSN":"2218273X","PMID":"30366441","abstract":"The term “antioxidant” is one of the most confusing definitions in biological/medical sciences. In chemistry, “antioxidant” is simply conceived “a compound that removes reactive species, mainly those oxygen-derived”, while in a cell context, the conceptual definition of an antioxidant is poorly understood. Indeed, non-clinically recommended antioxidants are often consumed in large amounts by the global population, based on the belief that cancer, inflammation and degenerative diseases are triggered by high oxygen levels (or reactive oxygen species) and that through blocking reactive species production, organic unbalances/disorders can be prevented and/or even treated. The popularity of these chemicals arises in part from the widespread public mistrust of allopathic medicine. In fact, reactive oxygen species play a dual role in dealing with different disorders, since they may contribute to disease onset and/or progression but may also play a key role in disease prevention. Further, the ability of the most commonly used supplements, such as vitamins C, E, selenium, and herbal supplements to decrease pathologic reactive oxygen species is not clearly established. Hence, the present review aims to provide a nuanced understanding of where current knowledge is and where it should go.","author":[{"dropping-particle":"","family":"Salehi","given":"Bahare","non-dropping-particle":"","parse-names":false,"suffix":""},{"dropping-particle":"","family":"Martorell","given":"Miquel","non-dropping-particle":"","parse-names":false,"suffix":""},{"dropping-particle":"","family":"Arbiser","given":"Jack L.","non-dropping-particle":"","parse-names":false,"suffix":""},{"dropping-particle":"","family":"Sureda","given":"Antoni","non-dropping-particle":"","parse-names":false,"suffix":""},{"dropping-particle":"","family":"Martins","given":"Natália","non-dropping-particle":"","parse-names":false,"suffix":""},{"dropping-particle":"","family":"Maurya","given":"Pawan Kumar","non-dropping-particle":"","parse-names":false,"suffix":""},{"dropping-particle":"","family":"Sharifi-Rad","given":"Mehdi","non-dropping-particle":"","parse-names":false,"suffix":""},{"dropping-particle":"","family":"Kumar","given":"Pradeep","non-dropping-particle":"","parse-names":false,"suffix":""},{"dropping-particle":"","family":"Sharifi-Rad","given":"Javad","non-dropping-particle":"","parse-names":false,"suffix":""}],"container-title":"Biomolecules","id":"ITEM-1","issue":"4","issued":{"date-parts":[["2018"]]},"page":"1-11","title":"Antioxidants: Positive or negative actors?","type":"article-journal","volume":"8"},"uris":["http://www.mendeley.com/documents/?uuid=c30cf1b5-a40d-4b5f-b12c-69d27ca46045"]}],"mendeley":{"formattedCitation":"(Salehi et al., 2018)","plainTextFormattedCitation":"(Salehi et al., 2018)","previouslyFormattedCitation":"(Salehi et al. 2018)"},"properties":{"noteIndex":0},"schema":"https://github.com/citation-style-language/schema/raw/master/csl-citation.json"}</w:instrText>
      </w:r>
      <w:r w:rsidRPr="00C73625">
        <w:rPr>
          <w:rFonts w:ascii="Arial" w:hAnsi="Arial" w:cs="Arial"/>
          <w:vertAlign w:val="superscript"/>
        </w:rPr>
        <w:fldChar w:fldCharType="separate"/>
      </w:r>
      <w:r w:rsidR="00E772A2" w:rsidRPr="00E772A2">
        <w:rPr>
          <w:rFonts w:ascii="Arial" w:hAnsi="Arial" w:cs="Arial"/>
          <w:bCs/>
          <w:noProof/>
        </w:rPr>
        <w:t>(Salehi et al., 2018)</w:t>
      </w:r>
      <w:r w:rsidRPr="00C73625">
        <w:rPr>
          <w:rFonts w:ascii="Arial" w:hAnsi="Arial" w:cs="Arial"/>
        </w:rPr>
        <w:fldChar w:fldCharType="end"/>
      </w:r>
      <w:r w:rsidRPr="00C73625">
        <w:rPr>
          <w:rFonts w:ascii="Arial" w:hAnsi="Arial" w:cs="Arial"/>
        </w:rPr>
        <w:t xml:space="preserve">. In this assay, ascorbic acid was used as a standard, which neutralizes free radicals by donating hydrogen. Flavonoids are the key components that destroy free radicals because they can donate hydrogen </w:t>
      </w:r>
      <w:r w:rsidRPr="00C73625">
        <w:rPr>
          <w:rFonts w:ascii="Arial" w:hAnsi="Arial" w:cs="Arial"/>
          <w:vertAlign w:val="superscript"/>
        </w:rPr>
        <w:fldChar w:fldCharType="begin" w:fldLock="1"/>
      </w:r>
      <w:r w:rsidR="00E772A2">
        <w:rPr>
          <w:rFonts w:ascii="Arial" w:hAnsi="Arial" w:cs="Arial"/>
        </w:rPr>
        <w:instrText>ADDIN CSL_CITATION {"citationItems":[{"id":"ITEM-1","itemData":{"DOI":"10.1186/1472-6882-12-221","ISSN":"14726882","PMID":"23153304","abstract":"Background: The aim of this study was to screen various solvent extracts of whole plant of Torilis leptophylla to display potent antioxidant activity in vitro and in vivo, total phenolic and flavonoid contents in order to find possible sources for future novel antioxidants in food and pharmaceutical formulations.Material and methods: A detailed study was performed on the antioxidant activity of the methanol extract of whole plant of Torilis leptophylla (TLM) and its derived fractions {n-hexane (TLH), chloroform (TLC) ethyl acetate (TLE) n-butanol (TLB) and residual aqueous fraction (TLA)} by in vitro chemical analyses and carbon tetrachloride (CCl4) induced hepatic injuries (lipid peroxidation and glutathione contents) in male Sprague-Dawley rat. The total yield, total phenolic (TPC) and total flavonoid contents (TFC) of all the fractions were also determined. TLM was also subjected to preliminary phytochemical screening test for various constituents.Results: The total phenolic contents (TPC) (121.9±3.1 mg GAE/g extract) of TLM while total flavonoid contents (TFC) of TLE (60.9 ±2.2 mg RTE/g extract) were found significantly higher as compared to other solvent fractions. Phytochemical screening of TLM revealed the presence of alkaloids, anthraquinones, cardiac glycosides, coumarins, flavonoids, saponins, phlobatannins, tannins and terpenoids. The EC50 values based on the DPPH (41.0±1 μg/ml), ABTS (10.0±0.9 μg/ml) and phosphomolybdate (10.7±2 μg/ml) for TLB, hydroxyl radicals (8.0±1 μg/ml) for TLC, superoxide radicals (57.0±0.3 μg/ml) for TLM and hydrogen peroxide radicals (68.0±2 μg/ml) for TLE were generally lower showing potential antioxidant properties. A significant but marginal positive correlation was found between TPC and EC50 values for DPPH, hydroxyl, phosphomolybdate and ABTS, whereas another weak and positive correlation was determined between TFC and EC50 values for superoxide anion and hydroxyl radicals. Results of in vivo experiment revealed that administration of CCl4 caused a significant increase in lipid peroxidation (TBARS) while decrease in GSH contents of liver. In contrast, TLM (200 mg/kg bw) and silymarin (50 mg/kg bw) co-treatment effectively prevented these alterations and maintained the antioxidant status.Conclusion: Data from present results revealed that Torilis leptophylla act as an antioxidant agent due to its free radical scavenging and cytoprotective activity. © 2012 Saeed et al.; licensee BioMed Central Ltd.","author":[{"dropping-particle":"","family":"Saeed","given":"Naima","non-dropping-particle":"","parse-names":false,"suffix":""},{"dropping-particle":"","family":"Khan","given":"Muhammad R.","non-dropping-particle":"","parse-names":false,"suffix":""},{"dropping-particle":"","family":"Shabbir","given":"Maria","non-dropping-particle":"","parse-names":false,"suffix":""}],"container-title":"BMC Complementary and Alternative Medicine","id":"ITEM-1","issued":{"date-parts":[["2012"]]},"title":"Antioxidant activity, total phenolic and total flavonoid contents of whole plant extracts Torilis leptophylla L","type":"article-journal","volume":"12"},"uris":["http://www.mendeley.com/documents/?uuid=dbfc8fb7-35da-4743-8331-f60181434148"]}],"mendeley":{"formattedCitation":"(Saeed et al., 2012)","plainTextFormattedCitation":"(Saeed et al., 2012)","previouslyFormattedCitation":"(Saeed, Khan, and Shabbir 2012)"},"properties":{"noteIndex":0},"schema":"https://github.com/citation-style-language/schema/raw/master/csl-citation.json"}</w:instrText>
      </w:r>
      <w:r w:rsidRPr="00C73625">
        <w:rPr>
          <w:rFonts w:ascii="Arial" w:hAnsi="Arial" w:cs="Arial"/>
          <w:vertAlign w:val="superscript"/>
        </w:rPr>
        <w:fldChar w:fldCharType="separate"/>
      </w:r>
      <w:r w:rsidR="00E772A2" w:rsidRPr="00E772A2">
        <w:rPr>
          <w:rFonts w:ascii="Arial" w:hAnsi="Arial" w:cs="Arial"/>
          <w:noProof/>
        </w:rPr>
        <w:t>(Saeed et al., 2012)</w:t>
      </w:r>
      <w:r w:rsidRPr="00C73625">
        <w:rPr>
          <w:rFonts w:ascii="Arial" w:hAnsi="Arial" w:cs="Arial"/>
        </w:rPr>
        <w:fldChar w:fldCharType="end"/>
      </w:r>
      <w:r w:rsidRPr="00C73625">
        <w:rPr>
          <w:rFonts w:ascii="Arial" w:hAnsi="Arial" w:cs="Arial"/>
        </w:rPr>
        <w:t xml:space="preserve">. And the plant we investigated also contains flavonoids, which make it a potential source of antioxidants. </w:t>
      </w:r>
      <w:r w:rsidR="000C490D" w:rsidRPr="000C490D">
        <w:rPr>
          <w:rFonts w:ascii="Arial" w:hAnsi="Arial" w:cs="Arial"/>
          <w:highlight w:val="yellow"/>
        </w:rPr>
        <w:t>MELOR</w:t>
      </w:r>
      <w:r w:rsidRPr="000C490D">
        <w:rPr>
          <w:rFonts w:ascii="Arial" w:hAnsi="Arial" w:cs="Arial"/>
        </w:rPr>
        <w:t xml:space="preserve"> </w:t>
      </w:r>
      <w:r w:rsidRPr="00C73625">
        <w:rPr>
          <w:rFonts w:ascii="Arial" w:hAnsi="Arial" w:cs="Arial"/>
        </w:rPr>
        <w:t>showed dose-</w:t>
      </w:r>
      <w:r w:rsidRPr="00C73625">
        <w:rPr>
          <w:rFonts w:ascii="Arial" w:hAnsi="Arial" w:cs="Arial"/>
        </w:rPr>
        <w:lastRenderedPageBreak/>
        <w:t xml:space="preserve">dependent antioxidant activity by suppressing DPPH free radicals with a result </w:t>
      </w:r>
      <w:proofErr w:type="gramStart"/>
      <w:r w:rsidRPr="00C73625">
        <w:rPr>
          <w:rFonts w:ascii="Arial" w:hAnsi="Arial" w:cs="Arial"/>
        </w:rPr>
        <w:t xml:space="preserve">of 63.81 </w:t>
      </w:r>
      <w:proofErr w:type="spellStart"/>
      <w:r w:rsidR="00765BB1">
        <w:rPr>
          <w:rFonts w:ascii="Arial" w:hAnsi="Arial" w:cs="Arial"/>
        </w:rPr>
        <w:t>μg</w:t>
      </w:r>
      <w:proofErr w:type="spellEnd"/>
      <w:r w:rsidR="00765BB1">
        <w:rPr>
          <w:rFonts w:ascii="Arial" w:hAnsi="Arial" w:cs="Arial"/>
        </w:rPr>
        <w:t>/mL</w:t>
      </w:r>
      <w:proofErr w:type="gramEnd"/>
      <w:r w:rsidRPr="00C73625">
        <w:rPr>
          <w:rFonts w:ascii="Arial" w:hAnsi="Arial" w:cs="Arial"/>
        </w:rPr>
        <w:t xml:space="preserve"> compared to 12.90 </w:t>
      </w:r>
      <w:proofErr w:type="spellStart"/>
      <w:r w:rsidR="00765BB1">
        <w:rPr>
          <w:rFonts w:ascii="Arial" w:hAnsi="Arial" w:cs="Arial"/>
        </w:rPr>
        <w:t>μg</w:t>
      </w:r>
      <w:proofErr w:type="spellEnd"/>
      <w:r w:rsidR="00765BB1">
        <w:rPr>
          <w:rFonts w:ascii="Arial" w:hAnsi="Arial" w:cs="Arial"/>
        </w:rPr>
        <w:t>/mL</w:t>
      </w:r>
      <w:r w:rsidR="000C490D" w:rsidRPr="00C73625">
        <w:rPr>
          <w:rFonts w:ascii="Arial" w:hAnsi="Arial" w:cs="Arial"/>
        </w:rPr>
        <w:t xml:space="preserve"> </w:t>
      </w:r>
      <w:r w:rsidRPr="00C73625">
        <w:rPr>
          <w:rFonts w:ascii="Arial" w:hAnsi="Arial" w:cs="Arial"/>
        </w:rPr>
        <w:t xml:space="preserve">for standard ascorbic acid. In the present investigation, the DPPH free radical scavenging assay makes it evident that </w:t>
      </w:r>
      <w:r w:rsidR="000C490D" w:rsidRPr="000C490D">
        <w:rPr>
          <w:rFonts w:ascii="Arial" w:hAnsi="Arial" w:cs="Arial"/>
          <w:highlight w:val="yellow"/>
        </w:rPr>
        <w:t>MELOR</w:t>
      </w:r>
      <w:r w:rsidR="000C490D" w:rsidRPr="00C73625">
        <w:rPr>
          <w:rFonts w:ascii="Arial" w:hAnsi="Arial" w:cs="Arial"/>
        </w:rPr>
        <w:t xml:space="preserve"> </w:t>
      </w:r>
      <w:r w:rsidRPr="00C73625">
        <w:rPr>
          <w:rFonts w:ascii="Arial" w:hAnsi="Arial" w:cs="Arial"/>
        </w:rPr>
        <w:t>possesses antioxidant activity.</w:t>
      </w:r>
    </w:p>
    <w:p w14:paraId="0EF635BC" w14:textId="280363E9" w:rsidR="00C73625" w:rsidRPr="00C73625" w:rsidRDefault="00C73625" w:rsidP="00C73625">
      <w:pPr>
        <w:pStyle w:val="Body"/>
        <w:rPr>
          <w:rFonts w:ascii="Arial" w:hAnsi="Arial" w:cs="Arial"/>
        </w:rPr>
      </w:pPr>
      <w:r w:rsidRPr="00C73625">
        <w:rPr>
          <w:rFonts w:ascii="Arial" w:hAnsi="Arial" w:cs="Arial"/>
        </w:rPr>
        <w:t xml:space="preserve">As an efficient, simple, and cheap way to test for cytotoxic effects, the brine shrimp lethality bioassay has been frequently used </w:t>
      </w:r>
      <w:r w:rsidRPr="00C73625">
        <w:rPr>
          <w:rFonts w:ascii="Arial" w:hAnsi="Arial" w:cs="Arial"/>
          <w:vertAlign w:val="superscript"/>
        </w:rPr>
        <w:fldChar w:fldCharType="begin" w:fldLock="1"/>
      </w:r>
      <w:r w:rsidR="00E772A2">
        <w:rPr>
          <w:rFonts w:ascii="Arial" w:hAnsi="Arial" w:cs="Arial"/>
        </w:rPr>
        <w:instrText>ADDIN CSL_CITATION {"citationItems":[{"id":"ITEM-1","itemData":{"DOI":"10.1055/s-2007-971236","ISSN":"00320943","PMID":"7100305","author":[{"dropping-particle":"","family":"Meyer","given":"B. N.","non-dropping-particle":"","parse-names":false,"suffix":""},{"dropping-particle":"","family":"Ferrigni","given":"N. R.","non-dropping-particle":"","parse-names":false,"suffix":""},{"dropping-particle":"","family":"Putnam","given":"J. E.","non-dropping-particle":"","parse-names":false,"suffix":""},{"dropping-particle":"","family":"Jacobsen","given":"L. B.","non-dropping-particle":"","parse-names":false,"suffix":""},{"dropping-particle":"","family":"Nichols","given":"D. E.","non-dropping-particle":"","parse-names":false,"suffix":""},{"dropping-particle":"","family":"McLaughlin","given":"J. L.","non-dropping-particle":"","parse-names":false,"suffix":""}],"container-title":"Planta Medica","id":"ITEM-1","issue":"1","issued":{"date-parts":[["1982"]]},"page":"31-34","title":"Brine shrimp: A convenient general bioassay for active plant constituents","type":"article-journal","volume":"45"},"uris":["http://www.mendeley.com/documents/?uuid=7547934f-3e71-4fb9-a3be-98557210f7bc"]}],"mendeley":{"formattedCitation":"(Meyer et al., 1982)","plainTextFormattedCitation":"(Meyer et al., 1982)","previouslyFormattedCitation":"(Meyer et al. 1982)"},"properties":{"noteIndex":0},"schema":"https://github.com/citation-style-language/schema/raw/master/csl-citation.json"}</w:instrText>
      </w:r>
      <w:r w:rsidRPr="00C73625">
        <w:rPr>
          <w:rFonts w:ascii="Arial" w:hAnsi="Arial" w:cs="Arial"/>
          <w:vertAlign w:val="superscript"/>
        </w:rPr>
        <w:fldChar w:fldCharType="separate"/>
      </w:r>
      <w:r w:rsidR="00E772A2" w:rsidRPr="00E772A2">
        <w:rPr>
          <w:rFonts w:ascii="Arial" w:hAnsi="Arial" w:cs="Arial"/>
          <w:noProof/>
        </w:rPr>
        <w:t>(Meyer et al., 1982)</w:t>
      </w:r>
      <w:r w:rsidRPr="00C73625">
        <w:rPr>
          <w:rFonts w:ascii="Arial" w:hAnsi="Arial" w:cs="Arial"/>
        </w:rPr>
        <w:fldChar w:fldCharType="end"/>
      </w:r>
      <w:r w:rsidRPr="00C73625">
        <w:rPr>
          <w:rFonts w:ascii="Arial" w:hAnsi="Arial" w:cs="Arial"/>
        </w:rPr>
        <w:t xml:space="preserve"> </w:t>
      </w:r>
      <w:r w:rsidRPr="00C73625">
        <w:rPr>
          <w:rFonts w:ascii="Arial" w:hAnsi="Arial" w:cs="Arial"/>
          <w:vertAlign w:val="superscript"/>
        </w:rPr>
        <w:fldChar w:fldCharType="begin" w:fldLock="1"/>
      </w:r>
      <w:r w:rsidR="00E772A2">
        <w:rPr>
          <w:rFonts w:ascii="Arial" w:hAnsi="Arial" w:cs="Arial"/>
        </w:rPr>
        <w:instrText>ADDIN CSL_CITATION {"citationItems":[{"id":"ITEM-1","itemData":{"DOI":"10.5455/jabet.2020.d110","ISSN":"26164760","abstract":"The study reports the in vivo antidiarrheal and in vitro cytotoxic and thrombolytic activities of methanolic extract of Hedychium coccineum leaves (MEHCL). The antidiarrheal activity was evaluated by castor oil-induced diarrhea, whereas the intestinal motility by charcoal marker. In addition, brine shrimp lethality bioassay and human blood clot lysis were used to evaluate the cytotoxic and thrombolytic activities, respectively. In antidiarrheal study, castor oil-induced diarrhea and gastrointestinal motility exhibited a significant dose dependent reduction in diarrhea and defecation and an extremely significant (P &lt; 0.0001) inhibition in intestinal motility and peristalsis index by 200 and 400 mg/kg of MEHCL. The brine shrimp lethality bioassay revealed a considerable cytotoxic effect of MEHCL (LC50= 81.59 µg/mL; R² = 0.927) while in thrombolytic a significant percentage of clot lysis (17.36%, P &lt; 0.01) demonstrated. The findings suggest that H. coccineum leaves could be potential sources for biological activity.","author":[{"dropping-particle":"","family":"Shifah","given":"Fahmida","non-dropping-particle":"","parse-names":false,"suffix":""},{"dropping-particle":"","family":"Tareq","given":"Abu Montakim","non-dropping-particle":"","parse-names":false,"suffix":""},{"dropping-particle":"","family":"Sayeed","given":"Mohammed Aktar","non-dropping-particle":"","parse-names":false,"suffix":""},{"dropping-particle":"","family":"Islam","given":"Mohammad Nazmul","non-dropping-particle":"","parse-names":false,"suffix":""},{"dropping-particle":"Bin","family":"Emran","given":"Talha","non-dropping-particle":"","parse-names":false,"suffix":""},{"dropping-particle":"","family":"Ullah","given":"Md Ahsan","non-dropping-particle":"","parse-names":false,"suffix":""},{"dropping-particle":"","family":"Mukit","given":"Muhammad Abdul","non-dropping-particle":"","parse-names":false,"suffix":""},{"dropping-particle":"","family":"Ullah","given":"Ahmed","non-dropping-particle":"","parse-names":false,"suffix":""}],"container-title":"Journal of Advanced Biotechnology and Experimental Therapeutics","id":"ITEM-1","issue":"1","issued":{"date-parts":[["2020"]]},"page":"77-83","title":"Antidiarrheal, cytotoxic and thrombolytic activities of methanolic extract of hedychium coccineum leaves","type":"article-journal","volume":"3"},"uris":["http://www.mendeley.com/documents/?uuid=726be8a0-0077-434f-bd46-cedbd7892921"]}],"mendeley":{"formattedCitation":"(Shifah et al., 2020)","plainTextFormattedCitation":"(Shifah et al., 2020)","previouslyFormattedCitation":"(Shifah et al. 2020)"},"properties":{"noteIndex":0},"schema":"https://github.com/citation-style-language/schema/raw/master/csl-citation.json"}</w:instrText>
      </w:r>
      <w:r w:rsidRPr="00C73625">
        <w:rPr>
          <w:rFonts w:ascii="Arial" w:hAnsi="Arial" w:cs="Arial"/>
          <w:vertAlign w:val="superscript"/>
        </w:rPr>
        <w:fldChar w:fldCharType="separate"/>
      </w:r>
      <w:r w:rsidR="00E772A2" w:rsidRPr="00E772A2">
        <w:rPr>
          <w:rFonts w:ascii="Arial" w:hAnsi="Arial" w:cs="Arial"/>
          <w:bCs/>
          <w:noProof/>
        </w:rPr>
        <w:t>(Shifah et al., 2020)</w:t>
      </w:r>
      <w:r w:rsidRPr="00C73625">
        <w:rPr>
          <w:rFonts w:ascii="Arial" w:hAnsi="Arial" w:cs="Arial"/>
        </w:rPr>
        <w:fldChar w:fldCharType="end"/>
      </w:r>
      <w:r w:rsidRPr="00C73625">
        <w:rPr>
          <w:rFonts w:ascii="Arial" w:hAnsi="Arial" w:cs="Arial"/>
        </w:rPr>
        <w:t xml:space="preserve">. The brine shrimp lethality test has been discovered to have a strong association with solid human tumors in terms of cytotoxic and pesticidal action. This correlation is beneficial for the discovery of effective anticancer drugs as well as natural pesticides </w:t>
      </w:r>
      <w:r w:rsidRPr="00C73625">
        <w:rPr>
          <w:rFonts w:ascii="Arial" w:hAnsi="Arial" w:cs="Arial"/>
          <w:vertAlign w:val="superscript"/>
        </w:rPr>
        <w:fldChar w:fldCharType="begin" w:fldLock="1"/>
      </w:r>
      <w:r w:rsidR="00E772A2">
        <w:rPr>
          <w:rFonts w:ascii="Arial" w:hAnsi="Arial" w:cs="Arial"/>
        </w:rPr>
        <w:instrText>ADDIN CSL_CITATION {"citationItems":[{"id":"ITEM-1","itemData":{"DOI":"10.1186/s40816-019-0127-x","abstract":"Background: The study was conducted to evaluate the analgesic, anti-inflammatory, antipyretic properties of ethanolic extract of Tacca integrifolia rhizome (EETI) in mice and cytotoxic effects in brine shrimp nauplii followed by a PASS prediction study for some isolated compounds of T. integrifolia. Additionally, this experiment included the in silico molecular docking and ADME/T property analyses of some phytochemicals.","author":[{"dropping-particle":"","family":"Ahmed","given":"Shahriar","non-dropping-particle":"","parse-names":false,"suffix":""},{"dropping-particle":"","family":"Rakib","given":"Ahmed","non-dropping-particle":"","parse-names":false,"suffix":""},{"dropping-particle":"","family":"Islam","given":"Md. Ashiqul","non-dropping-particle":"","parse-names":false,"suffix":""},{"dropping-particle":"","family":"Khanam","given":"Bibi Humayra","non-dropping-particle":"","parse-names":false,"suffix":""},{"dropping-particle":"","family":"Faiz","given":"Farhana Binta","non-dropping-particle":"","parse-names":false,"suffix":""},{"dropping-particle":"","family":"Paul","given":"Arkajyoti","non-dropping-particle":"","parse-names":false,"suffix":""},{"dropping-particle":"","family":"Chy","given":"Md. Nazim Uddin","non-dropping-particle":"","parse-names":false,"suffix":""},{"dropping-particle":"","family":"Bhuiya","given":"N. M. Mahmudul Alam","non-dropping-particle":"","parse-names":false,"suffix":""},{"dropping-particle":"","family":"Uddin","given":"Mir Muhammad Nasir","non-dropping-particle":"","parse-names":false,"suffix":""},{"dropping-particle":"","family":"Ullah","given":"S. M. Amanat","non-dropping-particle":"","parse-names":false,"suffix":""},{"dropping-particle":"","family":"Rahman","given":"Md. Atiar","non-dropping-particle":"","parse-names":false,"suffix":""},{"dropping-particle":"Bin","family":"Emran","given":"Talha","non-dropping-particle":"","parse-names":false,"suffix":""}],"container-title":"Clinical Phytoscience","id":"ITEM-1","issue":"1","issued":{"date-parts":[["2019"]]},"publisher":"Clinical Phytoscience","title":"In vivo and in vitro pharmacological activities of Tacca integrifolia rhizome and investigation of possible lead compounds against breast cancer through in silico approaches","type":"article-journal","volume":"5"},"uris":["http://www.mendeley.com/documents/?uuid=94b1408b-199d-4f03-bce6-7cecb5965e64"]}],"mendeley":{"formattedCitation":"(S. Ahmed et al., 2019)","plainTextFormattedCitation":"(S. Ahmed et al., 2019)","previouslyFormattedCitation":"(Ahmed et al. 2019)"},"properties":{"noteIndex":0},"schema":"https://github.com/citation-style-language/schema/raw/master/csl-citation.json"}</w:instrText>
      </w:r>
      <w:r w:rsidRPr="00C73625">
        <w:rPr>
          <w:rFonts w:ascii="Arial" w:hAnsi="Arial" w:cs="Arial"/>
          <w:vertAlign w:val="superscript"/>
        </w:rPr>
        <w:fldChar w:fldCharType="separate"/>
      </w:r>
      <w:r w:rsidR="00E772A2" w:rsidRPr="00E772A2">
        <w:rPr>
          <w:rFonts w:ascii="Arial" w:hAnsi="Arial" w:cs="Arial"/>
          <w:bCs/>
          <w:noProof/>
        </w:rPr>
        <w:t>(S. Ahmed et al., 2019)</w:t>
      </w:r>
      <w:r w:rsidRPr="00C73625">
        <w:rPr>
          <w:rFonts w:ascii="Arial" w:hAnsi="Arial" w:cs="Arial"/>
        </w:rPr>
        <w:fldChar w:fldCharType="end"/>
      </w:r>
      <w:r w:rsidRPr="00C73625">
        <w:rPr>
          <w:rFonts w:ascii="Arial" w:hAnsi="Arial" w:cs="Arial"/>
        </w:rPr>
        <w:t>. In general, the LC</w:t>
      </w:r>
      <w:r w:rsidRPr="00C73625">
        <w:rPr>
          <w:rFonts w:ascii="Arial" w:hAnsi="Arial" w:cs="Arial"/>
          <w:vertAlign w:val="subscript"/>
        </w:rPr>
        <w:t>50</w:t>
      </w:r>
      <w:r w:rsidRPr="00C73625">
        <w:rPr>
          <w:rFonts w:ascii="Arial" w:hAnsi="Arial" w:cs="Arial"/>
        </w:rPr>
        <w:t xml:space="preserve"> should be smaller if the toxicity should be higher, and vice versa. The value of LC</w:t>
      </w:r>
      <w:r w:rsidRPr="00C73625">
        <w:rPr>
          <w:rFonts w:ascii="Arial" w:hAnsi="Arial" w:cs="Arial"/>
          <w:vertAlign w:val="subscript"/>
        </w:rPr>
        <w:t>50</w:t>
      </w:r>
      <w:r w:rsidRPr="00C73625">
        <w:rPr>
          <w:rFonts w:ascii="Arial" w:hAnsi="Arial" w:cs="Arial"/>
        </w:rPr>
        <w:t xml:space="preserve"> that is greater than 1000 </w:t>
      </w:r>
      <w:proofErr w:type="spellStart"/>
      <w:r w:rsidR="00765BB1">
        <w:rPr>
          <w:rFonts w:ascii="Arial" w:hAnsi="Arial" w:cs="Arial"/>
        </w:rPr>
        <w:t>μg</w:t>
      </w:r>
      <w:proofErr w:type="spellEnd"/>
      <w:r w:rsidR="00765BB1">
        <w:rPr>
          <w:rFonts w:ascii="Arial" w:hAnsi="Arial" w:cs="Arial"/>
        </w:rPr>
        <w:t>/mL</w:t>
      </w:r>
      <w:r w:rsidR="00CA0822" w:rsidRPr="00C73625">
        <w:rPr>
          <w:rFonts w:ascii="Arial" w:hAnsi="Arial" w:cs="Arial"/>
        </w:rPr>
        <w:t xml:space="preserve"> </w:t>
      </w:r>
      <w:r w:rsidRPr="00C73625">
        <w:rPr>
          <w:rFonts w:ascii="Arial" w:hAnsi="Arial" w:cs="Arial"/>
        </w:rPr>
        <w:t xml:space="preserve">is regarded to be non-toxic, while a range from 500 to 1000 </w:t>
      </w:r>
      <w:proofErr w:type="spellStart"/>
      <w:r w:rsidR="00765BB1">
        <w:rPr>
          <w:rFonts w:ascii="Arial" w:hAnsi="Arial" w:cs="Arial"/>
        </w:rPr>
        <w:t>μg</w:t>
      </w:r>
      <w:proofErr w:type="spellEnd"/>
      <w:r w:rsidR="00765BB1">
        <w:rPr>
          <w:rFonts w:ascii="Arial" w:hAnsi="Arial" w:cs="Arial"/>
        </w:rPr>
        <w:t>/mL</w:t>
      </w:r>
      <w:r w:rsidRPr="00C73625">
        <w:rPr>
          <w:rFonts w:ascii="Arial" w:hAnsi="Arial" w:cs="Arial"/>
        </w:rPr>
        <w:t xml:space="preserve"> is considered to be just weakly toxic, moderately toxic for 100 to 500 µg/ml, and highly toxic for less than 100 </w:t>
      </w:r>
      <w:proofErr w:type="spellStart"/>
      <w:r w:rsidR="00765BB1">
        <w:rPr>
          <w:rFonts w:ascii="Arial" w:hAnsi="Arial" w:cs="Arial"/>
        </w:rPr>
        <w:t>μg</w:t>
      </w:r>
      <w:proofErr w:type="spellEnd"/>
      <w:r w:rsidR="00765BB1">
        <w:rPr>
          <w:rFonts w:ascii="Arial" w:hAnsi="Arial" w:cs="Arial"/>
        </w:rPr>
        <w:t>/mL</w:t>
      </w:r>
      <w:r w:rsidR="00CA0822" w:rsidRPr="00C73625">
        <w:rPr>
          <w:rFonts w:ascii="Arial" w:hAnsi="Arial" w:cs="Arial"/>
          <w:vertAlign w:val="superscript"/>
        </w:rPr>
        <w:t xml:space="preserve"> </w:t>
      </w:r>
      <w:r w:rsidRPr="00C73625">
        <w:rPr>
          <w:rFonts w:ascii="Arial" w:hAnsi="Arial" w:cs="Arial"/>
          <w:vertAlign w:val="superscript"/>
        </w:rPr>
        <w:fldChar w:fldCharType="begin" w:fldLock="1"/>
      </w:r>
      <w:r w:rsidR="00E772A2">
        <w:rPr>
          <w:rFonts w:ascii="Arial" w:hAnsi="Arial" w:cs="Arial"/>
        </w:rPr>
        <w:instrText>ADDIN CSL_CITATION {"citationItems":[{"id":"ITEM-1","itemData":{"DOI":"10.1634/theoncologist.2015-0391","ISSN":"1083-7159","PMID":"27328933","abstract":"Acute lymphoblastic leukemia (ALL) is a heterogeneous group of hematologic malignancies that arise from clonal proliferation of immature lymphoid cells in the bone marrow, peripheral blood, and other organs. The vinca alkaloid vincristine is a standard component of chemotherapy regimens used to treat ALL, because of its well-defined mechanism of action, demonstrated anticancer activity, and ability to be combined with other agents. However, the dosage of vincristine is frequently capped because of neurotoxicity concerns, and patients with large body surface areas are, therefore, almost always underdosed. Liposomal formulations have the ability to “passively” accumulate at sites of increased vasculature permeability and reduce the adverse effects of encapsulated relative to free drug. Vincristine sulfate liposome injection (VSLI) is a sphingomyelin/cholesterol-based liposome-encapsulated formulation that is delivered weekly in a 1-hour infusion. Based on the pharmacokinetics of the liposomal delivery system, vincristine is slowly released from the liposome and delivered into the tissues more efficiently than with the standard preparation, allowing a higher dose. This increase in therapeutic index from reduced toxicity is a valuable difference between the two formulations. VSLI is indicated for the treatment of adults with second or greater relapse and clinically advanced Philadelphia chromosome-negative ALL. For the first time, studies will be able to exploit the delivery of higher and uncapped doses of vincristine in randomized studies comparing first-line chemotherapy with standard vincristine versus VSLI in both ALL and lymphoma to determine whether VSLI is superior to conventional vincristine.","author":[{"dropping-particle":"","family":"Douer","given":"Dan","non-dropping-particle":"","parse-names":false,"suffix":""}],"container-title":"The Oncologist","id":"ITEM-1","issue":"7","issued":{"date-parts":[["2016"]]},"page":"840-847","title":"Efficacy and Safety of Vincristine Sulfate Liposome Injection in the Treatment of Adult Acute Lymphocytic Leukemia","type":"article-journal","volume":"21"},"uris":["http://www.mendeley.com/documents/?uuid=ff91cc7c-502d-4a13-b417-b7025d634bf9"]}],"mendeley":{"formattedCitation":"(Douer, 2016)","plainTextFormattedCitation":"(Douer, 2016)","previouslyFormattedCitation":"(Douer 2016)"},"properties":{"noteIndex":0},"schema":"https://github.com/citation-style-language/schema/raw/master/csl-citation.json"}</w:instrText>
      </w:r>
      <w:r w:rsidRPr="00C73625">
        <w:rPr>
          <w:rFonts w:ascii="Arial" w:hAnsi="Arial" w:cs="Arial"/>
          <w:vertAlign w:val="superscript"/>
        </w:rPr>
        <w:fldChar w:fldCharType="separate"/>
      </w:r>
      <w:r w:rsidR="00E772A2" w:rsidRPr="00E772A2">
        <w:rPr>
          <w:rFonts w:ascii="Arial" w:hAnsi="Arial" w:cs="Arial"/>
          <w:bCs/>
          <w:noProof/>
        </w:rPr>
        <w:t>(Douer, 2016)</w:t>
      </w:r>
      <w:r w:rsidRPr="00C73625">
        <w:rPr>
          <w:rFonts w:ascii="Arial" w:hAnsi="Arial" w:cs="Arial"/>
        </w:rPr>
        <w:fldChar w:fldCharType="end"/>
      </w:r>
      <w:r w:rsidRPr="00C73625">
        <w:rPr>
          <w:rFonts w:ascii="Arial" w:hAnsi="Arial" w:cs="Arial"/>
        </w:rPr>
        <w:t xml:space="preserve">. Using VCS as a standard, we assessed the cytotoxic activity of </w:t>
      </w:r>
      <w:r w:rsidR="00504E99" w:rsidRPr="00055E7B">
        <w:rPr>
          <w:rFonts w:ascii="Arial" w:hAnsi="Arial" w:cs="Arial"/>
          <w:highlight w:val="yellow"/>
        </w:rPr>
        <w:t>MELOR</w:t>
      </w:r>
      <w:r w:rsidRPr="00C73625">
        <w:rPr>
          <w:rFonts w:ascii="Arial" w:hAnsi="Arial" w:cs="Arial"/>
        </w:rPr>
        <w:t xml:space="preserve"> in this study. Neurotoxicity and a narrow therapeutic index are two of VCS's well-documented drawbacks </w:t>
      </w:r>
      <w:r w:rsidRPr="00C73625">
        <w:rPr>
          <w:rFonts w:ascii="Arial" w:hAnsi="Arial" w:cs="Arial"/>
          <w:vertAlign w:val="superscript"/>
        </w:rPr>
        <w:fldChar w:fldCharType="begin" w:fldLock="1"/>
      </w:r>
      <w:r w:rsidR="00E772A2">
        <w:rPr>
          <w:rFonts w:ascii="Arial" w:hAnsi="Arial" w:cs="Arial"/>
        </w:rPr>
        <w:instrText>ADDIN CSL_CITATION {"citationItems":[{"id":"ITEM-1","itemData":{"DOI":"10.1007/s00280-012-2042-4","ISSN":"03445704","PMID":"23212117","abstract":"Vincristine (VCR) is a mainstay of treatment of hematologic malignancies and solid tumors due to its well-defined mechanism of action, demonstrated anticancer activity and its ability to be combined with other agents. VCR is an M-phase cell cycle-specific anticancer drug with activity that is concentration and exposure duration dependent. The pharmacokinetic profile of standard VCR is described by a bi-exponential elimination pattern with a very fast initial distribution half-life followed by a longer elimination half-life. VCR also has a large volume of distribution, suggesting diffuse distribution and tissue binding. These properties may limit optimal drug exposure and delivery to target tissues as well as clinical utility as a single agent or as an effective component of multi-agent regimens. Vincristine sulfate liposome injection (VSLI), Marqibo®, is a sphingomyelin and cholesterol-based nanoparticle formulation of VCR that was designed to overcome the dosing and pharmacokinetic limitations of standard VCR. VSLI was developed to increase the circulation time, optimize delivery to target tissues and facilitate dose intensification without increasing toxicity. In xenograft studies in mice, VSLI had a higher maximum tolerated dose, superior antitumor activity and delivered higher amounts of active drug to target tissues compared to standard VCR. VSLI recently received accelerated FDA approval for use in adults with advanced, relapsed and refractory Philadelphia chromosome-negative ALL and is in development for untreated adult ALL, pediatric ALL and untreated aggressive NHL. Here, we summarize the nonclinical data for VSLI that support its continued clinical development and recent approval for use in adult ALL. © 2012 The Author(s).","author":[{"dropping-particle":"","family":"Silverman","given":"Jeffrey A.","non-dropping-particle":"","parse-names":false,"suffix":""},{"dropping-particle":"","family":"Deitcher","given":"Steven R.","non-dropping-particle":"","parse-names":false,"suffix":""}],"container-title":"Cancer Chemotherapy and Pharmacology","id":"ITEM-1","issue":"3","issued":{"date-parts":[["2013"]]},"page":"555-564","title":"Marqibo® (vincristine sulfate liposome injection) improves the pharmacokinetics and pharmacodynamics of vincristine","type":"article-journal","volume":"71"},"uris":["http://www.mendeley.com/documents/?uuid=153db562-f3ca-4aa4-a797-78c0180928af"]}],"mendeley":{"formattedCitation":"(Silverman &amp; Deitcher, 2013)","plainTextFormattedCitation":"(Silverman &amp; Deitcher, 2013)","previouslyFormattedCitation":"(Silverman and Deitcher 2013)"},"properties":{"noteIndex":0},"schema":"https://github.com/citation-style-language/schema/raw/master/csl-citation.json"}</w:instrText>
      </w:r>
      <w:r w:rsidRPr="00C73625">
        <w:rPr>
          <w:rFonts w:ascii="Arial" w:hAnsi="Arial" w:cs="Arial"/>
          <w:vertAlign w:val="superscript"/>
        </w:rPr>
        <w:fldChar w:fldCharType="separate"/>
      </w:r>
      <w:r w:rsidR="00E772A2" w:rsidRPr="00E772A2">
        <w:rPr>
          <w:rFonts w:ascii="Arial" w:hAnsi="Arial" w:cs="Arial"/>
          <w:bCs/>
          <w:noProof/>
        </w:rPr>
        <w:t>(Silverman &amp; Deitcher, 2013)</w:t>
      </w:r>
      <w:r w:rsidRPr="00C73625">
        <w:rPr>
          <w:rFonts w:ascii="Arial" w:hAnsi="Arial" w:cs="Arial"/>
        </w:rPr>
        <w:fldChar w:fldCharType="end"/>
      </w:r>
      <w:r w:rsidRPr="00C73625">
        <w:rPr>
          <w:rFonts w:ascii="Arial" w:hAnsi="Arial" w:cs="Arial"/>
        </w:rPr>
        <w:t xml:space="preserve">. Taking the drawbacks into consideration, researchers have been trying to find new solutions. The VCS is responsible for suppressing the production of microtubules in the mitotic spindle, which in turn halts the progression of cell division during the metaphase stage. Abnormal microtubule synthesis hinders cell replication and ultimately leads to cell death. Terpenoids are known to have cytotoxic activity </w:t>
      </w:r>
      <w:r w:rsidRPr="00C73625">
        <w:rPr>
          <w:rFonts w:ascii="Arial" w:hAnsi="Arial" w:cs="Arial"/>
          <w:vertAlign w:val="superscript"/>
        </w:rPr>
        <w:fldChar w:fldCharType="begin" w:fldLock="1"/>
      </w:r>
      <w:r w:rsidR="00E772A2">
        <w:rPr>
          <w:rFonts w:ascii="Arial" w:hAnsi="Arial" w:cs="Arial"/>
        </w:rPr>
        <w:instrText>ADDIN CSL_CITATION {"citationItems":[{"id":"ITEM-1","itemData":{"DOI":"10.1155/2014/734946","ISSN":"23146141","PMID":"25136617","abstract":"The essential oils from Mangifera indica var. Rosa and Espada latex were obtained by hydrodistillation and analyzed using GC-FID and GC-MS. Twenty-seven components were identified. The main compound in the essential oil from M. indica var. Espada (EOMiE) was terpinolene (73.6%). The essential oil of M. indica var. Rosa (EOMiR) was characterized by high amounts of β-pinene (40.7%) and terpinolene (28.3%). In the test for leishmanicidal activity against promastigotes forms of L. amazonensis, EOMiR and EOMiE showed IC(72 h) of 39.1 and 23.0 μg/mL, respectively. In macrophages, EOMiR and EOMiE showed CCof 142.84 and 158.65 μg/mL, respectively. However, both were more specific to the parasite than macrophages, with values of selectivity index of 6.91 for EOMiE and 3.66 for EOMiR. The essential oils were evaluated for their cytotoxicity against the human tumor cells HEp-2, HT-29, NCI-H292, and HL-60. The EOMiR and EOMiE were most effective against the HL-60, with ICvalues of 12.3 and 3.6 μg/mL, respectively. The results demonstrated that the essential oils of M. indica can destroy L. amazonensis and inhibit tumor cell growth. These findings contribute to the knowledge of the Brazilian biodiversity as a source of potential therapeutic agents.","author":[{"dropping-particle":"","family":"Ramos","given":"Eduardo H.S.","non-dropping-particle":"","parse-names":false,"suffix":""},{"dropping-particle":"","family":"Moraes","given":"Marcílio M.","non-dropping-particle":"","parse-names":false,"suffix":""},{"dropping-particle":"","family":"Nerys","given":"Laís L.De A.","non-dropping-particle":"","parse-names":false,"suffix":""},{"dropping-particle":"","family":"Nascimento","given":"Silene C.","non-dropping-particle":"","parse-names":false,"suffix":""},{"dropping-particle":"","family":"Militão","given":"Gardênia C.G.","non-dropping-particle":"","parse-names":false,"suffix":""},{"dropping-particle":"","family":"Figueiredo","given":"Regina C.B.Q.","non-dropping-particle":"De","parse-names":false,"suffix":""},{"dropping-particle":"","family":"Câmara","given":"Cláudio A.G.","non-dropping-particle":"Da","parse-names":false,"suffix":""},{"dropping-particle":"","family":"Silva","given":"Teresinha Gonçalves","non-dropping-particle":"","parse-names":false,"suffix":""}],"container-title":"BioMed Research International","id":"ITEM-1","issued":{"date-parts":[["2014"]]},"title":"Chemical composition, leishmanicidal and cytotoxic activities of the essential oils from Mangifera indica L. Var. Rosa and Espada","type":"article-journal","volume":"2014"},"uris":["http://www.mendeley.com/documents/?uuid=ea4ee34c-bc70-4339-9579-a30bb82ae823"]}],"mendeley":{"formattedCitation":"(Ramos et al., 2014)","plainTextFormattedCitation":"(Ramos et al., 2014)","previouslyFormattedCitation":"(Ramos et al. 2014)"},"properties":{"noteIndex":0},"schema":"https://github.com/citation-style-language/schema/raw/master/csl-citation.json"}</w:instrText>
      </w:r>
      <w:r w:rsidRPr="00C73625">
        <w:rPr>
          <w:rFonts w:ascii="Arial" w:hAnsi="Arial" w:cs="Arial"/>
          <w:vertAlign w:val="superscript"/>
        </w:rPr>
        <w:fldChar w:fldCharType="separate"/>
      </w:r>
      <w:r w:rsidR="00E772A2" w:rsidRPr="00E772A2">
        <w:rPr>
          <w:rFonts w:ascii="Arial" w:hAnsi="Arial" w:cs="Arial"/>
          <w:noProof/>
        </w:rPr>
        <w:t>(Ramos et al., 2014)</w:t>
      </w:r>
      <w:r w:rsidRPr="00C73625">
        <w:rPr>
          <w:rFonts w:ascii="Arial" w:hAnsi="Arial" w:cs="Arial"/>
        </w:rPr>
        <w:fldChar w:fldCharType="end"/>
      </w:r>
      <w:r w:rsidRPr="00C73625">
        <w:rPr>
          <w:rFonts w:ascii="Arial" w:hAnsi="Arial" w:cs="Arial"/>
        </w:rPr>
        <w:t xml:space="preserve">. The presence of terpenoids in our investigated plant makes it evident that it's a potential source of cytotoxic agents. </w:t>
      </w:r>
      <w:r w:rsidR="000C490D" w:rsidRPr="00055E7B">
        <w:rPr>
          <w:rFonts w:ascii="Arial" w:hAnsi="Arial" w:cs="Arial"/>
          <w:highlight w:val="yellow"/>
        </w:rPr>
        <w:t>MELOR</w:t>
      </w:r>
      <w:r w:rsidR="000C490D" w:rsidRPr="00C73625">
        <w:rPr>
          <w:rFonts w:ascii="Arial" w:hAnsi="Arial" w:cs="Arial"/>
        </w:rPr>
        <w:t xml:space="preserve"> </w:t>
      </w:r>
      <w:r w:rsidRPr="00C73625">
        <w:rPr>
          <w:rFonts w:ascii="Arial" w:hAnsi="Arial" w:cs="Arial"/>
        </w:rPr>
        <w:t xml:space="preserve">showed dose-dependent cytotoxic activity with a result </w:t>
      </w:r>
      <w:proofErr w:type="gramStart"/>
      <w:r w:rsidRPr="00C73625">
        <w:rPr>
          <w:rFonts w:ascii="Arial" w:hAnsi="Arial" w:cs="Arial"/>
        </w:rPr>
        <w:t xml:space="preserve">of 167.19 </w:t>
      </w:r>
      <w:proofErr w:type="spellStart"/>
      <w:r w:rsidR="00765BB1">
        <w:rPr>
          <w:rFonts w:ascii="Arial" w:hAnsi="Arial" w:cs="Arial"/>
        </w:rPr>
        <w:t>μg</w:t>
      </w:r>
      <w:proofErr w:type="spellEnd"/>
      <w:r w:rsidR="00765BB1">
        <w:rPr>
          <w:rFonts w:ascii="Arial" w:hAnsi="Arial" w:cs="Arial"/>
        </w:rPr>
        <w:t>/mL</w:t>
      </w:r>
      <w:r w:rsidR="00CA0822" w:rsidRPr="00C73625">
        <w:rPr>
          <w:rFonts w:ascii="Arial" w:hAnsi="Arial" w:cs="Arial"/>
        </w:rPr>
        <w:t xml:space="preserve"> </w:t>
      </w:r>
      <w:r w:rsidRPr="00C73625">
        <w:rPr>
          <w:rFonts w:ascii="Arial" w:hAnsi="Arial" w:cs="Arial"/>
        </w:rPr>
        <w:t>(moderately toxic)</w:t>
      </w:r>
      <w:proofErr w:type="gramEnd"/>
      <w:r w:rsidRPr="00C73625">
        <w:rPr>
          <w:rFonts w:ascii="Arial" w:hAnsi="Arial" w:cs="Arial"/>
        </w:rPr>
        <w:t xml:space="preserve"> compared to 1.84 </w:t>
      </w:r>
      <w:proofErr w:type="spellStart"/>
      <w:r w:rsidR="00765BB1">
        <w:rPr>
          <w:rFonts w:ascii="Arial" w:hAnsi="Arial" w:cs="Arial"/>
        </w:rPr>
        <w:t>μg</w:t>
      </w:r>
      <w:proofErr w:type="spellEnd"/>
      <w:r w:rsidR="00765BB1">
        <w:rPr>
          <w:rFonts w:ascii="Arial" w:hAnsi="Arial" w:cs="Arial"/>
        </w:rPr>
        <w:t>/mL</w:t>
      </w:r>
      <w:r w:rsidR="00CA0822" w:rsidRPr="00C73625">
        <w:rPr>
          <w:rFonts w:ascii="Arial" w:hAnsi="Arial" w:cs="Arial"/>
        </w:rPr>
        <w:t xml:space="preserve"> </w:t>
      </w:r>
      <w:r w:rsidRPr="00C73625">
        <w:rPr>
          <w:rFonts w:ascii="Arial" w:hAnsi="Arial" w:cs="Arial"/>
        </w:rPr>
        <w:t>(extremely toxic) for standard VCS.</w:t>
      </w:r>
    </w:p>
    <w:p w14:paraId="167818AF" w14:textId="581A2395" w:rsidR="00C73625" w:rsidRPr="00C73625" w:rsidRDefault="00C73625" w:rsidP="00C73625">
      <w:pPr>
        <w:pStyle w:val="Body"/>
        <w:rPr>
          <w:rFonts w:ascii="Arial" w:hAnsi="Arial" w:cs="Arial"/>
        </w:rPr>
      </w:pPr>
      <w:r w:rsidRPr="00C73625">
        <w:rPr>
          <w:rFonts w:ascii="Arial" w:hAnsi="Arial" w:cs="Arial"/>
        </w:rPr>
        <w:t xml:space="preserve">It is </w:t>
      </w:r>
      <w:r w:rsidRPr="00AF1C2B">
        <w:rPr>
          <w:rFonts w:ascii="Arial" w:hAnsi="Arial" w:cs="Arial"/>
          <w:highlight w:val="yellow"/>
        </w:rPr>
        <w:t>well</w:t>
      </w:r>
      <w:r w:rsidR="00AF1C2B" w:rsidRPr="00AF1C2B">
        <w:rPr>
          <w:rFonts w:ascii="Arial" w:hAnsi="Arial" w:cs="Arial"/>
          <w:highlight w:val="yellow"/>
        </w:rPr>
        <w:t xml:space="preserve"> </w:t>
      </w:r>
      <w:r w:rsidRPr="00AF1C2B">
        <w:rPr>
          <w:rFonts w:ascii="Arial" w:hAnsi="Arial" w:cs="Arial"/>
          <w:highlight w:val="yellow"/>
        </w:rPr>
        <w:t>known</w:t>
      </w:r>
      <w:r w:rsidRPr="00C73625">
        <w:rPr>
          <w:rFonts w:ascii="Arial" w:hAnsi="Arial" w:cs="Arial"/>
        </w:rPr>
        <w:t xml:space="preserve"> that inflammation is a complicated process that is connected to the response of cells in the body to irritants, infections, or other ailments </w:t>
      </w:r>
      <w:r w:rsidRPr="00C73625">
        <w:rPr>
          <w:rFonts w:ascii="Arial" w:hAnsi="Arial" w:cs="Arial"/>
          <w:vertAlign w:val="superscript"/>
        </w:rPr>
        <w:fldChar w:fldCharType="begin" w:fldLock="1"/>
      </w:r>
      <w:r w:rsidR="00E772A2">
        <w:rPr>
          <w:rFonts w:ascii="Arial" w:hAnsi="Arial" w:cs="Arial"/>
        </w:rPr>
        <w:instrText>ADDIN CSL_CITATION {"citationItems":[{"id":"ITEM-1","itemData":{"DOI":"10.1186/s40816-020-00207-7","abstract":"BackgroundThis experiment is conducted to evaluate the anti-inflammatory effect of Piper chaba roots.MethodsThe in-vitro anti-inflammatory activity of Piper chaba was carried out by human red blood cell (HRBC) membrane stabilization method which includes heat-induced hemolysis and hypo tonicity- induced hemolysis and also by another method of egg albumin denaturation assay.ResultsAnti-inflammatory activity study of crude ethanolic extract was performed using heat induced membrane stabilization method, hypo-tonicity induced HRBC membrane stabilization method and egg albumin denaturation method. Crude ethanolic extracts of P. chaba showed promising in vitro anti-inflammatory activity in a concentration dependent manner. Using acetyl salicylic acid (ASA) as standard drug and was compared with ethanolic extract to determine anti-inflammatory activity. Heat induced anti-inflammatory test revealed that crude ethanolic extract of P. chaba (500 μg/ml) and positive control ASA(500 μg/ml) have 52.667% and 78% respectively, hypo tonicity induced anti-inflammatory test showed 35.67% and 59% inhibition of red blood cell (RBC) hemolysis. Egg albumin denaturation method also evaluated that crude ethanolic extract (1000 μg/ml) and ASA (1000 μg/ml) showed 60% and 97.12% inhibition of egg albumin denaturation.ConclusionThe plant of P. chaba of the genus Piper possesses promising anti-inflammatory activities.","author":[{"dropping-particle":"","family":"Yesmin","given":"Samina","non-dropping-particle":"","parse-names":false,"suffix":""},{"dropping-particle":"","family":"Paul","given":"Arkajyoti","non-dropping-particle":"","parse-names":false,"suffix":""},{"dropping-particle":"","family":"Naz","given":"Tarannum","non-dropping-particle":"","parse-names":false,"suffix":""},{"dropping-particle":"","family":"Rahman","given":"A. B. M. Atiqur","non-dropping-particle":"","parse-names":false,"suffix":""},{"dropping-particle":"","family":"Akhter","given":"Sarkar Farhana","non-dropping-particle":"","parse-names":false,"suffix":""},{"dropping-particle":"","family":"Wahed","given":"Mir Imam Ibne","non-dropping-particle":"","parse-names":false,"suffix":""},{"dropping-particle":"Bin","family":"Emran","given":"Talha","non-dropping-particle":"","parse-names":false,"suffix":""},{"dropping-particle":"","family":"Siddiqui","given":"Shafayet Ahmed","non-dropping-particle":"","parse-names":false,"suffix":""}],"container-title":"Clinical Phytoscience","id":"ITEM-1","issue":"1","issued":{"date-parts":[["2020"]]},"publisher":"Clinical Phytoscience","title":"Membrane stabilization as a mechanism of the anti-inflammatory activity of ethanolic root extract of Choi (Piper chaba)","type":"article-journal","volume":"6"},"uris":["http://www.mendeley.com/documents/?uuid=4058c388-1a4c-4523-b919-1a4240ff8213"]}],"mendeley":{"formattedCitation":"(Yesmin et al., 2020)","plainTextFormattedCitation":"(Yesmin et al., 2020)","previouslyFormattedCitation":"(Yesmin et al. 2020)"},"properties":{"noteIndex":0},"schema":"https://github.com/citation-style-language/schema/raw/master/csl-citation.json"}</w:instrText>
      </w:r>
      <w:r w:rsidRPr="00C73625">
        <w:rPr>
          <w:rFonts w:ascii="Arial" w:hAnsi="Arial" w:cs="Arial"/>
          <w:vertAlign w:val="superscript"/>
        </w:rPr>
        <w:fldChar w:fldCharType="separate"/>
      </w:r>
      <w:r w:rsidR="00E772A2" w:rsidRPr="00E772A2">
        <w:rPr>
          <w:rFonts w:ascii="Arial" w:hAnsi="Arial" w:cs="Arial"/>
          <w:bCs/>
          <w:noProof/>
        </w:rPr>
        <w:t>(Yesmin et al., 2020)</w:t>
      </w:r>
      <w:r w:rsidRPr="00C73625">
        <w:rPr>
          <w:rFonts w:ascii="Arial" w:hAnsi="Arial" w:cs="Arial"/>
        </w:rPr>
        <w:fldChar w:fldCharType="end"/>
      </w:r>
      <w:r w:rsidRPr="00C73625">
        <w:rPr>
          <w:rFonts w:ascii="Arial" w:hAnsi="Arial" w:cs="Arial"/>
        </w:rPr>
        <w:t xml:space="preserve">. Other consequences, including arthritis, asthma, diabetes, cancer, and neurological illnesses, are also linked to inflammation </w:t>
      </w:r>
      <w:r w:rsidRPr="00C73625">
        <w:rPr>
          <w:rFonts w:ascii="Arial" w:hAnsi="Arial" w:cs="Arial"/>
          <w:vertAlign w:val="superscript"/>
        </w:rPr>
        <w:fldChar w:fldCharType="begin" w:fldLock="1"/>
      </w:r>
      <w:r w:rsidR="00E772A2">
        <w:rPr>
          <w:rFonts w:ascii="Arial" w:hAnsi="Arial" w:cs="Arial"/>
        </w:rPr>
        <w:instrText>ADDIN CSL_CITATION {"citationItems":[{"id":"ITEM-1","itemData":{"DOI":"10.1016/j.jnutbio.2019.03.009","ISSN":"18734847","PMID":"31048206","abstract":"The anti-inflammatory effects of phytochemicals, bioactive components from plants having health benefits, have been heavily investigated in the last several decades. However, the gap between the high dosage demands (μM)of phytochemicals in vitro studies and the low bioavailability (nM)of most phytochemicals after consuming relevant foods/supplements in humans undermines the application of these phytochemicals in the prevention of chronic inflammation and its related chronic diseases in humans. One of the approaches to bridging this gap is to combine two or more phytochemicals/foods to synergistically prevent chronic inflammation. While increasing combinations of phytochemicals on anti-inflammation studies have been reported, there is no report dedicating why combining two or more phytochemicals synergistically attenuates chronic inflammation. In the present review, we summarized different types of combinations exerting synergistic anti-inflammatory effects such as the combination of phytochemicals from the same foods, and the combination of phytochemicals from different foods/plants. Particularly, we proposed five mechanisms including enhancing the bioavailability of phytochemicals, increasing antioxidant capacity, interacting with gut microbiome and targeting same and different signaling pathways, to understand how the combination of phytochemicals exerts synergistic anti-inflammatory effects in cells, animals, and humans. This review provides clues to boost more studies to combine several phytochemicals/foods to reduce chronic inflammation and prevent chronic diseases in humans.","author":[{"dropping-particle":"","family":"Zhang","given":"Lijuan","non-dropping-particle":"","parse-names":false,"suffix":""},{"dropping-particle":"","family":"Virgous","given":"Carlos","non-dropping-particle":"","parse-names":false,"suffix":""},{"dropping-particle":"","family":"Si","given":"Hongwei","non-dropping-particle":"","parse-names":false,"suffix":""}],"container-title":"Journal of Nutritional Biochemistry","id":"ITEM-1","issued":{"date-parts":[["2019"]]},"page":"19-30","publisher":"Elsevier Inc","title":"Synergistic anti-inflammatory effects and mechanisms of combined phytochemicals","type":"article-journal","volume":"69"},"uris":["http://www.mendeley.com/documents/?uuid=504de3ac-9401-4a89-b84a-3bed9d2e56c3"]}],"mendeley":{"formattedCitation":"(Zhang et al., 2019)","plainTextFormattedCitation":"(Zhang et al., 2019)","previouslyFormattedCitation":"(Zhang, Virgous, and Si 2019)"},"properties":{"noteIndex":0},"schema":"https://github.com/citation-style-language/schema/raw/master/csl-citation.json"}</w:instrText>
      </w:r>
      <w:r w:rsidRPr="00C73625">
        <w:rPr>
          <w:rFonts w:ascii="Arial" w:hAnsi="Arial" w:cs="Arial"/>
          <w:vertAlign w:val="superscript"/>
        </w:rPr>
        <w:fldChar w:fldCharType="separate"/>
      </w:r>
      <w:r w:rsidR="00E772A2" w:rsidRPr="00E772A2">
        <w:rPr>
          <w:rFonts w:ascii="Arial" w:hAnsi="Arial" w:cs="Arial"/>
          <w:bCs/>
          <w:noProof/>
        </w:rPr>
        <w:t>(Zhang et al., 2019)</w:t>
      </w:r>
      <w:r w:rsidRPr="00C73625">
        <w:rPr>
          <w:rFonts w:ascii="Arial" w:hAnsi="Arial" w:cs="Arial"/>
        </w:rPr>
        <w:fldChar w:fldCharType="end"/>
      </w:r>
      <w:r w:rsidRPr="00C73625">
        <w:rPr>
          <w:rFonts w:ascii="Arial" w:hAnsi="Arial" w:cs="Arial"/>
        </w:rPr>
        <w:t xml:space="preserve">. Conventional remedies for inflammatory diseases, such as the use of steroidal and nonsteroidal anti-inflammatory drugs, have substantial drawbacks </w:t>
      </w:r>
      <w:r w:rsidRPr="00C73625">
        <w:rPr>
          <w:rFonts w:ascii="Arial" w:hAnsi="Arial" w:cs="Arial"/>
          <w:vertAlign w:val="superscript"/>
        </w:rPr>
        <w:fldChar w:fldCharType="begin" w:fldLock="1"/>
      </w:r>
      <w:r w:rsidR="00E772A2">
        <w:rPr>
          <w:rFonts w:ascii="Arial" w:hAnsi="Arial" w:cs="Arial"/>
        </w:rPr>
        <w:instrText>ADDIN CSL_CITATION {"citationItems":[{"id":"ITEM-1","itemData":{"DOI":"10.1155/2019/8178294","ISSN":"17454557","abstract":"Severinia buxifolia (Rutaceae) is a promising source of bioactive compounds since it has been traditionally used for the treatment of various diseases. The present study aimed at evaluating the impact of different solvents on extraction yields, phytochemical constituents and antioxidants, and in vitro anti-inflammatory activities of S. buxifolia. The results showed that the used solvents took an important role in the yield of extraction, the content of chemical components, and the tested biological activities. Methanol was identified as the most effective solvent for the extraction, resulting in the highest extraction yield (33.2%) as well as the highest content of phenolic (13.36 mg GAE/g DW), flavonoid (1.92 mg QE/g DW), alkaloid (1.40 mg AE/g DW), and terpenoids (1.25%, w/w). The extract obtained from methanol exhibited high capacity of antioxidant (IC 50 value of 16.99 μg/mL) and in vitro anti-inflammatory activity (i.e., albumin denaturation: IC 50 = 28.86 μg/mL; antiproteinase activity: IC 50 = 414.29 μg/mL; and membrane stabilization: IC 50 = 319 μg/mL). The antioxidant activity of the S. buxifolia extract was found to be 3-fold higher than ascorbic acid, and the anti-inflammatory activity of S. buxifolia extract was comparable to aspirin. Therefore, methanol is recommended as the optimal solvent to obtain high content of phytochemical constituents as well as high antioxidants and in vitro anti-inflammatory constituents from the branches of S. buxifolia for utilization in pharmacognosy.","author":[{"dropping-particle":"","family":"Truong","given":"Dieu Hien","non-dropping-particle":"","parse-names":false,"suffix":""},{"dropping-particle":"","family":"Nguyen","given":"Dinh Hieu","non-dropping-particle":"","parse-names":false,"suffix":""},{"dropping-particle":"","family":"Ta","given":"Nhat Thuy Anh","non-dropping-particle":"","parse-names":false,"suffix":""},{"dropping-particle":"","family":"Bui","given":"Anh Vo","non-dropping-particle":"","parse-names":false,"suffix":""},{"dropping-particle":"","family":"Do","given":"Tuong Ha","non-dropping-particle":"","parse-names":false,"suffix":""},{"dropping-particle":"","family":"Nguyen","given":"Hoang Chinh","non-dropping-particle":"","parse-names":false,"suffix":""}],"container-title":"Journal of Food Quality","id":"ITEM-1","issued":{"date-parts":[["2019"]]},"title":"Evaluation of the use of different solvents for phytochemical constituents, antioxidants, and in vitro anti-inflammatory activities of severinia buxifolia","type":"article-journal","volume":"2019"},"uris":["http://www.mendeley.com/documents/?uuid=717ba432-f09a-4739-85c8-ad5cce4d70cf"]}],"mendeley":{"formattedCitation":"(Truong et al., 2019)","plainTextFormattedCitation":"(Truong et al., 2019)","previouslyFormattedCitation":"(Truong et al. 2019)"},"properties":{"noteIndex":0},"schema":"https://github.com/citation-style-language/schema/raw/master/csl-citation.json"}</w:instrText>
      </w:r>
      <w:r w:rsidRPr="00C73625">
        <w:rPr>
          <w:rFonts w:ascii="Arial" w:hAnsi="Arial" w:cs="Arial"/>
          <w:vertAlign w:val="superscript"/>
        </w:rPr>
        <w:fldChar w:fldCharType="separate"/>
      </w:r>
      <w:r w:rsidR="00E772A2" w:rsidRPr="00E772A2">
        <w:rPr>
          <w:rFonts w:ascii="Arial" w:hAnsi="Arial" w:cs="Arial"/>
          <w:noProof/>
        </w:rPr>
        <w:t>(Truong et al., 2019)</w:t>
      </w:r>
      <w:r w:rsidRPr="00C73625">
        <w:rPr>
          <w:rFonts w:ascii="Arial" w:hAnsi="Arial" w:cs="Arial"/>
        </w:rPr>
        <w:fldChar w:fldCharType="end"/>
      </w:r>
      <w:r w:rsidRPr="00C73625">
        <w:rPr>
          <w:rFonts w:ascii="Arial" w:hAnsi="Arial" w:cs="Arial"/>
        </w:rPr>
        <w:t xml:space="preserve">. In recent years, researchers have been exploring new anti-inflammatory medications that are derived from natural sources. Medications that are obtained from natural sources are often regarded to be safer and more easily accepted than conventional treatments that are used to treat inflammation </w:t>
      </w:r>
      <w:r w:rsidRPr="00C73625">
        <w:rPr>
          <w:rFonts w:ascii="Arial" w:hAnsi="Arial" w:cs="Arial"/>
          <w:vertAlign w:val="superscript"/>
        </w:rPr>
        <w:fldChar w:fldCharType="begin" w:fldLock="1"/>
      </w:r>
      <w:r w:rsidR="00E772A2">
        <w:rPr>
          <w:rFonts w:ascii="Arial" w:hAnsi="Arial" w:cs="Arial"/>
        </w:rPr>
        <w:instrText>ADDIN CSL_CITATION {"citationItems":[{"id":"ITEM-1","itemData":{"DOI":"10.1016/j.sajb.2019.06.034","ISSN":"02546299","abstract":"Inflammation is a normal response of the body to injury or foreign insult. Inflammation has been known to humankind since the dawn of history as it is characterized by pain. Humans started the search for various means, including plants, to control and manage inflammation since time immemorial. Hence, it is not surprising that most current research on anti-inflammatory drug discovery from plants worldwide followed ethnobotanical leads. This review provides an overview of African plants that demonstrated promising anti-inflammatory activity in in vitro studies. The review also includes information on natural products with anti-inflammatory activity isolated from higher African plants. The information was collected from different sources including books, theses, reports and electronic scientific search engines such as Scopus, Science Direct, Medweb and Google Scholar. Terms such as plant, plant extracts, inflammation and anti-inflammatory were used in combination with each of the African countries. Extracts from African plants and compounds isolated therefrom have shown anti-inflammatory effects in a set of in vitro anti-inflammatory models. These models included target inflammatory mediators such as cyclooxygenases, lipoxygenases, inducible nitric oxide synthase, xanthine oxidase and the pro-inflammatory mediators such as tumor necrosis factor-α and interleukins. This review highlights the potential of African flora in contributing to anti-inflammatory drug discovery. Many plant species had anti-inflammatory activity in vitro. However, further studies are needed such as isolation of bioactive compounds, confirmation of the in vitro activities in animal models and the severity of side effects or lack thereof need to be investigated further.","author":[{"dropping-particle":"","family":"Elgorashi","given":"E. E.","non-dropping-particle":"","parse-names":false,"suffix":""},{"dropping-particle":"","family":"McGaw","given":"L. J.","non-dropping-particle":"","parse-names":false,"suffix":""}],"container-title":"South African Journal of Botany","id":"ITEM-1","issued":{"date-parts":[["2019"]]},"page":"142-169","publisher":"Elsevier B.V.","title":"African plants with in vitro anti-inflammatory activities: A review","type":"article-journal","volume":"126"},"uris":["http://www.mendeley.com/documents/?uuid=0b737643-de49-4617-90cb-d5636dca9fb1"]}],"mendeley":{"formattedCitation":"(Elgorashi &amp; McGaw, 2019)","plainTextFormattedCitation":"(Elgorashi &amp; McGaw, 2019)","previouslyFormattedCitation":"(Elgorashi and McGaw 2019)"},"properties":{"noteIndex":0},"schema":"https://github.com/citation-style-language/schema/raw/master/csl-citation.json"}</w:instrText>
      </w:r>
      <w:r w:rsidRPr="00C73625">
        <w:rPr>
          <w:rFonts w:ascii="Arial" w:hAnsi="Arial" w:cs="Arial"/>
          <w:vertAlign w:val="superscript"/>
        </w:rPr>
        <w:fldChar w:fldCharType="separate"/>
      </w:r>
      <w:r w:rsidR="00E772A2" w:rsidRPr="00E772A2">
        <w:rPr>
          <w:rFonts w:ascii="Arial" w:hAnsi="Arial" w:cs="Arial"/>
          <w:noProof/>
        </w:rPr>
        <w:t>(Elgorashi &amp; McGaw, 2019)</w:t>
      </w:r>
      <w:r w:rsidRPr="00C73625">
        <w:rPr>
          <w:rFonts w:ascii="Arial" w:hAnsi="Arial" w:cs="Arial"/>
        </w:rPr>
        <w:fldChar w:fldCharType="end"/>
      </w:r>
      <w:r w:rsidRPr="00C73625">
        <w:rPr>
          <w:rFonts w:ascii="Arial" w:hAnsi="Arial" w:cs="Arial"/>
        </w:rPr>
        <w:t xml:space="preserve">. In this assay, diclofenac-Na was used as a standard due to its widespread use worldwide. Flavonoids and terpenoids are considered to be responsible for anti-inflammatory activity </w:t>
      </w:r>
      <w:r w:rsidRPr="00C73625">
        <w:rPr>
          <w:rFonts w:ascii="Arial" w:hAnsi="Arial" w:cs="Arial"/>
          <w:vertAlign w:val="superscript"/>
        </w:rPr>
        <w:fldChar w:fldCharType="begin" w:fldLock="1"/>
      </w:r>
      <w:r w:rsidR="00E772A2">
        <w:rPr>
          <w:rFonts w:ascii="Arial" w:hAnsi="Arial" w:cs="Arial"/>
        </w:rPr>
        <w:instrText>ADDIN CSL_CITATION {"citationItems":[{"id":"ITEM-1","itemData":{"DOI":"10.1016/j.sajb.2019.07.013","ISSN":"02546299","abstract":"Medicinal plants used for wound healing and skin diseases are key to unlocking the doors to combating resistance of pathogens to pharmaceuticals and allopathic management. This study was aimed at screening the antioxidant effects, the anti-inflammatory activity and wound healing capacity of traditional medicinal plants used in the treatment of skin conditions and wound healing in KwaZulu-Natal, South Africa. Eleven plant species were selected and separated into different plant parts (bulbs, roots and leaves) and extracted using 50% aqueous methanol. The extracts were assessed for their anti-inflammatory activity using the nitric oxide release and lipoxygenase inhibition assays. Almost all plant species exhibited some degree of anti-inflammatory activity. The observed antioxidant results (DPPH, FRAP, CLAMS) were significant for many of the extracts. The LOX revealed that five of the medicinal plant extracts, Bulbine natalensis, Eucomis autumnalis, Hypericum aethiopicum, Tetradenia riparia and Zantedeschia aethiopica were effective as anti-inflammatory agents with IC50 values below the quercetin control and ranged from 3.55 ± 0.11 to 9.52 ± 0.11 μg/mL. The results of the wound healing assay/protein precipitating activity were significantly excellent for the three Aloe species, two Bulbine species and support scientific evidence from previous research. The protein-precipitating capacity as a wound healing model was significant for Haworthia limifolia 82.71 ± 0.74% while the rest of the plant extracts had moderate to low values. In addition, medicinal plant extracts from E. autumnalis, H. limifolia, H. aethiopicum, T. riparia, and Z. aethiopica demonstrated promising and beneficial results for potential use in the treatment of skin diseases and wound healing. Antioxidant assays as well as anti-inflammatory assays (nitric oxide release and lipoxygenase inhibition assays) and wound healing assays support the dermatological and wound healing usage of these traditional medicinal plants and warrants further investigations and possible isolation of bioactive principles. Overall, the results from this multi-dimensional medicinal plant study provide extensive information on the 11 plant species and their various plant parts.","author":[{"dropping-particle":"","family":"Ghuman","given":"S.","non-dropping-particle":"","parse-names":false,"suffix":""},{"dropping-particle":"","family":"Ncube","given":"B.","non-dropping-particle":"","parse-names":false,"suffix":""},{"dropping-particle":"","family":"Finnie","given":"J. F.","non-dropping-particle":"","parse-names":false,"suffix":""},{"dropping-particle":"","family":"McGaw","given":"L. J.","non-dropping-particle":"","parse-names":false,"suffix":""},{"dropping-particle":"","family":"Mfotie Njoya","given":"E.","non-dropping-particle":"","parse-names":false,"suffix":""},{"dropping-particle":"","family":"Coopoosamy","given":"R. M.","non-dropping-particle":"","parse-names":false,"suffix":""},{"dropping-particle":"","family":"Staden","given":"J.","non-dropping-particle":"Van","parse-names":false,"suffix":""}],"container-title":"South African Journal of Botany","id":"ITEM-1","issued":{"date-parts":[["2019"]]},"page":"232-240","publisher":"Elsevier B.V.","title":"Antioxidant, anti-inflammatory and wound healing properties of medicinal plant extracts used to treat wounds and dermatological disorders","type":"article-journal","volume":"126"},"uris":["http://www.mendeley.com/documents/?uuid=f336e0eb-2a4e-4105-8193-7abeff6b25ca"]}],"mendeley":{"formattedCitation":"(Ghuman et al., 2019)","plainTextFormattedCitation":"(Ghuman et al., 2019)","previouslyFormattedCitation":"(Ghuman et al. 2019)"},"properties":{"noteIndex":0},"schema":"https://github.com/citation-style-language/schema/raw/master/csl-citation.json"}</w:instrText>
      </w:r>
      <w:r w:rsidRPr="00C73625">
        <w:rPr>
          <w:rFonts w:ascii="Arial" w:hAnsi="Arial" w:cs="Arial"/>
          <w:vertAlign w:val="superscript"/>
        </w:rPr>
        <w:fldChar w:fldCharType="separate"/>
      </w:r>
      <w:r w:rsidR="00E772A2" w:rsidRPr="00E772A2">
        <w:rPr>
          <w:rFonts w:ascii="Arial" w:hAnsi="Arial" w:cs="Arial"/>
          <w:noProof/>
        </w:rPr>
        <w:t>(Ghuman et al., 2019)</w:t>
      </w:r>
      <w:r w:rsidRPr="00C73625">
        <w:rPr>
          <w:rFonts w:ascii="Arial" w:hAnsi="Arial" w:cs="Arial"/>
        </w:rPr>
        <w:fldChar w:fldCharType="end"/>
      </w:r>
      <w:r w:rsidRPr="00C73625">
        <w:rPr>
          <w:rFonts w:ascii="Arial" w:hAnsi="Arial" w:cs="Arial"/>
        </w:rPr>
        <w:t xml:space="preserve">. </w:t>
      </w:r>
      <w:r w:rsidR="00504E99" w:rsidRPr="00055E7B">
        <w:rPr>
          <w:rFonts w:ascii="Arial" w:hAnsi="Arial" w:cs="Arial"/>
          <w:highlight w:val="yellow"/>
        </w:rPr>
        <w:t>MELOR</w:t>
      </w:r>
      <w:r w:rsidRPr="00C73625">
        <w:rPr>
          <w:rFonts w:ascii="Arial" w:hAnsi="Arial" w:cs="Arial"/>
        </w:rPr>
        <w:t xml:space="preserve"> also contains these phytochemicals, which makes it evident that it can be a promising anti-inflammatory agent. </w:t>
      </w:r>
      <w:r w:rsidRPr="00C73625">
        <w:rPr>
          <w:rFonts w:ascii="Arial" w:hAnsi="Arial" w:cs="Arial"/>
          <w:i/>
          <w:iCs/>
        </w:rPr>
        <w:t>O. robusta</w:t>
      </w:r>
      <w:r w:rsidRPr="00C73625">
        <w:rPr>
          <w:rFonts w:ascii="Arial" w:hAnsi="Arial" w:cs="Arial"/>
        </w:rPr>
        <w:t xml:space="preserve"> showed concentration-dependent activity, and a maximum 93.29% blockade of protein denaturation was noted down at 1000 </w:t>
      </w:r>
      <w:proofErr w:type="spellStart"/>
      <w:r w:rsidR="00765BB1">
        <w:rPr>
          <w:rFonts w:ascii="Arial" w:hAnsi="Arial" w:cs="Arial"/>
        </w:rPr>
        <w:t>μg</w:t>
      </w:r>
      <w:proofErr w:type="spellEnd"/>
      <w:r w:rsidR="00765BB1">
        <w:rPr>
          <w:rFonts w:ascii="Arial" w:hAnsi="Arial" w:cs="Arial"/>
        </w:rPr>
        <w:t>/mL</w:t>
      </w:r>
      <w:r w:rsidR="000C490D" w:rsidRPr="00C73625">
        <w:rPr>
          <w:rFonts w:ascii="Arial" w:hAnsi="Arial" w:cs="Arial"/>
        </w:rPr>
        <w:t xml:space="preserve"> </w:t>
      </w:r>
      <w:r w:rsidRPr="00C73625">
        <w:rPr>
          <w:rFonts w:ascii="Arial" w:hAnsi="Arial" w:cs="Arial"/>
        </w:rPr>
        <w:t>compared to 84.76% shown by standard diclofenac sodium.</w:t>
      </w:r>
    </w:p>
    <w:p w14:paraId="1BA3E8DF" w14:textId="00B676E5" w:rsidR="00C73625" w:rsidRPr="00FB3A86" w:rsidRDefault="00C73625" w:rsidP="00C73625">
      <w:pPr>
        <w:pStyle w:val="Body"/>
        <w:rPr>
          <w:rFonts w:ascii="Arial" w:hAnsi="Arial" w:cs="Arial"/>
        </w:rPr>
      </w:pPr>
      <w:r w:rsidRPr="00C73625">
        <w:rPr>
          <w:rFonts w:ascii="Arial" w:hAnsi="Arial" w:cs="Arial"/>
        </w:rPr>
        <w:t xml:space="preserve">A well-known, effective way to learn more about the intended use of phytochemicals found in plant extract is by </w:t>
      </w:r>
      <w:r w:rsidRPr="00AF1C2B">
        <w:rPr>
          <w:rFonts w:ascii="Arial" w:hAnsi="Arial" w:cs="Arial"/>
          <w:i/>
          <w:iCs/>
          <w:highlight w:val="yellow"/>
        </w:rPr>
        <w:t>in</w:t>
      </w:r>
      <w:r w:rsidR="00AF1C2B" w:rsidRPr="00AF1C2B">
        <w:rPr>
          <w:rFonts w:ascii="Arial" w:hAnsi="Arial" w:cs="Arial"/>
          <w:i/>
          <w:iCs/>
          <w:highlight w:val="yellow"/>
        </w:rPr>
        <w:t xml:space="preserve"> </w:t>
      </w:r>
      <w:r w:rsidRPr="00AF1C2B">
        <w:rPr>
          <w:rFonts w:ascii="Arial" w:hAnsi="Arial" w:cs="Arial"/>
          <w:i/>
          <w:iCs/>
          <w:highlight w:val="yellow"/>
        </w:rPr>
        <w:t>silico</w:t>
      </w:r>
      <w:r w:rsidRPr="00C73625">
        <w:rPr>
          <w:rFonts w:ascii="Arial" w:hAnsi="Arial" w:cs="Arial"/>
        </w:rPr>
        <w:t xml:space="preserve"> molecular docking </w:t>
      </w:r>
      <w:r w:rsidRPr="00C73625">
        <w:rPr>
          <w:rFonts w:ascii="Arial" w:hAnsi="Arial" w:cs="Arial"/>
          <w:vertAlign w:val="superscript"/>
        </w:rPr>
        <w:fldChar w:fldCharType="begin" w:fldLock="1"/>
      </w:r>
      <w:r w:rsidR="00E772A2">
        <w:rPr>
          <w:rFonts w:ascii="Arial" w:hAnsi="Arial" w:cs="Arial"/>
        </w:rPr>
        <w:instrText>ADDIN CSL_CITATION {"citationItems":[{"id":"ITEM-1","itemData":{"DOI":"10.1016/j.sjbs.2021.07.016","ISSN":"1319562X","abstract":"The present study sought to evaluate the central nervous system (CNS) depressant, antioxidant, and cytotoxicity activity of methanol and aqueous extract of Trametes versicolor (METV and AETV). The CNS activity was assessed by the open field, hole-cross, forced swimming, thiopental sodium-induced sleeping time, hole-board, and rotarod tests in Swiss albino mice. For both extracts, a substantial decrease in locomotion was observed in open field and hole-cross tests. In addition, the molecular docking study has been implemented through Maestro V11.1. The higher dose of METV (400 mg/kg) and the lower dose of AETV (200 mg/kg) exhibited a significant decrease in immobility time in forced swimming test and increased prolongation of sleep in thiopental sodium-induced sleeping time test, respectively. In contrast, a moderate finding was observed for the hole-board and rotarod tests. Additionally, a significant DPPH scavenging assay and a high toxicity effect in brine shrimp lethality assay were observed. Besides, five phenolic compounds, namely baicalin, quercetin, catechin, p-hydroxybenzoic acid, and quinic acid, were used for the molecular docking study, whereas catechin demonstrated the highest binding affinity towards the targets. The findings conclude that the T. versicolor could be an alternative source for CNS anti-depressant and antioxidant activity.","author":[{"dropping-particle":"","family":"Moazzem Hossen","given":"S. M.","non-dropping-particle":"","parse-names":false,"suffix":""},{"dropping-particle":"","family":"Akramul Hoque Tanim","given":"Mohammad","non-dropping-particle":"","parse-names":false,"suffix":""},{"dropping-particle":"","family":"Shahadat Hossain","given":"Mohammad","non-dropping-particle":"","parse-names":false,"suffix":""},{"dropping-particle":"","family":"Ahmed Sami","given":"Saad","non-dropping-particle":"","parse-names":false,"suffix":""},{"dropping-particle":"","family":"Uddin Emon","given":"Nazim","non-dropping-particle":"","parse-names":false,"suffix":""}],"container-title":"Saudi Journal of Biological Sciences","id":"ITEM-1","issue":"11","issued":{"date-parts":[["2021"]]},"page":"6375-6383","publisher":"The Author(s)","title":"Deciphering the CNS anti-depressant, antioxidant and cytotoxic profiling of methanol and aqueous extracts of Trametes versicolor and molecular interactions of its phenolic compounds","type":"article-journal","volume":"28"},"uris":["http://www.mendeley.com/documents/?uuid=04378bb5-6ed2-4458-8670-b016b2309304"]}],"mendeley":{"formattedCitation":"(Moazzem Hossen et al., 2021)","plainTextFormattedCitation":"(Moazzem Hossen et al., 2021)","previouslyFormattedCitation":"(Moazzem Hossen et al. 2021)"},"properties":{"noteIndex":0},"schema":"https://github.com/citation-style-language/schema/raw/master/csl-citation.json"}</w:instrText>
      </w:r>
      <w:r w:rsidRPr="00C73625">
        <w:rPr>
          <w:rFonts w:ascii="Arial" w:hAnsi="Arial" w:cs="Arial"/>
          <w:vertAlign w:val="superscript"/>
        </w:rPr>
        <w:fldChar w:fldCharType="separate"/>
      </w:r>
      <w:r w:rsidR="00E772A2" w:rsidRPr="00E772A2">
        <w:rPr>
          <w:rFonts w:ascii="Arial" w:hAnsi="Arial" w:cs="Arial"/>
          <w:bCs/>
          <w:noProof/>
        </w:rPr>
        <w:t>(Moazzem Hossen et al., 2021)</w:t>
      </w:r>
      <w:r w:rsidRPr="00C73625">
        <w:rPr>
          <w:rFonts w:ascii="Arial" w:hAnsi="Arial" w:cs="Arial"/>
        </w:rPr>
        <w:fldChar w:fldCharType="end"/>
      </w:r>
      <w:r w:rsidRPr="00C73625">
        <w:rPr>
          <w:rFonts w:ascii="Arial" w:hAnsi="Arial" w:cs="Arial"/>
        </w:rPr>
        <w:t xml:space="preserve">. The prediction of ligand-protein interactions is crucial to supporting phytochemicals' biological activity. Phytochemicals contained in plant extracts have biological activity based on how well they interact with target proteins </w:t>
      </w:r>
      <w:r w:rsidRPr="00C73625">
        <w:rPr>
          <w:rFonts w:ascii="Arial" w:hAnsi="Arial" w:cs="Arial"/>
          <w:vertAlign w:val="superscript"/>
        </w:rPr>
        <w:fldChar w:fldCharType="begin" w:fldLock="1"/>
      </w:r>
      <w:r w:rsidR="00E772A2">
        <w:rPr>
          <w:rFonts w:ascii="Arial" w:hAnsi="Arial" w:cs="Arial"/>
        </w:rPr>
        <w:instrText>ADDIN CSL_CITATION {"citationItems":[{"id":"ITEM-1","itemData":{"DOI":"10.1016/j.indcrop.2019.01.044","ISSN":"09266690","abstract":"Plant from Caragana genus have interesting potential in folklore medicines and have been explored for various pharmacological activities. The aim of this study was to probe into the chemical and biological effects of different extracts of Caragana ambigua Stocks (Fabaceae). Total phenolic and total flavonoids contents were determined using standard spectrophotometric methods, whereas, the secondary metabolites composition was established by ultra-high performance liquid chromatography-mass spectrometry (UHPLC-MS) analysis. Antioxidant potential was estimated via 2,2-diphenyl-1-picrylhydrazyl (DPPH), 2,2′-azino-bis (3-ethylbenzothiazoline-6-sulphonic acid (ABTS) radical scavenging, ferric reducing antioxidant power (FRAP), cupric reducing antioxidant capacity (CUPRAC), phosphomolybdenum and metal chelating assays and the enzyme (cholinesterases, α-amylase, α-glucosidase and tyrosinase) inhibition potential were also assessed. Moreover, in silico docking studies were performed to highlight possible interactions between three major secondary metabolites and the tested enzymes. The ethyl acetate extract exhibited higher phenolic (85.87 ± 2.96 mg GAE/g) and flavonoid (66.45 ± 0.37 mg RE/g) contents, which, we propose, are responsible for its higher radical scavenging, reducing power, total antioxidant capacity and tyrosinase inhibition. The n-hexane extract showed stronger anti-cholinesterase and anti-diabetic property. Similarly, UHPLC-MS profiling of methanol and ethyl acetate extracts identified the presence of flavonoids, phenolics, alkaloids, and coumarin derivatives. Three of the dominant compounds (isobergaptene, jujubasaponin IV and phellodensin D), were docked against all enzymes and their affinity were compared. Among these compounds, phellodensin D showed highest affinity towards all the studied enzymes. It is therefore, concluded that extracts from C. ambigua showed potent antioxidant and enzyme inhibition potential with potent bioactive molecules which could open new industrial applications.","author":[{"dropping-particle":"","family":"Khan","given":"Saima","non-dropping-particle":"","parse-names":false,"suffix":""},{"dropping-particle":"","family":"Nazir","given":"Mamona","non-dropping-particle":"","parse-names":false,"suffix":""},{"dropping-particle":"","family":"Raiz","given":"Naheed","non-dropping-particle":"","parse-names":false,"suffix":""},{"dropping-particle":"","family":"Saleem","given":"Muhammad","non-dropping-particle":"","parse-names":false,"suffix":""},{"dropping-particle":"","family":"Zengin","given":"Gokhan","non-dropping-particle":"","parse-names":false,"suffix":""},{"dropping-particle":"","family":"Fazal","given":"Gazala","non-dropping-particle":"","parse-names":false,"suffix":""},{"dropping-particle":"","family":"Saleem","given":"Hammad","non-dropping-particle":"","parse-names":false,"suffix":""},{"dropping-particle":"","family":"Mukhtar","given":"Mahreen","non-dropping-particle":"","parse-names":false,"suffix":""},{"dropping-particle":"","family":"Tousif","given":"Muhammad Imran","non-dropping-particle":"","parse-names":false,"suffix":""},{"dropping-particle":"","family":"Tareen","given":"Rasool Baksh","non-dropping-particle":"","parse-names":false,"suffix":""},{"dropping-particle":"","family":"Abdallah","given":"Hassan H.","non-dropping-particle":"","parse-names":false,"suffix":""},{"dropping-particle":"","family":"Mahomoodally","given":"Fawzi M.","non-dropping-particle":"","parse-names":false,"suffix":""}],"container-title":"Industrial Crops and Products","id":"ITEM-1","issue":"January","issued":{"date-parts":[["2019"]]},"page":"117-124","publisher":"Elsevier","title":"Phytochemical profiling, in vitro biological properties and in silico studies on Caragana ambigua stocks (Fabaceae): A comprehensive approach","type":"article-journal","volume":"131"},"uris":["http://www.mendeley.com/documents/?uuid=d6ceedaf-8a08-4919-9135-ed12619578b5"]}],"mendeley":{"formattedCitation":"(Khan et al., 2019)","plainTextFormattedCitation":"(Khan et al., 2019)","previouslyFormattedCitation":"(Khan et al. 2019)"},"properties":{"noteIndex":0},"schema":"https://github.com/citation-style-language/schema/raw/master/csl-citation.json"}</w:instrText>
      </w:r>
      <w:r w:rsidRPr="00C73625">
        <w:rPr>
          <w:rFonts w:ascii="Arial" w:hAnsi="Arial" w:cs="Arial"/>
          <w:vertAlign w:val="superscript"/>
        </w:rPr>
        <w:fldChar w:fldCharType="separate"/>
      </w:r>
      <w:r w:rsidR="00E772A2" w:rsidRPr="00E772A2">
        <w:rPr>
          <w:rFonts w:ascii="Arial" w:hAnsi="Arial" w:cs="Arial"/>
          <w:noProof/>
        </w:rPr>
        <w:t>(Khan et al., 2019)</w:t>
      </w:r>
      <w:r w:rsidRPr="00C73625">
        <w:rPr>
          <w:rFonts w:ascii="Arial" w:hAnsi="Arial" w:cs="Arial"/>
        </w:rPr>
        <w:fldChar w:fldCharType="end"/>
      </w:r>
      <w:r w:rsidRPr="00C73625">
        <w:rPr>
          <w:rFonts w:ascii="Arial" w:hAnsi="Arial" w:cs="Arial"/>
        </w:rPr>
        <w:t xml:space="preserve">. Molecular docking is frequently used to forecast how substances will interact with a target protein's binding pocket. Gaining further insight into binding mechanisms can help us understand the biological activities of phytochemicals </w:t>
      </w:r>
      <w:r w:rsidRPr="00C73625">
        <w:rPr>
          <w:rFonts w:ascii="Arial" w:hAnsi="Arial" w:cs="Arial"/>
          <w:vertAlign w:val="superscript"/>
        </w:rPr>
        <w:fldChar w:fldCharType="begin" w:fldLock="1"/>
      </w:r>
      <w:r w:rsidR="00E772A2">
        <w:rPr>
          <w:rFonts w:ascii="Arial" w:hAnsi="Arial" w:cs="Arial"/>
        </w:rPr>
        <w:instrText>ADDIN CSL_CITATION {"citationItems":[{"id":"ITEM-1","itemData":{"DOI":"10.1021/acsomega.9b01041","ISSN":"24701343","abstract":"The antipyretic potential of viscosine, a natural product isolated from the medicinal plant Dodonaea viscosa, was investigated using yeast-induced pyrexia rat model, and its structure-activity relationship was investigated through molecular docking analyses with the target enzymes cyclooxygenase-1 (COX-1), cyclooxygenase-2 (COX-2), and microsomal prostaglandin E synthase-1 (mPGES-1). The in vivo antipyretic experiments showed a progressive dose-dependent reduction in body temperatures of the hyperthermic test animals when injected with viscosine. Comparison of docking analyses with target enzymes showed strongest bonding interactions (binding energy -17.34 kcal/mol) of viscosine with the active-site pocket of mPGES-1. These findings suggest that viscosine shows antipyretic properties by reducing the concentration of prostaglandin E2 in brain through its mPGES-1 inhibitory action and make it a potential lead compound for developing effective and safer antipyretic drugs for treating fever and related pathological conditions.","author":[{"dropping-particle":"","family":"Muhammad","given":"Akhtar","non-dropping-particle":"","parse-names":false,"suffix":""},{"dropping-particle":"","family":"Khan","given":"Behramand","non-dropping-particle":"","parse-names":false,"suffix":""},{"dropping-particle":"","family":"Iqbal","given":"Zafar","non-dropping-particle":"","parse-names":false,"suffix":""},{"dropping-particle":"","family":"Khan","given":"Amir Zada","non-dropping-particle":"","parse-names":false,"suffix":""},{"dropping-particle":"","family":"Khan","given":"Inamullah","non-dropping-particle":"","parse-names":false,"suffix":""},{"dropping-particle":"","family":"Khan","given":"Kashif","non-dropping-particle":"","parse-names":false,"suffix":""},{"dropping-particle":"","family":"Alamzeb","given":"Muhammad","non-dropping-particle":"","parse-names":false,"suffix":""},{"dropping-particle":"","family":"Ahmad","given":"Nasir","non-dropping-particle":"","parse-names":false,"suffix":""},{"dropping-particle":"","family":"Khan","given":"Khalid","non-dropping-particle":"","parse-names":false,"suffix":""},{"dropping-particle":"","family":"Lal Badshah","given":"Syed","non-dropping-particle":"","parse-names":false,"suffix":""},{"dropping-particle":"","family":"Ullah","given":"Asad","non-dropping-particle":"","parse-names":false,"suffix":""},{"dropping-particle":"","family":"Muhammad","given":"Sayyar","non-dropping-particle":"","parse-names":false,"suffix":""},{"dropping-particle":"","family":"Jan","given":"Muhammad Tariq","non-dropping-particle":"","parse-names":false,"suffix":""},{"dropping-particle":"","family":"Nadeem","given":"Said","non-dropping-particle":"","parse-names":false,"suffix":""},{"dropping-particle":"","family":"Kabir","given":"Nurul","non-dropping-particle":"","parse-names":false,"suffix":""}],"container-title":"ACS Omega","id":"ITEM-1","issue":"10","issued":{"date-parts":[["2019"]]},"page":"14188-14192","title":"Viscosine as a Potent and Safe Antipyretic Agent Evaluated by Yeast-Induced Pyrexia Model and Molecular Docking Studies","type":"article-journal","volume":"4"},"uris":["http://www.mendeley.com/documents/?uuid=bed1ca05-1c7a-4514-9ead-730b85e8e0af"]}],"mendeley":{"formattedCitation":"(Muhammad et al., 2019)","plainTextFormattedCitation":"(Muhammad et al., 2019)","previouslyFormattedCitation":"(Muhammad et al. 2019)"},"properties":{"noteIndex":0},"schema":"https://github.com/citation-style-language/schema/raw/master/csl-citation.json"}</w:instrText>
      </w:r>
      <w:r w:rsidRPr="00C73625">
        <w:rPr>
          <w:rFonts w:ascii="Arial" w:hAnsi="Arial" w:cs="Arial"/>
          <w:vertAlign w:val="superscript"/>
        </w:rPr>
        <w:fldChar w:fldCharType="separate"/>
      </w:r>
      <w:r w:rsidR="00E772A2" w:rsidRPr="00E772A2">
        <w:rPr>
          <w:rFonts w:ascii="Arial" w:hAnsi="Arial" w:cs="Arial"/>
          <w:bCs/>
          <w:noProof/>
        </w:rPr>
        <w:t>(Muhammad et al., 2019)</w:t>
      </w:r>
      <w:r w:rsidRPr="00C73625">
        <w:rPr>
          <w:rFonts w:ascii="Arial" w:hAnsi="Arial" w:cs="Arial"/>
        </w:rPr>
        <w:fldChar w:fldCharType="end"/>
      </w:r>
      <w:r w:rsidRPr="00C73625">
        <w:rPr>
          <w:rFonts w:ascii="Arial" w:hAnsi="Arial" w:cs="Arial"/>
        </w:rPr>
        <w:t xml:space="preserve">. In this method, we selected one well-known protein for each activity to observe the interactions and binding energy. From the extensive literature review, we found four compounds of </w:t>
      </w:r>
      <w:r w:rsidRPr="00C73625">
        <w:rPr>
          <w:rFonts w:ascii="Arial" w:hAnsi="Arial" w:cs="Arial"/>
          <w:i/>
          <w:iCs/>
        </w:rPr>
        <w:t>O. robusta</w:t>
      </w:r>
      <w:r w:rsidRPr="00C73625">
        <w:rPr>
          <w:rFonts w:ascii="Arial" w:hAnsi="Arial" w:cs="Arial"/>
        </w:rPr>
        <w:t xml:space="preserve">. These are subjected to docking against glutathione reductase (PDB ID: 1XAN), human cytochrome P450 CYP2C9 (PDB ID: </w:t>
      </w:r>
      <w:r w:rsidRPr="00C73625">
        <w:rPr>
          <w:rFonts w:ascii="Arial" w:hAnsi="Arial" w:cs="Arial"/>
        </w:rPr>
        <w:lastRenderedPageBreak/>
        <w:t xml:space="preserve">1OG5), and phosphodiesterase-4 inhibitor (PDE4) receptor (PDB ID: 4WCU) for antioxidant, cytotoxic, and anti-inflammatory activity, respectively. In this computational method, the prediction of activity is based on the docking score generated by the interaction between ligand and protein. The lower the docking score, the higher the stability of the complex </w:t>
      </w:r>
      <w:r w:rsidRPr="00C73625">
        <w:rPr>
          <w:rFonts w:ascii="Arial" w:hAnsi="Arial" w:cs="Arial"/>
          <w:vertAlign w:val="superscript"/>
        </w:rPr>
        <w:fldChar w:fldCharType="begin" w:fldLock="1"/>
      </w:r>
      <w:r w:rsidR="00E772A2">
        <w:rPr>
          <w:rFonts w:ascii="Arial" w:hAnsi="Arial" w:cs="Arial"/>
        </w:rPr>
        <w:instrText>ADDIN CSL_CITATION {"citationItems":[{"id":"ITEM-1","itemData":{"DOI":"10.1016/S1367-5931(02)00339-3","ISSN":"13675931","PMID":"12133718","abstract":"As the structures of more and more proteins and nucleic acids become available, molecular docking is increasingly considered for lead discovery. Recent studies consider the hit-rate enhancement of docking screens and the accuracy of docking structure predictions. As more structures are determined experimentally, docking against homology-modeled targets also becomes possible for more proteins. With more docking studies being undertaken, the 'drug-likeness' and specificity of docking hits is also being examined.","author":[{"dropping-particle":"","family":"Shoichet","given":"Brian K.","non-dropping-particle":"","parse-names":false,"suffix":""},{"dropping-particle":"","family":"McGovern","given":"Susan L.","non-dropping-particle":"","parse-names":false,"suffix":""},{"dropping-particle":"","family":"Wei","given":"Binqing","non-dropping-particle":"","parse-names":false,"suffix":""},{"dropping-particle":"","family":"Irwin","given":"John J.","non-dropping-particle":"","parse-names":false,"suffix":""}],"container-title":"Current Opinion in Chemical Biology","id":"ITEM-1","issue":"4","issued":{"date-parts":[["2002"]]},"page":"439-446","title":"Lead discovery using molecular docking","type":"article-journal","volume":"6"},"uris":["http://www.mendeley.com/documents/?uuid=8c7311aa-bfbe-4bd4-8ee9-641c5fed84fb"]}],"mendeley":{"formattedCitation":"(Shoichet et al., 2002)","plainTextFormattedCitation":"(Shoichet et al., 2002)","previouslyFormattedCitation":"(Shoichet et al. 2002)"},"properties":{"noteIndex":0},"schema":"https://github.com/citation-style-language/schema/raw/master/csl-citation.json"}</w:instrText>
      </w:r>
      <w:r w:rsidRPr="00C73625">
        <w:rPr>
          <w:rFonts w:ascii="Arial" w:hAnsi="Arial" w:cs="Arial"/>
          <w:vertAlign w:val="superscript"/>
        </w:rPr>
        <w:fldChar w:fldCharType="separate"/>
      </w:r>
      <w:r w:rsidR="00E772A2" w:rsidRPr="00E772A2">
        <w:rPr>
          <w:rFonts w:ascii="Arial" w:hAnsi="Arial" w:cs="Arial"/>
          <w:bCs/>
          <w:noProof/>
        </w:rPr>
        <w:t>(Shoichet et al., 2002)</w:t>
      </w:r>
      <w:r w:rsidRPr="00C73625">
        <w:rPr>
          <w:rFonts w:ascii="Arial" w:hAnsi="Arial" w:cs="Arial"/>
        </w:rPr>
        <w:fldChar w:fldCharType="end"/>
      </w:r>
      <w:r w:rsidRPr="00C73625">
        <w:rPr>
          <w:rFonts w:ascii="Arial" w:hAnsi="Arial" w:cs="Arial"/>
        </w:rPr>
        <w:t xml:space="preserve">. All of our findings are supported by the docking score. Euchrenone </w:t>
      </w:r>
      <w:r w:rsidR="00D714DC">
        <w:rPr>
          <w:rFonts w:ascii="Arial" w:hAnsi="Arial" w:cs="Arial"/>
        </w:rPr>
        <w:t>B</w:t>
      </w:r>
      <w:r w:rsidRPr="00C73625">
        <w:rPr>
          <w:rFonts w:ascii="Arial" w:hAnsi="Arial" w:cs="Arial"/>
        </w:rPr>
        <w:t>8 showed the strongest docking score against 2 different proteins, namely 1XAN and 4WCU, which predicts its antioxidant and anti-inflammatory activity</w:t>
      </w:r>
      <w:r w:rsidR="00921607">
        <w:rPr>
          <w:rFonts w:ascii="Arial" w:hAnsi="Arial" w:cs="Arial"/>
        </w:rPr>
        <w:t xml:space="preserve"> </w:t>
      </w:r>
      <w:r w:rsidR="00921607" w:rsidRPr="00921607">
        <w:rPr>
          <w:rFonts w:ascii="Arial" w:hAnsi="Arial" w:cs="Arial"/>
          <w:highlight w:val="yellow"/>
        </w:rPr>
        <w:t>respectively</w:t>
      </w:r>
      <w:r w:rsidRPr="00C73625">
        <w:rPr>
          <w:rFonts w:ascii="Arial" w:hAnsi="Arial" w:cs="Arial"/>
        </w:rPr>
        <w:t xml:space="preserve">. Importantly, lupeol showed stronger affinity compared to </w:t>
      </w:r>
      <w:r w:rsidR="00921607" w:rsidRPr="00921607">
        <w:rPr>
          <w:rFonts w:ascii="Arial" w:hAnsi="Arial" w:cs="Arial"/>
          <w:highlight w:val="yellow"/>
        </w:rPr>
        <w:t>the</w:t>
      </w:r>
      <w:r w:rsidR="00921607">
        <w:rPr>
          <w:rFonts w:ascii="Arial" w:hAnsi="Arial" w:cs="Arial"/>
        </w:rPr>
        <w:t xml:space="preserve"> </w:t>
      </w:r>
      <w:r w:rsidRPr="00C73625">
        <w:rPr>
          <w:rFonts w:ascii="Arial" w:hAnsi="Arial" w:cs="Arial"/>
        </w:rPr>
        <w:t xml:space="preserve">known inhibitor against 1OG5, which helps to predict the cytotoxic activity. Docking scores as well as interactions with key amino acids of the target proteins are important to confirm the biological activity of phytochemicals </w:t>
      </w:r>
      <w:r w:rsidRPr="00C73625">
        <w:rPr>
          <w:rFonts w:ascii="Arial" w:hAnsi="Arial" w:cs="Arial"/>
          <w:vertAlign w:val="superscript"/>
        </w:rPr>
        <w:fldChar w:fldCharType="begin" w:fldLock="1"/>
      </w:r>
      <w:r w:rsidR="00E772A2">
        <w:rPr>
          <w:rFonts w:ascii="Arial" w:hAnsi="Arial" w:cs="Arial"/>
        </w:rPr>
        <w:instrText>ADDIN CSL_CITATION {"citationItems":[{"id":"ITEM-1","itemData":{"DOI":"10.1186/s12941-018-0266-9","ISSN":"14760711","PMID":"29609660","abstract":"Background: Antibiotic resistance is a defense mechanism, harbored by pathogens to survive under unfavorable conditions. Among several antibiotic resistant microbial consortium, Staphylococcus aureus is one of the most havoc microorganisms. Staphylococcus aureus encodes a unique enzyme 6-hydroxymethyl-7,8-dihydropterin pyrophosphokinase (SaHPPK), against which, none of existing antibiotics have been reported. Methods: Computational approaches have been instrumental in designing and discovering new drugs for several diseases. The present study highlights the impact of ginger phytochemicals on Staphylococcus aureus SaHPPK. Herein, we have retrieved eight ginger phytochemicals from published literature and investigated their inhibitory interactions with SaHPPK. To authenticate our work, the investigation proceeds considering the known antibiotics alongside the phytochemicals. Molecular docking was performed employing GOLD and CDOCKER. The compounds with the highest dock score from both the docking programmes were tested for their inhibitory capability in vitro. The binding conformations that were seated within the binding pocket showing strong interactions with the active sites residues rendered by highest dock score were forwarded towards the molecular dynamic (MD) simulation analysis. Results: Based on molecular dock scores, molecular interaction with catalytic active residues and MD simulations studies, two ginger phytochemicals, gingerenone-A and shogaol have been proposed as candidate inhibitors against Staphylococcus aureus. They have demonstrated higher dock scores than the known antibiotics and have represented interactions with the key residues within the active site. Furthermore, these compounds have rendered considerable inhibitory activity when tested in vitro. Additionally, their superiority was corroborated by stable MD results conducted for 100 ns employing GROMACS package. Conclusions: Finally, we suggest that gingerenone-A and shogaol may either be potential SaHPPK inhibitors or can be used as fundamental platforms for novel SaHPPK inhibitor development.","author":[{"dropping-particle":"","family":"Rampogu","given":"Shailima","non-dropping-particle":"","parse-names":false,"suffix":""},{"dropping-particle":"","family":"Baek","given":"Ayoung","non-dropping-particle":"","parse-names":false,"suffix":""},{"dropping-particle":"","family":"Gajula","given":"Rajesh Goud","non-dropping-particle":"","parse-names":false,"suffix":""},{"dropping-particle":"","family":"Zeb","given":"Amir","non-dropping-particle":"","parse-names":false,"suffix":""},{"dropping-particle":"","family":"Bavi","given":"Rohit S.","non-dropping-particle":"","parse-names":false,"suffix":""},{"dropping-particle":"","family":"Kumar","given":"Raj","non-dropping-particle":"","parse-names":false,"suffix":""},{"dropping-particle":"","family":"Kim","given":"Yongseong","non-dropping-particle":"","parse-names":false,"suffix":""},{"dropping-particle":"","family":"Kwon","given":"Yong Jung","non-dropping-particle":"","parse-names":false,"suffix":""},{"dropping-particle":"","family":"Lee","given":"Keun Woo","non-dropping-particle":"","parse-names":false,"suffix":""}],"container-title":"Annals of Clinical Microbiology and Antimicrobials","id":"ITEM-1","issue":"1","issued":{"date-parts":[["2018"]]},"page":"1-15","publisher":"BioMed Central","title":"Ginger (Zingiber officinale) phytochemicals-gingerenone-A and shogaol inhibit SaHPPK: Molecular docking, molecular dynamics simulations and in vitro approaches","type":"article-journal","volume":"17"},"uris":["http://www.mendeley.com/documents/?uuid=faaf8751-db2d-425e-96ee-1f93e0fd2d31"]}],"mendeley":{"formattedCitation":"(Rampogu et al., 2018)","plainTextFormattedCitation":"(Rampogu et al., 2018)","previouslyFormattedCitation":"(Rampogu et al. 2018)"},"properties":{"noteIndex":0},"schema":"https://github.com/citation-style-language/schema/raw/master/csl-citation.json"}</w:instrText>
      </w:r>
      <w:r w:rsidRPr="00C73625">
        <w:rPr>
          <w:rFonts w:ascii="Arial" w:hAnsi="Arial" w:cs="Arial"/>
          <w:vertAlign w:val="superscript"/>
        </w:rPr>
        <w:fldChar w:fldCharType="separate"/>
      </w:r>
      <w:r w:rsidR="00E772A2" w:rsidRPr="00E772A2">
        <w:rPr>
          <w:rFonts w:ascii="Arial" w:hAnsi="Arial" w:cs="Arial"/>
          <w:noProof/>
        </w:rPr>
        <w:t>(Rampogu et al., 2018)</w:t>
      </w:r>
      <w:r w:rsidRPr="00C73625">
        <w:rPr>
          <w:rFonts w:ascii="Arial" w:hAnsi="Arial" w:cs="Arial"/>
        </w:rPr>
        <w:fldChar w:fldCharType="end"/>
      </w:r>
      <w:r w:rsidRPr="00C73625">
        <w:rPr>
          <w:rFonts w:ascii="Arial" w:hAnsi="Arial" w:cs="Arial"/>
        </w:rPr>
        <w:t xml:space="preserve">. All the compounds with a stronger docking score also interacted with key residues of their respective targets. Predictions of ADME/T were also quite reliable for compounds with high docking scores and interactions with key residues. Based on the docking score, how it interacts with important residues, and the ADME/T analysis, it is clear that euchrenone </w:t>
      </w:r>
      <w:r w:rsidR="00D714DC">
        <w:rPr>
          <w:rFonts w:ascii="Arial" w:hAnsi="Arial" w:cs="Arial"/>
        </w:rPr>
        <w:t>B</w:t>
      </w:r>
      <w:r w:rsidRPr="00C73625">
        <w:rPr>
          <w:rFonts w:ascii="Arial" w:hAnsi="Arial" w:cs="Arial"/>
        </w:rPr>
        <w:t xml:space="preserve">8 could be a lead molecule with antioxidant and anti-inflammatory properties. Although this research investigation has demonstrated the potential of </w:t>
      </w:r>
      <w:r w:rsidRPr="00C73625">
        <w:rPr>
          <w:rFonts w:ascii="Arial" w:hAnsi="Arial" w:cs="Arial"/>
          <w:i/>
          <w:iCs/>
        </w:rPr>
        <w:t>O. robusta</w:t>
      </w:r>
      <w:r w:rsidRPr="00C73625">
        <w:rPr>
          <w:rFonts w:ascii="Arial" w:hAnsi="Arial" w:cs="Arial"/>
        </w:rPr>
        <w:t xml:space="preserve"> for treating several human diseases, some of its limitations should be duly noted. Firstly, the extract of this plant was only tested on </w:t>
      </w:r>
      <w:r w:rsidRPr="00C73625">
        <w:rPr>
          <w:rFonts w:ascii="Arial" w:hAnsi="Arial" w:cs="Arial"/>
          <w:i/>
          <w:iCs/>
        </w:rPr>
        <w:t>in vitro</w:t>
      </w:r>
      <w:r w:rsidRPr="00C73625">
        <w:rPr>
          <w:rFonts w:ascii="Arial" w:hAnsi="Arial" w:cs="Arial"/>
        </w:rPr>
        <w:t xml:space="preserve"> models. Secondly, phytochemicals with higher binding affinity were not isolated from the plant and retested to establish their efficacy against this model. Thirdly, only one specific protein is chosen for each particular activity. Despite these shortcomings, this study can be a valuable addition to the scientific literature, paving the way for further research to develop novel therapeutic investigations for treating diseases more effectively.</w:t>
      </w:r>
    </w:p>
    <w:p w14:paraId="67EFF2DC" w14:textId="5A069B9A" w:rsidR="00B01FCD" w:rsidRDefault="00C73625" w:rsidP="00441B6F">
      <w:pPr>
        <w:pStyle w:val="ConcHead"/>
        <w:spacing w:after="0"/>
        <w:jc w:val="both"/>
        <w:rPr>
          <w:rFonts w:ascii="Arial" w:hAnsi="Arial" w:cs="Arial"/>
        </w:rPr>
      </w:pPr>
      <w:r>
        <w:rPr>
          <w:rFonts w:ascii="Arial" w:hAnsi="Arial" w:cs="Arial"/>
        </w:rPr>
        <w:t>5</w:t>
      </w:r>
      <w:r w:rsidR="00000F8F">
        <w:rPr>
          <w:rFonts w:ascii="Arial" w:hAnsi="Arial" w:cs="Arial"/>
        </w:rPr>
        <w:t xml:space="preserve">. </w:t>
      </w:r>
      <w:r w:rsidR="00B01FCD" w:rsidRPr="00FB3A86">
        <w:rPr>
          <w:rFonts w:ascii="Arial" w:hAnsi="Arial" w:cs="Arial"/>
        </w:rPr>
        <w:t>Conclusion</w:t>
      </w:r>
    </w:p>
    <w:p w14:paraId="7B44DDED" w14:textId="77777777" w:rsidR="00790ADA" w:rsidRPr="00FB3A86" w:rsidRDefault="00790ADA" w:rsidP="00441B6F">
      <w:pPr>
        <w:pStyle w:val="ConcHead"/>
        <w:spacing w:after="0"/>
        <w:jc w:val="both"/>
        <w:rPr>
          <w:rFonts w:ascii="Arial" w:hAnsi="Arial" w:cs="Arial"/>
        </w:rPr>
      </w:pPr>
    </w:p>
    <w:p w14:paraId="205D79CF" w14:textId="0A18E47F" w:rsidR="00C73625" w:rsidRPr="00C73625" w:rsidRDefault="00C73625" w:rsidP="00C73625">
      <w:pPr>
        <w:pStyle w:val="Body"/>
        <w:rPr>
          <w:rFonts w:ascii="Arial" w:hAnsi="Arial" w:cs="Arial"/>
        </w:rPr>
      </w:pPr>
      <w:r w:rsidRPr="00C73625">
        <w:rPr>
          <w:rFonts w:ascii="Arial" w:hAnsi="Arial" w:cs="Arial"/>
        </w:rPr>
        <w:t xml:space="preserve">In this investigation, we assessed the </w:t>
      </w:r>
      <w:r w:rsidRPr="00C73625">
        <w:rPr>
          <w:rFonts w:ascii="Arial" w:hAnsi="Arial" w:cs="Arial"/>
          <w:i/>
          <w:iCs/>
        </w:rPr>
        <w:t>in</w:t>
      </w:r>
      <w:r w:rsidR="00992ACC">
        <w:rPr>
          <w:rFonts w:ascii="Arial" w:hAnsi="Arial" w:cs="Arial"/>
          <w:i/>
          <w:iCs/>
        </w:rPr>
        <w:t xml:space="preserve"> </w:t>
      </w:r>
      <w:r w:rsidRPr="00C73625">
        <w:rPr>
          <w:rFonts w:ascii="Arial" w:hAnsi="Arial" w:cs="Arial"/>
          <w:i/>
          <w:iCs/>
        </w:rPr>
        <w:t>vitro</w:t>
      </w:r>
      <w:r w:rsidRPr="00C73625">
        <w:rPr>
          <w:rFonts w:ascii="Arial" w:hAnsi="Arial" w:cs="Arial"/>
        </w:rPr>
        <w:t xml:space="preserve"> antioxidant</w:t>
      </w:r>
      <w:r w:rsidR="002E1515">
        <w:rPr>
          <w:rFonts w:ascii="Arial" w:hAnsi="Arial" w:cs="Arial"/>
        </w:rPr>
        <w:t xml:space="preserve"> </w:t>
      </w:r>
      <w:r w:rsidR="002E1515" w:rsidRPr="002E1515">
        <w:rPr>
          <w:rFonts w:ascii="Arial" w:hAnsi="Arial" w:cs="Arial"/>
          <w:highlight w:val="yellow"/>
        </w:rPr>
        <w:t>and</w:t>
      </w:r>
      <w:r w:rsidRPr="00C73625">
        <w:rPr>
          <w:rFonts w:ascii="Arial" w:hAnsi="Arial" w:cs="Arial"/>
        </w:rPr>
        <w:t xml:space="preserve"> cytotoxic, as well as anti-inflammatory activities of </w:t>
      </w:r>
      <w:r w:rsidR="00504E99" w:rsidRPr="00055E7B">
        <w:rPr>
          <w:rFonts w:ascii="Arial" w:hAnsi="Arial" w:cs="Arial"/>
          <w:highlight w:val="yellow"/>
        </w:rPr>
        <w:t>MELOR</w:t>
      </w:r>
      <w:r w:rsidRPr="00C73625">
        <w:rPr>
          <w:rFonts w:ascii="Arial" w:hAnsi="Arial" w:cs="Arial"/>
        </w:rPr>
        <w:t xml:space="preserve">, and molecular docking was performed to evaluate the phytoconstituents found in leaves to validate these activities. The explanation of the data from this experimental work demonstrates that the leaves of </w:t>
      </w:r>
      <w:r w:rsidRPr="00C73625">
        <w:rPr>
          <w:rFonts w:ascii="Arial" w:hAnsi="Arial" w:cs="Arial"/>
          <w:i/>
          <w:iCs/>
        </w:rPr>
        <w:t>O. robusta</w:t>
      </w:r>
      <w:r w:rsidRPr="00C73625">
        <w:rPr>
          <w:rFonts w:ascii="Arial" w:hAnsi="Arial" w:cs="Arial"/>
        </w:rPr>
        <w:t xml:space="preserve"> can be a promising source of antioxidant, cytotoxic, and anti-inflammatory agents. Additionally, computational work supports these findings. Selected proteins for each activity were mostly bound with euchrenone </w:t>
      </w:r>
      <w:r w:rsidR="00D714DC">
        <w:rPr>
          <w:rFonts w:ascii="Arial" w:hAnsi="Arial" w:cs="Arial"/>
        </w:rPr>
        <w:t>B</w:t>
      </w:r>
      <w:r w:rsidRPr="00C73625">
        <w:rPr>
          <w:rFonts w:ascii="Arial" w:hAnsi="Arial" w:cs="Arial"/>
        </w:rPr>
        <w:t xml:space="preserve">8, </w:t>
      </w:r>
      <w:proofErr w:type="spellStart"/>
      <w:r w:rsidRPr="00C73625">
        <w:rPr>
          <w:rFonts w:ascii="Arial" w:hAnsi="Arial" w:cs="Arial"/>
        </w:rPr>
        <w:t>warangalone</w:t>
      </w:r>
      <w:proofErr w:type="spellEnd"/>
      <w:r w:rsidRPr="00C73625">
        <w:rPr>
          <w:rFonts w:ascii="Arial" w:hAnsi="Arial" w:cs="Arial"/>
        </w:rPr>
        <w:t xml:space="preserve">, </w:t>
      </w:r>
      <w:proofErr w:type="spellStart"/>
      <w:r w:rsidRPr="00C73625">
        <w:rPr>
          <w:rFonts w:ascii="Arial" w:hAnsi="Arial" w:cs="Arial"/>
        </w:rPr>
        <w:t>lupeol</w:t>
      </w:r>
      <w:proofErr w:type="spellEnd"/>
      <w:r w:rsidRPr="00C73625">
        <w:rPr>
          <w:rFonts w:ascii="Arial" w:hAnsi="Arial" w:cs="Arial"/>
        </w:rPr>
        <w:t xml:space="preserve">, and </w:t>
      </w:r>
      <w:proofErr w:type="spellStart"/>
      <w:r w:rsidRPr="00C73625">
        <w:rPr>
          <w:rFonts w:ascii="Arial" w:hAnsi="Arial" w:cs="Arial"/>
        </w:rPr>
        <w:t>betulinic</w:t>
      </w:r>
      <w:proofErr w:type="spellEnd"/>
      <w:r w:rsidRPr="00C73625">
        <w:rPr>
          <w:rFonts w:ascii="Arial" w:hAnsi="Arial" w:cs="Arial"/>
        </w:rPr>
        <w:t xml:space="preserve"> acid. ADME/T analysis made it evident that these compounds have drug-like properties. However, to corroborate the present findings, research on animal models needs to be conducted to unravel the mechanisms of action of responsible bioactive phytoconstituents.</w:t>
      </w:r>
    </w:p>
    <w:p w14:paraId="1C02BE8B" w14:textId="3D16BD7C" w:rsidR="00B01FCD" w:rsidRDefault="00B01FCD" w:rsidP="00441B6F">
      <w:pPr>
        <w:pStyle w:val="Body"/>
        <w:spacing w:after="0"/>
        <w:rPr>
          <w:rFonts w:ascii="Arial" w:hAnsi="Arial" w:cs="Arial"/>
        </w:rPr>
      </w:pPr>
    </w:p>
    <w:p w14:paraId="30548E1F" w14:textId="77777777" w:rsidR="00790ADA" w:rsidRPr="00FB3A86" w:rsidRDefault="00790ADA" w:rsidP="00441B6F">
      <w:pPr>
        <w:pStyle w:val="Body"/>
        <w:spacing w:after="0"/>
        <w:rPr>
          <w:rFonts w:ascii="Arial" w:hAnsi="Arial" w:cs="Arial"/>
        </w:rPr>
      </w:pPr>
    </w:p>
    <w:p w14:paraId="6AC176A4" w14:textId="3AA1A3AB" w:rsidR="00BE0E77" w:rsidRPr="00C45892" w:rsidRDefault="00BE0E77" w:rsidP="00441B6F">
      <w:pPr>
        <w:pStyle w:val="ReferHead"/>
        <w:spacing w:after="0"/>
        <w:jc w:val="both"/>
        <w:rPr>
          <w:rFonts w:ascii="Arial" w:hAnsi="Arial" w:cs="Arial"/>
          <w:bCs/>
          <w:highlight w:val="yellow"/>
        </w:rPr>
      </w:pPr>
      <w:r w:rsidRPr="00C45892">
        <w:rPr>
          <w:rFonts w:ascii="Arial" w:hAnsi="Arial" w:cs="Arial"/>
          <w:bCs/>
          <w:highlight w:val="yellow"/>
        </w:rPr>
        <w:t>AUTHORS’ CONTRIBUTIONS</w:t>
      </w:r>
    </w:p>
    <w:p w14:paraId="17127866" w14:textId="77777777" w:rsidR="00BE0E77" w:rsidRPr="00C45892" w:rsidRDefault="00BE0E77" w:rsidP="00441B6F">
      <w:pPr>
        <w:pStyle w:val="ReferHead"/>
        <w:spacing w:after="0"/>
        <w:jc w:val="both"/>
        <w:rPr>
          <w:rFonts w:ascii="Arial" w:hAnsi="Arial" w:cs="Arial"/>
          <w:bCs/>
          <w:highlight w:val="yellow"/>
        </w:rPr>
      </w:pPr>
    </w:p>
    <w:p w14:paraId="1C873E6C" w14:textId="16DC2A66" w:rsidR="00C066A9" w:rsidRPr="00D47153" w:rsidRDefault="00D6308C" w:rsidP="00D47153">
      <w:pPr>
        <w:jc w:val="both"/>
        <w:rPr>
          <w:rFonts w:ascii="Arial" w:hAnsi="Arial" w:cs="Arial"/>
          <w:color w:val="000000" w:themeColor="text1"/>
        </w:rPr>
      </w:pPr>
      <w:r w:rsidRPr="00D47153">
        <w:rPr>
          <w:rFonts w:ascii="Arial" w:hAnsi="Arial" w:cs="Arial"/>
          <w:color w:val="000000" w:themeColor="text1"/>
          <w:highlight w:val="yellow"/>
        </w:rPr>
        <w:t>This work was carried out in collaboration among all authors. Authors ML, MRI and</w:t>
      </w:r>
      <w:r w:rsidRPr="00D47153">
        <w:rPr>
          <w:highlight w:val="yellow"/>
        </w:rPr>
        <w:t xml:space="preserve"> </w:t>
      </w:r>
      <w:r w:rsidRPr="00D47153">
        <w:rPr>
          <w:rFonts w:ascii="Arial" w:hAnsi="Arial" w:cs="Arial"/>
          <w:color w:val="000000" w:themeColor="text1"/>
          <w:highlight w:val="yellow"/>
        </w:rPr>
        <w:t>MKH conceptualize the study. Authors ML, MLA and SAS designed the study. Authors ML</w:t>
      </w:r>
      <w:r w:rsidR="00D47153" w:rsidRPr="00D47153">
        <w:rPr>
          <w:rFonts w:ascii="Arial" w:hAnsi="Arial" w:cs="Arial"/>
          <w:color w:val="000000" w:themeColor="text1"/>
          <w:highlight w:val="yellow"/>
        </w:rPr>
        <w:t xml:space="preserve"> and</w:t>
      </w:r>
      <w:r w:rsidRPr="00D47153">
        <w:rPr>
          <w:rFonts w:ascii="Arial" w:hAnsi="Arial" w:cs="Arial"/>
          <w:color w:val="000000" w:themeColor="text1"/>
          <w:highlight w:val="yellow"/>
        </w:rPr>
        <w:t xml:space="preserve"> M</w:t>
      </w:r>
      <w:r w:rsidR="00D47153" w:rsidRPr="00D47153">
        <w:rPr>
          <w:rFonts w:ascii="Arial" w:hAnsi="Arial" w:cs="Arial"/>
          <w:color w:val="000000" w:themeColor="text1"/>
          <w:highlight w:val="yellow"/>
        </w:rPr>
        <w:t>RI</w:t>
      </w:r>
      <w:r w:rsidRPr="00D47153">
        <w:rPr>
          <w:rFonts w:ascii="Arial" w:hAnsi="Arial" w:cs="Arial"/>
          <w:color w:val="000000" w:themeColor="text1"/>
          <w:highlight w:val="yellow"/>
        </w:rPr>
        <w:t xml:space="preserve"> wrote the protocol. Authors ML</w:t>
      </w:r>
      <w:r w:rsidR="00D47153" w:rsidRPr="00D47153">
        <w:rPr>
          <w:rFonts w:ascii="Arial" w:hAnsi="Arial" w:cs="Arial"/>
          <w:color w:val="000000" w:themeColor="text1"/>
          <w:highlight w:val="yellow"/>
        </w:rPr>
        <w:t>, MLA, NBM</w:t>
      </w:r>
      <w:r w:rsidRPr="00D47153">
        <w:rPr>
          <w:rFonts w:ascii="Arial" w:hAnsi="Arial" w:cs="Arial"/>
          <w:color w:val="000000" w:themeColor="text1"/>
          <w:highlight w:val="yellow"/>
        </w:rPr>
        <w:t xml:space="preserve"> wrote the first </w:t>
      </w:r>
      <w:bookmarkStart w:id="8" w:name="_Hlk195473092"/>
      <w:r w:rsidRPr="00D47153">
        <w:rPr>
          <w:rFonts w:ascii="Arial" w:hAnsi="Arial" w:cs="Arial"/>
          <w:color w:val="000000" w:themeColor="text1"/>
          <w:highlight w:val="yellow"/>
        </w:rPr>
        <w:t>draft of the manuscript</w:t>
      </w:r>
      <w:bookmarkEnd w:id="8"/>
      <w:r w:rsidRPr="00D47153">
        <w:rPr>
          <w:rFonts w:ascii="Arial" w:hAnsi="Arial" w:cs="Arial"/>
          <w:color w:val="000000" w:themeColor="text1"/>
          <w:highlight w:val="yellow"/>
        </w:rPr>
        <w:t xml:space="preserve">. ML, MLA, </w:t>
      </w:r>
      <w:r w:rsidR="00D47153" w:rsidRPr="00D47153">
        <w:rPr>
          <w:rFonts w:ascii="Arial" w:hAnsi="Arial" w:cs="Arial"/>
          <w:color w:val="000000" w:themeColor="text1"/>
          <w:highlight w:val="yellow"/>
        </w:rPr>
        <w:t>SAS</w:t>
      </w:r>
      <w:r w:rsidRPr="00D47153">
        <w:rPr>
          <w:rFonts w:ascii="Arial" w:hAnsi="Arial" w:cs="Arial"/>
          <w:color w:val="000000" w:themeColor="text1"/>
          <w:highlight w:val="yellow"/>
        </w:rPr>
        <w:t xml:space="preserve"> performed the statistical analysis. </w:t>
      </w:r>
      <w:r w:rsidR="00D47153" w:rsidRPr="00D47153">
        <w:rPr>
          <w:rFonts w:ascii="Arial" w:hAnsi="Arial" w:cs="Arial"/>
          <w:color w:val="000000" w:themeColor="text1"/>
          <w:highlight w:val="yellow"/>
        </w:rPr>
        <w:t xml:space="preserve">Authors </w:t>
      </w:r>
      <w:r w:rsidRPr="00D47153">
        <w:rPr>
          <w:rFonts w:ascii="Arial" w:hAnsi="Arial" w:cs="Arial"/>
          <w:color w:val="000000" w:themeColor="text1"/>
          <w:highlight w:val="yellow"/>
        </w:rPr>
        <w:t>NBM</w:t>
      </w:r>
      <w:r w:rsidR="00D47153" w:rsidRPr="00D47153">
        <w:rPr>
          <w:rFonts w:ascii="Arial" w:hAnsi="Arial" w:cs="Arial"/>
          <w:color w:val="000000" w:themeColor="text1"/>
          <w:highlight w:val="yellow"/>
        </w:rPr>
        <w:t xml:space="preserve"> and NMP</w:t>
      </w:r>
      <w:r w:rsidRPr="00D47153">
        <w:rPr>
          <w:rFonts w:ascii="Arial" w:hAnsi="Arial" w:cs="Arial"/>
          <w:color w:val="000000" w:themeColor="text1"/>
          <w:highlight w:val="yellow"/>
        </w:rPr>
        <w:t xml:space="preserve"> managed the formal analyses</w:t>
      </w:r>
      <w:r w:rsidR="00D47153" w:rsidRPr="00D47153">
        <w:rPr>
          <w:rFonts w:ascii="Arial" w:hAnsi="Arial" w:cs="Arial"/>
          <w:color w:val="000000" w:themeColor="text1"/>
          <w:highlight w:val="yellow"/>
        </w:rPr>
        <w:t>.</w:t>
      </w:r>
      <w:r w:rsidRPr="00D47153">
        <w:rPr>
          <w:rFonts w:ascii="Arial" w:hAnsi="Arial" w:cs="Arial"/>
          <w:color w:val="000000" w:themeColor="text1"/>
          <w:highlight w:val="yellow"/>
        </w:rPr>
        <w:t xml:space="preserve"> </w:t>
      </w:r>
      <w:r w:rsidR="00D47153" w:rsidRPr="00D47153">
        <w:rPr>
          <w:rFonts w:ascii="Arial" w:hAnsi="Arial" w:cs="Arial"/>
          <w:color w:val="000000" w:themeColor="text1"/>
          <w:highlight w:val="yellow"/>
        </w:rPr>
        <w:t>Authors ML, MLA and SAS did the</w:t>
      </w:r>
      <w:r w:rsidRPr="00D47153">
        <w:rPr>
          <w:rFonts w:ascii="Arial" w:hAnsi="Arial" w:cs="Arial"/>
          <w:color w:val="000000" w:themeColor="text1"/>
          <w:highlight w:val="yellow"/>
        </w:rPr>
        <w:t xml:space="preserve"> final draft of the manuscript of the study.</w:t>
      </w:r>
      <w:r w:rsidR="00D47153" w:rsidRPr="00D47153">
        <w:rPr>
          <w:rFonts w:ascii="Arial" w:hAnsi="Arial" w:cs="Arial"/>
          <w:color w:val="000000" w:themeColor="text1"/>
          <w:highlight w:val="yellow"/>
        </w:rPr>
        <w:t xml:space="preserve"> Authors</w:t>
      </w:r>
      <w:r w:rsidRPr="00D47153">
        <w:rPr>
          <w:rFonts w:ascii="Arial" w:hAnsi="Arial" w:cs="Arial"/>
          <w:color w:val="000000" w:themeColor="text1"/>
          <w:highlight w:val="yellow"/>
        </w:rPr>
        <w:t xml:space="preserve"> </w:t>
      </w:r>
      <w:r w:rsidR="00D47153" w:rsidRPr="00D47153">
        <w:rPr>
          <w:rFonts w:ascii="Arial" w:hAnsi="Arial" w:cs="Arial"/>
          <w:color w:val="000000" w:themeColor="text1"/>
          <w:highlight w:val="yellow"/>
        </w:rPr>
        <w:t xml:space="preserve">MRI and </w:t>
      </w:r>
      <w:r w:rsidRPr="00D47153">
        <w:rPr>
          <w:rFonts w:ascii="Arial" w:hAnsi="Arial" w:cs="Arial"/>
          <w:color w:val="000000" w:themeColor="text1"/>
          <w:highlight w:val="yellow"/>
        </w:rPr>
        <w:t xml:space="preserve">NMP performed the validation and data curation. </w:t>
      </w:r>
      <w:r w:rsidR="00D47153" w:rsidRPr="00D47153">
        <w:rPr>
          <w:rFonts w:ascii="Arial" w:hAnsi="Arial" w:cs="Arial"/>
          <w:color w:val="000000" w:themeColor="text1"/>
          <w:highlight w:val="yellow"/>
        </w:rPr>
        <w:t xml:space="preserve">Author </w:t>
      </w:r>
      <w:r w:rsidRPr="00D47153">
        <w:rPr>
          <w:rFonts w:ascii="Arial" w:hAnsi="Arial" w:cs="Arial"/>
          <w:color w:val="000000" w:themeColor="text1"/>
          <w:highlight w:val="yellow"/>
        </w:rPr>
        <w:t>MKH conceptualized and supervised the study. All authors read and approved the final manuscript.</w:t>
      </w:r>
    </w:p>
    <w:p w14:paraId="6E0142E2" w14:textId="6BA8FFAD" w:rsidR="002B685A" w:rsidRDefault="002B685A" w:rsidP="00441B6F">
      <w:pPr>
        <w:pStyle w:val="ReferHead"/>
        <w:spacing w:after="0"/>
        <w:jc w:val="both"/>
        <w:rPr>
          <w:rFonts w:ascii="Arial" w:hAnsi="Arial" w:cs="Arial"/>
          <w:bCs/>
        </w:rPr>
      </w:pPr>
      <w:r w:rsidRPr="002B685A">
        <w:rPr>
          <w:rFonts w:ascii="Arial" w:hAnsi="Arial" w:cs="Arial"/>
          <w:bCs/>
        </w:rPr>
        <w:lastRenderedPageBreak/>
        <w:t>Consent</w:t>
      </w:r>
    </w:p>
    <w:p w14:paraId="416FC306" w14:textId="77777777" w:rsidR="002B685A" w:rsidRPr="002B685A" w:rsidRDefault="002B685A" w:rsidP="00441B6F">
      <w:pPr>
        <w:pStyle w:val="ReferHead"/>
        <w:spacing w:after="0"/>
        <w:jc w:val="both"/>
        <w:rPr>
          <w:rFonts w:ascii="Arial" w:hAnsi="Arial" w:cs="Arial"/>
          <w:bCs/>
        </w:rPr>
      </w:pPr>
    </w:p>
    <w:p w14:paraId="77999ECF" w14:textId="0FBC05FB" w:rsidR="002B685A" w:rsidRPr="002B685A" w:rsidRDefault="002B685A" w:rsidP="00441B6F">
      <w:pPr>
        <w:pStyle w:val="ReferHead"/>
        <w:spacing w:after="0"/>
        <w:jc w:val="both"/>
        <w:rPr>
          <w:rFonts w:ascii="Arial" w:hAnsi="Arial" w:cs="Arial"/>
          <w:b w:val="0"/>
          <w:caps w:val="0"/>
          <w:sz w:val="20"/>
        </w:rPr>
      </w:pPr>
      <w:r>
        <w:rPr>
          <w:rFonts w:ascii="Arial" w:hAnsi="Arial" w:cs="Arial"/>
          <w:b w:val="0"/>
          <w:caps w:val="0"/>
          <w:sz w:val="20"/>
        </w:rPr>
        <w:t>No</w:t>
      </w:r>
      <w:r w:rsidR="00BC70AD">
        <w:rPr>
          <w:rFonts w:ascii="Arial" w:hAnsi="Arial" w:cs="Arial"/>
          <w:b w:val="0"/>
          <w:caps w:val="0"/>
          <w:sz w:val="20"/>
        </w:rPr>
        <w:t>t</w:t>
      </w:r>
      <w:r>
        <w:rPr>
          <w:rFonts w:ascii="Arial" w:hAnsi="Arial" w:cs="Arial"/>
          <w:b w:val="0"/>
          <w:caps w:val="0"/>
          <w:sz w:val="20"/>
        </w:rPr>
        <w:t xml:space="preserve"> applicable</w:t>
      </w:r>
      <w:r w:rsidRPr="002B685A">
        <w:rPr>
          <w:rFonts w:ascii="Arial" w:hAnsi="Arial" w:cs="Arial"/>
          <w:b w:val="0"/>
          <w:caps w:val="0"/>
          <w:sz w:val="20"/>
        </w:rPr>
        <w:t>.</w:t>
      </w:r>
    </w:p>
    <w:p w14:paraId="350A1B90" w14:textId="77777777" w:rsidR="005C784C" w:rsidRDefault="005C784C" w:rsidP="00441B6F">
      <w:pPr>
        <w:pStyle w:val="ReferHead"/>
        <w:spacing w:after="0"/>
        <w:jc w:val="both"/>
        <w:rPr>
          <w:rFonts w:ascii="Arial" w:hAnsi="Arial" w:cs="Arial"/>
          <w:b w:val="0"/>
          <w:caps w:val="0"/>
          <w:sz w:val="20"/>
        </w:rPr>
      </w:pPr>
    </w:p>
    <w:p w14:paraId="5FD02386" w14:textId="30DE5637" w:rsidR="005C784C" w:rsidRDefault="005C784C" w:rsidP="00441B6F">
      <w:pPr>
        <w:pStyle w:val="ReferHead"/>
        <w:spacing w:after="0"/>
        <w:jc w:val="both"/>
        <w:rPr>
          <w:rFonts w:ascii="Arial" w:hAnsi="Arial" w:cs="Arial"/>
          <w:bCs/>
        </w:rPr>
      </w:pPr>
      <w:r>
        <w:rPr>
          <w:rFonts w:ascii="Arial" w:hAnsi="Arial" w:cs="Arial"/>
          <w:bCs/>
        </w:rPr>
        <w:t xml:space="preserve">Ethical approval </w:t>
      </w:r>
    </w:p>
    <w:p w14:paraId="4EEFBF12" w14:textId="77777777" w:rsidR="005C784C" w:rsidRPr="002B685A" w:rsidRDefault="005C784C" w:rsidP="00441B6F">
      <w:pPr>
        <w:pStyle w:val="ReferHead"/>
        <w:spacing w:after="0"/>
        <w:jc w:val="both"/>
        <w:rPr>
          <w:rFonts w:ascii="Arial" w:hAnsi="Arial" w:cs="Arial"/>
          <w:bCs/>
        </w:rPr>
      </w:pPr>
    </w:p>
    <w:p w14:paraId="71C24F9C" w14:textId="4B4A90F5" w:rsidR="00BC70AD" w:rsidRDefault="00BC70AD" w:rsidP="00BC70AD">
      <w:pPr>
        <w:pStyle w:val="ReferHead"/>
        <w:spacing w:after="0"/>
        <w:jc w:val="both"/>
        <w:rPr>
          <w:rFonts w:ascii="Arial" w:hAnsi="Arial" w:cs="Arial"/>
          <w:b w:val="0"/>
          <w:caps w:val="0"/>
          <w:sz w:val="20"/>
        </w:rPr>
      </w:pPr>
      <w:r>
        <w:rPr>
          <w:rFonts w:ascii="Arial" w:hAnsi="Arial" w:cs="Arial"/>
          <w:b w:val="0"/>
          <w:caps w:val="0"/>
          <w:sz w:val="20"/>
        </w:rPr>
        <w:t>Not applicable</w:t>
      </w:r>
      <w:r w:rsidRPr="002B685A">
        <w:rPr>
          <w:rFonts w:ascii="Arial" w:hAnsi="Arial" w:cs="Arial"/>
          <w:b w:val="0"/>
          <w:caps w:val="0"/>
          <w:sz w:val="20"/>
        </w:rPr>
        <w:t>.</w:t>
      </w:r>
    </w:p>
    <w:p w14:paraId="06A7E02C" w14:textId="714FB14D" w:rsidR="00152D57" w:rsidRDefault="00152D57" w:rsidP="00BC70AD">
      <w:pPr>
        <w:pStyle w:val="ReferHead"/>
        <w:spacing w:after="0"/>
        <w:jc w:val="both"/>
        <w:rPr>
          <w:rFonts w:ascii="Arial" w:hAnsi="Arial" w:cs="Arial"/>
          <w:b w:val="0"/>
          <w:caps w:val="0"/>
          <w:sz w:val="20"/>
        </w:rPr>
      </w:pPr>
    </w:p>
    <w:p w14:paraId="4BDFD365" w14:textId="77777777" w:rsidR="0020328D" w:rsidRPr="002C6A55" w:rsidRDefault="0020328D" w:rsidP="0020328D">
      <w:pPr>
        <w:rPr>
          <w:rFonts w:ascii="Arial" w:eastAsia="Calibri" w:hAnsi="Arial" w:cs="Arial"/>
          <w:b/>
          <w:kern w:val="2"/>
          <w:sz w:val="22"/>
          <w:szCs w:val="22"/>
          <w:highlight w:val="yellow"/>
        </w:rPr>
      </w:pPr>
      <w:bookmarkStart w:id="9" w:name="_Hlk193540946"/>
      <w:r w:rsidRPr="002C6A55">
        <w:rPr>
          <w:rFonts w:ascii="Arial" w:eastAsia="Calibri" w:hAnsi="Arial" w:cs="Arial"/>
          <w:b/>
          <w:kern w:val="2"/>
          <w:sz w:val="22"/>
          <w:szCs w:val="22"/>
          <w:highlight w:val="yellow"/>
        </w:rPr>
        <w:t>DISCLAIMER (ARTIFICIAL INTELLIGENCE)</w:t>
      </w:r>
    </w:p>
    <w:p w14:paraId="0575FA2C" w14:textId="77777777" w:rsidR="00F978D0" w:rsidRPr="002C6A55" w:rsidRDefault="00F978D0" w:rsidP="0020328D">
      <w:pPr>
        <w:rPr>
          <w:rFonts w:ascii="Calibri" w:eastAsia="Calibri" w:hAnsi="Calibri"/>
          <w:b/>
          <w:kern w:val="2"/>
          <w:sz w:val="22"/>
          <w:szCs w:val="22"/>
          <w:highlight w:val="yellow"/>
        </w:rPr>
      </w:pPr>
    </w:p>
    <w:p w14:paraId="65CEB3DD" w14:textId="554D2492" w:rsidR="0020328D" w:rsidRPr="00F978D0" w:rsidRDefault="0020328D" w:rsidP="00F978D0">
      <w:pPr>
        <w:jc w:val="both"/>
        <w:rPr>
          <w:rFonts w:ascii="Arial" w:eastAsia="Calibri" w:hAnsi="Arial" w:cs="Arial"/>
        </w:rPr>
      </w:pPr>
      <w:r w:rsidRPr="002C6A55">
        <w:rPr>
          <w:rFonts w:ascii="Arial" w:eastAsia="Calibri" w:hAnsi="Arial" w:cs="Arial"/>
          <w:highlight w:val="yellow"/>
        </w:rPr>
        <w:t>Author(s) her</w:t>
      </w:r>
      <w:r w:rsidR="00F978D0" w:rsidRPr="002C6A55">
        <w:rPr>
          <w:rFonts w:ascii="Arial" w:eastAsia="Calibri" w:hAnsi="Arial" w:cs="Arial"/>
          <w:highlight w:val="yellow"/>
        </w:rPr>
        <w:t xml:space="preserve">eby declare that NO generative </w:t>
      </w:r>
      <w:r w:rsidRPr="002C6A55">
        <w:rPr>
          <w:rFonts w:ascii="Arial" w:eastAsia="Calibri" w:hAnsi="Arial" w:cs="Arial"/>
          <w:highlight w:val="yellow"/>
        </w:rPr>
        <w:t xml:space="preserve">AI technologies such as Large Language </w:t>
      </w:r>
      <w:r w:rsidR="00F978D0" w:rsidRPr="002C6A55">
        <w:rPr>
          <w:rFonts w:ascii="Arial" w:eastAsia="Calibri" w:hAnsi="Arial" w:cs="Arial"/>
          <w:highlight w:val="yellow"/>
        </w:rPr>
        <w:t xml:space="preserve">Models </w:t>
      </w:r>
      <w:r w:rsidRPr="002C6A55">
        <w:rPr>
          <w:rFonts w:ascii="Arial" w:eastAsia="Calibri" w:hAnsi="Arial" w:cs="Arial"/>
          <w:highlight w:val="yellow"/>
        </w:rPr>
        <w:t>(</w:t>
      </w:r>
      <w:proofErr w:type="spellStart"/>
      <w:r w:rsidRPr="002C6A55">
        <w:rPr>
          <w:rFonts w:ascii="Arial" w:eastAsia="Calibri" w:hAnsi="Arial" w:cs="Arial"/>
          <w:highlight w:val="yellow"/>
        </w:rPr>
        <w:t>ChatGPT</w:t>
      </w:r>
      <w:proofErr w:type="spellEnd"/>
      <w:r w:rsidRPr="002C6A55">
        <w:rPr>
          <w:rFonts w:ascii="Arial" w:eastAsia="Calibri" w:hAnsi="Arial" w:cs="Arial"/>
          <w:highlight w:val="yellow"/>
        </w:rPr>
        <w:t xml:space="preserve">, COPILOT, </w:t>
      </w:r>
      <w:proofErr w:type="spellStart"/>
      <w:r w:rsidRPr="002C6A55">
        <w:rPr>
          <w:rFonts w:ascii="Arial" w:eastAsia="Calibri" w:hAnsi="Arial" w:cs="Arial"/>
          <w:highlight w:val="yellow"/>
        </w:rPr>
        <w:t>etc</w:t>
      </w:r>
      <w:proofErr w:type="spellEnd"/>
      <w:r w:rsidRPr="002C6A55">
        <w:rPr>
          <w:rFonts w:ascii="Arial" w:eastAsia="Calibri" w:hAnsi="Arial" w:cs="Arial"/>
          <w:highlight w:val="yellow"/>
        </w:rPr>
        <w:t>) and text</w:t>
      </w:r>
      <w:r w:rsidR="00F978D0" w:rsidRPr="002C6A55">
        <w:rPr>
          <w:rFonts w:ascii="Arial" w:eastAsia="Calibri" w:hAnsi="Arial" w:cs="Arial"/>
          <w:highlight w:val="yellow"/>
        </w:rPr>
        <w:t>-</w:t>
      </w:r>
      <w:r w:rsidRPr="002C6A55">
        <w:rPr>
          <w:rFonts w:ascii="Arial" w:eastAsia="Calibri" w:hAnsi="Arial" w:cs="Arial"/>
          <w:highlight w:val="yellow"/>
        </w:rPr>
        <w:t xml:space="preserve">to-image generators have been used during writing or editing of this manuscript. </w:t>
      </w:r>
    </w:p>
    <w:bookmarkEnd w:id="9"/>
    <w:p w14:paraId="4868FC7B" w14:textId="77777777" w:rsidR="00860000" w:rsidRDefault="00860000" w:rsidP="00441B6F">
      <w:pPr>
        <w:pStyle w:val="ReferHead"/>
        <w:spacing w:after="0"/>
        <w:jc w:val="both"/>
        <w:rPr>
          <w:rFonts w:ascii="Arial" w:hAnsi="Arial" w:cs="Arial"/>
        </w:rPr>
      </w:pPr>
    </w:p>
    <w:p w14:paraId="7EAADFC2" w14:textId="77777777" w:rsidR="00B01FCD" w:rsidRPr="00E772A2" w:rsidRDefault="00B01FCD" w:rsidP="00441B6F">
      <w:pPr>
        <w:pStyle w:val="ReferHead"/>
        <w:spacing w:after="0"/>
        <w:jc w:val="both"/>
        <w:rPr>
          <w:rFonts w:ascii="Arial" w:hAnsi="Arial" w:cs="Arial"/>
        </w:rPr>
      </w:pPr>
      <w:r w:rsidRPr="00E772A2">
        <w:rPr>
          <w:rFonts w:ascii="Arial" w:hAnsi="Arial" w:cs="Arial"/>
        </w:rPr>
        <w:t>References</w:t>
      </w:r>
    </w:p>
    <w:p w14:paraId="7C5716F3" w14:textId="77777777" w:rsidR="00790ADA" w:rsidRPr="00FB3A86" w:rsidRDefault="00790ADA" w:rsidP="00441B6F">
      <w:pPr>
        <w:pStyle w:val="ReferHead"/>
        <w:spacing w:after="0"/>
        <w:jc w:val="both"/>
        <w:rPr>
          <w:rFonts w:ascii="Arial" w:hAnsi="Arial" w:cs="Arial"/>
        </w:rPr>
      </w:pPr>
    </w:p>
    <w:p w14:paraId="7EEDC9A0" w14:textId="7ED69D49" w:rsidR="00E772A2" w:rsidRPr="00E772A2" w:rsidRDefault="009D411A" w:rsidP="00A64867">
      <w:pPr>
        <w:widowControl w:val="0"/>
        <w:autoSpaceDE w:val="0"/>
        <w:autoSpaceDN w:val="0"/>
        <w:adjustRightInd w:val="0"/>
        <w:ind w:left="480" w:hanging="480"/>
        <w:jc w:val="both"/>
        <w:rPr>
          <w:rFonts w:ascii="Arial" w:hAnsi="Arial" w:cs="Arial"/>
          <w:noProof/>
          <w:szCs w:val="24"/>
        </w:rPr>
      </w:pPr>
      <w:r>
        <w:rPr>
          <w:rFonts w:ascii="Arial" w:hAnsi="Arial" w:cs="Arial"/>
        </w:rPr>
        <w:fldChar w:fldCharType="begin" w:fldLock="1"/>
      </w:r>
      <w:r>
        <w:rPr>
          <w:rFonts w:ascii="Arial" w:hAnsi="Arial" w:cs="Arial"/>
        </w:rPr>
        <w:instrText xml:space="preserve">ADDIN Mendeley Bibliography CSL_BIBLIOGRAPHY </w:instrText>
      </w:r>
      <w:r>
        <w:rPr>
          <w:rFonts w:ascii="Arial" w:hAnsi="Arial" w:cs="Arial"/>
        </w:rPr>
        <w:fldChar w:fldCharType="separate"/>
      </w:r>
      <w:r w:rsidR="00E772A2" w:rsidRPr="00E772A2">
        <w:rPr>
          <w:rFonts w:ascii="Arial" w:hAnsi="Arial" w:cs="Arial"/>
          <w:noProof/>
          <w:szCs w:val="24"/>
        </w:rPr>
        <w:t xml:space="preserve">Abdullah, N., Ismail, S. M., Aminudin, N., Shuib, A. S., &amp; Lau, B. F. (2012). Evaluation of selected culinary-medicinal mushrooms for antioxidant and ACE inhibitory activities. </w:t>
      </w:r>
      <w:r w:rsidR="00E772A2" w:rsidRPr="00E772A2">
        <w:rPr>
          <w:rFonts w:ascii="Arial" w:hAnsi="Arial" w:cs="Arial"/>
          <w:i/>
          <w:iCs/>
          <w:noProof/>
          <w:szCs w:val="24"/>
        </w:rPr>
        <w:t>Evidence-Based Complementary and Alternative Medicine</w:t>
      </w:r>
      <w:r w:rsidR="00E772A2" w:rsidRPr="00E772A2">
        <w:rPr>
          <w:rFonts w:ascii="Arial" w:hAnsi="Arial" w:cs="Arial"/>
          <w:noProof/>
          <w:szCs w:val="24"/>
        </w:rPr>
        <w:t xml:space="preserve">, </w:t>
      </w:r>
      <w:r w:rsidR="00E772A2" w:rsidRPr="00E772A2">
        <w:rPr>
          <w:rFonts w:ascii="Arial" w:hAnsi="Arial" w:cs="Arial"/>
          <w:i/>
          <w:iCs/>
          <w:noProof/>
          <w:szCs w:val="24"/>
        </w:rPr>
        <w:t>2012</w:t>
      </w:r>
      <w:r w:rsidR="00E772A2" w:rsidRPr="00E772A2">
        <w:rPr>
          <w:rFonts w:ascii="Arial" w:hAnsi="Arial" w:cs="Arial"/>
          <w:noProof/>
          <w:szCs w:val="24"/>
        </w:rPr>
        <w:t>. https://doi.org/10.1155/2012/464238</w:t>
      </w:r>
    </w:p>
    <w:p w14:paraId="035D0793"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Ahmed, K. T., Haque, M. R., &amp; Ahsan, M. (2013). Isoflavones from the Bark of Ormosia robusta ( Fabaceae ) baker . </w:t>
      </w:r>
      <w:r w:rsidRPr="00E772A2">
        <w:rPr>
          <w:rFonts w:ascii="Arial" w:hAnsi="Arial" w:cs="Arial"/>
          <w:i/>
          <w:iCs/>
          <w:noProof/>
          <w:szCs w:val="24"/>
        </w:rPr>
        <w:t>American Journal of Pharmtech Research</w:t>
      </w:r>
      <w:r w:rsidRPr="00E772A2">
        <w:rPr>
          <w:rFonts w:ascii="Arial" w:hAnsi="Arial" w:cs="Arial"/>
          <w:noProof/>
          <w:szCs w:val="24"/>
        </w:rPr>
        <w:t xml:space="preserve">, </w:t>
      </w:r>
      <w:r w:rsidRPr="00E772A2">
        <w:rPr>
          <w:rFonts w:ascii="Arial" w:hAnsi="Arial" w:cs="Arial"/>
          <w:i/>
          <w:iCs/>
          <w:noProof/>
          <w:szCs w:val="24"/>
        </w:rPr>
        <w:t>3</w:t>
      </w:r>
      <w:r w:rsidRPr="00E772A2">
        <w:rPr>
          <w:rFonts w:ascii="Arial" w:hAnsi="Arial" w:cs="Arial"/>
          <w:noProof/>
          <w:szCs w:val="24"/>
        </w:rPr>
        <w:t>(November 2012), 1–8.</w:t>
      </w:r>
    </w:p>
    <w:p w14:paraId="22F83D0A" w14:textId="77777777" w:rsidR="00E772A2" w:rsidRPr="00D4020A" w:rsidRDefault="00E772A2" w:rsidP="00A64867">
      <w:pPr>
        <w:widowControl w:val="0"/>
        <w:autoSpaceDE w:val="0"/>
        <w:autoSpaceDN w:val="0"/>
        <w:adjustRightInd w:val="0"/>
        <w:ind w:left="480" w:hanging="480"/>
        <w:jc w:val="both"/>
        <w:rPr>
          <w:rFonts w:ascii="Arial" w:hAnsi="Arial" w:cs="Arial"/>
          <w:noProof/>
          <w:szCs w:val="24"/>
          <w:lang w:val="es-ES"/>
        </w:rPr>
      </w:pPr>
      <w:r w:rsidRPr="00E772A2">
        <w:rPr>
          <w:rFonts w:ascii="Arial" w:hAnsi="Arial" w:cs="Arial"/>
          <w:noProof/>
          <w:szCs w:val="24"/>
        </w:rPr>
        <w:t xml:space="preserve">Ahmed, S., Rakib, A., Islam, M. A., Khanam, B. H., Faiz, F. B., Paul, A., Chy, M. N. U., Bhuiya, N. M. M. A., Uddin, M. M. N., Ullah, S. M. A., Rahman, M. A., &amp; Emran, T. Bin. (2019). In vivo and in vitro pharmacological activities of Tacca integrifolia rhizome and investigation of possible lead compounds against breast cancer through in silico approaches. </w:t>
      </w:r>
      <w:r w:rsidRPr="00D4020A">
        <w:rPr>
          <w:rFonts w:ascii="Arial" w:hAnsi="Arial" w:cs="Arial"/>
          <w:i/>
          <w:iCs/>
          <w:noProof/>
          <w:szCs w:val="24"/>
          <w:lang w:val="es-ES"/>
        </w:rPr>
        <w:t>Clinical Phytoscience</w:t>
      </w:r>
      <w:r w:rsidRPr="00D4020A">
        <w:rPr>
          <w:rFonts w:ascii="Arial" w:hAnsi="Arial" w:cs="Arial"/>
          <w:noProof/>
          <w:szCs w:val="24"/>
          <w:lang w:val="es-ES"/>
        </w:rPr>
        <w:t xml:space="preserve">, </w:t>
      </w:r>
      <w:r w:rsidRPr="00D4020A">
        <w:rPr>
          <w:rFonts w:ascii="Arial" w:hAnsi="Arial" w:cs="Arial"/>
          <w:i/>
          <w:iCs/>
          <w:noProof/>
          <w:szCs w:val="24"/>
          <w:lang w:val="es-ES"/>
        </w:rPr>
        <w:t>5</w:t>
      </w:r>
      <w:r w:rsidRPr="00D4020A">
        <w:rPr>
          <w:rFonts w:ascii="Arial" w:hAnsi="Arial" w:cs="Arial"/>
          <w:noProof/>
          <w:szCs w:val="24"/>
          <w:lang w:val="es-ES"/>
        </w:rPr>
        <w:t>(1). https://doi.org/10.1186/s40816-019-0127-x</w:t>
      </w:r>
    </w:p>
    <w:p w14:paraId="284A69AC"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D4020A">
        <w:rPr>
          <w:rFonts w:ascii="Arial" w:hAnsi="Arial" w:cs="Arial"/>
          <w:noProof/>
          <w:szCs w:val="24"/>
          <w:lang w:val="es-ES"/>
        </w:rPr>
        <w:t xml:space="preserve">Boeing, J. S., Barizão, É. O., e Silva, B. C., Montanher, P. F., de Cinque Almeida, V., &amp; Visentainer, J. V. (2014). </w:t>
      </w:r>
      <w:r w:rsidRPr="00E772A2">
        <w:rPr>
          <w:rFonts w:ascii="Arial" w:hAnsi="Arial" w:cs="Arial"/>
          <w:noProof/>
          <w:szCs w:val="24"/>
        </w:rPr>
        <w:t xml:space="preserve">Evaluation of solvent effect on the extraction of phenolic compounds and antioxidant capacities from the berries: Application of principal component analysis. </w:t>
      </w:r>
      <w:r w:rsidRPr="00E772A2">
        <w:rPr>
          <w:rFonts w:ascii="Arial" w:hAnsi="Arial" w:cs="Arial"/>
          <w:i/>
          <w:iCs/>
          <w:noProof/>
          <w:szCs w:val="24"/>
        </w:rPr>
        <w:t>Chemistry Central Journal</w:t>
      </w:r>
      <w:r w:rsidRPr="00E772A2">
        <w:rPr>
          <w:rFonts w:ascii="Arial" w:hAnsi="Arial" w:cs="Arial"/>
          <w:noProof/>
          <w:szCs w:val="24"/>
        </w:rPr>
        <w:t xml:space="preserve">, </w:t>
      </w:r>
      <w:r w:rsidRPr="00E772A2">
        <w:rPr>
          <w:rFonts w:ascii="Arial" w:hAnsi="Arial" w:cs="Arial"/>
          <w:i/>
          <w:iCs/>
          <w:noProof/>
          <w:szCs w:val="24"/>
        </w:rPr>
        <w:t>8</w:t>
      </w:r>
      <w:r w:rsidRPr="00E772A2">
        <w:rPr>
          <w:rFonts w:ascii="Arial" w:hAnsi="Arial" w:cs="Arial"/>
          <w:noProof/>
          <w:szCs w:val="24"/>
        </w:rPr>
        <w:t>(1), 1–9. https://doi.org/10.1186/s13065-014-0048-1</w:t>
      </w:r>
    </w:p>
    <w:p w14:paraId="49C4B86F"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Bolanle, A. O., Funmilola, A. S., &amp; Adedayo, A. (2014). Proximate analysis, mineral contents, amino acid composition, anti-nutrients and phytochemical screening of Brachystegia eurycoma harms and Pipper guineense schum and Thonn. </w:t>
      </w:r>
      <w:r w:rsidRPr="00E772A2">
        <w:rPr>
          <w:rFonts w:ascii="Arial" w:hAnsi="Arial" w:cs="Arial"/>
          <w:i/>
          <w:iCs/>
          <w:noProof/>
          <w:szCs w:val="24"/>
        </w:rPr>
        <w:t>Am. J. Food Nutr.</w:t>
      </w:r>
      <w:r w:rsidRPr="00E772A2">
        <w:rPr>
          <w:rFonts w:ascii="Arial" w:hAnsi="Arial" w:cs="Arial"/>
          <w:noProof/>
          <w:szCs w:val="24"/>
        </w:rPr>
        <w:t xml:space="preserve">, </w:t>
      </w:r>
      <w:r w:rsidRPr="00E772A2">
        <w:rPr>
          <w:rFonts w:ascii="Arial" w:hAnsi="Arial" w:cs="Arial"/>
          <w:i/>
          <w:iCs/>
          <w:noProof/>
          <w:szCs w:val="24"/>
        </w:rPr>
        <w:t>2</w:t>
      </w:r>
      <w:r w:rsidRPr="00E772A2">
        <w:rPr>
          <w:rFonts w:ascii="Arial" w:hAnsi="Arial" w:cs="Arial"/>
          <w:noProof/>
          <w:szCs w:val="24"/>
        </w:rPr>
        <w:t>(1), 11–17. https://doi.org/10.12691/ajfn-2-1-3</w:t>
      </w:r>
    </w:p>
    <w:p w14:paraId="1AE46912"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Brand-Williams, W., Cuvelier, M. E., &amp; Berset, C. (1995). Use of a free radical method to evaluate antioxidant activity. </w:t>
      </w:r>
      <w:r w:rsidRPr="00E772A2">
        <w:rPr>
          <w:rFonts w:ascii="Arial" w:hAnsi="Arial" w:cs="Arial"/>
          <w:i/>
          <w:iCs/>
          <w:noProof/>
          <w:szCs w:val="24"/>
        </w:rPr>
        <w:t>LWT - Food Science and Technology</w:t>
      </w:r>
      <w:r w:rsidRPr="00E772A2">
        <w:rPr>
          <w:rFonts w:ascii="Arial" w:hAnsi="Arial" w:cs="Arial"/>
          <w:noProof/>
          <w:szCs w:val="24"/>
        </w:rPr>
        <w:t xml:space="preserve">, </w:t>
      </w:r>
      <w:r w:rsidRPr="00E772A2">
        <w:rPr>
          <w:rFonts w:ascii="Arial" w:hAnsi="Arial" w:cs="Arial"/>
          <w:i/>
          <w:iCs/>
          <w:noProof/>
          <w:szCs w:val="24"/>
        </w:rPr>
        <w:t>28</w:t>
      </w:r>
      <w:r w:rsidRPr="00E772A2">
        <w:rPr>
          <w:rFonts w:ascii="Arial" w:hAnsi="Arial" w:cs="Arial"/>
          <w:noProof/>
          <w:szCs w:val="24"/>
        </w:rPr>
        <w:t>(1), 25–30. https://doi.org/10.1016/S0023-6438(95)80008-5</w:t>
      </w:r>
    </w:p>
    <w:p w14:paraId="479F9CD9"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Cheng, F., Li, W., Zhou, Y., Shen, J., Wu, Z., Liu, G., Lee, P. W., &amp; Tang, Y. (2012). AdmetSAR: A comprehensive source and free tool for assessment of chemical ADMET properties. </w:t>
      </w:r>
      <w:r w:rsidRPr="00E772A2">
        <w:rPr>
          <w:rFonts w:ascii="Arial" w:hAnsi="Arial" w:cs="Arial"/>
          <w:i/>
          <w:iCs/>
          <w:noProof/>
          <w:szCs w:val="24"/>
        </w:rPr>
        <w:t>Journal of Chemical Information and Modeling</w:t>
      </w:r>
      <w:r w:rsidRPr="00E772A2">
        <w:rPr>
          <w:rFonts w:ascii="Arial" w:hAnsi="Arial" w:cs="Arial"/>
          <w:noProof/>
          <w:szCs w:val="24"/>
        </w:rPr>
        <w:t xml:space="preserve">, </w:t>
      </w:r>
      <w:r w:rsidRPr="00E772A2">
        <w:rPr>
          <w:rFonts w:ascii="Arial" w:hAnsi="Arial" w:cs="Arial"/>
          <w:i/>
          <w:iCs/>
          <w:noProof/>
          <w:szCs w:val="24"/>
        </w:rPr>
        <w:t>52</w:t>
      </w:r>
      <w:r w:rsidRPr="00E772A2">
        <w:rPr>
          <w:rFonts w:ascii="Arial" w:hAnsi="Arial" w:cs="Arial"/>
          <w:noProof/>
          <w:szCs w:val="24"/>
        </w:rPr>
        <w:t>(11), 3099–3105. https://doi.org/10.1021/ci300367a</w:t>
      </w:r>
    </w:p>
    <w:p w14:paraId="51510B58"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Corporate, A. (2008). Discovery Studio Life Science Modeling and Simulations. </w:t>
      </w:r>
      <w:r w:rsidRPr="00E772A2">
        <w:rPr>
          <w:rFonts w:ascii="Arial" w:hAnsi="Arial" w:cs="Arial"/>
          <w:i/>
          <w:iCs/>
          <w:noProof/>
          <w:szCs w:val="24"/>
        </w:rPr>
        <w:t>Researchgate.Net‏</w:t>
      </w:r>
      <w:r w:rsidRPr="00E772A2">
        <w:rPr>
          <w:rFonts w:ascii="Arial" w:hAnsi="Arial" w:cs="Arial"/>
          <w:noProof/>
          <w:szCs w:val="24"/>
        </w:rPr>
        <w:t>, 1–8.</w:t>
      </w:r>
    </w:p>
    <w:p w14:paraId="2D2D18FE"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Daina, A., Michielin, O., &amp; Zoete, V. (2017). SwissADME: A free web tool to evaluate pharmacokinetics, drug-likeness and medicinal chemistry friendliness of small molecules. </w:t>
      </w:r>
      <w:r w:rsidRPr="00E772A2">
        <w:rPr>
          <w:rFonts w:ascii="Arial" w:hAnsi="Arial" w:cs="Arial"/>
          <w:i/>
          <w:iCs/>
          <w:noProof/>
          <w:szCs w:val="24"/>
        </w:rPr>
        <w:t>Scientific Reports</w:t>
      </w:r>
      <w:r w:rsidRPr="00E772A2">
        <w:rPr>
          <w:rFonts w:ascii="Arial" w:hAnsi="Arial" w:cs="Arial"/>
          <w:noProof/>
          <w:szCs w:val="24"/>
        </w:rPr>
        <w:t xml:space="preserve">, </w:t>
      </w:r>
      <w:r w:rsidRPr="00E772A2">
        <w:rPr>
          <w:rFonts w:ascii="Arial" w:hAnsi="Arial" w:cs="Arial"/>
          <w:i/>
          <w:iCs/>
          <w:noProof/>
          <w:szCs w:val="24"/>
        </w:rPr>
        <w:t>7</w:t>
      </w:r>
      <w:r w:rsidRPr="00E772A2">
        <w:rPr>
          <w:rFonts w:ascii="Arial" w:hAnsi="Arial" w:cs="Arial"/>
          <w:noProof/>
          <w:szCs w:val="24"/>
        </w:rPr>
        <w:t>(January), 1–13. https://doi.org/10.1038/srep42717</w:t>
      </w:r>
    </w:p>
    <w:p w14:paraId="3624A2F0" w14:textId="77777777" w:rsidR="00E772A2" w:rsidRPr="00E772A2" w:rsidRDefault="00E772A2" w:rsidP="00E772A2">
      <w:pPr>
        <w:widowControl w:val="0"/>
        <w:autoSpaceDE w:val="0"/>
        <w:autoSpaceDN w:val="0"/>
        <w:adjustRightInd w:val="0"/>
        <w:ind w:left="480" w:hanging="480"/>
        <w:rPr>
          <w:rFonts w:ascii="Arial" w:hAnsi="Arial" w:cs="Arial"/>
          <w:noProof/>
          <w:szCs w:val="24"/>
        </w:rPr>
      </w:pPr>
      <w:r w:rsidRPr="00E772A2">
        <w:rPr>
          <w:rFonts w:ascii="Arial" w:hAnsi="Arial" w:cs="Arial"/>
          <w:noProof/>
          <w:szCs w:val="24"/>
        </w:rPr>
        <w:t xml:space="preserve">Dinarello, C. A. (2010). Anti-inflammatory Agents: Present and Future. </w:t>
      </w:r>
      <w:r w:rsidRPr="00E772A2">
        <w:rPr>
          <w:rFonts w:ascii="Arial" w:hAnsi="Arial" w:cs="Arial"/>
          <w:i/>
          <w:iCs/>
          <w:noProof/>
          <w:szCs w:val="24"/>
        </w:rPr>
        <w:t>Cell</w:t>
      </w:r>
      <w:r w:rsidRPr="00E772A2">
        <w:rPr>
          <w:rFonts w:ascii="Arial" w:hAnsi="Arial" w:cs="Arial"/>
          <w:noProof/>
          <w:szCs w:val="24"/>
        </w:rPr>
        <w:t xml:space="preserve">, </w:t>
      </w:r>
      <w:r w:rsidRPr="00E772A2">
        <w:rPr>
          <w:rFonts w:ascii="Arial" w:hAnsi="Arial" w:cs="Arial"/>
          <w:i/>
          <w:iCs/>
          <w:noProof/>
          <w:szCs w:val="24"/>
        </w:rPr>
        <w:t>140</w:t>
      </w:r>
      <w:r w:rsidRPr="00E772A2">
        <w:rPr>
          <w:rFonts w:ascii="Arial" w:hAnsi="Arial" w:cs="Arial"/>
          <w:noProof/>
          <w:szCs w:val="24"/>
        </w:rPr>
        <w:t>(6), 935–950. https://doi.org/10.1016/j.cell.2010.02.043</w:t>
      </w:r>
    </w:p>
    <w:p w14:paraId="368BA2C9"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Douer, D. (2016). Efficacy and Safety of Vincristine Sulfate Liposome Injection in the </w:t>
      </w:r>
      <w:r w:rsidRPr="00E772A2">
        <w:rPr>
          <w:rFonts w:ascii="Arial" w:hAnsi="Arial" w:cs="Arial"/>
          <w:noProof/>
          <w:szCs w:val="24"/>
        </w:rPr>
        <w:lastRenderedPageBreak/>
        <w:t xml:space="preserve">Treatment of Adult Acute Lymphocytic Leukemia. </w:t>
      </w:r>
      <w:r w:rsidRPr="00E772A2">
        <w:rPr>
          <w:rFonts w:ascii="Arial" w:hAnsi="Arial" w:cs="Arial"/>
          <w:i/>
          <w:iCs/>
          <w:noProof/>
          <w:szCs w:val="24"/>
        </w:rPr>
        <w:t>The Oncologist</w:t>
      </w:r>
      <w:r w:rsidRPr="00E772A2">
        <w:rPr>
          <w:rFonts w:ascii="Arial" w:hAnsi="Arial" w:cs="Arial"/>
          <w:noProof/>
          <w:szCs w:val="24"/>
        </w:rPr>
        <w:t xml:space="preserve">, </w:t>
      </w:r>
      <w:r w:rsidRPr="00E772A2">
        <w:rPr>
          <w:rFonts w:ascii="Arial" w:hAnsi="Arial" w:cs="Arial"/>
          <w:i/>
          <w:iCs/>
          <w:noProof/>
          <w:szCs w:val="24"/>
        </w:rPr>
        <w:t>21</w:t>
      </w:r>
      <w:r w:rsidRPr="00E772A2">
        <w:rPr>
          <w:rFonts w:ascii="Arial" w:hAnsi="Arial" w:cs="Arial"/>
          <w:noProof/>
          <w:szCs w:val="24"/>
        </w:rPr>
        <w:t>(7), 840–847. https://doi.org/10.1634/theoncologist.2015-0391</w:t>
      </w:r>
    </w:p>
    <w:p w14:paraId="25F0CB71" w14:textId="77777777" w:rsidR="00E772A2" w:rsidRPr="00E772A2" w:rsidRDefault="00E772A2" w:rsidP="00E772A2">
      <w:pPr>
        <w:widowControl w:val="0"/>
        <w:autoSpaceDE w:val="0"/>
        <w:autoSpaceDN w:val="0"/>
        <w:adjustRightInd w:val="0"/>
        <w:ind w:left="480" w:hanging="480"/>
        <w:rPr>
          <w:rFonts w:ascii="Arial" w:hAnsi="Arial" w:cs="Arial"/>
          <w:noProof/>
          <w:szCs w:val="24"/>
        </w:rPr>
      </w:pPr>
      <w:r w:rsidRPr="00E772A2">
        <w:rPr>
          <w:rFonts w:ascii="Arial" w:hAnsi="Arial" w:cs="Arial"/>
          <w:noProof/>
          <w:szCs w:val="24"/>
        </w:rPr>
        <w:t xml:space="preserve">Elgorashi, E. E., &amp; McGaw, L. J. (2019). African plants with in vitro anti-inflammatory activities: A review. </w:t>
      </w:r>
      <w:r w:rsidRPr="00E772A2">
        <w:rPr>
          <w:rFonts w:ascii="Arial" w:hAnsi="Arial" w:cs="Arial"/>
          <w:i/>
          <w:iCs/>
          <w:noProof/>
          <w:szCs w:val="24"/>
        </w:rPr>
        <w:t>South African Journal of Botany</w:t>
      </w:r>
      <w:r w:rsidRPr="00E772A2">
        <w:rPr>
          <w:rFonts w:ascii="Arial" w:hAnsi="Arial" w:cs="Arial"/>
          <w:noProof/>
          <w:szCs w:val="24"/>
        </w:rPr>
        <w:t xml:space="preserve">, </w:t>
      </w:r>
      <w:r w:rsidRPr="00E772A2">
        <w:rPr>
          <w:rFonts w:ascii="Arial" w:hAnsi="Arial" w:cs="Arial"/>
          <w:i/>
          <w:iCs/>
          <w:noProof/>
          <w:szCs w:val="24"/>
        </w:rPr>
        <w:t>126</w:t>
      </w:r>
      <w:r w:rsidRPr="00E772A2">
        <w:rPr>
          <w:rFonts w:ascii="Arial" w:hAnsi="Arial" w:cs="Arial"/>
          <w:noProof/>
          <w:szCs w:val="24"/>
        </w:rPr>
        <w:t>, 142–169. https://doi.org/10.1016/j.sajb.2019.06.034</w:t>
      </w:r>
    </w:p>
    <w:p w14:paraId="21B98066"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Elsayed Azab, A., A Adwas,  Almokhtar, Ibrahim Elsayed, A. S., A Adwas, A., Ibrahim Elsayed,  Ata Sedik, &amp; Quwaydir, F. A. (2019). Oxidative stress and antioxidant mechanisms in human body. </w:t>
      </w:r>
      <w:r w:rsidRPr="00E772A2">
        <w:rPr>
          <w:rFonts w:ascii="Arial" w:hAnsi="Arial" w:cs="Arial"/>
          <w:i/>
          <w:iCs/>
          <w:noProof/>
          <w:szCs w:val="24"/>
        </w:rPr>
        <w:t>Journal of Applied Biotechnology &amp; Bioengineering</w:t>
      </w:r>
      <w:r w:rsidRPr="00E772A2">
        <w:rPr>
          <w:rFonts w:ascii="Arial" w:hAnsi="Arial" w:cs="Arial"/>
          <w:noProof/>
          <w:szCs w:val="24"/>
        </w:rPr>
        <w:t xml:space="preserve">, </w:t>
      </w:r>
      <w:r w:rsidRPr="00E772A2">
        <w:rPr>
          <w:rFonts w:ascii="Arial" w:hAnsi="Arial" w:cs="Arial"/>
          <w:i/>
          <w:iCs/>
          <w:noProof/>
          <w:szCs w:val="24"/>
        </w:rPr>
        <w:t>6</w:t>
      </w:r>
      <w:r w:rsidRPr="00E772A2">
        <w:rPr>
          <w:rFonts w:ascii="Arial" w:hAnsi="Arial" w:cs="Arial"/>
          <w:noProof/>
          <w:szCs w:val="24"/>
        </w:rPr>
        <w:t>(1), 43–47. https://doi.org/10.15406/jabb.2019.06.00173</w:t>
      </w:r>
    </w:p>
    <w:p w14:paraId="647F946E"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Eze, F. U., Okoro, U. C., Ugwu, D. I., &amp; Okafor, S. N. (2019). Biological Activity Evaluation of Some New Benzenesulphonamide Derivatives. </w:t>
      </w:r>
      <w:r w:rsidRPr="00E772A2">
        <w:rPr>
          <w:rFonts w:ascii="Arial" w:hAnsi="Arial" w:cs="Arial"/>
          <w:i/>
          <w:iCs/>
          <w:noProof/>
          <w:szCs w:val="24"/>
        </w:rPr>
        <w:t>Frontiers in Chemistry</w:t>
      </w:r>
      <w:r w:rsidRPr="00E772A2">
        <w:rPr>
          <w:rFonts w:ascii="Arial" w:hAnsi="Arial" w:cs="Arial"/>
          <w:noProof/>
          <w:szCs w:val="24"/>
        </w:rPr>
        <w:t xml:space="preserve">, </w:t>
      </w:r>
      <w:r w:rsidRPr="00E772A2">
        <w:rPr>
          <w:rFonts w:ascii="Arial" w:hAnsi="Arial" w:cs="Arial"/>
          <w:i/>
          <w:iCs/>
          <w:noProof/>
          <w:szCs w:val="24"/>
        </w:rPr>
        <w:t>7</w:t>
      </w:r>
      <w:r w:rsidRPr="00E772A2">
        <w:rPr>
          <w:rFonts w:ascii="Arial" w:hAnsi="Arial" w:cs="Arial"/>
          <w:noProof/>
          <w:szCs w:val="24"/>
        </w:rPr>
        <w:t>(September), 1–12. https://doi.org/10.3389/fchem.2019.00634</w:t>
      </w:r>
    </w:p>
    <w:p w14:paraId="0D6E35D4"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Ghuman, S., Ncube, B., Finnie, J. F., McGaw, L. J., Mfotie Njoya, E., Coopoosamy, R. M., &amp; Van Staden, J. (2019). Antioxidant, anti-inflammatory and wound healing properties of medicinal plant extracts used to treat wounds and dermatological disorders. </w:t>
      </w:r>
      <w:r w:rsidRPr="00E772A2">
        <w:rPr>
          <w:rFonts w:ascii="Arial" w:hAnsi="Arial" w:cs="Arial"/>
          <w:i/>
          <w:iCs/>
          <w:noProof/>
          <w:szCs w:val="24"/>
        </w:rPr>
        <w:t>South African Journal of Botany</w:t>
      </w:r>
      <w:r w:rsidRPr="00E772A2">
        <w:rPr>
          <w:rFonts w:ascii="Arial" w:hAnsi="Arial" w:cs="Arial"/>
          <w:noProof/>
          <w:szCs w:val="24"/>
        </w:rPr>
        <w:t xml:space="preserve">, </w:t>
      </w:r>
      <w:r w:rsidRPr="00E772A2">
        <w:rPr>
          <w:rFonts w:ascii="Arial" w:hAnsi="Arial" w:cs="Arial"/>
          <w:i/>
          <w:iCs/>
          <w:noProof/>
          <w:szCs w:val="24"/>
        </w:rPr>
        <w:t>126</w:t>
      </w:r>
      <w:r w:rsidRPr="00E772A2">
        <w:rPr>
          <w:rFonts w:ascii="Arial" w:hAnsi="Arial" w:cs="Arial"/>
          <w:noProof/>
          <w:szCs w:val="24"/>
        </w:rPr>
        <w:t>, 232–240. https://doi.org/10.1016/j.sajb.2019.07.013</w:t>
      </w:r>
    </w:p>
    <w:p w14:paraId="5813AEC7"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Guex, N., &amp; Peitsch, M. C. (1997). SWISS-MODEL and the Swiss-PdbViewer: An environment for comparative protein modeling. </w:t>
      </w:r>
      <w:r w:rsidRPr="00E772A2">
        <w:rPr>
          <w:rFonts w:ascii="Arial" w:hAnsi="Arial" w:cs="Arial"/>
          <w:i/>
          <w:iCs/>
          <w:noProof/>
          <w:szCs w:val="24"/>
        </w:rPr>
        <w:t>Electrophoresis</w:t>
      </w:r>
      <w:r w:rsidRPr="00E772A2">
        <w:rPr>
          <w:rFonts w:ascii="Arial" w:hAnsi="Arial" w:cs="Arial"/>
          <w:noProof/>
          <w:szCs w:val="24"/>
        </w:rPr>
        <w:t xml:space="preserve">, </w:t>
      </w:r>
      <w:r w:rsidRPr="00E772A2">
        <w:rPr>
          <w:rFonts w:ascii="Arial" w:hAnsi="Arial" w:cs="Arial"/>
          <w:i/>
          <w:iCs/>
          <w:noProof/>
          <w:szCs w:val="24"/>
        </w:rPr>
        <w:t>18</w:t>
      </w:r>
      <w:r w:rsidRPr="00E772A2">
        <w:rPr>
          <w:rFonts w:ascii="Arial" w:hAnsi="Arial" w:cs="Arial"/>
          <w:noProof/>
          <w:szCs w:val="24"/>
        </w:rPr>
        <w:t>(15), 2714–2723. https://doi.org/10.1002/elps.1150181505</w:t>
      </w:r>
    </w:p>
    <w:p w14:paraId="0624DAF1"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Hayes, J. D., Dinkova-Kostova, A. T., &amp; Tew, K. D. (2020). Oxidative Stress in Cancer. </w:t>
      </w:r>
      <w:r w:rsidRPr="00E772A2">
        <w:rPr>
          <w:rFonts w:ascii="Arial" w:hAnsi="Arial" w:cs="Arial"/>
          <w:i/>
          <w:iCs/>
          <w:noProof/>
          <w:szCs w:val="24"/>
        </w:rPr>
        <w:t>Cancer Cell</w:t>
      </w:r>
      <w:r w:rsidRPr="00E772A2">
        <w:rPr>
          <w:rFonts w:ascii="Arial" w:hAnsi="Arial" w:cs="Arial"/>
          <w:noProof/>
          <w:szCs w:val="24"/>
        </w:rPr>
        <w:t xml:space="preserve">, </w:t>
      </w:r>
      <w:r w:rsidRPr="00E772A2">
        <w:rPr>
          <w:rFonts w:ascii="Arial" w:hAnsi="Arial" w:cs="Arial"/>
          <w:i/>
          <w:iCs/>
          <w:noProof/>
          <w:szCs w:val="24"/>
        </w:rPr>
        <w:t>38</w:t>
      </w:r>
      <w:r w:rsidRPr="00E772A2">
        <w:rPr>
          <w:rFonts w:ascii="Arial" w:hAnsi="Arial" w:cs="Arial"/>
          <w:noProof/>
          <w:szCs w:val="24"/>
        </w:rPr>
        <w:t>(2), 167–197. https://doi.org/10.1016/j.ccell.2020.06.001</w:t>
      </w:r>
    </w:p>
    <w:p w14:paraId="4EF01070"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Herowati, R., &amp; Widodo, G. P. (2014). Molecular Docking Studies of Chemical Constituents of Tinospora cordifolia on Glycogen Phosphorylase. </w:t>
      </w:r>
      <w:r w:rsidRPr="00E772A2">
        <w:rPr>
          <w:rFonts w:ascii="Arial" w:hAnsi="Arial" w:cs="Arial"/>
          <w:i/>
          <w:iCs/>
          <w:noProof/>
          <w:szCs w:val="24"/>
        </w:rPr>
        <w:t>Procedia Chemistry</w:t>
      </w:r>
      <w:r w:rsidRPr="00E772A2">
        <w:rPr>
          <w:rFonts w:ascii="Arial" w:hAnsi="Arial" w:cs="Arial"/>
          <w:noProof/>
          <w:szCs w:val="24"/>
        </w:rPr>
        <w:t xml:space="preserve">, </w:t>
      </w:r>
      <w:r w:rsidRPr="00E772A2">
        <w:rPr>
          <w:rFonts w:ascii="Arial" w:hAnsi="Arial" w:cs="Arial"/>
          <w:i/>
          <w:iCs/>
          <w:noProof/>
          <w:szCs w:val="24"/>
        </w:rPr>
        <w:t>13</w:t>
      </w:r>
      <w:r w:rsidRPr="00E772A2">
        <w:rPr>
          <w:rFonts w:ascii="Arial" w:hAnsi="Arial" w:cs="Arial"/>
          <w:noProof/>
          <w:szCs w:val="24"/>
        </w:rPr>
        <w:t>, 63–68. https://doi.org/10.1016/j.proche.2014.12.007</w:t>
      </w:r>
    </w:p>
    <w:p w14:paraId="6AB37E10"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Hossen, S. M. M., Hossain, M. S., Akbar, S., Tahmida, U., Mawa, J., &amp; Emon, N. U. (2021). Wild mushrooms showed analgesic and cytotoxic properties along with phytoconstituent’s binding affinity to COX-1, COX-2 and cytochrome P450 2C9. </w:t>
      </w:r>
      <w:r w:rsidRPr="00E772A2">
        <w:rPr>
          <w:rFonts w:ascii="Arial" w:hAnsi="Arial" w:cs="Arial"/>
          <w:i/>
          <w:iCs/>
          <w:noProof/>
          <w:szCs w:val="24"/>
        </w:rPr>
        <w:t>Heliyon</w:t>
      </w:r>
      <w:r w:rsidRPr="00E772A2">
        <w:rPr>
          <w:rFonts w:ascii="Arial" w:hAnsi="Arial" w:cs="Arial"/>
          <w:noProof/>
          <w:szCs w:val="24"/>
        </w:rPr>
        <w:t xml:space="preserve">, </w:t>
      </w:r>
      <w:r w:rsidRPr="00E772A2">
        <w:rPr>
          <w:rFonts w:ascii="Arial" w:hAnsi="Arial" w:cs="Arial"/>
          <w:i/>
          <w:iCs/>
          <w:noProof/>
          <w:szCs w:val="24"/>
        </w:rPr>
        <w:t>7</w:t>
      </w:r>
      <w:r w:rsidRPr="00E772A2">
        <w:rPr>
          <w:rFonts w:ascii="Arial" w:hAnsi="Arial" w:cs="Arial"/>
          <w:noProof/>
          <w:szCs w:val="24"/>
        </w:rPr>
        <w:t>(9), e07997. https://doi.org/10.1016/j.heliyon.2021.e07997</w:t>
      </w:r>
    </w:p>
    <w:p w14:paraId="02F822CD"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Hossen, S. M. M., Hossain, M. S., Yusuf, A. T. M., Chaudhary, P., Emon, N. U., &amp; Janmeda, P. (2022). Profiling of phytochemical and antioxidant activity of wild mushrooms: Evidence from the in vitro study and phytoconstituent’s binding affinity to the human erythrocyte catalase and human glutathione reductase. </w:t>
      </w:r>
      <w:r w:rsidRPr="00E772A2">
        <w:rPr>
          <w:rFonts w:ascii="Arial" w:hAnsi="Arial" w:cs="Arial"/>
          <w:i/>
          <w:iCs/>
          <w:noProof/>
          <w:szCs w:val="24"/>
        </w:rPr>
        <w:t>Food Science and Nutrition</w:t>
      </w:r>
      <w:r w:rsidRPr="00E772A2">
        <w:rPr>
          <w:rFonts w:ascii="Arial" w:hAnsi="Arial" w:cs="Arial"/>
          <w:noProof/>
          <w:szCs w:val="24"/>
        </w:rPr>
        <w:t xml:space="preserve">, </w:t>
      </w:r>
      <w:r w:rsidRPr="00E772A2">
        <w:rPr>
          <w:rFonts w:ascii="Arial" w:hAnsi="Arial" w:cs="Arial"/>
          <w:i/>
          <w:iCs/>
          <w:noProof/>
          <w:szCs w:val="24"/>
        </w:rPr>
        <w:t>10</w:t>
      </w:r>
      <w:r w:rsidRPr="00E772A2">
        <w:rPr>
          <w:rFonts w:ascii="Arial" w:hAnsi="Arial" w:cs="Arial"/>
          <w:noProof/>
          <w:szCs w:val="24"/>
        </w:rPr>
        <w:t>(1), 88–102. https://doi.org/10.1002/fsn3.2650</w:t>
      </w:r>
    </w:p>
    <w:p w14:paraId="045BD709"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Islam, M. R., Naima, J., Proma, N. M., Hussain, M. S., Uddin, S. M. N., &amp; Hossain, M. K. (2019). In-vivo and in-vitro evaluation of pharmacological activities of Ardisia solanacea leaf extract. </w:t>
      </w:r>
      <w:r w:rsidRPr="00E772A2">
        <w:rPr>
          <w:rFonts w:ascii="Arial" w:hAnsi="Arial" w:cs="Arial"/>
          <w:i/>
          <w:iCs/>
          <w:noProof/>
          <w:szCs w:val="24"/>
        </w:rPr>
        <w:t>Clinical Phytoscience</w:t>
      </w:r>
      <w:r w:rsidRPr="00E772A2">
        <w:rPr>
          <w:rFonts w:ascii="Arial" w:hAnsi="Arial" w:cs="Arial"/>
          <w:noProof/>
          <w:szCs w:val="24"/>
        </w:rPr>
        <w:t xml:space="preserve">, </w:t>
      </w:r>
      <w:r w:rsidRPr="00E772A2">
        <w:rPr>
          <w:rFonts w:ascii="Arial" w:hAnsi="Arial" w:cs="Arial"/>
          <w:i/>
          <w:iCs/>
          <w:noProof/>
          <w:szCs w:val="24"/>
        </w:rPr>
        <w:t>5</w:t>
      </w:r>
      <w:r w:rsidRPr="00E772A2">
        <w:rPr>
          <w:rFonts w:ascii="Arial" w:hAnsi="Arial" w:cs="Arial"/>
          <w:noProof/>
          <w:szCs w:val="24"/>
        </w:rPr>
        <w:t>(1). https://doi.org/10.1186/s40816-019-0128-9</w:t>
      </w:r>
    </w:p>
    <w:p w14:paraId="52552F77"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Ji, K. Y., Kim, K. M., Kim, Y. H., Im, A. R., Lee, J. Y., Park, B., Na, M. K., &amp; Chae, S. (2019). The enhancing immune response and anti-inflammatory effects of Anemarrhena asphodeloides extract in RAW 264.7 cells. </w:t>
      </w:r>
      <w:r w:rsidRPr="00E772A2">
        <w:rPr>
          <w:rFonts w:ascii="Arial" w:hAnsi="Arial" w:cs="Arial"/>
          <w:i/>
          <w:iCs/>
          <w:noProof/>
          <w:szCs w:val="24"/>
        </w:rPr>
        <w:t>Phytomedicine</w:t>
      </w:r>
      <w:r w:rsidRPr="00E772A2">
        <w:rPr>
          <w:rFonts w:ascii="Arial" w:hAnsi="Arial" w:cs="Arial"/>
          <w:noProof/>
          <w:szCs w:val="24"/>
        </w:rPr>
        <w:t xml:space="preserve">, </w:t>
      </w:r>
      <w:r w:rsidRPr="00E772A2">
        <w:rPr>
          <w:rFonts w:ascii="Arial" w:hAnsi="Arial" w:cs="Arial"/>
          <w:i/>
          <w:iCs/>
          <w:noProof/>
          <w:szCs w:val="24"/>
        </w:rPr>
        <w:t>59</w:t>
      </w:r>
      <w:r w:rsidRPr="00E772A2">
        <w:rPr>
          <w:rFonts w:ascii="Arial" w:hAnsi="Arial" w:cs="Arial"/>
          <w:noProof/>
          <w:szCs w:val="24"/>
        </w:rPr>
        <w:t>. https://doi.org/10.1016/j.phymed.2018.12.012</w:t>
      </w:r>
    </w:p>
    <w:p w14:paraId="290AC5BD"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Joshi, P. R., Paudel, M. R., Chand, M. B., Pradhan, S., Pant, K. K., Joshi, G. P., Bohara, M., Wagner, S. H., Pant, B., &amp; Pant, B. (2020). Cytotoxic effect of selected wild orchids on two different human cancer cell lines. </w:t>
      </w:r>
      <w:r w:rsidRPr="00E772A2">
        <w:rPr>
          <w:rFonts w:ascii="Arial" w:hAnsi="Arial" w:cs="Arial"/>
          <w:i/>
          <w:iCs/>
          <w:noProof/>
          <w:szCs w:val="24"/>
        </w:rPr>
        <w:t>Heliyon</w:t>
      </w:r>
      <w:r w:rsidRPr="00E772A2">
        <w:rPr>
          <w:rFonts w:ascii="Arial" w:hAnsi="Arial" w:cs="Arial"/>
          <w:noProof/>
          <w:szCs w:val="24"/>
        </w:rPr>
        <w:t xml:space="preserve">, </w:t>
      </w:r>
      <w:r w:rsidRPr="00E772A2">
        <w:rPr>
          <w:rFonts w:ascii="Arial" w:hAnsi="Arial" w:cs="Arial"/>
          <w:i/>
          <w:iCs/>
          <w:noProof/>
          <w:szCs w:val="24"/>
        </w:rPr>
        <w:t>6</w:t>
      </w:r>
      <w:r w:rsidRPr="00E772A2">
        <w:rPr>
          <w:rFonts w:ascii="Arial" w:hAnsi="Arial" w:cs="Arial"/>
          <w:noProof/>
          <w:szCs w:val="24"/>
        </w:rPr>
        <w:t>(5), e03991. https://doi.org/10.1016/j.heliyon.2020.e03991</w:t>
      </w:r>
    </w:p>
    <w:p w14:paraId="1D50A9DF"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Karim, M. A., Islam, M. A., Islam, M. M., Rahman, M. S., Sultana, S., Biswas, S., Hosen, M. J., Mazumder, K., Rahman, M. M., &amp; Hasan, M. N. (2020). Evaluation of antioxidant, anti-hemolytic, cytotoxic effects and anti-bacterial activity of selected mangrove plants (Bruguiera gymnorrhiza and Heritiera littoralis) in Bangladesh. </w:t>
      </w:r>
      <w:r w:rsidRPr="00E772A2">
        <w:rPr>
          <w:rFonts w:ascii="Arial" w:hAnsi="Arial" w:cs="Arial"/>
          <w:i/>
          <w:iCs/>
          <w:noProof/>
          <w:szCs w:val="24"/>
        </w:rPr>
        <w:t>Clinical Phytoscience</w:t>
      </w:r>
      <w:r w:rsidRPr="00E772A2">
        <w:rPr>
          <w:rFonts w:ascii="Arial" w:hAnsi="Arial" w:cs="Arial"/>
          <w:noProof/>
          <w:szCs w:val="24"/>
        </w:rPr>
        <w:t xml:space="preserve">, </w:t>
      </w:r>
      <w:r w:rsidRPr="00E772A2">
        <w:rPr>
          <w:rFonts w:ascii="Arial" w:hAnsi="Arial" w:cs="Arial"/>
          <w:i/>
          <w:iCs/>
          <w:noProof/>
          <w:szCs w:val="24"/>
        </w:rPr>
        <w:t>6</w:t>
      </w:r>
      <w:r w:rsidRPr="00E772A2">
        <w:rPr>
          <w:rFonts w:ascii="Arial" w:hAnsi="Arial" w:cs="Arial"/>
          <w:noProof/>
          <w:szCs w:val="24"/>
        </w:rPr>
        <w:t>(1). https://doi.org/10.1186/s40816-020-0152-9</w:t>
      </w:r>
    </w:p>
    <w:p w14:paraId="3A918B0E"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Khan, S., Nazir, M., Raiz, N., Saleem, M., Zengin, G., Fazal, G., Saleem, H., Mukhtar, M., Tousif, M. I., Tareen, R. B., Abdallah, H. H., &amp; Mahomoodally, F. M. (2019). Phytochemical profiling, in vitro biological properties and in silico studies on Caragana ambigua stocks (Fabaceae): A comprehensive approach. </w:t>
      </w:r>
      <w:r w:rsidRPr="00E772A2">
        <w:rPr>
          <w:rFonts w:ascii="Arial" w:hAnsi="Arial" w:cs="Arial"/>
          <w:i/>
          <w:iCs/>
          <w:noProof/>
          <w:szCs w:val="24"/>
        </w:rPr>
        <w:t xml:space="preserve">Industrial Crops and </w:t>
      </w:r>
      <w:r w:rsidRPr="00E772A2">
        <w:rPr>
          <w:rFonts w:ascii="Arial" w:hAnsi="Arial" w:cs="Arial"/>
          <w:i/>
          <w:iCs/>
          <w:noProof/>
          <w:szCs w:val="24"/>
        </w:rPr>
        <w:lastRenderedPageBreak/>
        <w:t>Products</w:t>
      </w:r>
      <w:r w:rsidRPr="00E772A2">
        <w:rPr>
          <w:rFonts w:ascii="Arial" w:hAnsi="Arial" w:cs="Arial"/>
          <w:noProof/>
          <w:szCs w:val="24"/>
        </w:rPr>
        <w:t xml:space="preserve">, </w:t>
      </w:r>
      <w:r w:rsidRPr="00E772A2">
        <w:rPr>
          <w:rFonts w:ascii="Arial" w:hAnsi="Arial" w:cs="Arial"/>
          <w:i/>
          <w:iCs/>
          <w:noProof/>
          <w:szCs w:val="24"/>
        </w:rPr>
        <w:t>131</w:t>
      </w:r>
      <w:r w:rsidRPr="00E772A2">
        <w:rPr>
          <w:rFonts w:ascii="Arial" w:hAnsi="Arial" w:cs="Arial"/>
          <w:noProof/>
          <w:szCs w:val="24"/>
        </w:rPr>
        <w:t>(January), 117–124. https://doi.org/10.1016/j.indcrop.2019.01.044</w:t>
      </w:r>
    </w:p>
    <w:p w14:paraId="7C907704"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D4020A">
        <w:rPr>
          <w:rFonts w:ascii="Arial" w:hAnsi="Arial" w:cs="Arial"/>
          <w:noProof/>
          <w:szCs w:val="24"/>
          <w:lang w:val="es-ES"/>
        </w:rPr>
        <w:t xml:space="preserve">Liguori, I., Russo, G., Curcio, F., Bulli, G., Aran, L., Della-Morte, D., Gargiulo, G., Testa, G., Cacciatore, F., Bonaduce, D., &amp; Abete, P. (2018). </w:t>
      </w:r>
      <w:r w:rsidRPr="00E772A2">
        <w:rPr>
          <w:rFonts w:ascii="Arial" w:hAnsi="Arial" w:cs="Arial"/>
          <w:noProof/>
          <w:szCs w:val="24"/>
        </w:rPr>
        <w:t xml:space="preserve">Oxidative stress, aging, and diseases. </w:t>
      </w:r>
      <w:r w:rsidRPr="00E772A2">
        <w:rPr>
          <w:rFonts w:ascii="Arial" w:hAnsi="Arial" w:cs="Arial"/>
          <w:i/>
          <w:iCs/>
          <w:noProof/>
          <w:szCs w:val="24"/>
        </w:rPr>
        <w:t>Clinical Interventions in Aging</w:t>
      </w:r>
      <w:r w:rsidRPr="00E772A2">
        <w:rPr>
          <w:rFonts w:ascii="Arial" w:hAnsi="Arial" w:cs="Arial"/>
          <w:noProof/>
          <w:szCs w:val="24"/>
        </w:rPr>
        <w:t xml:space="preserve">, </w:t>
      </w:r>
      <w:r w:rsidRPr="00E772A2">
        <w:rPr>
          <w:rFonts w:ascii="Arial" w:hAnsi="Arial" w:cs="Arial"/>
          <w:i/>
          <w:iCs/>
          <w:noProof/>
          <w:szCs w:val="24"/>
        </w:rPr>
        <w:t>13</w:t>
      </w:r>
      <w:r w:rsidRPr="00E772A2">
        <w:rPr>
          <w:rFonts w:ascii="Arial" w:hAnsi="Arial" w:cs="Arial"/>
          <w:noProof/>
          <w:szCs w:val="24"/>
        </w:rPr>
        <w:t>, 757–772. https://doi.org/10.2147/CIA.S158513</w:t>
      </w:r>
    </w:p>
    <w:p w14:paraId="4D32D9FA"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D4020A">
        <w:rPr>
          <w:rFonts w:ascii="Arial" w:hAnsi="Arial" w:cs="Arial"/>
          <w:noProof/>
          <w:szCs w:val="24"/>
          <w:lang w:val="es-ES"/>
        </w:rPr>
        <w:t xml:space="preserve">Lipinski, C. A., Lombardo, F., Dominy, B. W., &amp; Feeney, P. J. (2012). </w:t>
      </w:r>
      <w:r w:rsidRPr="00E772A2">
        <w:rPr>
          <w:rFonts w:ascii="Arial" w:hAnsi="Arial" w:cs="Arial"/>
          <w:noProof/>
          <w:szCs w:val="24"/>
        </w:rPr>
        <w:t xml:space="preserve">Experimental and computational approaches to estimate solubility and permeability in drug discovery and development settings. </w:t>
      </w:r>
      <w:r w:rsidRPr="00E772A2">
        <w:rPr>
          <w:rFonts w:ascii="Arial" w:hAnsi="Arial" w:cs="Arial"/>
          <w:i/>
          <w:iCs/>
          <w:noProof/>
          <w:szCs w:val="24"/>
        </w:rPr>
        <w:t>Advanced Drug Delivery Reviews</w:t>
      </w:r>
      <w:r w:rsidRPr="00E772A2">
        <w:rPr>
          <w:rFonts w:ascii="Arial" w:hAnsi="Arial" w:cs="Arial"/>
          <w:noProof/>
          <w:szCs w:val="24"/>
        </w:rPr>
        <w:t xml:space="preserve">, </w:t>
      </w:r>
      <w:r w:rsidRPr="00E772A2">
        <w:rPr>
          <w:rFonts w:ascii="Arial" w:hAnsi="Arial" w:cs="Arial"/>
          <w:i/>
          <w:iCs/>
          <w:noProof/>
          <w:szCs w:val="24"/>
        </w:rPr>
        <w:t>64</w:t>
      </w:r>
      <w:r w:rsidRPr="00E772A2">
        <w:rPr>
          <w:rFonts w:ascii="Arial" w:hAnsi="Arial" w:cs="Arial"/>
          <w:noProof/>
          <w:szCs w:val="24"/>
        </w:rPr>
        <w:t>(SUPPL.), 4–17. https://doi.org/10.1016/j.addr.2012.09.019</w:t>
      </w:r>
    </w:p>
    <w:p w14:paraId="32E11986"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Mazumder, M. K., Choudhury, S., &amp; Borah, A. (2019). An in silico investigation on the inhibitory potential of the constituents of Pomegranate juice on antioxidant defense mechanism: Relevance to neurodegenerative diseases. </w:t>
      </w:r>
      <w:r w:rsidRPr="00E772A2">
        <w:rPr>
          <w:rFonts w:ascii="Arial" w:hAnsi="Arial" w:cs="Arial"/>
          <w:i/>
          <w:iCs/>
          <w:noProof/>
          <w:szCs w:val="24"/>
        </w:rPr>
        <w:t>IBRO Reports</w:t>
      </w:r>
      <w:r w:rsidRPr="00E772A2">
        <w:rPr>
          <w:rFonts w:ascii="Arial" w:hAnsi="Arial" w:cs="Arial"/>
          <w:noProof/>
          <w:szCs w:val="24"/>
        </w:rPr>
        <w:t xml:space="preserve">, </w:t>
      </w:r>
      <w:r w:rsidRPr="00E772A2">
        <w:rPr>
          <w:rFonts w:ascii="Arial" w:hAnsi="Arial" w:cs="Arial"/>
          <w:i/>
          <w:iCs/>
          <w:noProof/>
          <w:szCs w:val="24"/>
        </w:rPr>
        <w:t>6</w:t>
      </w:r>
      <w:r w:rsidRPr="00E772A2">
        <w:rPr>
          <w:rFonts w:ascii="Arial" w:hAnsi="Arial" w:cs="Arial"/>
          <w:noProof/>
          <w:szCs w:val="24"/>
        </w:rPr>
        <w:t>(May), 153–159. https://doi.org/10.1016/j.ibror.2019.05.003</w:t>
      </w:r>
    </w:p>
    <w:p w14:paraId="009CEB05"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Meyer, B. N., Ferrigni, N. R., Putnam, J. E., Jacobsen, L. B., Nichols, D. E., &amp; McLaughlin, J. L. (1982). Brine shrimp: A convenient general bioassay for active plant constituents. </w:t>
      </w:r>
      <w:r w:rsidRPr="00E772A2">
        <w:rPr>
          <w:rFonts w:ascii="Arial" w:hAnsi="Arial" w:cs="Arial"/>
          <w:i/>
          <w:iCs/>
          <w:noProof/>
          <w:szCs w:val="24"/>
        </w:rPr>
        <w:t>Planta Medica</w:t>
      </w:r>
      <w:r w:rsidRPr="00E772A2">
        <w:rPr>
          <w:rFonts w:ascii="Arial" w:hAnsi="Arial" w:cs="Arial"/>
          <w:noProof/>
          <w:szCs w:val="24"/>
        </w:rPr>
        <w:t xml:space="preserve">, </w:t>
      </w:r>
      <w:r w:rsidRPr="00E772A2">
        <w:rPr>
          <w:rFonts w:ascii="Arial" w:hAnsi="Arial" w:cs="Arial"/>
          <w:i/>
          <w:iCs/>
          <w:noProof/>
          <w:szCs w:val="24"/>
        </w:rPr>
        <w:t>45</w:t>
      </w:r>
      <w:r w:rsidRPr="00E772A2">
        <w:rPr>
          <w:rFonts w:ascii="Arial" w:hAnsi="Arial" w:cs="Arial"/>
          <w:noProof/>
          <w:szCs w:val="24"/>
        </w:rPr>
        <w:t>(1), 31–34. https://doi.org/10.1055/s-2007-971236</w:t>
      </w:r>
    </w:p>
    <w:p w14:paraId="1EF0E148"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Moazzem Hossen, S. M., Akramul Hoque Tanim, M., Shahadat Hossain, M., Ahmed Sami, S., &amp; Uddin Emon, N. (2021). Deciphering the CNS anti-depressant, antioxidant and cytotoxic profiling of methanol and aqueous extracts of Trametes versicolor and molecular interactions of its phenolic compounds. </w:t>
      </w:r>
      <w:r w:rsidRPr="00E772A2">
        <w:rPr>
          <w:rFonts w:ascii="Arial" w:hAnsi="Arial" w:cs="Arial"/>
          <w:i/>
          <w:iCs/>
          <w:noProof/>
          <w:szCs w:val="24"/>
        </w:rPr>
        <w:t>Saudi Journal of Biological Sciences</w:t>
      </w:r>
      <w:r w:rsidRPr="00E772A2">
        <w:rPr>
          <w:rFonts w:ascii="Arial" w:hAnsi="Arial" w:cs="Arial"/>
          <w:noProof/>
          <w:szCs w:val="24"/>
        </w:rPr>
        <w:t xml:space="preserve">, </w:t>
      </w:r>
      <w:r w:rsidRPr="00E772A2">
        <w:rPr>
          <w:rFonts w:ascii="Arial" w:hAnsi="Arial" w:cs="Arial"/>
          <w:i/>
          <w:iCs/>
          <w:noProof/>
          <w:szCs w:val="24"/>
        </w:rPr>
        <w:t>28</w:t>
      </w:r>
      <w:r w:rsidRPr="00E772A2">
        <w:rPr>
          <w:rFonts w:ascii="Arial" w:hAnsi="Arial" w:cs="Arial"/>
          <w:noProof/>
          <w:szCs w:val="24"/>
        </w:rPr>
        <w:t>(11), 6375–6383. https://doi.org/10.1016/j.sjbs.2021.07.016</w:t>
      </w:r>
    </w:p>
    <w:p w14:paraId="19FF3F0E"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Muhammad, A., Khan, B., Iqbal, Z., Khan, A. Z., Khan, I., Khan, K., Alamzeb, M., Ahmad, N., Khan, K., Lal Badshah, S., Ullah, A., Muhammad, S., Jan, M. T., Nadeem, S., &amp; Kabir, N. (2019). Viscosine as a Potent and Safe Antipyretic Agent Evaluated by Yeast-Induced Pyrexia Model and Molecular Docking Studies. </w:t>
      </w:r>
      <w:r w:rsidRPr="00E772A2">
        <w:rPr>
          <w:rFonts w:ascii="Arial" w:hAnsi="Arial" w:cs="Arial"/>
          <w:i/>
          <w:iCs/>
          <w:noProof/>
          <w:szCs w:val="24"/>
        </w:rPr>
        <w:t>ACS Omega</w:t>
      </w:r>
      <w:r w:rsidRPr="00E772A2">
        <w:rPr>
          <w:rFonts w:ascii="Arial" w:hAnsi="Arial" w:cs="Arial"/>
          <w:noProof/>
          <w:szCs w:val="24"/>
        </w:rPr>
        <w:t xml:space="preserve">, </w:t>
      </w:r>
      <w:r w:rsidRPr="00E772A2">
        <w:rPr>
          <w:rFonts w:ascii="Arial" w:hAnsi="Arial" w:cs="Arial"/>
          <w:i/>
          <w:iCs/>
          <w:noProof/>
          <w:szCs w:val="24"/>
        </w:rPr>
        <w:t>4</w:t>
      </w:r>
      <w:r w:rsidRPr="00E772A2">
        <w:rPr>
          <w:rFonts w:ascii="Arial" w:hAnsi="Arial" w:cs="Arial"/>
          <w:noProof/>
          <w:szCs w:val="24"/>
        </w:rPr>
        <w:t>(10), 14188–14192. https://doi.org/10.1021/acsomega.9b01041</w:t>
      </w:r>
    </w:p>
    <w:p w14:paraId="7022CE64"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Najmi, A., Javed, S. A., Al Bratty, M., &amp; Alhazmi, H. A. (2022). Modern Approaches in the Discovery and Development of Plant-Based Natural Products and Their Analogues as Potential Therapeutic Agents. </w:t>
      </w:r>
      <w:r w:rsidRPr="00E772A2">
        <w:rPr>
          <w:rFonts w:ascii="Arial" w:hAnsi="Arial" w:cs="Arial"/>
          <w:i/>
          <w:iCs/>
          <w:noProof/>
          <w:szCs w:val="24"/>
        </w:rPr>
        <w:t>Molecules</w:t>
      </w:r>
      <w:r w:rsidRPr="00E772A2">
        <w:rPr>
          <w:rFonts w:ascii="Arial" w:hAnsi="Arial" w:cs="Arial"/>
          <w:noProof/>
          <w:szCs w:val="24"/>
        </w:rPr>
        <w:t xml:space="preserve">, </w:t>
      </w:r>
      <w:r w:rsidRPr="00E772A2">
        <w:rPr>
          <w:rFonts w:ascii="Arial" w:hAnsi="Arial" w:cs="Arial"/>
          <w:i/>
          <w:iCs/>
          <w:noProof/>
          <w:szCs w:val="24"/>
        </w:rPr>
        <w:t>27</w:t>
      </w:r>
      <w:r w:rsidRPr="00E772A2">
        <w:rPr>
          <w:rFonts w:ascii="Arial" w:hAnsi="Arial" w:cs="Arial"/>
          <w:noProof/>
          <w:szCs w:val="24"/>
        </w:rPr>
        <w:t>(2). https://doi.org/10.3390/molecules27020349</w:t>
      </w:r>
    </w:p>
    <w:p w14:paraId="0254D3C5"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Nguyen, T. Q. C., Binh, T. D., Pham, T. L. A., Nguyen, Y. D. H., Trang, D. T. X., Nguyen, T. T., Kanaori, K., &amp; Kamei, K. (2020). Anti-inflammatory effects of lasia spinosa leaf extract in lipopolysaccharide-induced raw 264.7 macrophages. </w:t>
      </w:r>
      <w:r w:rsidRPr="00E772A2">
        <w:rPr>
          <w:rFonts w:ascii="Arial" w:hAnsi="Arial" w:cs="Arial"/>
          <w:i/>
          <w:iCs/>
          <w:noProof/>
          <w:szCs w:val="24"/>
        </w:rPr>
        <w:t>International Journal of Molecular Sciences</w:t>
      </w:r>
      <w:r w:rsidRPr="00E772A2">
        <w:rPr>
          <w:rFonts w:ascii="Arial" w:hAnsi="Arial" w:cs="Arial"/>
          <w:noProof/>
          <w:szCs w:val="24"/>
        </w:rPr>
        <w:t xml:space="preserve">, </w:t>
      </w:r>
      <w:r w:rsidRPr="00E772A2">
        <w:rPr>
          <w:rFonts w:ascii="Arial" w:hAnsi="Arial" w:cs="Arial"/>
          <w:i/>
          <w:iCs/>
          <w:noProof/>
          <w:szCs w:val="24"/>
        </w:rPr>
        <w:t>21</w:t>
      </w:r>
      <w:r w:rsidRPr="00E772A2">
        <w:rPr>
          <w:rFonts w:ascii="Arial" w:hAnsi="Arial" w:cs="Arial"/>
          <w:noProof/>
          <w:szCs w:val="24"/>
        </w:rPr>
        <w:t>(10). https://doi.org/10.3390/ijms21103439</w:t>
      </w:r>
    </w:p>
    <w:p w14:paraId="0B4CEAFC"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Nkadimeng, S. M., Nabatanzi, A., Steinmann, C. M. L., &amp; Eloff, J. N. (2020). Phytochemical, cytotoxicity, antioxidant and anti-inflammatory effects of psilocybe natalensis magic mushroom. </w:t>
      </w:r>
      <w:r w:rsidRPr="00E772A2">
        <w:rPr>
          <w:rFonts w:ascii="Arial" w:hAnsi="Arial" w:cs="Arial"/>
          <w:i/>
          <w:iCs/>
          <w:noProof/>
          <w:szCs w:val="24"/>
        </w:rPr>
        <w:t>Plants</w:t>
      </w:r>
      <w:r w:rsidRPr="00E772A2">
        <w:rPr>
          <w:rFonts w:ascii="Arial" w:hAnsi="Arial" w:cs="Arial"/>
          <w:noProof/>
          <w:szCs w:val="24"/>
        </w:rPr>
        <w:t xml:space="preserve">, </w:t>
      </w:r>
      <w:r w:rsidRPr="00E772A2">
        <w:rPr>
          <w:rFonts w:ascii="Arial" w:hAnsi="Arial" w:cs="Arial"/>
          <w:i/>
          <w:iCs/>
          <w:noProof/>
          <w:szCs w:val="24"/>
        </w:rPr>
        <w:t>9</w:t>
      </w:r>
      <w:r w:rsidRPr="00E772A2">
        <w:rPr>
          <w:rFonts w:ascii="Arial" w:hAnsi="Arial" w:cs="Arial"/>
          <w:noProof/>
          <w:szCs w:val="24"/>
        </w:rPr>
        <w:t>(9), 1–13. https://doi.org/10.3390/plants9091127</w:t>
      </w:r>
    </w:p>
    <w:p w14:paraId="20DF84CA"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Numanovich, A. I., &amp; Abbosxonovich, M. A. (2020). THE ANALYSIS OF LANDS IN SECURITY ZONES OF HIGH-VOLTAGE POWER LINES (POWER LINE) ON THE EXAMPLE OF THE FERGANA REGION PhD of Fergana polytechnic institute, Uzbekistan PhD applicant of Fergana polytechnic institute, Uzbekistan. </w:t>
      </w:r>
      <w:r w:rsidRPr="00E772A2">
        <w:rPr>
          <w:rFonts w:ascii="Arial" w:hAnsi="Arial" w:cs="Arial"/>
          <w:i/>
          <w:iCs/>
          <w:noProof/>
          <w:szCs w:val="24"/>
        </w:rPr>
        <w:t>EPRA International Journal of Multidisciplinary Research (IJMR)-Peer Reviewed Journal</w:t>
      </w:r>
      <w:r w:rsidRPr="00E772A2">
        <w:rPr>
          <w:rFonts w:ascii="Arial" w:hAnsi="Arial" w:cs="Arial"/>
          <w:noProof/>
          <w:szCs w:val="24"/>
        </w:rPr>
        <w:t xml:space="preserve">, </w:t>
      </w:r>
      <w:r w:rsidRPr="00E772A2">
        <w:rPr>
          <w:rFonts w:ascii="Arial" w:hAnsi="Arial" w:cs="Arial"/>
          <w:i/>
          <w:iCs/>
          <w:noProof/>
          <w:szCs w:val="24"/>
        </w:rPr>
        <w:t>2</w:t>
      </w:r>
      <w:r w:rsidRPr="00E772A2">
        <w:rPr>
          <w:rFonts w:ascii="Arial" w:hAnsi="Arial" w:cs="Arial"/>
          <w:noProof/>
          <w:szCs w:val="24"/>
        </w:rPr>
        <w:t>, 198–210. https://doi.org/10.36713/epra2013</w:t>
      </w:r>
    </w:p>
    <w:p w14:paraId="39F60F8B" w14:textId="77777777" w:rsidR="00E772A2" w:rsidRPr="00D4020A" w:rsidRDefault="00E772A2" w:rsidP="00A64867">
      <w:pPr>
        <w:widowControl w:val="0"/>
        <w:autoSpaceDE w:val="0"/>
        <w:autoSpaceDN w:val="0"/>
        <w:adjustRightInd w:val="0"/>
        <w:ind w:left="480" w:hanging="480"/>
        <w:jc w:val="both"/>
        <w:rPr>
          <w:rFonts w:ascii="Arial" w:hAnsi="Arial" w:cs="Arial"/>
          <w:noProof/>
          <w:szCs w:val="24"/>
          <w:lang w:val="es-ES"/>
        </w:rPr>
      </w:pPr>
      <w:r w:rsidRPr="00E772A2">
        <w:rPr>
          <w:rFonts w:ascii="Arial" w:hAnsi="Arial" w:cs="Arial"/>
          <w:noProof/>
          <w:szCs w:val="24"/>
        </w:rPr>
        <w:t xml:space="preserve">Oboh, G. (2005). Effect of blanching on the antioxidant properties of some tropical green leafy vegetables. </w:t>
      </w:r>
      <w:r w:rsidRPr="00D4020A">
        <w:rPr>
          <w:rFonts w:ascii="Arial" w:hAnsi="Arial" w:cs="Arial"/>
          <w:i/>
          <w:iCs/>
          <w:noProof/>
          <w:szCs w:val="24"/>
          <w:lang w:val="es-ES"/>
        </w:rPr>
        <w:t>Lwt</w:t>
      </w:r>
      <w:r w:rsidRPr="00D4020A">
        <w:rPr>
          <w:rFonts w:ascii="Arial" w:hAnsi="Arial" w:cs="Arial"/>
          <w:noProof/>
          <w:szCs w:val="24"/>
          <w:lang w:val="es-ES"/>
        </w:rPr>
        <w:t xml:space="preserve">, </w:t>
      </w:r>
      <w:r w:rsidRPr="00D4020A">
        <w:rPr>
          <w:rFonts w:ascii="Arial" w:hAnsi="Arial" w:cs="Arial"/>
          <w:i/>
          <w:iCs/>
          <w:noProof/>
          <w:szCs w:val="24"/>
          <w:lang w:val="es-ES"/>
        </w:rPr>
        <w:t>38</w:t>
      </w:r>
      <w:r w:rsidRPr="00D4020A">
        <w:rPr>
          <w:rFonts w:ascii="Arial" w:hAnsi="Arial" w:cs="Arial"/>
          <w:noProof/>
          <w:szCs w:val="24"/>
          <w:lang w:val="es-ES"/>
        </w:rPr>
        <w:t>(5), 513–517. https://doi.org/10.1016/j.lwt.2004.07.007</w:t>
      </w:r>
    </w:p>
    <w:p w14:paraId="2FBF0DBE"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D4020A">
        <w:rPr>
          <w:rFonts w:ascii="Arial" w:hAnsi="Arial" w:cs="Arial"/>
          <w:noProof/>
          <w:szCs w:val="24"/>
          <w:lang w:val="es-ES"/>
        </w:rPr>
        <w:t xml:space="preserve">Ramos, E. H. S., Moraes, M. M., Nerys, L. L. D. A., Nascimento, S. C., Militão, G. C. G., De Figueiredo, R. C. B. Q., Da Câmara, C. A. G., &amp; Silva, T. G. (2014). </w:t>
      </w:r>
      <w:r w:rsidRPr="00E772A2">
        <w:rPr>
          <w:rFonts w:ascii="Arial" w:hAnsi="Arial" w:cs="Arial"/>
          <w:noProof/>
          <w:szCs w:val="24"/>
        </w:rPr>
        <w:t xml:space="preserve">Chemical composition, leishmanicidal and cytotoxic activities of the essential oils from Mangifera indica L. Var. Rosa and Espada. </w:t>
      </w:r>
      <w:r w:rsidRPr="00E772A2">
        <w:rPr>
          <w:rFonts w:ascii="Arial" w:hAnsi="Arial" w:cs="Arial"/>
          <w:i/>
          <w:iCs/>
          <w:noProof/>
          <w:szCs w:val="24"/>
        </w:rPr>
        <w:t>BioMed Research International</w:t>
      </w:r>
      <w:r w:rsidRPr="00E772A2">
        <w:rPr>
          <w:rFonts w:ascii="Arial" w:hAnsi="Arial" w:cs="Arial"/>
          <w:noProof/>
          <w:szCs w:val="24"/>
        </w:rPr>
        <w:t xml:space="preserve">, </w:t>
      </w:r>
      <w:r w:rsidRPr="00E772A2">
        <w:rPr>
          <w:rFonts w:ascii="Arial" w:hAnsi="Arial" w:cs="Arial"/>
          <w:i/>
          <w:iCs/>
          <w:noProof/>
          <w:szCs w:val="24"/>
        </w:rPr>
        <w:t>2014</w:t>
      </w:r>
      <w:r w:rsidRPr="00E772A2">
        <w:rPr>
          <w:rFonts w:ascii="Arial" w:hAnsi="Arial" w:cs="Arial"/>
          <w:noProof/>
          <w:szCs w:val="24"/>
        </w:rPr>
        <w:t>. https://doi.org/10.1155/2014/734946</w:t>
      </w:r>
    </w:p>
    <w:p w14:paraId="4F7F03C5"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Rampogu, S., Baek, A., Gajula, R. G., Zeb, A., Bavi, R. S., Kumar, R., Kim, Y., Kwon, Y. J., &amp; Lee, K. W. (2018). Ginger (Zingiber officinale) phytochemicals-gingerenone-A and shogaol inhibit SaHPPK: Molecular docking, molecular dynamics simulations and in </w:t>
      </w:r>
      <w:r w:rsidRPr="00E772A2">
        <w:rPr>
          <w:rFonts w:ascii="Arial" w:hAnsi="Arial" w:cs="Arial"/>
          <w:noProof/>
          <w:szCs w:val="24"/>
        </w:rPr>
        <w:lastRenderedPageBreak/>
        <w:t xml:space="preserve">vitro approaches. </w:t>
      </w:r>
      <w:r w:rsidRPr="00E772A2">
        <w:rPr>
          <w:rFonts w:ascii="Arial" w:hAnsi="Arial" w:cs="Arial"/>
          <w:i/>
          <w:iCs/>
          <w:noProof/>
          <w:szCs w:val="24"/>
        </w:rPr>
        <w:t>Annals of Clinical Microbiology and Antimicrobials</w:t>
      </w:r>
      <w:r w:rsidRPr="00E772A2">
        <w:rPr>
          <w:rFonts w:ascii="Arial" w:hAnsi="Arial" w:cs="Arial"/>
          <w:noProof/>
          <w:szCs w:val="24"/>
        </w:rPr>
        <w:t xml:space="preserve">, </w:t>
      </w:r>
      <w:r w:rsidRPr="00E772A2">
        <w:rPr>
          <w:rFonts w:ascii="Arial" w:hAnsi="Arial" w:cs="Arial"/>
          <w:i/>
          <w:iCs/>
          <w:noProof/>
          <w:szCs w:val="24"/>
        </w:rPr>
        <w:t>17</w:t>
      </w:r>
      <w:r w:rsidRPr="00E772A2">
        <w:rPr>
          <w:rFonts w:ascii="Arial" w:hAnsi="Arial" w:cs="Arial"/>
          <w:noProof/>
          <w:szCs w:val="24"/>
        </w:rPr>
        <w:t>(1), 1–15. https://doi.org/10.1186/s12941-018-0266-9</w:t>
      </w:r>
    </w:p>
    <w:p w14:paraId="56C07CEC"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Saeed, N., Khan, M. R., &amp; Shabbir, M. (2012). Antioxidant activity, total phenolic and total flavonoid contents of whole plant extracts Torilis leptophylla L. </w:t>
      </w:r>
      <w:r w:rsidRPr="00E772A2">
        <w:rPr>
          <w:rFonts w:ascii="Arial" w:hAnsi="Arial" w:cs="Arial"/>
          <w:i/>
          <w:iCs/>
          <w:noProof/>
          <w:szCs w:val="24"/>
        </w:rPr>
        <w:t>BMC Complementary and Alternative Medicine</w:t>
      </w:r>
      <w:r w:rsidRPr="00E772A2">
        <w:rPr>
          <w:rFonts w:ascii="Arial" w:hAnsi="Arial" w:cs="Arial"/>
          <w:noProof/>
          <w:szCs w:val="24"/>
        </w:rPr>
        <w:t xml:space="preserve">, </w:t>
      </w:r>
      <w:r w:rsidRPr="00E772A2">
        <w:rPr>
          <w:rFonts w:ascii="Arial" w:hAnsi="Arial" w:cs="Arial"/>
          <w:i/>
          <w:iCs/>
          <w:noProof/>
          <w:szCs w:val="24"/>
        </w:rPr>
        <w:t>12</w:t>
      </w:r>
      <w:r w:rsidRPr="00E772A2">
        <w:rPr>
          <w:rFonts w:ascii="Arial" w:hAnsi="Arial" w:cs="Arial"/>
          <w:noProof/>
          <w:szCs w:val="24"/>
        </w:rPr>
        <w:t>. https://doi.org/10.1186/1472-6882-12-221</w:t>
      </w:r>
    </w:p>
    <w:p w14:paraId="31855A34"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Salehi, B., Martorell, M., Arbiser, J. L., Sureda, A., Martins, N., Maurya, P. K., Sharifi-Rad, M., Kumar, P., &amp; Sharifi-Rad, J. (2018). Antioxidants: Positive or negative actors? </w:t>
      </w:r>
      <w:r w:rsidRPr="00E772A2">
        <w:rPr>
          <w:rFonts w:ascii="Arial" w:hAnsi="Arial" w:cs="Arial"/>
          <w:i/>
          <w:iCs/>
          <w:noProof/>
          <w:szCs w:val="24"/>
        </w:rPr>
        <w:t>Biomolecules</w:t>
      </w:r>
      <w:r w:rsidRPr="00E772A2">
        <w:rPr>
          <w:rFonts w:ascii="Arial" w:hAnsi="Arial" w:cs="Arial"/>
          <w:noProof/>
          <w:szCs w:val="24"/>
        </w:rPr>
        <w:t xml:space="preserve">, </w:t>
      </w:r>
      <w:r w:rsidRPr="00E772A2">
        <w:rPr>
          <w:rFonts w:ascii="Arial" w:hAnsi="Arial" w:cs="Arial"/>
          <w:i/>
          <w:iCs/>
          <w:noProof/>
          <w:szCs w:val="24"/>
        </w:rPr>
        <w:t>8</w:t>
      </w:r>
      <w:r w:rsidRPr="00E772A2">
        <w:rPr>
          <w:rFonts w:ascii="Arial" w:hAnsi="Arial" w:cs="Arial"/>
          <w:noProof/>
          <w:szCs w:val="24"/>
        </w:rPr>
        <w:t>(4), 1–11. https://doi.org/10.3390/biom8040124</w:t>
      </w:r>
    </w:p>
    <w:p w14:paraId="63E24904"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Saur, I. M. L., Panstruga, R., &amp; Schulze-Lefert, P. (2021). NOD-like receptor-mediated plant immunity: from structure to cell death. </w:t>
      </w:r>
      <w:r w:rsidRPr="00E772A2">
        <w:rPr>
          <w:rFonts w:ascii="Arial" w:hAnsi="Arial" w:cs="Arial"/>
          <w:i/>
          <w:iCs/>
          <w:noProof/>
          <w:szCs w:val="24"/>
        </w:rPr>
        <w:t>Nature Reviews Immunology</w:t>
      </w:r>
      <w:r w:rsidRPr="00E772A2">
        <w:rPr>
          <w:rFonts w:ascii="Arial" w:hAnsi="Arial" w:cs="Arial"/>
          <w:noProof/>
          <w:szCs w:val="24"/>
        </w:rPr>
        <w:t xml:space="preserve">, </w:t>
      </w:r>
      <w:r w:rsidRPr="00E772A2">
        <w:rPr>
          <w:rFonts w:ascii="Arial" w:hAnsi="Arial" w:cs="Arial"/>
          <w:i/>
          <w:iCs/>
          <w:noProof/>
          <w:szCs w:val="24"/>
        </w:rPr>
        <w:t>21</w:t>
      </w:r>
      <w:r w:rsidRPr="00E772A2">
        <w:rPr>
          <w:rFonts w:ascii="Arial" w:hAnsi="Arial" w:cs="Arial"/>
          <w:noProof/>
          <w:szCs w:val="24"/>
        </w:rPr>
        <w:t>(5), 305–318. https://doi.org/10.1038/s41577-020-00473-z</w:t>
      </w:r>
    </w:p>
    <w:p w14:paraId="7B180D45"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Shifah, F., Tareq, A. M., Sayeed, M. A., Islam, M. N., Emran, T. Bin, Ullah, M. A., Mukit, M. A., &amp; Ullah, A. (2020). Antidiarrheal, cytotoxic and thrombolytic activities of methanolic extract of hedychium coccineum leaves. </w:t>
      </w:r>
      <w:r w:rsidRPr="00E772A2">
        <w:rPr>
          <w:rFonts w:ascii="Arial" w:hAnsi="Arial" w:cs="Arial"/>
          <w:i/>
          <w:iCs/>
          <w:noProof/>
          <w:szCs w:val="24"/>
        </w:rPr>
        <w:t>Journal of Advanced Biotechnology and Experimental Therapeutics</w:t>
      </w:r>
      <w:r w:rsidRPr="00E772A2">
        <w:rPr>
          <w:rFonts w:ascii="Arial" w:hAnsi="Arial" w:cs="Arial"/>
          <w:noProof/>
          <w:szCs w:val="24"/>
        </w:rPr>
        <w:t xml:space="preserve">, </w:t>
      </w:r>
      <w:r w:rsidRPr="00E772A2">
        <w:rPr>
          <w:rFonts w:ascii="Arial" w:hAnsi="Arial" w:cs="Arial"/>
          <w:i/>
          <w:iCs/>
          <w:noProof/>
          <w:szCs w:val="24"/>
        </w:rPr>
        <w:t>3</w:t>
      </w:r>
      <w:r w:rsidRPr="00E772A2">
        <w:rPr>
          <w:rFonts w:ascii="Arial" w:hAnsi="Arial" w:cs="Arial"/>
          <w:noProof/>
          <w:szCs w:val="24"/>
        </w:rPr>
        <w:t>(1), 77–83. https://doi.org/10.5455/jabet.2020.d110</w:t>
      </w:r>
    </w:p>
    <w:p w14:paraId="64C202B4"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Shoichet, B. K., McGovern, S. L., Wei, B., &amp; Irwin, J. J. (2002). Lead discovery using molecular docking. </w:t>
      </w:r>
      <w:r w:rsidRPr="00E772A2">
        <w:rPr>
          <w:rFonts w:ascii="Arial" w:hAnsi="Arial" w:cs="Arial"/>
          <w:i/>
          <w:iCs/>
          <w:noProof/>
          <w:szCs w:val="24"/>
        </w:rPr>
        <w:t>Current Opinion in Chemical Biology</w:t>
      </w:r>
      <w:r w:rsidRPr="00E772A2">
        <w:rPr>
          <w:rFonts w:ascii="Arial" w:hAnsi="Arial" w:cs="Arial"/>
          <w:noProof/>
          <w:szCs w:val="24"/>
        </w:rPr>
        <w:t xml:space="preserve">, </w:t>
      </w:r>
      <w:r w:rsidRPr="00E772A2">
        <w:rPr>
          <w:rFonts w:ascii="Arial" w:hAnsi="Arial" w:cs="Arial"/>
          <w:i/>
          <w:iCs/>
          <w:noProof/>
          <w:szCs w:val="24"/>
        </w:rPr>
        <w:t>6</w:t>
      </w:r>
      <w:r w:rsidRPr="00E772A2">
        <w:rPr>
          <w:rFonts w:ascii="Arial" w:hAnsi="Arial" w:cs="Arial"/>
          <w:noProof/>
          <w:szCs w:val="24"/>
        </w:rPr>
        <w:t>(4), 439–446. https://doi.org/10.1016/S1367-5931(02)00339-3</w:t>
      </w:r>
    </w:p>
    <w:p w14:paraId="01EEB026"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Silverman, J. A., &amp; Deitcher, S. R. (2013). Marqibo® (vincristine sulfate liposome injection) improves the pharmacokinetics and pharmacodynamics of vincristine. </w:t>
      </w:r>
      <w:r w:rsidRPr="00E772A2">
        <w:rPr>
          <w:rFonts w:ascii="Arial" w:hAnsi="Arial" w:cs="Arial"/>
          <w:i/>
          <w:iCs/>
          <w:noProof/>
          <w:szCs w:val="24"/>
        </w:rPr>
        <w:t>Cancer Chemotherapy and Pharmacology</w:t>
      </w:r>
      <w:r w:rsidRPr="00E772A2">
        <w:rPr>
          <w:rFonts w:ascii="Arial" w:hAnsi="Arial" w:cs="Arial"/>
          <w:noProof/>
          <w:szCs w:val="24"/>
        </w:rPr>
        <w:t xml:space="preserve">, </w:t>
      </w:r>
      <w:r w:rsidRPr="00E772A2">
        <w:rPr>
          <w:rFonts w:ascii="Arial" w:hAnsi="Arial" w:cs="Arial"/>
          <w:i/>
          <w:iCs/>
          <w:noProof/>
          <w:szCs w:val="24"/>
        </w:rPr>
        <w:t>71</w:t>
      </w:r>
      <w:r w:rsidRPr="00E772A2">
        <w:rPr>
          <w:rFonts w:ascii="Arial" w:hAnsi="Arial" w:cs="Arial"/>
          <w:noProof/>
          <w:szCs w:val="24"/>
        </w:rPr>
        <w:t>(3), 555–564. https://doi.org/10.1007/s00280-012-2042-4</w:t>
      </w:r>
    </w:p>
    <w:p w14:paraId="3CE865D7"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Sinha, B. K., Talukdar, A. Das, Roy, D. K., Verma, D., &amp; Choudhury, M. D. (2014). On the identity and occurrence of Ormosia robusta (Fabaceae sophorea) in India. </w:t>
      </w:r>
      <w:r w:rsidRPr="00E772A2">
        <w:rPr>
          <w:rFonts w:ascii="Arial" w:hAnsi="Arial" w:cs="Arial"/>
          <w:i/>
          <w:iCs/>
          <w:noProof/>
          <w:szCs w:val="24"/>
        </w:rPr>
        <w:t>Indian Jounrnal of Plant Sciences</w:t>
      </w:r>
      <w:r w:rsidRPr="00E772A2">
        <w:rPr>
          <w:rFonts w:ascii="Arial" w:hAnsi="Arial" w:cs="Arial"/>
          <w:noProof/>
          <w:szCs w:val="24"/>
        </w:rPr>
        <w:t xml:space="preserve">, </w:t>
      </w:r>
      <w:r w:rsidRPr="00E772A2">
        <w:rPr>
          <w:rFonts w:ascii="Arial" w:hAnsi="Arial" w:cs="Arial"/>
          <w:i/>
          <w:iCs/>
          <w:noProof/>
          <w:szCs w:val="24"/>
        </w:rPr>
        <w:t>3</w:t>
      </w:r>
      <w:r w:rsidRPr="00E772A2">
        <w:rPr>
          <w:rFonts w:ascii="Arial" w:hAnsi="Arial" w:cs="Arial"/>
          <w:noProof/>
          <w:szCs w:val="24"/>
        </w:rPr>
        <w:t>(4), 53–57.</w:t>
      </w:r>
    </w:p>
    <w:p w14:paraId="3A97C040"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Tareq, A. M., Farhad, S., Neshar Uddin, A. B. M., Hoque, M., Nasrin, M. S., Uddin, M. M. R., Hasan, M., Sultana, A., Munira, M. S., Lyzu, C., Moazzem Hossen, S. M., Ali Reza, A. S. M., &amp; Emran, T. Bin. (2020). Chemical profiles, pharmacological properties, and in silico studies provide new insights on Cycas pectinata. </w:t>
      </w:r>
      <w:r w:rsidRPr="00E772A2">
        <w:rPr>
          <w:rFonts w:ascii="Arial" w:hAnsi="Arial" w:cs="Arial"/>
          <w:i/>
          <w:iCs/>
          <w:noProof/>
          <w:szCs w:val="24"/>
        </w:rPr>
        <w:t>Heliyon</w:t>
      </w:r>
      <w:r w:rsidRPr="00E772A2">
        <w:rPr>
          <w:rFonts w:ascii="Arial" w:hAnsi="Arial" w:cs="Arial"/>
          <w:noProof/>
          <w:szCs w:val="24"/>
        </w:rPr>
        <w:t xml:space="preserve">, </w:t>
      </w:r>
      <w:r w:rsidRPr="00E772A2">
        <w:rPr>
          <w:rFonts w:ascii="Arial" w:hAnsi="Arial" w:cs="Arial"/>
          <w:i/>
          <w:iCs/>
          <w:noProof/>
          <w:szCs w:val="24"/>
        </w:rPr>
        <w:t>6</w:t>
      </w:r>
      <w:r w:rsidRPr="00E772A2">
        <w:rPr>
          <w:rFonts w:ascii="Arial" w:hAnsi="Arial" w:cs="Arial"/>
          <w:noProof/>
          <w:szCs w:val="24"/>
        </w:rPr>
        <w:t>(6), e04061. https://doi.org/10.1016/j.heliyon.2020.e04061</w:t>
      </w:r>
    </w:p>
    <w:p w14:paraId="6AB72B3E"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Tariq, A., Sadia, S., Pan, K., Ullah, I., Mussarat, S., Sun, F., Abiodun, O. O., Batbaatar, A., Li, Z., Song, D., Xiong, Q., Ullah, R., Khan, S., Basnet, B. B., Kumar, B., Islam, R., &amp; Adnan, M. (2017). A systematic review on ethnomedicines of anti-cancer plants. </w:t>
      </w:r>
      <w:r w:rsidRPr="00E772A2">
        <w:rPr>
          <w:rFonts w:ascii="Arial" w:hAnsi="Arial" w:cs="Arial"/>
          <w:i/>
          <w:iCs/>
          <w:noProof/>
          <w:szCs w:val="24"/>
        </w:rPr>
        <w:t>Phytotherapy Research</w:t>
      </w:r>
      <w:r w:rsidRPr="00E772A2">
        <w:rPr>
          <w:rFonts w:ascii="Arial" w:hAnsi="Arial" w:cs="Arial"/>
          <w:noProof/>
          <w:szCs w:val="24"/>
        </w:rPr>
        <w:t xml:space="preserve">, </w:t>
      </w:r>
      <w:r w:rsidRPr="00E772A2">
        <w:rPr>
          <w:rFonts w:ascii="Arial" w:hAnsi="Arial" w:cs="Arial"/>
          <w:i/>
          <w:iCs/>
          <w:noProof/>
          <w:szCs w:val="24"/>
        </w:rPr>
        <w:t>31</w:t>
      </w:r>
      <w:r w:rsidRPr="00E772A2">
        <w:rPr>
          <w:rFonts w:ascii="Arial" w:hAnsi="Arial" w:cs="Arial"/>
          <w:noProof/>
          <w:szCs w:val="24"/>
        </w:rPr>
        <w:t>(2), 202–264. https://doi.org/10.1002/ptr.5751</w:t>
      </w:r>
    </w:p>
    <w:p w14:paraId="1002DB1E"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Truong, D. H., Nguyen, D. H., Ta, N. T. A., Bui, A. V., Do, T. H., &amp; Nguyen, H. C. (2019). Evaluation of the use of different solvents for phytochemical constituents, antioxidants, and in vitro anti-inflammatory activities of severinia buxifolia. </w:t>
      </w:r>
      <w:r w:rsidRPr="00E772A2">
        <w:rPr>
          <w:rFonts w:ascii="Arial" w:hAnsi="Arial" w:cs="Arial"/>
          <w:i/>
          <w:iCs/>
          <w:noProof/>
          <w:szCs w:val="24"/>
        </w:rPr>
        <w:t>Journal of Food Quality</w:t>
      </w:r>
      <w:r w:rsidRPr="00E772A2">
        <w:rPr>
          <w:rFonts w:ascii="Arial" w:hAnsi="Arial" w:cs="Arial"/>
          <w:noProof/>
          <w:szCs w:val="24"/>
        </w:rPr>
        <w:t xml:space="preserve">, </w:t>
      </w:r>
      <w:r w:rsidRPr="00E772A2">
        <w:rPr>
          <w:rFonts w:ascii="Arial" w:hAnsi="Arial" w:cs="Arial"/>
          <w:i/>
          <w:iCs/>
          <w:noProof/>
          <w:szCs w:val="24"/>
        </w:rPr>
        <w:t>2019</w:t>
      </w:r>
      <w:r w:rsidRPr="00E772A2">
        <w:rPr>
          <w:rFonts w:ascii="Arial" w:hAnsi="Arial" w:cs="Arial"/>
          <w:noProof/>
          <w:szCs w:val="24"/>
        </w:rPr>
        <w:t>. https://doi.org/10.1155/2019/8178294</w:t>
      </w:r>
    </w:p>
    <w:p w14:paraId="589CCF76"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Twilley, D., Rademan, S., &amp; Lall, N. (2020). A review on traditionally used South African medicinal plants, their secondary metabolites and their potential development into anticancer agents. </w:t>
      </w:r>
      <w:r w:rsidRPr="00E772A2">
        <w:rPr>
          <w:rFonts w:ascii="Arial" w:hAnsi="Arial" w:cs="Arial"/>
          <w:i/>
          <w:iCs/>
          <w:noProof/>
          <w:szCs w:val="24"/>
        </w:rPr>
        <w:t>Journal of Ethnopharmacology</w:t>
      </w:r>
      <w:r w:rsidRPr="00E772A2">
        <w:rPr>
          <w:rFonts w:ascii="Arial" w:hAnsi="Arial" w:cs="Arial"/>
          <w:noProof/>
          <w:szCs w:val="24"/>
        </w:rPr>
        <w:t xml:space="preserve">, </w:t>
      </w:r>
      <w:r w:rsidRPr="00E772A2">
        <w:rPr>
          <w:rFonts w:ascii="Arial" w:hAnsi="Arial" w:cs="Arial"/>
          <w:i/>
          <w:iCs/>
          <w:noProof/>
          <w:szCs w:val="24"/>
        </w:rPr>
        <w:t>261</w:t>
      </w:r>
      <w:r w:rsidRPr="00E772A2">
        <w:rPr>
          <w:rFonts w:ascii="Arial" w:hAnsi="Arial" w:cs="Arial"/>
          <w:noProof/>
          <w:szCs w:val="24"/>
        </w:rPr>
        <w:t>, 113101. https://doi.org/10.1016/j.jep.2020.113101</w:t>
      </w:r>
    </w:p>
    <w:p w14:paraId="12CFB93D"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Ugbaja, C. C., Fawibe, O. O., Oyelakin, A. S., Fadimu, I. O., Ajiboye, A. A., &amp; Agboola, D. A. (2017). Comparative Phytochemical and Nutritional Composition of &amp;lt;i&amp;gt;Trichosanthes cucumerina&amp;lt;/i&amp;gt; (L.) and Some&amp;lt;i&amp;gt; Solanum lycopersicum &amp;lt;/i&amp;gt;(L.) Cultivars in Nigeria. </w:t>
      </w:r>
      <w:r w:rsidRPr="00E772A2">
        <w:rPr>
          <w:rFonts w:ascii="Arial" w:hAnsi="Arial" w:cs="Arial"/>
          <w:i/>
          <w:iCs/>
          <w:noProof/>
          <w:szCs w:val="24"/>
        </w:rPr>
        <w:t>American Journal of Plant Sciences</w:t>
      </w:r>
      <w:r w:rsidRPr="00E772A2">
        <w:rPr>
          <w:rFonts w:ascii="Arial" w:hAnsi="Arial" w:cs="Arial"/>
          <w:noProof/>
          <w:szCs w:val="24"/>
        </w:rPr>
        <w:t xml:space="preserve">, </w:t>
      </w:r>
      <w:r w:rsidRPr="00E772A2">
        <w:rPr>
          <w:rFonts w:ascii="Arial" w:hAnsi="Arial" w:cs="Arial"/>
          <w:i/>
          <w:iCs/>
          <w:noProof/>
          <w:szCs w:val="24"/>
        </w:rPr>
        <w:t>08</w:t>
      </w:r>
      <w:r w:rsidRPr="00E772A2">
        <w:rPr>
          <w:rFonts w:ascii="Arial" w:hAnsi="Arial" w:cs="Arial"/>
          <w:noProof/>
          <w:szCs w:val="24"/>
        </w:rPr>
        <w:t>(02), 297–309. https://doi.org/10.4236/ajps.2017.82021</w:t>
      </w:r>
    </w:p>
    <w:p w14:paraId="460204B2"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Xie, Z., Wang, Y., Huang, J., Qian, N., Shen, G., &amp; Chen, L. (2019). Anti-inflammatory activity of polysaccharides from Phellinus linteus by regulating the NF-κB translocation in LPS-stimulated RAW264.7 macrophages. </w:t>
      </w:r>
      <w:r w:rsidRPr="00E772A2">
        <w:rPr>
          <w:rFonts w:ascii="Arial" w:hAnsi="Arial" w:cs="Arial"/>
          <w:i/>
          <w:iCs/>
          <w:noProof/>
          <w:szCs w:val="24"/>
        </w:rPr>
        <w:t>International Journal of Biological Macromolecules</w:t>
      </w:r>
      <w:r w:rsidRPr="00E772A2">
        <w:rPr>
          <w:rFonts w:ascii="Arial" w:hAnsi="Arial" w:cs="Arial"/>
          <w:noProof/>
          <w:szCs w:val="24"/>
        </w:rPr>
        <w:t xml:space="preserve">, </w:t>
      </w:r>
      <w:r w:rsidRPr="00E772A2">
        <w:rPr>
          <w:rFonts w:ascii="Arial" w:hAnsi="Arial" w:cs="Arial"/>
          <w:i/>
          <w:iCs/>
          <w:noProof/>
          <w:szCs w:val="24"/>
        </w:rPr>
        <w:t>129</w:t>
      </w:r>
      <w:r w:rsidRPr="00E772A2">
        <w:rPr>
          <w:rFonts w:ascii="Arial" w:hAnsi="Arial" w:cs="Arial"/>
          <w:noProof/>
          <w:szCs w:val="24"/>
        </w:rPr>
        <w:t>, 61–67. https://doi.org/10.1016/j.ijbiomac.2019.02.023</w:t>
      </w:r>
    </w:p>
    <w:p w14:paraId="567AE898" w14:textId="77777777" w:rsidR="00E772A2" w:rsidRPr="00D4020A" w:rsidRDefault="00E772A2" w:rsidP="00A64867">
      <w:pPr>
        <w:widowControl w:val="0"/>
        <w:autoSpaceDE w:val="0"/>
        <w:autoSpaceDN w:val="0"/>
        <w:adjustRightInd w:val="0"/>
        <w:ind w:left="480" w:hanging="480"/>
        <w:jc w:val="both"/>
        <w:rPr>
          <w:rFonts w:ascii="Arial" w:hAnsi="Arial" w:cs="Arial"/>
          <w:noProof/>
          <w:szCs w:val="24"/>
          <w:lang w:val="es-ES"/>
        </w:rPr>
      </w:pPr>
      <w:r w:rsidRPr="00E772A2">
        <w:rPr>
          <w:rFonts w:ascii="Arial" w:hAnsi="Arial" w:cs="Arial"/>
          <w:noProof/>
          <w:szCs w:val="24"/>
        </w:rPr>
        <w:t>Yesmin, S., Paul, A., Naz, T., Rahman, A. B. M. A., Akhter, S. F., Wahed, M. I. I., Emran, T. Bin, &amp; Siddiqui, S. A. (2020). Membrane stabilization as a mechanism of the anti-</w:t>
      </w:r>
      <w:r w:rsidRPr="00E772A2">
        <w:rPr>
          <w:rFonts w:ascii="Arial" w:hAnsi="Arial" w:cs="Arial"/>
          <w:noProof/>
          <w:szCs w:val="24"/>
        </w:rPr>
        <w:lastRenderedPageBreak/>
        <w:t xml:space="preserve">inflammatory activity of ethanolic root extract of Choi (Piper chaba). </w:t>
      </w:r>
      <w:r w:rsidRPr="00D4020A">
        <w:rPr>
          <w:rFonts w:ascii="Arial" w:hAnsi="Arial" w:cs="Arial"/>
          <w:i/>
          <w:iCs/>
          <w:noProof/>
          <w:szCs w:val="24"/>
          <w:lang w:val="es-ES"/>
        </w:rPr>
        <w:t>Clinical Phytoscience</w:t>
      </w:r>
      <w:r w:rsidRPr="00D4020A">
        <w:rPr>
          <w:rFonts w:ascii="Arial" w:hAnsi="Arial" w:cs="Arial"/>
          <w:noProof/>
          <w:szCs w:val="24"/>
          <w:lang w:val="es-ES"/>
        </w:rPr>
        <w:t xml:space="preserve">, </w:t>
      </w:r>
      <w:r w:rsidRPr="00D4020A">
        <w:rPr>
          <w:rFonts w:ascii="Arial" w:hAnsi="Arial" w:cs="Arial"/>
          <w:i/>
          <w:iCs/>
          <w:noProof/>
          <w:szCs w:val="24"/>
          <w:lang w:val="es-ES"/>
        </w:rPr>
        <w:t>6</w:t>
      </w:r>
      <w:r w:rsidRPr="00D4020A">
        <w:rPr>
          <w:rFonts w:ascii="Arial" w:hAnsi="Arial" w:cs="Arial"/>
          <w:noProof/>
          <w:szCs w:val="24"/>
          <w:lang w:val="es-ES"/>
        </w:rPr>
        <w:t>(1). https://doi.org/10.1186/s40816-020-00207-7</w:t>
      </w:r>
    </w:p>
    <w:p w14:paraId="4439F772" w14:textId="77777777" w:rsidR="00E772A2" w:rsidRPr="00E772A2" w:rsidRDefault="00E772A2" w:rsidP="00A64867">
      <w:pPr>
        <w:widowControl w:val="0"/>
        <w:autoSpaceDE w:val="0"/>
        <w:autoSpaceDN w:val="0"/>
        <w:adjustRightInd w:val="0"/>
        <w:ind w:left="480" w:hanging="480"/>
        <w:jc w:val="both"/>
        <w:rPr>
          <w:rFonts w:ascii="Arial" w:hAnsi="Arial" w:cs="Arial"/>
          <w:noProof/>
        </w:rPr>
      </w:pPr>
      <w:r w:rsidRPr="00D4020A">
        <w:rPr>
          <w:rFonts w:ascii="Arial" w:hAnsi="Arial" w:cs="Arial"/>
          <w:noProof/>
          <w:szCs w:val="24"/>
          <w:lang w:val="es-ES"/>
        </w:rPr>
        <w:t xml:space="preserve">Zhang, L., Virgous, C., &amp; Si, H. (2019). </w:t>
      </w:r>
      <w:r w:rsidRPr="00E772A2">
        <w:rPr>
          <w:rFonts w:ascii="Arial" w:hAnsi="Arial" w:cs="Arial"/>
          <w:noProof/>
          <w:szCs w:val="24"/>
        </w:rPr>
        <w:t xml:space="preserve">Synergistic anti-inflammatory effects and mechanisms of combined phytochemicals. </w:t>
      </w:r>
      <w:r w:rsidRPr="00E772A2">
        <w:rPr>
          <w:rFonts w:ascii="Arial" w:hAnsi="Arial" w:cs="Arial"/>
          <w:i/>
          <w:iCs/>
          <w:noProof/>
          <w:szCs w:val="24"/>
        </w:rPr>
        <w:t>Journal of Nutritional Biochemistry</w:t>
      </w:r>
      <w:r w:rsidRPr="00E772A2">
        <w:rPr>
          <w:rFonts w:ascii="Arial" w:hAnsi="Arial" w:cs="Arial"/>
          <w:noProof/>
          <w:szCs w:val="24"/>
        </w:rPr>
        <w:t xml:space="preserve">, </w:t>
      </w:r>
      <w:r w:rsidRPr="00E772A2">
        <w:rPr>
          <w:rFonts w:ascii="Arial" w:hAnsi="Arial" w:cs="Arial"/>
          <w:i/>
          <w:iCs/>
          <w:noProof/>
          <w:szCs w:val="24"/>
        </w:rPr>
        <w:t>69</w:t>
      </w:r>
      <w:r w:rsidRPr="00E772A2">
        <w:rPr>
          <w:rFonts w:ascii="Arial" w:hAnsi="Arial" w:cs="Arial"/>
          <w:noProof/>
          <w:szCs w:val="24"/>
        </w:rPr>
        <w:t>, 19–30. https://doi.org/10.1016/j.jnutbio.2019.03.009</w:t>
      </w:r>
    </w:p>
    <w:p w14:paraId="0CE2733D" w14:textId="12253ED6" w:rsidR="00441B6F" w:rsidRDefault="009D411A" w:rsidP="00E772A2">
      <w:pPr>
        <w:widowControl w:val="0"/>
        <w:autoSpaceDE w:val="0"/>
        <w:autoSpaceDN w:val="0"/>
        <w:adjustRightInd w:val="0"/>
        <w:ind w:left="480" w:hanging="480"/>
        <w:rPr>
          <w:rFonts w:ascii="Arial" w:hAnsi="Arial" w:cs="Arial"/>
        </w:rPr>
      </w:pPr>
      <w:r>
        <w:rPr>
          <w:rFonts w:ascii="Arial" w:hAnsi="Arial" w:cs="Arial"/>
        </w:rPr>
        <w:fldChar w:fldCharType="end"/>
      </w:r>
    </w:p>
    <w:p w14:paraId="666BA06F" w14:textId="77777777" w:rsidR="00B01FCD" w:rsidRPr="00FB3A86" w:rsidRDefault="00B01FCD" w:rsidP="00441B6F">
      <w:pPr>
        <w:pStyle w:val="Reference"/>
        <w:numPr>
          <w:ilvl w:val="0"/>
          <w:numId w:val="0"/>
        </w:numPr>
        <w:spacing w:line="240" w:lineRule="auto"/>
        <w:rPr>
          <w:rFonts w:ascii="Arial" w:hAnsi="Arial" w:cs="Arial"/>
        </w:rPr>
      </w:pPr>
    </w:p>
    <w:p w14:paraId="49F6A1C8" w14:textId="77777777" w:rsidR="00B01FCD" w:rsidRDefault="00B01FCD" w:rsidP="00441B6F">
      <w:pPr>
        <w:pStyle w:val="DefAcrHead"/>
        <w:spacing w:after="0"/>
        <w:jc w:val="both"/>
        <w:rPr>
          <w:rFonts w:ascii="Arial" w:hAnsi="Arial" w:cs="Arial"/>
        </w:rPr>
      </w:pPr>
      <w:r w:rsidRPr="00FB3A86">
        <w:rPr>
          <w:rFonts w:ascii="Arial" w:hAnsi="Arial" w:cs="Arial"/>
        </w:rPr>
        <w:t>Definitions, Acronyms, Abbreviations</w:t>
      </w:r>
    </w:p>
    <w:p w14:paraId="4A29A57C" w14:textId="2BA7F773" w:rsidR="00BC70AD" w:rsidRPr="00BC70AD" w:rsidRDefault="00504E99" w:rsidP="00BC70AD">
      <w:pPr>
        <w:pStyle w:val="Body"/>
        <w:spacing w:after="0"/>
        <w:rPr>
          <w:rFonts w:ascii="Arial" w:hAnsi="Arial" w:cs="Arial"/>
        </w:rPr>
      </w:pPr>
      <w:r w:rsidRPr="00055E7B">
        <w:rPr>
          <w:rFonts w:ascii="Arial" w:hAnsi="Arial" w:cs="Arial"/>
          <w:bCs/>
          <w:highlight w:val="yellow"/>
        </w:rPr>
        <w:t>MELOR</w:t>
      </w:r>
      <w:r w:rsidR="00BC70AD" w:rsidRPr="00BC70AD">
        <w:rPr>
          <w:rFonts w:ascii="Arial" w:hAnsi="Arial" w:cs="Arial"/>
          <w:bCs/>
        </w:rPr>
        <w:t>:</w:t>
      </w:r>
      <w:r w:rsidR="00BC70AD" w:rsidRPr="00BC70AD">
        <w:rPr>
          <w:rFonts w:ascii="Arial" w:hAnsi="Arial" w:cs="Arial"/>
          <w:b/>
        </w:rPr>
        <w:t xml:space="preserve"> </w:t>
      </w:r>
      <w:r w:rsidR="00BC70AD" w:rsidRPr="00BC70AD">
        <w:rPr>
          <w:rFonts w:ascii="Arial" w:hAnsi="Arial" w:cs="Arial"/>
        </w:rPr>
        <w:t xml:space="preserve">Methanol </w:t>
      </w:r>
      <w:r w:rsidR="00055E7B">
        <w:rPr>
          <w:rFonts w:ascii="Arial" w:hAnsi="Arial" w:cs="Arial"/>
        </w:rPr>
        <w:t xml:space="preserve">Leaf </w:t>
      </w:r>
      <w:r w:rsidR="00BC70AD" w:rsidRPr="00BC70AD">
        <w:rPr>
          <w:rFonts w:ascii="Arial" w:hAnsi="Arial" w:cs="Arial"/>
        </w:rPr>
        <w:t xml:space="preserve">Extract of </w:t>
      </w:r>
      <w:proofErr w:type="spellStart"/>
      <w:r w:rsidR="00BC70AD" w:rsidRPr="00BC70AD">
        <w:rPr>
          <w:rFonts w:ascii="Arial" w:hAnsi="Arial" w:cs="Arial"/>
          <w:i/>
          <w:iCs/>
        </w:rPr>
        <w:t>Ormosia</w:t>
      </w:r>
      <w:proofErr w:type="spellEnd"/>
      <w:r w:rsidR="00BC70AD" w:rsidRPr="00BC70AD">
        <w:rPr>
          <w:rFonts w:ascii="Arial" w:hAnsi="Arial" w:cs="Arial"/>
          <w:i/>
          <w:iCs/>
        </w:rPr>
        <w:t xml:space="preserve"> Robusta</w:t>
      </w:r>
    </w:p>
    <w:p w14:paraId="3ABE7265" w14:textId="77777777" w:rsidR="00BC70AD" w:rsidRPr="00BC70AD" w:rsidRDefault="00BC70AD" w:rsidP="00BC70AD">
      <w:pPr>
        <w:pStyle w:val="Body"/>
        <w:spacing w:after="0"/>
        <w:rPr>
          <w:rFonts w:ascii="Arial" w:hAnsi="Arial" w:cs="Arial"/>
        </w:rPr>
      </w:pPr>
      <w:r w:rsidRPr="00BC70AD">
        <w:rPr>
          <w:rFonts w:ascii="Arial" w:hAnsi="Arial" w:cs="Arial"/>
        </w:rPr>
        <w:t>ROS: Reactive Oxygen Species</w:t>
      </w:r>
    </w:p>
    <w:p w14:paraId="37375932" w14:textId="77777777" w:rsidR="00BC70AD" w:rsidRPr="00BC70AD" w:rsidRDefault="00BC70AD" w:rsidP="00BC70AD">
      <w:pPr>
        <w:pStyle w:val="Body"/>
        <w:spacing w:after="0"/>
        <w:rPr>
          <w:rFonts w:ascii="Arial" w:hAnsi="Arial" w:cs="Arial"/>
        </w:rPr>
      </w:pPr>
      <w:r w:rsidRPr="00BC70AD">
        <w:rPr>
          <w:rFonts w:ascii="Arial" w:hAnsi="Arial" w:cs="Arial"/>
        </w:rPr>
        <w:t>DPPH: 1, 1-Diphenyl-2-Picryl-Hydrazyl</w:t>
      </w:r>
    </w:p>
    <w:p w14:paraId="61659819" w14:textId="77777777" w:rsidR="00BC70AD" w:rsidRPr="00BC70AD" w:rsidRDefault="00BC70AD" w:rsidP="00BC70AD">
      <w:pPr>
        <w:pStyle w:val="Body"/>
        <w:spacing w:after="0"/>
        <w:rPr>
          <w:rFonts w:ascii="Arial" w:hAnsi="Arial" w:cs="Arial"/>
        </w:rPr>
      </w:pPr>
      <w:r w:rsidRPr="00BC70AD">
        <w:rPr>
          <w:rFonts w:ascii="Arial" w:hAnsi="Arial" w:cs="Arial"/>
        </w:rPr>
        <w:t>VCS: Vincristine Sulphate</w:t>
      </w:r>
    </w:p>
    <w:p w14:paraId="1188D51F" w14:textId="77777777" w:rsidR="00BC70AD" w:rsidRPr="00BC70AD" w:rsidRDefault="00BC70AD" w:rsidP="00BC70AD">
      <w:pPr>
        <w:pStyle w:val="Body"/>
        <w:spacing w:after="0"/>
        <w:rPr>
          <w:rFonts w:ascii="Arial" w:hAnsi="Arial" w:cs="Arial"/>
          <w:bCs/>
        </w:rPr>
      </w:pPr>
      <w:r w:rsidRPr="00BC70AD">
        <w:rPr>
          <w:rFonts w:ascii="Arial" w:hAnsi="Arial" w:cs="Arial"/>
          <w:bCs/>
        </w:rPr>
        <w:t>PDB: Protein Data Bank</w:t>
      </w:r>
    </w:p>
    <w:p w14:paraId="36DDCBAA" w14:textId="5B4CA640" w:rsidR="004D4277" w:rsidRPr="00BC70AD" w:rsidRDefault="00D12D7E" w:rsidP="009D411A">
      <w:pPr>
        <w:pStyle w:val="Body"/>
        <w:spacing w:after="0"/>
        <w:jc w:val="left"/>
        <w:rPr>
          <w:rFonts w:ascii="Arial" w:hAnsi="Arial" w:cs="Arial"/>
          <w:bCs/>
        </w:rPr>
        <w:sectPr w:rsidR="004D4277" w:rsidRPr="00BC70AD" w:rsidSect="001A126E">
          <w:headerReference w:type="even" r:id="rId22"/>
          <w:headerReference w:type="default" r:id="rId23"/>
          <w:footerReference w:type="default" r:id="rId24"/>
          <w:headerReference w:type="first" r:id="rId25"/>
          <w:type w:val="continuous"/>
          <w:pgSz w:w="12240" w:h="15840"/>
          <w:pgMar w:top="1440" w:right="2016" w:bottom="2016" w:left="2016" w:header="720" w:footer="1123" w:gutter="0"/>
          <w:cols w:space="720"/>
          <w:docGrid w:linePitch="272"/>
        </w:sectPr>
      </w:pPr>
      <w:r>
        <w:rPr>
          <w:rFonts w:ascii="Arial" w:hAnsi="Arial" w:cs="Arial"/>
          <w:bCs/>
        </w:rPr>
        <w:t>DS:</w:t>
      </w:r>
      <w:r w:rsidR="009D411A">
        <w:rPr>
          <w:rFonts w:ascii="Arial" w:hAnsi="Arial" w:cs="Arial"/>
          <w:bCs/>
        </w:rPr>
        <w:t xml:space="preserve"> </w:t>
      </w:r>
      <w:r>
        <w:rPr>
          <w:rFonts w:ascii="Arial" w:hAnsi="Arial" w:cs="Arial"/>
          <w:bCs/>
        </w:rPr>
        <w:t xml:space="preserve">Discovery </w:t>
      </w:r>
      <w:r w:rsidR="00BC70AD" w:rsidRPr="00BC70AD">
        <w:rPr>
          <w:rFonts w:ascii="Arial" w:hAnsi="Arial" w:cs="Arial"/>
          <w:bCs/>
        </w:rPr>
        <w:t xml:space="preserve">Studio </w:t>
      </w:r>
    </w:p>
    <w:p w14:paraId="75DAF9DE" w14:textId="77777777" w:rsidR="00B01FCD" w:rsidRDefault="00B01FCD" w:rsidP="00441B6F">
      <w:pPr>
        <w:pStyle w:val="Appendix"/>
        <w:spacing w:after="0"/>
        <w:jc w:val="both"/>
        <w:rPr>
          <w:rFonts w:ascii="Arial" w:hAnsi="Arial" w:cs="Arial"/>
          <w:b w:val="0"/>
        </w:rPr>
      </w:pPr>
    </w:p>
    <w:p w14:paraId="7EE06CB9" w14:textId="77777777" w:rsidR="00F675C6" w:rsidRDefault="00F675C6" w:rsidP="00441B6F">
      <w:pPr>
        <w:pStyle w:val="Appendix"/>
        <w:spacing w:after="0"/>
        <w:jc w:val="both"/>
        <w:rPr>
          <w:rFonts w:ascii="Arial" w:hAnsi="Arial" w:cs="Arial"/>
          <w:b w:val="0"/>
        </w:rPr>
      </w:pPr>
    </w:p>
    <w:p w14:paraId="2BD3003B" w14:textId="77777777" w:rsidR="00F675C6" w:rsidRDefault="00F675C6" w:rsidP="00441B6F">
      <w:pPr>
        <w:pStyle w:val="Appendix"/>
        <w:spacing w:after="0"/>
        <w:jc w:val="both"/>
        <w:rPr>
          <w:rFonts w:ascii="Arial" w:hAnsi="Arial" w:cs="Arial"/>
          <w:b w:val="0"/>
        </w:rPr>
      </w:pPr>
    </w:p>
    <w:p w14:paraId="2F96F6AE" w14:textId="77777777" w:rsidR="00F675C6" w:rsidRDefault="00F675C6" w:rsidP="00F675C6">
      <w:pPr>
        <w:spacing w:line="480" w:lineRule="auto"/>
        <w:jc w:val="both"/>
        <w:rPr>
          <w:rFonts w:ascii="Arial" w:hAnsi="Arial" w:cs="Arial"/>
          <w:bCs/>
        </w:rPr>
      </w:pPr>
      <w:r w:rsidRPr="00C40097">
        <w:rPr>
          <w:rFonts w:ascii="Arial" w:hAnsi="Arial" w:cs="Arial"/>
          <w:noProof/>
        </w:rPr>
        <w:drawing>
          <wp:inline distT="0" distB="0" distL="0" distR="0" wp14:anchorId="5D62B73B" wp14:editId="2F1C3737">
            <wp:extent cx="5212080" cy="3688183"/>
            <wp:effectExtent l="0" t="0" r="7620" b="7620"/>
            <wp:docPr id="1710052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052827" name="Picture 171005282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12080" cy="3688183"/>
                    </a:xfrm>
                    <a:prstGeom prst="rect">
                      <a:avLst/>
                    </a:prstGeom>
                  </pic:spPr>
                </pic:pic>
              </a:graphicData>
            </a:graphic>
          </wp:inline>
        </w:drawing>
      </w:r>
    </w:p>
    <w:p w14:paraId="4D822F07" w14:textId="692BB6AE" w:rsidR="00F675C6" w:rsidRPr="00253FB5" w:rsidRDefault="00F675C6" w:rsidP="00F675C6">
      <w:pPr>
        <w:jc w:val="both"/>
        <w:rPr>
          <w:rFonts w:ascii="Arial" w:hAnsi="Arial" w:cs="Arial"/>
          <w:b/>
          <w:color w:val="252525"/>
        </w:rPr>
      </w:pPr>
      <w:proofErr w:type="gramStart"/>
      <w:r w:rsidRPr="00253FB5">
        <w:rPr>
          <w:rFonts w:ascii="Arial" w:hAnsi="Arial" w:cs="Arial"/>
          <w:b/>
        </w:rPr>
        <w:t>Supplementary Fig.</w:t>
      </w:r>
      <w:proofErr w:type="gramEnd"/>
      <w:r w:rsidRPr="00253FB5">
        <w:rPr>
          <w:rFonts w:ascii="Arial" w:hAnsi="Arial" w:cs="Arial"/>
          <w:b/>
        </w:rPr>
        <w:t xml:space="preserve"> S1: 2D interaction of A) Warangalone</w:t>
      </w:r>
      <w:r w:rsidR="00E2511C">
        <w:rPr>
          <w:rFonts w:ascii="Arial" w:hAnsi="Arial" w:cs="Arial"/>
          <w:b/>
        </w:rPr>
        <w:t>,</w:t>
      </w:r>
      <w:r w:rsidRPr="00253FB5">
        <w:rPr>
          <w:rFonts w:ascii="Arial" w:hAnsi="Arial" w:cs="Arial"/>
          <w:b/>
        </w:rPr>
        <w:t xml:space="preserve"> B) </w:t>
      </w:r>
      <w:proofErr w:type="spellStart"/>
      <w:r w:rsidRPr="00253FB5">
        <w:rPr>
          <w:rFonts w:ascii="Arial" w:hAnsi="Arial" w:cs="Arial"/>
          <w:b/>
        </w:rPr>
        <w:t>Lupeol</w:t>
      </w:r>
      <w:proofErr w:type="spellEnd"/>
      <w:r w:rsidR="00E2511C">
        <w:rPr>
          <w:rFonts w:ascii="Arial" w:hAnsi="Arial" w:cs="Arial"/>
          <w:b/>
        </w:rPr>
        <w:t>,</w:t>
      </w:r>
      <w:r w:rsidRPr="00253FB5">
        <w:rPr>
          <w:rFonts w:ascii="Arial" w:hAnsi="Arial" w:cs="Arial"/>
          <w:b/>
        </w:rPr>
        <w:t xml:space="preserve"> C) </w:t>
      </w:r>
      <w:proofErr w:type="spellStart"/>
      <w:r w:rsidRPr="00253FB5">
        <w:rPr>
          <w:rFonts w:ascii="Arial" w:hAnsi="Arial" w:cs="Arial"/>
          <w:b/>
        </w:rPr>
        <w:t>Betulinic</w:t>
      </w:r>
      <w:proofErr w:type="spellEnd"/>
      <w:r w:rsidRPr="00253FB5">
        <w:rPr>
          <w:rFonts w:ascii="Arial" w:hAnsi="Arial" w:cs="Arial"/>
          <w:b/>
        </w:rPr>
        <w:t xml:space="preserve"> acid</w:t>
      </w:r>
      <w:r w:rsidR="00E2511C">
        <w:rPr>
          <w:rFonts w:ascii="Arial" w:hAnsi="Arial" w:cs="Arial"/>
          <w:b/>
        </w:rPr>
        <w:t>, and</w:t>
      </w:r>
      <w:r w:rsidRPr="00253FB5">
        <w:rPr>
          <w:rFonts w:ascii="Arial" w:hAnsi="Arial" w:cs="Arial"/>
          <w:b/>
        </w:rPr>
        <w:t xml:space="preserve"> D) </w:t>
      </w:r>
      <w:r w:rsidRPr="00253FB5">
        <w:rPr>
          <w:rFonts w:ascii="Arial" w:hAnsi="Arial" w:cs="Arial"/>
          <w:b/>
          <w:color w:val="252525"/>
        </w:rPr>
        <w:t>co-crystalized ligand</w:t>
      </w:r>
      <w:r w:rsidRPr="00253FB5">
        <w:rPr>
          <w:rFonts w:ascii="Arial" w:hAnsi="Arial" w:cs="Arial"/>
          <w:b/>
        </w:rPr>
        <w:t xml:space="preserve"> with </w:t>
      </w:r>
      <w:r w:rsidRPr="00253FB5">
        <w:rPr>
          <w:rFonts w:ascii="Arial" w:hAnsi="Arial" w:cs="Arial"/>
          <w:b/>
          <w:color w:val="252525"/>
        </w:rPr>
        <w:t>glutathione reductase (PDB ID: 1XAN)</w:t>
      </w:r>
    </w:p>
    <w:p w14:paraId="1652F3C4" w14:textId="77777777" w:rsidR="00F675C6" w:rsidRDefault="00F675C6" w:rsidP="00F675C6">
      <w:pPr>
        <w:spacing w:line="480" w:lineRule="auto"/>
        <w:jc w:val="both"/>
        <w:rPr>
          <w:rFonts w:ascii="Arial" w:hAnsi="Arial" w:cs="Arial"/>
          <w:bCs/>
        </w:rPr>
      </w:pPr>
    </w:p>
    <w:p w14:paraId="075E5FFA" w14:textId="77777777" w:rsidR="00F675C6" w:rsidRDefault="00F675C6" w:rsidP="00F675C6">
      <w:pPr>
        <w:spacing w:line="480" w:lineRule="auto"/>
        <w:jc w:val="both"/>
        <w:rPr>
          <w:rFonts w:ascii="Arial" w:hAnsi="Arial" w:cs="Arial"/>
          <w:bCs/>
        </w:rPr>
      </w:pPr>
      <w:r w:rsidRPr="00C40097">
        <w:rPr>
          <w:rFonts w:ascii="Arial" w:hAnsi="Arial" w:cs="Arial"/>
          <w:noProof/>
        </w:rPr>
        <w:lastRenderedPageBreak/>
        <w:drawing>
          <wp:inline distT="0" distB="0" distL="0" distR="0" wp14:anchorId="687EF838" wp14:editId="6A0561DF">
            <wp:extent cx="5212080" cy="3688034"/>
            <wp:effectExtent l="0" t="0" r="7620" b="8255"/>
            <wp:docPr id="5943775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377561" name="Picture 59437756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12080" cy="3688034"/>
                    </a:xfrm>
                    <a:prstGeom prst="rect">
                      <a:avLst/>
                    </a:prstGeom>
                  </pic:spPr>
                </pic:pic>
              </a:graphicData>
            </a:graphic>
          </wp:inline>
        </w:drawing>
      </w:r>
    </w:p>
    <w:p w14:paraId="4A94AF05" w14:textId="077B2535" w:rsidR="00F675C6" w:rsidRPr="00253FB5" w:rsidRDefault="00F675C6" w:rsidP="00F675C6">
      <w:pPr>
        <w:jc w:val="both"/>
        <w:rPr>
          <w:rFonts w:ascii="Arial" w:hAnsi="Arial" w:cs="Arial"/>
          <w:b/>
          <w:color w:val="252525"/>
        </w:rPr>
      </w:pPr>
      <w:proofErr w:type="gramStart"/>
      <w:r w:rsidRPr="00253FB5">
        <w:rPr>
          <w:rFonts w:ascii="Arial" w:hAnsi="Arial" w:cs="Arial"/>
          <w:b/>
        </w:rPr>
        <w:t>Supplementary Fig.</w:t>
      </w:r>
      <w:proofErr w:type="gramEnd"/>
      <w:r w:rsidRPr="00253FB5">
        <w:rPr>
          <w:rFonts w:ascii="Arial" w:hAnsi="Arial" w:cs="Arial"/>
          <w:b/>
        </w:rPr>
        <w:t xml:space="preserve"> S2: 2D interaction of A) </w:t>
      </w:r>
      <w:proofErr w:type="spellStart"/>
      <w:r w:rsidRPr="00253FB5">
        <w:rPr>
          <w:rFonts w:ascii="Arial" w:hAnsi="Arial" w:cs="Arial"/>
          <w:b/>
        </w:rPr>
        <w:t>warangalone</w:t>
      </w:r>
      <w:proofErr w:type="spellEnd"/>
      <w:r w:rsidR="00E2511C">
        <w:rPr>
          <w:rFonts w:ascii="Arial" w:hAnsi="Arial" w:cs="Arial"/>
          <w:b/>
        </w:rPr>
        <w:t>,</w:t>
      </w:r>
      <w:r w:rsidRPr="00253FB5">
        <w:rPr>
          <w:rFonts w:ascii="Arial" w:hAnsi="Arial" w:cs="Arial"/>
          <w:b/>
        </w:rPr>
        <w:t xml:space="preserve"> B) </w:t>
      </w:r>
      <w:proofErr w:type="spellStart"/>
      <w:r w:rsidRPr="00253FB5">
        <w:rPr>
          <w:rFonts w:ascii="Arial" w:hAnsi="Arial" w:cs="Arial"/>
          <w:b/>
        </w:rPr>
        <w:t>Betulinic</w:t>
      </w:r>
      <w:proofErr w:type="spellEnd"/>
      <w:r w:rsidRPr="00253FB5">
        <w:rPr>
          <w:rFonts w:ascii="Arial" w:hAnsi="Arial" w:cs="Arial"/>
          <w:b/>
        </w:rPr>
        <w:t xml:space="preserve"> acid</w:t>
      </w:r>
      <w:r w:rsidR="00E2511C">
        <w:rPr>
          <w:rFonts w:ascii="Arial" w:hAnsi="Arial" w:cs="Arial"/>
          <w:b/>
        </w:rPr>
        <w:t>,</w:t>
      </w:r>
      <w:r w:rsidRPr="00253FB5">
        <w:rPr>
          <w:rFonts w:ascii="Arial" w:hAnsi="Arial" w:cs="Arial"/>
          <w:b/>
        </w:rPr>
        <w:t xml:space="preserve"> C) </w:t>
      </w:r>
      <w:proofErr w:type="spellStart"/>
      <w:r w:rsidRPr="00253FB5">
        <w:rPr>
          <w:rFonts w:ascii="Arial" w:hAnsi="Arial" w:cs="Arial"/>
          <w:b/>
        </w:rPr>
        <w:t>Euchrenone</w:t>
      </w:r>
      <w:proofErr w:type="spellEnd"/>
      <w:r w:rsidRPr="00253FB5">
        <w:rPr>
          <w:rFonts w:ascii="Arial" w:hAnsi="Arial" w:cs="Arial"/>
          <w:b/>
        </w:rPr>
        <w:t xml:space="preserve"> </w:t>
      </w:r>
      <w:r w:rsidR="00702DD4">
        <w:rPr>
          <w:rFonts w:ascii="Arial" w:hAnsi="Arial" w:cs="Arial"/>
          <w:b/>
        </w:rPr>
        <w:t>B</w:t>
      </w:r>
      <w:r w:rsidRPr="00253FB5">
        <w:rPr>
          <w:rFonts w:ascii="Arial" w:hAnsi="Arial" w:cs="Arial"/>
          <w:b/>
        </w:rPr>
        <w:t>8</w:t>
      </w:r>
      <w:r w:rsidR="00E2511C">
        <w:rPr>
          <w:rFonts w:ascii="Arial" w:hAnsi="Arial" w:cs="Arial"/>
          <w:b/>
        </w:rPr>
        <w:t>, and</w:t>
      </w:r>
      <w:r w:rsidRPr="00253FB5">
        <w:rPr>
          <w:rFonts w:ascii="Arial" w:hAnsi="Arial" w:cs="Arial"/>
          <w:b/>
        </w:rPr>
        <w:t xml:space="preserve"> D) </w:t>
      </w:r>
      <w:r w:rsidRPr="00253FB5">
        <w:rPr>
          <w:rFonts w:ascii="Arial" w:hAnsi="Arial" w:cs="Arial"/>
          <w:b/>
          <w:color w:val="252525"/>
        </w:rPr>
        <w:t>co-crystalized ligand</w:t>
      </w:r>
      <w:r w:rsidRPr="00253FB5">
        <w:rPr>
          <w:rFonts w:ascii="Arial" w:hAnsi="Arial" w:cs="Arial"/>
          <w:b/>
        </w:rPr>
        <w:t xml:space="preserve"> with </w:t>
      </w:r>
      <w:r w:rsidRPr="00253FB5">
        <w:rPr>
          <w:rFonts w:ascii="Arial" w:hAnsi="Arial" w:cs="Arial"/>
          <w:b/>
          <w:color w:val="252525"/>
        </w:rPr>
        <w:t>human cytochrome P450 CYP2C9 (PDB ID: 1OG5)</w:t>
      </w:r>
    </w:p>
    <w:p w14:paraId="450B2B4F" w14:textId="77777777" w:rsidR="00F675C6" w:rsidRDefault="00F675C6" w:rsidP="00F675C6">
      <w:pPr>
        <w:spacing w:line="480" w:lineRule="auto"/>
        <w:jc w:val="both"/>
        <w:rPr>
          <w:rFonts w:ascii="Arial" w:hAnsi="Arial" w:cs="Arial"/>
          <w:bCs/>
        </w:rPr>
      </w:pPr>
    </w:p>
    <w:p w14:paraId="58893D08" w14:textId="77777777" w:rsidR="00F675C6" w:rsidRDefault="00F675C6" w:rsidP="00F675C6">
      <w:pPr>
        <w:spacing w:line="480" w:lineRule="auto"/>
        <w:jc w:val="both"/>
        <w:rPr>
          <w:rFonts w:ascii="Arial" w:hAnsi="Arial" w:cs="Arial"/>
          <w:bCs/>
        </w:rPr>
      </w:pPr>
      <w:r w:rsidRPr="00C40097">
        <w:rPr>
          <w:rFonts w:ascii="Arial" w:hAnsi="Arial" w:cs="Arial"/>
          <w:noProof/>
        </w:rPr>
        <w:drawing>
          <wp:inline distT="0" distB="0" distL="0" distR="0" wp14:anchorId="6B888692" wp14:editId="6F9F71B8">
            <wp:extent cx="5212080" cy="3688277"/>
            <wp:effectExtent l="0" t="0" r="7620" b="7620"/>
            <wp:docPr id="6909079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907992" name="Picture 69090799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12080" cy="3688277"/>
                    </a:xfrm>
                    <a:prstGeom prst="rect">
                      <a:avLst/>
                    </a:prstGeom>
                  </pic:spPr>
                </pic:pic>
              </a:graphicData>
            </a:graphic>
          </wp:inline>
        </w:drawing>
      </w:r>
    </w:p>
    <w:p w14:paraId="23F732C0" w14:textId="609CE6B2" w:rsidR="00F675C6" w:rsidRPr="00253FB5" w:rsidRDefault="00F675C6" w:rsidP="00F675C6">
      <w:pPr>
        <w:jc w:val="both"/>
        <w:rPr>
          <w:rFonts w:ascii="Arial" w:hAnsi="Arial" w:cs="Arial"/>
          <w:b/>
          <w:color w:val="252525"/>
        </w:rPr>
      </w:pPr>
      <w:proofErr w:type="gramStart"/>
      <w:r w:rsidRPr="00253FB5">
        <w:rPr>
          <w:rFonts w:ascii="Arial" w:hAnsi="Arial" w:cs="Arial"/>
          <w:b/>
        </w:rPr>
        <w:t>Supplementary Fig.</w:t>
      </w:r>
      <w:proofErr w:type="gramEnd"/>
      <w:r w:rsidRPr="00253FB5">
        <w:rPr>
          <w:rFonts w:ascii="Arial" w:hAnsi="Arial" w:cs="Arial"/>
          <w:b/>
        </w:rPr>
        <w:t xml:space="preserve"> S3: 2D interaction of A) Warangalone</w:t>
      </w:r>
      <w:r w:rsidR="00E2511C">
        <w:rPr>
          <w:rFonts w:ascii="Arial" w:hAnsi="Arial" w:cs="Arial"/>
          <w:b/>
        </w:rPr>
        <w:t>,</w:t>
      </w:r>
      <w:r w:rsidRPr="00253FB5">
        <w:rPr>
          <w:rFonts w:ascii="Arial" w:hAnsi="Arial" w:cs="Arial"/>
          <w:b/>
        </w:rPr>
        <w:t xml:space="preserve"> B) </w:t>
      </w:r>
      <w:proofErr w:type="spellStart"/>
      <w:r w:rsidRPr="00253FB5">
        <w:rPr>
          <w:rFonts w:ascii="Arial" w:hAnsi="Arial" w:cs="Arial"/>
          <w:b/>
        </w:rPr>
        <w:t>Lupeol</w:t>
      </w:r>
      <w:proofErr w:type="spellEnd"/>
      <w:r w:rsidR="00E2511C">
        <w:rPr>
          <w:rFonts w:ascii="Arial" w:hAnsi="Arial" w:cs="Arial"/>
          <w:b/>
        </w:rPr>
        <w:t>,</w:t>
      </w:r>
      <w:r w:rsidRPr="00253FB5">
        <w:rPr>
          <w:rFonts w:ascii="Arial" w:hAnsi="Arial" w:cs="Arial"/>
          <w:b/>
        </w:rPr>
        <w:t xml:space="preserve"> C) </w:t>
      </w:r>
      <w:proofErr w:type="spellStart"/>
      <w:r w:rsidRPr="00253FB5">
        <w:rPr>
          <w:rFonts w:ascii="Arial" w:hAnsi="Arial" w:cs="Arial"/>
          <w:b/>
        </w:rPr>
        <w:t>Betulinic</w:t>
      </w:r>
      <w:proofErr w:type="spellEnd"/>
      <w:r w:rsidRPr="00253FB5">
        <w:rPr>
          <w:rFonts w:ascii="Arial" w:hAnsi="Arial" w:cs="Arial"/>
          <w:b/>
        </w:rPr>
        <w:t xml:space="preserve"> acid</w:t>
      </w:r>
      <w:r w:rsidR="00E2511C">
        <w:rPr>
          <w:rFonts w:ascii="Arial" w:hAnsi="Arial" w:cs="Arial"/>
          <w:b/>
        </w:rPr>
        <w:t>, and</w:t>
      </w:r>
      <w:r w:rsidRPr="00253FB5">
        <w:rPr>
          <w:rFonts w:ascii="Arial" w:hAnsi="Arial" w:cs="Arial"/>
          <w:b/>
        </w:rPr>
        <w:t xml:space="preserve"> D) </w:t>
      </w:r>
      <w:r w:rsidRPr="00253FB5">
        <w:rPr>
          <w:rFonts w:ascii="Arial" w:hAnsi="Arial" w:cs="Arial"/>
          <w:b/>
          <w:color w:val="252525"/>
        </w:rPr>
        <w:t>co-crystalized ligand</w:t>
      </w:r>
      <w:r w:rsidRPr="00253FB5">
        <w:rPr>
          <w:rFonts w:ascii="Arial" w:hAnsi="Arial" w:cs="Arial"/>
          <w:b/>
        </w:rPr>
        <w:t xml:space="preserve"> with </w:t>
      </w:r>
      <w:r w:rsidRPr="00253FB5">
        <w:rPr>
          <w:rFonts w:ascii="Arial" w:hAnsi="Arial" w:cs="Arial"/>
          <w:b/>
          <w:color w:val="252525"/>
        </w:rPr>
        <w:t>phosphodiesterase-4 inhibitor (PDE4) receptor (PDB ID: 4WCU)</w:t>
      </w:r>
    </w:p>
    <w:p w14:paraId="2453C0D5" w14:textId="3E8DACDB" w:rsidR="00F675C6" w:rsidRPr="00FB3A86" w:rsidRDefault="00F675C6" w:rsidP="00441B6F">
      <w:pPr>
        <w:pStyle w:val="Appendix"/>
        <w:spacing w:after="0"/>
        <w:jc w:val="both"/>
        <w:rPr>
          <w:rFonts w:ascii="Arial" w:hAnsi="Arial" w:cs="Arial"/>
          <w:b w:val="0"/>
        </w:rPr>
      </w:pPr>
    </w:p>
    <w:sectPr w:rsidR="00F675C6" w:rsidRPr="00FB3A86" w:rsidSect="001A126E">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5CD068" w14:textId="77777777" w:rsidR="007B170B" w:rsidRDefault="007B170B" w:rsidP="00C37E61">
      <w:r>
        <w:separator/>
      </w:r>
    </w:p>
  </w:endnote>
  <w:endnote w:type="continuationSeparator" w:id="0">
    <w:p w14:paraId="22D4EC3E" w14:textId="77777777" w:rsidR="007B170B" w:rsidRDefault="007B170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AFD143" w14:textId="77777777" w:rsidR="001A126E" w:rsidRDefault="001A126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E77D1A" w14:textId="77777777" w:rsidR="001A126E" w:rsidRDefault="001A126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9292DC" w14:textId="27661338" w:rsidR="003933B5" w:rsidRPr="001A126E" w:rsidRDefault="003933B5" w:rsidP="001A126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8264B1" w14:textId="77777777" w:rsidR="003933B5" w:rsidRPr="00C37E61" w:rsidRDefault="003933B5" w:rsidP="00C37E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813C95" w14:textId="77777777" w:rsidR="007B170B" w:rsidRDefault="007B170B" w:rsidP="00C37E61">
      <w:r>
        <w:separator/>
      </w:r>
    </w:p>
  </w:footnote>
  <w:footnote w:type="continuationSeparator" w:id="0">
    <w:p w14:paraId="3A86688E" w14:textId="77777777" w:rsidR="007B170B" w:rsidRDefault="007B170B" w:rsidP="00C37E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F72B56" w14:textId="764C8C2C" w:rsidR="001A126E" w:rsidRDefault="007B170B">
    <w:pPr>
      <w:pStyle w:val="Header"/>
    </w:pPr>
    <w:r>
      <w:rPr>
        <w:noProof/>
      </w:rPr>
      <w:pict w14:anchorId="3AFC26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7608985"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1ECE18" w14:textId="1B94E306" w:rsidR="001A126E" w:rsidRDefault="007B170B">
    <w:pPr>
      <w:pStyle w:val="Header"/>
    </w:pPr>
    <w:r>
      <w:rPr>
        <w:noProof/>
      </w:rPr>
      <w:pict w14:anchorId="5596F7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7608986"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26772D" w14:textId="074AF899" w:rsidR="003933B5" w:rsidRPr="00296529" w:rsidRDefault="007B170B" w:rsidP="00296529">
    <w:pPr>
      <w:ind w:left="2160"/>
      <w:jc w:val="center"/>
      <w:rPr>
        <w:rFonts w:ascii="Times New Roman" w:eastAsia="Calibri" w:hAnsi="Times New Roman"/>
        <w:i/>
        <w:sz w:val="18"/>
        <w:szCs w:val="22"/>
      </w:rPr>
    </w:pPr>
    <w:r>
      <w:rPr>
        <w:noProof/>
      </w:rPr>
      <w:pict w14:anchorId="1B7C36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7608984"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CB6F2A8" w14:textId="77777777" w:rsidR="003933B5" w:rsidRPr="00296529" w:rsidRDefault="003933B5"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5187F3DE" w14:textId="77777777" w:rsidR="003933B5" w:rsidRPr="00296529" w:rsidRDefault="003933B5"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7A36782" w14:textId="77777777" w:rsidR="003933B5" w:rsidRPr="00296529" w:rsidRDefault="003933B5"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2C6DA98" w14:textId="77777777" w:rsidR="003933B5" w:rsidRDefault="003933B5"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1BCB012" w14:textId="77777777" w:rsidR="003933B5" w:rsidRDefault="003933B5"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5EBB5484" w14:textId="77777777" w:rsidR="003933B5" w:rsidRDefault="003933B5">
    <w:pPr>
      <w:pStyle w:val="Header"/>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69971F" w14:textId="6D9D1B3B" w:rsidR="001A126E" w:rsidRDefault="007B170B">
    <w:pPr>
      <w:pStyle w:val="Header"/>
    </w:pPr>
    <w:r>
      <w:rPr>
        <w:noProof/>
      </w:rPr>
      <w:pict w14:anchorId="2A6E89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7608988"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6FCB26" w14:textId="248CA8FF" w:rsidR="001A126E" w:rsidRDefault="007B170B">
    <w:pPr>
      <w:pStyle w:val="Header"/>
    </w:pPr>
    <w:r>
      <w:rPr>
        <w:noProof/>
      </w:rPr>
      <w:pict w14:anchorId="7A337E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7608989"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8C173D" w14:textId="5C4910CA" w:rsidR="001A126E" w:rsidRDefault="007B170B">
    <w:pPr>
      <w:pStyle w:val="Header"/>
    </w:pPr>
    <w:r>
      <w:rPr>
        <w:noProof/>
      </w:rPr>
      <w:pict w14:anchorId="37C359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7608987"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219"/>
    <w:rsid w:val="00000F8F"/>
    <w:rsid w:val="00011131"/>
    <w:rsid w:val="00030174"/>
    <w:rsid w:val="00040FA6"/>
    <w:rsid w:val="0004579C"/>
    <w:rsid w:val="00055E7B"/>
    <w:rsid w:val="00060483"/>
    <w:rsid w:val="000A47FA"/>
    <w:rsid w:val="000A65D3"/>
    <w:rsid w:val="000B1E33"/>
    <w:rsid w:val="000C2C78"/>
    <w:rsid w:val="000C490D"/>
    <w:rsid w:val="000D689F"/>
    <w:rsid w:val="000E7B7B"/>
    <w:rsid w:val="000E7D62"/>
    <w:rsid w:val="00103357"/>
    <w:rsid w:val="00107A30"/>
    <w:rsid w:val="0011086F"/>
    <w:rsid w:val="00123C9F"/>
    <w:rsid w:val="00126190"/>
    <w:rsid w:val="00130F17"/>
    <w:rsid w:val="001320BF"/>
    <w:rsid w:val="00146EF7"/>
    <w:rsid w:val="00152D57"/>
    <w:rsid w:val="00163BC4"/>
    <w:rsid w:val="00191062"/>
    <w:rsid w:val="00192B72"/>
    <w:rsid w:val="001A126E"/>
    <w:rsid w:val="001A29D8"/>
    <w:rsid w:val="001A5CAA"/>
    <w:rsid w:val="001B0427"/>
    <w:rsid w:val="001D3A51"/>
    <w:rsid w:val="001E10D2"/>
    <w:rsid w:val="001E25B4"/>
    <w:rsid w:val="001E44FE"/>
    <w:rsid w:val="00200595"/>
    <w:rsid w:val="0020328D"/>
    <w:rsid w:val="00204835"/>
    <w:rsid w:val="00230BEF"/>
    <w:rsid w:val="00231920"/>
    <w:rsid w:val="0023195C"/>
    <w:rsid w:val="0024282C"/>
    <w:rsid w:val="002460DC"/>
    <w:rsid w:val="00250985"/>
    <w:rsid w:val="00253FB5"/>
    <w:rsid w:val="002556F6"/>
    <w:rsid w:val="00283105"/>
    <w:rsid w:val="00284C4C"/>
    <w:rsid w:val="00287E68"/>
    <w:rsid w:val="00296529"/>
    <w:rsid w:val="00296DB5"/>
    <w:rsid w:val="002B27FB"/>
    <w:rsid w:val="002B685A"/>
    <w:rsid w:val="002C57D2"/>
    <w:rsid w:val="002C6961"/>
    <w:rsid w:val="002C6A55"/>
    <w:rsid w:val="002E0D56"/>
    <w:rsid w:val="002E1515"/>
    <w:rsid w:val="002F04CD"/>
    <w:rsid w:val="00315186"/>
    <w:rsid w:val="00332526"/>
    <w:rsid w:val="0033343E"/>
    <w:rsid w:val="003512C2"/>
    <w:rsid w:val="00371FB6"/>
    <w:rsid w:val="003757D8"/>
    <w:rsid w:val="003763C1"/>
    <w:rsid w:val="00376BBE"/>
    <w:rsid w:val="0039224F"/>
    <w:rsid w:val="003933B5"/>
    <w:rsid w:val="003A0AF8"/>
    <w:rsid w:val="003A43A4"/>
    <w:rsid w:val="003A7E18"/>
    <w:rsid w:val="003C4618"/>
    <w:rsid w:val="003C4C86"/>
    <w:rsid w:val="003C6258"/>
    <w:rsid w:val="003E2904"/>
    <w:rsid w:val="00401927"/>
    <w:rsid w:val="0041027F"/>
    <w:rsid w:val="00412475"/>
    <w:rsid w:val="00423789"/>
    <w:rsid w:val="00431071"/>
    <w:rsid w:val="00440F43"/>
    <w:rsid w:val="00441B6F"/>
    <w:rsid w:val="00446221"/>
    <w:rsid w:val="00450E62"/>
    <w:rsid w:val="004539DB"/>
    <w:rsid w:val="00471A80"/>
    <w:rsid w:val="004C05FC"/>
    <w:rsid w:val="004C704E"/>
    <w:rsid w:val="004D305E"/>
    <w:rsid w:val="004D4277"/>
    <w:rsid w:val="00502516"/>
    <w:rsid w:val="0050372C"/>
    <w:rsid w:val="00504E99"/>
    <w:rsid w:val="00505F06"/>
    <w:rsid w:val="00506828"/>
    <w:rsid w:val="00521C3A"/>
    <w:rsid w:val="00522DBA"/>
    <w:rsid w:val="0053056E"/>
    <w:rsid w:val="00554FDA"/>
    <w:rsid w:val="00582D5D"/>
    <w:rsid w:val="00597A5B"/>
    <w:rsid w:val="005C784C"/>
    <w:rsid w:val="005D17F6"/>
    <w:rsid w:val="005E5539"/>
    <w:rsid w:val="005F0012"/>
    <w:rsid w:val="00602BF5"/>
    <w:rsid w:val="0061595E"/>
    <w:rsid w:val="00617FDD"/>
    <w:rsid w:val="00625522"/>
    <w:rsid w:val="00633614"/>
    <w:rsid w:val="00633F68"/>
    <w:rsid w:val="00636EB2"/>
    <w:rsid w:val="006375B8"/>
    <w:rsid w:val="0064144E"/>
    <w:rsid w:val="00652D88"/>
    <w:rsid w:val="00661DF4"/>
    <w:rsid w:val="00663B4E"/>
    <w:rsid w:val="0066510A"/>
    <w:rsid w:val="00673F9F"/>
    <w:rsid w:val="00686478"/>
    <w:rsid w:val="00686953"/>
    <w:rsid w:val="00687DEA"/>
    <w:rsid w:val="00687E67"/>
    <w:rsid w:val="006967F7"/>
    <w:rsid w:val="00697D32"/>
    <w:rsid w:val="006A250C"/>
    <w:rsid w:val="006B21D3"/>
    <w:rsid w:val="006B57D0"/>
    <w:rsid w:val="006D30FF"/>
    <w:rsid w:val="006D6940"/>
    <w:rsid w:val="006F11EC"/>
    <w:rsid w:val="006F2E85"/>
    <w:rsid w:val="0070082C"/>
    <w:rsid w:val="00702DD4"/>
    <w:rsid w:val="007369E6"/>
    <w:rsid w:val="00746E59"/>
    <w:rsid w:val="00754C9A"/>
    <w:rsid w:val="0075599A"/>
    <w:rsid w:val="00761D52"/>
    <w:rsid w:val="00765BB1"/>
    <w:rsid w:val="0077749E"/>
    <w:rsid w:val="00790ADA"/>
    <w:rsid w:val="007A0124"/>
    <w:rsid w:val="007B170B"/>
    <w:rsid w:val="007C5D3F"/>
    <w:rsid w:val="007D2288"/>
    <w:rsid w:val="007E088F"/>
    <w:rsid w:val="007F7B32"/>
    <w:rsid w:val="008025B0"/>
    <w:rsid w:val="00804BC2"/>
    <w:rsid w:val="0081431A"/>
    <w:rsid w:val="0083216F"/>
    <w:rsid w:val="00860000"/>
    <w:rsid w:val="008622AC"/>
    <w:rsid w:val="00863BD3"/>
    <w:rsid w:val="008641ED"/>
    <w:rsid w:val="00866D66"/>
    <w:rsid w:val="008671C6"/>
    <w:rsid w:val="00875803"/>
    <w:rsid w:val="008A2671"/>
    <w:rsid w:val="008B459E"/>
    <w:rsid w:val="008C0CE6"/>
    <w:rsid w:val="008E13AE"/>
    <w:rsid w:val="008E1506"/>
    <w:rsid w:val="008E710C"/>
    <w:rsid w:val="008F69D6"/>
    <w:rsid w:val="00901B9C"/>
    <w:rsid w:val="00902823"/>
    <w:rsid w:val="00915CA6"/>
    <w:rsid w:val="00921607"/>
    <w:rsid w:val="00927834"/>
    <w:rsid w:val="00942A2A"/>
    <w:rsid w:val="009500A6"/>
    <w:rsid w:val="00957C18"/>
    <w:rsid w:val="009659BA"/>
    <w:rsid w:val="00983040"/>
    <w:rsid w:val="0098444A"/>
    <w:rsid w:val="00992ACC"/>
    <w:rsid w:val="009A4612"/>
    <w:rsid w:val="009A7D0F"/>
    <w:rsid w:val="009B3FB9"/>
    <w:rsid w:val="009C2465"/>
    <w:rsid w:val="009D35A0"/>
    <w:rsid w:val="009D411A"/>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64867"/>
    <w:rsid w:val="00A74896"/>
    <w:rsid w:val="00A94063"/>
    <w:rsid w:val="00AA6219"/>
    <w:rsid w:val="00AA74E0"/>
    <w:rsid w:val="00AB1C88"/>
    <w:rsid w:val="00AB44E0"/>
    <w:rsid w:val="00AB703F"/>
    <w:rsid w:val="00AC6BB8"/>
    <w:rsid w:val="00AD0857"/>
    <w:rsid w:val="00AE008F"/>
    <w:rsid w:val="00AE27F5"/>
    <w:rsid w:val="00AF1C2B"/>
    <w:rsid w:val="00AF2BCC"/>
    <w:rsid w:val="00B01FCD"/>
    <w:rsid w:val="00B1776C"/>
    <w:rsid w:val="00B41860"/>
    <w:rsid w:val="00B52583"/>
    <w:rsid w:val="00B52896"/>
    <w:rsid w:val="00B95236"/>
    <w:rsid w:val="00B96BD9"/>
    <w:rsid w:val="00BA1B01"/>
    <w:rsid w:val="00BA1B80"/>
    <w:rsid w:val="00BA2641"/>
    <w:rsid w:val="00BB1155"/>
    <w:rsid w:val="00BB37AA"/>
    <w:rsid w:val="00BC53A0"/>
    <w:rsid w:val="00BC70AD"/>
    <w:rsid w:val="00BE0E77"/>
    <w:rsid w:val="00BE62AD"/>
    <w:rsid w:val="00BF121F"/>
    <w:rsid w:val="00BF1F80"/>
    <w:rsid w:val="00BF612B"/>
    <w:rsid w:val="00C066A9"/>
    <w:rsid w:val="00C166EF"/>
    <w:rsid w:val="00C17EB0"/>
    <w:rsid w:val="00C27F5F"/>
    <w:rsid w:val="00C30A0F"/>
    <w:rsid w:val="00C37E61"/>
    <w:rsid w:val="00C45892"/>
    <w:rsid w:val="00C70F1B"/>
    <w:rsid w:val="00C71A47"/>
    <w:rsid w:val="00C73625"/>
    <w:rsid w:val="00C7464C"/>
    <w:rsid w:val="00C85588"/>
    <w:rsid w:val="00C871AE"/>
    <w:rsid w:val="00CA0822"/>
    <w:rsid w:val="00CD45C0"/>
    <w:rsid w:val="00CD6755"/>
    <w:rsid w:val="00CD6856"/>
    <w:rsid w:val="00CE0089"/>
    <w:rsid w:val="00CE5D21"/>
    <w:rsid w:val="00CE793C"/>
    <w:rsid w:val="00CE7E2A"/>
    <w:rsid w:val="00CF193C"/>
    <w:rsid w:val="00D12D7E"/>
    <w:rsid w:val="00D173F1"/>
    <w:rsid w:val="00D21404"/>
    <w:rsid w:val="00D4020A"/>
    <w:rsid w:val="00D45891"/>
    <w:rsid w:val="00D47153"/>
    <w:rsid w:val="00D6308C"/>
    <w:rsid w:val="00D646EB"/>
    <w:rsid w:val="00D714DC"/>
    <w:rsid w:val="00D747CA"/>
    <w:rsid w:val="00D74CB0"/>
    <w:rsid w:val="00D8295D"/>
    <w:rsid w:val="00D9599E"/>
    <w:rsid w:val="00D96845"/>
    <w:rsid w:val="00DB7627"/>
    <w:rsid w:val="00DC2A65"/>
    <w:rsid w:val="00DE15F0"/>
    <w:rsid w:val="00DE5663"/>
    <w:rsid w:val="00DE78AA"/>
    <w:rsid w:val="00E053D0"/>
    <w:rsid w:val="00E15994"/>
    <w:rsid w:val="00E2447C"/>
    <w:rsid w:val="00E2511C"/>
    <w:rsid w:val="00E3114E"/>
    <w:rsid w:val="00E31A70"/>
    <w:rsid w:val="00E35B02"/>
    <w:rsid w:val="00E45374"/>
    <w:rsid w:val="00E66496"/>
    <w:rsid w:val="00E66B35"/>
    <w:rsid w:val="00E66E10"/>
    <w:rsid w:val="00E769F6"/>
    <w:rsid w:val="00E772A2"/>
    <w:rsid w:val="00E77B70"/>
    <w:rsid w:val="00E8407C"/>
    <w:rsid w:val="00E84F3C"/>
    <w:rsid w:val="00EA012C"/>
    <w:rsid w:val="00EA0D6B"/>
    <w:rsid w:val="00EC6A55"/>
    <w:rsid w:val="00ED0288"/>
    <w:rsid w:val="00EE52CB"/>
    <w:rsid w:val="00EF581D"/>
    <w:rsid w:val="00EF7FD8"/>
    <w:rsid w:val="00F06F59"/>
    <w:rsid w:val="00F17988"/>
    <w:rsid w:val="00F469F0"/>
    <w:rsid w:val="00F53273"/>
    <w:rsid w:val="00F675C6"/>
    <w:rsid w:val="00F755E4"/>
    <w:rsid w:val="00F77D02"/>
    <w:rsid w:val="00F978D0"/>
    <w:rsid w:val="00FA0295"/>
    <w:rsid w:val="00FA1303"/>
    <w:rsid w:val="00FB3A86"/>
    <w:rsid w:val="00FC1C37"/>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82AC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footnote reference" w:uiPriority="99"/>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iPriority="22" w:unhideWhenUsed="0" w:qFormat="1"/>
    <w:lsdException w:name="Emphasis" w:semiHidden="0" w:uiPriority="20" w:unhideWhenUsed="0" w:qFormat="1"/>
    <w:lsdException w:name="Normal (Web)"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CD45C0"/>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CD45C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semiHidden/>
    <w:rsid w:val="00CD45C0"/>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semiHidden/>
    <w:rsid w:val="00CD45C0"/>
    <w:rPr>
      <w:rFonts w:asciiTheme="majorHAnsi" w:eastAsiaTheme="majorEastAsia" w:hAnsiTheme="majorHAnsi" w:cstheme="majorBidi"/>
      <w:i/>
      <w:iCs/>
      <w:color w:val="365F91" w:themeColor="accent1" w:themeShade="BF"/>
    </w:rPr>
  </w:style>
  <w:style w:type="character" w:customStyle="1" w:styleId="label">
    <w:name w:val="label"/>
    <w:basedOn w:val="DefaultParagraphFont"/>
    <w:rsid w:val="00060483"/>
  </w:style>
  <w:style w:type="character" w:styleId="Strong">
    <w:name w:val="Strong"/>
    <w:basedOn w:val="DefaultParagraphFont"/>
    <w:uiPriority w:val="22"/>
    <w:qFormat/>
    <w:rsid w:val="00060483"/>
    <w:rPr>
      <w:b/>
      <w:bCs/>
    </w:rPr>
  </w:style>
  <w:style w:type="paragraph" w:styleId="NormalWeb">
    <w:name w:val="Normal (Web)"/>
    <w:basedOn w:val="Normal"/>
    <w:uiPriority w:val="99"/>
    <w:unhideWhenUsed/>
    <w:rsid w:val="00060483"/>
    <w:pPr>
      <w:spacing w:before="100" w:beforeAutospacing="1" w:after="100" w:afterAutospacing="1"/>
    </w:pPr>
    <w:rPr>
      <w:rFonts w:ascii="Times New Roman" w:hAnsi="Times New Roman"/>
      <w:sz w:val="24"/>
      <w:szCs w:val="24"/>
    </w:rPr>
  </w:style>
  <w:style w:type="character" w:styleId="FootnoteReference">
    <w:name w:val="footnote reference"/>
    <w:basedOn w:val="DefaultParagraphFont"/>
    <w:uiPriority w:val="99"/>
    <w:semiHidden/>
    <w:unhideWhenUsed/>
    <w:rsid w:val="003933B5"/>
    <w:rPr>
      <w:vertAlign w:val="superscript"/>
    </w:rPr>
  </w:style>
  <w:style w:type="character" w:customStyle="1" w:styleId="UnresolvedMention2">
    <w:name w:val="Unresolved Mention2"/>
    <w:basedOn w:val="DefaultParagraphFont"/>
    <w:uiPriority w:val="99"/>
    <w:semiHidden/>
    <w:unhideWhenUsed/>
    <w:rsid w:val="00652D88"/>
    <w:rPr>
      <w:color w:val="605E5C"/>
      <w:shd w:val="clear" w:color="auto" w:fill="E1DFDD"/>
    </w:rPr>
  </w:style>
  <w:style w:type="table" w:customStyle="1" w:styleId="TableGrid1">
    <w:name w:val="Table Grid1"/>
    <w:basedOn w:val="TableNormal"/>
    <w:next w:val="TableGrid"/>
    <w:uiPriority w:val="59"/>
    <w:rsid w:val="00652D88"/>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
    <w:name w:val="hp"/>
    <w:basedOn w:val="DefaultParagraphFont"/>
    <w:rsid w:val="00152D5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footnote reference" w:uiPriority="99"/>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iPriority="22" w:unhideWhenUsed="0" w:qFormat="1"/>
    <w:lsdException w:name="Emphasis" w:semiHidden="0" w:uiPriority="20" w:unhideWhenUsed="0" w:qFormat="1"/>
    <w:lsdException w:name="Normal (Web)"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CD45C0"/>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CD45C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semiHidden/>
    <w:rsid w:val="00CD45C0"/>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semiHidden/>
    <w:rsid w:val="00CD45C0"/>
    <w:rPr>
      <w:rFonts w:asciiTheme="majorHAnsi" w:eastAsiaTheme="majorEastAsia" w:hAnsiTheme="majorHAnsi" w:cstheme="majorBidi"/>
      <w:i/>
      <w:iCs/>
      <w:color w:val="365F91" w:themeColor="accent1" w:themeShade="BF"/>
    </w:rPr>
  </w:style>
  <w:style w:type="character" w:customStyle="1" w:styleId="label">
    <w:name w:val="label"/>
    <w:basedOn w:val="DefaultParagraphFont"/>
    <w:rsid w:val="00060483"/>
  </w:style>
  <w:style w:type="character" w:styleId="Strong">
    <w:name w:val="Strong"/>
    <w:basedOn w:val="DefaultParagraphFont"/>
    <w:uiPriority w:val="22"/>
    <w:qFormat/>
    <w:rsid w:val="00060483"/>
    <w:rPr>
      <w:b/>
      <w:bCs/>
    </w:rPr>
  </w:style>
  <w:style w:type="paragraph" w:styleId="NormalWeb">
    <w:name w:val="Normal (Web)"/>
    <w:basedOn w:val="Normal"/>
    <w:uiPriority w:val="99"/>
    <w:unhideWhenUsed/>
    <w:rsid w:val="00060483"/>
    <w:pPr>
      <w:spacing w:before="100" w:beforeAutospacing="1" w:after="100" w:afterAutospacing="1"/>
    </w:pPr>
    <w:rPr>
      <w:rFonts w:ascii="Times New Roman" w:hAnsi="Times New Roman"/>
      <w:sz w:val="24"/>
      <w:szCs w:val="24"/>
    </w:rPr>
  </w:style>
  <w:style w:type="character" w:styleId="FootnoteReference">
    <w:name w:val="footnote reference"/>
    <w:basedOn w:val="DefaultParagraphFont"/>
    <w:uiPriority w:val="99"/>
    <w:semiHidden/>
    <w:unhideWhenUsed/>
    <w:rsid w:val="003933B5"/>
    <w:rPr>
      <w:vertAlign w:val="superscript"/>
    </w:rPr>
  </w:style>
  <w:style w:type="character" w:customStyle="1" w:styleId="UnresolvedMention2">
    <w:name w:val="Unresolved Mention2"/>
    <w:basedOn w:val="DefaultParagraphFont"/>
    <w:uiPriority w:val="99"/>
    <w:semiHidden/>
    <w:unhideWhenUsed/>
    <w:rsid w:val="00652D88"/>
    <w:rPr>
      <w:color w:val="605E5C"/>
      <w:shd w:val="clear" w:color="auto" w:fill="E1DFDD"/>
    </w:rPr>
  </w:style>
  <w:style w:type="table" w:customStyle="1" w:styleId="TableGrid1">
    <w:name w:val="Table Grid1"/>
    <w:basedOn w:val="TableNormal"/>
    <w:next w:val="TableGrid"/>
    <w:uiPriority w:val="59"/>
    <w:rsid w:val="00652D88"/>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
    <w:name w:val="hp"/>
    <w:basedOn w:val="DefaultParagraphFont"/>
    <w:rsid w:val="00152D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28651003">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64062175">
      <w:bodyDiv w:val="1"/>
      <w:marLeft w:val="0"/>
      <w:marRight w:val="0"/>
      <w:marTop w:val="0"/>
      <w:marBottom w:val="0"/>
      <w:divBdr>
        <w:top w:val="none" w:sz="0" w:space="0" w:color="auto"/>
        <w:left w:val="none" w:sz="0" w:space="0" w:color="auto"/>
        <w:bottom w:val="none" w:sz="0" w:space="0" w:color="auto"/>
        <w:right w:val="none" w:sz="0" w:space="0" w:color="auto"/>
      </w:divBdr>
    </w:div>
    <w:div w:id="42954896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48873767">
      <w:bodyDiv w:val="1"/>
      <w:marLeft w:val="0"/>
      <w:marRight w:val="0"/>
      <w:marTop w:val="0"/>
      <w:marBottom w:val="0"/>
      <w:divBdr>
        <w:top w:val="none" w:sz="0" w:space="0" w:color="auto"/>
        <w:left w:val="none" w:sz="0" w:space="0" w:color="auto"/>
        <w:bottom w:val="none" w:sz="0" w:space="0" w:color="auto"/>
        <w:right w:val="none" w:sz="0" w:space="0" w:color="auto"/>
      </w:divBdr>
    </w:div>
    <w:div w:id="973294788">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50879530">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95519821">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386100959">
      <w:bodyDiv w:val="1"/>
      <w:marLeft w:val="0"/>
      <w:marRight w:val="0"/>
      <w:marTop w:val="0"/>
      <w:marBottom w:val="0"/>
      <w:divBdr>
        <w:top w:val="none" w:sz="0" w:space="0" w:color="auto"/>
        <w:left w:val="none" w:sz="0" w:space="0" w:color="auto"/>
        <w:bottom w:val="none" w:sz="0" w:space="0" w:color="auto"/>
        <w:right w:val="none" w:sz="0" w:space="0" w:color="auto"/>
      </w:divBdr>
    </w:div>
    <w:div w:id="1450855958">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tiff"/><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s://www.sciencedirect.com/topics/pharmacology-toxicology-and-pharmaceutical-science/mutagenesis"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tiff"/><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2.tiff"/><Relationship Id="rId20" Type="http://schemas.openxmlformats.org/officeDocument/2006/relationships/hyperlink" Target="https://www.sciencedirect.com/topics/pharmacology-toxicology-and-pharmaceutical-science/hydrogen-bond"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1.tiff"/><Relationship Id="rId23" Type="http://schemas.openxmlformats.org/officeDocument/2006/relationships/header" Target="header5.xml"/><Relationship Id="rId28" Type="http://schemas.openxmlformats.org/officeDocument/2006/relationships/image" Target="media/image8.png"/><Relationship Id="rId10" Type="http://schemas.openxmlformats.org/officeDocument/2006/relationships/header" Target="header2.xml"/><Relationship Id="rId19" Type="http://schemas.openxmlformats.org/officeDocument/2006/relationships/image" Target="media/image5.tif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4.xml"/><Relationship Id="rId27" Type="http://schemas.openxmlformats.org/officeDocument/2006/relationships/image" Target="media/image7.pn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DE5378-1D94-4B21-A8CD-A62BD4003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386</TotalTime>
  <Pages>19</Pages>
  <Words>30831</Words>
  <Characters>175740</Characters>
  <Application>Microsoft Office Word</Application>
  <DocSecurity>0</DocSecurity>
  <Lines>1464</Lines>
  <Paragraphs>412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206159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ASUS</cp:lastModifiedBy>
  <cp:revision>48</cp:revision>
  <cp:lastPrinted>1999-07-06T11:00:00Z</cp:lastPrinted>
  <dcterms:created xsi:type="dcterms:W3CDTF">2025-04-05T20:53:00Z</dcterms:created>
  <dcterms:modified xsi:type="dcterms:W3CDTF">2025-04-13T22:04:00Z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f021dae9-6362-3560-af55-79f5ac14fc98</vt:lpwstr>
  </property>
  <property fmtid="{D5CDD505-2E9C-101B-9397-08002B2CF9AE}" pid="4" name="Mendeley Citation Style_1">
    <vt:lpwstr>http://www.zotero.org/styles/apa</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http://www.zotero.org/styles/beni-suef-university-journal-of-basic-and-applied-sciences</vt:lpwstr>
  </property>
  <property fmtid="{D5CDD505-2E9C-101B-9397-08002B2CF9AE}" pid="12" name="Mendeley Recent Style Name 3_1">
    <vt:lpwstr>Beni-Suef University Journal of Basic and Applied Sciences</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http://www.zotero.org/styles/heliyon</vt:lpwstr>
  </property>
  <property fmtid="{D5CDD505-2E9C-101B-9397-08002B2CF9AE}" pid="18" name="Mendeley Recent Style Name 6_1">
    <vt:lpwstr>Heliyon</vt:lpwstr>
  </property>
  <property fmtid="{D5CDD505-2E9C-101B-9397-08002B2CF9AE}" pid="19" name="Mendeley Recent Style Id 7_1">
    <vt:lpwstr>http://www.zotero.org/styles/in-silico-pharmacology</vt:lpwstr>
  </property>
  <property fmtid="{D5CDD505-2E9C-101B-9397-08002B2CF9AE}" pid="20" name="Mendeley Recent Style Name 7_1">
    <vt:lpwstr>In Silico Pharmacology</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