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DE98" w14:textId="05DFE9EB" w:rsidR="0021766B" w:rsidRPr="00B76270" w:rsidRDefault="00FD5A50" w:rsidP="0021766B">
      <w:pPr>
        <w:pStyle w:val="ListParagraph"/>
        <w:spacing w:after="100" w:afterAutospacing="1" w:line="360" w:lineRule="auto"/>
        <w:ind w:left="0"/>
        <w:rPr>
          <w:rFonts w:ascii="Times New Roman" w:hAnsi="Times New Roman"/>
        </w:rPr>
      </w:pPr>
      <w:bookmarkStart w:id="0" w:name="_Toc178857048"/>
      <w:r w:rsidRPr="007A6112">
        <w:rPr>
          <w:rFonts w:ascii="Times New Roman" w:hAnsi="Times New Roman"/>
          <w:color w:val="FF0000"/>
        </w:rPr>
        <w:t xml:space="preserve">IMPACT </w:t>
      </w:r>
      <w:r w:rsidR="00F353D9">
        <w:rPr>
          <w:rFonts w:ascii="Times New Roman" w:hAnsi="Times New Roman"/>
        </w:rPr>
        <w:t xml:space="preserve">OF </w:t>
      </w:r>
      <w:r w:rsidR="00F353D9" w:rsidRPr="00F353D9">
        <w:rPr>
          <w:rFonts w:ascii="Times New Roman" w:hAnsi="Times New Roman"/>
        </w:rPr>
        <w:t>RISK MANAGEMENT FRAMEWORK ON GOVERNANCE PROCESSES IN PUBLIC SECTOR: A CASE OF NATIONAL TREASURY IN THE NORTHRIFT, KENYA</w:t>
      </w:r>
    </w:p>
    <w:p w14:paraId="334653A6" w14:textId="77777777" w:rsidR="0021766B" w:rsidRPr="00B76270" w:rsidRDefault="0021766B" w:rsidP="0021766B">
      <w:pPr>
        <w:pStyle w:val="Heading1"/>
        <w:spacing w:before="0" w:after="100" w:afterAutospacing="1" w:line="240" w:lineRule="auto"/>
        <w:rPr>
          <w:sz w:val="24"/>
          <w:szCs w:val="24"/>
        </w:rPr>
      </w:pPr>
      <w:r w:rsidRPr="00B76270">
        <w:rPr>
          <w:sz w:val="24"/>
          <w:szCs w:val="24"/>
        </w:rPr>
        <w:t>Abstract</w:t>
      </w:r>
    </w:p>
    <w:p w14:paraId="6240B631" w14:textId="04CDD4FB" w:rsidR="00D51F49" w:rsidRPr="00FD2E1E" w:rsidRDefault="00D51F49" w:rsidP="00D51F49">
      <w:pPr>
        <w:spacing w:before="240" w:after="240"/>
        <w:jc w:val="both"/>
        <w:rPr>
          <w:rFonts w:ascii="Times New Roman" w:hAnsi="Times New Roman" w:cs="Times New Roman"/>
          <w:color w:val="FF0000"/>
          <w:sz w:val="24"/>
          <w:szCs w:val="24"/>
        </w:rPr>
      </w:pPr>
      <w:r w:rsidRPr="00FD2E1E">
        <w:rPr>
          <w:rFonts w:ascii="Times New Roman" w:hAnsi="Times New Roman" w:cs="Times New Roman"/>
          <w:color w:val="FF0000"/>
          <w:sz w:val="24"/>
          <w:szCs w:val="24"/>
        </w:rPr>
        <w:t>This paper sought to investigate the impact of risk management framework on governance processes in Kenya's public sector. The key objective is, to assess the impact of the risk management framework on governance processes at the National Treasury in the North Rift, Kenya. Grounded on systems theory to explore the relationship between internal controls and governance processes. A descriptive research design targeted 25 internal auditors in Kenya's North Rift region. A census approach was used to gather data from 23 participants. Data was analyzed based on the study's variable. The results, presented suggest a significant positive relationship between the variables. It was established that there was a moderate positive correlation between governance processes and risk management framework with a correlation of 0.</w:t>
      </w:r>
      <w:r w:rsidRPr="00FD2E1E">
        <w:rPr>
          <w:rFonts w:ascii="Times New Roman" w:hAnsi="Times New Roman" w:cs="Times New Roman"/>
          <w:b/>
          <w:bCs/>
          <w:color w:val="FF0000"/>
          <w:sz w:val="24"/>
          <w:szCs w:val="24"/>
        </w:rPr>
        <w:t>508</w:t>
      </w:r>
      <w:r w:rsidRPr="00FD2E1E">
        <w:rPr>
          <w:rFonts w:ascii="Times New Roman" w:hAnsi="Times New Roman" w:cs="Times New Roman"/>
          <w:color w:val="FF0000"/>
          <w:sz w:val="24"/>
          <w:szCs w:val="24"/>
        </w:rPr>
        <w:t xml:space="preserve">. Further simple regression analysis was conducted revealing that a unit change in a risk management framework will lead to </w:t>
      </w:r>
      <w:r w:rsidRPr="00FD2E1E">
        <w:rPr>
          <w:rFonts w:ascii="Times New Roman" w:hAnsi="Times New Roman" w:cs="Times New Roman"/>
          <w:b/>
          <w:bCs/>
          <w:color w:val="FF0000"/>
          <w:sz w:val="24"/>
          <w:szCs w:val="24"/>
        </w:rPr>
        <w:t xml:space="preserve">0.383 </w:t>
      </w:r>
      <w:r w:rsidRPr="00FD2E1E">
        <w:rPr>
          <w:rFonts w:ascii="Times New Roman" w:hAnsi="Times New Roman" w:cs="Times New Roman"/>
          <w:color w:val="FF0000"/>
          <w:sz w:val="24"/>
          <w:szCs w:val="24"/>
        </w:rPr>
        <w:t>changes in governance processes. The paper concludes that the risk management framework has a moderate impact on governance processes at the National Treasury in the North Rift, Kenya. This paper contributes to the enrichment of the literature on internal auditing by describing how the risk management framework would impact on governance processes at the national treasury in the North Rift, Kenya. Reinforce the need for internal auditors to adhere to the recommendations of the IPPF in developing and implementing a risk management framework in their organizations. Further research could explore other regions and public sector entities in Kenya to validate these findings and provide broader insights into the role of internal auditing in public governance.</w:t>
      </w:r>
    </w:p>
    <w:p w14:paraId="2C769364" w14:textId="0AB7FC2F" w:rsidR="0021766B" w:rsidRPr="00B76270" w:rsidRDefault="0021766B" w:rsidP="0021766B">
      <w:pPr>
        <w:spacing w:after="100" w:afterAutospacing="1" w:line="240" w:lineRule="auto"/>
        <w:rPr>
          <w:rFonts w:ascii="Times New Roman" w:hAnsi="Times New Roman" w:cs="Times New Roman"/>
          <w:b/>
          <w:sz w:val="24"/>
          <w:szCs w:val="24"/>
        </w:rPr>
      </w:pPr>
      <w:r w:rsidRPr="00B76270">
        <w:rPr>
          <w:rFonts w:ascii="Times New Roman" w:hAnsi="Times New Roman" w:cs="Times New Roman"/>
          <w:b/>
          <w:sz w:val="24"/>
          <w:szCs w:val="24"/>
        </w:rPr>
        <w:t>Keywords:</w:t>
      </w:r>
      <w:r w:rsidRPr="00B76270">
        <w:rPr>
          <w:rFonts w:ascii="Times New Roman" w:hAnsi="Times New Roman" w:cs="Times New Roman"/>
          <w:sz w:val="24"/>
          <w:szCs w:val="24"/>
        </w:rPr>
        <w:t xml:space="preserve"> Internal Auditing, Governance Proce</w:t>
      </w:r>
      <w:r w:rsidR="00A16A6F">
        <w:rPr>
          <w:rFonts w:ascii="Times New Roman" w:hAnsi="Times New Roman" w:cs="Times New Roman"/>
          <w:sz w:val="24"/>
          <w:szCs w:val="24"/>
        </w:rPr>
        <w:t>sses, Risk Management Framework</w:t>
      </w:r>
    </w:p>
    <w:bookmarkEnd w:id="0"/>
    <w:p w14:paraId="5C01263D" w14:textId="77777777" w:rsidR="0021766B" w:rsidRPr="00B76270" w:rsidRDefault="0021766B">
      <w:pPr>
        <w:rPr>
          <w:rFonts w:ascii="Times New Roman" w:hAnsi="Times New Roman" w:cs="Times New Roman"/>
          <w:sz w:val="24"/>
          <w:szCs w:val="24"/>
        </w:rPr>
      </w:pPr>
    </w:p>
    <w:p w14:paraId="3324D3DE" w14:textId="77777777" w:rsidR="00AE4DDE" w:rsidRPr="00B76270" w:rsidRDefault="0021766B" w:rsidP="0021766B">
      <w:pPr>
        <w:pStyle w:val="Heading1"/>
        <w:spacing w:before="0" w:after="100" w:afterAutospacing="1" w:line="360" w:lineRule="auto"/>
        <w:rPr>
          <w:sz w:val="24"/>
          <w:szCs w:val="24"/>
        </w:rPr>
      </w:pPr>
      <w:r w:rsidRPr="00B76270">
        <w:rPr>
          <w:sz w:val="24"/>
          <w:szCs w:val="24"/>
        </w:rPr>
        <w:t>INTRODUCTION</w:t>
      </w:r>
    </w:p>
    <w:p w14:paraId="76037DB8" w14:textId="77777777" w:rsidR="00D51F49" w:rsidRDefault="00D51F49" w:rsidP="00D51F49">
      <w:pPr>
        <w:spacing w:before="240" w:after="240"/>
      </w:pPr>
      <w:bookmarkStart w:id="1" w:name="_Toc178857056"/>
      <w:r w:rsidRPr="00D51F49">
        <w:rPr>
          <w:color w:val="FF0000"/>
        </w:rPr>
        <w:t>In the last decade, the role of internal audit has grown significantly within organizations, especially in some specific areas such as Risk Management (ERM), internal control, assurance and consulting services, influenced by many factors such as regulatory environment and economic complexity (</w:t>
      </w:r>
      <w:proofErr w:type="spellStart"/>
      <w:r w:rsidRPr="00D51F49">
        <w:rPr>
          <w:color w:val="FF0000"/>
        </w:rPr>
        <w:t>Kertali</w:t>
      </w:r>
      <w:proofErr w:type="spellEnd"/>
      <w:r w:rsidRPr="00D51F49">
        <w:rPr>
          <w:color w:val="FF0000"/>
        </w:rPr>
        <w:t xml:space="preserve"> and </w:t>
      </w:r>
      <w:proofErr w:type="spellStart"/>
      <w:r w:rsidRPr="00D51F49">
        <w:rPr>
          <w:color w:val="FF0000"/>
        </w:rPr>
        <w:t>Tahajuddin</w:t>
      </w:r>
      <w:proofErr w:type="spellEnd"/>
      <w:r w:rsidRPr="00D51F49">
        <w:rPr>
          <w:color w:val="FF0000"/>
        </w:rPr>
        <w:t xml:space="preserve">, 2018). </w:t>
      </w:r>
      <w:r>
        <w:t xml:space="preserve">According to IIA, (2024). Internal auditing is an independent, objective consultative process that is intended to enrich the operations of an institution and add value. It enables an organization to carry out its mandate in a disciplined approach by assessing and developing effective control processes and risk management. Ackers (2014), indicated that the internal audit is a service that adds value to the institution by providing an independent assessment of operations and controls. </w:t>
      </w:r>
      <w:proofErr w:type="spellStart"/>
      <w:r>
        <w:t>Gikonyo</w:t>
      </w:r>
      <w:proofErr w:type="spellEnd"/>
      <w:r>
        <w:t xml:space="preserve">, (2020), explains that to navigate the world of controls and risk management in the governance of an institution, internal audit units rely on the Standards and guidelines for professional practices for auditors. He further asserts that internal audits in public institutions have been acknowledged as an advanced approach aimed at achieving efficiency in the delivery of mandates to the public due to their </w:t>
      </w:r>
      <w:r>
        <w:lastRenderedPageBreak/>
        <w:t>known advantages. Therefore government institutions must strive to put in place an effective internal audit function to manage risks thus improving accountability within their operations, and ensuring that the public resources allocated are prudently managed.</w:t>
      </w:r>
    </w:p>
    <w:p w14:paraId="7EFAE0C5" w14:textId="77777777" w:rsidR="00D51F49" w:rsidRDefault="00D51F49" w:rsidP="00D51F49">
      <w:pPr>
        <w:spacing w:before="240" w:after="240"/>
      </w:pPr>
      <w:r>
        <w:t>Globally though not mandatory risk management, exists in most governments, private enterprises, and corporate entities (</w:t>
      </w:r>
      <w:proofErr w:type="spellStart"/>
      <w:proofErr w:type="gramStart"/>
      <w:r>
        <w:t>Cai</w:t>
      </w:r>
      <w:proofErr w:type="spellEnd"/>
      <w:proofErr w:type="gramEnd"/>
      <w:r>
        <w:t xml:space="preserve">, 2017). In South Africa, the management of most institutions views risk management, as a strategic approach to the achievement of management goals (Naomi and Wilkinson (2015). In Nigeria, risk management, was found to have a direct impact on the </w:t>
      </w:r>
      <w:proofErr w:type="gramStart"/>
      <w:r>
        <w:t>organization's</w:t>
      </w:r>
      <w:proofErr w:type="gramEnd"/>
      <w:r>
        <w:t xml:space="preserve"> operational processes and it impacted the overall performance of the institution, </w:t>
      </w:r>
      <w:proofErr w:type="spellStart"/>
      <w:r>
        <w:t>Asaolu</w:t>
      </w:r>
      <w:proofErr w:type="spellEnd"/>
      <w:r>
        <w:t xml:space="preserve"> et al. (2016). In Kenya, risk management, has been entrenched into the government systems and processes, with the government introducing a policy and guideline document in year 2015 referred to as </w:t>
      </w:r>
      <w:proofErr w:type="spellStart"/>
      <w:r>
        <w:t>Mwongozo</w:t>
      </w:r>
      <w:proofErr w:type="spellEnd"/>
      <w:r>
        <w:t xml:space="preserve"> demonstrating its commitment to ensuring that good governance practices are entrenched in the management and governance of its state institutions, (</w:t>
      </w:r>
      <w:proofErr w:type="spellStart"/>
      <w:r>
        <w:t>Ochieng</w:t>
      </w:r>
      <w:proofErr w:type="spellEnd"/>
      <w:r>
        <w:t xml:space="preserve">, 2017). </w:t>
      </w:r>
      <w:proofErr w:type="spellStart"/>
      <w:r>
        <w:t>Mwongozo</w:t>
      </w:r>
      <w:proofErr w:type="spellEnd"/>
      <w:r>
        <w:t xml:space="preserve"> points out that the management of parastatals ought to establish and operationalize an internal audit unit and a separate committee, entrusted with the task of supervising all the audit functions. Management should also support the audit unit by financing its operations and ensuring that its auditors are adequately trained, (</w:t>
      </w:r>
      <w:proofErr w:type="spellStart"/>
      <w:r>
        <w:t>Ochieng</w:t>
      </w:r>
      <w:proofErr w:type="spellEnd"/>
      <w:r>
        <w:t>, 2017).</w:t>
      </w:r>
    </w:p>
    <w:p w14:paraId="798DD92D" w14:textId="77777777" w:rsidR="00D51F49" w:rsidRDefault="00D51F49" w:rsidP="00D51F49">
      <w:pPr>
        <w:spacing w:before="240" w:after="240"/>
      </w:pPr>
      <w:r>
        <w:t>Governance processes on the other hand are the policies, procedures, and guidelines used to steer the government's activities giving reasonable assurance that quality service delivery is offered and operations are carried out ethically and accountably (IIA, 2024). They are considered tools used to achieve strategies and mandates of institutions (Belay, 2017). Public institution's Governance processes involve the implementation of fiscal and financial management policies, as well as robust budgeting frameworks, crucial to ensuring the efficient utilization of resources and delivery of services. More so in the public sector specific governance processes are procedures and policies used to manage the institution thus ensuring accountability and integrity, they include accounting procedures, procurement processes, communication, and segregation of duties among others (IIA, 2024).</w:t>
      </w:r>
    </w:p>
    <w:p w14:paraId="51D19E0A" w14:textId="77777777" w:rsidR="00D51F49" w:rsidRDefault="00D51F49" w:rsidP="00D51F49">
      <w:pPr>
        <w:spacing w:before="240" w:after="240"/>
      </w:pPr>
      <w:r>
        <w:t>The office of the Internal Auditor General Division in the National Treasury supports all Departments, and Agencies accounting officers by evaluating and reporting on the effectiveness of the risk management frameworks they implement, enabling them to fulfill their mandates effectively. The department has a regional and subcounty offices to aid its operations. The national treasury subcounty internal audit units in the North Rift Region are fully funded by the exchequer and exists to serve all the departments at the sub county level (IAGD 2024).</w:t>
      </w:r>
    </w:p>
    <w:p w14:paraId="71A8C7DC" w14:textId="77777777" w:rsidR="00D51F49" w:rsidRDefault="00D51F49" w:rsidP="00D51F49">
      <w:pPr>
        <w:spacing w:before="240" w:after="240"/>
      </w:pPr>
      <w:r>
        <w:t>The systems theory was used by the researcher to explore a wide and deep understanding of the concepts of risk management frameworks and governance processes in organizations. Therefore government institutions must strive to implement an effective internal audit function is crucial for promoting accountability in operations and ensuring that public resources are allocated and managed wisely.</w:t>
      </w:r>
    </w:p>
    <w:p w14:paraId="73084824" w14:textId="77777777" w:rsidR="00D51F49" w:rsidRDefault="00D51F49" w:rsidP="00D51F49">
      <w:pPr>
        <w:spacing w:before="240" w:after="240"/>
      </w:pPr>
      <w:r>
        <w:rPr>
          <w:b/>
          <w:bCs/>
        </w:rPr>
        <w:t>Statement of the Problem</w:t>
      </w:r>
    </w:p>
    <w:p w14:paraId="1FC48BC9" w14:textId="77777777" w:rsidR="00D51F49" w:rsidRDefault="00D51F49" w:rsidP="00D51F49">
      <w:pPr>
        <w:spacing w:before="240" w:after="240"/>
      </w:pPr>
      <w:r>
        <w:t>In Kenya, public institutions face risks stemming from the weakness of internal controls eventually resulting in the loss of public financial resources (</w:t>
      </w:r>
      <w:proofErr w:type="spellStart"/>
      <w:r>
        <w:t>Njoroge</w:t>
      </w:r>
      <w:proofErr w:type="spellEnd"/>
      <w:r>
        <w:t xml:space="preserve">, 2013). Weak internal controls similarly aid fraud in these institutions, therefore there's a need to assess, identify, and mitigate risks to control and </w:t>
      </w:r>
      <w:r>
        <w:lastRenderedPageBreak/>
        <w:t>minimize the impacts of its imminent threats. Recently the government of Kenya Sought to implement the zero vault audit regime 2023, with emphasis on the need to enhance the internal auditing department to ensure strict adherence to the process of governance in all cadres of the public sector to ensure financial reporting quality (GOK, 2023). Since the inception of devolution, all the counties, government ministries, and parastatals in the North Rift region received qualified opinions thus the Auditor-General was unsatisfied with the reliability of some of their expenditures and transactions which could have been flagged by the internal auditors (OAG 2024). Key issues raised by the Auditor-General reports show that most of these institutions in the North Rift region are grabbling with huge pending bills, serious cash management, procurement, and unresolved audit queries raised in preceding years thus the need to assess the effectiveness of risk management in these institutions. Therefore, this paper seeks to fill the gap by looking into the impact of risk management framework on governance processes at the National Treasury in the north rift, Kenya.</w:t>
      </w:r>
    </w:p>
    <w:p w14:paraId="5233577D" w14:textId="77777777" w:rsidR="00D51F49" w:rsidRDefault="00D51F49" w:rsidP="00D51F49">
      <w:pPr>
        <w:spacing w:before="240" w:after="240"/>
      </w:pPr>
      <w:r>
        <w:rPr>
          <w:b/>
          <w:bCs/>
        </w:rPr>
        <w:t xml:space="preserve">Objective </w:t>
      </w:r>
    </w:p>
    <w:p w14:paraId="16B03C77" w14:textId="77777777" w:rsidR="00D51F49" w:rsidRDefault="00D51F49" w:rsidP="00D51F49">
      <w:pPr>
        <w:spacing w:before="240" w:after="240"/>
      </w:pPr>
      <w:r>
        <w:t>To assess the impact of risk management framework on governance processes at the National Treasury in the north rift, Kenya.</w:t>
      </w:r>
    </w:p>
    <w:p w14:paraId="0E695133" w14:textId="77777777" w:rsidR="00C10F84" w:rsidRPr="00B76270" w:rsidRDefault="00C10F84" w:rsidP="00C10F84">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Objective</w:t>
      </w:r>
      <w:bookmarkEnd w:id="1"/>
      <w:r w:rsidRPr="00B76270">
        <w:rPr>
          <w:rFonts w:ascii="Times New Roman" w:hAnsi="Times New Roman" w:cs="Times New Roman"/>
          <w:b/>
          <w:sz w:val="24"/>
          <w:szCs w:val="24"/>
        </w:rPr>
        <w:t xml:space="preserve"> </w:t>
      </w:r>
    </w:p>
    <w:p w14:paraId="795CCE97" w14:textId="570556A7" w:rsidR="00C10F84" w:rsidRPr="00B76270" w:rsidRDefault="00C10F84" w:rsidP="00C10F84">
      <w:pPr>
        <w:spacing w:after="100" w:afterAutospacing="1" w:line="360" w:lineRule="auto"/>
        <w:rPr>
          <w:rFonts w:ascii="Times New Roman" w:hAnsi="Times New Roman" w:cs="Times New Roman"/>
          <w:sz w:val="24"/>
          <w:szCs w:val="24"/>
        </w:rPr>
      </w:pPr>
      <w:r w:rsidRPr="00B76270">
        <w:rPr>
          <w:rFonts w:ascii="Times New Roman" w:hAnsi="Times New Roman" w:cs="Times New Roman"/>
          <w:sz w:val="24"/>
          <w:szCs w:val="24"/>
        </w:rPr>
        <w:t xml:space="preserve">To assess the </w:t>
      </w:r>
      <w:r w:rsidR="008455F5">
        <w:rPr>
          <w:rFonts w:ascii="Times New Roman" w:hAnsi="Times New Roman" w:cs="Times New Roman"/>
          <w:sz w:val="24"/>
          <w:szCs w:val="24"/>
        </w:rPr>
        <w:t>impact</w:t>
      </w:r>
      <w:r w:rsidRPr="00B76270">
        <w:rPr>
          <w:rFonts w:ascii="Times New Roman" w:hAnsi="Times New Roman" w:cs="Times New Roman"/>
          <w:sz w:val="24"/>
          <w:szCs w:val="24"/>
        </w:rPr>
        <w:t xml:space="preserve"> of risk management framework on governance processes at the National Treasury in the north rift, Kenya.</w:t>
      </w:r>
    </w:p>
    <w:p w14:paraId="786E787A" w14:textId="77777777" w:rsidR="00C10F84" w:rsidRPr="00B76270" w:rsidRDefault="00C10F84" w:rsidP="00C10F84">
      <w:pPr>
        <w:pStyle w:val="Heading1"/>
        <w:spacing w:before="0" w:after="100" w:afterAutospacing="1" w:line="360" w:lineRule="auto"/>
        <w:rPr>
          <w:sz w:val="24"/>
          <w:szCs w:val="24"/>
        </w:rPr>
      </w:pPr>
      <w:bookmarkStart w:id="2" w:name="_Toc178857063"/>
      <w:r w:rsidRPr="00B76270">
        <w:rPr>
          <w:sz w:val="24"/>
          <w:szCs w:val="24"/>
        </w:rPr>
        <w:t>LITERATURE REVIEW</w:t>
      </w:r>
      <w:bookmarkStart w:id="3" w:name="_Toc178857067"/>
      <w:bookmarkEnd w:id="2"/>
    </w:p>
    <w:bookmarkEnd w:id="3"/>
    <w:p w14:paraId="4110E9D0" w14:textId="77777777" w:rsidR="00CD6F3C" w:rsidRPr="00B76270" w:rsidRDefault="00CD6F3C" w:rsidP="00CD6F3C">
      <w:pPr>
        <w:rPr>
          <w:rFonts w:ascii="Times New Roman" w:hAnsi="Times New Roman" w:cs="Times New Roman"/>
          <w:b/>
          <w:sz w:val="24"/>
          <w:szCs w:val="24"/>
        </w:rPr>
      </w:pPr>
      <w:r w:rsidRPr="00B76270">
        <w:rPr>
          <w:rFonts w:ascii="Times New Roman" w:hAnsi="Times New Roman" w:cs="Times New Roman"/>
          <w:b/>
          <w:sz w:val="24"/>
          <w:szCs w:val="24"/>
        </w:rPr>
        <w:t xml:space="preserve">Theoretical Review </w:t>
      </w:r>
    </w:p>
    <w:p w14:paraId="40E6B664" w14:textId="77777777" w:rsidR="00CD6F3C" w:rsidRPr="00B76270" w:rsidRDefault="00CD6F3C" w:rsidP="00CD6F3C">
      <w:pPr>
        <w:tabs>
          <w:tab w:val="left" w:pos="3150"/>
        </w:tabs>
        <w:autoSpaceDE w:val="0"/>
        <w:autoSpaceDN w:val="0"/>
        <w:adjustRightInd w:val="0"/>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This paper is grounded on the systems theory. According to </w:t>
      </w:r>
      <w:proofErr w:type="spellStart"/>
      <w:r w:rsidRPr="00B76270">
        <w:rPr>
          <w:rFonts w:ascii="Times New Roman" w:hAnsi="Times New Roman" w:cs="Times New Roman"/>
          <w:sz w:val="24"/>
          <w:szCs w:val="24"/>
        </w:rPr>
        <w:t>Nollet</w:t>
      </w:r>
      <w:proofErr w:type="spellEnd"/>
      <w:r w:rsidRPr="00B76270">
        <w:rPr>
          <w:rFonts w:ascii="Times New Roman" w:hAnsi="Times New Roman" w:cs="Times New Roman"/>
          <w:sz w:val="24"/>
          <w:szCs w:val="24"/>
        </w:rPr>
        <w:t xml:space="preserve"> and </w:t>
      </w:r>
      <w:proofErr w:type="spellStart"/>
      <w:r w:rsidRPr="00B76270">
        <w:rPr>
          <w:rFonts w:ascii="Times New Roman" w:hAnsi="Times New Roman" w:cs="Times New Roman"/>
          <w:sz w:val="24"/>
          <w:szCs w:val="24"/>
        </w:rPr>
        <w:t>Bealieu</w:t>
      </w:r>
      <w:proofErr w:type="spellEnd"/>
      <w:r w:rsidRPr="00B76270">
        <w:rPr>
          <w:rFonts w:ascii="Times New Roman" w:hAnsi="Times New Roman" w:cs="Times New Roman"/>
          <w:sz w:val="24"/>
          <w:szCs w:val="24"/>
        </w:rPr>
        <w:t xml:space="preserve"> (2005), System theory's main objective is to focus on consciously chosen tactical issues and political factors that affect how well an organization performs its audit function. </w:t>
      </w:r>
      <w:r w:rsidRPr="00B76270">
        <w:rPr>
          <w:rFonts w:ascii="Times New Roman" w:eastAsia="Times New Roman" w:hAnsi="Times New Roman" w:cs="Times New Roman"/>
          <w:sz w:val="24"/>
          <w:szCs w:val="24"/>
        </w:rPr>
        <w:t xml:space="preserve">System theory is important to this study because it addresses the risk management framework, or system, within which internal controls are applied. This application is further enhanced by the existence of numerous divisions, departments, other professional disciplines, units, and institutions that collaborate to achieve success. It promotes the organization's objectivity and independence, which is supposed to help the internal audit department operate smoothly in its independent capacity while also assisting the organization as a whole in maintaining the safe use of its resources. </w:t>
      </w:r>
    </w:p>
    <w:p w14:paraId="6DEFEE65" w14:textId="77777777" w:rsidR="00CD6F3C" w:rsidRPr="00B76270" w:rsidRDefault="00CD6F3C" w:rsidP="00CD6F3C">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Empirical Review</w:t>
      </w:r>
    </w:p>
    <w:p w14:paraId="28999141" w14:textId="77777777" w:rsidR="00CD6F3C"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lastRenderedPageBreak/>
        <w:t xml:space="preserve">Through corporate governance, risk management has evolved to be heavily associated with internal controls, which suggests the acceptable risk level as a means of accountability and as a benchmark for evaluating performance. As a result, risk management is seen as a step in the accountability process that distorts the lines between accountability for risk and solutions to it through risk management systems (Spira et al, 2013). </w:t>
      </w:r>
    </w:p>
    <w:p w14:paraId="467BCC5F" w14:textId="7580AE51" w:rsidR="00A82ECF" w:rsidRPr="004B3A86" w:rsidRDefault="00A82ECF" w:rsidP="004B3A86">
      <w:pPr>
        <w:spacing w:line="360" w:lineRule="auto"/>
        <w:jc w:val="both"/>
        <w:rPr>
          <w:rFonts w:ascii="Times New Roman" w:eastAsia="Times New Roman" w:hAnsi="Times New Roman" w:cs="Times New Roman"/>
          <w:color w:val="FF0000"/>
          <w:sz w:val="24"/>
          <w:szCs w:val="24"/>
        </w:rPr>
      </w:pPr>
      <w:r w:rsidRPr="004B3A86">
        <w:rPr>
          <w:rFonts w:ascii="Times New Roman" w:hAnsi="Times New Roman" w:cs="Times New Roman"/>
          <w:color w:val="FF0000"/>
          <w:sz w:val="24"/>
          <w:szCs w:val="24"/>
          <w:shd w:val="clear" w:color="auto" w:fill="FFFFFF"/>
        </w:rPr>
        <w:t xml:space="preserve">A study by </w:t>
      </w:r>
      <w:proofErr w:type="spellStart"/>
      <w:proofErr w:type="gramStart"/>
      <w:r w:rsidRPr="004B3A86">
        <w:rPr>
          <w:rFonts w:ascii="Times New Roman" w:hAnsi="Times New Roman" w:cs="Times New Roman"/>
          <w:color w:val="FF0000"/>
          <w:sz w:val="24"/>
          <w:szCs w:val="24"/>
        </w:rPr>
        <w:t>Kertali</w:t>
      </w:r>
      <w:proofErr w:type="spellEnd"/>
      <w:r w:rsidRPr="004B3A86">
        <w:rPr>
          <w:rFonts w:ascii="Times New Roman" w:hAnsi="Times New Roman" w:cs="Times New Roman"/>
          <w:color w:val="FF0000"/>
          <w:sz w:val="24"/>
          <w:szCs w:val="24"/>
        </w:rPr>
        <w:t xml:space="preserve">  and</w:t>
      </w:r>
      <w:proofErr w:type="gramEnd"/>
      <w:r w:rsidRPr="004B3A86">
        <w:rPr>
          <w:rFonts w:ascii="Times New Roman" w:hAnsi="Times New Roman" w:cs="Times New Roman"/>
          <w:color w:val="FF0000"/>
          <w:sz w:val="24"/>
          <w:szCs w:val="24"/>
        </w:rPr>
        <w:t xml:space="preserve"> </w:t>
      </w:r>
      <w:proofErr w:type="spellStart"/>
      <w:r w:rsidRPr="004B3A86">
        <w:rPr>
          <w:rFonts w:ascii="Times New Roman" w:hAnsi="Times New Roman" w:cs="Times New Roman"/>
          <w:color w:val="FF0000"/>
          <w:sz w:val="24"/>
          <w:szCs w:val="24"/>
        </w:rPr>
        <w:t>Tahajuddin</w:t>
      </w:r>
      <w:proofErr w:type="spellEnd"/>
      <w:r w:rsidRPr="004B3A86">
        <w:rPr>
          <w:rFonts w:ascii="Times New Roman" w:hAnsi="Times New Roman" w:cs="Times New Roman"/>
          <w:color w:val="FF0000"/>
          <w:sz w:val="24"/>
          <w:szCs w:val="24"/>
        </w:rPr>
        <w:t xml:space="preserve"> (2018) on </w:t>
      </w:r>
      <w:r w:rsidRPr="004B3A86">
        <w:rPr>
          <w:rFonts w:ascii="Times New Roman" w:hAnsi="Times New Roman" w:cs="Times New Roman"/>
          <w:color w:val="FF0000"/>
          <w:sz w:val="24"/>
          <w:szCs w:val="24"/>
          <w:shd w:val="clear" w:color="auto" w:fill="FFFFFF"/>
        </w:rPr>
        <w:t xml:space="preserve">the effect of internal auditors’ involvement in enterprise risk management on internal audit objectivity as evidenced from Malaysia. </w:t>
      </w:r>
      <w:r w:rsidRPr="004B3A86">
        <w:rPr>
          <w:rFonts w:ascii="Times New Roman" w:eastAsia="Times New Roman" w:hAnsi="Times New Roman" w:cs="Times New Roman"/>
          <w:color w:val="FF0000"/>
          <w:sz w:val="24"/>
          <w:szCs w:val="24"/>
        </w:rPr>
        <w:t xml:space="preserve">A quantitative method was used based on </w:t>
      </w:r>
      <w:proofErr w:type="gramStart"/>
      <w:r w:rsidRPr="004B3A86">
        <w:rPr>
          <w:rFonts w:ascii="Times New Roman" w:eastAsia="Times New Roman" w:hAnsi="Times New Roman" w:cs="Times New Roman"/>
          <w:color w:val="FF0000"/>
          <w:sz w:val="24"/>
          <w:szCs w:val="24"/>
        </w:rPr>
        <w:t>a  cross</w:t>
      </w:r>
      <w:proofErr w:type="gramEnd"/>
      <w:r w:rsidRPr="004B3A86">
        <w:rPr>
          <w:rFonts w:ascii="Times New Roman" w:eastAsia="Times New Roman" w:hAnsi="Times New Roman" w:cs="Times New Roman"/>
          <w:color w:val="FF0000"/>
          <w:sz w:val="24"/>
          <w:szCs w:val="24"/>
        </w:rPr>
        <w:t xml:space="preserve">-sectional  survey. The data collected </w:t>
      </w:r>
      <w:proofErr w:type="gramStart"/>
      <w:r w:rsidRPr="004B3A86">
        <w:rPr>
          <w:rFonts w:ascii="Times New Roman" w:eastAsia="Times New Roman" w:hAnsi="Times New Roman" w:cs="Times New Roman"/>
          <w:color w:val="FF0000"/>
          <w:sz w:val="24"/>
          <w:szCs w:val="24"/>
        </w:rPr>
        <w:t>from  119</w:t>
      </w:r>
      <w:proofErr w:type="gramEnd"/>
      <w:r w:rsidRPr="004B3A86">
        <w:rPr>
          <w:rFonts w:ascii="Times New Roman" w:eastAsia="Times New Roman" w:hAnsi="Times New Roman" w:cs="Times New Roman"/>
          <w:color w:val="FF0000"/>
          <w:sz w:val="24"/>
          <w:szCs w:val="24"/>
        </w:rPr>
        <w:t xml:space="preserve">  participants who were members of  the  institute  of  internal  auditor  Malaysia.  the  findings  indicate  that  the majority  of  internal  auditors  in  Malaysia  are  low  involved  in  the  ERM  process additionally ,  found  that internal audit objectivity is affected by the level of internal auditors’ involvement in ERM</w:t>
      </w:r>
      <w:r w:rsidR="004B3A86" w:rsidRPr="004B3A86">
        <w:rPr>
          <w:rFonts w:ascii="Times New Roman" w:eastAsia="Times New Roman" w:hAnsi="Times New Roman" w:cs="Times New Roman"/>
          <w:color w:val="FF0000"/>
          <w:sz w:val="24"/>
          <w:szCs w:val="24"/>
        </w:rPr>
        <w:t>.</w:t>
      </w:r>
    </w:p>
    <w:p w14:paraId="26662822"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The OECD (2014) conducted an independent review of the OECD Principles of Corporate Governance and compiled a report on risk management and corporate governance. A questionnaire involving all participating countries was distributed between December 2012 and June 2013, with a total of 27 jurisdictions being included. They report that risk-taking is an essential aspect of business and entrepreneurship, however the cost of poor risk management practices both internally and externally, including the time required for management to correct the situation was understated. As a result, it advises nations that risk management and communication should be a part of their overall governance framework.</w:t>
      </w:r>
    </w:p>
    <w:p w14:paraId="381E58B3"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Olweny</w:t>
      </w:r>
      <w:proofErr w:type="spellEnd"/>
      <w:r w:rsidRPr="00B76270">
        <w:rPr>
          <w:rFonts w:ascii="Times New Roman" w:hAnsi="Times New Roman" w:cs="Times New Roman"/>
          <w:sz w:val="24"/>
          <w:szCs w:val="24"/>
        </w:rPr>
        <w:t xml:space="preserve"> (2018) looked at the impact of risk management techniques on corporate governance in Kenyan insurance firms. 53 insurance companies were the population under consideration at the time of data collection for this study, which adopted a descriptive research approach. In this study, standardized questionnaires were used to collect primary data. Because the data was quantitative, descriptive statistics were used to evaluate it.  </w:t>
      </w:r>
      <w:r w:rsidRPr="00B76270">
        <w:rPr>
          <w:rFonts w:ascii="Times New Roman" w:hAnsi="Times New Roman" w:cs="Times New Roman"/>
          <w:sz w:val="24"/>
          <w:szCs w:val="24"/>
          <w:shd w:val="clear" w:color="auto" w:fill="FFFFFF"/>
        </w:rPr>
        <w:t xml:space="preserve">It was found that Kenyan insurance companies had integrated risk management frameworks into their corporate governance </w:t>
      </w:r>
      <w:proofErr w:type="spellStart"/>
      <w:r w:rsidRPr="00B76270">
        <w:rPr>
          <w:rFonts w:ascii="Times New Roman" w:hAnsi="Times New Roman" w:cs="Times New Roman"/>
          <w:sz w:val="24"/>
          <w:szCs w:val="24"/>
          <w:shd w:val="clear" w:color="auto" w:fill="FFFFFF"/>
        </w:rPr>
        <w:t>strategies</w:t>
      </w:r>
      <w:proofErr w:type="gramStart"/>
      <w:r w:rsidRPr="00B76270">
        <w:rPr>
          <w:rFonts w:ascii="Times New Roman" w:hAnsi="Times New Roman" w:cs="Times New Roman"/>
          <w:sz w:val="24"/>
          <w:szCs w:val="24"/>
          <w:shd w:val="clear" w:color="auto" w:fill="FFFFFF"/>
        </w:rPr>
        <w:t>,that</w:t>
      </w:r>
      <w:proofErr w:type="spellEnd"/>
      <w:proofErr w:type="gramEnd"/>
      <w:r w:rsidRPr="00B76270">
        <w:rPr>
          <w:rFonts w:ascii="Times New Roman" w:hAnsi="Times New Roman" w:cs="Times New Roman"/>
          <w:sz w:val="24"/>
          <w:szCs w:val="24"/>
          <w:shd w:val="clear" w:color="auto" w:fill="FFFFFF"/>
        </w:rPr>
        <w:t xml:space="preserve"> involve risk avoidance, acceptance, reduction, and transfer through a rigorous risk assessment process that includes risk identification, evaluation, treatment, and monitoring. The study concluded that </w:t>
      </w:r>
      <w:r w:rsidRPr="00B76270">
        <w:rPr>
          <w:rFonts w:ascii="Times New Roman" w:hAnsi="Times New Roman" w:cs="Times New Roman"/>
          <w:sz w:val="24"/>
          <w:szCs w:val="24"/>
          <w:shd w:val="clear" w:color="auto" w:fill="FFFFFF"/>
        </w:rPr>
        <w:lastRenderedPageBreak/>
        <w:t xml:space="preserve">corporate governance of insurance companies in Kenya has a significant connection to risk management practices. </w:t>
      </w:r>
    </w:p>
    <w:p w14:paraId="7F3D9547" w14:textId="77777777" w:rsidR="00CD6F3C" w:rsidRPr="00B76270" w:rsidRDefault="00CD6F3C" w:rsidP="00CD6F3C">
      <w:pPr>
        <w:autoSpaceDE w:val="0"/>
        <w:autoSpaceDN w:val="0"/>
        <w:adjustRightInd w:val="0"/>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In their study, Mutua et al. (2020) sought to determine whether the risk management framework, which includes risk identification, risk planning, risk analysis, and risk control, could be used to accurately determine the operational performance of civil society organizations in Kenya. The findings were meant to help professionals, academics, development workers, and development partners determine whether risk management processes are a factor in effective functional performance. Risk management processes and functional performance are significantly correlated, according to a comprehensive questionnaire that was used to assess 186 nongovernmental organizations. In particular, the results showed that risk identification is a better indicator of an organization's functional success than any other risk process. The risk management process is recognized in this study as an excellent indicator of NGO functional performance, improving the body of information about NGOs' operational efficacy.</w:t>
      </w:r>
    </w:p>
    <w:p w14:paraId="7894C538"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Njoki (2018) assessed the extent to which the efficiency of service delivery in public sector was influenced by risk management and internal audit committees. The findings demonstrated that it is the role of internal auditors to advise the management of the company on risk related to issues such as risk management, risk policies and processes in place are sound and suitable. The study demonstrates that, all other things being equal, risk assessment and management in the companies will significantly decline when internal audits is nonexistent. Further the report, asserts that in order to guarantee internal audit committee independence, the government should reinforce the body's independence. </w:t>
      </w:r>
    </w:p>
    <w:p w14:paraId="7E5EDC11" w14:textId="77777777" w:rsidR="00CD6F3C" w:rsidRPr="00B76270" w:rsidRDefault="00CD6F3C" w:rsidP="00CD6F3C">
      <w:pPr>
        <w:spacing w:before="120" w:after="100" w:afterAutospacing="1" w:line="360" w:lineRule="auto"/>
        <w:jc w:val="both"/>
        <w:rPr>
          <w:rFonts w:ascii="Times New Roman" w:hAnsi="Times New Roman" w:cs="Times New Roman"/>
          <w:sz w:val="24"/>
          <w:szCs w:val="24"/>
          <w:shd w:val="clear" w:color="auto" w:fill="FFFFFF"/>
        </w:rPr>
      </w:pPr>
      <w:r w:rsidRPr="00B76270">
        <w:rPr>
          <w:rFonts w:ascii="Times New Roman" w:hAnsi="Times New Roman" w:cs="Times New Roman"/>
          <w:sz w:val="24"/>
          <w:szCs w:val="24"/>
          <w:shd w:val="clear" w:color="auto" w:fill="FFFFFF"/>
        </w:rPr>
        <w:t>In the study of internal audit's role in enterprise risk management (ERM), Odoyo et al. (2014) used data from Kenyan public sector companies being the  nine state</w:t>
      </w:r>
      <w:r w:rsidR="00757B0A" w:rsidRPr="00B76270">
        <w:rPr>
          <w:rFonts w:ascii="Times New Roman" w:hAnsi="Times New Roman" w:cs="Times New Roman"/>
          <w:sz w:val="24"/>
          <w:szCs w:val="24"/>
          <w:shd w:val="clear" w:color="auto" w:fill="FFFFFF"/>
        </w:rPr>
        <w:t xml:space="preserve"> parastat</w:t>
      </w:r>
      <w:r w:rsidRPr="00B76270">
        <w:rPr>
          <w:rFonts w:ascii="Times New Roman" w:hAnsi="Times New Roman" w:cs="Times New Roman"/>
          <w:sz w:val="24"/>
          <w:szCs w:val="24"/>
          <w:shd w:val="clear" w:color="auto" w:fill="FFFFFF"/>
        </w:rPr>
        <w:t>a</w:t>
      </w:r>
      <w:r w:rsidR="00757B0A" w:rsidRPr="00B76270">
        <w:rPr>
          <w:rFonts w:ascii="Times New Roman" w:hAnsi="Times New Roman" w:cs="Times New Roman"/>
          <w:sz w:val="24"/>
          <w:szCs w:val="24"/>
          <w:shd w:val="clear" w:color="auto" w:fill="FFFFFF"/>
        </w:rPr>
        <w:t>l</w:t>
      </w:r>
      <w:r w:rsidRPr="00B76270">
        <w:rPr>
          <w:rFonts w:ascii="Times New Roman" w:hAnsi="Times New Roman" w:cs="Times New Roman"/>
          <w:sz w:val="24"/>
          <w:szCs w:val="24"/>
          <w:shd w:val="clear" w:color="auto" w:fill="FFFFFF"/>
        </w:rPr>
        <w:t xml:space="preserve">s, the study was conducted as a cross-sectional survey. Based on the results, the research came to the conclusion that State Corporation management must foster an atmosphere that would encourage internal auditing in order to fulfill its duty of giving reassurance that institutional risks are appropriately monitored. The study's suggestions include preserving the corporations' confidence, by instituting changes to the internal audit and regulatory compliance certification processes. The intended outcome of this will be their widespread adoption, which will strengthen internal controls and </w:t>
      </w:r>
      <w:r w:rsidRPr="00B76270">
        <w:rPr>
          <w:rFonts w:ascii="Times New Roman" w:hAnsi="Times New Roman" w:cs="Times New Roman"/>
          <w:sz w:val="24"/>
          <w:szCs w:val="24"/>
          <w:shd w:val="clear" w:color="auto" w:fill="FFFFFF"/>
        </w:rPr>
        <w:lastRenderedPageBreak/>
        <w:t>result in operational standardization. They recommend more investigation to determine the ways in which auditors themselves enhance the efficacy of the internal audit function, taking into account variables like qualifications and educational attainment, among others.</w:t>
      </w:r>
    </w:p>
    <w:p w14:paraId="182D7994" w14:textId="77777777" w:rsidR="00CD6F3C" w:rsidRPr="00B76270" w:rsidRDefault="00CD6F3C" w:rsidP="00CD6F3C">
      <w:pPr>
        <w:spacing w:before="120" w:after="100" w:afterAutospacing="1" w:line="360" w:lineRule="auto"/>
        <w:jc w:val="both"/>
        <w:rPr>
          <w:rFonts w:ascii="Times New Roman" w:hAnsi="Times New Roman" w:cs="Times New Roman"/>
          <w:sz w:val="24"/>
          <w:szCs w:val="24"/>
        </w:rPr>
      </w:pPr>
      <w:proofErr w:type="spellStart"/>
      <w:r w:rsidRPr="00B76270">
        <w:rPr>
          <w:rFonts w:ascii="Times New Roman" w:hAnsi="Times New Roman" w:cs="Times New Roman"/>
          <w:sz w:val="24"/>
          <w:szCs w:val="24"/>
        </w:rPr>
        <w:t>Gakiya</w:t>
      </w:r>
      <w:proofErr w:type="spellEnd"/>
      <w:r w:rsidRPr="00B76270">
        <w:rPr>
          <w:rFonts w:ascii="Times New Roman" w:hAnsi="Times New Roman" w:cs="Times New Roman"/>
          <w:sz w:val="24"/>
          <w:szCs w:val="24"/>
        </w:rPr>
        <w:t xml:space="preserve"> et al (2019) aimed at determining how enterprise risk management impacted the organizational performance of Kenyan state corporations. They used an explanatory cross-sectional survey design guided by agency theory. Primary </w:t>
      </w:r>
      <w:proofErr w:type="spellStart"/>
      <w:r w:rsidRPr="00B76270">
        <w:rPr>
          <w:rFonts w:ascii="Times New Roman" w:hAnsi="Times New Roman" w:cs="Times New Roman"/>
          <w:sz w:val="24"/>
          <w:szCs w:val="24"/>
        </w:rPr>
        <w:t>datat</w:t>
      </w:r>
      <w:proofErr w:type="spellEnd"/>
      <w:r w:rsidRPr="00B76270">
        <w:rPr>
          <w:rFonts w:ascii="Times New Roman" w:hAnsi="Times New Roman" w:cs="Times New Roman"/>
          <w:sz w:val="24"/>
          <w:szCs w:val="24"/>
        </w:rPr>
        <w:t xml:space="preserve"> was collected using structured questionnaires, </w:t>
      </w:r>
      <w:proofErr w:type="gramStart"/>
      <w:r w:rsidRPr="00B76270">
        <w:rPr>
          <w:rFonts w:ascii="Times New Roman" w:hAnsi="Times New Roman" w:cs="Times New Roman"/>
          <w:sz w:val="24"/>
          <w:szCs w:val="24"/>
        </w:rPr>
        <w:t>with  218</w:t>
      </w:r>
      <w:proofErr w:type="gramEnd"/>
      <w:r w:rsidRPr="00B76270">
        <w:rPr>
          <w:rFonts w:ascii="Times New Roman" w:hAnsi="Times New Roman" w:cs="Times New Roman"/>
          <w:sz w:val="24"/>
          <w:szCs w:val="24"/>
        </w:rPr>
        <w:t xml:space="preserve"> state corporations subjected to a survey. Using multiple regression analysis, the research hypotheses were examined. According to the findings, risk management, governance, and process improvements significantly and favorably impacted organizational performance. The study recommends that in order to address risks before they even arise, policy makers in state should anticipate risks by incorporating risk management procedures across all the organization.</w:t>
      </w:r>
    </w:p>
    <w:p w14:paraId="239DF0EB" w14:textId="77777777" w:rsidR="00CD6F3C" w:rsidRPr="00B76270" w:rsidRDefault="00CD6F3C" w:rsidP="00CD6F3C">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Maina (2016) conducted a study on the views of county assembly members about risk management auditing's role in achieving service delivery in the counties. Nairobi, Kiambu, and Kajiado counties were the study's primary target areas. The research's findings showed that risk management auditing and other public financial management techniques had little effect on the counties' ability to provide services. </w:t>
      </w:r>
    </w:p>
    <w:p w14:paraId="7D302C27" w14:textId="77777777" w:rsidR="00CD6F3C" w:rsidRPr="00B76270" w:rsidRDefault="00CD6F3C" w:rsidP="00CD6F3C">
      <w:pPr>
        <w:pStyle w:val="Heading1"/>
        <w:spacing w:before="0" w:after="100" w:afterAutospacing="1" w:line="360" w:lineRule="auto"/>
        <w:rPr>
          <w:sz w:val="24"/>
          <w:szCs w:val="24"/>
        </w:rPr>
      </w:pPr>
      <w:bookmarkStart w:id="4" w:name="_Toc178857078"/>
      <w:r w:rsidRPr="00B76270">
        <w:rPr>
          <w:sz w:val="24"/>
          <w:szCs w:val="24"/>
        </w:rPr>
        <w:t>METHODOLOGY</w:t>
      </w:r>
      <w:bookmarkEnd w:id="4"/>
    </w:p>
    <w:p w14:paraId="4BA73DE7" w14:textId="77777777" w:rsidR="00D51F49" w:rsidRDefault="00D51F49" w:rsidP="00D51F49">
      <w:pPr>
        <w:spacing w:before="240" w:after="240"/>
      </w:pPr>
      <w:bookmarkStart w:id="5" w:name="_3fwokq0" w:colFirst="0" w:colLast="0"/>
      <w:bookmarkStart w:id="6" w:name="_1v1yuxt" w:colFirst="0" w:colLast="0"/>
      <w:bookmarkStart w:id="7" w:name="_Toc156387301"/>
      <w:bookmarkEnd w:id="5"/>
      <w:bookmarkEnd w:id="6"/>
      <w:r>
        <w:t>A descriptive research design was used as it involves observation and examination of variables naturally, without intentional manipulation (</w:t>
      </w:r>
      <w:proofErr w:type="spellStart"/>
      <w:r>
        <w:t>Abutabenjeh</w:t>
      </w:r>
      <w:proofErr w:type="spellEnd"/>
      <w:r>
        <w:t xml:space="preserve"> &amp; </w:t>
      </w:r>
      <w:proofErr w:type="spellStart"/>
      <w:r>
        <w:t>Jaradat</w:t>
      </w:r>
      <w:proofErr w:type="spellEnd"/>
      <w:r>
        <w:t>, 2018). The techniques were selected because they are more exact and accurate in describing occurrences in an organized manner (</w:t>
      </w:r>
      <w:proofErr w:type="spellStart"/>
      <w:r>
        <w:t>Babbie</w:t>
      </w:r>
      <w:proofErr w:type="spellEnd"/>
      <w:r>
        <w:t>, 2004). The target population of this paper was the 25 internal auditors of the National Treasury in the north rift region domiciled in sub counties, as shown in table ii below. This is so because members of internal auditors have the most in-depth knowledge of the study's subject matter. Table ii provides an overview of the target population. Due to the population size identified, the research used the census method to collect data from all 25 individuals as highlighted in table one above. A census is a technique where data from the entire population is collected (Hair, et al, 2011).</w:t>
      </w:r>
    </w:p>
    <w:p w14:paraId="69FEAB18" w14:textId="77777777" w:rsidR="00D51F49" w:rsidRDefault="00D51F49" w:rsidP="00D51F49">
      <w:pPr>
        <w:spacing w:before="240" w:after="240"/>
      </w:pPr>
      <w:r>
        <w:t>Questionnaires having structured questions was the primary tool for collecting data. They were shared physically and using Google Forms via emails and apps where respondents complete them and submit them back. Compared to other instruments, the questionnaire is a quick and effective technique to collect data (</w:t>
      </w:r>
      <w:proofErr w:type="spellStart"/>
      <w:r>
        <w:t>Mugenda</w:t>
      </w:r>
      <w:proofErr w:type="spellEnd"/>
      <w:r>
        <w:t xml:space="preserve"> &amp; </w:t>
      </w:r>
      <w:proofErr w:type="spellStart"/>
      <w:r>
        <w:t>Mugenda</w:t>
      </w:r>
      <w:proofErr w:type="spellEnd"/>
      <w:r>
        <w:t xml:space="preserve">, 2003). For the structured questions, a five-point Likert scale was </w:t>
      </w:r>
      <w:r>
        <w:lastRenderedPageBreak/>
        <w:t>employed; the idea behind the Likert is that it is easy to create, read, comprehend, and respond to statements on in an appropriate manner for respondents.</w:t>
      </w:r>
    </w:p>
    <w:p w14:paraId="23D1888D" w14:textId="77777777" w:rsidR="00CD6F3C" w:rsidRPr="00B76270" w:rsidRDefault="00CD6F3C" w:rsidP="00CD6F3C">
      <w:pPr>
        <w:spacing w:after="100" w:afterAutospacing="1" w:line="360" w:lineRule="auto"/>
        <w:rPr>
          <w:rFonts w:ascii="Times New Roman" w:hAnsi="Times New Roman" w:cs="Times New Roman"/>
          <w:b/>
          <w:sz w:val="24"/>
          <w:szCs w:val="24"/>
        </w:rPr>
      </w:pPr>
      <w:r w:rsidRPr="00B76270">
        <w:rPr>
          <w:rFonts w:ascii="Times New Roman" w:hAnsi="Times New Roman" w:cs="Times New Roman"/>
          <w:b/>
          <w:sz w:val="24"/>
          <w:szCs w:val="24"/>
        </w:rPr>
        <w:t>DATA ANALYSIS AND RESULTS</w:t>
      </w:r>
      <w:bookmarkEnd w:id="7"/>
    </w:p>
    <w:p w14:paraId="387048FD" w14:textId="77777777" w:rsidR="00CD6F3C" w:rsidRPr="00B76270" w:rsidRDefault="00CD6F3C" w:rsidP="00CD6F3C">
      <w:pPr>
        <w:spacing w:after="100" w:afterAutospacing="1" w:line="360" w:lineRule="auto"/>
        <w:jc w:val="both"/>
        <w:rPr>
          <w:rStyle w:val="Heading3Char"/>
          <w:rFonts w:ascii="Times New Roman" w:eastAsiaTheme="minorHAnsi" w:hAnsi="Times New Roman" w:cs="Times New Roman"/>
        </w:rPr>
      </w:pPr>
      <w:r w:rsidRPr="00B76270">
        <w:rPr>
          <w:rFonts w:ascii="Times New Roman" w:hAnsi="Times New Roman" w:cs="Times New Roman"/>
          <w:sz w:val="24"/>
          <w:szCs w:val="24"/>
        </w:rPr>
        <w:t xml:space="preserve">The researcher sent a total 25 questionnaires to internal auditors of the National Treasury in the North rift, Kenya using Google forms. 23 questionnaires were filled and returned giving a response rate of 92%. </w:t>
      </w:r>
      <w:bookmarkStart w:id="8" w:name="_Toc55487576"/>
      <w:bookmarkStart w:id="9" w:name="_Toc55741254"/>
      <w:bookmarkStart w:id="10" w:name="_Toc174384381"/>
      <w:r w:rsidRPr="00B76270">
        <w:rPr>
          <w:rFonts w:ascii="Times New Roman" w:hAnsi="Times New Roman" w:cs="Times New Roman"/>
          <w:sz w:val="24"/>
          <w:szCs w:val="24"/>
        </w:rPr>
        <w:t xml:space="preserve">This response rate is considered strong and representative of the target population. </w:t>
      </w:r>
      <w:bookmarkEnd w:id="8"/>
      <w:bookmarkEnd w:id="9"/>
      <w:bookmarkEnd w:id="10"/>
    </w:p>
    <w:p w14:paraId="46ACDB7D" w14:textId="4DC4F6BE" w:rsidR="00CD6F3C" w:rsidRPr="00B76270" w:rsidRDefault="00BA0D2C" w:rsidP="00CD6F3C">
      <w:pPr>
        <w:spacing w:after="100" w:afterAutospacing="1" w:line="360" w:lineRule="auto"/>
        <w:jc w:val="both"/>
        <w:rPr>
          <w:rFonts w:ascii="Times New Roman" w:hAnsi="Times New Roman" w:cs="Times New Roman"/>
          <w:sz w:val="24"/>
          <w:szCs w:val="24"/>
        </w:rPr>
      </w:pPr>
      <w:bookmarkStart w:id="11" w:name="_28h4qwu" w:colFirst="0" w:colLast="0"/>
      <w:bookmarkEnd w:id="11"/>
      <w:r>
        <w:rPr>
          <w:rFonts w:ascii="Times New Roman" w:hAnsi="Times New Roman" w:cs="Times New Roman"/>
          <w:color w:val="000000"/>
          <w:sz w:val="24"/>
          <w:szCs w:val="24"/>
        </w:rPr>
        <w:t>The paper</w:t>
      </w:r>
      <w:r w:rsidR="00CD6F3C" w:rsidRPr="00B76270">
        <w:rPr>
          <w:rFonts w:ascii="Times New Roman" w:hAnsi="Times New Roman" w:cs="Times New Roman"/>
          <w:color w:val="000000"/>
          <w:sz w:val="24"/>
          <w:szCs w:val="24"/>
        </w:rPr>
        <w:t xml:space="preserve"> established that majority (12)</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(52.1%) of the participants were of the level of senior internal auditor followed by those who were associate internal auditor levels</w:t>
      </w:r>
      <w:r w:rsidR="00623D53">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(7) (26.9%). Those who were of the level of principal internal auditors were the least (4)</w:t>
      </w:r>
      <w:r w:rsidR="00757B0A" w:rsidRPr="00B76270">
        <w:rPr>
          <w:rFonts w:ascii="Times New Roman" w:hAnsi="Times New Roman" w:cs="Times New Roman"/>
          <w:color w:val="000000"/>
          <w:sz w:val="24"/>
          <w:szCs w:val="24"/>
        </w:rPr>
        <w:t xml:space="preserve"> </w:t>
      </w:r>
      <w:r w:rsidR="00CD6F3C" w:rsidRPr="00B76270">
        <w:rPr>
          <w:rFonts w:ascii="Times New Roman" w:hAnsi="Times New Roman" w:cs="Times New Roman"/>
          <w:color w:val="000000"/>
          <w:sz w:val="24"/>
          <w:szCs w:val="24"/>
        </w:rPr>
        <w:t>(17.4%)</w:t>
      </w:r>
      <w:r w:rsidR="00CD6F3C" w:rsidRPr="00B76270">
        <w:rPr>
          <w:rFonts w:ascii="Times New Roman" w:hAnsi="Times New Roman" w:cs="Times New Roman"/>
          <w:sz w:val="24"/>
          <w:szCs w:val="24"/>
        </w:rPr>
        <w:t xml:space="preserve">. </w:t>
      </w:r>
      <w:r w:rsidR="00CD6F3C" w:rsidRPr="00B76270">
        <w:rPr>
          <w:rFonts w:ascii="Times New Roman" w:hAnsi="Times New Roman" w:cs="Times New Roman"/>
          <w:color w:val="000000"/>
          <w:sz w:val="24"/>
          <w:szCs w:val="24"/>
        </w:rPr>
        <w:t xml:space="preserve"> </w:t>
      </w:r>
      <w:bookmarkStart w:id="12" w:name="_Toc174384388"/>
      <w:r w:rsidR="00CD6F3C" w:rsidRPr="00B76270">
        <w:rPr>
          <w:rFonts w:ascii="Times New Roman" w:hAnsi="Times New Roman" w:cs="Times New Roman"/>
          <w:sz w:val="24"/>
          <w:szCs w:val="24"/>
        </w:rPr>
        <w:t>This indicates that most participants possessed ample knowledge and experience in internal auditing, allowing them to effectively and accurately provide the information needed for the study.</w:t>
      </w:r>
      <w:bookmarkEnd w:id="12"/>
    </w:p>
    <w:p w14:paraId="706D327C"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 Participants were asked to specify their years of experience working in the internal audit department of the National Treasury in North Rift, Kenya. The findings revealed that the majority of respondents (10) (43.5%) had between 7 to 13 years of experience, while (9) 39.1% had worked for 1 to 6 years. The smallest group consisted of those with 14 to 20 years of experience, accounting for (4) 17.4%. This distribution indicates that most participants possessed ample experience within the internal auditing department, enabling them to effectively and accurately provide the information required for this study.</w:t>
      </w:r>
    </w:p>
    <w:p w14:paraId="2836A45A"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t>Descriptive statistics</w:t>
      </w:r>
    </w:p>
    <w:p w14:paraId="534BDA59" w14:textId="77777777" w:rsidR="00CD6F3C" w:rsidRDefault="00CD6F3C"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B76270">
        <w:rPr>
          <w:rFonts w:ascii="Times New Roman" w:hAnsi="Times New Roman" w:cs="Times New Roman"/>
          <w:color w:val="000000" w:themeColor="text1"/>
          <w:sz w:val="24"/>
          <w:szCs w:val="24"/>
        </w:rPr>
        <w:t>The researcher sought to establish the frequency of risk assessment by the auditors, it was established that the auditors in department did risk assessment for departments on annually and semian</w:t>
      </w:r>
      <w:r w:rsidR="00757B0A" w:rsidRPr="00B76270">
        <w:rPr>
          <w:rFonts w:ascii="Times New Roman" w:hAnsi="Times New Roman" w:cs="Times New Roman"/>
          <w:color w:val="000000" w:themeColor="text1"/>
          <w:sz w:val="24"/>
          <w:szCs w:val="24"/>
        </w:rPr>
        <w:t xml:space="preserve">nually basis as how </w:t>
      </w:r>
      <w:r w:rsidRPr="00B76270">
        <w:rPr>
          <w:rFonts w:ascii="Times New Roman" w:hAnsi="Times New Roman" w:cs="Times New Roman"/>
          <w:color w:val="000000" w:themeColor="text1"/>
          <w:sz w:val="24"/>
          <w:szCs w:val="24"/>
        </w:rPr>
        <w:t>below. This is in line with the IAGD guideline that requires auditors to do risk assessment at the beginning of the financial year and review them at mid of the financial year, However the IPPF provides for continuous risk assessment.</w:t>
      </w:r>
    </w:p>
    <w:p w14:paraId="54F7C40F" w14:textId="190D080E" w:rsidR="00735013" w:rsidRPr="00B76270" w:rsidRDefault="00735013" w:rsidP="00757B0A">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1-</w:t>
      </w:r>
      <w:r w:rsidR="00F0524A" w:rsidRPr="00F0524A">
        <w:rPr>
          <w:rFonts w:ascii="Times New Roman" w:hAnsi="Times New Roman" w:cs="Times New Roman"/>
          <w:color w:val="000000" w:themeColor="text1"/>
          <w:sz w:val="24"/>
          <w:szCs w:val="24"/>
        </w:rPr>
        <w:t xml:space="preserve"> </w:t>
      </w:r>
      <w:r w:rsidR="00F0524A">
        <w:rPr>
          <w:rFonts w:ascii="Times New Roman" w:hAnsi="Times New Roman" w:cs="Times New Roman"/>
          <w:color w:val="000000" w:themeColor="text1"/>
          <w:sz w:val="24"/>
          <w:szCs w:val="24"/>
        </w:rPr>
        <w:t>Frequency o</w:t>
      </w:r>
      <w:r w:rsidR="00F0524A" w:rsidRPr="00B76270">
        <w:rPr>
          <w:rFonts w:ascii="Times New Roman" w:hAnsi="Times New Roman" w:cs="Times New Roman"/>
          <w:color w:val="000000" w:themeColor="text1"/>
          <w:sz w:val="24"/>
          <w:szCs w:val="24"/>
        </w:rPr>
        <w:t>f Risk Assessment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D6F3C" w:rsidRPr="00B76270" w14:paraId="56B63E0B" w14:textId="77777777" w:rsidTr="00286770">
        <w:tc>
          <w:tcPr>
            <w:tcW w:w="3116" w:type="dxa"/>
            <w:tcBorders>
              <w:top w:val="single" w:sz="4" w:space="0" w:color="auto"/>
              <w:bottom w:val="single" w:sz="4" w:space="0" w:color="auto"/>
            </w:tcBorders>
          </w:tcPr>
          <w:p w14:paraId="20047761" w14:textId="77777777" w:rsidR="00CD6F3C" w:rsidRPr="00B76270" w:rsidRDefault="00CD6F3C" w:rsidP="00286770">
            <w:pPr>
              <w:spacing w:before="100" w:beforeAutospacing="1"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lastRenderedPageBreak/>
              <w:t>Risk Assessments</w:t>
            </w:r>
          </w:p>
        </w:tc>
        <w:tc>
          <w:tcPr>
            <w:tcW w:w="3117" w:type="dxa"/>
            <w:tcBorders>
              <w:top w:val="single" w:sz="4" w:space="0" w:color="auto"/>
              <w:bottom w:val="single" w:sz="4" w:space="0" w:color="auto"/>
            </w:tcBorders>
          </w:tcPr>
          <w:p w14:paraId="66647F0E"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Frequency </w:t>
            </w:r>
          </w:p>
          <w:p w14:paraId="386B2C7B"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b/>
                <w:bCs/>
                <w:sz w:val="24"/>
                <w:szCs w:val="24"/>
              </w:rPr>
              <w:t xml:space="preserve">(f) </w:t>
            </w:r>
          </w:p>
        </w:tc>
        <w:tc>
          <w:tcPr>
            <w:tcW w:w="3117" w:type="dxa"/>
            <w:tcBorders>
              <w:top w:val="single" w:sz="4" w:space="0" w:color="auto"/>
              <w:bottom w:val="single" w:sz="4" w:space="0" w:color="auto"/>
            </w:tcBorders>
          </w:tcPr>
          <w:p w14:paraId="02962FD9" w14:textId="77777777" w:rsidR="00CD6F3C" w:rsidRPr="00B76270" w:rsidRDefault="00CD6F3C" w:rsidP="00286770">
            <w:pPr>
              <w:pStyle w:val="Default"/>
              <w:spacing w:before="100" w:beforeAutospacing="1" w:after="100" w:afterAutospacing="1" w:line="360" w:lineRule="auto"/>
              <w:jc w:val="both"/>
            </w:pPr>
            <w:r w:rsidRPr="00B76270">
              <w:rPr>
                <w:b/>
                <w:bCs/>
              </w:rPr>
              <w:t xml:space="preserve">Percentage (%) </w:t>
            </w:r>
          </w:p>
        </w:tc>
      </w:tr>
      <w:tr w:rsidR="00CD6F3C" w:rsidRPr="00B76270" w14:paraId="6610A777" w14:textId="77777777" w:rsidTr="00286770">
        <w:tc>
          <w:tcPr>
            <w:tcW w:w="3116" w:type="dxa"/>
            <w:tcBorders>
              <w:top w:val="single" w:sz="4" w:space="0" w:color="auto"/>
            </w:tcBorders>
          </w:tcPr>
          <w:p w14:paraId="28771E44" w14:textId="77777777" w:rsidR="00CD6F3C" w:rsidRPr="00B76270" w:rsidRDefault="00CD6F3C" w:rsidP="00286770">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Daily                                 </w:t>
            </w:r>
          </w:p>
        </w:tc>
        <w:tc>
          <w:tcPr>
            <w:tcW w:w="3117" w:type="dxa"/>
            <w:tcBorders>
              <w:top w:val="single" w:sz="4" w:space="0" w:color="auto"/>
            </w:tcBorders>
          </w:tcPr>
          <w:p w14:paraId="7CD0E141"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Borders>
              <w:top w:val="single" w:sz="4" w:space="0" w:color="auto"/>
            </w:tcBorders>
          </w:tcPr>
          <w:p w14:paraId="745E708C"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7E75540" w14:textId="77777777" w:rsidTr="00286770">
        <w:tc>
          <w:tcPr>
            <w:tcW w:w="3116" w:type="dxa"/>
          </w:tcPr>
          <w:p w14:paraId="27F55CC5"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Weekly</w:t>
            </w:r>
          </w:p>
        </w:tc>
        <w:tc>
          <w:tcPr>
            <w:tcW w:w="3117" w:type="dxa"/>
          </w:tcPr>
          <w:p w14:paraId="0AF4B18F"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684C7312"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5110701E" w14:textId="77777777" w:rsidTr="00286770">
        <w:tc>
          <w:tcPr>
            <w:tcW w:w="3116" w:type="dxa"/>
          </w:tcPr>
          <w:p w14:paraId="60BE5EAD"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Monthly</w:t>
            </w:r>
          </w:p>
        </w:tc>
        <w:tc>
          <w:tcPr>
            <w:tcW w:w="3117" w:type="dxa"/>
          </w:tcPr>
          <w:p w14:paraId="0242F84E"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c>
          <w:tcPr>
            <w:tcW w:w="3117" w:type="dxa"/>
          </w:tcPr>
          <w:p w14:paraId="5E3C799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0</w:t>
            </w:r>
          </w:p>
        </w:tc>
      </w:tr>
      <w:tr w:rsidR="00CD6F3C" w:rsidRPr="00B76270" w14:paraId="76328B7E" w14:textId="77777777" w:rsidTr="00286770">
        <w:tc>
          <w:tcPr>
            <w:tcW w:w="3116" w:type="dxa"/>
          </w:tcPr>
          <w:p w14:paraId="7EAA0177"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color w:val="000000" w:themeColor="text1"/>
                <w:sz w:val="24"/>
                <w:szCs w:val="24"/>
              </w:rPr>
              <w:t xml:space="preserve">Semi-annually                  </w:t>
            </w:r>
          </w:p>
        </w:tc>
        <w:tc>
          <w:tcPr>
            <w:tcW w:w="3117" w:type="dxa"/>
          </w:tcPr>
          <w:p w14:paraId="5B0738E0"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F1DD2F3"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r w:rsidR="00CD6F3C" w:rsidRPr="00B76270" w14:paraId="1FD15F2B" w14:textId="77777777" w:rsidTr="00286770">
        <w:tc>
          <w:tcPr>
            <w:tcW w:w="3116" w:type="dxa"/>
          </w:tcPr>
          <w:p w14:paraId="0C1E4B1A" w14:textId="77777777" w:rsidR="00CD6F3C" w:rsidRPr="00B76270" w:rsidRDefault="00CD6F3C" w:rsidP="00286770">
            <w:pPr>
              <w:spacing w:before="100" w:beforeAutospacing="1" w:after="100" w:afterAutospacing="1" w:line="360" w:lineRule="auto"/>
              <w:jc w:val="both"/>
              <w:rPr>
                <w:rFonts w:ascii="Times New Roman" w:eastAsia="Times New Roman" w:hAnsi="Times New Roman" w:cs="Times New Roman"/>
                <w:color w:val="000000"/>
                <w:sz w:val="24"/>
                <w:szCs w:val="24"/>
              </w:rPr>
            </w:pPr>
            <w:r w:rsidRPr="00B76270">
              <w:rPr>
                <w:rFonts w:ascii="Times New Roman" w:eastAsia="Times New Roman" w:hAnsi="Times New Roman" w:cs="Times New Roman"/>
                <w:color w:val="000000" w:themeColor="text1"/>
                <w:sz w:val="24"/>
                <w:szCs w:val="24"/>
              </w:rPr>
              <w:t>Annually</w:t>
            </w:r>
          </w:p>
        </w:tc>
        <w:tc>
          <w:tcPr>
            <w:tcW w:w="3117" w:type="dxa"/>
          </w:tcPr>
          <w:p w14:paraId="0133CE5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23</w:t>
            </w:r>
          </w:p>
        </w:tc>
        <w:tc>
          <w:tcPr>
            <w:tcW w:w="3117" w:type="dxa"/>
          </w:tcPr>
          <w:p w14:paraId="3B7F5AF6" w14:textId="77777777" w:rsidR="00CD6F3C" w:rsidRPr="00B76270" w:rsidRDefault="00CD6F3C" w:rsidP="00286770">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100</w:t>
            </w:r>
          </w:p>
        </w:tc>
      </w:tr>
    </w:tbl>
    <w:p w14:paraId="3E3CC4B8" w14:textId="77777777" w:rsidR="00CD6F3C" w:rsidRPr="00B76270" w:rsidRDefault="00CD6F3C" w:rsidP="00CD6F3C">
      <w:pPr>
        <w:rPr>
          <w:rFonts w:ascii="Times New Roman" w:hAnsi="Times New Roman" w:cs="Times New Roman"/>
          <w:b/>
          <w:sz w:val="24"/>
          <w:szCs w:val="24"/>
        </w:rPr>
      </w:pPr>
      <w:bookmarkStart w:id="13" w:name="_Toc174384397"/>
      <w:bookmarkStart w:id="14" w:name="_Toc182818413"/>
    </w:p>
    <w:bookmarkEnd w:id="13"/>
    <w:bookmarkEnd w:id="14"/>
    <w:p w14:paraId="3C53A75A" w14:textId="77777777" w:rsidR="00F27097" w:rsidRPr="00B76270" w:rsidRDefault="00CD6F3C" w:rsidP="00F27097">
      <w:pPr>
        <w:pStyle w:val="NormalWeb"/>
        <w:spacing w:line="360" w:lineRule="auto"/>
        <w:jc w:val="both"/>
      </w:pPr>
      <w:r w:rsidRPr="00B76270">
        <w:t>The results concerning the extent to which respondents believe that the risk management framework influences governance processes within the national treasuries in North Rift, Kenya. The responses were collected using a 5-point Likert scale.</w:t>
      </w:r>
      <w:r w:rsidR="00F27097" w:rsidRPr="00B76270">
        <w:t xml:space="preserve"> The responses were collected using a 5-point Likert scale. The findings indicate that a majority of respondents agreed that risk management guidelines effectively define acceptable risks as a form of accountability for all departments, reflected by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t xml:space="preserve">. When asked about the presence of a comprehensive risk assessment guide that includes risk identification, evaluation, treatment, and monitoring, respondents again showed agreement, with a mean score of </w:t>
      </w:r>
      <w:r w:rsidR="00F27097" w:rsidRPr="00B76270">
        <w:rPr>
          <w:rStyle w:val="Strong"/>
          <w:rFonts w:eastAsiaTheme="majorEastAsia"/>
        </w:rPr>
        <w:t>3.3043</w:t>
      </w:r>
      <w:r w:rsidR="00F27097" w:rsidRPr="00B76270">
        <w:t xml:space="preserve"> and a standard deviation of </w:t>
      </w:r>
      <w:r w:rsidR="00F27097" w:rsidRPr="00B76270">
        <w:rPr>
          <w:rStyle w:val="Strong"/>
          <w:rFonts w:eastAsiaTheme="majorEastAsia"/>
        </w:rPr>
        <w:t>0.4868</w:t>
      </w:r>
      <w:r w:rsidR="00F27097" w:rsidRPr="00B76270">
        <w:rPr>
          <w:b/>
        </w:rPr>
        <w:t>.</w:t>
      </w:r>
      <w:r w:rsidR="00F27097" w:rsidRPr="00B76270">
        <w:t xml:space="preserve"> Regarding whether the risk management framework suggests mitigation measures for every identified risk, most respondents expressed agreement, as indicated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0.6985</w:t>
      </w:r>
      <w:r w:rsidR="00F27097" w:rsidRPr="00B76270">
        <w:t xml:space="preserve">. However, responses were more neutral when asked if the risk management guidelines provide specific risk management strategies, resulting in a mean score of </w:t>
      </w:r>
      <w:r w:rsidR="00F27097" w:rsidRPr="00B76270">
        <w:rPr>
          <w:rStyle w:val="Strong"/>
          <w:rFonts w:eastAsiaTheme="majorEastAsia"/>
        </w:rPr>
        <w:t>2.8695</w:t>
      </w:r>
      <w:r w:rsidR="00F27097" w:rsidRPr="00B76270">
        <w:t xml:space="preserve"> and a standard deviation of </w:t>
      </w:r>
      <w:r w:rsidR="00F27097" w:rsidRPr="00B76270">
        <w:rPr>
          <w:rStyle w:val="Strong"/>
          <w:rFonts w:eastAsiaTheme="majorEastAsia"/>
        </w:rPr>
        <w:t>0.3004</w:t>
      </w:r>
      <w:r w:rsidR="00F27097" w:rsidRPr="00B76270">
        <w:rPr>
          <w:b/>
        </w:rPr>
        <w:t>.</w:t>
      </w:r>
      <w:r w:rsidR="00F27097" w:rsidRPr="00B76270">
        <w:t xml:space="preserve">Additionally, when inquiring whether the risk management framework allows for unplanned and informal assessments of additional risks, the majority of respondents agreed, as shown by a mean score of </w:t>
      </w:r>
      <w:r w:rsidR="00F27097" w:rsidRPr="00B76270">
        <w:rPr>
          <w:rStyle w:val="Strong"/>
          <w:rFonts w:eastAsiaTheme="majorEastAsia"/>
        </w:rPr>
        <w:t>3.6521</w:t>
      </w:r>
      <w:r w:rsidR="00F27097" w:rsidRPr="00B76270">
        <w:t xml:space="preserve"> and a standard deviation of </w:t>
      </w:r>
      <w:r w:rsidR="00F27097" w:rsidRPr="00B76270">
        <w:rPr>
          <w:rStyle w:val="Strong"/>
          <w:rFonts w:eastAsiaTheme="majorEastAsia"/>
        </w:rPr>
        <w:t>0.4915</w:t>
      </w:r>
      <w:r w:rsidR="00F27097" w:rsidRPr="00B76270">
        <w:t xml:space="preserve">. The study also examined whether auditors collect field data on various risks facing the organization, analyze it, and report their findings. Here, most respondents strongly agreed, reflected by a mean score of </w:t>
      </w:r>
      <w:r w:rsidR="00F27097" w:rsidRPr="00B76270">
        <w:rPr>
          <w:rStyle w:val="Strong"/>
          <w:rFonts w:eastAsiaTheme="majorEastAsia"/>
        </w:rPr>
        <w:t>3.9565</w:t>
      </w:r>
      <w:r w:rsidR="00F27097" w:rsidRPr="00B76270">
        <w:t xml:space="preserve"> and a standard deviation of </w:t>
      </w:r>
      <w:r w:rsidR="00F27097" w:rsidRPr="00B76270">
        <w:rPr>
          <w:rStyle w:val="Strong"/>
          <w:rFonts w:eastAsiaTheme="majorEastAsia"/>
        </w:rPr>
        <w:t>1.0630</w:t>
      </w:r>
      <w:r w:rsidR="00F27097" w:rsidRPr="00B76270">
        <w:t>.</w:t>
      </w:r>
    </w:p>
    <w:p w14:paraId="7047FFBC" w14:textId="77777777" w:rsidR="00CD6F3C" w:rsidRDefault="00F27097" w:rsidP="00757B0A">
      <w:pPr>
        <w:pStyle w:val="NormalWeb"/>
        <w:spacing w:line="360" w:lineRule="auto"/>
        <w:jc w:val="both"/>
      </w:pPr>
      <w:r w:rsidRPr="00B76270">
        <w:t xml:space="preserve">Finally, when asked whether auditors participate in random checks of organizational systems and document their observations, the mean score of </w:t>
      </w:r>
      <w:r w:rsidRPr="00B76270">
        <w:rPr>
          <w:rStyle w:val="Strong"/>
          <w:rFonts w:eastAsiaTheme="majorEastAsia"/>
        </w:rPr>
        <w:t>4.2608</w:t>
      </w:r>
      <w:r w:rsidRPr="00B76270">
        <w:t xml:space="preserve"> and a standard deviation of </w:t>
      </w:r>
      <w:r w:rsidRPr="00B76270">
        <w:rPr>
          <w:rStyle w:val="Strong"/>
          <w:rFonts w:eastAsiaTheme="majorEastAsia"/>
        </w:rPr>
        <w:t>1.2262</w:t>
      </w:r>
      <w:r w:rsidRPr="00B76270">
        <w:t xml:space="preserve"> </w:t>
      </w:r>
      <w:r w:rsidRPr="00B76270">
        <w:lastRenderedPageBreak/>
        <w:t>indicated strong agreement among respondents.</w:t>
      </w:r>
      <w:r w:rsidR="00CD6F3C" w:rsidRPr="00B76270">
        <w:t xml:space="preserve"> Overall, the composite rating of statements regarding the influence of the risk management framework on governance processes within the national treasuries in North Rift, Kenya, resulted in a mean score of</w:t>
      </w:r>
      <w:r w:rsidR="00CD6F3C" w:rsidRPr="00B76270">
        <w:rPr>
          <w:b/>
        </w:rPr>
        <w:t xml:space="preserve"> </w:t>
      </w:r>
      <w:r w:rsidR="00CD6F3C" w:rsidRPr="00B76270">
        <w:rPr>
          <w:rStyle w:val="Strong"/>
          <w:rFonts w:eastAsiaTheme="majorEastAsia"/>
        </w:rPr>
        <w:t>3.5108</w:t>
      </w:r>
      <w:r w:rsidR="00CD6F3C" w:rsidRPr="00B76270">
        <w:t xml:space="preserve"> and a standard deviation of </w:t>
      </w:r>
      <w:r w:rsidR="00CD6F3C" w:rsidRPr="00B76270">
        <w:rPr>
          <w:rStyle w:val="Strong"/>
          <w:rFonts w:eastAsiaTheme="majorEastAsia"/>
        </w:rPr>
        <w:t>0.6627</w:t>
      </w:r>
      <w:r w:rsidR="00CD6F3C" w:rsidRPr="00B76270">
        <w:t>. This suggests that respondents collectively agreed that the risk management framework positively impacts governance processes in this context.</w:t>
      </w:r>
    </w:p>
    <w:p w14:paraId="4385A9FA" w14:textId="7024913D" w:rsidR="00C76CBC" w:rsidRPr="00B76270" w:rsidRDefault="00C76CBC" w:rsidP="00757B0A">
      <w:pPr>
        <w:pStyle w:val="NormalWeb"/>
        <w:spacing w:line="360" w:lineRule="auto"/>
        <w:jc w:val="both"/>
      </w:pPr>
      <w:r>
        <w:t>Table 1-</w:t>
      </w:r>
      <w:r w:rsidR="00F0524A">
        <w:t xml:space="preserve"> </w:t>
      </w:r>
      <w:r w:rsidR="00F0524A" w:rsidRPr="00F0524A">
        <w:t xml:space="preserve">Statistical assessment of </w:t>
      </w:r>
      <w:r w:rsidR="00F0524A" w:rsidRPr="00F0524A">
        <w:rPr>
          <w:color w:val="000000"/>
        </w:rPr>
        <w:t>Risk Management Framework</w:t>
      </w:r>
      <w:r w:rsidR="00F0524A" w:rsidRPr="00B76270">
        <w:rPr>
          <w:b/>
        </w:rPr>
        <w:t xml:space="preserve"> </w:t>
      </w:r>
    </w:p>
    <w:tbl>
      <w:tblPr>
        <w:tblStyle w:val="TableGrid1"/>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495"/>
        <w:gridCol w:w="876"/>
        <w:gridCol w:w="989"/>
      </w:tblGrid>
      <w:tr w:rsidR="00CD6F3C" w:rsidRPr="00B76270" w14:paraId="4ED45178" w14:textId="77777777" w:rsidTr="00286770">
        <w:tc>
          <w:tcPr>
            <w:tcW w:w="0" w:type="auto"/>
            <w:tcBorders>
              <w:top w:val="single" w:sz="4" w:space="0" w:color="auto"/>
              <w:bottom w:val="single" w:sz="4" w:space="0" w:color="auto"/>
            </w:tcBorders>
          </w:tcPr>
          <w:p w14:paraId="152AB98C" w14:textId="77777777" w:rsidR="00CD6F3C" w:rsidRPr="00B76270" w:rsidRDefault="00CD6F3C" w:rsidP="00286770">
            <w:pPr>
              <w:spacing w:before="100" w:beforeAutospacing="1" w:after="100" w:afterAutospacing="1" w:line="360" w:lineRule="auto"/>
              <w:rPr>
                <w:b/>
              </w:rPr>
            </w:pPr>
            <w:r w:rsidRPr="00B76270">
              <w:rPr>
                <w:b/>
                <w:color w:val="000000"/>
              </w:rPr>
              <w:t>Risk Management Framework</w:t>
            </w:r>
            <w:r w:rsidRPr="00B76270">
              <w:rPr>
                <w:b/>
              </w:rPr>
              <w:t xml:space="preserve"> and Governance Processes</w:t>
            </w:r>
          </w:p>
        </w:tc>
        <w:tc>
          <w:tcPr>
            <w:tcW w:w="0" w:type="auto"/>
            <w:tcBorders>
              <w:top w:val="single" w:sz="4" w:space="0" w:color="auto"/>
              <w:bottom w:val="single" w:sz="4" w:space="0" w:color="auto"/>
            </w:tcBorders>
          </w:tcPr>
          <w:p w14:paraId="231CF937" w14:textId="77777777" w:rsidR="00CD6F3C" w:rsidRPr="00B76270" w:rsidRDefault="00CD6F3C" w:rsidP="00286770">
            <w:pPr>
              <w:spacing w:before="100" w:beforeAutospacing="1" w:after="100" w:afterAutospacing="1" w:line="360" w:lineRule="auto"/>
            </w:pPr>
            <w:r w:rsidRPr="00B76270">
              <w:t>Mean</w:t>
            </w:r>
          </w:p>
        </w:tc>
        <w:tc>
          <w:tcPr>
            <w:tcW w:w="0" w:type="auto"/>
            <w:tcBorders>
              <w:top w:val="single" w:sz="4" w:space="0" w:color="auto"/>
              <w:bottom w:val="single" w:sz="4" w:space="0" w:color="auto"/>
            </w:tcBorders>
          </w:tcPr>
          <w:p w14:paraId="29918627" w14:textId="77777777" w:rsidR="00CD6F3C" w:rsidRPr="00B76270" w:rsidRDefault="00CD6F3C" w:rsidP="00286770">
            <w:pPr>
              <w:spacing w:before="100" w:beforeAutospacing="1" w:after="100" w:afterAutospacing="1" w:line="360" w:lineRule="auto"/>
            </w:pPr>
            <w:r w:rsidRPr="00B76270">
              <w:t>Std.  Dev</w:t>
            </w:r>
          </w:p>
        </w:tc>
      </w:tr>
      <w:tr w:rsidR="00CD6F3C" w:rsidRPr="00B76270" w14:paraId="19B448C0" w14:textId="77777777" w:rsidTr="00286770">
        <w:tc>
          <w:tcPr>
            <w:tcW w:w="0" w:type="auto"/>
            <w:tcBorders>
              <w:top w:val="single" w:sz="4" w:space="0" w:color="auto"/>
            </w:tcBorders>
          </w:tcPr>
          <w:p w14:paraId="4246577D" w14:textId="77777777" w:rsidR="00CD6F3C" w:rsidRPr="00B76270" w:rsidRDefault="00CD6F3C" w:rsidP="00286770">
            <w:pPr>
              <w:spacing w:before="100" w:beforeAutospacing="1" w:after="100" w:afterAutospacing="1" w:line="360" w:lineRule="auto"/>
              <w:rPr>
                <w:color w:val="000000"/>
              </w:rPr>
            </w:pPr>
            <w:r w:rsidRPr="00B76270">
              <w:t>Our risk management guideline defines the risks that are acceptable as a form of accountability by all departments.</w:t>
            </w:r>
          </w:p>
        </w:tc>
        <w:tc>
          <w:tcPr>
            <w:tcW w:w="0" w:type="auto"/>
            <w:tcBorders>
              <w:top w:val="single" w:sz="4" w:space="0" w:color="auto"/>
            </w:tcBorders>
            <w:vAlign w:val="bottom"/>
          </w:tcPr>
          <w:p w14:paraId="1F9729A8"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tcBorders>
              <w:top w:val="single" w:sz="4" w:space="0" w:color="auto"/>
            </w:tcBorders>
            <w:vAlign w:val="bottom"/>
          </w:tcPr>
          <w:p w14:paraId="0525E44E"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5AE8B0E7" w14:textId="77777777" w:rsidTr="00286770">
        <w:tc>
          <w:tcPr>
            <w:tcW w:w="0" w:type="auto"/>
          </w:tcPr>
          <w:p w14:paraId="34579B02" w14:textId="77777777" w:rsidR="00CD6F3C" w:rsidRPr="00B76270" w:rsidRDefault="00CD6F3C" w:rsidP="00286770">
            <w:pPr>
              <w:spacing w:before="100" w:beforeAutospacing="1" w:after="100" w:afterAutospacing="1" w:line="360" w:lineRule="auto"/>
              <w:rPr>
                <w:color w:val="000000"/>
              </w:rPr>
            </w:pPr>
            <w:r w:rsidRPr="00B76270">
              <w:t>Our risk management guideline ensures that all risks are understood by all departments.</w:t>
            </w:r>
            <w:r w:rsidRPr="00B76270">
              <w:rPr>
                <w:color w:val="000000"/>
              </w:rPr>
              <w:t xml:space="preserve"> </w:t>
            </w:r>
          </w:p>
        </w:tc>
        <w:tc>
          <w:tcPr>
            <w:tcW w:w="0" w:type="auto"/>
            <w:vAlign w:val="bottom"/>
          </w:tcPr>
          <w:p w14:paraId="1FE26A7A" w14:textId="77777777" w:rsidR="00CD6F3C" w:rsidRPr="00B76270" w:rsidRDefault="00CD6F3C" w:rsidP="00286770">
            <w:pPr>
              <w:spacing w:before="100" w:beforeAutospacing="1" w:after="100" w:afterAutospacing="1" w:line="360" w:lineRule="auto"/>
              <w:rPr>
                <w:color w:val="000000"/>
              </w:rPr>
            </w:pPr>
            <w:r w:rsidRPr="00B76270">
              <w:rPr>
                <w:color w:val="000000"/>
              </w:rPr>
              <w:t>3.3043</w:t>
            </w:r>
          </w:p>
        </w:tc>
        <w:tc>
          <w:tcPr>
            <w:tcW w:w="0" w:type="auto"/>
            <w:vAlign w:val="bottom"/>
          </w:tcPr>
          <w:p w14:paraId="4C1BA07D" w14:textId="77777777" w:rsidR="00CD6F3C" w:rsidRPr="00B76270" w:rsidRDefault="00CD6F3C" w:rsidP="00286770">
            <w:pPr>
              <w:spacing w:before="100" w:beforeAutospacing="1" w:after="100" w:afterAutospacing="1" w:line="360" w:lineRule="auto"/>
              <w:rPr>
                <w:color w:val="000000"/>
              </w:rPr>
            </w:pPr>
            <w:r w:rsidRPr="00B76270">
              <w:rPr>
                <w:color w:val="000000"/>
              </w:rPr>
              <w:t>0.4868</w:t>
            </w:r>
          </w:p>
        </w:tc>
      </w:tr>
      <w:tr w:rsidR="00CD6F3C" w:rsidRPr="00B76270" w14:paraId="40CC3C8C" w14:textId="77777777" w:rsidTr="00286770">
        <w:tc>
          <w:tcPr>
            <w:tcW w:w="0" w:type="auto"/>
          </w:tcPr>
          <w:p w14:paraId="2BD7716D" w14:textId="77777777" w:rsidR="00CD6F3C" w:rsidRPr="00B76270" w:rsidRDefault="00CD6F3C" w:rsidP="00286770">
            <w:pPr>
              <w:spacing w:before="100" w:beforeAutospacing="1" w:after="100" w:afterAutospacing="1" w:line="360" w:lineRule="auto"/>
              <w:rPr>
                <w:color w:val="000000"/>
              </w:rPr>
            </w:pPr>
            <w:r w:rsidRPr="00B76270">
              <w:rPr>
                <w:color w:val="000000"/>
                <w:shd w:val="clear" w:color="auto" w:fill="FFFFFF"/>
              </w:rPr>
              <w:t>There’s a rigorous risk assessment guide which involves risk identification, risk evaluation, risk treatment and risk monitoring in all departments.</w:t>
            </w:r>
          </w:p>
        </w:tc>
        <w:tc>
          <w:tcPr>
            <w:tcW w:w="0" w:type="auto"/>
            <w:vAlign w:val="bottom"/>
          </w:tcPr>
          <w:p w14:paraId="03271E78" w14:textId="77777777" w:rsidR="00CD6F3C" w:rsidRPr="00B76270" w:rsidRDefault="00CD6F3C" w:rsidP="00286770">
            <w:pPr>
              <w:spacing w:before="100" w:beforeAutospacing="1" w:after="100" w:afterAutospacing="1" w:line="360" w:lineRule="auto"/>
              <w:rPr>
                <w:color w:val="000000"/>
              </w:rPr>
            </w:pPr>
            <w:r w:rsidRPr="00B76270">
              <w:rPr>
                <w:color w:val="000000"/>
              </w:rPr>
              <w:t>3.6521</w:t>
            </w:r>
          </w:p>
        </w:tc>
        <w:tc>
          <w:tcPr>
            <w:tcW w:w="0" w:type="auto"/>
            <w:vAlign w:val="bottom"/>
          </w:tcPr>
          <w:p w14:paraId="0EC89A18" w14:textId="77777777" w:rsidR="00CD6F3C" w:rsidRPr="00B76270" w:rsidRDefault="00CD6F3C" w:rsidP="00286770">
            <w:pPr>
              <w:spacing w:before="100" w:beforeAutospacing="1" w:after="100" w:afterAutospacing="1" w:line="360" w:lineRule="auto"/>
              <w:rPr>
                <w:color w:val="000000"/>
              </w:rPr>
            </w:pPr>
            <w:r w:rsidRPr="00B76270">
              <w:rPr>
                <w:color w:val="000000"/>
              </w:rPr>
              <w:t>0.6985</w:t>
            </w:r>
          </w:p>
        </w:tc>
      </w:tr>
      <w:tr w:rsidR="00CD6F3C" w:rsidRPr="00B76270" w14:paraId="26109F78" w14:textId="77777777" w:rsidTr="00286770">
        <w:tc>
          <w:tcPr>
            <w:tcW w:w="0" w:type="auto"/>
          </w:tcPr>
          <w:p w14:paraId="763BAFAE" w14:textId="77777777" w:rsidR="00CD6F3C" w:rsidRPr="00B76270" w:rsidRDefault="00CD6F3C" w:rsidP="00286770">
            <w:pPr>
              <w:spacing w:before="100" w:beforeAutospacing="1" w:after="100" w:afterAutospacing="1" w:line="360" w:lineRule="auto"/>
              <w:rPr>
                <w:color w:val="000000"/>
              </w:rPr>
            </w:pPr>
            <w:r w:rsidRPr="00B76270">
              <w:t xml:space="preserve">Our risk management framework </w:t>
            </w:r>
            <w:r w:rsidRPr="00B76270">
              <w:rPr>
                <w:color w:val="000000"/>
              </w:rPr>
              <w:t>suggest risk mitigation measures on every risk identified.</w:t>
            </w:r>
          </w:p>
        </w:tc>
        <w:tc>
          <w:tcPr>
            <w:tcW w:w="0" w:type="auto"/>
            <w:vAlign w:val="bottom"/>
          </w:tcPr>
          <w:p w14:paraId="6ACFAAD5" w14:textId="77777777" w:rsidR="00CD6F3C" w:rsidRPr="00B76270" w:rsidRDefault="00CD6F3C" w:rsidP="00286770">
            <w:pPr>
              <w:spacing w:before="100" w:beforeAutospacing="1" w:after="100" w:afterAutospacing="1" w:line="360" w:lineRule="auto"/>
              <w:rPr>
                <w:color w:val="000000"/>
              </w:rPr>
            </w:pPr>
            <w:r w:rsidRPr="00B76270">
              <w:rPr>
                <w:color w:val="000000"/>
              </w:rPr>
              <w:t>2.8695</w:t>
            </w:r>
          </w:p>
        </w:tc>
        <w:tc>
          <w:tcPr>
            <w:tcW w:w="0" w:type="auto"/>
            <w:vAlign w:val="bottom"/>
          </w:tcPr>
          <w:p w14:paraId="3BD99AB3" w14:textId="77777777" w:rsidR="00CD6F3C" w:rsidRPr="00B76270" w:rsidRDefault="00CD6F3C" w:rsidP="00286770">
            <w:pPr>
              <w:spacing w:before="100" w:beforeAutospacing="1" w:after="100" w:afterAutospacing="1" w:line="360" w:lineRule="auto"/>
              <w:rPr>
                <w:color w:val="000000"/>
              </w:rPr>
            </w:pPr>
            <w:r w:rsidRPr="00B76270">
              <w:rPr>
                <w:color w:val="000000"/>
              </w:rPr>
              <w:t>0.3004</w:t>
            </w:r>
          </w:p>
        </w:tc>
      </w:tr>
      <w:tr w:rsidR="00CD6F3C" w:rsidRPr="00B76270" w14:paraId="33980EE5" w14:textId="77777777" w:rsidTr="00286770">
        <w:trPr>
          <w:trHeight w:val="252"/>
        </w:trPr>
        <w:tc>
          <w:tcPr>
            <w:tcW w:w="0" w:type="auto"/>
          </w:tcPr>
          <w:p w14:paraId="66C27B49" w14:textId="77777777" w:rsidR="00CD6F3C" w:rsidRPr="00B76270" w:rsidRDefault="00CD6F3C" w:rsidP="00286770">
            <w:pPr>
              <w:spacing w:before="100" w:beforeAutospacing="1" w:after="100" w:afterAutospacing="1" w:line="360" w:lineRule="auto"/>
              <w:rPr>
                <w:color w:val="000000"/>
              </w:rPr>
            </w:pPr>
            <w:r w:rsidRPr="00B76270">
              <w:t xml:space="preserve">Our risk management guideline </w:t>
            </w:r>
            <w:r w:rsidRPr="00B76270">
              <w:rPr>
                <w:color w:val="000000"/>
              </w:rPr>
              <w:t xml:space="preserve">suggests risk management strategies. </w:t>
            </w:r>
          </w:p>
        </w:tc>
        <w:tc>
          <w:tcPr>
            <w:tcW w:w="0" w:type="auto"/>
            <w:vAlign w:val="bottom"/>
          </w:tcPr>
          <w:p w14:paraId="4E007E4E" w14:textId="77777777" w:rsidR="00CD6F3C" w:rsidRPr="00B76270" w:rsidRDefault="00CD6F3C" w:rsidP="00286770">
            <w:pPr>
              <w:spacing w:before="100" w:beforeAutospacing="1" w:after="100" w:afterAutospacing="1" w:line="360" w:lineRule="auto"/>
              <w:rPr>
                <w:color w:val="000000"/>
              </w:rPr>
            </w:pPr>
            <w:r w:rsidRPr="00B76270">
              <w:rPr>
                <w:color w:val="000000"/>
              </w:rPr>
              <w:t>3.3913</w:t>
            </w:r>
          </w:p>
        </w:tc>
        <w:tc>
          <w:tcPr>
            <w:tcW w:w="0" w:type="auto"/>
            <w:vAlign w:val="bottom"/>
          </w:tcPr>
          <w:p w14:paraId="03FA4790" w14:textId="77777777" w:rsidR="00CD6F3C" w:rsidRPr="00B76270" w:rsidRDefault="00CD6F3C" w:rsidP="00286770">
            <w:pPr>
              <w:spacing w:before="100" w:beforeAutospacing="1" w:after="100" w:afterAutospacing="1" w:line="360" w:lineRule="auto"/>
              <w:rPr>
                <w:color w:val="000000"/>
              </w:rPr>
            </w:pPr>
            <w:r w:rsidRPr="00B76270">
              <w:rPr>
                <w:color w:val="000000"/>
              </w:rPr>
              <w:t>0.5483</w:t>
            </w:r>
          </w:p>
        </w:tc>
      </w:tr>
      <w:tr w:rsidR="00CD6F3C" w:rsidRPr="00B76270" w14:paraId="44A20C4B" w14:textId="77777777" w:rsidTr="00286770">
        <w:trPr>
          <w:trHeight w:val="360"/>
        </w:trPr>
        <w:tc>
          <w:tcPr>
            <w:tcW w:w="0" w:type="auto"/>
          </w:tcPr>
          <w:p w14:paraId="6B8027C7" w14:textId="77777777" w:rsidR="00CD6F3C" w:rsidRPr="00B76270" w:rsidRDefault="00CD6F3C" w:rsidP="00286770">
            <w:pPr>
              <w:spacing w:before="100" w:beforeAutospacing="1" w:after="100" w:afterAutospacing="1" w:line="360" w:lineRule="auto"/>
              <w:rPr>
                <w:color w:val="000000"/>
              </w:rPr>
            </w:pPr>
            <w:r w:rsidRPr="00B76270">
              <w:t>Our risk management framework provides for unplanned and informal assessments of additional risks</w:t>
            </w:r>
            <w:r w:rsidRPr="00B76270">
              <w:rPr>
                <w:color w:val="000000"/>
              </w:rPr>
              <w:t>.</w:t>
            </w:r>
          </w:p>
        </w:tc>
        <w:tc>
          <w:tcPr>
            <w:tcW w:w="0" w:type="auto"/>
            <w:vAlign w:val="bottom"/>
          </w:tcPr>
          <w:p w14:paraId="2E82ED2A" w14:textId="77777777" w:rsidR="00CD6F3C" w:rsidRPr="00B76270" w:rsidRDefault="00CD6F3C" w:rsidP="00286770">
            <w:pPr>
              <w:spacing w:before="100" w:beforeAutospacing="1" w:after="100" w:afterAutospacing="1" w:line="360" w:lineRule="auto"/>
              <w:rPr>
                <w:color w:val="000000"/>
              </w:rPr>
            </w:pPr>
            <w:r w:rsidRPr="00B76270">
              <w:rPr>
                <w:color w:val="000000"/>
              </w:rPr>
              <w:t>3.3478</w:t>
            </w:r>
          </w:p>
        </w:tc>
        <w:tc>
          <w:tcPr>
            <w:tcW w:w="0" w:type="auto"/>
            <w:vAlign w:val="bottom"/>
          </w:tcPr>
          <w:p w14:paraId="6FD11F13" w14:textId="77777777" w:rsidR="00CD6F3C" w:rsidRPr="00B76270" w:rsidRDefault="00CD6F3C" w:rsidP="00286770">
            <w:pPr>
              <w:spacing w:before="100" w:beforeAutospacing="1" w:after="100" w:afterAutospacing="1" w:line="360" w:lineRule="auto"/>
              <w:rPr>
                <w:color w:val="000000"/>
              </w:rPr>
            </w:pPr>
            <w:r w:rsidRPr="00B76270">
              <w:rPr>
                <w:color w:val="000000"/>
              </w:rPr>
              <w:t>0.4915</w:t>
            </w:r>
          </w:p>
        </w:tc>
      </w:tr>
      <w:tr w:rsidR="00CD6F3C" w:rsidRPr="00B76270" w14:paraId="044A9AE4" w14:textId="77777777" w:rsidTr="00286770">
        <w:trPr>
          <w:trHeight w:val="360"/>
        </w:trPr>
        <w:tc>
          <w:tcPr>
            <w:tcW w:w="0" w:type="auto"/>
          </w:tcPr>
          <w:p w14:paraId="17BE84C5" w14:textId="77777777" w:rsidR="00CD6F3C" w:rsidRPr="00B76270" w:rsidRDefault="00CD6F3C" w:rsidP="00286770">
            <w:pPr>
              <w:spacing w:before="100" w:beforeAutospacing="1" w:after="100" w:afterAutospacing="1" w:line="360" w:lineRule="auto"/>
            </w:pPr>
            <w:r w:rsidRPr="00B76270">
              <w:t xml:space="preserve">Auditors collect data in the field on different risks facing the organization and analyses and reports them. </w:t>
            </w:r>
          </w:p>
        </w:tc>
        <w:tc>
          <w:tcPr>
            <w:tcW w:w="0" w:type="auto"/>
            <w:vAlign w:val="bottom"/>
          </w:tcPr>
          <w:p w14:paraId="02F84626" w14:textId="77777777" w:rsidR="00CD6F3C" w:rsidRPr="00B76270" w:rsidRDefault="00CD6F3C" w:rsidP="00286770">
            <w:pPr>
              <w:spacing w:before="100" w:beforeAutospacing="1" w:after="100" w:afterAutospacing="1" w:line="360" w:lineRule="auto"/>
              <w:rPr>
                <w:color w:val="000000"/>
              </w:rPr>
            </w:pPr>
            <w:r w:rsidRPr="00B76270">
              <w:rPr>
                <w:color w:val="000000"/>
              </w:rPr>
              <w:t>3.9565</w:t>
            </w:r>
          </w:p>
        </w:tc>
        <w:tc>
          <w:tcPr>
            <w:tcW w:w="0" w:type="auto"/>
            <w:vAlign w:val="bottom"/>
          </w:tcPr>
          <w:p w14:paraId="09A7C559" w14:textId="77777777" w:rsidR="00CD6F3C" w:rsidRPr="00B76270" w:rsidRDefault="00CD6F3C" w:rsidP="00286770">
            <w:pPr>
              <w:spacing w:before="100" w:beforeAutospacing="1" w:after="100" w:afterAutospacing="1" w:line="360" w:lineRule="auto"/>
              <w:rPr>
                <w:color w:val="000000"/>
              </w:rPr>
            </w:pPr>
            <w:r w:rsidRPr="00B76270">
              <w:rPr>
                <w:color w:val="000000"/>
              </w:rPr>
              <w:t>1.0630</w:t>
            </w:r>
          </w:p>
        </w:tc>
      </w:tr>
      <w:tr w:rsidR="00CD6F3C" w:rsidRPr="00B76270" w14:paraId="79A1D244" w14:textId="77777777" w:rsidTr="00286770">
        <w:trPr>
          <w:trHeight w:val="360"/>
        </w:trPr>
        <w:tc>
          <w:tcPr>
            <w:tcW w:w="0" w:type="auto"/>
          </w:tcPr>
          <w:p w14:paraId="3D24BFBC" w14:textId="77777777" w:rsidR="00CD6F3C" w:rsidRPr="00B76270" w:rsidRDefault="00CD6F3C" w:rsidP="00286770">
            <w:pPr>
              <w:spacing w:before="100" w:beforeAutospacing="1" w:after="100" w:afterAutospacing="1" w:line="360" w:lineRule="auto"/>
            </w:pPr>
            <w:r w:rsidRPr="00B76270">
              <w:t>Auditors take part in random checks of organizational systems and documents them.</w:t>
            </w:r>
          </w:p>
        </w:tc>
        <w:tc>
          <w:tcPr>
            <w:tcW w:w="0" w:type="auto"/>
            <w:vAlign w:val="bottom"/>
          </w:tcPr>
          <w:p w14:paraId="45DC729B" w14:textId="77777777" w:rsidR="00CD6F3C" w:rsidRPr="00B76270" w:rsidRDefault="00CD6F3C" w:rsidP="00286770">
            <w:pPr>
              <w:spacing w:before="100" w:beforeAutospacing="1" w:after="100" w:afterAutospacing="1" w:line="360" w:lineRule="auto"/>
              <w:rPr>
                <w:color w:val="000000"/>
              </w:rPr>
            </w:pPr>
            <w:r w:rsidRPr="00B76270">
              <w:rPr>
                <w:color w:val="000000"/>
              </w:rPr>
              <w:t>4.2608</w:t>
            </w:r>
          </w:p>
        </w:tc>
        <w:tc>
          <w:tcPr>
            <w:tcW w:w="0" w:type="auto"/>
            <w:vAlign w:val="bottom"/>
          </w:tcPr>
          <w:p w14:paraId="3525790E" w14:textId="77777777" w:rsidR="00CD6F3C" w:rsidRPr="00B76270" w:rsidRDefault="00CD6F3C" w:rsidP="00286770">
            <w:pPr>
              <w:spacing w:before="100" w:beforeAutospacing="1" w:after="100" w:afterAutospacing="1" w:line="360" w:lineRule="auto"/>
              <w:rPr>
                <w:color w:val="000000"/>
              </w:rPr>
            </w:pPr>
            <w:r w:rsidRPr="00B76270">
              <w:rPr>
                <w:color w:val="000000"/>
              </w:rPr>
              <w:t>1.2262</w:t>
            </w:r>
          </w:p>
        </w:tc>
      </w:tr>
      <w:tr w:rsidR="00CD6F3C" w:rsidRPr="00B76270" w14:paraId="30A64A70" w14:textId="77777777" w:rsidTr="00286770">
        <w:trPr>
          <w:trHeight w:val="360"/>
        </w:trPr>
        <w:tc>
          <w:tcPr>
            <w:tcW w:w="0" w:type="auto"/>
          </w:tcPr>
          <w:p w14:paraId="500C8625" w14:textId="77777777" w:rsidR="00CD6F3C" w:rsidRPr="00B76270" w:rsidRDefault="00CD6F3C" w:rsidP="00286770">
            <w:pPr>
              <w:pStyle w:val="Default"/>
              <w:spacing w:before="100" w:beforeAutospacing="1" w:after="100" w:afterAutospacing="1" w:line="360" w:lineRule="auto"/>
            </w:pPr>
            <w:r w:rsidRPr="00B76270">
              <w:rPr>
                <w:b/>
                <w:bCs/>
              </w:rPr>
              <w:t xml:space="preserve">Composite Mean and Standard Deviation </w:t>
            </w:r>
          </w:p>
        </w:tc>
        <w:tc>
          <w:tcPr>
            <w:tcW w:w="0" w:type="auto"/>
          </w:tcPr>
          <w:p w14:paraId="0B8314A2" w14:textId="77777777" w:rsidR="00CD6F3C" w:rsidRPr="00B76270" w:rsidRDefault="00CD6F3C" w:rsidP="00286770">
            <w:pPr>
              <w:spacing w:before="100" w:beforeAutospacing="1" w:after="100" w:afterAutospacing="1" w:line="360" w:lineRule="auto"/>
              <w:rPr>
                <w:b/>
                <w:color w:val="000000"/>
              </w:rPr>
            </w:pPr>
            <w:r w:rsidRPr="00B76270">
              <w:rPr>
                <w:b/>
                <w:color w:val="000000"/>
              </w:rPr>
              <w:t>3.5108</w:t>
            </w:r>
          </w:p>
        </w:tc>
        <w:tc>
          <w:tcPr>
            <w:tcW w:w="0" w:type="auto"/>
          </w:tcPr>
          <w:p w14:paraId="3EBB4080" w14:textId="77777777" w:rsidR="00CD6F3C" w:rsidRPr="00B76270" w:rsidRDefault="00CD6F3C" w:rsidP="00286770">
            <w:pPr>
              <w:spacing w:before="100" w:beforeAutospacing="1" w:after="100" w:afterAutospacing="1" w:line="360" w:lineRule="auto"/>
              <w:rPr>
                <w:b/>
                <w:color w:val="000000"/>
              </w:rPr>
            </w:pPr>
            <w:r w:rsidRPr="00B76270">
              <w:rPr>
                <w:b/>
                <w:color w:val="000000"/>
              </w:rPr>
              <w:t>0.6627</w:t>
            </w:r>
          </w:p>
        </w:tc>
      </w:tr>
    </w:tbl>
    <w:p w14:paraId="76827FA7" w14:textId="77777777" w:rsidR="00CD6F3C" w:rsidRPr="00B76270" w:rsidRDefault="00CD6F3C" w:rsidP="007B4CF8">
      <w:pPr>
        <w:spacing w:before="120"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2025.</w:t>
      </w:r>
    </w:p>
    <w:p w14:paraId="07682920" w14:textId="77777777" w:rsidR="00CD6F3C" w:rsidRPr="00B76270" w:rsidRDefault="00CD6F3C" w:rsidP="00CD6F3C">
      <w:pPr>
        <w:pStyle w:val="NormalWeb"/>
        <w:spacing w:before="0" w:beforeAutospacing="0" w:line="360" w:lineRule="auto"/>
        <w:jc w:val="both"/>
        <w:rPr>
          <w:b/>
        </w:rPr>
      </w:pPr>
      <w:r w:rsidRPr="00B76270">
        <w:rPr>
          <w:b/>
        </w:rPr>
        <w:t>Inferential statistics</w:t>
      </w:r>
    </w:p>
    <w:p w14:paraId="41FE630D" w14:textId="35394E5D" w:rsidR="00CD6F3C" w:rsidRPr="00B76270" w:rsidRDefault="00CD6F3C" w:rsidP="00CD6F3C">
      <w:pPr>
        <w:spacing w:after="100" w:afterAutospacing="1" w:line="360" w:lineRule="auto"/>
        <w:jc w:val="both"/>
        <w:rPr>
          <w:rFonts w:ascii="Times New Roman" w:hAnsi="Times New Roman" w:cs="Times New Roman"/>
          <w:sz w:val="24"/>
          <w:szCs w:val="24"/>
        </w:rPr>
      </w:pPr>
      <w:bookmarkStart w:id="15" w:name="_Toc178857127"/>
      <w:bookmarkStart w:id="16" w:name="_Toc174384408"/>
      <w:r w:rsidRPr="00B76270">
        <w:rPr>
          <w:rFonts w:ascii="Times New Roman" w:hAnsi="Times New Roman" w:cs="Times New Roman"/>
          <w:sz w:val="24"/>
          <w:szCs w:val="24"/>
        </w:rPr>
        <w:t>To evaluate the correlation strength between the study variables, the researcher employed Karl Pearson’s coefficient of correlation (r). The results displayed in Tabl</w:t>
      </w:r>
      <w:r w:rsidR="00757B0A" w:rsidRPr="00B76270">
        <w:rPr>
          <w:rFonts w:ascii="Times New Roman" w:hAnsi="Times New Roman" w:cs="Times New Roman"/>
          <w:sz w:val="24"/>
          <w:szCs w:val="24"/>
        </w:rPr>
        <w:t xml:space="preserve">e </w:t>
      </w:r>
      <w:r w:rsidR="00735013">
        <w:rPr>
          <w:rFonts w:ascii="Times New Roman" w:hAnsi="Times New Roman" w:cs="Times New Roman"/>
          <w:sz w:val="24"/>
          <w:szCs w:val="24"/>
        </w:rPr>
        <w:t>2</w:t>
      </w:r>
      <w:r w:rsidRPr="00B76270">
        <w:rPr>
          <w:rFonts w:ascii="Times New Roman" w:hAnsi="Times New Roman" w:cs="Times New Roman"/>
          <w:sz w:val="24"/>
          <w:szCs w:val="24"/>
        </w:rPr>
        <w:t xml:space="preserve"> reveal a positive </w:t>
      </w:r>
      <w:r w:rsidRPr="00B76270">
        <w:rPr>
          <w:rFonts w:ascii="Times New Roman" w:hAnsi="Times New Roman" w:cs="Times New Roman"/>
          <w:sz w:val="24"/>
          <w:szCs w:val="24"/>
        </w:rPr>
        <w:lastRenderedPageBreak/>
        <w:t xml:space="preserve">correlation of 0.583 between governance processes and risk management framework within the national treasuries of North Rift, Kenya. </w:t>
      </w:r>
      <w:bookmarkEnd w:id="15"/>
    </w:p>
    <w:p w14:paraId="572ACCED" w14:textId="358CAE5A" w:rsidR="00CD6F3C" w:rsidRPr="00B76270" w:rsidRDefault="00CD6F3C" w:rsidP="00CD6F3C">
      <w:pPr>
        <w:spacing w:after="100" w:afterAutospacing="1"/>
        <w:rPr>
          <w:rFonts w:ascii="Times New Roman" w:hAnsi="Times New Roman" w:cs="Times New Roman"/>
          <w:b/>
          <w:sz w:val="24"/>
          <w:szCs w:val="24"/>
        </w:rPr>
      </w:pPr>
      <w:bookmarkStart w:id="17" w:name="_Toc178857128"/>
      <w:r w:rsidRPr="00B76270">
        <w:rPr>
          <w:rFonts w:ascii="Times New Roman" w:hAnsi="Times New Roman" w:cs="Times New Roman"/>
          <w:b/>
          <w:sz w:val="24"/>
          <w:szCs w:val="24"/>
        </w:rPr>
        <w:t>Ta</w:t>
      </w:r>
      <w:r w:rsidR="00757B0A" w:rsidRPr="00B76270">
        <w:rPr>
          <w:rFonts w:ascii="Times New Roman" w:hAnsi="Times New Roman" w:cs="Times New Roman"/>
          <w:b/>
          <w:sz w:val="24"/>
          <w:szCs w:val="24"/>
        </w:rPr>
        <w:t xml:space="preserve">ble </w:t>
      </w:r>
      <w:r w:rsidR="00735013">
        <w:rPr>
          <w:rFonts w:ascii="Times New Roman" w:hAnsi="Times New Roman" w:cs="Times New Roman"/>
          <w:b/>
          <w:sz w:val="24"/>
          <w:szCs w:val="24"/>
        </w:rPr>
        <w:t>2</w:t>
      </w:r>
      <w:r w:rsidRPr="00B76270">
        <w:rPr>
          <w:rFonts w:ascii="Times New Roman" w:hAnsi="Times New Roman" w:cs="Times New Roman"/>
          <w:b/>
          <w:sz w:val="24"/>
          <w:szCs w:val="24"/>
        </w:rPr>
        <w:t>: Coefficient of Correlation.</w:t>
      </w:r>
      <w:bookmarkEnd w:id="16"/>
      <w:bookmarkEnd w:id="1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2"/>
        <w:gridCol w:w="1883"/>
        <w:gridCol w:w="1279"/>
        <w:gridCol w:w="1414"/>
      </w:tblGrid>
      <w:tr w:rsidR="00CD6F3C" w:rsidRPr="00B76270" w14:paraId="60D6F4B0" w14:textId="77777777" w:rsidTr="00286770">
        <w:tc>
          <w:tcPr>
            <w:tcW w:w="1712" w:type="dxa"/>
            <w:tcBorders>
              <w:top w:val="single" w:sz="4" w:space="0" w:color="auto"/>
              <w:bottom w:val="single" w:sz="4" w:space="0" w:color="auto"/>
            </w:tcBorders>
          </w:tcPr>
          <w:p w14:paraId="20048CD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Borders>
              <w:top w:val="single" w:sz="4" w:space="0" w:color="auto"/>
              <w:bottom w:val="single" w:sz="4" w:space="0" w:color="auto"/>
            </w:tcBorders>
          </w:tcPr>
          <w:p w14:paraId="699B1D4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279" w:type="dxa"/>
            <w:tcBorders>
              <w:top w:val="single" w:sz="4" w:space="0" w:color="auto"/>
              <w:bottom w:val="single" w:sz="4" w:space="0" w:color="auto"/>
            </w:tcBorders>
          </w:tcPr>
          <w:p w14:paraId="7EBEB6C1"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414" w:type="dxa"/>
            <w:tcBorders>
              <w:top w:val="single" w:sz="4" w:space="0" w:color="auto"/>
              <w:bottom w:val="single" w:sz="4" w:space="0" w:color="auto"/>
            </w:tcBorders>
          </w:tcPr>
          <w:p w14:paraId="7576106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5F6C9F"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r>
      <w:tr w:rsidR="00CD6F3C" w:rsidRPr="00B76270" w14:paraId="13A9FEBB" w14:textId="77777777" w:rsidTr="00286770">
        <w:tc>
          <w:tcPr>
            <w:tcW w:w="1712" w:type="dxa"/>
            <w:tcBorders>
              <w:top w:val="single" w:sz="4" w:space="0" w:color="auto"/>
            </w:tcBorders>
          </w:tcPr>
          <w:p w14:paraId="3175F77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Governance processes</w:t>
            </w:r>
          </w:p>
        </w:tc>
        <w:tc>
          <w:tcPr>
            <w:tcW w:w="1883" w:type="dxa"/>
            <w:tcBorders>
              <w:top w:val="single" w:sz="4" w:space="0" w:color="auto"/>
            </w:tcBorders>
          </w:tcPr>
          <w:p w14:paraId="15A3E09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Borders>
              <w:top w:val="single" w:sz="4" w:space="0" w:color="auto"/>
            </w:tcBorders>
          </w:tcPr>
          <w:p w14:paraId="4AEC799E"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c>
          <w:tcPr>
            <w:tcW w:w="1414" w:type="dxa"/>
            <w:tcBorders>
              <w:top w:val="single" w:sz="4" w:space="0" w:color="auto"/>
            </w:tcBorders>
          </w:tcPr>
          <w:p w14:paraId="6D027E0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177205F" w14:textId="77777777" w:rsidTr="00286770">
        <w:tc>
          <w:tcPr>
            <w:tcW w:w="1712" w:type="dxa"/>
          </w:tcPr>
          <w:p w14:paraId="7B9E0F4A"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79BD9565" w14:textId="77777777" w:rsidR="00CD6F3C" w:rsidRPr="00B76270" w:rsidRDefault="00CD6F3C" w:rsidP="00BA0D2C">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79194C4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414" w:type="dxa"/>
          </w:tcPr>
          <w:p w14:paraId="5A906B74"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r w:rsidR="00CD6F3C" w:rsidRPr="00B76270" w14:paraId="7850510C" w14:textId="77777777" w:rsidTr="00286770">
        <w:tc>
          <w:tcPr>
            <w:tcW w:w="1712" w:type="dxa"/>
          </w:tcPr>
          <w:p w14:paraId="0221D78C"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Risk Management Framework</w:t>
            </w:r>
          </w:p>
        </w:tc>
        <w:tc>
          <w:tcPr>
            <w:tcW w:w="1883" w:type="dxa"/>
          </w:tcPr>
          <w:p w14:paraId="6756D33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Pearson’s Correlation</w:t>
            </w:r>
          </w:p>
        </w:tc>
        <w:tc>
          <w:tcPr>
            <w:tcW w:w="1279" w:type="dxa"/>
          </w:tcPr>
          <w:p w14:paraId="08F228D9"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p w14:paraId="4D15CFF8"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sz w:val="24"/>
                <w:szCs w:val="24"/>
              </w:rPr>
              <w:t>.583</w:t>
            </w:r>
          </w:p>
        </w:tc>
        <w:tc>
          <w:tcPr>
            <w:tcW w:w="1414" w:type="dxa"/>
          </w:tcPr>
          <w:p w14:paraId="58D82D57"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1</w:t>
            </w:r>
          </w:p>
        </w:tc>
      </w:tr>
      <w:tr w:rsidR="00CD6F3C" w:rsidRPr="00B76270" w14:paraId="7CA9D204" w14:textId="77777777" w:rsidTr="00286770">
        <w:tc>
          <w:tcPr>
            <w:tcW w:w="1712" w:type="dxa"/>
          </w:tcPr>
          <w:p w14:paraId="3C422F8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c>
          <w:tcPr>
            <w:tcW w:w="1883" w:type="dxa"/>
          </w:tcPr>
          <w:p w14:paraId="5225EC63" w14:textId="77777777" w:rsidR="00CD6F3C" w:rsidRPr="00B76270" w:rsidRDefault="00CD6F3C" w:rsidP="00CC3AF6">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 xml:space="preserve">Sig. </w:t>
            </w:r>
          </w:p>
        </w:tc>
        <w:tc>
          <w:tcPr>
            <w:tcW w:w="1279" w:type="dxa"/>
          </w:tcPr>
          <w:p w14:paraId="13EA8176"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r w:rsidRPr="00B76270">
              <w:rPr>
                <w:rFonts w:ascii="Times New Roman" w:hAnsi="Times New Roman" w:cs="Times New Roman"/>
                <w:color w:val="000000"/>
                <w:sz w:val="24"/>
                <w:szCs w:val="24"/>
              </w:rPr>
              <w:t>.002</w:t>
            </w:r>
          </w:p>
        </w:tc>
        <w:tc>
          <w:tcPr>
            <w:tcW w:w="1414" w:type="dxa"/>
          </w:tcPr>
          <w:p w14:paraId="26754A22" w14:textId="77777777" w:rsidR="00CD6F3C" w:rsidRPr="00B76270" w:rsidRDefault="00CD6F3C" w:rsidP="00286770">
            <w:pPr>
              <w:autoSpaceDE w:val="0"/>
              <w:autoSpaceDN w:val="0"/>
              <w:adjustRightInd w:val="0"/>
              <w:spacing w:after="100" w:afterAutospacing="1"/>
              <w:jc w:val="both"/>
              <w:rPr>
                <w:rFonts w:ascii="Times New Roman" w:hAnsi="Times New Roman" w:cs="Times New Roman"/>
                <w:color w:val="000000"/>
                <w:sz w:val="24"/>
                <w:szCs w:val="24"/>
              </w:rPr>
            </w:pPr>
          </w:p>
        </w:tc>
      </w:tr>
    </w:tbl>
    <w:p w14:paraId="19EAD13A" w14:textId="77777777" w:rsidR="00CD6F3C" w:rsidRPr="00B76270" w:rsidRDefault="00CD6F3C" w:rsidP="00CD6F3C">
      <w:pPr>
        <w:spacing w:after="100" w:afterAutospacing="1" w:line="360" w:lineRule="auto"/>
        <w:jc w:val="both"/>
        <w:rPr>
          <w:rFonts w:ascii="Times New Roman" w:eastAsia="Times New Roman" w:hAnsi="Times New Roman" w:cs="Times New Roman"/>
          <w:b/>
          <w:sz w:val="24"/>
          <w:szCs w:val="24"/>
        </w:rPr>
      </w:pPr>
      <w:r w:rsidRPr="00B76270">
        <w:rPr>
          <w:rFonts w:ascii="Times New Roman" w:eastAsia="Times New Roman" w:hAnsi="Times New Roman" w:cs="Times New Roman"/>
          <w:b/>
          <w:sz w:val="24"/>
          <w:szCs w:val="24"/>
        </w:rPr>
        <w:t>Source: Researcher, 2024.</w:t>
      </w:r>
      <w:bookmarkStart w:id="18" w:name="_Toc53764706"/>
      <w:bookmarkStart w:id="19" w:name="_Toc55487598"/>
      <w:bookmarkStart w:id="20" w:name="_Toc55741276"/>
      <w:bookmarkStart w:id="21" w:name="_Toc174384410"/>
    </w:p>
    <w:p w14:paraId="60695597"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coefficient of determination (R²) indicates the extent to which changes in the dependent variable can be attributed to changes in the independent variables. Specifically, it represents the percentage of variation in the dependent variable (Governance Processes) that is explained by the three independent variables: Risk Management Framework. </w:t>
      </w:r>
    </w:p>
    <w:p w14:paraId="4405728C" w14:textId="178C27FF" w:rsidR="00CD6F3C" w:rsidRPr="00B76270" w:rsidRDefault="00757B0A" w:rsidP="00CD6F3C">
      <w:pPr>
        <w:spacing w:after="100" w:afterAutospacing="1"/>
        <w:rPr>
          <w:rFonts w:ascii="Times New Roman" w:hAnsi="Times New Roman" w:cs="Times New Roman"/>
          <w:b/>
          <w:sz w:val="24"/>
          <w:szCs w:val="24"/>
        </w:rPr>
      </w:pPr>
      <w:bookmarkStart w:id="22" w:name="_Toc178857130"/>
      <w:r w:rsidRPr="00B76270">
        <w:rPr>
          <w:rFonts w:ascii="Times New Roman" w:hAnsi="Times New Roman" w:cs="Times New Roman"/>
          <w:b/>
          <w:sz w:val="24"/>
          <w:szCs w:val="24"/>
        </w:rPr>
        <w:t xml:space="preserve">Table </w:t>
      </w:r>
      <w:r w:rsidR="00735013">
        <w:rPr>
          <w:rFonts w:ascii="Times New Roman" w:hAnsi="Times New Roman" w:cs="Times New Roman"/>
          <w:b/>
          <w:sz w:val="24"/>
          <w:szCs w:val="24"/>
        </w:rPr>
        <w:t>3</w:t>
      </w:r>
      <w:r w:rsidR="00CD6F3C" w:rsidRPr="00B76270">
        <w:rPr>
          <w:rFonts w:ascii="Times New Roman" w:hAnsi="Times New Roman" w:cs="Times New Roman"/>
          <w:b/>
          <w:sz w:val="24"/>
          <w:szCs w:val="24"/>
        </w:rPr>
        <w:t xml:space="preserve"> Overall Model Summary</w:t>
      </w:r>
      <w:bookmarkEnd w:id="18"/>
      <w:bookmarkEnd w:id="19"/>
      <w:bookmarkEnd w:id="20"/>
      <w:bookmarkEnd w:id="21"/>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58"/>
        <w:gridCol w:w="1870"/>
        <w:gridCol w:w="1882"/>
        <w:gridCol w:w="1882"/>
      </w:tblGrid>
      <w:tr w:rsidR="00CD6F3C" w:rsidRPr="00B76270" w14:paraId="3852F5A1" w14:textId="77777777" w:rsidTr="00286770">
        <w:tc>
          <w:tcPr>
            <w:tcW w:w="1935" w:type="dxa"/>
            <w:tcBorders>
              <w:top w:val="single" w:sz="4" w:space="0" w:color="auto"/>
              <w:bottom w:val="single" w:sz="4" w:space="0" w:color="auto"/>
            </w:tcBorders>
          </w:tcPr>
          <w:p w14:paraId="200845E5"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Model</w:t>
            </w:r>
          </w:p>
        </w:tc>
        <w:tc>
          <w:tcPr>
            <w:tcW w:w="1935" w:type="dxa"/>
            <w:tcBorders>
              <w:top w:val="single" w:sz="4" w:space="0" w:color="auto"/>
              <w:bottom w:val="single" w:sz="4" w:space="0" w:color="auto"/>
            </w:tcBorders>
          </w:tcPr>
          <w:p w14:paraId="786E1E48"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w:t>
            </w:r>
          </w:p>
        </w:tc>
        <w:tc>
          <w:tcPr>
            <w:tcW w:w="1935" w:type="dxa"/>
            <w:tcBorders>
              <w:top w:val="single" w:sz="4" w:space="0" w:color="auto"/>
              <w:bottom w:val="single" w:sz="4" w:space="0" w:color="auto"/>
            </w:tcBorders>
          </w:tcPr>
          <w:p w14:paraId="338CA3EC"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 Square</w:t>
            </w:r>
          </w:p>
        </w:tc>
        <w:tc>
          <w:tcPr>
            <w:tcW w:w="1935" w:type="dxa"/>
            <w:tcBorders>
              <w:top w:val="single" w:sz="4" w:space="0" w:color="auto"/>
              <w:bottom w:val="single" w:sz="4" w:space="0" w:color="auto"/>
            </w:tcBorders>
          </w:tcPr>
          <w:p w14:paraId="357960A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Adjusted R Square</w:t>
            </w:r>
          </w:p>
        </w:tc>
        <w:tc>
          <w:tcPr>
            <w:tcW w:w="1936" w:type="dxa"/>
            <w:tcBorders>
              <w:top w:val="single" w:sz="4" w:space="0" w:color="auto"/>
              <w:bottom w:val="single" w:sz="4" w:space="0" w:color="auto"/>
            </w:tcBorders>
          </w:tcPr>
          <w:p w14:paraId="0C7D272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Std. Error of the Estimate</w:t>
            </w:r>
          </w:p>
        </w:tc>
      </w:tr>
      <w:tr w:rsidR="00CD6F3C" w:rsidRPr="00B76270" w14:paraId="0F54405A" w14:textId="77777777" w:rsidTr="00286770">
        <w:tc>
          <w:tcPr>
            <w:tcW w:w="1935" w:type="dxa"/>
            <w:tcBorders>
              <w:top w:val="single" w:sz="4" w:space="0" w:color="auto"/>
            </w:tcBorders>
          </w:tcPr>
          <w:p w14:paraId="61A5F6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935" w:type="dxa"/>
            <w:tcBorders>
              <w:top w:val="single" w:sz="4" w:space="0" w:color="auto"/>
            </w:tcBorders>
          </w:tcPr>
          <w:p w14:paraId="36F83F14"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712a</w:t>
            </w:r>
          </w:p>
        </w:tc>
        <w:tc>
          <w:tcPr>
            <w:tcW w:w="1935" w:type="dxa"/>
            <w:tcBorders>
              <w:top w:val="single" w:sz="4" w:space="0" w:color="auto"/>
            </w:tcBorders>
          </w:tcPr>
          <w:p w14:paraId="6C98AA7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.508</w:t>
            </w:r>
          </w:p>
        </w:tc>
        <w:tc>
          <w:tcPr>
            <w:tcW w:w="1935" w:type="dxa"/>
            <w:tcBorders>
              <w:top w:val="single" w:sz="4" w:space="0" w:color="auto"/>
            </w:tcBorders>
          </w:tcPr>
          <w:p w14:paraId="37D1A7D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.397</w:t>
            </w:r>
          </w:p>
        </w:tc>
        <w:tc>
          <w:tcPr>
            <w:tcW w:w="1936" w:type="dxa"/>
            <w:tcBorders>
              <w:top w:val="single" w:sz="4" w:space="0" w:color="auto"/>
            </w:tcBorders>
          </w:tcPr>
          <w:p w14:paraId="0121F8D9"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002</w:t>
            </w:r>
          </w:p>
        </w:tc>
      </w:tr>
    </w:tbl>
    <w:p w14:paraId="2E3573EC"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rPr>
        <w:t>Predictors: (Constant), Risk Management Framework.</w:t>
      </w:r>
    </w:p>
    <w:p w14:paraId="53ACDEB1" w14:textId="77777777" w:rsidR="00CD6F3C" w:rsidRPr="00B76270" w:rsidRDefault="00CD6F3C" w:rsidP="00CD6F3C">
      <w:pPr>
        <w:pStyle w:val="ListParagraph"/>
        <w:numPr>
          <w:ilvl w:val="0"/>
          <w:numId w:val="1"/>
        </w:numPr>
        <w:spacing w:after="100" w:afterAutospacing="1" w:line="360" w:lineRule="auto"/>
        <w:jc w:val="both"/>
        <w:rPr>
          <w:rFonts w:ascii="Times New Roman" w:hAnsi="Times New Roman"/>
          <w:b/>
        </w:rPr>
      </w:pPr>
      <w:r w:rsidRPr="00B76270">
        <w:rPr>
          <w:rFonts w:ascii="Times New Roman" w:hAnsi="Times New Roman"/>
          <w:b/>
        </w:rPr>
        <w:t>Source: Researcher, 2024</w:t>
      </w:r>
    </w:p>
    <w:p w14:paraId="29E8061B"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study found that the </w:t>
      </w:r>
      <w:r w:rsidR="008868A8" w:rsidRPr="00B76270">
        <w:rPr>
          <w:rFonts w:ascii="Times New Roman" w:hAnsi="Times New Roman" w:cs="Times New Roman"/>
          <w:sz w:val="24"/>
          <w:szCs w:val="24"/>
        </w:rPr>
        <w:t>Risk Management Framework.</w:t>
      </w:r>
      <w:r w:rsidR="008868A8">
        <w:rPr>
          <w:rFonts w:ascii="Times New Roman" w:hAnsi="Times New Roman" w:cs="Times New Roman"/>
          <w:sz w:val="24"/>
          <w:szCs w:val="24"/>
        </w:rPr>
        <w:t xml:space="preserve"> </w:t>
      </w:r>
      <w:r w:rsidRPr="00B76270">
        <w:rPr>
          <w:rFonts w:ascii="Times New Roman" w:hAnsi="Times New Roman" w:cs="Times New Roman"/>
          <w:sz w:val="24"/>
          <w:szCs w:val="24"/>
        </w:rPr>
        <w:t xml:space="preserve">explained </w:t>
      </w:r>
      <w:r w:rsidRPr="00B76270">
        <w:rPr>
          <w:rStyle w:val="Strong"/>
          <w:rFonts w:ascii="Times New Roman" w:hAnsi="Times New Roman" w:cs="Times New Roman"/>
          <w:sz w:val="24"/>
          <w:szCs w:val="24"/>
        </w:rPr>
        <w:t>50.8%</w:t>
      </w:r>
      <w:r w:rsidRPr="00B76270">
        <w:rPr>
          <w:rFonts w:ascii="Times New Roman" w:hAnsi="Times New Roman" w:cs="Times New Roman"/>
          <w:sz w:val="24"/>
          <w:szCs w:val="24"/>
        </w:rPr>
        <w:t xml:space="preserve"> of the variance in governance processes at the national treasuries in North Rift, Kenya, as indicated by the R² value. This suggests that </w:t>
      </w:r>
      <w:r w:rsidRPr="00B76270">
        <w:rPr>
          <w:rStyle w:val="Strong"/>
          <w:rFonts w:ascii="Times New Roman" w:hAnsi="Times New Roman" w:cs="Times New Roman"/>
          <w:sz w:val="24"/>
          <w:szCs w:val="24"/>
        </w:rPr>
        <w:t>49.2%</w:t>
      </w:r>
      <w:r w:rsidRPr="00B76270">
        <w:rPr>
          <w:rFonts w:ascii="Times New Roman" w:hAnsi="Times New Roman" w:cs="Times New Roman"/>
          <w:sz w:val="24"/>
          <w:szCs w:val="24"/>
        </w:rPr>
        <w:t xml:space="preserve"> of the variation in governance processes is influenced by other fact</w:t>
      </w:r>
      <w:r w:rsidR="008868A8">
        <w:rPr>
          <w:rFonts w:ascii="Times New Roman" w:hAnsi="Times New Roman" w:cs="Times New Roman"/>
          <w:sz w:val="24"/>
          <w:szCs w:val="24"/>
        </w:rPr>
        <w:t>ors not covered in this paper</w:t>
      </w:r>
      <w:r w:rsidRPr="00B76270">
        <w:rPr>
          <w:rFonts w:ascii="Times New Roman" w:hAnsi="Times New Roman" w:cs="Times New Roman"/>
          <w:sz w:val="24"/>
          <w:szCs w:val="24"/>
        </w:rPr>
        <w:t>. Therefore, further studies are needed to explore the additional factors that affect governance processes in these national treasuries.</w:t>
      </w:r>
    </w:p>
    <w:p w14:paraId="453EF4DA" w14:textId="1919571C" w:rsidR="00CD6F3C" w:rsidRPr="00B76270" w:rsidRDefault="00CD6F3C" w:rsidP="00CD6F3C">
      <w:pPr>
        <w:spacing w:after="100" w:afterAutospacing="1" w:line="360" w:lineRule="auto"/>
        <w:jc w:val="both"/>
        <w:rPr>
          <w:rStyle w:val="Heading2Char"/>
          <w:rFonts w:ascii="Times New Roman" w:eastAsia="Times New Roman" w:hAnsi="Times New Roman" w:cs="Times New Roman"/>
          <w:sz w:val="24"/>
          <w:szCs w:val="24"/>
        </w:rPr>
      </w:pPr>
      <w:r w:rsidRPr="00B76270">
        <w:rPr>
          <w:rFonts w:ascii="Times New Roman" w:hAnsi="Times New Roman" w:cs="Times New Roman"/>
          <w:sz w:val="24"/>
          <w:szCs w:val="24"/>
        </w:rPr>
        <w:lastRenderedPageBreak/>
        <w:t>To asse</w:t>
      </w:r>
      <w:r w:rsidR="0045674B">
        <w:rPr>
          <w:rFonts w:ascii="Times New Roman" w:hAnsi="Times New Roman" w:cs="Times New Roman"/>
          <w:sz w:val="24"/>
          <w:szCs w:val="24"/>
        </w:rPr>
        <w:t>ss the individual impact of the</w:t>
      </w:r>
      <w:r w:rsidRPr="00B76270">
        <w:rPr>
          <w:rFonts w:ascii="Times New Roman" w:hAnsi="Times New Roman" w:cs="Times New Roman"/>
          <w:sz w:val="24"/>
          <w:szCs w:val="24"/>
        </w:rPr>
        <w:t xml:space="preserve"> </w:t>
      </w:r>
      <w:r w:rsidR="0045674B">
        <w:rPr>
          <w:rFonts w:ascii="Times New Roman" w:hAnsi="Times New Roman" w:cs="Times New Roman"/>
          <w:sz w:val="24"/>
          <w:szCs w:val="24"/>
        </w:rPr>
        <w:t>risk management f</w:t>
      </w:r>
      <w:r w:rsidR="0045674B" w:rsidRPr="00B76270">
        <w:rPr>
          <w:rFonts w:ascii="Times New Roman" w:hAnsi="Times New Roman" w:cs="Times New Roman"/>
          <w:sz w:val="24"/>
          <w:szCs w:val="24"/>
        </w:rPr>
        <w:t xml:space="preserve">ramework </w:t>
      </w:r>
      <w:r w:rsidRPr="00B76270">
        <w:rPr>
          <w:rFonts w:ascii="Times New Roman" w:hAnsi="Times New Roman" w:cs="Times New Roman"/>
          <w:sz w:val="24"/>
          <w:szCs w:val="24"/>
        </w:rPr>
        <w:t xml:space="preserve">on governance processes, </w:t>
      </w:r>
      <w:r w:rsidR="00B76270">
        <w:rPr>
          <w:rFonts w:ascii="Times New Roman" w:hAnsi="Times New Roman" w:cs="Times New Roman"/>
          <w:sz w:val="24"/>
          <w:szCs w:val="24"/>
        </w:rPr>
        <w:t>simple linear</w:t>
      </w:r>
      <w:r w:rsidRPr="00B76270">
        <w:rPr>
          <w:rFonts w:ascii="Times New Roman" w:hAnsi="Times New Roman" w:cs="Times New Roman"/>
          <w:sz w:val="24"/>
          <w:szCs w:val="24"/>
        </w:rPr>
        <w:t xml:space="preserve"> regression analysis was performed. The results, as shown in </w:t>
      </w:r>
      <w:r w:rsidR="00757B0A" w:rsidRPr="00B76270">
        <w:rPr>
          <w:rStyle w:val="Strong"/>
          <w:rFonts w:ascii="Times New Roman" w:hAnsi="Times New Roman" w:cs="Times New Roman"/>
          <w:sz w:val="24"/>
          <w:szCs w:val="24"/>
        </w:rPr>
        <w:t>Table 4</w:t>
      </w:r>
      <w:r w:rsidRPr="00B76270">
        <w:rPr>
          <w:rFonts w:ascii="Times New Roman" w:hAnsi="Times New Roman" w:cs="Times New Roman"/>
          <w:b/>
          <w:sz w:val="24"/>
          <w:szCs w:val="24"/>
        </w:rPr>
        <w:t>,</w:t>
      </w:r>
      <w:r w:rsidR="00B76270">
        <w:rPr>
          <w:rFonts w:ascii="Times New Roman" w:hAnsi="Times New Roman" w:cs="Times New Roman"/>
          <w:sz w:val="24"/>
          <w:szCs w:val="24"/>
        </w:rPr>
        <w:t xml:space="preserve"> demonstrate t</w:t>
      </w:r>
      <w:r w:rsidR="00BA0D2C">
        <w:rPr>
          <w:rFonts w:ascii="Times New Roman" w:hAnsi="Times New Roman" w:cs="Times New Roman"/>
          <w:sz w:val="24"/>
          <w:szCs w:val="24"/>
        </w:rPr>
        <w:t xml:space="preserve">hat the </w:t>
      </w:r>
      <w:r w:rsidR="00B76270">
        <w:rPr>
          <w:rFonts w:ascii="Times New Roman" w:hAnsi="Times New Roman" w:cs="Times New Roman"/>
          <w:sz w:val="24"/>
          <w:szCs w:val="24"/>
        </w:rPr>
        <w:t>independent variable was significant predictor</w:t>
      </w:r>
      <w:r w:rsidRPr="00B76270">
        <w:rPr>
          <w:rFonts w:ascii="Times New Roman" w:hAnsi="Times New Roman" w:cs="Times New Roman"/>
          <w:sz w:val="24"/>
          <w:szCs w:val="24"/>
        </w:rPr>
        <w:t xml:space="preserve"> of governance processes, with a significance level of </w:t>
      </w:r>
      <w:r w:rsidRPr="00B76270">
        <w:rPr>
          <w:rStyle w:val="Strong"/>
          <w:rFonts w:ascii="Times New Roman" w:hAnsi="Times New Roman" w:cs="Times New Roman"/>
          <w:sz w:val="24"/>
          <w:szCs w:val="24"/>
        </w:rPr>
        <w:t>p &lt; 0.05</w:t>
      </w:r>
      <w:r w:rsidRPr="00B76270">
        <w:rPr>
          <w:rFonts w:ascii="Times New Roman" w:hAnsi="Times New Roman" w:cs="Times New Roman"/>
          <w:sz w:val="24"/>
          <w:szCs w:val="24"/>
        </w:rPr>
        <w:t xml:space="preserve">. This reinforces the idea that </w:t>
      </w:r>
      <w:r w:rsidR="00B76270">
        <w:rPr>
          <w:rFonts w:ascii="Times New Roman" w:hAnsi="Times New Roman" w:cs="Times New Roman"/>
          <w:sz w:val="24"/>
          <w:szCs w:val="24"/>
        </w:rPr>
        <w:t>risk management f</w:t>
      </w:r>
      <w:r w:rsidR="00BF562F" w:rsidRPr="00B76270">
        <w:rPr>
          <w:rFonts w:ascii="Times New Roman" w:hAnsi="Times New Roman" w:cs="Times New Roman"/>
          <w:sz w:val="24"/>
          <w:szCs w:val="24"/>
        </w:rPr>
        <w:t>ramework</w:t>
      </w:r>
      <w:r w:rsidRPr="00B76270">
        <w:rPr>
          <w:rFonts w:ascii="Times New Roman" w:hAnsi="Times New Roman" w:cs="Times New Roman"/>
          <w:sz w:val="24"/>
          <w:szCs w:val="24"/>
        </w:rPr>
        <w:t>, plays a critical role in shaping governance processes in the region</w:t>
      </w:r>
      <w:bookmarkStart w:id="23" w:name="_Toc53764704"/>
      <w:bookmarkStart w:id="24" w:name="_Toc55487596"/>
      <w:bookmarkStart w:id="25" w:name="_Toc55741274"/>
      <w:bookmarkStart w:id="26" w:name="_Toc174384412"/>
      <w:r w:rsidRPr="00B76270">
        <w:rPr>
          <w:rFonts w:ascii="Times New Roman" w:eastAsia="Times New Roman" w:hAnsi="Times New Roman" w:cs="Times New Roman"/>
          <w:sz w:val="24"/>
          <w:szCs w:val="24"/>
        </w:rPr>
        <w:t xml:space="preserve">. </w:t>
      </w:r>
    </w:p>
    <w:p w14:paraId="1B442E22" w14:textId="44AF3A41" w:rsidR="00CD6F3C" w:rsidRPr="00B76270" w:rsidRDefault="00CD6F3C" w:rsidP="00757B0A">
      <w:pPr>
        <w:rPr>
          <w:rFonts w:ascii="Times New Roman" w:hAnsi="Times New Roman" w:cs="Times New Roman"/>
          <w:b/>
          <w:bCs/>
          <w:sz w:val="24"/>
          <w:szCs w:val="24"/>
        </w:rPr>
      </w:pPr>
      <w:bookmarkStart w:id="27" w:name="_Toc178857132"/>
      <w:r w:rsidRPr="00B76270">
        <w:rPr>
          <w:rStyle w:val="Heading2Char"/>
          <w:rFonts w:ascii="Times New Roman" w:hAnsi="Times New Roman" w:cs="Times New Roman"/>
          <w:b/>
          <w:color w:val="auto"/>
          <w:sz w:val="24"/>
          <w:szCs w:val="24"/>
        </w:rPr>
        <w:t>T</w:t>
      </w:r>
      <w:r w:rsidR="00757B0A" w:rsidRPr="00B76270">
        <w:rPr>
          <w:rStyle w:val="Heading2Char"/>
          <w:rFonts w:ascii="Times New Roman" w:hAnsi="Times New Roman" w:cs="Times New Roman"/>
          <w:b/>
          <w:color w:val="auto"/>
          <w:sz w:val="24"/>
          <w:szCs w:val="24"/>
        </w:rPr>
        <w:t>able 4</w:t>
      </w:r>
      <w:r w:rsidRPr="00B76270">
        <w:rPr>
          <w:rStyle w:val="Heading2Char"/>
          <w:rFonts w:ascii="Times New Roman" w:hAnsi="Times New Roman" w:cs="Times New Roman"/>
          <w:b/>
          <w:color w:val="auto"/>
          <w:sz w:val="24"/>
          <w:szCs w:val="24"/>
        </w:rPr>
        <w:t>: Coefficients</w:t>
      </w:r>
      <w:bookmarkEnd w:id="23"/>
      <w:bookmarkEnd w:id="24"/>
      <w:bookmarkEnd w:id="25"/>
      <w:r w:rsidR="00BA0D2C">
        <w:rPr>
          <w:rStyle w:val="Heading2Char"/>
          <w:rFonts w:ascii="Times New Roman" w:hAnsi="Times New Roman" w:cs="Times New Roman"/>
          <w:b/>
          <w:color w:val="auto"/>
          <w:sz w:val="24"/>
          <w:szCs w:val="24"/>
        </w:rPr>
        <w:t xml:space="preserve"> of Simple</w:t>
      </w:r>
      <w:r w:rsidRPr="00B76270">
        <w:rPr>
          <w:rStyle w:val="Heading2Char"/>
          <w:rFonts w:ascii="Times New Roman" w:hAnsi="Times New Roman" w:cs="Times New Roman"/>
          <w:b/>
          <w:color w:val="auto"/>
          <w:sz w:val="24"/>
          <w:szCs w:val="24"/>
        </w:rPr>
        <w:t xml:space="preserve"> Regression Analysis</w:t>
      </w:r>
      <w:bookmarkEnd w:id="26"/>
      <w:bookmarkEnd w:id="2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895"/>
        <w:gridCol w:w="1941"/>
        <w:gridCol w:w="1304"/>
        <w:gridCol w:w="1545"/>
        <w:gridCol w:w="834"/>
        <w:gridCol w:w="893"/>
      </w:tblGrid>
      <w:tr w:rsidR="00CD6F3C" w:rsidRPr="00B76270" w14:paraId="6A563556" w14:textId="77777777" w:rsidTr="00286770">
        <w:tc>
          <w:tcPr>
            <w:tcW w:w="938" w:type="dxa"/>
          </w:tcPr>
          <w:p w14:paraId="21AA8726"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Model</w:t>
            </w:r>
          </w:p>
        </w:tc>
        <w:tc>
          <w:tcPr>
            <w:tcW w:w="1895" w:type="dxa"/>
          </w:tcPr>
          <w:p w14:paraId="260F8A82"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3D415E9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Unstandardized Coefficients</w:t>
            </w:r>
          </w:p>
        </w:tc>
        <w:tc>
          <w:tcPr>
            <w:tcW w:w="1304" w:type="dxa"/>
          </w:tcPr>
          <w:p w14:paraId="0FD5A324" w14:textId="77777777" w:rsidR="00CD6F3C" w:rsidRPr="00B76270" w:rsidRDefault="00CD6F3C" w:rsidP="00286770">
            <w:pPr>
              <w:spacing w:after="100" w:afterAutospacing="1"/>
              <w:rPr>
                <w:rFonts w:ascii="Times New Roman" w:hAnsi="Times New Roman" w:cs="Times New Roman"/>
                <w:sz w:val="24"/>
                <w:szCs w:val="24"/>
              </w:rPr>
            </w:pPr>
          </w:p>
        </w:tc>
        <w:tc>
          <w:tcPr>
            <w:tcW w:w="1545" w:type="dxa"/>
          </w:tcPr>
          <w:p w14:paraId="11E053FA"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Standardized Coefficients</w:t>
            </w:r>
          </w:p>
        </w:tc>
        <w:tc>
          <w:tcPr>
            <w:tcW w:w="834" w:type="dxa"/>
          </w:tcPr>
          <w:p w14:paraId="660264A0" w14:textId="77777777" w:rsidR="00CD6F3C" w:rsidRPr="00B76270" w:rsidRDefault="00CD6F3C" w:rsidP="00286770">
            <w:pPr>
              <w:spacing w:after="100" w:afterAutospacing="1"/>
              <w:rPr>
                <w:rFonts w:ascii="Times New Roman" w:hAnsi="Times New Roman" w:cs="Times New Roman"/>
                <w:sz w:val="24"/>
                <w:szCs w:val="24"/>
              </w:rPr>
            </w:pPr>
          </w:p>
        </w:tc>
        <w:tc>
          <w:tcPr>
            <w:tcW w:w="893" w:type="dxa"/>
          </w:tcPr>
          <w:p w14:paraId="04DB40EB" w14:textId="77777777" w:rsidR="00CD6F3C" w:rsidRPr="00B76270" w:rsidRDefault="00CD6F3C" w:rsidP="00286770">
            <w:pPr>
              <w:spacing w:after="100" w:afterAutospacing="1"/>
              <w:rPr>
                <w:rFonts w:ascii="Times New Roman" w:hAnsi="Times New Roman" w:cs="Times New Roman"/>
                <w:sz w:val="24"/>
                <w:szCs w:val="24"/>
              </w:rPr>
            </w:pPr>
          </w:p>
        </w:tc>
      </w:tr>
      <w:tr w:rsidR="00CD6F3C" w:rsidRPr="00B76270" w14:paraId="01A17A99" w14:textId="77777777" w:rsidTr="00286770">
        <w:trPr>
          <w:trHeight w:val="594"/>
        </w:trPr>
        <w:tc>
          <w:tcPr>
            <w:tcW w:w="938" w:type="dxa"/>
          </w:tcPr>
          <w:p w14:paraId="08490667"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74874EF1" w14:textId="77777777" w:rsidR="00CD6F3C" w:rsidRPr="00B76270" w:rsidRDefault="00CD6F3C" w:rsidP="00286770">
            <w:pPr>
              <w:spacing w:after="100" w:afterAutospacing="1"/>
              <w:rPr>
                <w:rFonts w:ascii="Times New Roman" w:hAnsi="Times New Roman" w:cs="Times New Roman"/>
                <w:sz w:val="24"/>
                <w:szCs w:val="24"/>
              </w:rPr>
            </w:pPr>
          </w:p>
        </w:tc>
        <w:tc>
          <w:tcPr>
            <w:tcW w:w="1941" w:type="dxa"/>
          </w:tcPr>
          <w:p w14:paraId="05EC763B" w14:textId="77777777" w:rsidR="00CD6F3C" w:rsidRPr="00B76270" w:rsidRDefault="00CD6F3C" w:rsidP="00286770">
            <w:pPr>
              <w:spacing w:after="100" w:afterAutospacing="1"/>
              <w:rPr>
                <w:rFonts w:ascii="Times New Roman" w:hAnsi="Times New Roman" w:cs="Times New Roman"/>
                <w:sz w:val="24"/>
                <w:szCs w:val="24"/>
                <w:vertAlign w:val="subscript"/>
              </w:rPr>
            </w:pPr>
            <w:r w:rsidRPr="00B76270">
              <w:rPr>
                <w:rFonts w:ascii="Times New Roman" w:hAnsi="Times New Roman" w:cs="Times New Roman"/>
                <w:b/>
                <w:sz w:val="24"/>
                <w:szCs w:val="24"/>
              </w:rPr>
              <w:t>Β</w:t>
            </w:r>
          </w:p>
        </w:tc>
        <w:tc>
          <w:tcPr>
            <w:tcW w:w="1304" w:type="dxa"/>
          </w:tcPr>
          <w:p w14:paraId="5B80608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Std. Error</w:t>
            </w:r>
          </w:p>
        </w:tc>
        <w:tc>
          <w:tcPr>
            <w:tcW w:w="1545" w:type="dxa"/>
          </w:tcPr>
          <w:p w14:paraId="670392CC"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Beta</w:t>
            </w:r>
          </w:p>
        </w:tc>
        <w:tc>
          <w:tcPr>
            <w:tcW w:w="834" w:type="dxa"/>
          </w:tcPr>
          <w:p w14:paraId="0F239D10" w14:textId="77777777" w:rsidR="00CD6F3C" w:rsidRPr="00B76270" w:rsidRDefault="00CD6F3C" w:rsidP="00286770">
            <w:pPr>
              <w:spacing w:after="100" w:afterAutospacing="1"/>
              <w:rPr>
                <w:rFonts w:ascii="Times New Roman" w:hAnsi="Times New Roman" w:cs="Times New Roman"/>
                <w:b/>
                <w:sz w:val="24"/>
                <w:szCs w:val="24"/>
              </w:rPr>
            </w:pPr>
            <w:r w:rsidRPr="00B76270">
              <w:rPr>
                <w:rFonts w:ascii="Times New Roman" w:hAnsi="Times New Roman" w:cs="Times New Roman"/>
                <w:b/>
                <w:sz w:val="24"/>
                <w:szCs w:val="24"/>
              </w:rPr>
              <w:t>T</w:t>
            </w:r>
          </w:p>
        </w:tc>
        <w:tc>
          <w:tcPr>
            <w:tcW w:w="893" w:type="dxa"/>
          </w:tcPr>
          <w:p w14:paraId="644D397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Sig.</w:t>
            </w:r>
          </w:p>
        </w:tc>
      </w:tr>
      <w:tr w:rsidR="00CD6F3C" w:rsidRPr="00B76270" w14:paraId="4D20843D" w14:textId="77777777" w:rsidTr="00286770">
        <w:tc>
          <w:tcPr>
            <w:tcW w:w="938" w:type="dxa"/>
          </w:tcPr>
          <w:p w14:paraId="2AE8EB31"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1</w:t>
            </w:r>
          </w:p>
        </w:tc>
        <w:tc>
          <w:tcPr>
            <w:tcW w:w="1895" w:type="dxa"/>
          </w:tcPr>
          <w:p w14:paraId="449385B4"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(Constant)</w:t>
            </w:r>
          </w:p>
        </w:tc>
        <w:tc>
          <w:tcPr>
            <w:tcW w:w="1941" w:type="dxa"/>
          </w:tcPr>
          <w:p w14:paraId="6A7D13A1"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1.296</w:t>
            </w:r>
          </w:p>
        </w:tc>
        <w:tc>
          <w:tcPr>
            <w:tcW w:w="1304" w:type="dxa"/>
          </w:tcPr>
          <w:p w14:paraId="5B6709B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0.00o</w:t>
            </w:r>
          </w:p>
        </w:tc>
        <w:tc>
          <w:tcPr>
            <w:tcW w:w="1545" w:type="dxa"/>
          </w:tcPr>
          <w:p w14:paraId="1AEC7F7C" w14:textId="77777777" w:rsidR="00CD6F3C" w:rsidRPr="00B76270" w:rsidRDefault="00CD6F3C" w:rsidP="00286770">
            <w:pPr>
              <w:spacing w:after="100" w:afterAutospacing="1"/>
              <w:rPr>
                <w:rFonts w:ascii="Times New Roman" w:hAnsi="Times New Roman" w:cs="Times New Roman"/>
                <w:sz w:val="24"/>
                <w:szCs w:val="24"/>
              </w:rPr>
            </w:pPr>
          </w:p>
        </w:tc>
        <w:tc>
          <w:tcPr>
            <w:tcW w:w="834" w:type="dxa"/>
          </w:tcPr>
          <w:p w14:paraId="7DE36EE4"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19221F89"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r w:rsidR="00CD6F3C" w:rsidRPr="00B76270" w14:paraId="445A2485" w14:textId="77777777" w:rsidTr="00286770">
        <w:tc>
          <w:tcPr>
            <w:tcW w:w="938" w:type="dxa"/>
          </w:tcPr>
          <w:p w14:paraId="737DFE36" w14:textId="77777777" w:rsidR="00CD6F3C" w:rsidRPr="00B76270" w:rsidRDefault="00CD6F3C" w:rsidP="00286770">
            <w:pPr>
              <w:spacing w:after="100" w:afterAutospacing="1"/>
              <w:rPr>
                <w:rFonts w:ascii="Times New Roman" w:hAnsi="Times New Roman" w:cs="Times New Roman"/>
                <w:sz w:val="24"/>
                <w:szCs w:val="24"/>
              </w:rPr>
            </w:pPr>
          </w:p>
        </w:tc>
        <w:tc>
          <w:tcPr>
            <w:tcW w:w="1895" w:type="dxa"/>
          </w:tcPr>
          <w:p w14:paraId="438E4698" w14:textId="77777777" w:rsidR="00CD6F3C" w:rsidRPr="00B76270" w:rsidRDefault="00BF562F"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Risk Management Framework</w:t>
            </w:r>
          </w:p>
        </w:tc>
        <w:tc>
          <w:tcPr>
            <w:tcW w:w="1941" w:type="dxa"/>
          </w:tcPr>
          <w:p w14:paraId="4436FB20" w14:textId="77777777" w:rsidR="00CD6F3C" w:rsidRPr="00B76270" w:rsidRDefault="00B76270"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w:t>
            </w:r>
            <w:r w:rsidR="00CD6F3C" w:rsidRPr="00B76270">
              <w:rPr>
                <w:rFonts w:ascii="Times New Roman" w:hAnsi="Times New Roman" w:cs="Times New Roman"/>
                <w:sz w:val="24"/>
                <w:szCs w:val="24"/>
              </w:rPr>
              <w:t>8</w:t>
            </w:r>
            <w:r>
              <w:rPr>
                <w:rFonts w:ascii="Times New Roman" w:hAnsi="Times New Roman" w:cs="Times New Roman"/>
                <w:sz w:val="24"/>
                <w:szCs w:val="24"/>
              </w:rPr>
              <w:t>3</w:t>
            </w:r>
          </w:p>
        </w:tc>
        <w:tc>
          <w:tcPr>
            <w:tcW w:w="1304" w:type="dxa"/>
          </w:tcPr>
          <w:p w14:paraId="0C4CE686"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0.000</w:t>
            </w:r>
          </w:p>
        </w:tc>
        <w:tc>
          <w:tcPr>
            <w:tcW w:w="1545" w:type="dxa"/>
          </w:tcPr>
          <w:p w14:paraId="7D346BBB"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0.301</w:t>
            </w:r>
          </w:p>
        </w:tc>
        <w:tc>
          <w:tcPr>
            <w:tcW w:w="834" w:type="dxa"/>
          </w:tcPr>
          <w:p w14:paraId="5F15E8F5" w14:textId="77777777" w:rsidR="00CD6F3C" w:rsidRPr="00B76270" w:rsidRDefault="001433EA" w:rsidP="00286770">
            <w:pPr>
              <w:spacing w:after="100" w:afterAutospacing="1"/>
              <w:rPr>
                <w:rFonts w:ascii="Times New Roman" w:hAnsi="Times New Roman" w:cs="Times New Roman"/>
                <w:sz w:val="24"/>
                <w:szCs w:val="24"/>
              </w:rPr>
            </w:pPr>
            <w:r>
              <w:rPr>
                <w:rFonts w:ascii="Times New Roman" w:hAnsi="Times New Roman" w:cs="Times New Roman"/>
                <w:sz w:val="24"/>
                <w:szCs w:val="24"/>
              </w:rPr>
              <w:t>.000</w:t>
            </w:r>
          </w:p>
        </w:tc>
        <w:tc>
          <w:tcPr>
            <w:tcW w:w="893" w:type="dxa"/>
          </w:tcPr>
          <w:p w14:paraId="6696DAF0" w14:textId="77777777" w:rsidR="00CD6F3C" w:rsidRPr="00B76270" w:rsidRDefault="00CD6F3C" w:rsidP="00286770">
            <w:pPr>
              <w:spacing w:after="100" w:afterAutospacing="1"/>
              <w:rPr>
                <w:rFonts w:ascii="Times New Roman" w:hAnsi="Times New Roman" w:cs="Times New Roman"/>
                <w:sz w:val="24"/>
                <w:szCs w:val="24"/>
              </w:rPr>
            </w:pPr>
            <w:r w:rsidRPr="00B76270">
              <w:rPr>
                <w:rFonts w:ascii="Times New Roman" w:hAnsi="Times New Roman" w:cs="Times New Roman"/>
                <w:sz w:val="24"/>
                <w:szCs w:val="24"/>
              </w:rPr>
              <w:t>0.000</w:t>
            </w:r>
          </w:p>
        </w:tc>
      </w:tr>
    </w:tbl>
    <w:p w14:paraId="5137DB68" w14:textId="77777777" w:rsidR="00CD6F3C" w:rsidRDefault="001433EA" w:rsidP="00CD6F3C">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(2025</w:t>
      </w:r>
      <w:r w:rsidR="00CD6F3C" w:rsidRPr="00B76270">
        <w:rPr>
          <w:rFonts w:ascii="Times New Roman" w:eastAsia="Times New Roman" w:hAnsi="Times New Roman" w:cs="Times New Roman"/>
          <w:sz w:val="24"/>
          <w:szCs w:val="24"/>
        </w:rPr>
        <w:t>)</w:t>
      </w:r>
    </w:p>
    <w:p w14:paraId="66E8FD7F" w14:textId="77777777" w:rsidR="00327417" w:rsidRPr="00B76270" w:rsidRDefault="00327417" w:rsidP="00CD6F3C">
      <w:pPr>
        <w:spacing w:after="100" w:afterAutospacing="1" w:line="360" w:lineRule="auto"/>
        <w:jc w:val="both"/>
        <w:rPr>
          <w:rFonts w:ascii="Times New Roman" w:eastAsia="Times New Roman" w:hAnsi="Times New Roman" w:cs="Times New Roman"/>
          <w:sz w:val="24"/>
          <w:szCs w:val="24"/>
        </w:rPr>
      </w:pPr>
    </w:p>
    <w:p w14:paraId="1351CD60" w14:textId="115AA45C" w:rsidR="00CD6F3C" w:rsidRPr="00B76270" w:rsidRDefault="00757B0A" w:rsidP="00CD6F3C">
      <w:pPr>
        <w:spacing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From table 4.</w:t>
      </w:r>
      <w:r w:rsidR="00CD6F3C" w:rsidRPr="00B76270">
        <w:rPr>
          <w:rFonts w:ascii="Times New Roman" w:hAnsi="Times New Roman" w:cs="Times New Roman"/>
          <w:sz w:val="24"/>
          <w:szCs w:val="24"/>
        </w:rPr>
        <w:t xml:space="preserve"> above, the study established the following regression equation.</w:t>
      </w:r>
    </w:p>
    <w:p w14:paraId="4440A65B"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 (Y = β0 + β1X1 + + ε) becomes:</w:t>
      </w:r>
    </w:p>
    <w:p w14:paraId="7F3AB9A9" w14:textId="77777777" w:rsidR="00CD6F3C" w:rsidRPr="00702CF7" w:rsidRDefault="00CD6F3C" w:rsidP="00CD6F3C">
      <w:pPr>
        <w:spacing w:after="100" w:afterAutospacing="1" w:line="360" w:lineRule="auto"/>
        <w:jc w:val="both"/>
        <w:rPr>
          <w:rFonts w:ascii="Times New Roman" w:hAnsi="Times New Roman" w:cs="Times New Roman"/>
          <w:b/>
          <w:sz w:val="24"/>
          <w:szCs w:val="24"/>
        </w:rPr>
      </w:pPr>
      <w:r w:rsidRPr="00702CF7">
        <w:rPr>
          <w:rFonts w:ascii="Times New Roman" w:eastAsia="Times New Roman" w:hAnsi="Times New Roman" w:cs="Times New Roman"/>
          <w:b/>
          <w:sz w:val="24"/>
          <w:szCs w:val="24"/>
        </w:rPr>
        <w:t xml:space="preserve"> </w:t>
      </w:r>
      <w:r w:rsidR="001433EA" w:rsidRPr="00702CF7">
        <w:rPr>
          <w:rFonts w:ascii="Times New Roman" w:eastAsia="Times New Roman" w:hAnsi="Times New Roman" w:cs="Times New Roman"/>
          <w:b/>
          <w:sz w:val="24"/>
          <w:szCs w:val="24"/>
        </w:rPr>
        <w:t>(Y= 1.296+ 0.3</w:t>
      </w:r>
      <w:r w:rsidRPr="00702CF7">
        <w:rPr>
          <w:rFonts w:ascii="Times New Roman" w:eastAsia="Times New Roman" w:hAnsi="Times New Roman" w:cs="Times New Roman"/>
          <w:b/>
          <w:sz w:val="24"/>
          <w:szCs w:val="24"/>
        </w:rPr>
        <w:t>8</w:t>
      </w:r>
      <w:r w:rsidR="001433EA" w:rsidRPr="00702CF7">
        <w:rPr>
          <w:rFonts w:ascii="Times New Roman" w:eastAsia="Times New Roman" w:hAnsi="Times New Roman" w:cs="Times New Roman"/>
          <w:b/>
          <w:sz w:val="24"/>
          <w:szCs w:val="24"/>
        </w:rPr>
        <w:t>3</w:t>
      </w:r>
      <w:r w:rsidRPr="00702CF7">
        <w:rPr>
          <w:rFonts w:ascii="Times New Roman" w:eastAsia="Times New Roman" w:hAnsi="Times New Roman" w:cs="Times New Roman"/>
          <w:b/>
          <w:sz w:val="24"/>
          <w:szCs w:val="24"/>
        </w:rPr>
        <w:t xml:space="preserve"> X1+ε).</w:t>
      </w:r>
    </w:p>
    <w:p w14:paraId="0AF188FA" w14:textId="77777777" w:rsidR="00CD6F3C" w:rsidRPr="00B76270" w:rsidRDefault="00CD6F3C" w:rsidP="00CD6F3C">
      <w:pPr>
        <w:pStyle w:val="NormalWeb"/>
        <w:spacing w:before="0" w:beforeAutospacing="0" w:line="360" w:lineRule="auto"/>
        <w:jc w:val="both"/>
      </w:pPr>
      <w:bookmarkStart w:id="28" w:name="_Toc468988291"/>
      <w:bookmarkStart w:id="29" w:name="_Toc473802790"/>
      <w:bookmarkStart w:id="30" w:name="_Toc478064327"/>
      <w:bookmarkStart w:id="31" w:name="_Toc518071809"/>
      <w:bookmarkStart w:id="32" w:name="_Toc24016435"/>
      <w:bookmarkStart w:id="33" w:name="_Toc48684493"/>
      <w:bookmarkStart w:id="34" w:name="_Toc55741277"/>
      <w:bookmarkStart w:id="35" w:name="_Toc174384413"/>
      <w:r w:rsidRPr="00B76270">
        <w:t xml:space="preserve">Holding other factors constant, governance processes at the national treasuries in North Rift, Kenya, are estimated to be </w:t>
      </w:r>
      <w:r w:rsidR="008868A8">
        <w:rPr>
          <w:rStyle w:val="Strong"/>
          <w:rFonts w:eastAsiaTheme="majorEastAsia"/>
        </w:rPr>
        <w:t>1.296</w:t>
      </w:r>
      <w:r w:rsidRPr="00B76270">
        <w:t xml:space="preserve">. The analysis indicates that a unit change in </w:t>
      </w:r>
      <w:r w:rsidR="00BF562F" w:rsidRPr="00B76270">
        <w:t xml:space="preserve">Risk Management Framework </w:t>
      </w:r>
      <w:r w:rsidRPr="00B76270">
        <w:t xml:space="preserve">enhances governance processes by </w:t>
      </w:r>
      <w:r w:rsidR="001433EA">
        <w:rPr>
          <w:rStyle w:val="Strong"/>
          <w:rFonts w:eastAsiaTheme="majorEastAsia"/>
        </w:rPr>
        <w:t>0.383</w:t>
      </w:r>
      <w:r w:rsidRPr="00B76270">
        <w:t xml:space="preserve">. At a </w:t>
      </w:r>
      <w:r w:rsidRPr="00B76270">
        <w:rPr>
          <w:rStyle w:val="Strong"/>
          <w:rFonts w:eastAsiaTheme="majorEastAsia"/>
        </w:rPr>
        <w:t>5% significance level</w:t>
      </w:r>
      <w:r w:rsidRPr="00B76270">
        <w:t xml:space="preserve"> and a </w:t>
      </w:r>
      <w:r w:rsidRPr="00B76270">
        <w:rPr>
          <w:rStyle w:val="Strong"/>
          <w:rFonts w:eastAsiaTheme="majorEastAsia"/>
        </w:rPr>
        <w:t>95% confidence level</w:t>
      </w:r>
      <w:r w:rsidRPr="00B76270">
        <w:t xml:space="preserve">, the significance values for these three factors were found to be </w:t>
      </w:r>
      <w:r w:rsidRPr="00B76270">
        <w:rPr>
          <w:rStyle w:val="Strong"/>
          <w:rFonts w:eastAsiaTheme="majorEastAsia"/>
        </w:rPr>
        <w:t>0.000</w:t>
      </w:r>
      <w:r w:rsidRPr="00B76270">
        <w:t xml:space="preserve"> for </w:t>
      </w:r>
      <w:r w:rsidR="008868A8" w:rsidRPr="00B76270">
        <w:t>Risk Management Framework</w:t>
      </w:r>
      <w:r w:rsidRPr="00B76270">
        <w:t xml:space="preserve">. The study further tested the hypothesis that </w:t>
      </w:r>
      <w:r w:rsidR="00BF562F" w:rsidRPr="00B76270">
        <w:t>Risk Management Framework</w:t>
      </w:r>
      <w:r w:rsidR="00BF562F" w:rsidRPr="00B76270">
        <w:rPr>
          <w:rStyle w:val="Strong"/>
          <w:rFonts w:eastAsiaTheme="majorEastAsia"/>
        </w:rPr>
        <w:t xml:space="preserve"> </w:t>
      </w:r>
      <w:r w:rsidRPr="00B76270">
        <w:rPr>
          <w:rStyle w:val="Strong"/>
          <w:rFonts w:eastAsiaTheme="majorEastAsia"/>
        </w:rPr>
        <w:t>do not significantly influence governance processes</w:t>
      </w:r>
      <w:r w:rsidRPr="00B76270">
        <w:t xml:space="preserve"> in the sub-county national treasuries. The findings revealed a </w:t>
      </w:r>
      <w:r w:rsidR="001433EA">
        <w:rPr>
          <w:rStyle w:val="Strong"/>
          <w:rFonts w:eastAsiaTheme="majorEastAsia"/>
        </w:rPr>
        <w:t>β = 0.000</w:t>
      </w:r>
      <w:r w:rsidRPr="00B76270">
        <w:rPr>
          <w:b/>
        </w:rPr>
        <w:t xml:space="preserve">, </w:t>
      </w:r>
      <w:r w:rsidR="001433EA">
        <w:rPr>
          <w:rStyle w:val="Strong"/>
          <w:rFonts w:eastAsiaTheme="majorEastAsia"/>
        </w:rPr>
        <w:t>t = 0.00</w:t>
      </w:r>
      <w:r w:rsidRPr="00B76270">
        <w:rPr>
          <w:b/>
        </w:rPr>
        <w:t xml:space="preserve">, </w:t>
      </w:r>
      <w:r w:rsidRPr="00B76270">
        <w:t>and a</w:t>
      </w:r>
      <w:r w:rsidRPr="00B76270">
        <w:rPr>
          <w:b/>
        </w:rPr>
        <w:t xml:space="preserve"> </w:t>
      </w:r>
      <w:r w:rsidRPr="00B76270">
        <w:rPr>
          <w:rStyle w:val="Strong"/>
          <w:rFonts w:eastAsiaTheme="majorEastAsia"/>
        </w:rPr>
        <w:t>p-value of 0.000</w:t>
      </w:r>
      <w:r w:rsidRPr="00B76270">
        <w:rPr>
          <w:b/>
        </w:rPr>
        <w:t>.</w:t>
      </w:r>
      <w:r w:rsidRPr="00B76270">
        <w:t xml:space="preserve"> These results indicate that internal controls significantly and positively influence governance processes, leading to the rejection of the null hypothesis and confirming a significant relationship.</w:t>
      </w:r>
      <w:bookmarkEnd w:id="28"/>
      <w:bookmarkEnd w:id="29"/>
      <w:bookmarkEnd w:id="30"/>
      <w:bookmarkEnd w:id="31"/>
      <w:bookmarkEnd w:id="32"/>
      <w:bookmarkEnd w:id="33"/>
      <w:bookmarkEnd w:id="34"/>
      <w:bookmarkEnd w:id="35"/>
    </w:p>
    <w:p w14:paraId="6F20869B" w14:textId="53B02C20" w:rsidR="00CD6F3C" w:rsidRPr="00B76270" w:rsidRDefault="00CD6F3C" w:rsidP="00CD6F3C">
      <w:pPr>
        <w:pStyle w:val="NormalWeb"/>
        <w:spacing w:before="0" w:beforeAutospacing="0" w:line="360" w:lineRule="auto"/>
        <w:jc w:val="both"/>
      </w:pPr>
      <w:r w:rsidRPr="00B76270">
        <w:lastRenderedPageBreak/>
        <w:t xml:space="preserve">The study also evaluated the significance of the model using the </w:t>
      </w:r>
      <w:r w:rsidRPr="00B76270">
        <w:rPr>
          <w:rStyle w:val="Strong"/>
        </w:rPr>
        <w:t>Analysis of Variance (ANOVA)</w:t>
      </w:r>
      <w:r w:rsidRPr="00B76270">
        <w:t xml:space="preserve"> technique, with the results presented in </w:t>
      </w:r>
      <w:r w:rsidR="00757B0A" w:rsidRPr="00B76270">
        <w:rPr>
          <w:rStyle w:val="Strong"/>
        </w:rPr>
        <w:t xml:space="preserve">Table </w:t>
      </w:r>
      <w:r w:rsidR="00735013">
        <w:rPr>
          <w:rStyle w:val="Strong"/>
        </w:rPr>
        <w:t>5</w:t>
      </w:r>
      <w:r w:rsidRPr="00B76270">
        <w:t xml:space="preserve"> The analysis revealed a significance level of </w:t>
      </w:r>
      <w:r w:rsidR="001433EA">
        <w:rPr>
          <w:rStyle w:val="Strong"/>
        </w:rPr>
        <w:t>0.00</w:t>
      </w:r>
      <w:r w:rsidRPr="00B76270">
        <w:rPr>
          <w:rStyle w:val="Strong"/>
        </w:rPr>
        <w:t>%</w:t>
      </w:r>
      <w:r w:rsidRPr="00B76270">
        <w:t xml:space="preserve"> (p = 0.</w:t>
      </w:r>
      <w:r w:rsidR="001433EA">
        <w:t>000</w:t>
      </w:r>
      <w:r w:rsidRPr="00B76270">
        <w:t xml:space="preserve">), indicating that the data was appropriate for making inferences about the population parameters. Since the p-value was below the </w:t>
      </w:r>
      <w:r w:rsidRPr="00B76270">
        <w:rPr>
          <w:rStyle w:val="Strong"/>
        </w:rPr>
        <w:t>5% threshold</w:t>
      </w:r>
      <w:r w:rsidRPr="00B76270">
        <w:t>, the model was deemed statistica</w:t>
      </w:r>
      <w:bookmarkStart w:id="36" w:name="_Toc53764708"/>
      <w:bookmarkStart w:id="37" w:name="_Toc55487600"/>
      <w:bookmarkStart w:id="38" w:name="_Toc55741278"/>
      <w:bookmarkStart w:id="39" w:name="_Toc174384414"/>
      <w:r w:rsidRPr="00B76270">
        <w:t>lly significant for the analysis</w:t>
      </w:r>
    </w:p>
    <w:p w14:paraId="4DD8D375" w14:textId="28E84300" w:rsidR="00CD6F3C" w:rsidRPr="00B76270" w:rsidRDefault="00CD6F3C" w:rsidP="00CD6F3C">
      <w:pPr>
        <w:spacing w:after="100" w:afterAutospacing="1"/>
        <w:rPr>
          <w:rFonts w:ascii="Times New Roman" w:hAnsi="Times New Roman" w:cs="Times New Roman"/>
          <w:b/>
          <w:sz w:val="24"/>
          <w:szCs w:val="24"/>
        </w:rPr>
      </w:pPr>
      <w:bookmarkStart w:id="40" w:name="_Toc178857134"/>
      <w:r w:rsidRPr="00B76270">
        <w:rPr>
          <w:rFonts w:ascii="Times New Roman" w:hAnsi="Times New Roman" w:cs="Times New Roman"/>
          <w:b/>
          <w:sz w:val="24"/>
          <w:szCs w:val="24"/>
        </w:rPr>
        <w:t>T</w:t>
      </w:r>
      <w:r w:rsidR="00757B0A" w:rsidRPr="00B76270">
        <w:rPr>
          <w:rFonts w:ascii="Times New Roman" w:hAnsi="Times New Roman" w:cs="Times New Roman"/>
          <w:b/>
          <w:sz w:val="24"/>
          <w:szCs w:val="24"/>
        </w:rPr>
        <w:t xml:space="preserve">able </w:t>
      </w:r>
      <w:r w:rsidR="00735013">
        <w:rPr>
          <w:rFonts w:ascii="Times New Roman" w:hAnsi="Times New Roman" w:cs="Times New Roman"/>
          <w:b/>
          <w:sz w:val="24"/>
          <w:szCs w:val="24"/>
        </w:rPr>
        <w:t>5</w:t>
      </w:r>
      <w:r w:rsidRPr="00B76270">
        <w:rPr>
          <w:rFonts w:ascii="Times New Roman" w:hAnsi="Times New Roman" w:cs="Times New Roman"/>
          <w:b/>
          <w:sz w:val="24"/>
          <w:szCs w:val="24"/>
        </w:rPr>
        <w:t xml:space="preserve"> ANOVA of Regression</w:t>
      </w:r>
      <w:bookmarkEnd w:id="36"/>
      <w:bookmarkEnd w:id="37"/>
      <w:bookmarkEnd w:id="38"/>
      <w:bookmarkEnd w:id="39"/>
      <w:bookmarkEnd w:id="40"/>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6"/>
        <w:gridCol w:w="1458"/>
        <w:gridCol w:w="1514"/>
        <w:gridCol w:w="1513"/>
        <w:gridCol w:w="1497"/>
      </w:tblGrid>
      <w:tr w:rsidR="001433EA" w:rsidRPr="00B76270" w14:paraId="7AF05E11" w14:textId="77777777" w:rsidTr="00286770">
        <w:tc>
          <w:tcPr>
            <w:tcW w:w="1612" w:type="dxa"/>
            <w:tcBorders>
              <w:top w:val="single" w:sz="4" w:space="0" w:color="auto"/>
              <w:bottom w:val="single" w:sz="4" w:space="0" w:color="auto"/>
            </w:tcBorders>
          </w:tcPr>
          <w:p w14:paraId="1234FFC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Model</w:t>
            </w:r>
          </w:p>
        </w:tc>
        <w:tc>
          <w:tcPr>
            <w:tcW w:w="1612" w:type="dxa"/>
            <w:tcBorders>
              <w:top w:val="single" w:sz="4" w:space="0" w:color="auto"/>
              <w:bottom w:val="single" w:sz="4" w:space="0" w:color="auto"/>
            </w:tcBorders>
          </w:tcPr>
          <w:p w14:paraId="16445732" w14:textId="77777777" w:rsidR="00CD6F3C" w:rsidRPr="00B76270" w:rsidRDefault="00CD6F3C" w:rsidP="00286770">
            <w:pPr>
              <w:spacing w:after="100" w:afterAutospacing="1" w:line="360" w:lineRule="auto"/>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Sum of Squares</w:t>
            </w:r>
          </w:p>
        </w:tc>
        <w:tc>
          <w:tcPr>
            <w:tcW w:w="1613" w:type="dxa"/>
            <w:tcBorders>
              <w:top w:val="single" w:sz="4" w:space="0" w:color="auto"/>
              <w:bottom w:val="single" w:sz="4" w:space="0" w:color="auto"/>
            </w:tcBorders>
          </w:tcPr>
          <w:p w14:paraId="56D1E8F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Df</w:t>
            </w:r>
          </w:p>
        </w:tc>
        <w:tc>
          <w:tcPr>
            <w:tcW w:w="1613" w:type="dxa"/>
            <w:tcBorders>
              <w:top w:val="single" w:sz="4" w:space="0" w:color="auto"/>
              <w:bottom w:val="single" w:sz="4" w:space="0" w:color="auto"/>
            </w:tcBorders>
          </w:tcPr>
          <w:p w14:paraId="4DE3105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Mean Square</w:t>
            </w:r>
          </w:p>
        </w:tc>
        <w:tc>
          <w:tcPr>
            <w:tcW w:w="1613" w:type="dxa"/>
            <w:tcBorders>
              <w:top w:val="single" w:sz="4" w:space="0" w:color="auto"/>
              <w:bottom w:val="single" w:sz="4" w:space="0" w:color="auto"/>
            </w:tcBorders>
          </w:tcPr>
          <w:p w14:paraId="1AF7A850"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F </w:t>
            </w:r>
          </w:p>
        </w:tc>
        <w:tc>
          <w:tcPr>
            <w:tcW w:w="1613" w:type="dxa"/>
            <w:tcBorders>
              <w:top w:val="single" w:sz="4" w:space="0" w:color="auto"/>
              <w:bottom w:val="single" w:sz="4" w:space="0" w:color="auto"/>
            </w:tcBorders>
          </w:tcPr>
          <w:p w14:paraId="2A00C773"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Sig.</w:t>
            </w:r>
          </w:p>
        </w:tc>
      </w:tr>
      <w:tr w:rsidR="001433EA" w:rsidRPr="00B76270" w14:paraId="4904BC5A" w14:textId="77777777" w:rsidTr="00286770">
        <w:tc>
          <w:tcPr>
            <w:tcW w:w="1612" w:type="dxa"/>
            <w:tcBorders>
              <w:top w:val="single" w:sz="4" w:space="0" w:color="auto"/>
            </w:tcBorders>
          </w:tcPr>
          <w:p w14:paraId="7255A377"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Regression</w:t>
            </w:r>
          </w:p>
        </w:tc>
        <w:tc>
          <w:tcPr>
            <w:tcW w:w="1612" w:type="dxa"/>
            <w:tcBorders>
              <w:top w:val="single" w:sz="4" w:space="0" w:color="auto"/>
            </w:tcBorders>
          </w:tcPr>
          <w:p w14:paraId="5A6CFEA5"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0.821</w:t>
            </w:r>
          </w:p>
        </w:tc>
        <w:tc>
          <w:tcPr>
            <w:tcW w:w="1613" w:type="dxa"/>
            <w:tcBorders>
              <w:top w:val="single" w:sz="4" w:space="0" w:color="auto"/>
            </w:tcBorders>
          </w:tcPr>
          <w:p w14:paraId="2271E7DE"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1</w:t>
            </w:r>
          </w:p>
        </w:tc>
        <w:tc>
          <w:tcPr>
            <w:tcW w:w="1613" w:type="dxa"/>
            <w:tcBorders>
              <w:top w:val="single" w:sz="4" w:space="0" w:color="auto"/>
            </w:tcBorders>
          </w:tcPr>
          <w:p w14:paraId="06D90705"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.8210</w:t>
            </w:r>
          </w:p>
        </w:tc>
        <w:tc>
          <w:tcPr>
            <w:tcW w:w="1613" w:type="dxa"/>
            <w:tcBorders>
              <w:top w:val="single" w:sz="4" w:space="0" w:color="auto"/>
            </w:tcBorders>
          </w:tcPr>
          <w:p w14:paraId="4EEEF659" w14:textId="77777777" w:rsidR="00CD6F3C" w:rsidRPr="00B76270" w:rsidRDefault="008868A8"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1433EA">
              <w:rPr>
                <w:rFonts w:ascii="Times New Roman" w:eastAsia="Times New Roman" w:hAnsi="Times New Roman" w:cs="Times New Roman"/>
                <w:sz w:val="24"/>
                <w:szCs w:val="24"/>
              </w:rPr>
              <w:t>.3</w:t>
            </w:r>
            <w:r>
              <w:rPr>
                <w:rFonts w:ascii="Times New Roman" w:eastAsia="Times New Roman" w:hAnsi="Times New Roman" w:cs="Times New Roman"/>
                <w:sz w:val="24"/>
                <w:szCs w:val="24"/>
              </w:rPr>
              <w:t>894</w:t>
            </w:r>
          </w:p>
        </w:tc>
        <w:tc>
          <w:tcPr>
            <w:tcW w:w="1613" w:type="dxa"/>
            <w:tcBorders>
              <w:top w:val="single" w:sz="4" w:space="0" w:color="auto"/>
            </w:tcBorders>
          </w:tcPr>
          <w:p w14:paraId="406DA2A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sidR="00CD6F3C" w:rsidRPr="00B76270">
              <w:rPr>
                <w:rFonts w:ascii="Times New Roman" w:eastAsia="Times New Roman" w:hAnsi="Times New Roman" w:cs="Times New Roman"/>
                <w:sz w:val="24"/>
                <w:szCs w:val="24"/>
              </w:rPr>
              <w:t>b</w:t>
            </w:r>
          </w:p>
        </w:tc>
      </w:tr>
      <w:tr w:rsidR="001433EA" w:rsidRPr="00B76270" w14:paraId="1F491CA6" w14:textId="77777777" w:rsidTr="00286770">
        <w:tc>
          <w:tcPr>
            <w:tcW w:w="1612" w:type="dxa"/>
          </w:tcPr>
          <w:p w14:paraId="55BA9592"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Residual</w:t>
            </w:r>
          </w:p>
        </w:tc>
        <w:tc>
          <w:tcPr>
            <w:tcW w:w="1612" w:type="dxa"/>
          </w:tcPr>
          <w:p w14:paraId="7208E9D0"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13.59</w:t>
            </w:r>
          </w:p>
        </w:tc>
        <w:tc>
          <w:tcPr>
            <w:tcW w:w="1613" w:type="dxa"/>
          </w:tcPr>
          <w:p w14:paraId="5AFEC05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23</w:t>
            </w:r>
          </w:p>
        </w:tc>
        <w:tc>
          <w:tcPr>
            <w:tcW w:w="1613" w:type="dxa"/>
          </w:tcPr>
          <w:p w14:paraId="7A263D32"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.5909</w:t>
            </w:r>
          </w:p>
        </w:tc>
        <w:tc>
          <w:tcPr>
            <w:tcW w:w="1613" w:type="dxa"/>
          </w:tcPr>
          <w:p w14:paraId="280694B6"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F83D32D"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r w:rsidR="001433EA" w:rsidRPr="00B76270" w14:paraId="258416FF" w14:textId="77777777" w:rsidTr="00286770">
        <w:tc>
          <w:tcPr>
            <w:tcW w:w="1612" w:type="dxa"/>
          </w:tcPr>
          <w:p w14:paraId="52DCC1BA"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Total</w:t>
            </w:r>
          </w:p>
        </w:tc>
        <w:tc>
          <w:tcPr>
            <w:tcW w:w="1612" w:type="dxa"/>
          </w:tcPr>
          <w:p w14:paraId="7A00E9F6" w14:textId="77777777" w:rsidR="00CD6F3C" w:rsidRPr="00B76270" w:rsidRDefault="001433EA" w:rsidP="00286770">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14.411</w:t>
            </w:r>
          </w:p>
        </w:tc>
        <w:tc>
          <w:tcPr>
            <w:tcW w:w="1613" w:type="dxa"/>
          </w:tcPr>
          <w:p w14:paraId="101C8A1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24</w:t>
            </w:r>
          </w:p>
        </w:tc>
        <w:tc>
          <w:tcPr>
            <w:tcW w:w="1613" w:type="dxa"/>
          </w:tcPr>
          <w:p w14:paraId="31E95FDB"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610F1871"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c>
          <w:tcPr>
            <w:tcW w:w="1613" w:type="dxa"/>
          </w:tcPr>
          <w:p w14:paraId="1B29969F" w14:textId="77777777" w:rsidR="00CD6F3C" w:rsidRPr="00B76270" w:rsidRDefault="00CD6F3C" w:rsidP="00286770">
            <w:pPr>
              <w:spacing w:after="100" w:afterAutospacing="1" w:line="360" w:lineRule="auto"/>
              <w:jc w:val="both"/>
              <w:rPr>
                <w:rFonts w:ascii="Times New Roman" w:eastAsia="Times New Roman" w:hAnsi="Times New Roman" w:cs="Times New Roman"/>
                <w:sz w:val="24"/>
                <w:szCs w:val="24"/>
              </w:rPr>
            </w:pPr>
          </w:p>
        </w:tc>
      </w:tr>
    </w:tbl>
    <w:p w14:paraId="5773082E"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a. </w:t>
      </w:r>
      <w:r w:rsidRPr="00B76270">
        <w:rPr>
          <w:rFonts w:ascii="Times New Roman" w:eastAsia="Times New Roman" w:hAnsi="Times New Roman" w:cs="Times New Roman"/>
          <w:b/>
          <w:sz w:val="24"/>
          <w:szCs w:val="24"/>
        </w:rPr>
        <w:t xml:space="preserve">Dependent Variable: </w:t>
      </w:r>
      <w:r w:rsidRPr="00B76270">
        <w:rPr>
          <w:rFonts w:ascii="Times New Roman" w:hAnsi="Times New Roman" w:cs="Times New Roman"/>
          <w:b/>
          <w:sz w:val="24"/>
          <w:szCs w:val="24"/>
        </w:rPr>
        <w:t>Governance Processes</w:t>
      </w:r>
    </w:p>
    <w:p w14:paraId="730DBADA"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 xml:space="preserve">b. Predictors: (Constant), </w:t>
      </w:r>
      <w:r w:rsidR="00BF562F" w:rsidRPr="00B76270">
        <w:rPr>
          <w:rFonts w:ascii="Times New Roman" w:hAnsi="Times New Roman" w:cs="Times New Roman"/>
          <w:sz w:val="24"/>
          <w:szCs w:val="24"/>
        </w:rPr>
        <w:t>Risk Management Framework</w:t>
      </w:r>
      <w:r w:rsidRPr="00B76270">
        <w:rPr>
          <w:rFonts w:ascii="Times New Roman" w:eastAsia="Times New Roman" w:hAnsi="Times New Roman" w:cs="Times New Roman"/>
          <w:sz w:val="24"/>
          <w:szCs w:val="24"/>
        </w:rPr>
        <w:t>.</w:t>
      </w:r>
    </w:p>
    <w:p w14:paraId="70C63DD8" w14:textId="77777777" w:rsidR="00CD6F3C" w:rsidRPr="00B76270" w:rsidRDefault="00CD6F3C" w:rsidP="00CD6F3C">
      <w:pPr>
        <w:spacing w:after="100" w:afterAutospacing="1" w:line="360" w:lineRule="auto"/>
        <w:jc w:val="both"/>
        <w:rPr>
          <w:rFonts w:ascii="Times New Roman" w:eastAsia="Times New Roman" w:hAnsi="Times New Roman" w:cs="Times New Roman"/>
          <w:sz w:val="24"/>
          <w:szCs w:val="24"/>
        </w:rPr>
      </w:pPr>
      <w:r w:rsidRPr="00B76270">
        <w:rPr>
          <w:rFonts w:ascii="Times New Roman" w:eastAsia="Times New Roman" w:hAnsi="Times New Roman" w:cs="Times New Roman"/>
          <w:sz w:val="24"/>
          <w:szCs w:val="24"/>
        </w:rPr>
        <w:t>Source: Researcher, 2024.</w:t>
      </w:r>
    </w:p>
    <w:p w14:paraId="003F8308" w14:textId="77777777" w:rsidR="00CD6F3C" w:rsidRPr="00B76270" w:rsidRDefault="00CD6F3C" w:rsidP="00CD6F3C">
      <w:pPr>
        <w:spacing w:after="100" w:afterAutospacing="1" w:line="360" w:lineRule="auto"/>
        <w:jc w:val="both"/>
        <w:rPr>
          <w:rFonts w:ascii="Times New Roman" w:hAnsi="Times New Roman" w:cs="Times New Roman"/>
          <w:sz w:val="24"/>
          <w:szCs w:val="24"/>
        </w:rPr>
      </w:pPr>
      <w:r w:rsidRPr="00B76270">
        <w:rPr>
          <w:rFonts w:ascii="Times New Roman" w:eastAsia="Times New Roman" w:hAnsi="Times New Roman" w:cs="Times New Roman"/>
          <w:sz w:val="24"/>
          <w:szCs w:val="24"/>
        </w:rPr>
        <w:t xml:space="preserve">The significance </w:t>
      </w:r>
      <w:r w:rsidR="008868A8">
        <w:rPr>
          <w:rFonts w:ascii="Times New Roman" w:eastAsia="Times New Roman" w:hAnsi="Times New Roman" w:cs="Times New Roman"/>
          <w:sz w:val="24"/>
          <w:szCs w:val="24"/>
        </w:rPr>
        <w:t>value is 0.000</w:t>
      </w:r>
      <w:r w:rsidRPr="00B76270">
        <w:rPr>
          <w:rFonts w:ascii="Times New Roman" w:eastAsia="Times New Roman" w:hAnsi="Times New Roman" w:cs="Times New Roman"/>
          <w:sz w:val="24"/>
          <w:szCs w:val="24"/>
        </w:rPr>
        <w:t xml:space="preserve"> which is less than 0.05 thus the model is statistically significant in predicting how </w:t>
      </w:r>
      <w:r w:rsidR="00BF562F" w:rsidRPr="00B76270">
        <w:rPr>
          <w:rFonts w:ascii="Times New Roman" w:hAnsi="Times New Roman" w:cs="Times New Roman"/>
          <w:sz w:val="24"/>
          <w:szCs w:val="24"/>
        </w:rPr>
        <w:t>Risk Management Framework</w:t>
      </w:r>
      <w:r w:rsidR="00BF562F" w:rsidRPr="00B76270">
        <w:rPr>
          <w:rFonts w:ascii="Times New Roman" w:eastAsia="Times New Roman" w:hAnsi="Times New Roman" w:cs="Times New Roman"/>
          <w:sz w:val="24"/>
          <w:szCs w:val="24"/>
        </w:rPr>
        <w:t xml:space="preserve"> </w:t>
      </w:r>
      <w:r w:rsidRPr="00B76270">
        <w:rPr>
          <w:rFonts w:ascii="Times New Roman" w:eastAsia="Times New Roman" w:hAnsi="Times New Roman" w:cs="Times New Roman"/>
          <w:sz w:val="24"/>
          <w:szCs w:val="24"/>
        </w:rPr>
        <w:t xml:space="preserve">influences </w:t>
      </w:r>
      <w:r w:rsidRPr="00B76270">
        <w:rPr>
          <w:rFonts w:ascii="Times New Roman" w:hAnsi="Times New Roman" w:cs="Times New Roman"/>
          <w:sz w:val="24"/>
          <w:szCs w:val="24"/>
        </w:rPr>
        <w:t>governance processes of national treasuries in North rift, Kenya</w:t>
      </w:r>
      <w:r w:rsidRPr="00B76270">
        <w:rPr>
          <w:rFonts w:ascii="Times New Roman" w:eastAsia="Times New Roman" w:hAnsi="Times New Roman" w:cs="Times New Roman"/>
          <w:sz w:val="24"/>
          <w:szCs w:val="24"/>
        </w:rPr>
        <w:t xml:space="preserve">. </w:t>
      </w:r>
      <w:r w:rsidRPr="00B76270">
        <w:rPr>
          <w:rFonts w:ascii="Times New Roman" w:hAnsi="Times New Roman" w:cs="Times New Roman"/>
          <w:sz w:val="24"/>
          <w:szCs w:val="24"/>
        </w:rPr>
        <w:t xml:space="preserve">The F critical value </w:t>
      </w:r>
      <w:r w:rsidR="008868A8">
        <w:rPr>
          <w:rFonts w:ascii="Times New Roman" w:hAnsi="Times New Roman" w:cs="Times New Roman"/>
          <w:sz w:val="24"/>
          <w:szCs w:val="24"/>
        </w:rPr>
        <w:t>at a 5% significance level was 1.3894</w:t>
      </w:r>
      <w:r w:rsidRPr="00B76270">
        <w:rPr>
          <w:rFonts w:ascii="Times New Roman" w:hAnsi="Times New Roman" w:cs="Times New Roman"/>
          <w:sz w:val="24"/>
          <w:szCs w:val="24"/>
        </w:rPr>
        <w:t>. Because the calculated F value is greater than this threshold, it demonstrates that the overall model is significant.</w:t>
      </w:r>
    </w:p>
    <w:p w14:paraId="1F926B40" w14:textId="77777777" w:rsidR="00CD6F3C" w:rsidRPr="00B76270" w:rsidRDefault="00CD6F3C" w:rsidP="00CD6F3C">
      <w:pPr>
        <w:spacing w:after="100" w:afterAutospacing="1" w:line="360" w:lineRule="auto"/>
        <w:jc w:val="both"/>
        <w:rPr>
          <w:rFonts w:ascii="Times New Roman" w:hAnsi="Times New Roman" w:cs="Times New Roman"/>
          <w:b/>
          <w:sz w:val="24"/>
          <w:szCs w:val="24"/>
        </w:rPr>
      </w:pPr>
      <w:r w:rsidRPr="00B76270">
        <w:rPr>
          <w:rFonts w:ascii="Times New Roman" w:hAnsi="Times New Roman" w:cs="Times New Roman"/>
          <w:b/>
          <w:sz w:val="24"/>
          <w:szCs w:val="24"/>
        </w:rPr>
        <w:t>CONCLUSION AND RECOMMENDATIONS</w:t>
      </w:r>
    </w:p>
    <w:p w14:paraId="4F294992" w14:textId="77777777" w:rsidR="00B367D3" w:rsidRPr="00B76270" w:rsidRDefault="00B367D3" w:rsidP="00B367D3">
      <w:pPr>
        <w:pStyle w:val="NormalWeb"/>
        <w:spacing w:line="360" w:lineRule="auto"/>
        <w:jc w:val="both"/>
      </w:pPr>
      <w:r w:rsidRPr="00B76270">
        <w:t>The objective of the study was to determine whether the risk management framework influences governance processes in North Rift, Kenya. The study found that the risk management framework significantly impacts governance processes at the National Treasuries in North R</w:t>
      </w:r>
      <w:r w:rsidR="008868A8">
        <w:t xml:space="preserve">ift, Kenya (β = </w:t>
      </w:r>
      <w:r w:rsidR="008868A8" w:rsidRPr="008868A8">
        <w:rPr>
          <w:rStyle w:val="Strong"/>
          <w:rFonts w:eastAsiaTheme="majorEastAsia"/>
          <w:b w:val="0"/>
        </w:rPr>
        <w:t>0.383</w:t>
      </w:r>
      <w:r w:rsidR="008868A8" w:rsidRPr="008868A8">
        <w:rPr>
          <w:b/>
        </w:rPr>
        <w:t>.</w:t>
      </w:r>
      <w:r w:rsidR="008868A8">
        <w:t>, t = 000</w:t>
      </w:r>
      <w:r w:rsidRPr="00B76270">
        <w:t>, p-value = 0.0</w:t>
      </w:r>
      <w:r w:rsidR="008868A8">
        <w:t>0</w:t>
      </w:r>
      <w:r w:rsidRPr="00B76270">
        <w:t>0). Therefore, the hypothesis suggesting that the risk management framework does not influence governance processes was rejected.</w:t>
      </w:r>
    </w:p>
    <w:p w14:paraId="7DF84DA9" w14:textId="72AC4D3D" w:rsidR="00B367D3" w:rsidRPr="00B1012A" w:rsidRDefault="00B367D3" w:rsidP="00B367D3">
      <w:pPr>
        <w:spacing w:before="100" w:beforeAutospacing="1" w:after="100" w:afterAutospacing="1" w:line="360" w:lineRule="auto"/>
        <w:jc w:val="both"/>
        <w:rPr>
          <w:rFonts w:ascii="Times New Roman" w:hAnsi="Times New Roman" w:cs="Times New Roman"/>
          <w:color w:val="FF0000"/>
          <w:sz w:val="24"/>
          <w:szCs w:val="24"/>
        </w:rPr>
      </w:pPr>
      <w:r w:rsidRPr="00B76270">
        <w:rPr>
          <w:rFonts w:ascii="Times New Roman" w:hAnsi="Times New Roman" w:cs="Times New Roman"/>
          <w:sz w:val="24"/>
          <w:szCs w:val="24"/>
        </w:rPr>
        <w:lastRenderedPageBreak/>
        <w:t>The composite of rating of statements on whether</w:t>
      </w:r>
      <w:r w:rsidRPr="00B76270">
        <w:rPr>
          <w:rFonts w:ascii="Times New Roman" w:hAnsi="Times New Roman" w:cs="Times New Roman"/>
          <w:color w:val="000000"/>
          <w:sz w:val="24"/>
          <w:szCs w:val="24"/>
        </w:rPr>
        <w:t xml:space="preserve"> </w:t>
      </w:r>
      <w:r w:rsidRPr="00B76270">
        <w:rPr>
          <w:rFonts w:ascii="Times New Roman" w:hAnsi="Times New Roman" w:cs="Times New Roman"/>
          <w:sz w:val="24"/>
          <w:szCs w:val="24"/>
        </w:rPr>
        <w:t>risk management framework influences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 xml:space="preserve"> had a mean of </w:t>
      </w:r>
      <w:r w:rsidRPr="00B76270">
        <w:rPr>
          <w:rFonts w:ascii="Times New Roman" w:hAnsi="Times New Roman" w:cs="Times New Roman"/>
          <w:color w:val="000000"/>
          <w:sz w:val="24"/>
          <w:szCs w:val="24"/>
        </w:rPr>
        <w:t>3.5108</w:t>
      </w:r>
      <w:r w:rsidRPr="00B76270">
        <w:rPr>
          <w:rFonts w:ascii="Times New Roman" w:hAnsi="Times New Roman" w:cs="Times New Roman"/>
          <w:b/>
          <w:color w:val="000000"/>
          <w:sz w:val="24"/>
          <w:szCs w:val="24"/>
        </w:rPr>
        <w:t xml:space="preserve"> </w:t>
      </w:r>
      <w:r w:rsidRPr="00B76270">
        <w:rPr>
          <w:rFonts w:ascii="Times New Roman" w:hAnsi="Times New Roman" w:cs="Times New Roman"/>
          <w:sz w:val="24"/>
          <w:szCs w:val="24"/>
        </w:rPr>
        <w:t>and Std. Dev. of 0.6627. Respondents therefore agreed risk management framework affects</w:t>
      </w:r>
      <w:r w:rsidRPr="00B76270">
        <w:rPr>
          <w:rFonts w:ascii="Times New Roman" w:hAnsi="Times New Roman" w:cs="Times New Roman"/>
          <w:color w:val="000000"/>
          <w:sz w:val="24"/>
          <w:szCs w:val="24"/>
        </w:rPr>
        <w:t xml:space="preserve"> governance processes of national treasuries in North rift, Kenya</w:t>
      </w:r>
      <w:r w:rsidRPr="00B76270">
        <w:rPr>
          <w:rFonts w:ascii="Times New Roman" w:hAnsi="Times New Roman" w:cs="Times New Roman"/>
          <w:sz w:val="24"/>
          <w:szCs w:val="24"/>
        </w:rPr>
        <w:t>.</w:t>
      </w:r>
      <w:r w:rsidRPr="00B76270">
        <w:rPr>
          <w:rFonts w:ascii="Times New Roman" w:hAnsi="Times New Roman" w:cs="Times New Roman"/>
          <w:color w:val="000000"/>
          <w:sz w:val="24"/>
          <w:szCs w:val="24"/>
        </w:rPr>
        <w:t xml:space="preserve"> This implies that </w:t>
      </w:r>
      <w:r w:rsidRPr="00B76270">
        <w:rPr>
          <w:rFonts w:ascii="Times New Roman" w:hAnsi="Times New Roman" w:cs="Times New Roman"/>
          <w:sz w:val="24"/>
          <w:szCs w:val="24"/>
        </w:rPr>
        <w:t xml:space="preserve">risk management framework </w:t>
      </w:r>
      <w:r w:rsidRPr="00B76270">
        <w:rPr>
          <w:rFonts w:ascii="Times New Roman" w:hAnsi="Times New Roman" w:cs="Times New Roman"/>
          <w:color w:val="000000"/>
          <w:sz w:val="24"/>
          <w:szCs w:val="24"/>
        </w:rPr>
        <w:t>had a moderate influence on governance.</w:t>
      </w:r>
      <w:r w:rsidRPr="00B76270">
        <w:rPr>
          <w:rFonts w:ascii="Times New Roman" w:hAnsi="Times New Roman" w:cs="Times New Roman"/>
          <w:sz w:val="24"/>
          <w:szCs w:val="24"/>
        </w:rPr>
        <w:t xml:space="preserve"> It was established that there was a moderate positive correlation between governance</w:t>
      </w:r>
      <w:r w:rsidRPr="00B76270">
        <w:rPr>
          <w:rFonts w:ascii="Times New Roman" w:hAnsi="Times New Roman" w:cs="Times New Roman"/>
          <w:color w:val="000000"/>
          <w:sz w:val="24"/>
          <w:szCs w:val="24"/>
        </w:rPr>
        <w:t xml:space="preserve"> processes</w:t>
      </w:r>
      <w:r w:rsidRPr="00B76270">
        <w:rPr>
          <w:rFonts w:ascii="Times New Roman" w:hAnsi="Times New Roman" w:cs="Times New Roman"/>
          <w:sz w:val="24"/>
          <w:szCs w:val="24"/>
        </w:rPr>
        <w:t xml:space="preserve"> and risk management framework with a correlation of 0.514. At 5% level of significance and 95% level of confidence, the significance values for risk management framework was p =0.001</w:t>
      </w:r>
      <w:r w:rsidRPr="00B76270">
        <w:rPr>
          <w:rFonts w:ascii="Times New Roman" w:hAnsi="Times New Roman" w:cs="Times New Roman"/>
          <w:color w:val="000000"/>
          <w:sz w:val="24"/>
          <w:szCs w:val="24"/>
        </w:rPr>
        <w:t>.</w:t>
      </w:r>
      <w:r w:rsidRPr="00B76270">
        <w:rPr>
          <w:rFonts w:ascii="Times New Roman" w:hAnsi="Times New Roman" w:cs="Times New Roman"/>
          <w:sz w:val="24"/>
          <w:szCs w:val="24"/>
        </w:rPr>
        <w:t xml:space="preserve"> Further regression analysis was conducted to determine the extent to which a risk management framework influences governance processes of national treasuries in North rift, Kenya it was established that a unit change a risk management framework will lead to </w:t>
      </w:r>
      <w:r w:rsidR="008868A8" w:rsidRPr="008868A8">
        <w:rPr>
          <w:rStyle w:val="Strong"/>
          <w:rFonts w:eastAsiaTheme="majorEastAsia"/>
          <w:b w:val="0"/>
        </w:rPr>
        <w:t>0.383</w:t>
      </w:r>
      <w:r w:rsidR="008868A8">
        <w:rPr>
          <w:rStyle w:val="Strong"/>
          <w:rFonts w:eastAsiaTheme="majorEastAsia"/>
          <w:b w:val="0"/>
        </w:rPr>
        <w:t xml:space="preserve"> </w:t>
      </w:r>
      <w:r w:rsidR="008868A8">
        <w:rPr>
          <w:rFonts w:ascii="Times New Roman" w:hAnsi="Times New Roman" w:cs="Times New Roman"/>
          <w:sz w:val="24"/>
          <w:szCs w:val="24"/>
        </w:rPr>
        <w:t>enhancement of</w:t>
      </w:r>
      <w:r w:rsidRPr="00B76270">
        <w:rPr>
          <w:rFonts w:ascii="Times New Roman" w:hAnsi="Times New Roman" w:cs="Times New Roman"/>
          <w:sz w:val="24"/>
          <w:szCs w:val="24"/>
        </w:rPr>
        <w:t xml:space="preserve"> governance processes. Several studies done among them by Deng (2018), </w:t>
      </w:r>
      <w:proofErr w:type="spellStart"/>
      <w:r w:rsidRPr="00B76270">
        <w:rPr>
          <w:rFonts w:ascii="Times New Roman" w:hAnsi="Times New Roman" w:cs="Times New Roman"/>
          <w:sz w:val="24"/>
          <w:szCs w:val="24"/>
        </w:rPr>
        <w:t>Kinyua</w:t>
      </w:r>
      <w:proofErr w:type="spellEnd"/>
      <w:r w:rsidRPr="00B76270">
        <w:rPr>
          <w:rFonts w:ascii="Times New Roman" w:hAnsi="Times New Roman" w:cs="Times New Roman"/>
          <w:sz w:val="24"/>
          <w:szCs w:val="24"/>
        </w:rPr>
        <w:t xml:space="preserve"> (2016),</w:t>
      </w:r>
      <w:r w:rsidR="00B1012A" w:rsidRPr="00B1012A">
        <w:rPr>
          <w:rFonts w:ascii="Times New Roman" w:hAnsi="Times New Roman" w:cs="Times New Roman"/>
          <w:color w:val="FF0000"/>
          <w:sz w:val="24"/>
          <w:szCs w:val="24"/>
        </w:rPr>
        <w:t xml:space="preserve"> </w:t>
      </w:r>
      <w:proofErr w:type="spellStart"/>
      <w:proofErr w:type="gramStart"/>
      <w:r w:rsidR="00B1012A" w:rsidRPr="004B3A86">
        <w:rPr>
          <w:rFonts w:ascii="Times New Roman" w:hAnsi="Times New Roman" w:cs="Times New Roman"/>
          <w:color w:val="FF0000"/>
          <w:sz w:val="24"/>
          <w:szCs w:val="24"/>
        </w:rPr>
        <w:t>Kertali</w:t>
      </w:r>
      <w:proofErr w:type="spellEnd"/>
      <w:r w:rsidR="00B1012A" w:rsidRPr="004B3A86">
        <w:rPr>
          <w:rFonts w:ascii="Times New Roman" w:hAnsi="Times New Roman" w:cs="Times New Roman"/>
          <w:color w:val="FF0000"/>
          <w:sz w:val="24"/>
          <w:szCs w:val="24"/>
        </w:rPr>
        <w:t xml:space="preserve">  and</w:t>
      </w:r>
      <w:proofErr w:type="gramEnd"/>
      <w:r w:rsidR="00B1012A" w:rsidRPr="004B3A86">
        <w:rPr>
          <w:rFonts w:ascii="Times New Roman" w:hAnsi="Times New Roman" w:cs="Times New Roman"/>
          <w:color w:val="FF0000"/>
          <w:sz w:val="24"/>
          <w:szCs w:val="24"/>
        </w:rPr>
        <w:t xml:space="preserve"> </w:t>
      </w:r>
      <w:proofErr w:type="spellStart"/>
      <w:r w:rsidR="00B1012A" w:rsidRPr="004B3A86">
        <w:rPr>
          <w:rFonts w:ascii="Times New Roman" w:hAnsi="Times New Roman" w:cs="Times New Roman"/>
          <w:color w:val="FF0000"/>
          <w:sz w:val="24"/>
          <w:szCs w:val="24"/>
        </w:rPr>
        <w:t>Tahajuddin</w:t>
      </w:r>
      <w:proofErr w:type="spellEnd"/>
      <w:r w:rsidR="00B1012A" w:rsidRPr="004B3A86">
        <w:rPr>
          <w:rFonts w:ascii="Times New Roman" w:hAnsi="Times New Roman" w:cs="Times New Roman"/>
          <w:color w:val="FF0000"/>
          <w:sz w:val="24"/>
          <w:szCs w:val="24"/>
        </w:rPr>
        <w:t xml:space="preserve">, </w:t>
      </w:r>
      <w:r w:rsidR="00B1012A">
        <w:rPr>
          <w:rFonts w:ascii="Times New Roman" w:hAnsi="Times New Roman" w:cs="Times New Roman"/>
          <w:color w:val="FF0000"/>
          <w:sz w:val="24"/>
          <w:szCs w:val="24"/>
        </w:rPr>
        <w:t>(</w:t>
      </w:r>
      <w:r w:rsidR="00B1012A" w:rsidRPr="004B3A86">
        <w:rPr>
          <w:rFonts w:ascii="Times New Roman" w:hAnsi="Times New Roman" w:cs="Times New Roman"/>
          <w:color w:val="FF0000"/>
          <w:sz w:val="24"/>
          <w:szCs w:val="24"/>
        </w:rPr>
        <w:t>2018</w:t>
      </w:r>
      <w:r w:rsidR="00B1012A">
        <w:rPr>
          <w:rFonts w:ascii="Times New Roman" w:hAnsi="Times New Roman" w:cs="Times New Roman"/>
          <w:color w:val="FF0000"/>
          <w:sz w:val="24"/>
          <w:szCs w:val="24"/>
        </w:rPr>
        <w:t>),</w:t>
      </w:r>
      <w:r w:rsidRPr="00B76270">
        <w:rPr>
          <w:rFonts w:ascii="Times New Roman" w:hAnsi="Times New Roman" w:cs="Times New Roman"/>
          <w:sz w:val="24"/>
          <w:szCs w:val="24"/>
        </w:rPr>
        <w:t xml:space="preserve"> </w:t>
      </w:r>
      <w:proofErr w:type="spellStart"/>
      <w:r w:rsidRPr="00B76270">
        <w:rPr>
          <w:rFonts w:ascii="Times New Roman" w:hAnsi="Times New Roman" w:cs="Times New Roman"/>
          <w:sz w:val="24"/>
          <w:szCs w:val="24"/>
        </w:rPr>
        <w:t>Maina</w:t>
      </w:r>
      <w:proofErr w:type="spellEnd"/>
      <w:r w:rsidRPr="00B76270">
        <w:rPr>
          <w:rFonts w:ascii="Times New Roman" w:hAnsi="Times New Roman" w:cs="Times New Roman"/>
          <w:sz w:val="24"/>
          <w:szCs w:val="24"/>
        </w:rPr>
        <w:t xml:space="preserve"> (2016), and Njoki (2018) all conclude that internal audit risk management practices such as the identification, analys</w:t>
      </w:r>
      <w:r w:rsidR="00D60C22">
        <w:rPr>
          <w:rFonts w:ascii="Times New Roman" w:hAnsi="Times New Roman" w:cs="Times New Roman"/>
          <w:sz w:val="24"/>
          <w:szCs w:val="24"/>
        </w:rPr>
        <w:t xml:space="preserve">is, and classification of risks </w:t>
      </w:r>
      <w:r w:rsidRPr="00B76270">
        <w:rPr>
          <w:rFonts w:ascii="Times New Roman" w:hAnsi="Times New Roman" w:cs="Times New Roman"/>
          <w:sz w:val="24"/>
          <w:szCs w:val="24"/>
        </w:rPr>
        <w:t xml:space="preserve">have a significant positive impact on the operations of organizations. These studies reinforce the idea that a well-structured internal audit and risk management framework can minimize agency problems such as moral hazard and information asymmetry by enhancing transparency and ensuring that risks are properly managed, thereby benefiting both principals and agents These findings support </w:t>
      </w:r>
      <w:r w:rsidRPr="00B76270">
        <w:rPr>
          <w:rStyle w:val="Strong"/>
          <w:rFonts w:ascii="Times New Roman" w:eastAsiaTheme="majorEastAsia" w:hAnsi="Times New Roman" w:cs="Times New Roman"/>
          <w:sz w:val="24"/>
          <w:szCs w:val="24"/>
        </w:rPr>
        <w:t>agency theory</w:t>
      </w:r>
      <w:r w:rsidRPr="00B76270">
        <w:rPr>
          <w:rFonts w:ascii="Times New Roman" w:hAnsi="Times New Roman" w:cs="Times New Roman"/>
          <w:b/>
          <w:sz w:val="24"/>
          <w:szCs w:val="24"/>
        </w:rPr>
        <w:t xml:space="preserve">, </w:t>
      </w:r>
      <w:r w:rsidRPr="00B76270">
        <w:rPr>
          <w:rFonts w:ascii="Times New Roman" w:hAnsi="Times New Roman" w:cs="Times New Roman"/>
          <w:sz w:val="24"/>
          <w:szCs w:val="24"/>
        </w:rPr>
        <w:t>as proposed by</w:t>
      </w:r>
      <w:r w:rsidRPr="00B76270">
        <w:rPr>
          <w:rFonts w:ascii="Times New Roman" w:hAnsi="Times New Roman" w:cs="Times New Roman"/>
          <w:b/>
          <w:sz w:val="24"/>
          <w:szCs w:val="24"/>
        </w:rPr>
        <w:t xml:space="preserve"> </w:t>
      </w:r>
      <w:r w:rsidRPr="00B76270">
        <w:rPr>
          <w:rStyle w:val="Strong"/>
          <w:rFonts w:ascii="Times New Roman" w:eastAsiaTheme="majorEastAsia" w:hAnsi="Times New Roman" w:cs="Times New Roman"/>
          <w:sz w:val="24"/>
          <w:szCs w:val="24"/>
        </w:rPr>
        <w:t>Jensen and Meckling (1976)</w:t>
      </w:r>
      <w:r w:rsidRPr="00B76270">
        <w:rPr>
          <w:rFonts w:ascii="Times New Roman" w:hAnsi="Times New Roman" w:cs="Times New Roman"/>
          <w:sz w:val="24"/>
          <w:szCs w:val="24"/>
        </w:rPr>
        <w:t xml:space="preserve"> who argued that since managers act on behalf of the shareholders and stakeholders, organizations may not achieve their intended purposes due to the risk of conflicts of self-interests among others thus the need to have a risk management framework in place that guides a carry out internal audits on risk assessments. The theory suggests that internal controls, like internal audits, are crucial in reducing these conflicts by aligning the interests of both parties and managing risks effectively.</w:t>
      </w:r>
    </w:p>
    <w:p w14:paraId="39C8549D" w14:textId="77777777" w:rsidR="00B367D3" w:rsidRPr="00B76270" w:rsidRDefault="00B367D3" w:rsidP="00B367D3">
      <w:pPr>
        <w:spacing w:before="100" w:beforeAutospacing="1" w:after="100" w:afterAutospacing="1" w:line="360" w:lineRule="auto"/>
        <w:jc w:val="both"/>
        <w:rPr>
          <w:rFonts w:ascii="Times New Roman" w:hAnsi="Times New Roman" w:cs="Times New Roman"/>
          <w:sz w:val="24"/>
          <w:szCs w:val="24"/>
        </w:rPr>
      </w:pPr>
      <w:r w:rsidRPr="00B76270">
        <w:rPr>
          <w:rFonts w:ascii="Times New Roman" w:hAnsi="Times New Roman" w:cs="Times New Roman"/>
          <w:sz w:val="24"/>
          <w:szCs w:val="24"/>
        </w:rPr>
        <w:t xml:space="preserve">The findings are also consistent with </w:t>
      </w:r>
      <w:proofErr w:type="spellStart"/>
      <w:r w:rsidRPr="00B76270">
        <w:rPr>
          <w:rStyle w:val="Strong"/>
          <w:rFonts w:ascii="Times New Roman" w:eastAsiaTheme="majorEastAsia" w:hAnsi="Times New Roman" w:cs="Times New Roman"/>
          <w:sz w:val="24"/>
          <w:szCs w:val="24"/>
        </w:rPr>
        <w:t>Kibwage</w:t>
      </w:r>
      <w:proofErr w:type="spellEnd"/>
      <w:r w:rsidRPr="00B76270">
        <w:rPr>
          <w:rStyle w:val="Strong"/>
          <w:rFonts w:ascii="Times New Roman" w:eastAsiaTheme="majorEastAsia" w:hAnsi="Times New Roman" w:cs="Times New Roman"/>
          <w:sz w:val="24"/>
          <w:szCs w:val="24"/>
        </w:rPr>
        <w:t xml:space="preserve"> (2021)</w:t>
      </w:r>
      <w:r w:rsidRPr="00B76270">
        <w:rPr>
          <w:rFonts w:ascii="Times New Roman" w:hAnsi="Times New Roman" w:cs="Times New Roman"/>
          <w:b/>
          <w:sz w:val="24"/>
          <w:szCs w:val="24"/>
        </w:rPr>
        <w:t>,</w:t>
      </w:r>
      <w:r w:rsidRPr="00B76270">
        <w:rPr>
          <w:rFonts w:ascii="Times New Roman" w:hAnsi="Times New Roman" w:cs="Times New Roman"/>
          <w:sz w:val="24"/>
          <w:szCs w:val="24"/>
        </w:rPr>
        <w:t xml:space="preserve"> who examined the influence of internal audit risk management on the quality of services delivered by the Nairobi County Government. His study found that internal audit risk management had a significant positive effect on service delivery, as it improved accountability, enhanced record tracking, and ensured efficient monitoring of the county's operations. </w:t>
      </w:r>
      <w:proofErr w:type="spellStart"/>
      <w:r w:rsidRPr="00B76270">
        <w:rPr>
          <w:rFonts w:ascii="Times New Roman" w:hAnsi="Times New Roman" w:cs="Times New Roman"/>
          <w:sz w:val="24"/>
          <w:szCs w:val="24"/>
        </w:rPr>
        <w:t>Kibwage</w:t>
      </w:r>
      <w:proofErr w:type="spellEnd"/>
      <w:r w:rsidRPr="00B76270">
        <w:rPr>
          <w:rFonts w:ascii="Times New Roman" w:hAnsi="Times New Roman" w:cs="Times New Roman"/>
          <w:sz w:val="24"/>
          <w:szCs w:val="24"/>
        </w:rPr>
        <w:t xml:space="preserve"> concluded that risk management positively impacts organizational performance. Policymakers should proactively incorporate risk management procedures throughout the organization to address potential risks before they arise. Strengthening </w:t>
      </w:r>
      <w:r w:rsidRPr="00B76270">
        <w:rPr>
          <w:rFonts w:ascii="Times New Roman" w:hAnsi="Times New Roman" w:cs="Times New Roman"/>
          <w:sz w:val="24"/>
          <w:szCs w:val="24"/>
        </w:rPr>
        <w:lastRenderedPageBreak/>
        <w:t>internal audit processes and regulatory compliance will increase confidence, leading to stronger internal controls and more standardized operations.</w:t>
      </w:r>
    </w:p>
    <w:p w14:paraId="5562ED91" w14:textId="77777777" w:rsidR="00B367D3" w:rsidRPr="00B76270" w:rsidRDefault="00B367D3" w:rsidP="00B367D3">
      <w:pPr>
        <w:pStyle w:val="NormalWeb"/>
        <w:spacing w:line="360" w:lineRule="auto"/>
        <w:jc w:val="both"/>
      </w:pPr>
      <w:r w:rsidRPr="00B76270">
        <w:t>Organizations should integrate risk management frameworks into their corporate governance strategies, including risk avoidance, acceptance, reduction, and transfer. These strategies should be supported by comprehensive risk assessments, covering identification, evaluation, treatment, and continuous monitoring of risks. This approach helps mitigate risks early and enhances overall organizational performance.</w:t>
      </w:r>
    </w:p>
    <w:p w14:paraId="4F40A80B" w14:textId="77777777" w:rsidR="00B367D3" w:rsidRPr="00B76270" w:rsidRDefault="00B367D3" w:rsidP="00B367D3">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B76270">
        <w:rPr>
          <w:rFonts w:ascii="Times New Roman" w:hAnsi="Times New Roman" w:cs="Times New Roman"/>
          <w:sz w:val="24"/>
          <w:szCs w:val="24"/>
        </w:rPr>
        <w:t xml:space="preserve"> Therefore the researcher concludes that internal audit function, in the </w:t>
      </w:r>
      <w:r w:rsidRPr="00B76270">
        <w:rPr>
          <w:rFonts w:ascii="Times New Roman" w:eastAsia="Times New Roman" w:hAnsi="Times New Roman" w:cs="Times New Roman"/>
          <w:color w:val="000000"/>
          <w:sz w:val="24"/>
          <w:szCs w:val="24"/>
        </w:rPr>
        <w:t xml:space="preserve">national treasuries </w:t>
      </w:r>
      <w:r w:rsidRPr="00B76270">
        <w:rPr>
          <w:rFonts w:ascii="Times New Roman" w:hAnsi="Times New Roman" w:cs="Times New Roman"/>
          <w:sz w:val="24"/>
          <w:szCs w:val="24"/>
        </w:rPr>
        <w:t xml:space="preserve">plays an essential role in recognizing risks and creating solutions to mitigate them. The risk management guidelines </w:t>
      </w:r>
      <w:r w:rsidRPr="00B76270">
        <w:rPr>
          <w:rFonts w:ascii="Times New Roman" w:hAnsi="Times New Roman" w:cs="Times New Roman"/>
          <w:color w:val="000000"/>
          <w:sz w:val="24"/>
          <w:szCs w:val="24"/>
          <w:shd w:val="clear" w:color="auto" w:fill="FFFFFF"/>
        </w:rPr>
        <w:t xml:space="preserve">involve risk identification, risk evaluation, risk treatment and risk monitoring in all departments making it easy for the auditor to advice. Additionally it </w:t>
      </w:r>
      <w:r w:rsidRPr="00B76270">
        <w:rPr>
          <w:rFonts w:ascii="Times New Roman" w:hAnsi="Times New Roman" w:cs="Times New Roman"/>
          <w:sz w:val="24"/>
          <w:szCs w:val="24"/>
        </w:rPr>
        <w:t>defines the risks that are acceptable as a form of accountability by all departments, it also allows for random checks of organizational systems and documents thus keeping department heads on toes.</w:t>
      </w:r>
    </w:p>
    <w:p w14:paraId="7E7B9C10" w14:textId="77777777" w:rsidR="00CD6F3C" w:rsidRPr="00B76270" w:rsidRDefault="008868A8" w:rsidP="007B4CF8">
      <w:pPr>
        <w:spacing w:before="12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B367D3" w:rsidRPr="00B76270">
        <w:rPr>
          <w:rFonts w:ascii="Times New Roman" w:hAnsi="Times New Roman" w:cs="Times New Roman"/>
          <w:sz w:val="24"/>
          <w:szCs w:val="24"/>
        </w:rPr>
        <w:t>o</w:t>
      </w:r>
      <w:r>
        <w:rPr>
          <w:rFonts w:ascii="Times New Roman" w:hAnsi="Times New Roman" w:cs="Times New Roman"/>
          <w:sz w:val="24"/>
          <w:szCs w:val="24"/>
        </w:rPr>
        <w:t>n</w:t>
      </w:r>
      <w:r w:rsidR="00B367D3" w:rsidRPr="00B76270">
        <w:rPr>
          <w:rFonts w:ascii="Times New Roman" w:hAnsi="Times New Roman" w:cs="Times New Roman"/>
          <w:sz w:val="24"/>
          <w:szCs w:val="24"/>
        </w:rPr>
        <w:t xml:space="preserve"> the influence of the risk management framework on governance processes, it is suggested that internal auditors develop risk matrices for all departments to facilitate comprehensive risk assessments and better planning. Moreover, internal auditors should conduct continuous risk assessments, including identification, analysis, and classification, in accordance with internal auditing standards.</w:t>
      </w:r>
    </w:p>
    <w:p w14:paraId="671F0B7E" w14:textId="77777777" w:rsidR="00F27097" w:rsidRPr="00B76270" w:rsidRDefault="00F27097" w:rsidP="00F27097">
      <w:pPr>
        <w:pStyle w:val="NormalWeb"/>
        <w:spacing w:line="360" w:lineRule="auto"/>
        <w:jc w:val="both"/>
      </w:pPr>
      <w:r w:rsidRPr="00B76270">
        <w:t xml:space="preserve">This research focused on internal auditors at the National Treasury in the North Rift region. Future studies could explore similar research in other regions of Kenya and across various public sector entities to validate these findings. Additionally, further research should investigate other underlying factors affecting governance processes in the public sector beyond </w:t>
      </w:r>
      <w:r w:rsidR="008868A8" w:rsidRPr="00B76270">
        <w:t>risk management framework</w:t>
      </w:r>
      <w:r w:rsidRPr="00B76270">
        <w:t xml:space="preserve"> functions.</w:t>
      </w:r>
    </w:p>
    <w:p w14:paraId="2D08E061" w14:textId="34804997" w:rsidR="00F27097" w:rsidRDefault="00F27097" w:rsidP="00F27097">
      <w:pPr>
        <w:pStyle w:val="NormalWeb"/>
        <w:spacing w:line="360" w:lineRule="auto"/>
        <w:jc w:val="both"/>
      </w:pPr>
      <w:r w:rsidRPr="00B76270">
        <w:t xml:space="preserve">Lastly, research on the influence of </w:t>
      </w:r>
      <w:r w:rsidR="008868A8" w:rsidRPr="00B76270">
        <w:t xml:space="preserve">risk management framework </w:t>
      </w:r>
      <w:r w:rsidRPr="00B76270">
        <w:t>on governance processes within private institutions could provide a comparative analysis of governance in both public and private sector organizations.</w:t>
      </w:r>
    </w:p>
    <w:p w14:paraId="1A417D7C" w14:textId="77777777" w:rsidR="0012260D" w:rsidRDefault="0012260D" w:rsidP="0012260D">
      <w:pPr>
        <w:pStyle w:val="NormalWeb"/>
        <w:spacing w:line="360" w:lineRule="auto"/>
        <w:jc w:val="both"/>
      </w:pPr>
      <w:r>
        <w:t xml:space="preserve">Consent </w:t>
      </w:r>
    </w:p>
    <w:p w14:paraId="3893FE1F" w14:textId="5D77BF28" w:rsidR="00CB3ECB" w:rsidRDefault="0012260D" w:rsidP="0012260D">
      <w:pPr>
        <w:pStyle w:val="NormalWeb"/>
        <w:spacing w:line="360" w:lineRule="auto"/>
        <w:jc w:val="both"/>
      </w:pPr>
      <w:r>
        <w:lastRenderedPageBreak/>
        <w:t xml:space="preserve">As per international standards or university standards, Participants’ written consent </w:t>
      </w:r>
      <w:proofErr w:type="gramStart"/>
      <w:r>
        <w:t>has been collected and preserved by the author(s)</w:t>
      </w:r>
      <w:proofErr w:type="gramEnd"/>
      <w:r>
        <w:t>.</w:t>
      </w:r>
      <w:bookmarkStart w:id="41" w:name="_GoBack"/>
      <w:bookmarkEnd w:id="41"/>
    </w:p>
    <w:p w14:paraId="08CDDD63" w14:textId="77777777" w:rsidR="00CB3ECB" w:rsidRPr="009C5487" w:rsidRDefault="00CB3ECB" w:rsidP="00CB3ECB">
      <w:pPr>
        <w:rPr>
          <w:rFonts w:ascii="Calibri" w:eastAsia="Calibri" w:hAnsi="Calibri" w:cs="Times New Roman"/>
          <w:kern w:val="2"/>
          <w:highlight w:val="yellow"/>
        </w:rPr>
      </w:pPr>
      <w:bookmarkStart w:id="42" w:name="_Hlk180402183"/>
      <w:bookmarkStart w:id="43" w:name="_Hlk183680988"/>
      <w:r w:rsidRPr="009C5487">
        <w:rPr>
          <w:rFonts w:ascii="Calibri" w:eastAsia="Calibri" w:hAnsi="Calibri" w:cs="Times New Roman"/>
          <w:kern w:val="2"/>
          <w:highlight w:val="yellow"/>
        </w:rPr>
        <w:t>Disclaimer (Artificial intelligence)</w:t>
      </w:r>
    </w:p>
    <w:p w14:paraId="5CB2E59F"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61FE99D"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152189C"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586D3B7"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74F26B"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184ABAB"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9BA8CD2" w14:textId="77777777" w:rsidR="00CB3ECB" w:rsidRPr="009C5487" w:rsidRDefault="00CB3ECB" w:rsidP="00CB3EC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4B9477F" w14:textId="77777777" w:rsidR="00CB3ECB" w:rsidRPr="009C5487" w:rsidRDefault="00CB3ECB" w:rsidP="00CB3ECB">
      <w:pPr>
        <w:rPr>
          <w:rFonts w:ascii="Calibri" w:eastAsia="Calibri" w:hAnsi="Calibri" w:cs="Times New Roman"/>
          <w:kern w:val="2"/>
        </w:rPr>
      </w:pPr>
      <w:r w:rsidRPr="009C5487">
        <w:rPr>
          <w:rFonts w:ascii="Calibri" w:eastAsia="Calibri" w:hAnsi="Calibri" w:cs="Times New Roman"/>
          <w:kern w:val="2"/>
          <w:highlight w:val="yellow"/>
        </w:rPr>
        <w:t>3.</w:t>
      </w:r>
    </w:p>
    <w:bookmarkEnd w:id="42"/>
    <w:bookmarkEnd w:id="43"/>
    <w:p w14:paraId="39D609EE" w14:textId="77777777" w:rsidR="00CB3ECB" w:rsidRPr="00B76270" w:rsidRDefault="00CB3ECB" w:rsidP="00F27097">
      <w:pPr>
        <w:pStyle w:val="NormalWeb"/>
        <w:spacing w:line="360" w:lineRule="auto"/>
        <w:jc w:val="both"/>
      </w:pPr>
    </w:p>
    <w:p w14:paraId="4894A987" w14:textId="77777777" w:rsidR="00E4409A" w:rsidRPr="0003228B" w:rsidRDefault="00E4409A" w:rsidP="00E4409A">
      <w:pPr>
        <w:pStyle w:val="Heading1"/>
        <w:spacing w:before="100" w:beforeAutospacing="1" w:after="100" w:afterAutospacing="1"/>
      </w:pPr>
      <w:bookmarkStart w:id="44" w:name="_Toc182818446"/>
      <w:r w:rsidRPr="0003228B">
        <w:t>REFERENCES</w:t>
      </w:r>
      <w:bookmarkEnd w:id="44"/>
    </w:p>
    <w:p w14:paraId="0A38740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Ackers. B. (2014). </w:t>
      </w:r>
      <w:r w:rsidRPr="0019462C">
        <w:rPr>
          <w:rFonts w:ascii="Times New Roman" w:hAnsi="Times New Roman" w:cs="Times New Roman"/>
          <w:iCs/>
          <w:sz w:val="24"/>
          <w:szCs w:val="24"/>
        </w:rPr>
        <w:t>The Auditor's Corporate Social Responsibility Assurance Role: A South African Perspective</w:t>
      </w:r>
      <w:r w:rsidRPr="0019462C">
        <w:rPr>
          <w:rFonts w:ascii="Times New Roman" w:hAnsi="Times New Roman" w:cs="Times New Roman"/>
          <w:i/>
          <w:iCs/>
          <w:sz w:val="24"/>
          <w:szCs w:val="24"/>
        </w:rPr>
        <w:t xml:space="preserve">. </w:t>
      </w:r>
      <w:r w:rsidRPr="0019462C">
        <w:rPr>
          <w:rFonts w:ascii="Times New Roman" w:hAnsi="Times New Roman" w:cs="Times New Roman"/>
          <w:i/>
          <w:sz w:val="24"/>
          <w:szCs w:val="24"/>
        </w:rPr>
        <w:t xml:space="preserve">The 2013 IBEA, International Conference on Business, Economics, and Accounting </w:t>
      </w:r>
      <w:r w:rsidRPr="0019462C">
        <w:rPr>
          <w:rFonts w:ascii="Times New Roman" w:hAnsi="Times New Roman" w:cs="Times New Roman"/>
          <w:sz w:val="24"/>
          <w:szCs w:val="24"/>
        </w:rPr>
        <w:t>20 – 23 March 2014.</w:t>
      </w:r>
    </w:p>
    <w:p w14:paraId="32C86ED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proofErr w:type="spellStart"/>
      <w:r w:rsidRPr="0019462C">
        <w:rPr>
          <w:rFonts w:ascii="Times New Roman" w:hAnsi="Times New Roman" w:cs="Times New Roman"/>
          <w:sz w:val="24"/>
          <w:szCs w:val="24"/>
        </w:rPr>
        <w:t>Asaolu</w:t>
      </w:r>
      <w:proofErr w:type="spellEnd"/>
      <w:r w:rsidRPr="0019462C">
        <w:rPr>
          <w:rFonts w:ascii="Times New Roman" w:hAnsi="Times New Roman" w:cs="Times New Roman"/>
          <w:sz w:val="24"/>
          <w:szCs w:val="24"/>
        </w:rPr>
        <w:t xml:space="preserve">, T., Adedokun, S., &amp; Monday, J. (2016). Promoting Good Governance through Internal Audit Function (IAF): The Nigerian Experience. </w:t>
      </w:r>
      <w:r w:rsidRPr="0019462C">
        <w:rPr>
          <w:rFonts w:ascii="Times New Roman" w:hAnsi="Times New Roman" w:cs="Times New Roman"/>
          <w:i/>
          <w:iCs/>
          <w:sz w:val="24"/>
          <w:szCs w:val="24"/>
        </w:rPr>
        <w:t>International Business Research.</w:t>
      </w:r>
    </w:p>
    <w:p w14:paraId="4E51D5D9"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Belay, Z. (2017). </w:t>
      </w:r>
      <w:r w:rsidRPr="0019462C">
        <w:rPr>
          <w:rFonts w:ascii="Times New Roman" w:hAnsi="Times New Roman" w:cs="Times New Roman"/>
          <w:iCs/>
          <w:sz w:val="24"/>
          <w:szCs w:val="24"/>
        </w:rPr>
        <w:t>A Study on Effective Implementation of Internal Audit Function to Promote Good Governance in the Public Sector</w:t>
      </w:r>
      <w:r w:rsidRPr="0019462C">
        <w:rPr>
          <w:rFonts w:ascii="Times New Roman" w:hAnsi="Times New Roman" w:cs="Times New Roman"/>
          <w:i/>
          <w:iCs/>
          <w:sz w:val="24"/>
          <w:szCs w:val="24"/>
        </w:rPr>
        <w:t xml:space="preserve">, </w:t>
      </w:r>
      <w:hyperlink r:id="rId7" w:history="1">
        <w:r w:rsidRPr="0019462C">
          <w:rPr>
            <w:rStyle w:val="Hyperlink"/>
            <w:rFonts w:ascii="Times New Roman" w:hAnsi="Times New Roman" w:cs="Times New Roman"/>
            <w:color w:val="auto"/>
            <w:sz w:val="24"/>
            <w:szCs w:val="24"/>
          </w:rPr>
          <w:t>http://www.scribd.com/doc/2194671/</w:t>
        </w:r>
      </w:hyperlink>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Internal-Audit-Corporate-Governance. </w:t>
      </w:r>
    </w:p>
    <w:p w14:paraId="3485BD33"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Cai, Chun (2017). The Functions and Objectives of Internal Audit and their Underlying conditions, </w:t>
      </w:r>
      <w:r w:rsidRPr="0019462C">
        <w:rPr>
          <w:rFonts w:ascii="Times New Roman" w:hAnsi="Times New Roman" w:cs="Times New Roman"/>
          <w:i/>
          <w:iCs/>
          <w:sz w:val="24"/>
          <w:szCs w:val="24"/>
        </w:rPr>
        <w:t>Managerial Auditing Journal</w:t>
      </w:r>
      <w:r w:rsidRPr="0019462C">
        <w:rPr>
          <w:rFonts w:ascii="Times New Roman" w:hAnsi="Times New Roman" w:cs="Times New Roman"/>
          <w:sz w:val="24"/>
          <w:szCs w:val="24"/>
        </w:rPr>
        <w:t xml:space="preserve">, 12(4), pp. 247-250. </w:t>
      </w:r>
    </w:p>
    <w:p w14:paraId="09B81F6D"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3"/>
          <w:szCs w:val="23"/>
        </w:rPr>
        <w:lastRenderedPageBreak/>
        <w:t xml:space="preserve">Deng, D. (2021). </w:t>
      </w:r>
      <w:r w:rsidRPr="0019462C">
        <w:rPr>
          <w:rFonts w:ascii="Times New Roman" w:hAnsi="Times New Roman" w:cs="Times New Roman"/>
          <w:iCs/>
          <w:sz w:val="23"/>
          <w:szCs w:val="23"/>
        </w:rPr>
        <w:t>Factors Influencing the Internal Audit Function in Public Sector: A Case of Ministry of Finance and Economic Planning of South Sudan</w:t>
      </w:r>
      <w:r w:rsidRPr="0019462C">
        <w:rPr>
          <w:rFonts w:ascii="Times New Roman" w:hAnsi="Times New Roman" w:cs="Times New Roman"/>
          <w:sz w:val="23"/>
          <w:szCs w:val="23"/>
        </w:rPr>
        <w:t xml:space="preserve">. </w:t>
      </w:r>
      <w:proofErr w:type="spellStart"/>
      <w:r w:rsidRPr="0019462C">
        <w:rPr>
          <w:rFonts w:ascii="Times New Roman" w:hAnsi="Times New Roman" w:cs="Times New Roman"/>
          <w:i/>
          <w:sz w:val="23"/>
          <w:szCs w:val="23"/>
        </w:rPr>
        <w:t>Masters</w:t>
      </w:r>
      <w:proofErr w:type="spellEnd"/>
      <w:r w:rsidRPr="0019462C">
        <w:rPr>
          <w:rFonts w:ascii="Times New Roman" w:hAnsi="Times New Roman" w:cs="Times New Roman"/>
          <w:i/>
          <w:sz w:val="23"/>
          <w:szCs w:val="23"/>
        </w:rPr>
        <w:t xml:space="preserve"> thesis</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Kenya College of </w:t>
      </w:r>
      <w:proofErr w:type="spellStart"/>
      <w:r w:rsidRPr="0019462C">
        <w:rPr>
          <w:rFonts w:ascii="Times New Roman" w:hAnsi="Times New Roman" w:cs="Times New Roman"/>
          <w:i/>
          <w:sz w:val="23"/>
          <w:szCs w:val="23"/>
        </w:rPr>
        <w:t>Accountacy</w:t>
      </w:r>
      <w:proofErr w:type="spellEnd"/>
      <w:r w:rsidRPr="0019462C">
        <w:rPr>
          <w:rFonts w:ascii="Times New Roman" w:hAnsi="Times New Roman" w:cs="Times New Roman"/>
          <w:i/>
          <w:sz w:val="23"/>
          <w:szCs w:val="23"/>
        </w:rPr>
        <w:t xml:space="preserve">. </w:t>
      </w:r>
    </w:p>
    <w:p w14:paraId="779A60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Gikonyo .M (2020). The determinants of internal audit effectiveness in the public sector in Kenya, a case of the National Treasury.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African </w:t>
      </w:r>
      <w:proofErr w:type="spellStart"/>
      <w:r w:rsidRPr="0019462C">
        <w:rPr>
          <w:rFonts w:ascii="Times New Roman" w:hAnsi="Times New Roman" w:cs="Times New Roman"/>
          <w:i/>
          <w:sz w:val="24"/>
          <w:szCs w:val="24"/>
        </w:rPr>
        <w:t>Nazareen</w:t>
      </w:r>
      <w:proofErr w:type="spellEnd"/>
      <w:r w:rsidRPr="0019462C">
        <w:rPr>
          <w:rFonts w:ascii="Times New Roman" w:hAnsi="Times New Roman" w:cs="Times New Roman"/>
          <w:i/>
          <w:sz w:val="24"/>
          <w:szCs w:val="24"/>
        </w:rPr>
        <w:t xml:space="preserve"> University.</w:t>
      </w:r>
    </w:p>
    <w:p w14:paraId="7876034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EACC (2024): Corruption Prevention Guidelines and the Quarterly Reporting</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2023</w:t>
      </w:r>
      <w:r w:rsidRPr="0019462C">
        <w:rPr>
          <w:rStyle w:val="Emphasis"/>
          <w:rFonts w:ascii="Times New Roman" w:hAnsi="Times New Roman" w:cs="Times New Roman"/>
          <w:sz w:val="24"/>
          <w:szCs w:val="24"/>
          <w:shd w:val="clear" w:color="auto" w:fill="FFFFFF"/>
        </w:rPr>
        <w:t xml:space="preserve"> </w:t>
      </w:r>
      <w:r w:rsidRPr="0019462C">
        <w:rPr>
          <w:rFonts w:ascii="Times New Roman" w:hAnsi="Times New Roman" w:cs="Times New Roman"/>
          <w:sz w:val="24"/>
          <w:szCs w:val="24"/>
        </w:rPr>
        <w:t>https/eacc.go.ke/ uploads,</w:t>
      </w:r>
      <w:r w:rsidRPr="0019462C">
        <w:rPr>
          <w:rFonts w:ascii="Times New Roman" w:hAnsi="Times New Roman" w:cs="Times New Roman"/>
          <w:i/>
          <w:sz w:val="24"/>
          <w:szCs w:val="24"/>
        </w:rPr>
        <w:t xml:space="preserve"> retrieved May 2024.</w:t>
      </w:r>
    </w:p>
    <w:p w14:paraId="62683B04"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(2012). The Public Finance Management Act. Nairobi: </w:t>
      </w:r>
      <w:r w:rsidRPr="0019462C">
        <w:rPr>
          <w:rFonts w:ascii="Times New Roman" w:hAnsi="Times New Roman" w:cs="Times New Roman"/>
          <w:i/>
          <w:sz w:val="24"/>
          <w:szCs w:val="24"/>
        </w:rPr>
        <w:t>Government Printer</w:t>
      </w:r>
      <w:r w:rsidRPr="0019462C">
        <w:rPr>
          <w:rFonts w:ascii="Times New Roman" w:hAnsi="Times New Roman" w:cs="Times New Roman"/>
          <w:sz w:val="24"/>
          <w:szCs w:val="24"/>
        </w:rPr>
        <w:t xml:space="preserve">. </w:t>
      </w:r>
    </w:p>
    <w:p w14:paraId="53ACF74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GOK. (2018). </w:t>
      </w:r>
      <w:r w:rsidRPr="0019462C">
        <w:rPr>
          <w:rFonts w:ascii="Times New Roman" w:hAnsi="Times New Roman" w:cs="Times New Roman"/>
          <w:iCs/>
          <w:sz w:val="24"/>
          <w:szCs w:val="24"/>
        </w:rPr>
        <w:t>Internal Audit Guidelines for National Government Entitie</w:t>
      </w:r>
      <w:r w:rsidRPr="0019462C">
        <w:rPr>
          <w:rFonts w:ascii="Times New Roman" w:hAnsi="Times New Roman" w:cs="Times New Roman"/>
          <w:i/>
          <w:iCs/>
          <w:sz w:val="24"/>
          <w:szCs w:val="24"/>
        </w:rPr>
        <w:t xml:space="preserve">s. </w:t>
      </w:r>
      <w:r w:rsidRPr="0019462C">
        <w:rPr>
          <w:rFonts w:ascii="Times New Roman" w:hAnsi="Times New Roman" w:cs="Times New Roman"/>
          <w:sz w:val="24"/>
          <w:szCs w:val="24"/>
        </w:rPr>
        <w:t xml:space="preserve">Nairobi, </w:t>
      </w:r>
      <w:r w:rsidRPr="0019462C">
        <w:rPr>
          <w:rFonts w:ascii="Times New Roman" w:hAnsi="Times New Roman" w:cs="Times New Roman"/>
          <w:i/>
          <w:sz w:val="24"/>
          <w:szCs w:val="24"/>
        </w:rPr>
        <w:t>Government Printer.</w:t>
      </w:r>
    </w:p>
    <w:p w14:paraId="2D9704B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GOK, (2023). Zero Vault Audit Regime 2023, National Treasury and Economic Planning, </w:t>
      </w:r>
      <w:r w:rsidRPr="0019462C">
        <w:rPr>
          <w:rFonts w:ascii="Times New Roman" w:hAnsi="Times New Roman" w:cs="Times New Roman"/>
          <w:i/>
          <w:sz w:val="24"/>
          <w:szCs w:val="24"/>
        </w:rPr>
        <w:t xml:space="preserve">State Department </w:t>
      </w:r>
      <w:proofErr w:type="gramStart"/>
      <w:r w:rsidRPr="0019462C">
        <w:rPr>
          <w:rFonts w:ascii="Times New Roman" w:hAnsi="Times New Roman" w:cs="Times New Roman"/>
          <w:i/>
          <w:sz w:val="24"/>
          <w:szCs w:val="24"/>
        </w:rPr>
        <w:t>For</w:t>
      </w:r>
      <w:proofErr w:type="gramEnd"/>
      <w:r w:rsidRPr="0019462C">
        <w:rPr>
          <w:rFonts w:ascii="Times New Roman" w:hAnsi="Times New Roman" w:cs="Times New Roman"/>
          <w:i/>
          <w:sz w:val="24"/>
          <w:szCs w:val="24"/>
        </w:rPr>
        <w:t xml:space="preserve"> Economic Planning</w:t>
      </w:r>
      <w:r w:rsidRPr="0019462C">
        <w:rPr>
          <w:rFonts w:ascii="Times New Roman" w:hAnsi="Times New Roman" w:cs="Times New Roman"/>
          <w:sz w:val="24"/>
          <w:szCs w:val="24"/>
        </w:rPr>
        <w:t>.</w:t>
      </w:r>
    </w:p>
    <w:p w14:paraId="159C6A2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(2023). </w:t>
      </w:r>
      <w:r w:rsidRPr="0019462C">
        <w:rPr>
          <w:rFonts w:ascii="Times New Roman" w:hAnsi="Times New Roman" w:cs="Times New Roman"/>
          <w:iCs/>
          <w:sz w:val="24"/>
          <w:szCs w:val="24"/>
        </w:rPr>
        <w:t>Public Sector Internal Audit Standards Applying the IIA</w:t>
      </w:r>
      <w:r w:rsidRPr="0019462C">
        <w:rPr>
          <w:rFonts w:ascii="Times New Roman" w:hAnsi="Times New Roman" w:cs="Times New Roman"/>
          <w:i/>
          <w:iCs/>
          <w:sz w:val="24"/>
          <w:szCs w:val="24"/>
        </w:rPr>
        <w:t xml:space="preserve">. </w:t>
      </w:r>
      <w:r w:rsidRPr="0019462C">
        <w:rPr>
          <w:rFonts w:ascii="Times New Roman" w:hAnsi="Times New Roman" w:cs="Times New Roman"/>
          <w:sz w:val="24"/>
          <w:szCs w:val="24"/>
        </w:rPr>
        <w:t>Public Sector .</w:t>
      </w:r>
      <w:r w:rsidRPr="0019462C">
        <w:rPr>
          <w:rFonts w:ascii="Times New Roman" w:hAnsi="Times New Roman" w:cs="Times New Roman"/>
          <w:i/>
          <w:sz w:val="24"/>
          <w:szCs w:val="24"/>
        </w:rPr>
        <w:t>Internal Audit Standards</w:t>
      </w:r>
      <w:r w:rsidRPr="0019462C">
        <w:rPr>
          <w:rFonts w:ascii="Times New Roman" w:hAnsi="Times New Roman" w:cs="Times New Roman"/>
          <w:sz w:val="24"/>
          <w:szCs w:val="24"/>
        </w:rPr>
        <w:t xml:space="preserve">, </w:t>
      </w:r>
      <w:proofErr w:type="spellStart"/>
      <w:r w:rsidRPr="0019462C">
        <w:rPr>
          <w:rFonts w:ascii="Times New Roman" w:hAnsi="Times New Roman" w:cs="Times New Roman"/>
          <w:i/>
          <w:iCs/>
          <w:sz w:val="24"/>
          <w:szCs w:val="24"/>
        </w:rPr>
        <w:t>MicrosoftEdgeDownloads</w:t>
      </w:r>
      <w:proofErr w:type="spellEnd"/>
      <w:r w:rsidRPr="0019462C">
        <w:rPr>
          <w:rFonts w:ascii="Times New Roman" w:hAnsi="Times New Roman" w:cs="Times New Roman"/>
          <w:i/>
          <w:iCs/>
          <w:sz w:val="24"/>
          <w:szCs w:val="24"/>
        </w:rPr>
        <w:t xml:space="preserve"> </w:t>
      </w:r>
    </w:p>
    <w:p w14:paraId="2CA0F7D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rPr>
        <w:t xml:space="preserve">Institute of Internal Auditors Kenya (2024). Definition of Internal Auditing. </w:t>
      </w:r>
      <w:r w:rsidRPr="0019462C">
        <w:rPr>
          <w:rFonts w:ascii="Times New Roman" w:hAnsi="Times New Roman" w:cs="Times New Roman"/>
          <w:i/>
          <w:sz w:val="24"/>
          <w:szCs w:val="24"/>
        </w:rPr>
        <w:t>The Institute of Internal Auditing.</w:t>
      </w:r>
      <w:r w:rsidRPr="0019462C">
        <w:rPr>
          <w:rFonts w:ascii="Times New Roman" w:hAnsi="Times New Roman" w:cs="Times New Roman"/>
          <w:i/>
          <w:sz w:val="23"/>
          <w:szCs w:val="23"/>
        </w:rPr>
        <w:t xml:space="preserve"> </w:t>
      </w:r>
    </w:p>
    <w:p w14:paraId="3650CA3F"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3"/>
          <w:szCs w:val="23"/>
        </w:rPr>
        <w:t xml:space="preserve">Institute of Internal Auditors Research Foundation (2022). International Professional Practices Framework. Internal Control Weaknesses. </w:t>
      </w:r>
      <w:r w:rsidRPr="0019462C">
        <w:rPr>
          <w:rFonts w:ascii="Times New Roman" w:hAnsi="Times New Roman" w:cs="Times New Roman"/>
          <w:i/>
          <w:iCs/>
          <w:sz w:val="23"/>
          <w:szCs w:val="23"/>
        </w:rPr>
        <w:t>Managerial Auditing Journal, 6</w:t>
      </w:r>
      <w:r w:rsidRPr="0019462C">
        <w:rPr>
          <w:rFonts w:ascii="Times New Roman" w:hAnsi="Times New Roman" w:cs="Times New Roman"/>
          <w:sz w:val="23"/>
          <w:szCs w:val="23"/>
        </w:rPr>
        <w:t xml:space="preserve">(19), 56-76. </w:t>
      </w:r>
      <w:r w:rsidRPr="0019462C">
        <w:rPr>
          <w:rFonts w:ascii="Times New Roman" w:hAnsi="Times New Roman" w:cs="Times New Roman"/>
          <w:sz w:val="24"/>
          <w:szCs w:val="24"/>
          <w:shd w:val="clear" w:color="auto" w:fill="FFFFFF"/>
        </w:rPr>
        <w:t xml:space="preserve"> </w:t>
      </w:r>
    </w:p>
    <w:p w14:paraId="546BB63E"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t>Kakiya</w:t>
      </w:r>
      <w:proofErr w:type="spellEnd"/>
      <w:r w:rsidRPr="0019462C">
        <w:rPr>
          <w:rFonts w:ascii="Times New Roman" w:hAnsi="Times New Roman" w:cs="Times New Roman"/>
          <w:sz w:val="24"/>
          <w:szCs w:val="24"/>
        </w:rPr>
        <w:t xml:space="preserve">. </w:t>
      </w:r>
      <w:proofErr w:type="spellStart"/>
      <w:r w:rsidRPr="0019462C">
        <w:rPr>
          <w:rFonts w:ascii="Times New Roman" w:hAnsi="Times New Roman" w:cs="Times New Roman"/>
          <w:sz w:val="24"/>
          <w:szCs w:val="24"/>
        </w:rPr>
        <w:t>G.</w:t>
      </w:r>
      <w:proofErr w:type="gramStart"/>
      <w:r w:rsidRPr="0019462C">
        <w:rPr>
          <w:rFonts w:ascii="Times New Roman" w:hAnsi="Times New Roman" w:cs="Times New Roman"/>
          <w:sz w:val="24"/>
          <w:szCs w:val="24"/>
        </w:rPr>
        <w:t>,Lucy</w:t>
      </w:r>
      <w:proofErr w:type="spellEnd"/>
      <w:proofErr w:type="gramEnd"/>
      <w:r w:rsidRPr="0019462C">
        <w:rPr>
          <w:rFonts w:ascii="Times New Roman" w:hAnsi="Times New Roman" w:cs="Times New Roman"/>
          <w:sz w:val="24"/>
          <w:szCs w:val="24"/>
        </w:rPr>
        <w:t xml:space="preserve"> .R., Jared .M.,(2019). The Influence of Enterprise Risk Management Practices on Organizational Performance: Evidence from Kenyan State Corporations. </w:t>
      </w:r>
      <w:r w:rsidRPr="0019462C">
        <w:rPr>
          <w:rFonts w:ascii="Times New Roman" w:hAnsi="Times New Roman" w:cs="Times New Roman"/>
          <w:i/>
          <w:sz w:val="24"/>
          <w:szCs w:val="24"/>
        </w:rPr>
        <w:t>Journal of Accounting, Business and Finance Research Department of Accounting and Finance</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Moi University, Kenya.</w:t>
      </w:r>
    </w:p>
    <w:p w14:paraId="1666E47A" w14:textId="77777777" w:rsidR="007B6C15" w:rsidRDefault="00E4409A" w:rsidP="007B6C15">
      <w:pPr>
        <w:spacing w:before="100" w:beforeAutospacing="1" w:after="100" w:afterAutospacing="1" w:line="360" w:lineRule="auto"/>
        <w:ind w:left="810" w:hanging="810"/>
        <w:jc w:val="both"/>
        <w:rPr>
          <w:rFonts w:ascii="Times New Roman" w:hAnsi="Times New Roman" w:cs="Times New Roman"/>
          <w:sz w:val="23"/>
          <w:szCs w:val="23"/>
        </w:rPr>
      </w:pPr>
      <w:proofErr w:type="spellStart"/>
      <w:r w:rsidRPr="0019462C">
        <w:rPr>
          <w:rFonts w:ascii="Times New Roman" w:hAnsi="Times New Roman" w:cs="Times New Roman"/>
          <w:sz w:val="24"/>
          <w:szCs w:val="24"/>
        </w:rPr>
        <w:t>Kibwage</w:t>
      </w:r>
      <w:proofErr w:type="spellEnd"/>
      <w:r w:rsidRPr="0019462C">
        <w:rPr>
          <w:rFonts w:ascii="Times New Roman" w:hAnsi="Times New Roman" w:cs="Times New Roman"/>
          <w:sz w:val="24"/>
          <w:szCs w:val="24"/>
        </w:rPr>
        <w:t xml:space="preserve"> (2021). The </w:t>
      </w:r>
      <w:r w:rsidRPr="0019462C">
        <w:rPr>
          <w:rFonts w:ascii="Times New Roman" w:hAnsi="Times New Roman" w:cs="Times New Roman"/>
          <w:iCs/>
          <w:sz w:val="24"/>
          <w:szCs w:val="24"/>
        </w:rPr>
        <w:t>Influence of Audit Committee Roles on the Quality of Public Service Delivery at the Nairobi County Government in Kenya.</w:t>
      </w:r>
      <w:r w:rsidRPr="0019462C">
        <w:rPr>
          <w:rFonts w:ascii="Times New Roman" w:hAnsi="Times New Roman" w:cs="Times New Roman"/>
          <w:i/>
          <w:sz w:val="24"/>
          <w:szCs w:val="24"/>
        </w:rPr>
        <w:t xml:space="preserve"> Unpublished MBA Research Project, University of Nairobi.</w:t>
      </w:r>
      <w:r w:rsidRPr="0019462C">
        <w:rPr>
          <w:rFonts w:ascii="Times New Roman" w:hAnsi="Times New Roman" w:cs="Times New Roman"/>
          <w:sz w:val="23"/>
          <w:szCs w:val="23"/>
        </w:rPr>
        <w:t xml:space="preserve"> </w:t>
      </w:r>
    </w:p>
    <w:p w14:paraId="1951CAF5" w14:textId="65775C04" w:rsidR="007B6C15" w:rsidRPr="007B6C15" w:rsidRDefault="007B6C15" w:rsidP="007B6C15">
      <w:pPr>
        <w:spacing w:before="100" w:beforeAutospacing="1" w:after="100" w:afterAutospacing="1" w:line="360" w:lineRule="auto"/>
        <w:ind w:left="810" w:hanging="810"/>
        <w:jc w:val="both"/>
        <w:rPr>
          <w:rFonts w:ascii="Times New Roman" w:hAnsi="Times New Roman" w:cs="Times New Roman"/>
          <w:i/>
          <w:color w:val="FF0000"/>
          <w:sz w:val="24"/>
          <w:szCs w:val="24"/>
        </w:rPr>
      </w:pPr>
      <w:proofErr w:type="spellStart"/>
      <w:r w:rsidRPr="007B6C15">
        <w:rPr>
          <w:rFonts w:ascii="Times New Roman" w:hAnsi="Times New Roman" w:cs="Times New Roman"/>
          <w:color w:val="FF0000"/>
          <w:sz w:val="24"/>
          <w:szCs w:val="24"/>
          <w:lang w:val="en-GB"/>
        </w:rPr>
        <w:lastRenderedPageBreak/>
        <w:t>Kertali</w:t>
      </w:r>
      <w:proofErr w:type="spellEnd"/>
      <w:r w:rsidRPr="007B6C15">
        <w:rPr>
          <w:rFonts w:ascii="Times New Roman" w:hAnsi="Times New Roman" w:cs="Times New Roman"/>
          <w:color w:val="FF0000"/>
          <w:sz w:val="24"/>
          <w:szCs w:val="24"/>
          <w:lang w:val="en-GB"/>
        </w:rPr>
        <w:t xml:space="preserve"> M, </w:t>
      </w:r>
      <w:r w:rsidR="009E62FE">
        <w:rPr>
          <w:rFonts w:ascii="Times New Roman" w:hAnsi="Times New Roman" w:cs="Times New Roman"/>
          <w:color w:val="FF0000"/>
          <w:sz w:val="24"/>
          <w:szCs w:val="24"/>
          <w:lang w:val="en-GB"/>
        </w:rPr>
        <w:t xml:space="preserve">and </w:t>
      </w:r>
      <w:r w:rsidRPr="007B6C15">
        <w:rPr>
          <w:rFonts w:ascii="Times New Roman" w:hAnsi="Times New Roman" w:cs="Times New Roman"/>
          <w:color w:val="FF0000"/>
          <w:sz w:val="24"/>
          <w:szCs w:val="24"/>
          <w:lang w:val="en-GB"/>
        </w:rPr>
        <w:t xml:space="preserve">Bin </w:t>
      </w:r>
      <w:proofErr w:type="spellStart"/>
      <w:r w:rsidRPr="007B6C15">
        <w:rPr>
          <w:rFonts w:ascii="Times New Roman" w:hAnsi="Times New Roman" w:cs="Times New Roman"/>
          <w:color w:val="FF0000"/>
          <w:sz w:val="24"/>
          <w:szCs w:val="24"/>
          <w:lang w:val="en-GB"/>
        </w:rPr>
        <w:t>Tahajuddin</w:t>
      </w:r>
      <w:proofErr w:type="spellEnd"/>
      <w:r w:rsidRPr="007B6C15">
        <w:rPr>
          <w:rFonts w:ascii="Times New Roman" w:hAnsi="Times New Roman" w:cs="Times New Roman"/>
          <w:color w:val="FF0000"/>
          <w:sz w:val="24"/>
          <w:szCs w:val="24"/>
          <w:lang w:val="en-GB"/>
        </w:rPr>
        <w:t xml:space="preserve"> S </w:t>
      </w:r>
      <w:proofErr w:type="gramStart"/>
      <w:r w:rsidRPr="007B6C15">
        <w:rPr>
          <w:rFonts w:ascii="Times New Roman" w:hAnsi="Times New Roman" w:cs="Times New Roman"/>
          <w:color w:val="FF0000"/>
          <w:sz w:val="24"/>
          <w:szCs w:val="24"/>
          <w:lang w:val="en-GB"/>
        </w:rPr>
        <w:t>2018 .</w:t>
      </w:r>
      <w:proofErr w:type="gramEnd"/>
      <w:r w:rsidRPr="007B6C15">
        <w:rPr>
          <w:rFonts w:ascii="Times New Roman" w:hAnsi="Times New Roman" w:cs="Times New Roman"/>
          <w:color w:val="FF0000"/>
          <w:sz w:val="24"/>
          <w:szCs w:val="24"/>
          <w:lang w:val="en-GB"/>
        </w:rPr>
        <w:t xml:space="preserve"> The Effect of Internal Auditors’ Involvement in Enterprise Risk Management on Internal Audit Objectivity: </w:t>
      </w:r>
      <w:r w:rsidRPr="007B6C15">
        <w:rPr>
          <w:rFonts w:ascii="Times New Roman" w:hAnsi="Times New Roman" w:cs="Times New Roman"/>
          <w:i/>
          <w:color w:val="FF0000"/>
          <w:sz w:val="24"/>
          <w:szCs w:val="24"/>
          <w:lang w:val="en-GB"/>
        </w:rPr>
        <w:t xml:space="preserve">Evidence from Malaysia. Asian J. Econ. </w:t>
      </w:r>
      <w:proofErr w:type="spellStart"/>
      <w:r w:rsidRPr="007B6C15">
        <w:rPr>
          <w:rFonts w:ascii="Times New Roman" w:hAnsi="Times New Roman" w:cs="Times New Roman"/>
          <w:i/>
          <w:color w:val="FF0000"/>
          <w:sz w:val="24"/>
          <w:szCs w:val="24"/>
          <w:lang w:val="en-GB"/>
        </w:rPr>
        <w:t>Busin</w:t>
      </w:r>
      <w:proofErr w:type="spellEnd"/>
      <w:r w:rsidRPr="007B6C15">
        <w:rPr>
          <w:rFonts w:ascii="Times New Roman" w:hAnsi="Times New Roman" w:cs="Times New Roman"/>
          <w:i/>
          <w:color w:val="FF0000"/>
          <w:sz w:val="24"/>
          <w:szCs w:val="24"/>
          <w:lang w:val="en-GB"/>
        </w:rPr>
        <w:t xml:space="preserve">. </w:t>
      </w:r>
      <w:proofErr w:type="spellStart"/>
      <w:r w:rsidRPr="007B6C15">
        <w:rPr>
          <w:rFonts w:ascii="Times New Roman" w:hAnsi="Times New Roman" w:cs="Times New Roman"/>
          <w:i/>
          <w:color w:val="FF0000"/>
          <w:sz w:val="24"/>
          <w:szCs w:val="24"/>
          <w:lang w:val="en-GB"/>
        </w:rPr>
        <w:t>Acc</w:t>
      </w:r>
      <w:proofErr w:type="spellEnd"/>
    </w:p>
    <w:p w14:paraId="5299050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3"/>
          <w:szCs w:val="23"/>
        </w:rPr>
      </w:pPr>
      <w:r w:rsidRPr="0019462C">
        <w:rPr>
          <w:rFonts w:ascii="Times New Roman" w:hAnsi="Times New Roman" w:cs="Times New Roman"/>
          <w:sz w:val="23"/>
          <w:szCs w:val="23"/>
        </w:rPr>
        <w:t xml:space="preserve">Kinyua, J. K. A. (2016). </w:t>
      </w:r>
      <w:r w:rsidRPr="0019462C">
        <w:rPr>
          <w:rFonts w:ascii="Times New Roman" w:hAnsi="Times New Roman" w:cs="Times New Roman"/>
          <w:iCs/>
          <w:sz w:val="23"/>
          <w:szCs w:val="23"/>
        </w:rPr>
        <w:t>Effect of internal control systems on the financial performance of companies quoted in the Nairobi Securities Exchange</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Doctoral dissertation</w:t>
      </w:r>
      <w:r w:rsidRPr="0019462C">
        <w:rPr>
          <w:rFonts w:ascii="Times New Roman" w:hAnsi="Times New Roman" w:cs="Times New Roman"/>
          <w:sz w:val="23"/>
          <w:szCs w:val="23"/>
        </w:rPr>
        <w:t xml:space="preserve">, </w:t>
      </w:r>
      <w:r w:rsidRPr="0019462C">
        <w:rPr>
          <w:rFonts w:ascii="Times New Roman" w:hAnsi="Times New Roman" w:cs="Times New Roman"/>
          <w:i/>
          <w:sz w:val="23"/>
          <w:szCs w:val="23"/>
        </w:rPr>
        <w:t xml:space="preserve">Jomo Kenyatta University of Agriculture and Technology. </w:t>
      </w:r>
    </w:p>
    <w:p w14:paraId="5362B4FC"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iCs/>
          <w:sz w:val="24"/>
          <w:szCs w:val="24"/>
        </w:rPr>
        <w:t>.</w:t>
      </w:r>
    </w:p>
    <w:p w14:paraId="0CC6006A"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proofErr w:type="spellStart"/>
      <w:r w:rsidRPr="0019462C">
        <w:rPr>
          <w:rFonts w:ascii="Times New Roman" w:hAnsi="Times New Roman" w:cs="Times New Roman"/>
          <w:sz w:val="24"/>
          <w:szCs w:val="24"/>
        </w:rPr>
        <w:t>Mаinа</w:t>
      </w:r>
      <w:proofErr w:type="spellEnd"/>
      <w:r w:rsidRPr="0019462C">
        <w:rPr>
          <w:rFonts w:ascii="Times New Roman" w:hAnsi="Times New Roman" w:cs="Times New Roman"/>
          <w:sz w:val="24"/>
          <w:szCs w:val="24"/>
        </w:rPr>
        <w:t xml:space="preserve">, R. W. (2016). </w:t>
      </w:r>
      <w:r w:rsidRPr="0019462C">
        <w:rPr>
          <w:rFonts w:ascii="Times New Roman" w:hAnsi="Times New Roman" w:cs="Times New Roman"/>
          <w:iCs/>
          <w:sz w:val="24"/>
          <w:szCs w:val="24"/>
        </w:rPr>
        <w:t xml:space="preserve">The Role of Public Financial Management Practices on Service Delivery </w:t>
      </w:r>
      <w:proofErr w:type="gramStart"/>
      <w:r w:rsidRPr="0019462C">
        <w:rPr>
          <w:rFonts w:ascii="Times New Roman" w:hAnsi="Times New Roman" w:cs="Times New Roman"/>
          <w:iCs/>
          <w:sz w:val="24"/>
          <w:szCs w:val="24"/>
        </w:rPr>
        <w:t>In</w:t>
      </w:r>
      <w:proofErr w:type="gramEnd"/>
      <w:r w:rsidRPr="0019462C">
        <w:rPr>
          <w:rFonts w:ascii="Times New Roman" w:hAnsi="Times New Roman" w:cs="Times New Roman"/>
          <w:iCs/>
          <w:sz w:val="24"/>
          <w:szCs w:val="24"/>
        </w:rPr>
        <w:t xml:space="preserve"> Selected Counties: Perception Of Members Of The County Assembly</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Doctoral dissertation.</w:t>
      </w:r>
      <w:r w:rsidRPr="0019462C">
        <w:rPr>
          <w:rFonts w:ascii="Times New Roman" w:hAnsi="Times New Roman" w:cs="Times New Roman"/>
          <w:sz w:val="24"/>
          <w:szCs w:val="24"/>
        </w:rPr>
        <w:t xml:space="preserve"> </w:t>
      </w:r>
      <w:r w:rsidRPr="0019462C">
        <w:rPr>
          <w:rFonts w:ascii="Times New Roman" w:hAnsi="Times New Roman" w:cs="Times New Roman"/>
          <w:sz w:val="24"/>
          <w:szCs w:val="24"/>
          <w:u w:val="single"/>
        </w:rPr>
        <w:t>http://repository.kca.ac.ke/handle.</w:t>
      </w:r>
    </w:p>
    <w:p w14:paraId="230AA65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iCs/>
          <w:sz w:val="24"/>
          <w:szCs w:val="24"/>
        </w:rPr>
      </w:pPr>
      <w:r w:rsidRPr="0019462C">
        <w:rPr>
          <w:rFonts w:ascii="Times New Roman" w:hAnsi="Times New Roman" w:cs="Times New Roman"/>
          <w:sz w:val="24"/>
          <w:szCs w:val="24"/>
          <w:lang w:val="de-DE"/>
        </w:rPr>
        <w:t xml:space="preserve">Meckling, W. H., &amp; Jensen, M. C. (1976). </w:t>
      </w:r>
      <w:r w:rsidRPr="0019462C">
        <w:rPr>
          <w:rFonts w:ascii="Times New Roman" w:hAnsi="Times New Roman" w:cs="Times New Roman"/>
          <w:iCs/>
          <w:sz w:val="24"/>
          <w:szCs w:val="24"/>
        </w:rPr>
        <w:t>Theory of the Firm:</w:t>
      </w:r>
      <w:r w:rsidRPr="0019462C">
        <w:rPr>
          <w:rFonts w:ascii="Times New Roman" w:hAnsi="Times New Roman" w:cs="Times New Roman"/>
          <w:i/>
          <w:iCs/>
          <w:sz w:val="24"/>
          <w:szCs w:val="24"/>
        </w:rPr>
        <w:t xml:space="preserve"> Managerial Behavior, Agency Costs and Ownership Structure. </w:t>
      </w:r>
    </w:p>
    <w:p w14:paraId="6A9B5A0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Mutua, A.M. &amp; </w:t>
      </w:r>
      <w:proofErr w:type="spellStart"/>
      <w:r w:rsidRPr="0019462C">
        <w:rPr>
          <w:rFonts w:ascii="Times New Roman" w:hAnsi="Times New Roman" w:cs="Times New Roman"/>
          <w:sz w:val="24"/>
          <w:szCs w:val="24"/>
        </w:rPr>
        <w:t>Ibembe</w:t>
      </w:r>
      <w:proofErr w:type="spellEnd"/>
      <w:r w:rsidRPr="0019462C">
        <w:rPr>
          <w:rFonts w:ascii="Times New Roman" w:hAnsi="Times New Roman" w:cs="Times New Roman"/>
          <w:sz w:val="24"/>
          <w:szCs w:val="24"/>
        </w:rPr>
        <w:t>, J.D.B. (2020). Risk Management Processes and Functional Performance in Non-Governmental Organizations of Kenya.</w:t>
      </w:r>
      <w:r w:rsidRPr="0019462C">
        <w:rPr>
          <w:rFonts w:ascii="Times New Roman" w:hAnsi="Times New Roman" w:cs="Times New Roman"/>
          <w:i/>
          <w:sz w:val="24"/>
          <w:szCs w:val="24"/>
        </w:rPr>
        <w:t xml:space="preserve"> Interdisciplinary Journal of Humanities and Social Sciences.</w:t>
      </w:r>
    </w:p>
    <w:p w14:paraId="64D987E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shd w:val="clear" w:color="auto" w:fill="FFFFFF"/>
        </w:rPr>
        <w:t xml:space="preserve">Nollet. J, </w:t>
      </w:r>
      <w:proofErr w:type="spellStart"/>
      <w:r w:rsidRPr="0019462C">
        <w:rPr>
          <w:rFonts w:ascii="Times New Roman" w:hAnsi="Times New Roman" w:cs="Times New Roman"/>
          <w:sz w:val="24"/>
          <w:szCs w:val="24"/>
          <w:shd w:val="clear" w:color="auto" w:fill="FFFFFF"/>
        </w:rPr>
        <w:t>Beaulieu.M</w:t>
      </w:r>
      <w:proofErr w:type="spellEnd"/>
      <w:r w:rsidRPr="0019462C">
        <w:rPr>
          <w:rFonts w:ascii="Times New Roman" w:hAnsi="Times New Roman" w:cs="Times New Roman"/>
          <w:sz w:val="24"/>
          <w:szCs w:val="24"/>
          <w:shd w:val="clear" w:color="auto" w:fill="FFFFFF"/>
        </w:rPr>
        <w:t>, and Nathalie. F, (2005). Measuring Purchasing Groups Performance in the Health Care Sector. </w:t>
      </w:r>
      <w:r w:rsidRPr="0019462C">
        <w:rPr>
          <w:rFonts w:ascii="Times New Roman" w:hAnsi="Times New Roman" w:cs="Times New Roman"/>
          <w:i/>
          <w:iCs/>
          <w:sz w:val="24"/>
          <w:szCs w:val="24"/>
          <w:shd w:val="clear" w:color="auto" w:fill="FFFFFF"/>
        </w:rPr>
        <w:t>Canadian Journal of Administrative Sciences/Revue Canadienne des Sciences de Administration.</w:t>
      </w:r>
      <w:r w:rsidRPr="0019462C">
        <w:rPr>
          <w:rFonts w:ascii="Times New Roman" w:hAnsi="Times New Roman" w:cs="Times New Roman"/>
          <w:sz w:val="24"/>
          <w:szCs w:val="24"/>
          <w:shd w:val="clear" w:color="auto" w:fill="FFFFFF"/>
        </w:rPr>
        <w:t> </w:t>
      </w:r>
    </w:p>
    <w:p w14:paraId="083F55BB"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Njoki, C. (2018). Audit Committee Effectiveness: A Public Sector Case Study. </w:t>
      </w:r>
      <w:r w:rsidRPr="0019462C">
        <w:rPr>
          <w:rFonts w:ascii="Times New Roman" w:hAnsi="Times New Roman" w:cs="Times New Roman"/>
          <w:i/>
          <w:iCs/>
          <w:sz w:val="24"/>
          <w:szCs w:val="24"/>
        </w:rPr>
        <w:t xml:space="preserve">Managerial Auditing Journal, </w:t>
      </w:r>
      <w:r w:rsidRPr="0019462C">
        <w:rPr>
          <w:rFonts w:ascii="Times New Roman" w:hAnsi="Times New Roman" w:cs="Times New Roman"/>
          <w:i/>
          <w:sz w:val="24"/>
          <w:szCs w:val="24"/>
        </w:rPr>
        <w:t>https://www.emerald.com/insight/content.</w:t>
      </w:r>
    </w:p>
    <w:p w14:paraId="00C88BE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shd w:val="clear" w:color="auto" w:fill="FFFFFF"/>
        </w:rPr>
      </w:pPr>
      <w:r w:rsidRPr="0019462C">
        <w:rPr>
          <w:rFonts w:ascii="Times New Roman" w:hAnsi="Times New Roman" w:cs="Times New Roman"/>
          <w:sz w:val="24"/>
          <w:szCs w:val="24"/>
        </w:rPr>
        <w:t xml:space="preserve">Njoroge, J.W. 2013. Revenue Productivity Of Tax Reforms In Kenya. </w:t>
      </w:r>
      <w:r w:rsidRPr="0019462C">
        <w:rPr>
          <w:rFonts w:ascii="Times New Roman" w:hAnsi="Times New Roman" w:cs="Times New Roman"/>
          <w:sz w:val="24"/>
          <w:szCs w:val="24"/>
          <w:shd w:val="clear" w:color="auto" w:fill="FFFFFF"/>
        </w:rPr>
        <w:t>.</w:t>
      </w:r>
      <w:r w:rsidRPr="0019462C">
        <w:rPr>
          <w:rFonts w:ascii="Times New Roman" w:hAnsi="Times New Roman" w:cs="Times New Roman"/>
          <w:i/>
          <w:sz w:val="24"/>
          <w:szCs w:val="24"/>
        </w:rPr>
        <w:t>Unpublished MA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University of Nairobi.</w:t>
      </w:r>
    </w:p>
    <w:p w14:paraId="28AAD8E8"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shd w:val="clear" w:color="auto" w:fill="FFFFFF"/>
        </w:rPr>
      </w:pPr>
      <w:r w:rsidRPr="0019462C">
        <w:rPr>
          <w:rFonts w:ascii="Times New Roman" w:hAnsi="Times New Roman" w:cs="Times New Roman"/>
          <w:sz w:val="23"/>
          <w:szCs w:val="23"/>
        </w:rPr>
        <w:t xml:space="preserve">OAG. (2018). </w:t>
      </w:r>
      <w:r w:rsidRPr="0019462C">
        <w:rPr>
          <w:rFonts w:ascii="Times New Roman" w:hAnsi="Times New Roman" w:cs="Times New Roman"/>
          <w:iCs/>
          <w:sz w:val="23"/>
          <w:szCs w:val="23"/>
        </w:rPr>
        <w:t>Summary of the Report of the Auditor-General on the Financial Statements for National Government for the 2016/2017</w:t>
      </w:r>
      <w:r w:rsidRPr="0019462C">
        <w:rPr>
          <w:rFonts w:ascii="Times New Roman" w:hAnsi="Times New Roman" w:cs="Times New Roman"/>
          <w:i/>
          <w:iCs/>
          <w:sz w:val="23"/>
          <w:szCs w:val="23"/>
        </w:rPr>
        <w:t xml:space="preserve">. </w:t>
      </w:r>
      <w:r w:rsidRPr="0019462C">
        <w:rPr>
          <w:rFonts w:ascii="Times New Roman" w:hAnsi="Times New Roman" w:cs="Times New Roman"/>
          <w:i/>
          <w:sz w:val="23"/>
          <w:szCs w:val="23"/>
        </w:rPr>
        <w:t>Nairobi: Office of the Auditor General Kenya</w:t>
      </w:r>
      <w:r w:rsidRPr="0019462C">
        <w:rPr>
          <w:rFonts w:ascii="Times New Roman" w:hAnsi="Times New Roman" w:cs="Times New Roman"/>
          <w:sz w:val="23"/>
          <w:szCs w:val="23"/>
        </w:rPr>
        <w:t>.</w:t>
      </w:r>
    </w:p>
    <w:p w14:paraId="3D500F87"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lastRenderedPageBreak/>
        <w:t xml:space="preserve">Ochieng, J. (2017). </w:t>
      </w:r>
      <w:r w:rsidRPr="0019462C">
        <w:rPr>
          <w:rFonts w:ascii="Times New Roman" w:hAnsi="Times New Roman" w:cs="Times New Roman"/>
          <w:iCs/>
          <w:sz w:val="24"/>
          <w:szCs w:val="24"/>
        </w:rPr>
        <w:t xml:space="preserve">Incorporating Principles of Corporate Governance in the Management of State Corporations in Kenya: A Critique of the </w:t>
      </w:r>
      <w:proofErr w:type="spellStart"/>
      <w:r w:rsidRPr="0019462C">
        <w:rPr>
          <w:rFonts w:ascii="Times New Roman" w:hAnsi="Times New Roman" w:cs="Times New Roman"/>
          <w:iCs/>
          <w:sz w:val="24"/>
          <w:szCs w:val="24"/>
        </w:rPr>
        <w:t>Mwongozo</w:t>
      </w:r>
      <w:proofErr w:type="spellEnd"/>
      <w:r w:rsidRPr="0019462C">
        <w:rPr>
          <w:rFonts w:ascii="Times New Roman" w:hAnsi="Times New Roman" w:cs="Times New Roman"/>
          <w:iCs/>
          <w:sz w:val="24"/>
          <w:szCs w:val="24"/>
        </w:rPr>
        <w:t xml:space="preserve"> Code of Governance for State Corporations</w:t>
      </w:r>
      <w:r w:rsidRPr="0019462C">
        <w:rPr>
          <w:rFonts w:ascii="Times New Roman" w:hAnsi="Times New Roman" w:cs="Times New Roman"/>
          <w:sz w:val="24"/>
          <w:szCs w:val="24"/>
        </w:rPr>
        <w:t>.</w:t>
      </w:r>
      <w:r w:rsidRPr="0019462C">
        <w:rPr>
          <w:rFonts w:ascii="Times New Roman" w:hAnsi="Times New Roman" w:cs="Times New Roman"/>
          <w:i/>
          <w:sz w:val="24"/>
          <w:szCs w:val="24"/>
        </w:rPr>
        <w:t xml:space="preserve"> Doctoral Dissertation</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 xml:space="preserve">University of Nairobi. </w:t>
      </w:r>
      <w:hyperlink r:id="rId8" w:history="1">
        <w:r w:rsidRPr="0019462C">
          <w:rPr>
            <w:rStyle w:val="Hyperlink"/>
            <w:rFonts w:ascii="Times New Roman" w:hAnsi="Times New Roman" w:cs="Times New Roman"/>
            <w:color w:val="auto"/>
            <w:sz w:val="24"/>
            <w:szCs w:val="24"/>
            <w:u w:val="none"/>
          </w:rPr>
          <w:t>http://erepository.uonbi.ac.ke</w:t>
        </w:r>
      </w:hyperlink>
      <w:r w:rsidRPr="0019462C">
        <w:rPr>
          <w:rFonts w:ascii="Times New Roman" w:hAnsi="Times New Roman" w:cs="Times New Roman"/>
          <w:sz w:val="24"/>
          <w:szCs w:val="24"/>
        </w:rPr>
        <w:t>.</w:t>
      </w:r>
    </w:p>
    <w:p w14:paraId="43708BD1"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r w:rsidRPr="0019462C">
        <w:rPr>
          <w:rFonts w:ascii="Times New Roman" w:hAnsi="Times New Roman" w:cs="Times New Roman"/>
          <w:sz w:val="24"/>
          <w:szCs w:val="24"/>
        </w:rPr>
        <w:t xml:space="preserve">OECD (2014). Risk Management and Corporate Governance, Corporate Governance, </w:t>
      </w:r>
      <w:r w:rsidRPr="0019462C">
        <w:rPr>
          <w:rFonts w:ascii="Times New Roman" w:hAnsi="Times New Roman" w:cs="Times New Roman"/>
          <w:i/>
          <w:sz w:val="24"/>
          <w:szCs w:val="24"/>
        </w:rPr>
        <w:t xml:space="preserve">OECD Publishing. </w:t>
      </w:r>
    </w:p>
    <w:p w14:paraId="4FB0A3F2"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OECD (2013). Responsiveness of public services: “Timeliness in </w:t>
      </w:r>
      <w:r w:rsidRPr="0019462C">
        <w:rPr>
          <w:rFonts w:ascii="Times New Roman" w:hAnsi="Times New Roman" w:cs="Times New Roman"/>
          <w:iCs/>
          <w:sz w:val="24"/>
          <w:szCs w:val="24"/>
        </w:rPr>
        <w:t>Government at a Glance 2013</w:t>
      </w:r>
      <w:r w:rsidRPr="0019462C">
        <w:rPr>
          <w:rFonts w:ascii="Times New Roman" w:hAnsi="Times New Roman" w:cs="Times New Roman"/>
          <w:i/>
          <w:iCs/>
          <w:sz w:val="24"/>
          <w:szCs w:val="24"/>
        </w:rPr>
        <w:t>”</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OECD Publishing</w:t>
      </w:r>
      <w:r w:rsidRPr="0019462C">
        <w:rPr>
          <w:rFonts w:ascii="Times New Roman" w:hAnsi="Times New Roman" w:cs="Times New Roman"/>
          <w:sz w:val="24"/>
          <w:szCs w:val="24"/>
        </w:rPr>
        <w:t xml:space="preserve">, </w:t>
      </w:r>
      <w:r w:rsidRPr="0019462C">
        <w:rPr>
          <w:rFonts w:ascii="Times New Roman" w:hAnsi="Times New Roman" w:cs="Times New Roman"/>
          <w:i/>
          <w:sz w:val="24"/>
          <w:szCs w:val="24"/>
        </w:rPr>
        <w:t>Paris.</w:t>
      </w:r>
    </w:p>
    <w:p w14:paraId="468E5EA5"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i/>
          <w:sz w:val="24"/>
          <w:szCs w:val="24"/>
        </w:rPr>
      </w:pPr>
      <w:proofErr w:type="spellStart"/>
      <w:r w:rsidRPr="0019462C">
        <w:rPr>
          <w:rFonts w:ascii="Times New Roman" w:hAnsi="Times New Roman" w:cs="Times New Roman"/>
          <w:sz w:val="24"/>
          <w:szCs w:val="24"/>
        </w:rPr>
        <w:t>Olweny.O</w:t>
      </w:r>
      <w:proofErr w:type="spellEnd"/>
      <w:r w:rsidRPr="0019462C">
        <w:rPr>
          <w:rFonts w:ascii="Times New Roman" w:hAnsi="Times New Roman" w:cs="Times New Roman"/>
          <w:sz w:val="24"/>
          <w:szCs w:val="24"/>
        </w:rPr>
        <w:t>, Linda .A (2018). The Effects of Risk Management Strategies on Corporate Governance in Insurance Companies in Kenya</w:t>
      </w:r>
      <w:r w:rsidRPr="0019462C">
        <w:rPr>
          <w:rFonts w:ascii="Times New Roman" w:hAnsi="Times New Roman" w:cs="Times New Roman"/>
          <w:i/>
          <w:sz w:val="24"/>
          <w:szCs w:val="24"/>
        </w:rPr>
        <w:t>. Unpublished MBA Research Project, University of Nairobi.</w:t>
      </w:r>
    </w:p>
    <w:p w14:paraId="5ED1B0B6" w14:textId="77777777" w:rsidR="00E4409A" w:rsidRPr="0019462C" w:rsidRDefault="00E4409A" w:rsidP="00E4409A">
      <w:pPr>
        <w:spacing w:before="100" w:beforeAutospacing="1" w:after="100" w:afterAutospacing="1" w:line="360" w:lineRule="auto"/>
        <w:ind w:left="810" w:hanging="810"/>
        <w:jc w:val="both"/>
        <w:rPr>
          <w:rFonts w:ascii="Times New Roman" w:hAnsi="Times New Roman" w:cs="Times New Roman"/>
          <w:sz w:val="24"/>
          <w:szCs w:val="24"/>
        </w:rPr>
      </w:pPr>
      <w:r w:rsidRPr="0019462C">
        <w:rPr>
          <w:rFonts w:ascii="Times New Roman" w:hAnsi="Times New Roman" w:cs="Times New Roman"/>
          <w:sz w:val="24"/>
          <w:szCs w:val="24"/>
        </w:rPr>
        <w:t xml:space="preserve">Odoyo Fredrick, S., </w:t>
      </w:r>
      <w:proofErr w:type="spellStart"/>
      <w:r w:rsidRPr="0019462C">
        <w:rPr>
          <w:rFonts w:ascii="Times New Roman" w:hAnsi="Times New Roman" w:cs="Times New Roman"/>
          <w:sz w:val="24"/>
          <w:szCs w:val="24"/>
        </w:rPr>
        <w:t>Omwono</w:t>
      </w:r>
      <w:proofErr w:type="spellEnd"/>
      <w:r w:rsidRPr="0019462C">
        <w:rPr>
          <w:rFonts w:ascii="Times New Roman" w:hAnsi="Times New Roman" w:cs="Times New Roman"/>
          <w:sz w:val="24"/>
          <w:szCs w:val="24"/>
        </w:rPr>
        <w:t xml:space="preserve"> Gideon, A &amp; </w:t>
      </w:r>
      <w:proofErr w:type="spellStart"/>
      <w:r w:rsidRPr="0019462C">
        <w:rPr>
          <w:rFonts w:ascii="Times New Roman" w:hAnsi="Times New Roman" w:cs="Times New Roman"/>
          <w:sz w:val="24"/>
          <w:szCs w:val="24"/>
        </w:rPr>
        <w:t>Okinyi</w:t>
      </w:r>
      <w:proofErr w:type="spellEnd"/>
      <w:r w:rsidRPr="0019462C">
        <w:rPr>
          <w:rFonts w:ascii="Times New Roman" w:hAnsi="Times New Roman" w:cs="Times New Roman"/>
          <w:sz w:val="24"/>
          <w:szCs w:val="24"/>
        </w:rPr>
        <w:t xml:space="preserve"> </w:t>
      </w:r>
      <w:proofErr w:type="spellStart"/>
      <w:r w:rsidRPr="0019462C">
        <w:rPr>
          <w:rFonts w:ascii="Times New Roman" w:hAnsi="Times New Roman" w:cs="Times New Roman"/>
          <w:sz w:val="24"/>
          <w:szCs w:val="24"/>
        </w:rPr>
        <w:t>Narkiso</w:t>
      </w:r>
      <w:proofErr w:type="spellEnd"/>
      <w:r w:rsidRPr="0019462C">
        <w:rPr>
          <w:rFonts w:ascii="Times New Roman" w:hAnsi="Times New Roman" w:cs="Times New Roman"/>
          <w:sz w:val="24"/>
          <w:szCs w:val="24"/>
        </w:rPr>
        <w:t xml:space="preserve"> O (2014).An Analysis of the Role of Internal Audit in Implementing Risk Management-a Study of State Corporations in Kenya. </w:t>
      </w:r>
      <w:r w:rsidRPr="0019462C">
        <w:rPr>
          <w:rFonts w:ascii="Times New Roman" w:hAnsi="Times New Roman" w:cs="Times New Roman"/>
          <w:i/>
          <w:sz w:val="24"/>
          <w:szCs w:val="24"/>
        </w:rPr>
        <w:t>International journal of business and social science.</w:t>
      </w:r>
    </w:p>
    <w:p w14:paraId="2D752EFA" w14:textId="77777777" w:rsidR="00E4409A" w:rsidRPr="002943FF" w:rsidRDefault="00E4409A" w:rsidP="00E4409A">
      <w:pPr>
        <w:spacing w:before="100" w:beforeAutospacing="1" w:after="100" w:afterAutospacing="1" w:line="360" w:lineRule="auto"/>
        <w:ind w:left="810" w:hanging="810"/>
        <w:jc w:val="both"/>
        <w:rPr>
          <w:rFonts w:ascii="Times New Roman" w:hAnsi="Times New Roman" w:cs="Times New Roman"/>
          <w:iCs/>
          <w:sz w:val="24"/>
          <w:szCs w:val="24"/>
        </w:rPr>
      </w:pPr>
      <w:r w:rsidRPr="0019462C">
        <w:rPr>
          <w:rFonts w:ascii="Times New Roman" w:hAnsi="Times New Roman" w:cs="Times New Roman"/>
          <w:sz w:val="24"/>
          <w:szCs w:val="24"/>
          <w:shd w:val="clear" w:color="auto" w:fill="FFFFFF"/>
        </w:rPr>
        <w:t>Spira, Laura F., and Michael Page (2013) Risk management: The Reinvention of Internal Control and the Changing Role of internal audit. </w:t>
      </w:r>
      <w:r w:rsidRPr="0019462C">
        <w:rPr>
          <w:rFonts w:ascii="Times New Roman" w:hAnsi="Times New Roman" w:cs="Times New Roman"/>
          <w:i/>
          <w:iCs/>
          <w:sz w:val="24"/>
          <w:szCs w:val="24"/>
          <w:shd w:val="clear" w:color="auto" w:fill="FFFFFF"/>
        </w:rPr>
        <w:t>Accounting Journal.</w:t>
      </w:r>
    </w:p>
    <w:p w14:paraId="03980624" w14:textId="77777777" w:rsidR="0019462C" w:rsidRPr="000C5AB4" w:rsidRDefault="0019462C" w:rsidP="0019462C">
      <w:pPr>
        <w:spacing w:after="100" w:afterAutospacing="1" w:line="360" w:lineRule="auto"/>
        <w:jc w:val="both"/>
        <w:rPr>
          <w:rFonts w:ascii="Times New Roman" w:hAnsi="Times New Roman" w:cs="Times New Roman"/>
          <w:b/>
          <w:sz w:val="24"/>
          <w:szCs w:val="24"/>
        </w:rPr>
      </w:pPr>
      <w:r w:rsidRPr="000C5AB4">
        <w:rPr>
          <w:rFonts w:ascii="Times New Roman" w:hAnsi="Times New Roman" w:cs="Times New Roman"/>
          <w:b/>
          <w:sz w:val="24"/>
          <w:szCs w:val="24"/>
        </w:rPr>
        <w:t>APPENDICIES</w:t>
      </w:r>
    </w:p>
    <w:p w14:paraId="7A3033F8"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Appendix I: List of Sub counties with Internal Auditors in the North Rift Region of Kenya (Source IAGD National Treasury 2024).</w:t>
      </w:r>
    </w:p>
    <w:p w14:paraId="2646A75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 xml:space="preserve">Regional Internal Auditor office </w:t>
      </w:r>
    </w:p>
    <w:p w14:paraId="7F8E33A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Chesumei Subcounty</w:t>
      </w:r>
    </w:p>
    <w:p w14:paraId="0D5F99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Central Subcounty</w:t>
      </w:r>
    </w:p>
    <w:p w14:paraId="279D3B0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South Subcounty</w:t>
      </w:r>
    </w:p>
    <w:p w14:paraId="55EF1DD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East Subcounty</w:t>
      </w:r>
    </w:p>
    <w:p w14:paraId="5157A853"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Nandi North Subcounty</w:t>
      </w:r>
    </w:p>
    <w:p w14:paraId="2AE16A58"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East  Subcounty</w:t>
      </w:r>
    </w:p>
    <w:p w14:paraId="24B984E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Eldoret West Subcounty</w:t>
      </w:r>
    </w:p>
    <w:p w14:paraId="7C2CE1C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Kesess</w:t>
      </w:r>
      <w:proofErr w:type="spellEnd"/>
      <w:r w:rsidRPr="000C5AB4">
        <w:rPr>
          <w:rFonts w:ascii="Times New Roman" w:hAnsi="Times New Roman" w:cs="Times New Roman"/>
          <w:sz w:val="24"/>
          <w:szCs w:val="24"/>
          <w:lang w:val="en-GB"/>
        </w:rPr>
        <w:t xml:space="preserve"> </w:t>
      </w:r>
      <w:proofErr w:type="spellStart"/>
      <w:r w:rsidRPr="000C5AB4">
        <w:rPr>
          <w:rFonts w:ascii="Times New Roman" w:hAnsi="Times New Roman" w:cs="Times New Roman"/>
          <w:sz w:val="24"/>
          <w:szCs w:val="24"/>
          <w:lang w:val="en-GB"/>
        </w:rPr>
        <w:t>Subcounty</w:t>
      </w:r>
      <w:proofErr w:type="spellEnd"/>
    </w:p>
    <w:p w14:paraId="60DE177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Ainabkoi</w:t>
      </w:r>
      <w:proofErr w:type="spellEnd"/>
      <w:r w:rsidRPr="000C5AB4">
        <w:rPr>
          <w:rFonts w:ascii="Times New Roman" w:hAnsi="Times New Roman" w:cs="Times New Roman"/>
          <w:sz w:val="24"/>
          <w:szCs w:val="24"/>
          <w:lang w:val="en-GB"/>
        </w:rPr>
        <w:t xml:space="preserve"> </w:t>
      </w:r>
      <w:proofErr w:type="spellStart"/>
      <w:r w:rsidRPr="000C5AB4">
        <w:rPr>
          <w:rFonts w:ascii="Times New Roman" w:hAnsi="Times New Roman" w:cs="Times New Roman"/>
          <w:sz w:val="24"/>
          <w:szCs w:val="24"/>
          <w:lang w:val="en-GB"/>
        </w:rPr>
        <w:t>Subcounty</w:t>
      </w:r>
      <w:proofErr w:type="spellEnd"/>
    </w:p>
    <w:p w14:paraId="4336DC1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Soy Subcounty</w:t>
      </w:r>
    </w:p>
    <w:p w14:paraId="2AA5359E"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lastRenderedPageBreak/>
        <w:t>Keiyo South Subcounty</w:t>
      </w:r>
    </w:p>
    <w:p w14:paraId="1F06C62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Keiyo North Subcounty</w:t>
      </w:r>
    </w:p>
    <w:p w14:paraId="61EC21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East Subcounty</w:t>
      </w:r>
    </w:p>
    <w:p w14:paraId="3ACC38D5"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Marakwet West Subcounty</w:t>
      </w:r>
    </w:p>
    <w:p w14:paraId="47AD071D"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North Subcounty</w:t>
      </w:r>
    </w:p>
    <w:p w14:paraId="53F6C52A"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West Subcounty</w:t>
      </w:r>
    </w:p>
    <w:p w14:paraId="3CF6D019"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Central Subcounty</w:t>
      </w:r>
    </w:p>
    <w:p w14:paraId="639A21E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Baringo South Subcounty</w:t>
      </w:r>
    </w:p>
    <w:p w14:paraId="2B12839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Central Subcounty</w:t>
      </w:r>
    </w:p>
    <w:p w14:paraId="004E0874"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Pokot North Subcounty</w:t>
      </w:r>
    </w:p>
    <w:p w14:paraId="4CA6F526"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Central Subcounty</w:t>
      </w:r>
    </w:p>
    <w:p w14:paraId="3C1796B0"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Turkana West Subcounty</w:t>
      </w:r>
    </w:p>
    <w:p w14:paraId="6FFCA4AB"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Tranzoia</w:t>
      </w:r>
      <w:proofErr w:type="spellEnd"/>
      <w:r w:rsidRPr="000C5AB4">
        <w:rPr>
          <w:rFonts w:ascii="Times New Roman" w:hAnsi="Times New Roman" w:cs="Times New Roman"/>
          <w:sz w:val="24"/>
          <w:szCs w:val="24"/>
          <w:lang w:val="en-GB"/>
        </w:rPr>
        <w:t xml:space="preserve"> central </w:t>
      </w:r>
      <w:proofErr w:type="spellStart"/>
      <w:r w:rsidRPr="000C5AB4">
        <w:rPr>
          <w:rFonts w:ascii="Times New Roman" w:hAnsi="Times New Roman" w:cs="Times New Roman"/>
          <w:sz w:val="24"/>
          <w:szCs w:val="24"/>
          <w:lang w:val="en-GB"/>
        </w:rPr>
        <w:t>subcounty</w:t>
      </w:r>
      <w:proofErr w:type="spellEnd"/>
    </w:p>
    <w:p w14:paraId="4A461FF1" w14:textId="77777777" w:rsidR="0019462C" w:rsidRPr="000C5AB4" w:rsidRDefault="0019462C" w:rsidP="0019462C">
      <w:pPr>
        <w:numPr>
          <w:ilvl w:val="0"/>
          <w:numId w:val="2"/>
        </w:numPr>
        <w:spacing w:after="100" w:afterAutospacing="1" w:line="240" w:lineRule="auto"/>
        <w:jc w:val="both"/>
        <w:rPr>
          <w:rFonts w:ascii="Times New Roman" w:hAnsi="Times New Roman" w:cs="Times New Roman"/>
          <w:sz w:val="24"/>
          <w:szCs w:val="24"/>
          <w:lang w:val="en-GB"/>
        </w:rPr>
      </w:pPr>
      <w:proofErr w:type="spellStart"/>
      <w:r w:rsidRPr="000C5AB4">
        <w:rPr>
          <w:rFonts w:ascii="Times New Roman" w:hAnsi="Times New Roman" w:cs="Times New Roman"/>
          <w:sz w:val="24"/>
          <w:szCs w:val="24"/>
          <w:lang w:val="en-GB"/>
        </w:rPr>
        <w:t>Entebes</w:t>
      </w:r>
      <w:proofErr w:type="spellEnd"/>
      <w:r w:rsidRPr="000C5AB4">
        <w:rPr>
          <w:rFonts w:ascii="Times New Roman" w:hAnsi="Times New Roman" w:cs="Times New Roman"/>
          <w:sz w:val="24"/>
          <w:szCs w:val="24"/>
          <w:lang w:val="en-GB"/>
        </w:rPr>
        <w:t xml:space="preserve"> </w:t>
      </w:r>
      <w:proofErr w:type="spellStart"/>
      <w:r w:rsidRPr="000C5AB4">
        <w:rPr>
          <w:rFonts w:ascii="Times New Roman" w:hAnsi="Times New Roman" w:cs="Times New Roman"/>
          <w:sz w:val="24"/>
          <w:szCs w:val="24"/>
          <w:lang w:val="en-GB"/>
        </w:rPr>
        <w:t>subcounty</w:t>
      </w:r>
      <w:proofErr w:type="spellEnd"/>
      <w:r w:rsidRPr="000C5AB4">
        <w:rPr>
          <w:rFonts w:ascii="Times New Roman" w:eastAsia="Times New Roman" w:hAnsi="Times New Roman" w:cs="Times New Roman"/>
          <w:color w:val="000000"/>
          <w:sz w:val="24"/>
          <w:szCs w:val="24"/>
        </w:rPr>
        <w:tab/>
      </w:r>
    </w:p>
    <w:p w14:paraId="7F444912" w14:textId="77777777" w:rsidR="0019462C" w:rsidRPr="000C5AB4" w:rsidRDefault="0019462C" w:rsidP="0019462C">
      <w:pPr>
        <w:spacing w:after="100" w:afterAutospacing="1"/>
        <w:rPr>
          <w:rFonts w:ascii="Times New Roman" w:hAnsi="Times New Roman" w:cs="Times New Roman"/>
          <w:b/>
          <w:sz w:val="24"/>
          <w:szCs w:val="24"/>
        </w:rPr>
      </w:pPr>
      <w:bookmarkStart w:id="45" w:name="_Toc178857150"/>
      <w:r w:rsidRPr="000C5AB4">
        <w:rPr>
          <w:rFonts w:ascii="Times New Roman" w:hAnsi="Times New Roman" w:cs="Times New Roman"/>
          <w:b/>
          <w:sz w:val="24"/>
          <w:szCs w:val="24"/>
        </w:rPr>
        <w:t>APPENDIX II: QUESTIONNAIRES</w:t>
      </w:r>
      <w:bookmarkEnd w:id="45"/>
    </w:p>
    <w:p w14:paraId="79B446A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Instructions: Please provide accurate answers possible to the following questions. Tick / select the appropriate box next to the questions if needed. The given information will be handled with the highest degree of privacy. </w:t>
      </w:r>
    </w:p>
    <w:p w14:paraId="14074C1D" w14:textId="77777777" w:rsidR="0019462C" w:rsidRPr="000C5AB4" w:rsidRDefault="0019462C" w:rsidP="0019462C">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 xml:space="preserve">Section I: Demographic Features </w:t>
      </w:r>
    </w:p>
    <w:p w14:paraId="76FFA71C"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Please answer all questions by inserting a tick (√) or selecting where appropriate, in the space provided. </w:t>
      </w:r>
    </w:p>
    <w:p w14:paraId="48BACE50"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Position in the organization.</w:t>
      </w:r>
    </w:p>
    <w:p w14:paraId="4189B7B1" w14:textId="77777777" w:rsidR="0019462C" w:rsidRPr="000C5AB4" w:rsidRDefault="0019462C" w:rsidP="0019462C">
      <w:pPr>
        <w:spacing w:after="100" w:afterAutospacing="1" w:line="240" w:lineRule="auto"/>
        <w:ind w:left="720"/>
        <w:jc w:val="both"/>
        <w:rPr>
          <w:rFonts w:ascii="Times New Roman" w:hAnsi="Times New Roman" w:cs="Times New Roman"/>
          <w:sz w:val="24"/>
          <w:szCs w:val="24"/>
        </w:rPr>
      </w:pPr>
      <w:r w:rsidRPr="000C5AB4">
        <w:rPr>
          <w:rFonts w:ascii="Times New Roman" w:hAnsi="Times New Roman" w:cs="Times New Roman"/>
          <w:sz w:val="24"/>
          <w:szCs w:val="24"/>
        </w:rPr>
        <w:t xml:space="preserve">  Principal internal auditor                        (   )</w:t>
      </w:r>
    </w:p>
    <w:p w14:paraId="5B58D8F7"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Senior Internal Auditor                          (   )   </w:t>
      </w:r>
    </w:p>
    <w:p w14:paraId="7A88697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Internal Auditor                                      (   )</w:t>
      </w:r>
    </w:p>
    <w:p w14:paraId="5E44314F"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Others                                                     (  ) specify…………………….</w:t>
      </w:r>
    </w:p>
    <w:p w14:paraId="79248D6B" w14:textId="77777777" w:rsidR="0019462C" w:rsidRPr="000C5AB4" w:rsidRDefault="0019462C" w:rsidP="0019462C">
      <w:pPr>
        <w:numPr>
          <w:ilvl w:val="0"/>
          <w:numId w:val="3"/>
        </w:numPr>
        <w:spacing w:after="100" w:afterAutospacing="1" w:line="240" w:lineRule="auto"/>
        <w:jc w:val="both"/>
        <w:rPr>
          <w:rFonts w:ascii="Times New Roman" w:hAnsi="Times New Roman" w:cs="Times New Roman"/>
          <w:sz w:val="24"/>
          <w:szCs w:val="24"/>
          <w:lang w:val="en-GB"/>
        </w:rPr>
      </w:pPr>
      <w:r w:rsidRPr="000C5AB4">
        <w:rPr>
          <w:rFonts w:ascii="Times New Roman" w:hAnsi="Times New Roman" w:cs="Times New Roman"/>
          <w:sz w:val="24"/>
          <w:szCs w:val="24"/>
          <w:lang w:val="en-GB"/>
        </w:rPr>
        <w:t>Indicate your Years of experience in the position</w:t>
      </w:r>
    </w:p>
    <w:p w14:paraId="0A524D64"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1-6                         (   )</w:t>
      </w:r>
    </w:p>
    <w:p w14:paraId="126FB133"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7-13                       (   )</w:t>
      </w:r>
    </w:p>
    <w:p w14:paraId="61EDAA06"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14-20                      (   )</w:t>
      </w:r>
    </w:p>
    <w:p w14:paraId="75A0805E" w14:textId="77777777" w:rsidR="0019462C" w:rsidRPr="000C5AB4" w:rsidRDefault="0019462C" w:rsidP="0019462C">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 xml:space="preserve">            21 and Above         (   )</w:t>
      </w:r>
    </w:p>
    <w:p w14:paraId="29698E56" w14:textId="77777777" w:rsidR="0019462C" w:rsidRPr="0019462C" w:rsidRDefault="0019462C" w:rsidP="0019462C">
      <w:pPr>
        <w:spacing w:before="100" w:beforeAutospacing="1" w:after="100" w:afterAutospacing="1" w:line="240" w:lineRule="auto"/>
        <w:jc w:val="both"/>
        <w:rPr>
          <w:rFonts w:ascii="Times New Roman" w:hAnsi="Times New Roman" w:cs="Times New Roman"/>
          <w:b/>
          <w:sz w:val="24"/>
          <w:szCs w:val="24"/>
          <w:lang w:val="en-GB"/>
        </w:rPr>
      </w:pPr>
      <w:r w:rsidRPr="000C5AB4">
        <w:rPr>
          <w:rFonts w:ascii="Times New Roman" w:hAnsi="Times New Roman" w:cs="Times New Roman"/>
          <w:b/>
          <w:color w:val="000000"/>
          <w:sz w:val="24"/>
          <w:szCs w:val="24"/>
        </w:rPr>
        <w:lastRenderedPageBreak/>
        <w:t xml:space="preserve">Section II: </w:t>
      </w:r>
      <w:r w:rsidRPr="0003228B">
        <w:rPr>
          <w:rFonts w:ascii="Times New Roman" w:hAnsi="Times New Roman" w:cs="Times New Roman"/>
          <w:b/>
          <w:sz w:val="24"/>
          <w:szCs w:val="24"/>
        </w:rPr>
        <w:t>Risk Management Framework and Governance Processes</w:t>
      </w:r>
    </w:p>
    <w:p w14:paraId="51863A34" w14:textId="77777777" w:rsidR="0019462C" w:rsidRPr="0003228B" w:rsidRDefault="0019462C" w:rsidP="0019462C">
      <w:pPr>
        <w:pStyle w:val="ListParagraph"/>
        <w:numPr>
          <w:ilvl w:val="0"/>
          <w:numId w:val="3"/>
        </w:numPr>
        <w:autoSpaceDE w:val="0"/>
        <w:autoSpaceDN w:val="0"/>
        <w:adjustRightInd w:val="0"/>
        <w:spacing w:before="100" w:beforeAutospacing="1" w:after="100" w:afterAutospacing="1"/>
        <w:ind w:left="0" w:firstLine="0"/>
        <w:jc w:val="both"/>
        <w:rPr>
          <w:rFonts w:ascii="Times New Roman" w:hAnsi="Times New Roman"/>
          <w:color w:val="000000" w:themeColor="text1"/>
          <w:sz w:val="23"/>
          <w:szCs w:val="23"/>
        </w:rPr>
      </w:pPr>
      <w:r w:rsidRPr="0003228B">
        <w:rPr>
          <w:rFonts w:ascii="Times New Roman" w:hAnsi="Times New Roman"/>
          <w:color w:val="000000" w:themeColor="text1"/>
          <w:sz w:val="23"/>
          <w:szCs w:val="23"/>
        </w:rPr>
        <w:t xml:space="preserve">How often do you carry out risk assessments? </w:t>
      </w:r>
    </w:p>
    <w:p w14:paraId="2573C93D"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Daily                                 (  )</w:t>
      </w:r>
    </w:p>
    <w:p w14:paraId="65FBF5A9"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Weekly                             (  )</w:t>
      </w:r>
    </w:p>
    <w:p w14:paraId="0E0C3FB2"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Monthly                            (  )</w:t>
      </w:r>
    </w:p>
    <w:p w14:paraId="06F44757" w14:textId="77777777" w:rsidR="0019462C" w:rsidRPr="0003228B" w:rsidRDefault="0019462C" w:rsidP="0019462C">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Semi-annually                  (  )</w:t>
      </w:r>
    </w:p>
    <w:p w14:paraId="64618681" w14:textId="77777777" w:rsidR="0019462C" w:rsidRPr="0003228B" w:rsidRDefault="0019462C" w:rsidP="00194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3228B">
        <w:rPr>
          <w:rFonts w:ascii="Times New Roman" w:eastAsia="Times New Roman" w:hAnsi="Times New Roman" w:cs="Times New Roman"/>
          <w:color w:val="000000" w:themeColor="text1"/>
          <w:sz w:val="24"/>
          <w:szCs w:val="24"/>
        </w:rPr>
        <w:t>Annually                          (  )</w:t>
      </w:r>
    </w:p>
    <w:p w14:paraId="0C720205" w14:textId="77777777" w:rsidR="0019462C" w:rsidRPr="0003228B" w:rsidRDefault="0019462C" w:rsidP="0019462C">
      <w:pPr>
        <w:pStyle w:val="ListParagraph"/>
        <w:numPr>
          <w:ilvl w:val="0"/>
          <w:numId w:val="3"/>
        </w:numPr>
        <w:tabs>
          <w:tab w:val="left" w:pos="5850"/>
        </w:tabs>
        <w:spacing w:before="100" w:beforeAutospacing="1" w:after="100" w:afterAutospacing="1"/>
        <w:ind w:left="0"/>
        <w:jc w:val="both"/>
        <w:rPr>
          <w:rFonts w:ascii="Times New Roman" w:hAnsi="Times New Roman"/>
          <w:color w:val="000000"/>
          <w:sz w:val="23"/>
          <w:szCs w:val="23"/>
        </w:rPr>
      </w:pPr>
      <w:r w:rsidRPr="0003228B">
        <w:rPr>
          <w:rFonts w:ascii="Times New Roman" w:hAnsi="Times New Roman"/>
        </w:rPr>
        <w:t>To what extent to do you concur with the following statements regarding the influence risk management practices on governance processes? Please tick (√) as appropriate. Where: Strongly Disagree=1 Disagree=2, Neutral=3, Agree=4 and strongly agree=5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gridCol w:w="336"/>
        <w:gridCol w:w="396"/>
        <w:gridCol w:w="396"/>
        <w:gridCol w:w="336"/>
        <w:gridCol w:w="336"/>
      </w:tblGrid>
      <w:tr w:rsidR="0019462C" w:rsidRPr="0003228B" w14:paraId="34E137E1" w14:textId="77777777" w:rsidTr="00286770">
        <w:tc>
          <w:tcPr>
            <w:tcW w:w="0" w:type="auto"/>
          </w:tcPr>
          <w:p w14:paraId="0CC436A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color w:val="000000"/>
                <w:sz w:val="24"/>
                <w:szCs w:val="24"/>
              </w:rPr>
              <w:t>Risk Management Framework</w:t>
            </w:r>
          </w:p>
        </w:tc>
        <w:tc>
          <w:tcPr>
            <w:tcW w:w="0" w:type="auto"/>
          </w:tcPr>
          <w:p w14:paraId="5E71B7C0"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1</w:t>
            </w:r>
          </w:p>
        </w:tc>
        <w:tc>
          <w:tcPr>
            <w:tcW w:w="0" w:type="auto"/>
          </w:tcPr>
          <w:p w14:paraId="4BA33018"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2,</w:t>
            </w:r>
          </w:p>
        </w:tc>
        <w:tc>
          <w:tcPr>
            <w:tcW w:w="0" w:type="auto"/>
          </w:tcPr>
          <w:p w14:paraId="4E78DF69"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3,</w:t>
            </w:r>
          </w:p>
        </w:tc>
        <w:tc>
          <w:tcPr>
            <w:tcW w:w="0" w:type="auto"/>
          </w:tcPr>
          <w:p w14:paraId="0E1F9F0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4</w:t>
            </w:r>
          </w:p>
        </w:tc>
        <w:tc>
          <w:tcPr>
            <w:tcW w:w="0" w:type="auto"/>
          </w:tcPr>
          <w:p w14:paraId="6E25A2BE" w14:textId="77777777" w:rsidR="0019462C" w:rsidRPr="0003228B" w:rsidRDefault="0019462C" w:rsidP="00286770">
            <w:pPr>
              <w:spacing w:before="100" w:beforeAutospacing="1" w:after="100" w:afterAutospacing="1"/>
              <w:jc w:val="both"/>
              <w:rPr>
                <w:rFonts w:ascii="Times New Roman" w:hAnsi="Times New Roman" w:cs="Times New Roman"/>
                <w:b/>
                <w:sz w:val="24"/>
                <w:szCs w:val="24"/>
              </w:rPr>
            </w:pPr>
            <w:r w:rsidRPr="0003228B">
              <w:rPr>
                <w:rFonts w:ascii="Times New Roman" w:hAnsi="Times New Roman" w:cs="Times New Roman"/>
                <w:b/>
                <w:sz w:val="24"/>
                <w:szCs w:val="24"/>
              </w:rPr>
              <w:t>5</w:t>
            </w:r>
          </w:p>
        </w:tc>
      </w:tr>
      <w:tr w:rsidR="0019462C" w:rsidRPr="0003228B" w14:paraId="10EDBA6A" w14:textId="77777777" w:rsidTr="00286770">
        <w:tc>
          <w:tcPr>
            <w:tcW w:w="0" w:type="auto"/>
          </w:tcPr>
          <w:p w14:paraId="3F297919"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defines the risks that are acceptable as a form of accountability by all departments.</w:t>
            </w:r>
          </w:p>
        </w:tc>
        <w:tc>
          <w:tcPr>
            <w:tcW w:w="0" w:type="auto"/>
          </w:tcPr>
          <w:p w14:paraId="35177D1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125A58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4B25C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9F4E39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CBD66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B339724" w14:textId="77777777" w:rsidTr="00286770">
        <w:tc>
          <w:tcPr>
            <w:tcW w:w="0" w:type="auto"/>
          </w:tcPr>
          <w:p w14:paraId="0B152B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Our risk management guideline ensures that all risks are understood by all departments.</w:t>
            </w:r>
            <w:r w:rsidRPr="0003228B">
              <w:rPr>
                <w:rFonts w:ascii="Times New Roman" w:hAnsi="Times New Roman" w:cs="Times New Roman"/>
                <w:color w:val="000000"/>
                <w:sz w:val="24"/>
                <w:szCs w:val="24"/>
              </w:rPr>
              <w:t xml:space="preserve"> </w:t>
            </w:r>
          </w:p>
        </w:tc>
        <w:tc>
          <w:tcPr>
            <w:tcW w:w="0" w:type="auto"/>
          </w:tcPr>
          <w:p w14:paraId="4635BA0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62DD87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7D6ED4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B58B926"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5C394E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7922F5CC" w14:textId="77777777" w:rsidTr="00286770">
        <w:tc>
          <w:tcPr>
            <w:tcW w:w="0" w:type="auto"/>
          </w:tcPr>
          <w:p w14:paraId="253A0F47"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color w:val="000000"/>
                <w:sz w:val="24"/>
                <w:szCs w:val="24"/>
                <w:shd w:val="clear" w:color="auto" w:fill="FFFFFF"/>
              </w:rPr>
              <w:t>There’s a rigorous risk assessment guide which involves risk identification, risk evaluation, risk treatment and risk monitoring in all departments.</w:t>
            </w:r>
          </w:p>
        </w:tc>
        <w:tc>
          <w:tcPr>
            <w:tcW w:w="0" w:type="auto"/>
          </w:tcPr>
          <w:p w14:paraId="3F68F06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7DBA8E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0EBD86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D98E2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F2F6AD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E662BD5" w14:textId="77777777" w:rsidTr="00286770">
        <w:tc>
          <w:tcPr>
            <w:tcW w:w="0" w:type="auto"/>
          </w:tcPr>
          <w:p w14:paraId="4D3C93B0"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w:t>
            </w:r>
            <w:r w:rsidRPr="0003228B">
              <w:rPr>
                <w:rFonts w:ascii="Times New Roman" w:hAnsi="Times New Roman" w:cs="Times New Roman"/>
                <w:color w:val="000000"/>
                <w:sz w:val="24"/>
                <w:szCs w:val="24"/>
              </w:rPr>
              <w:t>suggest risk mitigation measures on every risk identified.</w:t>
            </w:r>
          </w:p>
        </w:tc>
        <w:tc>
          <w:tcPr>
            <w:tcW w:w="0" w:type="auto"/>
          </w:tcPr>
          <w:p w14:paraId="27FA951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3365824"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66E02D2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4131F7DB"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34FE649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1681BF72" w14:textId="77777777" w:rsidTr="00286770">
        <w:tc>
          <w:tcPr>
            <w:tcW w:w="0" w:type="auto"/>
          </w:tcPr>
          <w:p w14:paraId="50AC5395"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guideline </w:t>
            </w:r>
            <w:r w:rsidRPr="0003228B">
              <w:rPr>
                <w:rFonts w:ascii="Times New Roman" w:hAnsi="Times New Roman" w:cs="Times New Roman"/>
                <w:color w:val="000000"/>
                <w:sz w:val="24"/>
                <w:szCs w:val="24"/>
              </w:rPr>
              <w:t xml:space="preserve">suggests risk management strategies. </w:t>
            </w:r>
          </w:p>
        </w:tc>
        <w:tc>
          <w:tcPr>
            <w:tcW w:w="0" w:type="auto"/>
          </w:tcPr>
          <w:p w14:paraId="7E0F66B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FE4C11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5D163C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CECC45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23641A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12D037A" w14:textId="77777777" w:rsidTr="00286770">
        <w:tc>
          <w:tcPr>
            <w:tcW w:w="0" w:type="auto"/>
          </w:tcPr>
          <w:p w14:paraId="0A9A4418" w14:textId="77777777" w:rsidR="0019462C" w:rsidRPr="0003228B" w:rsidRDefault="0019462C" w:rsidP="00286770">
            <w:pPr>
              <w:spacing w:before="100" w:beforeAutospacing="1" w:after="100" w:afterAutospacing="1"/>
              <w:jc w:val="both"/>
              <w:rPr>
                <w:rFonts w:ascii="Times New Roman" w:hAnsi="Times New Roman" w:cs="Times New Roman"/>
                <w:color w:val="000000"/>
                <w:sz w:val="24"/>
                <w:szCs w:val="24"/>
              </w:rPr>
            </w:pPr>
            <w:r w:rsidRPr="0003228B">
              <w:rPr>
                <w:rFonts w:ascii="Times New Roman" w:hAnsi="Times New Roman" w:cs="Times New Roman"/>
                <w:sz w:val="24"/>
                <w:szCs w:val="24"/>
              </w:rPr>
              <w:t xml:space="preserve">Our risk management framework provides for </w:t>
            </w:r>
            <w:r w:rsidRPr="0003228B">
              <w:rPr>
                <w:rFonts w:ascii="Times New Roman" w:hAnsi="Times New Roman" w:cs="Times New Roman"/>
                <w:color w:val="000000"/>
                <w:sz w:val="24"/>
                <w:szCs w:val="24"/>
              </w:rPr>
              <w:t>unplanned and informal reviews of other areas of concern, including unacceptable levels of risk.</w:t>
            </w:r>
          </w:p>
        </w:tc>
        <w:tc>
          <w:tcPr>
            <w:tcW w:w="0" w:type="auto"/>
          </w:tcPr>
          <w:p w14:paraId="5B3311BA"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513BF193"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03AF688D"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4A9C05"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5071DC"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4EF25CE0" w14:textId="77777777" w:rsidTr="00286770">
        <w:tc>
          <w:tcPr>
            <w:tcW w:w="0" w:type="auto"/>
          </w:tcPr>
          <w:p w14:paraId="76EB313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 xml:space="preserve">Auditors collect data in the field on different risks facing the organization and analyses and reports them. </w:t>
            </w:r>
          </w:p>
        </w:tc>
        <w:tc>
          <w:tcPr>
            <w:tcW w:w="0" w:type="auto"/>
          </w:tcPr>
          <w:p w14:paraId="37CBF9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726DAA8"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9F2BE9"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2D644B0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BA047E0"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r w:rsidR="0019462C" w:rsidRPr="0003228B" w14:paraId="354C7F5C" w14:textId="77777777" w:rsidTr="00286770">
        <w:tc>
          <w:tcPr>
            <w:tcW w:w="0" w:type="auto"/>
          </w:tcPr>
          <w:p w14:paraId="42E1EAFF"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r w:rsidRPr="0003228B">
              <w:rPr>
                <w:rFonts w:ascii="Times New Roman" w:hAnsi="Times New Roman" w:cs="Times New Roman"/>
                <w:sz w:val="24"/>
                <w:szCs w:val="24"/>
              </w:rPr>
              <w:t>Auditors take part in random checks of organizational systems and documents them.</w:t>
            </w:r>
          </w:p>
        </w:tc>
        <w:tc>
          <w:tcPr>
            <w:tcW w:w="0" w:type="auto"/>
          </w:tcPr>
          <w:p w14:paraId="70010882"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2B05531"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1C11D4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188D1CF7"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c>
          <w:tcPr>
            <w:tcW w:w="0" w:type="auto"/>
          </w:tcPr>
          <w:p w14:paraId="789CE00E" w14:textId="77777777" w:rsidR="0019462C" w:rsidRPr="0003228B" w:rsidRDefault="0019462C" w:rsidP="00286770">
            <w:pPr>
              <w:spacing w:before="100" w:beforeAutospacing="1" w:after="100" w:afterAutospacing="1"/>
              <w:jc w:val="both"/>
              <w:rPr>
                <w:rFonts w:ascii="Times New Roman" w:hAnsi="Times New Roman" w:cs="Times New Roman"/>
                <w:sz w:val="24"/>
                <w:szCs w:val="24"/>
              </w:rPr>
            </w:pPr>
          </w:p>
        </w:tc>
      </w:tr>
    </w:tbl>
    <w:p w14:paraId="52BEB314" w14:textId="77777777" w:rsidR="0019462C" w:rsidRPr="000C5AB4" w:rsidRDefault="0019462C" w:rsidP="0019462C">
      <w:pPr>
        <w:spacing w:after="100" w:afterAutospacing="1"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336"/>
        <w:gridCol w:w="336"/>
        <w:gridCol w:w="336"/>
        <w:gridCol w:w="336"/>
        <w:gridCol w:w="336"/>
      </w:tblGrid>
      <w:tr w:rsidR="0019462C" w:rsidRPr="000C5AB4" w14:paraId="5639146B" w14:textId="77777777" w:rsidTr="00286770">
        <w:tc>
          <w:tcPr>
            <w:tcW w:w="0" w:type="auto"/>
          </w:tcPr>
          <w:p w14:paraId="78E8E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Governance Processes Outcomes</w:t>
            </w:r>
          </w:p>
        </w:tc>
        <w:tc>
          <w:tcPr>
            <w:tcW w:w="0" w:type="auto"/>
          </w:tcPr>
          <w:p w14:paraId="1A90CA79"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1</w:t>
            </w:r>
          </w:p>
        </w:tc>
        <w:tc>
          <w:tcPr>
            <w:tcW w:w="0" w:type="auto"/>
          </w:tcPr>
          <w:p w14:paraId="3FB43F13"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2</w:t>
            </w:r>
          </w:p>
        </w:tc>
        <w:tc>
          <w:tcPr>
            <w:tcW w:w="0" w:type="auto"/>
          </w:tcPr>
          <w:p w14:paraId="00E4A1C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3</w:t>
            </w:r>
          </w:p>
        </w:tc>
        <w:tc>
          <w:tcPr>
            <w:tcW w:w="0" w:type="auto"/>
          </w:tcPr>
          <w:p w14:paraId="5E2036DF"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4</w:t>
            </w:r>
          </w:p>
        </w:tc>
        <w:tc>
          <w:tcPr>
            <w:tcW w:w="0" w:type="auto"/>
          </w:tcPr>
          <w:p w14:paraId="14E5FD74"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r w:rsidRPr="000C5AB4">
              <w:rPr>
                <w:rFonts w:ascii="Times New Roman" w:hAnsi="Times New Roman" w:cs="Times New Roman"/>
                <w:b/>
                <w:sz w:val="24"/>
                <w:szCs w:val="24"/>
              </w:rPr>
              <w:t>5</w:t>
            </w:r>
          </w:p>
        </w:tc>
      </w:tr>
      <w:tr w:rsidR="0019462C" w:rsidRPr="000C5AB4" w14:paraId="730442DC" w14:textId="77777777" w:rsidTr="00286770">
        <w:tc>
          <w:tcPr>
            <w:tcW w:w="0" w:type="auto"/>
          </w:tcPr>
          <w:p w14:paraId="66D13F6F"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Procurement and treasury processes are better managed by departments</w:t>
            </w:r>
          </w:p>
        </w:tc>
        <w:tc>
          <w:tcPr>
            <w:tcW w:w="0" w:type="auto"/>
          </w:tcPr>
          <w:p w14:paraId="047B7B1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102ECF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6EE29011"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04BDC30E"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c>
          <w:tcPr>
            <w:tcW w:w="0" w:type="auto"/>
          </w:tcPr>
          <w:p w14:paraId="7EF0B2B2" w14:textId="77777777" w:rsidR="0019462C" w:rsidRPr="000C5AB4" w:rsidRDefault="0019462C" w:rsidP="00286770">
            <w:pPr>
              <w:spacing w:after="100" w:afterAutospacing="1" w:line="240" w:lineRule="auto"/>
              <w:jc w:val="both"/>
              <w:rPr>
                <w:rFonts w:ascii="Times New Roman" w:hAnsi="Times New Roman" w:cs="Times New Roman"/>
                <w:b/>
                <w:sz w:val="24"/>
                <w:szCs w:val="24"/>
              </w:rPr>
            </w:pPr>
          </w:p>
        </w:tc>
      </w:tr>
      <w:tr w:rsidR="0019462C" w:rsidRPr="000C5AB4" w14:paraId="22BF588A" w14:textId="77777777" w:rsidTr="00286770">
        <w:tc>
          <w:tcPr>
            <w:tcW w:w="0" w:type="auto"/>
          </w:tcPr>
          <w:p w14:paraId="0585D6DB"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improved service delivery in  various departments</w:t>
            </w:r>
          </w:p>
        </w:tc>
        <w:tc>
          <w:tcPr>
            <w:tcW w:w="0" w:type="auto"/>
          </w:tcPr>
          <w:p w14:paraId="7A90367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98597A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51856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1B9B07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BB325D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E7DE6CF" w14:textId="77777777" w:rsidTr="00286770">
        <w:tc>
          <w:tcPr>
            <w:tcW w:w="0" w:type="auto"/>
          </w:tcPr>
          <w:p w14:paraId="21B458DD"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has enhanced compliance levels on various laws and regulations in departments.</w:t>
            </w:r>
          </w:p>
        </w:tc>
        <w:tc>
          <w:tcPr>
            <w:tcW w:w="0" w:type="auto"/>
          </w:tcPr>
          <w:p w14:paraId="1EC1C8A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B3AF17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F4DB99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3D6D15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32ADD7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F979A53" w14:textId="77777777" w:rsidTr="00286770">
        <w:tc>
          <w:tcPr>
            <w:tcW w:w="0" w:type="auto"/>
          </w:tcPr>
          <w:p w14:paraId="0F0C53DE"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Financial discipline has improved as a result of intern audit reports and recommendations</w:t>
            </w:r>
          </w:p>
        </w:tc>
        <w:tc>
          <w:tcPr>
            <w:tcW w:w="0" w:type="auto"/>
          </w:tcPr>
          <w:p w14:paraId="66FA15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219077"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9AFE8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C7DAD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C846EB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3CA80A62" w14:textId="77777777" w:rsidTr="00286770">
        <w:tc>
          <w:tcPr>
            <w:tcW w:w="0" w:type="auto"/>
          </w:tcPr>
          <w:p w14:paraId="06083F11" w14:textId="77777777" w:rsidR="0019462C" w:rsidRPr="000C5AB4" w:rsidRDefault="0019462C" w:rsidP="00286770">
            <w:pPr>
              <w:spacing w:after="100" w:afterAutospacing="1" w:line="240" w:lineRule="auto"/>
              <w:jc w:val="both"/>
              <w:rPr>
                <w:rFonts w:ascii="Times New Roman" w:hAnsi="Times New Roman" w:cs="Times New Roman"/>
                <w:sz w:val="24"/>
                <w:szCs w:val="24"/>
              </w:rPr>
            </w:pPr>
            <w:r w:rsidRPr="000C5AB4">
              <w:rPr>
                <w:rFonts w:ascii="Times New Roman" w:hAnsi="Times New Roman" w:cs="Times New Roman"/>
                <w:sz w:val="24"/>
                <w:szCs w:val="24"/>
              </w:rPr>
              <w:t>Internal audit operational Independence has been enhanced</w:t>
            </w:r>
          </w:p>
        </w:tc>
        <w:tc>
          <w:tcPr>
            <w:tcW w:w="0" w:type="auto"/>
          </w:tcPr>
          <w:p w14:paraId="05682BA6"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85F22D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4C7AFE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BB2F93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C0EBE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8B99AF" w14:textId="77777777" w:rsidTr="00286770">
        <w:tc>
          <w:tcPr>
            <w:tcW w:w="0" w:type="auto"/>
          </w:tcPr>
          <w:p w14:paraId="15A32D18"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Internal audit has ensured that there’s accountability of public resources.</w:t>
            </w:r>
          </w:p>
        </w:tc>
        <w:tc>
          <w:tcPr>
            <w:tcW w:w="0" w:type="auto"/>
          </w:tcPr>
          <w:p w14:paraId="30059CE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2602F3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EFF4145"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177BF1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9E9E89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7AD778D3" w14:textId="77777777" w:rsidTr="00286770">
        <w:tc>
          <w:tcPr>
            <w:tcW w:w="0" w:type="auto"/>
          </w:tcPr>
          <w:p w14:paraId="3F9378FC"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lastRenderedPageBreak/>
              <w:t>Decision in departments are more transparent and within the law.</w:t>
            </w:r>
          </w:p>
        </w:tc>
        <w:tc>
          <w:tcPr>
            <w:tcW w:w="0" w:type="auto"/>
          </w:tcPr>
          <w:p w14:paraId="17952E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114354F"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F4E05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F2EEAA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5ED47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652B66F7" w14:textId="77777777" w:rsidTr="00286770">
        <w:tc>
          <w:tcPr>
            <w:tcW w:w="0" w:type="auto"/>
          </w:tcPr>
          <w:p w14:paraId="37431FC7"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There’s improved reliability of financial reports by various departments.</w:t>
            </w:r>
          </w:p>
        </w:tc>
        <w:tc>
          <w:tcPr>
            <w:tcW w:w="0" w:type="auto"/>
          </w:tcPr>
          <w:p w14:paraId="2526E924"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0CAC75E"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5E4F51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23EF670C"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3250E9F0"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46704F61" w14:textId="77777777" w:rsidTr="00286770">
        <w:tc>
          <w:tcPr>
            <w:tcW w:w="0" w:type="auto"/>
          </w:tcPr>
          <w:p w14:paraId="4D19F635"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 xml:space="preserve">There’s improved utility of Public resources in an economic, transparent and efficient manner thus value for money. </w:t>
            </w:r>
          </w:p>
        </w:tc>
        <w:tc>
          <w:tcPr>
            <w:tcW w:w="0" w:type="auto"/>
          </w:tcPr>
          <w:p w14:paraId="78073F58"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491608FB"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63625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18BFB52A"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D95C9E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r w:rsidR="0019462C" w:rsidRPr="000C5AB4" w14:paraId="0D44C1E5" w14:textId="77777777" w:rsidTr="00286770">
        <w:tc>
          <w:tcPr>
            <w:tcW w:w="0" w:type="auto"/>
          </w:tcPr>
          <w:p w14:paraId="5DA2249D" w14:textId="77777777" w:rsidR="0019462C" w:rsidRPr="000C5AB4" w:rsidRDefault="0019462C" w:rsidP="00286770">
            <w:pPr>
              <w:spacing w:after="100" w:afterAutospacing="1" w:line="240" w:lineRule="auto"/>
              <w:jc w:val="both"/>
              <w:rPr>
                <w:rFonts w:ascii="Times New Roman" w:hAnsi="Times New Roman" w:cs="Times New Roman"/>
                <w:color w:val="000000"/>
                <w:sz w:val="24"/>
                <w:szCs w:val="24"/>
              </w:rPr>
            </w:pPr>
            <w:r w:rsidRPr="000C5AB4">
              <w:rPr>
                <w:rFonts w:ascii="Times New Roman" w:hAnsi="Times New Roman" w:cs="Times New Roman"/>
                <w:color w:val="000000"/>
                <w:sz w:val="24"/>
                <w:szCs w:val="24"/>
              </w:rPr>
              <w:t>Frauds and errors are detected early enough in all department</w:t>
            </w:r>
          </w:p>
        </w:tc>
        <w:tc>
          <w:tcPr>
            <w:tcW w:w="0" w:type="auto"/>
          </w:tcPr>
          <w:p w14:paraId="306375D9"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2ACE55D"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6DE81153"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7AED96C2"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c>
          <w:tcPr>
            <w:tcW w:w="0" w:type="auto"/>
          </w:tcPr>
          <w:p w14:paraId="07BD8931" w14:textId="77777777" w:rsidR="0019462C" w:rsidRPr="000C5AB4" w:rsidRDefault="0019462C" w:rsidP="00286770">
            <w:pPr>
              <w:spacing w:after="100" w:afterAutospacing="1" w:line="240" w:lineRule="auto"/>
              <w:jc w:val="both"/>
              <w:rPr>
                <w:rFonts w:ascii="Times New Roman" w:hAnsi="Times New Roman" w:cs="Times New Roman"/>
                <w:sz w:val="24"/>
                <w:szCs w:val="24"/>
              </w:rPr>
            </w:pPr>
          </w:p>
        </w:tc>
      </w:tr>
    </w:tbl>
    <w:p w14:paraId="21CA149D" w14:textId="77777777" w:rsidR="00F27097" w:rsidRPr="003A0EF1" w:rsidRDefault="00F27097" w:rsidP="007B4CF8">
      <w:pPr>
        <w:spacing w:before="120" w:after="100" w:afterAutospacing="1" w:line="360" w:lineRule="auto"/>
        <w:jc w:val="both"/>
        <w:rPr>
          <w:rFonts w:ascii="Times New Roman" w:hAnsi="Times New Roman" w:cs="Times New Roman"/>
          <w:b/>
          <w:sz w:val="24"/>
          <w:szCs w:val="24"/>
        </w:rPr>
      </w:pPr>
    </w:p>
    <w:sectPr w:rsidR="00F27097" w:rsidRPr="003A0E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114B3" w14:textId="77777777" w:rsidR="0050101E" w:rsidRDefault="0050101E" w:rsidP="00304685">
      <w:pPr>
        <w:spacing w:after="0" w:line="240" w:lineRule="auto"/>
      </w:pPr>
      <w:r>
        <w:separator/>
      </w:r>
    </w:p>
  </w:endnote>
  <w:endnote w:type="continuationSeparator" w:id="0">
    <w:p w14:paraId="342132AA" w14:textId="77777777" w:rsidR="0050101E" w:rsidRDefault="0050101E" w:rsidP="0030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79B3" w14:textId="77777777" w:rsidR="00304685" w:rsidRDefault="00304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AD2F" w14:textId="77777777" w:rsidR="00304685" w:rsidRDefault="00304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7C68" w14:textId="77777777" w:rsidR="00304685" w:rsidRDefault="0030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077B" w14:textId="77777777" w:rsidR="0050101E" w:rsidRDefault="0050101E" w:rsidP="00304685">
      <w:pPr>
        <w:spacing w:after="0" w:line="240" w:lineRule="auto"/>
      </w:pPr>
      <w:r>
        <w:separator/>
      </w:r>
    </w:p>
  </w:footnote>
  <w:footnote w:type="continuationSeparator" w:id="0">
    <w:p w14:paraId="6AC35B85" w14:textId="77777777" w:rsidR="0050101E" w:rsidRDefault="0050101E" w:rsidP="0030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A21F" w14:textId="0B44E0E6" w:rsidR="00304685" w:rsidRDefault="0050101E">
    <w:pPr>
      <w:pStyle w:val="Header"/>
    </w:pPr>
    <w:r>
      <w:rPr>
        <w:noProof/>
      </w:rPr>
      <w:pict w14:anchorId="522FB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95F3" w14:textId="66BBE5C1" w:rsidR="00304685" w:rsidRDefault="0050101E">
    <w:pPr>
      <w:pStyle w:val="Header"/>
    </w:pPr>
    <w:r>
      <w:rPr>
        <w:noProof/>
      </w:rPr>
      <w:pict w14:anchorId="0C3B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EC33" w14:textId="6A864CDD" w:rsidR="00304685" w:rsidRDefault="0050101E">
    <w:pPr>
      <w:pStyle w:val="Header"/>
    </w:pPr>
    <w:r>
      <w:rPr>
        <w:noProof/>
      </w:rPr>
      <w:pict w14:anchorId="03E10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3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2D7"/>
    <w:multiLevelType w:val="hybridMultilevel"/>
    <w:tmpl w:val="517E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523EC"/>
    <w:multiLevelType w:val="hybridMultilevel"/>
    <w:tmpl w:val="73F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377A5"/>
    <w:multiLevelType w:val="hybridMultilevel"/>
    <w:tmpl w:val="248EA05A"/>
    <w:lvl w:ilvl="0" w:tplc="21426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QwMDC0NLMwNjKwNDNX0lEKTi0uzszPAykwrAUAgQdkFCwAAAA="/>
  </w:docVars>
  <w:rsids>
    <w:rsidRoot w:val="0021766B"/>
    <w:rsid w:val="00083C3E"/>
    <w:rsid w:val="0012260D"/>
    <w:rsid w:val="001433EA"/>
    <w:rsid w:val="00151574"/>
    <w:rsid w:val="0016140E"/>
    <w:rsid w:val="001924C4"/>
    <w:rsid w:val="0019462C"/>
    <w:rsid w:val="001B6C25"/>
    <w:rsid w:val="0021766B"/>
    <w:rsid w:val="0027316F"/>
    <w:rsid w:val="002943FF"/>
    <w:rsid w:val="002B5DFD"/>
    <w:rsid w:val="00304685"/>
    <w:rsid w:val="00327417"/>
    <w:rsid w:val="003A0EF1"/>
    <w:rsid w:val="003A635F"/>
    <w:rsid w:val="004311D7"/>
    <w:rsid w:val="00455EE7"/>
    <w:rsid w:val="0045674B"/>
    <w:rsid w:val="004B3A86"/>
    <w:rsid w:val="004C3133"/>
    <w:rsid w:val="0050101E"/>
    <w:rsid w:val="00517C16"/>
    <w:rsid w:val="00623D53"/>
    <w:rsid w:val="00702CF7"/>
    <w:rsid w:val="00735013"/>
    <w:rsid w:val="00757B0A"/>
    <w:rsid w:val="007A6112"/>
    <w:rsid w:val="007B4CF8"/>
    <w:rsid w:val="007B6C15"/>
    <w:rsid w:val="007E359D"/>
    <w:rsid w:val="007E6035"/>
    <w:rsid w:val="008455F5"/>
    <w:rsid w:val="00847A8F"/>
    <w:rsid w:val="0085792E"/>
    <w:rsid w:val="008868A8"/>
    <w:rsid w:val="0094621D"/>
    <w:rsid w:val="009B7632"/>
    <w:rsid w:val="009E62FE"/>
    <w:rsid w:val="00A13DAB"/>
    <w:rsid w:val="00A16A6F"/>
    <w:rsid w:val="00A82ECF"/>
    <w:rsid w:val="00AE4DDE"/>
    <w:rsid w:val="00B1012A"/>
    <w:rsid w:val="00B367D3"/>
    <w:rsid w:val="00B420B7"/>
    <w:rsid w:val="00B76270"/>
    <w:rsid w:val="00B81C07"/>
    <w:rsid w:val="00BA0D2C"/>
    <w:rsid w:val="00BF562F"/>
    <w:rsid w:val="00C10F84"/>
    <w:rsid w:val="00C76CBC"/>
    <w:rsid w:val="00CB06AC"/>
    <w:rsid w:val="00CB3ECB"/>
    <w:rsid w:val="00CC3AF6"/>
    <w:rsid w:val="00CD6F3C"/>
    <w:rsid w:val="00D51F49"/>
    <w:rsid w:val="00D60C22"/>
    <w:rsid w:val="00E4409A"/>
    <w:rsid w:val="00F0524A"/>
    <w:rsid w:val="00F27097"/>
    <w:rsid w:val="00F353D9"/>
    <w:rsid w:val="00F93B52"/>
    <w:rsid w:val="00FD2E1E"/>
    <w:rsid w:val="00FD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4BCB2"/>
  <w15:chartTrackingRefBased/>
  <w15:docId w15:val="{BD3F9EC6-07C5-4932-9EEB-FB9C184B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66B"/>
  </w:style>
  <w:style w:type="paragraph" w:styleId="Heading1">
    <w:name w:val="heading 1"/>
    <w:basedOn w:val="Normal"/>
    <w:next w:val="Normal"/>
    <w:link w:val="Heading1Char"/>
    <w:autoRedefine/>
    <w:uiPriority w:val="9"/>
    <w:qFormat/>
    <w:rsid w:val="0021766B"/>
    <w:pPr>
      <w:keepNext/>
      <w:keepLines/>
      <w:spacing w:before="240" w:after="0"/>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CD6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66B"/>
    <w:rPr>
      <w:rFonts w:ascii="Times New Roman" w:eastAsia="Times New Roman" w:hAnsi="Times New Roman" w:cs="Times New Roman"/>
      <w:b/>
      <w:sz w:val="28"/>
      <w:szCs w:val="28"/>
    </w:rPr>
  </w:style>
  <w:style w:type="paragraph" w:styleId="ListParagraph">
    <w:name w:val="List Paragraph"/>
    <w:basedOn w:val="Normal"/>
    <w:link w:val="ListParagraphChar"/>
    <w:uiPriority w:val="34"/>
    <w:qFormat/>
    <w:rsid w:val="0021766B"/>
    <w:pPr>
      <w:spacing w:after="0" w:line="240" w:lineRule="auto"/>
      <w:ind w:left="720"/>
      <w:contextualSpacing/>
    </w:pPr>
    <w:rPr>
      <w:rFonts w:ascii="Century Gothic" w:eastAsia="Times New Roman" w:hAnsi="Century Gothic" w:cs="Times New Roman"/>
      <w:sz w:val="24"/>
      <w:szCs w:val="24"/>
      <w:lang w:val="en-GB" w:eastAsia="en-GB"/>
    </w:rPr>
  </w:style>
  <w:style w:type="character" w:customStyle="1" w:styleId="ListParagraphChar">
    <w:name w:val="List Paragraph Char"/>
    <w:link w:val="ListParagraph"/>
    <w:uiPriority w:val="34"/>
    <w:rsid w:val="0021766B"/>
    <w:rPr>
      <w:rFonts w:ascii="Century Gothic" w:eastAsia="Times New Roman" w:hAnsi="Century Gothic" w:cs="Times New Roman"/>
      <w:sz w:val="24"/>
      <w:szCs w:val="24"/>
      <w:lang w:val="en-GB" w:eastAsia="en-GB"/>
    </w:rPr>
  </w:style>
  <w:style w:type="paragraph" w:styleId="NormalWeb">
    <w:name w:val="Normal (Web)"/>
    <w:basedOn w:val="Normal"/>
    <w:uiPriority w:val="99"/>
    <w:unhideWhenUsed/>
    <w:rsid w:val="002176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66B"/>
    <w:rPr>
      <w:color w:val="0563C1" w:themeColor="hyperlink"/>
      <w:u w:val="single"/>
    </w:rPr>
  </w:style>
  <w:style w:type="character" w:customStyle="1" w:styleId="Heading3Char">
    <w:name w:val="Heading 3 Char"/>
    <w:basedOn w:val="DefaultParagraphFont"/>
    <w:link w:val="Heading3"/>
    <w:uiPriority w:val="9"/>
    <w:rsid w:val="00C10F8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D6F3C"/>
    <w:rPr>
      <w:rFonts w:asciiTheme="majorHAnsi" w:eastAsiaTheme="majorEastAsia" w:hAnsiTheme="majorHAnsi" w:cstheme="majorBidi"/>
      <w:color w:val="2E74B5" w:themeColor="accent1" w:themeShade="BF"/>
      <w:sz w:val="26"/>
      <w:szCs w:val="26"/>
    </w:rPr>
  </w:style>
  <w:style w:type="paragraph" w:customStyle="1" w:styleId="Default">
    <w:name w:val="Default"/>
    <w:rsid w:val="00CD6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CD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6F3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6F3C"/>
    <w:rPr>
      <w:b/>
      <w:bCs/>
    </w:rPr>
  </w:style>
  <w:style w:type="character" w:styleId="Emphasis">
    <w:name w:val="Emphasis"/>
    <w:basedOn w:val="DefaultParagraphFont"/>
    <w:uiPriority w:val="20"/>
    <w:qFormat/>
    <w:rsid w:val="00E4409A"/>
    <w:rPr>
      <w:i/>
      <w:iCs/>
    </w:rPr>
  </w:style>
  <w:style w:type="character" w:styleId="FollowedHyperlink">
    <w:name w:val="FollowedHyperlink"/>
    <w:basedOn w:val="DefaultParagraphFont"/>
    <w:uiPriority w:val="99"/>
    <w:semiHidden/>
    <w:unhideWhenUsed/>
    <w:rsid w:val="00E4409A"/>
    <w:rPr>
      <w:color w:val="954F72" w:themeColor="followedHyperlink"/>
      <w:u w:val="single"/>
    </w:rPr>
  </w:style>
  <w:style w:type="paragraph" w:styleId="Header">
    <w:name w:val="header"/>
    <w:basedOn w:val="Normal"/>
    <w:link w:val="HeaderChar"/>
    <w:uiPriority w:val="99"/>
    <w:unhideWhenUsed/>
    <w:rsid w:val="00304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85"/>
  </w:style>
  <w:style w:type="paragraph" w:styleId="Footer">
    <w:name w:val="footer"/>
    <w:basedOn w:val="Normal"/>
    <w:link w:val="FooterChar"/>
    <w:uiPriority w:val="99"/>
    <w:unhideWhenUsed/>
    <w:rsid w:val="00304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73068">
      <w:bodyDiv w:val="1"/>
      <w:marLeft w:val="0"/>
      <w:marRight w:val="0"/>
      <w:marTop w:val="0"/>
      <w:marBottom w:val="0"/>
      <w:divBdr>
        <w:top w:val="none" w:sz="0" w:space="0" w:color="auto"/>
        <w:left w:val="none" w:sz="0" w:space="0" w:color="auto"/>
        <w:bottom w:val="none" w:sz="0" w:space="0" w:color="auto"/>
        <w:right w:val="none" w:sz="0" w:space="0" w:color="auto"/>
      </w:divBdr>
      <w:divsChild>
        <w:div w:id="1342273766">
          <w:marLeft w:val="0"/>
          <w:marRight w:val="0"/>
          <w:marTop w:val="15"/>
          <w:marBottom w:val="0"/>
          <w:divBdr>
            <w:top w:val="single" w:sz="48" w:space="0" w:color="auto"/>
            <w:left w:val="single" w:sz="48" w:space="0" w:color="auto"/>
            <w:bottom w:val="single" w:sz="48" w:space="0" w:color="auto"/>
            <w:right w:val="single" w:sz="48" w:space="0" w:color="auto"/>
          </w:divBdr>
          <w:divsChild>
            <w:div w:id="18375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pository.uonbi.ac.k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ribd.com/doc/21946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6352</Words>
  <Characters>36208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1127</cp:lastModifiedBy>
  <cp:revision>5</cp:revision>
  <dcterms:created xsi:type="dcterms:W3CDTF">2025-04-26T09:03:00Z</dcterms:created>
  <dcterms:modified xsi:type="dcterms:W3CDTF">2025-04-28T08:50:00Z</dcterms:modified>
</cp:coreProperties>
</file>