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3601" w:rsidRDefault="00413601" w:rsidP="001442F9">
      <w:pPr>
        <w:pStyle w:val="Default"/>
        <w:spacing w:before="100" w:beforeAutospacing="1" w:after="100" w:afterAutospacing="1" w:line="360" w:lineRule="auto"/>
        <w:jc w:val="center"/>
        <w:rPr>
          <w:b/>
        </w:rPr>
      </w:pPr>
      <w:r w:rsidRPr="00413601">
        <w:rPr>
          <w:b/>
          <w:highlight w:val="yellow"/>
        </w:rPr>
        <w:t xml:space="preserve">Analyzing Financial Risk and Financial Performance of Six Insurance Companies in Kenya: </w:t>
      </w:r>
      <w:r w:rsidR="00634EE4">
        <w:rPr>
          <w:b/>
          <w:highlight w:val="yellow"/>
        </w:rPr>
        <w:t xml:space="preserve">An </w:t>
      </w:r>
      <w:r w:rsidRPr="00413601">
        <w:rPr>
          <w:b/>
          <w:highlight w:val="yellow"/>
        </w:rPr>
        <w:t>Econometric Case Study</w:t>
      </w:r>
    </w:p>
    <w:p w:rsidR="00DB49FC" w:rsidRDefault="00DB49FC" w:rsidP="00735534">
      <w:pPr>
        <w:pStyle w:val="Heading1"/>
        <w:rPr>
          <w:rFonts w:ascii="Times New Roman" w:hAnsi="Times New Roman"/>
          <w:sz w:val="24"/>
          <w:szCs w:val="24"/>
        </w:rPr>
      </w:pPr>
      <w:bookmarkStart w:id="0" w:name="_Toc24582"/>
      <w:r>
        <w:rPr>
          <w:rFonts w:ascii="Times New Roman" w:hAnsi="Times New Roman"/>
          <w:sz w:val="24"/>
          <w:szCs w:val="24"/>
        </w:rPr>
        <w:t>ABSTRACT</w:t>
      </w:r>
      <w:bookmarkEnd w:id="0"/>
    </w:p>
    <w:p w:rsidR="00DB49FC" w:rsidRDefault="00DB49FC" w:rsidP="00E509D4">
      <w:pPr>
        <w:ind w:left="40" w:right="40"/>
        <w:rPr>
          <w:rFonts w:cs="Times New Roman"/>
          <w:i/>
          <w:iCs/>
          <w:szCs w:val="24"/>
        </w:rPr>
      </w:pPr>
      <w:r>
        <w:rPr>
          <w:rFonts w:cs="Times New Roman"/>
          <w:i/>
          <w:iCs/>
          <w:szCs w:val="24"/>
        </w:rPr>
        <w:t xml:space="preserve">The scientific knowledge of the determinants of insurers’ distress has further been reinvigorated by the 2017/2019 global economic and financial crises. </w:t>
      </w:r>
      <w:r>
        <w:rPr>
          <w:i/>
          <w:iCs/>
        </w:rPr>
        <w:t xml:space="preserve">However, there are also a number of market risks facing the industry resulting into </w:t>
      </w:r>
      <w:r w:rsidR="009E5F16">
        <w:rPr>
          <w:i/>
          <w:iCs/>
        </w:rPr>
        <w:t>financial</w:t>
      </w:r>
      <w:r w:rsidR="004B7A1C">
        <w:rPr>
          <w:i/>
          <w:iCs/>
        </w:rPr>
        <w:t xml:space="preserve"> performance</w:t>
      </w:r>
      <w:r>
        <w:rPr>
          <w:i/>
          <w:iCs/>
        </w:rPr>
        <w:t>, if left unchecked can lead to insurance failure. Thus to enhance industry stability, it is important for firms to take mitigation. The purpose of this research</w:t>
      </w:r>
      <w:r w:rsidR="00385A0A">
        <w:rPr>
          <w:i/>
          <w:iCs/>
        </w:rPr>
        <w:t xml:space="preserve"> was</w:t>
      </w:r>
      <w:r w:rsidR="004B7A1C">
        <w:rPr>
          <w:i/>
          <w:iCs/>
        </w:rPr>
        <w:t xml:space="preserve"> to examine the financial risks </w:t>
      </w:r>
      <w:r>
        <w:rPr>
          <w:i/>
          <w:iCs/>
        </w:rPr>
        <w:t>on financial performance of the insurance compan</w:t>
      </w:r>
      <w:r w:rsidR="004B7A1C">
        <w:rPr>
          <w:i/>
          <w:iCs/>
        </w:rPr>
        <w:t xml:space="preserve">ies in Kenya. </w:t>
      </w:r>
      <w:r>
        <w:rPr>
          <w:i/>
          <w:iCs/>
        </w:rPr>
        <w:t>Th</w:t>
      </w:r>
      <w:r w:rsidR="004B7A1C">
        <w:rPr>
          <w:i/>
          <w:iCs/>
        </w:rPr>
        <w:t>e overall financial</w:t>
      </w:r>
      <w:r>
        <w:rPr>
          <w:i/>
          <w:iCs/>
        </w:rPr>
        <w:t xml:space="preserve"> risk of the insurance companies is the </w:t>
      </w:r>
      <w:r w:rsidR="00307C18">
        <w:rPr>
          <w:i/>
          <w:iCs/>
        </w:rPr>
        <w:t>independent variable and was</w:t>
      </w:r>
      <w:r>
        <w:rPr>
          <w:i/>
          <w:iCs/>
        </w:rPr>
        <w:t xml:space="preserve">  determined using the Consumer price Index, Standard deviation on foreign exchange on USD and </w:t>
      </w:r>
      <w:r>
        <w:rPr>
          <w:rFonts w:cs="Times New Roman"/>
          <w:i/>
          <w:iCs/>
          <w:szCs w:val="24"/>
        </w:rPr>
        <w:t>Interest Coverage Ratio</w:t>
      </w:r>
      <w:r>
        <w:rPr>
          <w:i/>
          <w:iCs/>
        </w:rPr>
        <w:t xml:space="preserve">. </w:t>
      </w:r>
      <w:r w:rsidR="00F02FA8">
        <w:rPr>
          <w:i/>
          <w:iCs/>
        </w:rPr>
        <w:t>Quantitative models were</w:t>
      </w:r>
      <w:r w:rsidR="00307C18">
        <w:rPr>
          <w:i/>
          <w:iCs/>
        </w:rPr>
        <w:t xml:space="preserve"> adopted because the study</w:t>
      </w:r>
      <w:r>
        <w:rPr>
          <w:i/>
          <w:iCs/>
        </w:rPr>
        <w:t xml:space="preserve"> use</w:t>
      </w:r>
      <w:r w:rsidR="00307C18">
        <w:rPr>
          <w:i/>
          <w:iCs/>
        </w:rPr>
        <w:t>d secondary data which was</w:t>
      </w:r>
      <w:r>
        <w:rPr>
          <w:i/>
          <w:iCs/>
        </w:rPr>
        <w:t xml:space="preserve"> collected from financial statements as per the audits from the selected institution. The study </w:t>
      </w:r>
      <w:r w:rsidR="009E5F16">
        <w:rPr>
          <w:i/>
          <w:iCs/>
        </w:rPr>
        <w:t>targeted</w:t>
      </w:r>
      <w:r>
        <w:rPr>
          <w:i/>
          <w:iCs/>
        </w:rPr>
        <w:t xml:space="preserve"> six listed insurance in Kenya which is sufficient for gene</w:t>
      </w:r>
      <w:r w:rsidR="009E5F16">
        <w:rPr>
          <w:i/>
          <w:iCs/>
        </w:rPr>
        <w:t>ralizing. The recorded data was then</w:t>
      </w:r>
      <w:r>
        <w:rPr>
          <w:i/>
          <w:iCs/>
        </w:rPr>
        <w:t xml:space="preserve"> analyzed using SPSS version 20.0. Regression analysis </w:t>
      </w:r>
      <w:r w:rsidR="009E5F16">
        <w:rPr>
          <w:i/>
          <w:iCs/>
        </w:rPr>
        <w:t>was</w:t>
      </w:r>
      <w:r>
        <w:rPr>
          <w:i/>
          <w:iCs/>
        </w:rPr>
        <w:t xml:space="preserve"> used to find </w:t>
      </w:r>
      <w:r w:rsidR="00641CB1">
        <w:rPr>
          <w:i/>
          <w:iCs/>
        </w:rPr>
        <w:t>the effect of financial risk</w:t>
      </w:r>
      <w:r>
        <w:rPr>
          <w:i/>
          <w:iCs/>
        </w:rPr>
        <w:t xml:space="preserve"> on financial performance. The period under study </w:t>
      </w:r>
      <w:r w:rsidR="009E5F16">
        <w:rPr>
          <w:i/>
          <w:iCs/>
        </w:rPr>
        <w:t>was</w:t>
      </w:r>
      <w:r>
        <w:rPr>
          <w:i/>
          <w:iCs/>
        </w:rPr>
        <w:t xml:space="preserve"> fro</w:t>
      </w:r>
      <w:r w:rsidR="00641CB1">
        <w:rPr>
          <w:i/>
          <w:iCs/>
        </w:rPr>
        <w:t>m 2014 to 2024</w:t>
      </w:r>
      <w:r>
        <w:rPr>
          <w:i/>
          <w:iCs/>
        </w:rPr>
        <w:t>.</w:t>
      </w:r>
      <w:r w:rsidR="00455A86">
        <w:rPr>
          <w:i/>
          <w:iCs/>
        </w:rPr>
        <w:t xml:space="preserve"> The study found out that all the independent variables operation risk, credit risk, market risk and legal risk are positively related to financial performance of insurance companies in </w:t>
      </w:r>
      <w:r w:rsidR="007C5A7B">
        <w:rPr>
          <w:i/>
          <w:iCs/>
        </w:rPr>
        <w:t>listed in Nairobi security exchange</w:t>
      </w:r>
      <w:r w:rsidR="00F450A9">
        <w:rPr>
          <w:i/>
          <w:iCs/>
        </w:rPr>
        <w:t xml:space="preserve"> meaning high risks contribute to low performance of most insurance companies in </w:t>
      </w:r>
      <w:r w:rsidR="007C5A7B">
        <w:rPr>
          <w:i/>
          <w:iCs/>
        </w:rPr>
        <w:t>Nairobi security exchange</w:t>
      </w:r>
      <w:r w:rsidR="00F450A9">
        <w:rPr>
          <w:i/>
          <w:iCs/>
        </w:rPr>
        <w:t>.</w:t>
      </w:r>
      <w:r w:rsidR="00E509D4">
        <w:rPr>
          <w:i/>
          <w:iCs/>
        </w:rPr>
        <w:t xml:space="preserve"> The study recommended appropriate mitigation of risks for the betterment of insurance of companies in Kenya.</w:t>
      </w:r>
    </w:p>
    <w:p w:rsidR="00735534" w:rsidRDefault="00735534" w:rsidP="00735534">
      <w:pPr>
        <w:spacing w:after="0"/>
        <w:rPr>
          <w:rStyle w:val="Strong"/>
          <w:b w:val="0"/>
          <w:i/>
          <w:szCs w:val="24"/>
        </w:rPr>
      </w:pPr>
      <w:r w:rsidRPr="00B14A67">
        <w:rPr>
          <w:rFonts w:cs="Times New Roman"/>
          <w:b/>
          <w:bCs/>
          <w:i/>
          <w:iCs/>
          <w:szCs w:val="24"/>
        </w:rPr>
        <w:t>Key terms:</w:t>
      </w:r>
      <w:r>
        <w:rPr>
          <w:rFonts w:cs="Times New Roman"/>
          <w:b/>
          <w:bCs/>
          <w:i/>
          <w:iCs/>
          <w:szCs w:val="24"/>
        </w:rPr>
        <w:t xml:space="preserve"> </w:t>
      </w:r>
      <w:r>
        <w:rPr>
          <w:rStyle w:val="Strong"/>
          <w:b w:val="0"/>
          <w:i/>
          <w:szCs w:val="24"/>
        </w:rPr>
        <w:t xml:space="preserve">Financial </w:t>
      </w:r>
      <w:r w:rsidR="00455A86">
        <w:rPr>
          <w:rStyle w:val="Strong"/>
          <w:b w:val="0"/>
          <w:i/>
          <w:szCs w:val="24"/>
        </w:rPr>
        <w:t>Performance</w:t>
      </w:r>
      <w:r w:rsidRPr="001D24F4">
        <w:rPr>
          <w:rFonts w:cs="Times New Roman"/>
          <w:b/>
          <w:i/>
          <w:szCs w:val="24"/>
        </w:rPr>
        <w:t xml:space="preserve">, </w:t>
      </w:r>
      <w:r w:rsidR="00455A86">
        <w:rPr>
          <w:rStyle w:val="Strong"/>
          <w:b w:val="0"/>
          <w:i/>
          <w:szCs w:val="24"/>
        </w:rPr>
        <w:t>operation risk</w:t>
      </w:r>
      <w:r w:rsidRPr="001D24F4">
        <w:rPr>
          <w:rFonts w:cs="Times New Roman"/>
          <w:b/>
          <w:i/>
          <w:szCs w:val="24"/>
        </w:rPr>
        <w:t xml:space="preserve">, </w:t>
      </w:r>
      <w:r w:rsidR="00455A86">
        <w:rPr>
          <w:rStyle w:val="Strong"/>
          <w:b w:val="0"/>
          <w:i/>
          <w:szCs w:val="24"/>
        </w:rPr>
        <w:t>credit risk, market risk, legal risk</w:t>
      </w:r>
    </w:p>
    <w:p w:rsidR="00110286" w:rsidRDefault="00110286" w:rsidP="00735534">
      <w:pPr>
        <w:spacing w:after="0"/>
        <w:rPr>
          <w:rFonts w:cs="Times New Roman"/>
          <w:b/>
        </w:rPr>
      </w:pPr>
      <w:r>
        <w:rPr>
          <w:rFonts w:cs="Times New Roman"/>
          <w:b/>
        </w:rPr>
        <w:lastRenderedPageBreak/>
        <w:t>Introduction</w:t>
      </w:r>
    </w:p>
    <w:p w:rsidR="00735534" w:rsidRDefault="00735534" w:rsidP="00735534">
      <w:pPr>
        <w:spacing w:after="0"/>
        <w:rPr>
          <w:rFonts w:cs="Times New Roman"/>
          <w:b/>
        </w:rPr>
      </w:pPr>
      <w:r w:rsidRPr="00735534">
        <w:rPr>
          <w:rFonts w:cs="Times New Roman"/>
          <w:b/>
        </w:rPr>
        <w:t>Background of Study</w:t>
      </w:r>
    </w:p>
    <w:p w:rsidR="00E906D9" w:rsidRDefault="00C9290E" w:rsidP="00E906D9">
      <w:pPr>
        <w:rPr>
          <w:rFonts w:cs="Times New Roman"/>
          <w:szCs w:val="24"/>
        </w:rPr>
      </w:pPr>
      <w:r>
        <w:rPr>
          <w:rFonts w:cs="Times New Roman"/>
          <w:szCs w:val="24"/>
        </w:rPr>
        <w:t>“</w:t>
      </w:r>
      <w:r w:rsidR="00E906D9">
        <w:rPr>
          <w:rFonts w:cs="Times New Roman"/>
          <w:szCs w:val="24"/>
        </w:rPr>
        <w:t>Market risk encompasses various dimensions influenced by economic indicators, geopolitical events, and investor behavior. It can be categorized into several types, including equity risk, inflation risk, and interest rate. Common risk contains possible losses due to deteriorations in the. Interest rate risk ascends from deviations in interest rates that can unpleasantly affect the value of constant securities; rising interest rates often lead to declining bond prices, impacting portfolios heavily weighted in bonds</w:t>
      </w:r>
      <w:r>
        <w:rPr>
          <w:rFonts w:cs="Times New Roman"/>
          <w:szCs w:val="24"/>
        </w:rPr>
        <w:t>”</w:t>
      </w:r>
      <w:r w:rsidR="00E906D9">
        <w:rPr>
          <w:rFonts w:cs="Times New Roman"/>
          <w:szCs w:val="24"/>
        </w:rPr>
        <w:t xml:space="preserve"> (Paul &amp; Zhu, 2020). </w:t>
      </w:r>
      <w:r>
        <w:rPr>
          <w:rFonts w:cs="Times New Roman"/>
          <w:szCs w:val="24"/>
        </w:rPr>
        <w:t>“</w:t>
      </w:r>
      <w:r w:rsidR="00E906D9">
        <w:rPr>
          <w:rFonts w:cs="Times New Roman"/>
          <w:szCs w:val="24"/>
        </w:rPr>
        <w:t>Currency risk is particularly relevant for investors in international markets, as fluctuations in exchange rates can impact the value of investments and returns when converted to the investor's home currency</w:t>
      </w:r>
      <w:r>
        <w:rPr>
          <w:rFonts w:cs="Times New Roman"/>
          <w:szCs w:val="24"/>
        </w:rPr>
        <w:t>”</w:t>
      </w:r>
      <w:r w:rsidR="00E906D9">
        <w:rPr>
          <w:rFonts w:cs="Times New Roman"/>
          <w:szCs w:val="24"/>
        </w:rPr>
        <w:t xml:space="preserve"> (Nobanee, Dilshad &amp; Alnaqbi, 2022).</w:t>
      </w:r>
    </w:p>
    <w:p w:rsidR="00E906D9" w:rsidRDefault="00E906D9" w:rsidP="00E906D9">
      <w:pPr>
        <w:rPr>
          <w:rFonts w:cs="Times New Roman"/>
          <w:szCs w:val="24"/>
        </w:rPr>
      </w:pPr>
      <w:r>
        <w:rPr>
          <w:rFonts w:cs="Times New Roman"/>
          <w:szCs w:val="24"/>
        </w:rPr>
        <w:t>Financial distress can arise from various sources, including exposure to market risk, poor investment performance, and mismanagement. The implications of financial distress for insurers are significant. For one, it can lead to insolvency risks. When an insurance company faces financial distress, it may become insolvent if liabilities exceed assets, resulting in policyholder losses and a decline in confidence in the insurance sector. Dai, Han and Barrenechea (2024) examine the correlation between financial distress and insolvency in insurance firms. Moreover, financial distress can attract regulatory scrutiny, leading to increased oversight and potential intervention by regulators. Insurers facing financial difficulties may be required to enhance their capital reserves or adjust their business practices</w:t>
      </w:r>
      <w:r w:rsidR="00A549EC">
        <w:rPr>
          <w:rFonts w:cs="Times New Roman"/>
          <w:szCs w:val="24"/>
        </w:rPr>
        <w:t xml:space="preserve">, as outlined by EIOPA (2020). </w:t>
      </w:r>
    </w:p>
    <w:p w:rsidR="00E906D9" w:rsidRDefault="00E906D9" w:rsidP="00E906D9">
      <w:pPr>
        <w:ind w:left="40" w:right="40"/>
        <w:rPr>
          <w:rFonts w:cs="Times New Roman"/>
          <w:szCs w:val="24"/>
        </w:rPr>
      </w:pPr>
      <w:r>
        <w:rPr>
          <w:rFonts w:cs="Times New Roman"/>
          <w:szCs w:val="24"/>
        </w:rPr>
        <w:lastRenderedPageBreak/>
        <w:t>Globally, Insurance corporations are vital in an economy. Insurance enterprises in Indonesia and Malaysia are influential in nurturing reserves in the states nevertheless have problems in aligning themselves within their instantaneous environment in such a way that high financial distress discouraged their development (</w:t>
      </w:r>
      <w:r w:rsidR="004F39DE">
        <w:t xml:space="preserve">Akonga, C., J. </w:t>
      </w:r>
      <w:r w:rsidR="00A549EC">
        <w:t>2014)</w:t>
      </w:r>
      <w:r>
        <w:rPr>
          <w:rFonts w:cs="Times New Roman"/>
          <w:szCs w:val="24"/>
        </w:rPr>
        <w:t xml:space="preserve">. </w:t>
      </w:r>
      <w:r w:rsidR="00C9290E">
        <w:rPr>
          <w:rFonts w:cs="Times New Roman"/>
          <w:szCs w:val="24"/>
        </w:rPr>
        <w:t>“</w:t>
      </w:r>
      <w:r>
        <w:rPr>
          <w:rFonts w:cs="Times New Roman"/>
          <w:szCs w:val="24"/>
        </w:rPr>
        <w:t>That is an indication that performance of insurers is prospective to be affected by internal factors such as principal and savings. Insurance firms in Turkey gain attractiveness by directing on internal setups</w:t>
      </w:r>
      <w:r w:rsidR="00C9290E">
        <w:rPr>
          <w:rFonts w:cs="Times New Roman"/>
          <w:szCs w:val="24"/>
        </w:rPr>
        <w:t>”</w:t>
      </w:r>
      <w:r>
        <w:rPr>
          <w:rFonts w:cs="Times New Roman"/>
          <w:szCs w:val="24"/>
        </w:rPr>
        <w:t xml:space="preserve"> </w:t>
      </w:r>
      <w:r w:rsidR="004F39DE">
        <w:rPr>
          <w:rFonts w:cs="Times New Roman"/>
          <w:szCs w:val="24"/>
        </w:rPr>
        <w:t>(</w:t>
      </w:r>
      <w:r w:rsidR="004F39DE">
        <w:t>Apanga, M, A., Appiah, K, O. &amp; Arthur, J. 2016)</w:t>
      </w:r>
      <w:r>
        <w:rPr>
          <w:rFonts w:cs="Times New Roman"/>
          <w:szCs w:val="24"/>
        </w:rPr>
        <w:t xml:space="preserve">. </w:t>
      </w:r>
    </w:p>
    <w:p w:rsidR="00E906D9" w:rsidRDefault="00C9290E" w:rsidP="00E906D9">
      <w:pPr>
        <w:ind w:left="40" w:right="40"/>
        <w:rPr>
          <w:rFonts w:cs="Times New Roman"/>
          <w:szCs w:val="24"/>
        </w:rPr>
      </w:pPr>
      <w:r>
        <w:rPr>
          <w:rFonts w:cs="Times New Roman"/>
          <w:szCs w:val="24"/>
        </w:rPr>
        <w:t>“</w:t>
      </w:r>
      <w:r w:rsidR="00E906D9">
        <w:rPr>
          <w:rFonts w:cs="Times New Roman"/>
          <w:szCs w:val="24"/>
        </w:rPr>
        <w:t>Regionally, in Africa, insurance firms’ persistence is affected by a varied collection of dynamic. For illustration, insurers’ misery in Ghana are affected by numerous issues among them premium development, capability to captivate risks, progress in premiums, claims and underwriting risks</w:t>
      </w:r>
      <w:r>
        <w:rPr>
          <w:rFonts w:cs="Times New Roman"/>
          <w:szCs w:val="24"/>
        </w:rPr>
        <w:t>”</w:t>
      </w:r>
      <w:r w:rsidR="00E906D9">
        <w:rPr>
          <w:rFonts w:cs="Times New Roman"/>
          <w:szCs w:val="24"/>
        </w:rPr>
        <w:t xml:space="preserve"> (</w:t>
      </w:r>
      <w:r w:rsidR="00D96668">
        <w:t>Agarwal, R, 2018)</w:t>
      </w:r>
      <w:r w:rsidR="00E906D9">
        <w:rPr>
          <w:rFonts w:cs="Times New Roman"/>
          <w:szCs w:val="24"/>
        </w:rPr>
        <w:t xml:space="preserve">). </w:t>
      </w:r>
    </w:p>
    <w:p w:rsidR="00E906D9" w:rsidRDefault="00E906D9" w:rsidP="00E906D9">
      <w:pPr>
        <w:ind w:left="40" w:right="40"/>
        <w:rPr>
          <w:rFonts w:cs="Times New Roman"/>
          <w:szCs w:val="24"/>
        </w:rPr>
      </w:pPr>
      <w:r>
        <w:rPr>
          <w:rFonts w:cs="Times New Roman"/>
          <w:szCs w:val="24"/>
        </w:rPr>
        <w:t>Furthermore, insurance infiltration in Africa is low-slung in comparison to the global directories (</w:t>
      </w:r>
      <w:r w:rsidR="00533AE9">
        <w:t>Bogodistov, Y., &amp; Wohlgemuth, V. 2017)</w:t>
      </w:r>
      <w:r>
        <w:rPr>
          <w:rFonts w:cs="Times New Roman"/>
          <w:szCs w:val="24"/>
        </w:rPr>
        <w:t>. In turn, financial distress of Tunisian insurance enterprises is affect risk administration, period, dimension, premium, cost of capital and soundness (</w:t>
      </w:r>
      <w:r w:rsidR="00C8331A">
        <w:t>Burca, M. &amp; Batrinca, G, 2014)</w:t>
      </w:r>
      <w:r>
        <w:rPr>
          <w:rFonts w:cs="Times New Roman"/>
          <w:szCs w:val="24"/>
        </w:rPr>
        <w:t>.</w:t>
      </w:r>
    </w:p>
    <w:p w:rsidR="00E906D9" w:rsidRDefault="00E906D9" w:rsidP="00E906D9">
      <w:pPr>
        <w:ind w:left="40" w:right="40"/>
        <w:rPr>
          <w:rFonts w:cs="Times New Roman"/>
          <w:szCs w:val="24"/>
        </w:rPr>
      </w:pPr>
      <w:r>
        <w:rPr>
          <w:rFonts w:cs="Times New Roman"/>
          <w:szCs w:val="24"/>
        </w:rPr>
        <w:t>Locally, in Kenya insurance companies is supreme to economic development. (</w:t>
      </w:r>
      <w:r w:rsidR="008F3632">
        <w:t>Çekrezi, A 2015)</w:t>
      </w:r>
      <w:r>
        <w:rPr>
          <w:rFonts w:cs="Times New Roman"/>
          <w:szCs w:val="24"/>
        </w:rPr>
        <w:t xml:space="preserve">. Routine of insurers in Kenya is also claimed to be a function of numerous issues. The financial distress for general insurance companies is high due to a variety of reasons. According to </w:t>
      </w:r>
      <w:r w:rsidR="00C801BB">
        <w:t>Mishra, B. K., Rolland, E., Satpathy, A., &amp; Moore, M. (2019)</w:t>
      </w:r>
      <w:r>
        <w:rPr>
          <w:rFonts w:cs="Times New Roman"/>
          <w:szCs w:val="24"/>
        </w:rPr>
        <w:t xml:space="preserve"> </w:t>
      </w:r>
      <w:r w:rsidR="00C9290E">
        <w:rPr>
          <w:rFonts w:cs="Times New Roman"/>
          <w:szCs w:val="24"/>
        </w:rPr>
        <w:t>“</w:t>
      </w:r>
      <w:r>
        <w:rPr>
          <w:rFonts w:cs="Times New Roman"/>
          <w:szCs w:val="24"/>
        </w:rPr>
        <w:t>there are several drivers of distress of insurers in Kenya which include size of the firm and savings</w:t>
      </w:r>
      <w:r w:rsidR="00C9290E">
        <w:rPr>
          <w:rFonts w:cs="Times New Roman"/>
          <w:szCs w:val="24"/>
        </w:rPr>
        <w:t>”</w:t>
      </w:r>
      <w:r>
        <w:rPr>
          <w:rFonts w:cs="Times New Roman"/>
          <w:szCs w:val="24"/>
        </w:rPr>
        <w:t xml:space="preserve">. </w:t>
      </w:r>
      <w:r w:rsidR="00C801BB">
        <w:t xml:space="preserve">Muriithi, J, G. &amp; </w:t>
      </w:r>
      <w:r w:rsidR="00C801BB">
        <w:lastRenderedPageBreak/>
        <w:t>Waweru, K, M (2017)</w:t>
      </w:r>
      <w:r>
        <w:rPr>
          <w:rFonts w:cs="Times New Roman"/>
          <w:szCs w:val="24"/>
        </w:rPr>
        <w:t xml:space="preserve"> illustrated that </w:t>
      </w:r>
      <w:r w:rsidR="00C9290E">
        <w:rPr>
          <w:rFonts w:cs="Times New Roman"/>
          <w:szCs w:val="24"/>
        </w:rPr>
        <w:t>“</w:t>
      </w:r>
      <w:r>
        <w:rPr>
          <w:rFonts w:cs="Times New Roman"/>
          <w:szCs w:val="24"/>
        </w:rPr>
        <w:t>insurer’s distress in Kenya is affected by factors such as growth of premiums, investments returns, expense ratio and loss ratio</w:t>
      </w:r>
      <w:r w:rsidR="00C9290E">
        <w:rPr>
          <w:rFonts w:cs="Times New Roman"/>
          <w:szCs w:val="24"/>
        </w:rPr>
        <w:t>”</w:t>
      </w:r>
      <w:r>
        <w:rPr>
          <w:rFonts w:cs="Times New Roman"/>
          <w:szCs w:val="24"/>
        </w:rPr>
        <w:t>.</w:t>
      </w:r>
    </w:p>
    <w:p w:rsidR="00735534" w:rsidRDefault="00735534" w:rsidP="00735534">
      <w:pPr>
        <w:spacing w:after="0"/>
        <w:rPr>
          <w:b/>
          <w:szCs w:val="24"/>
        </w:rPr>
      </w:pPr>
      <w:r w:rsidRPr="00735534">
        <w:rPr>
          <w:b/>
          <w:szCs w:val="24"/>
        </w:rPr>
        <w:t>Statement of the Problem</w:t>
      </w:r>
    </w:p>
    <w:p w:rsidR="00E906D9" w:rsidRDefault="00C9290E" w:rsidP="00E906D9">
      <w:pPr>
        <w:ind w:left="40" w:right="40"/>
        <w:rPr>
          <w:rFonts w:cs="Times New Roman"/>
          <w:szCs w:val="24"/>
        </w:rPr>
      </w:pPr>
      <w:r>
        <w:rPr>
          <w:rFonts w:cs="Times New Roman"/>
          <w:szCs w:val="24"/>
        </w:rPr>
        <w:t>“</w:t>
      </w:r>
      <w:r w:rsidR="00E906D9">
        <w:rPr>
          <w:rFonts w:cs="Times New Roman"/>
          <w:szCs w:val="24"/>
        </w:rPr>
        <w:t>Worldwide insurance companies have central importance since they cover risks for persons and companies. Kenya Insurance companies are anticipated to display respectable financial performance since they are few portions a population. Insurance dispersion in Kenya has persistent to increase. Nevertheless, insurance companies, by feature of their setups are predisposed to major risks that unless their management structures internal operations optimally, chances of business failure are high. In Kenya, for example, in spite of insurance infiltration growing in the last decade, performance of insurance companies has been gloomy. In the year 2021 underwriting outcomes fell by 2.441 percent, retention ratio was -0.7 percent, shareholders’ funds to total assets dropped by 1.9 percent</w:t>
      </w:r>
      <w:r>
        <w:rPr>
          <w:rFonts w:cs="Times New Roman"/>
          <w:szCs w:val="24"/>
        </w:rPr>
        <w:t>”</w:t>
      </w:r>
      <w:r w:rsidR="00E906D9">
        <w:rPr>
          <w:rFonts w:cs="Times New Roman"/>
          <w:szCs w:val="24"/>
        </w:rPr>
        <w:t xml:space="preserve"> (IRA, 2021).</w:t>
      </w:r>
    </w:p>
    <w:p w:rsidR="00E906D9" w:rsidRDefault="00C9290E" w:rsidP="00E906D9">
      <w:pPr>
        <w:ind w:left="40" w:right="40"/>
        <w:rPr>
          <w:rFonts w:cs="Times New Roman"/>
          <w:szCs w:val="24"/>
        </w:rPr>
      </w:pPr>
      <w:r>
        <w:rPr>
          <w:rFonts w:cs="Times New Roman"/>
          <w:szCs w:val="24"/>
        </w:rPr>
        <w:t>“</w:t>
      </w:r>
      <w:r w:rsidR="00E906D9">
        <w:rPr>
          <w:rFonts w:cs="Times New Roman"/>
          <w:szCs w:val="24"/>
        </w:rPr>
        <w:t>This has resulted to a number of general insurance entities folding, among them BlueShield Insurance Company, Standard Assurance Company, Access Insurance Company and Concord Insurance Company. The report shows that premium growth increased from 2013 up to 2016 but in the financial years 2017 and 2018, premium growth declined by 1.5 % and 1% respectively</w:t>
      </w:r>
      <w:r>
        <w:rPr>
          <w:rFonts w:cs="Times New Roman"/>
          <w:szCs w:val="24"/>
        </w:rPr>
        <w:t>”</w:t>
      </w:r>
      <w:r w:rsidR="00E906D9">
        <w:rPr>
          <w:rFonts w:cs="Times New Roman"/>
          <w:szCs w:val="24"/>
        </w:rPr>
        <w:t xml:space="preserve"> (Insurance Regulatory Authority, 2019). Besides, financially, the returns for the segment are on the decline. Overall return on assets for the sector was 16% in 2015 which has since decreased to 4.9 % in 2018 (IRA, 2019). This shows that there is a problem in the sector.</w:t>
      </w:r>
    </w:p>
    <w:p w:rsidR="00E906D9" w:rsidRDefault="00D13F3A" w:rsidP="00E906D9">
      <w:pPr>
        <w:ind w:left="40" w:right="40"/>
        <w:rPr>
          <w:rFonts w:cs="Times New Roman"/>
          <w:szCs w:val="24"/>
        </w:rPr>
      </w:pPr>
      <w:r>
        <w:t xml:space="preserve">Muriithi, J, G., Muturi, W, M. &amp; Waweru, K, M. (2016) </w:t>
      </w:r>
      <w:r w:rsidR="00E906D9">
        <w:rPr>
          <w:rFonts w:cs="Times New Roman"/>
          <w:szCs w:val="24"/>
        </w:rPr>
        <w:t xml:space="preserve">tracked to </w:t>
      </w:r>
      <w:r w:rsidR="00C9290E">
        <w:rPr>
          <w:rFonts w:cs="Times New Roman"/>
          <w:szCs w:val="24"/>
        </w:rPr>
        <w:t>“</w:t>
      </w:r>
      <w:r w:rsidR="00E906D9">
        <w:rPr>
          <w:rFonts w:cs="Times New Roman"/>
          <w:szCs w:val="24"/>
        </w:rPr>
        <w:t xml:space="preserve">find out the degree to which they influence financial distress of insurance companies. Profitability was used as a financial </w:t>
      </w:r>
      <w:r w:rsidR="00E906D9">
        <w:rPr>
          <w:rFonts w:cs="Times New Roman"/>
          <w:szCs w:val="24"/>
        </w:rPr>
        <w:lastRenderedPageBreak/>
        <w:t>distress indicator. He noted that interest rate influence financial distress of Kenyan insurance companies; nonetheless he did not state their affiliation</w:t>
      </w:r>
      <w:r w:rsidR="00C9290E">
        <w:rPr>
          <w:rFonts w:cs="Times New Roman"/>
          <w:szCs w:val="24"/>
        </w:rPr>
        <w:t>”</w:t>
      </w:r>
      <w:r w:rsidR="00E906D9">
        <w:rPr>
          <w:rFonts w:cs="Times New Roman"/>
          <w:szCs w:val="24"/>
        </w:rPr>
        <w:t>.</w:t>
      </w:r>
    </w:p>
    <w:p w:rsidR="00E906D9" w:rsidRDefault="00E6091F" w:rsidP="00E906D9">
      <w:pPr>
        <w:ind w:left="40" w:right="40"/>
        <w:rPr>
          <w:rFonts w:cs="Times New Roman"/>
          <w:szCs w:val="24"/>
        </w:rPr>
      </w:pPr>
      <w:r>
        <w:t>Chen N. (2016)</w:t>
      </w:r>
      <w:r w:rsidR="00E906D9">
        <w:rPr>
          <w:rFonts w:cs="Times New Roman"/>
          <w:szCs w:val="24"/>
        </w:rPr>
        <w:t xml:space="preserve"> scrutinized the causes of financial distress of insurance companies in Kenya. He found out that; increase of the insurance donates to financial distress. His finding was reasonably dissimilar from those found by </w:t>
      </w:r>
      <w:r>
        <w:t>Christopher M. (2017)</w:t>
      </w:r>
      <w:r w:rsidR="00E906D9">
        <w:rPr>
          <w:rFonts w:cs="Times New Roman"/>
          <w:szCs w:val="24"/>
        </w:rPr>
        <w:t>.</w:t>
      </w:r>
    </w:p>
    <w:p w:rsidR="00E906D9" w:rsidRDefault="00BC4021" w:rsidP="00E906D9">
      <w:pPr>
        <w:ind w:left="40" w:right="40"/>
        <w:rPr>
          <w:rFonts w:cs="Times New Roman"/>
          <w:szCs w:val="24"/>
        </w:rPr>
      </w:pPr>
      <w:r>
        <w:t>Darush Y. &amp; Peter O. (2015)</w:t>
      </w:r>
      <w:r w:rsidR="00E906D9">
        <w:rPr>
          <w:rFonts w:cs="Times New Roman"/>
          <w:szCs w:val="24"/>
        </w:rPr>
        <w:t xml:space="preserve"> wanted to </w:t>
      </w:r>
      <w:r w:rsidR="00C9290E">
        <w:rPr>
          <w:rFonts w:cs="Times New Roman"/>
          <w:szCs w:val="24"/>
        </w:rPr>
        <w:t>“</w:t>
      </w:r>
      <w:r w:rsidR="00E906D9">
        <w:rPr>
          <w:rFonts w:cs="Times New Roman"/>
          <w:szCs w:val="24"/>
        </w:rPr>
        <w:t>find out factors that influence financial distress of life assurance companies in Kenya. He established varied marginally from the results of the two immediate studies above in that he concluded that cost of capital, invention and proprietorship structure are determinants of financial distress, but did not postulate the connection</w:t>
      </w:r>
      <w:r w:rsidR="00C9290E">
        <w:rPr>
          <w:rFonts w:cs="Times New Roman"/>
          <w:szCs w:val="24"/>
        </w:rPr>
        <w:t>”</w:t>
      </w:r>
      <w:r w:rsidR="00E906D9">
        <w:rPr>
          <w:rFonts w:cs="Times New Roman"/>
          <w:szCs w:val="24"/>
        </w:rPr>
        <w:t>.</w:t>
      </w:r>
    </w:p>
    <w:p w:rsidR="00E906D9" w:rsidRDefault="00E906D9" w:rsidP="00E906D9">
      <w:pPr>
        <w:ind w:left="40" w:right="40"/>
        <w:rPr>
          <w:rFonts w:cs="Times New Roman"/>
          <w:szCs w:val="24"/>
        </w:rPr>
      </w:pPr>
      <w:r>
        <w:rPr>
          <w:rFonts w:cs="Times New Roman"/>
          <w:szCs w:val="24"/>
        </w:rPr>
        <w:t xml:space="preserve">Past works reveal that the findings from most investigators have not grasped to a common inference. Specifically, their results did not specify the relationship between the various factors which they establish to control financial distress of general insurance companies of Kenya. Moreover, the findings by </w:t>
      </w:r>
      <w:r w:rsidR="00D62267">
        <w:t>Chen N. (2016)</w:t>
      </w:r>
      <w:r>
        <w:rPr>
          <w:rFonts w:cs="Times New Roman"/>
          <w:szCs w:val="24"/>
        </w:rPr>
        <w:t xml:space="preserve">, </w:t>
      </w:r>
      <w:r w:rsidR="00D62267">
        <w:t>Christopher M. (2017</w:t>
      </w:r>
      <w:r w:rsidR="00D62267">
        <w:rPr>
          <w:rFonts w:cs="Times New Roman"/>
          <w:szCs w:val="24"/>
        </w:rPr>
        <w:t>) and</w:t>
      </w:r>
      <w:r>
        <w:rPr>
          <w:rFonts w:cs="Times New Roman"/>
          <w:szCs w:val="24"/>
        </w:rPr>
        <w:t xml:space="preserve"> </w:t>
      </w:r>
      <w:r w:rsidR="00D62267">
        <w:t>Darush Y. &amp; Peter O. (2015</w:t>
      </w:r>
      <w:r>
        <w:rPr>
          <w:rFonts w:cs="Times New Roman"/>
          <w:szCs w:val="24"/>
        </w:rPr>
        <w:t>) were unsettled.</w:t>
      </w:r>
    </w:p>
    <w:p w:rsidR="00002282" w:rsidRDefault="00664F02" w:rsidP="00E906D9">
      <w:pPr>
        <w:ind w:left="40" w:right="40"/>
        <w:rPr>
          <w:rFonts w:cs="Times New Roman"/>
          <w:b/>
          <w:szCs w:val="24"/>
        </w:rPr>
      </w:pPr>
      <w:bookmarkStart w:id="1" w:name="_Toc30592819"/>
      <w:r w:rsidRPr="00664F02">
        <w:rPr>
          <w:rFonts w:cs="Times New Roman"/>
          <w:b/>
          <w:szCs w:val="24"/>
        </w:rPr>
        <w:t>General objectives of the Study</w:t>
      </w:r>
      <w:bookmarkEnd w:id="1"/>
    </w:p>
    <w:p w:rsidR="00664F02" w:rsidRDefault="00664F02" w:rsidP="00664F02">
      <w:pPr>
        <w:rPr>
          <w:rFonts w:cs="Times New Roman"/>
          <w:szCs w:val="24"/>
        </w:rPr>
      </w:pPr>
      <w:r w:rsidRPr="00FF1D5F">
        <w:rPr>
          <w:rFonts w:cs="Times New Roman"/>
          <w:szCs w:val="24"/>
        </w:rPr>
        <w:t xml:space="preserve">The main objective of this research was to find out how </w:t>
      </w:r>
      <w:r w:rsidR="00F210CD">
        <w:rPr>
          <w:rFonts w:cs="Times New Roman"/>
          <w:szCs w:val="24"/>
        </w:rPr>
        <w:t>financial risks</w:t>
      </w:r>
      <w:r w:rsidR="00F210CD" w:rsidRPr="00FF1D5F">
        <w:rPr>
          <w:rFonts w:cs="Times New Roman"/>
          <w:szCs w:val="24"/>
        </w:rPr>
        <w:t xml:space="preserve"> affect</w:t>
      </w:r>
      <w:r w:rsidRPr="00FF1D5F">
        <w:rPr>
          <w:rFonts w:cs="Times New Roman"/>
          <w:szCs w:val="24"/>
        </w:rPr>
        <w:t xml:space="preserve"> the financ</w:t>
      </w:r>
      <w:r w:rsidR="00503471">
        <w:rPr>
          <w:rFonts w:cs="Times New Roman"/>
          <w:szCs w:val="24"/>
        </w:rPr>
        <w:t>ial performance of insurance</w:t>
      </w:r>
      <w:r>
        <w:rPr>
          <w:rFonts w:cs="Times New Roman"/>
          <w:szCs w:val="24"/>
        </w:rPr>
        <w:t xml:space="preserve"> companies</w:t>
      </w:r>
      <w:r w:rsidR="00F210CD">
        <w:rPr>
          <w:rFonts w:cs="Times New Roman"/>
          <w:szCs w:val="24"/>
        </w:rPr>
        <w:t xml:space="preserve"> listed Nairobi security exchange</w:t>
      </w:r>
      <w:r w:rsidRPr="00FF1D5F">
        <w:rPr>
          <w:rFonts w:cs="Times New Roman"/>
          <w:szCs w:val="24"/>
        </w:rPr>
        <w:t>.</w:t>
      </w:r>
    </w:p>
    <w:p w:rsidR="00F210CD" w:rsidRDefault="00F210CD" w:rsidP="00664F02">
      <w:pPr>
        <w:rPr>
          <w:rFonts w:cs="Times New Roman"/>
          <w:b/>
          <w:bCs/>
          <w:szCs w:val="24"/>
        </w:rPr>
      </w:pPr>
      <w:r w:rsidRPr="00FF1D5F">
        <w:rPr>
          <w:rFonts w:cs="Times New Roman"/>
          <w:b/>
          <w:bCs/>
          <w:szCs w:val="24"/>
        </w:rPr>
        <w:t>Specific objectives</w:t>
      </w:r>
    </w:p>
    <w:p w:rsidR="00503471" w:rsidRPr="00503471" w:rsidRDefault="00503471" w:rsidP="00503471">
      <w:pPr>
        <w:pStyle w:val="ListParagraph"/>
        <w:numPr>
          <w:ilvl w:val="0"/>
          <w:numId w:val="2"/>
        </w:numPr>
        <w:rPr>
          <w:rFonts w:cs="Times New Roman"/>
          <w:szCs w:val="24"/>
        </w:rPr>
      </w:pPr>
      <w:r w:rsidRPr="00503471">
        <w:rPr>
          <w:rFonts w:cs="Times New Roman"/>
          <w:szCs w:val="24"/>
        </w:rPr>
        <w:lastRenderedPageBreak/>
        <w:t>To determine the effects of operation risk on financial performance of insurance companies listed Nairobi security exchange.</w:t>
      </w:r>
    </w:p>
    <w:p w:rsidR="00503471" w:rsidRPr="00503471" w:rsidRDefault="00503471" w:rsidP="00503471">
      <w:pPr>
        <w:pStyle w:val="ListParagraph"/>
        <w:numPr>
          <w:ilvl w:val="0"/>
          <w:numId w:val="2"/>
        </w:numPr>
        <w:rPr>
          <w:rFonts w:cs="Times New Roman"/>
          <w:szCs w:val="24"/>
        </w:rPr>
      </w:pPr>
      <w:r w:rsidRPr="00503471">
        <w:rPr>
          <w:rFonts w:cs="Times New Roman"/>
          <w:szCs w:val="24"/>
        </w:rPr>
        <w:t>To determine the effects of credit risk on financial performance of insurance companies listed Nairobi security exchange.</w:t>
      </w:r>
    </w:p>
    <w:p w:rsidR="00503471" w:rsidRDefault="00503471" w:rsidP="00503471">
      <w:pPr>
        <w:pStyle w:val="ListParagraph"/>
        <w:numPr>
          <w:ilvl w:val="0"/>
          <w:numId w:val="2"/>
        </w:numPr>
        <w:rPr>
          <w:rFonts w:cs="Times New Roman"/>
          <w:szCs w:val="24"/>
        </w:rPr>
      </w:pPr>
      <w:r w:rsidRPr="00503471">
        <w:rPr>
          <w:rFonts w:cs="Times New Roman"/>
          <w:szCs w:val="24"/>
        </w:rPr>
        <w:t>To determine the effects market risk on financial performance of insurance companies listed Nairobi security exchange.</w:t>
      </w:r>
    </w:p>
    <w:p w:rsidR="00503471" w:rsidRPr="00503471" w:rsidRDefault="00503471" w:rsidP="00503471">
      <w:pPr>
        <w:pStyle w:val="ListParagraph"/>
        <w:numPr>
          <w:ilvl w:val="0"/>
          <w:numId w:val="2"/>
        </w:numPr>
        <w:rPr>
          <w:rFonts w:cs="Times New Roman"/>
          <w:szCs w:val="24"/>
        </w:rPr>
      </w:pPr>
      <w:r w:rsidRPr="00503471">
        <w:rPr>
          <w:rFonts w:cs="Times New Roman"/>
          <w:szCs w:val="24"/>
        </w:rPr>
        <w:t xml:space="preserve">To determine the effects </w:t>
      </w:r>
      <w:r>
        <w:rPr>
          <w:rFonts w:cs="Times New Roman"/>
          <w:szCs w:val="24"/>
        </w:rPr>
        <w:t>legal</w:t>
      </w:r>
      <w:r w:rsidRPr="00503471">
        <w:rPr>
          <w:rFonts w:cs="Times New Roman"/>
          <w:szCs w:val="24"/>
        </w:rPr>
        <w:t xml:space="preserve"> risk on financial performance of insurance companies listed Nairobi security exchange.</w:t>
      </w:r>
    </w:p>
    <w:p w:rsidR="00503471" w:rsidRPr="00660E83" w:rsidRDefault="00660E83" w:rsidP="00660E83">
      <w:pPr>
        <w:pStyle w:val="ListParagraph"/>
        <w:rPr>
          <w:rFonts w:cs="Times New Roman"/>
          <w:b/>
          <w:szCs w:val="24"/>
        </w:rPr>
      </w:pPr>
      <w:r w:rsidRPr="00660E83">
        <w:rPr>
          <w:rFonts w:cs="Times New Roman"/>
          <w:b/>
          <w:szCs w:val="24"/>
        </w:rPr>
        <w:t>Research Hypotheses</w:t>
      </w:r>
    </w:p>
    <w:p w:rsidR="00660E83" w:rsidRPr="00660E83" w:rsidRDefault="00660E83" w:rsidP="00660E83">
      <w:pPr>
        <w:pStyle w:val="ListParagraph"/>
        <w:numPr>
          <w:ilvl w:val="0"/>
          <w:numId w:val="3"/>
        </w:numPr>
        <w:rPr>
          <w:rFonts w:cs="Times New Roman"/>
          <w:b/>
          <w:szCs w:val="24"/>
        </w:rPr>
      </w:pPr>
      <w:r w:rsidRPr="00660E83">
        <w:rPr>
          <w:rFonts w:cs="Times New Roman"/>
          <w:szCs w:val="24"/>
        </w:rPr>
        <w:t xml:space="preserve">H01: There is no effects of </w:t>
      </w:r>
      <w:r>
        <w:rPr>
          <w:rFonts w:cs="Times New Roman"/>
          <w:szCs w:val="24"/>
        </w:rPr>
        <w:t>operation</w:t>
      </w:r>
      <w:r w:rsidRPr="00660E83">
        <w:rPr>
          <w:rFonts w:cs="Times New Roman"/>
          <w:szCs w:val="24"/>
        </w:rPr>
        <w:t xml:space="preserve"> risk on the financial performance of </w:t>
      </w:r>
      <w:r w:rsidRPr="00503471">
        <w:rPr>
          <w:rFonts w:cs="Times New Roman"/>
          <w:szCs w:val="24"/>
        </w:rPr>
        <w:t>insurance companies listed Nairobi security exchange</w:t>
      </w:r>
      <w:r w:rsidRPr="00660E83">
        <w:rPr>
          <w:rFonts w:cs="Times New Roman"/>
          <w:szCs w:val="24"/>
        </w:rPr>
        <w:t xml:space="preserve"> </w:t>
      </w:r>
    </w:p>
    <w:p w:rsidR="00660E83" w:rsidRPr="00660E83" w:rsidRDefault="00660E83" w:rsidP="00660E83">
      <w:pPr>
        <w:pStyle w:val="ListParagraph"/>
        <w:numPr>
          <w:ilvl w:val="0"/>
          <w:numId w:val="3"/>
        </w:numPr>
        <w:rPr>
          <w:rFonts w:cs="Times New Roman"/>
          <w:b/>
          <w:szCs w:val="24"/>
        </w:rPr>
      </w:pPr>
      <w:r w:rsidRPr="00660E83">
        <w:rPr>
          <w:rFonts w:cs="Times New Roman"/>
          <w:szCs w:val="24"/>
        </w:rPr>
        <w:t xml:space="preserve">H02: There </w:t>
      </w:r>
      <w:r w:rsidR="00096109" w:rsidRPr="00660E83">
        <w:rPr>
          <w:rFonts w:cs="Times New Roman"/>
          <w:szCs w:val="24"/>
        </w:rPr>
        <w:t>is no effect</w:t>
      </w:r>
      <w:r w:rsidRPr="00660E83">
        <w:rPr>
          <w:rFonts w:cs="Times New Roman"/>
          <w:szCs w:val="24"/>
        </w:rPr>
        <w:t xml:space="preserve"> of the </w:t>
      </w:r>
      <w:r w:rsidR="00AF49CE">
        <w:rPr>
          <w:rFonts w:cs="Times New Roman"/>
          <w:szCs w:val="24"/>
        </w:rPr>
        <w:t>credit</w:t>
      </w:r>
      <w:r w:rsidR="00AF49CE" w:rsidRPr="00660E83">
        <w:rPr>
          <w:rFonts w:cs="Times New Roman"/>
          <w:szCs w:val="24"/>
        </w:rPr>
        <w:t xml:space="preserve"> risk on the financial performance of </w:t>
      </w:r>
      <w:r w:rsidR="00AF49CE" w:rsidRPr="00503471">
        <w:rPr>
          <w:rFonts w:cs="Times New Roman"/>
          <w:szCs w:val="24"/>
        </w:rPr>
        <w:t xml:space="preserve">insurance </w:t>
      </w:r>
      <w:r w:rsidR="00096109" w:rsidRPr="00503471">
        <w:rPr>
          <w:rFonts w:cs="Times New Roman"/>
          <w:szCs w:val="24"/>
        </w:rPr>
        <w:t>companies’</w:t>
      </w:r>
      <w:r w:rsidR="00AF49CE" w:rsidRPr="00503471">
        <w:rPr>
          <w:rFonts w:cs="Times New Roman"/>
          <w:szCs w:val="24"/>
        </w:rPr>
        <w:t xml:space="preserve"> listed Nairobi security exchange</w:t>
      </w:r>
      <w:r w:rsidRPr="00660E83">
        <w:rPr>
          <w:rFonts w:cs="Times New Roman"/>
          <w:szCs w:val="24"/>
        </w:rPr>
        <w:t>?</w:t>
      </w:r>
    </w:p>
    <w:p w:rsidR="00660E83" w:rsidRPr="00AF49CE" w:rsidRDefault="00660E83" w:rsidP="00660E83">
      <w:pPr>
        <w:pStyle w:val="ListParagraph"/>
        <w:numPr>
          <w:ilvl w:val="0"/>
          <w:numId w:val="3"/>
        </w:numPr>
        <w:rPr>
          <w:rFonts w:cs="Times New Roman"/>
          <w:b/>
          <w:szCs w:val="24"/>
        </w:rPr>
      </w:pPr>
      <w:r w:rsidRPr="00FF1D5F">
        <w:rPr>
          <w:rFonts w:cs="Times New Roman"/>
          <w:szCs w:val="24"/>
        </w:rPr>
        <w:t xml:space="preserve">H03: There </w:t>
      </w:r>
      <w:r w:rsidR="00096109" w:rsidRPr="00FF1D5F">
        <w:rPr>
          <w:rFonts w:cs="Times New Roman"/>
          <w:szCs w:val="24"/>
        </w:rPr>
        <w:t>is no effect</w:t>
      </w:r>
      <w:r w:rsidRPr="00FF1D5F">
        <w:rPr>
          <w:rFonts w:cs="Times New Roman"/>
          <w:szCs w:val="24"/>
        </w:rPr>
        <w:t xml:space="preserve"> of </w:t>
      </w:r>
      <w:r w:rsidR="00AF49CE">
        <w:rPr>
          <w:rFonts w:cs="Times New Roman"/>
          <w:szCs w:val="24"/>
        </w:rPr>
        <w:t>market</w:t>
      </w:r>
      <w:r w:rsidR="00AF49CE" w:rsidRPr="00660E83">
        <w:rPr>
          <w:rFonts w:cs="Times New Roman"/>
          <w:szCs w:val="24"/>
        </w:rPr>
        <w:t xml:space="preserve"> risk on the financial performance of </w:t>
      </w:r>
      <w:r w:rsidR="00AF49CE" w:rsidRPr="00503471">
        <w:rPr>
          <w:rFonts w:cs="Times New Roman"/>
          <w:szCs w:val="24"/>
        </w:rPr>
        <w:t xml:space="preserve">insurance </w:t>
      </w:r>
      <w:r w:rsidR="00096109" w:rsidRPr="00503471">
        <w:rPr>
          <w:rFonts w:cs="Times New Roman"/>
          <w:szCs w:val="24"/>
        </w:rPr>
        <w:t>companies’</w:t>
      </w:r>
      <w:r w:rsidR="00AF49CE" w:rsidRPr="00503471">
        <w:rPr>
          <w:rFonts w:cs="Times New Roman"/>
          <w:szCs w:val="24"/>
        </w:rPr>
        <w:t xml:space="preserve"> listed Nairobi security exchange</w:t>
      </w:r>
      <w:r w:rsidRPr="00FF1D5F">
        <w:rPr>
          <w:rFonts w:cs="Times New Roman"/>
          <w:szCs w:val="24"/>
        </w:rPr>
        <w:t>?</w:t>
      </w:r>
    </w:p>
    <w:p w:rsidR="00FE535F" w:rsidRPr="00FE535F" w:rsidRDefault="00AF49CE" w:rsidP="00FE535F">
      <w:pPr>
        <w:pStyle w:val="ListParagraph"/>
        <w:numPr>
          <w:ilvl w:val="0"/>
          <w:numId w:val="3"/>
        </w:numPr>
        <w:rPr>
          <w:rFonts w:cs="Times New Roman"/>
          <w:b/>
          <w:szCs w:val="24"/>
        </w:rPr>
      </w:pPr>
      <w:r>
        <w:rPr>
          <w:rFonts w:cs="Times New Roman"/>
          <w:szCs w:val="24"/>
        </w:rPr>
        <w:t>H04</w:t>
      </w:r>
      <w:r w:rsidRPr="00FF1D5F">
        <w:rPr>
          <w:rFonts w:cs="Times New Roman"/>
          <w:szCs w:val="24"/>
        </w:rPr>
        <w:t xml:space="preserve">: There </w:t>
      </w:r>
      <w:r w:rsidR="00096109" w:rsidRPr="00FF1D5F">
        <w:rPr>
          <w:rFonts w:cs="Times New Roman"/>
          <w:szCs w:val="24"/>
        </w:rPr>
        <w:t>is no effect</w:t>
      </w:r>
      <w:r w:rsidRPr="00FF1D5F">
        <w:rPr>
          <w:rFonts w:cs="Times New Roman"/>
          <w:szCs w:val="24"/>
        </w:rPr>
        <w:t xml:space="preserve"> of </w:t>
      </w:r>
      <w:r>
        <w:rPr>
          <w:rFonts w:cs="Times New Roman"/>
          <w:szCs w:val="24"/>
        </w:rPr>
        <w:t>legal</w:t>
      </w:r>
      <w:r w:rsidRPr="00660E83">
        <w:rPr>
          <w:rFonts w:cs="Times New Roman"/>
          <w:szCs w:val="24"/>
        </w:rPr>
        <w:t xml:space="preserve"> risk on the financial performance of </w:t>
      </w:r>
      <w:r w:rsidRPr="00503471">
        <w:rPr>
          <w:rFonts w:cs="Times New Roman"/>
          <w:szCs w:val="24"/>
        </w:rPr>
        <w:t xml:space="preserve">insurance </w:t>
      </w:r>
      <w:r w:rsidR="00096109" w:rsidRPr="00503471">
        <w:rPr>
          <w:rFonts w:cs="Times New Roman"/>
          <w:szCs w:val="24"/>
        </w:rPr>
        <w:t>companies’</w:t>
      </w:r>
      <w:r w:rsidRPr="00503471">
        <w:rPr>
          <w:rFonts w:cs="Times New Roman"/>
          <w:szCs w:val="24"/>
        </w:rPr>
        <w:t xml:space="preserve"> listed Nairobi security exchange</w:t>
      </w:r>
      <w:r w:rsidRPr="00FF1D5F">
        <w:rPr>
          <w:rFonts w:cs="Times New Roman"/>
          <w:szCs w:val="24"/>
        </w:rPr>
        <w:t>?</w:t>
      </w:r>
    </w:p>
    <w:p w:rsidR="00FE535F" w:rsidRDefault="00AD21B3" w:rsidP="00FE535F">
      <w:pPr>
        <w:pStyle w:val="Heading2"/>
        <w:rPr>
          <w:color w:val="000000" w:themeColor="text1"/>
        </w:rPr>
      </w:pPr>
      <w:bookmarkStart w:id="2" w:name="_Toc182297977"/>
      <w:r>
        <w:rPr>
          <w:color w:val="000000" w:themeColor="text1"/>
        </w:rPr>
        <w:t xml:space="preserve">Fig 1: </w:t>
      </w:r>
      <w:r w:rsidR="00FE535F" w:rsidRPr="00FE535F">
        <w:rPr>
          <w:color w:val="000000" w:themeColor="text1"/>
        </w:rPr>
        <w:t>The Conceptual Framework</w:t>
      </w:r>
      <w:bookmarkEnd w:id="2"/>
    </w:p>
    <w:p w:rsidR="00FE535F" w:rsidRPr="00153869" w:rsidRDefault="00FE535F" w:rsidP="00FE535F">
      <w:r>
        <w:rPr>
          <w:rFonts w:cs="Times New Roman"/>
          <w:noProof/>
          <w:szCs w:val="24"/>
        </w:rPr>
        <mc:AlternateContent>
          <mc:Choice Requires="wps">
            <w:drawing>
              <wp:anchor distT="0" distB="0" distL="114300" distR="114300" simplePos="0" relativeHeight="251664384" behindDoc="0" locked="0" layoutInCell="1" allowOverlap="1" wp14:anchorId="7DED5996" wp14:editId="1592CD13">
                <wp:simplePos x="0" y="0"/>
                <wp:positionH relativeFrom="column">
                  <wp:posOffset>-76200</wp:posOffset>
                </wp:positionH>
                <wp:positionV relativeFrom="paragraph">
                  <wp:posOffset>358775</wp:posOffset>
                </wp:positionV>
                <wp:extent cx="2047875" cy="1089660"/>
                <wp:effectExtent l="0" t="0" r="28575" b="15240"/>
                <wp:wrapNone/>
                <wp:docPr id="1" name="Rectangle 1"/>
                <wp:cNvGraphicFramePr/>
                <a:graphic xmlns:a="http://schemas.openxmlformats.org/drawingml/2006/main">
                  <a:graphicData uri="http://schemas.microsoft.com/office/word/2010/wordprocessingShape">
                    <wps:wsp>
                      <wps:cNvSpPr/>
                      <wps:spPr>
                        <a:xfrm>
                          <a:off x="0" y="0"/>
                          <a:ext cx="2047875" cy="10896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FE535F" w:rsidRDefault="00FE535F" w:rsidP="00FE535F">
                            <w:pPr>
                              <w:pStyle w:val="ListParagraph"/>
                              <w:numPr>
                                <w:ilvl w:val="0"/>
                                <w:numId w:val="4"/>
                              </w:numPr>
                              <w:spacing w:before="0" w:beforeAutospacing="0" w:after="0" w:afterAutospacing="0" w:line="240" w:lineRule="auto"/>
                              <w:ind w:left="720" w:hanging="720"/>
                              <w:contextualSpacing w:val="0"/>
                            </w:pPr>
                            <w:r>
                              <w:t xml:space="preserve">Operation Risk - </w:t>
                            </w:r>
                            <w:r>
                              <w:rPr>
                                <w:rFonts w:eastAsia="Arial"/>
                                <w:color w:val="000000"/>
                              </w:rPr>
                              <w:t>Standard devia</w:t>
                            </w:r>
                            <w:r w:rsidR="00AF0519">
                              <w:rPr>
                                <w:rFonts w:eastAsia="Arial"/>
                                <w:color w:val="000000"/>
                              </w:rPr>
                              <w:t>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7DED5996" id="Rectangle 1" o:spid="_x0000_s1026" style="position:absolute;left:0;text-align:left;margin-left:-6pt;margin-top:28.25pt;width:161.25pt;height:8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" fillcolor="white [3212]" strokecolor="black [3200]" strokeweight="2pt">
                <v:textbox>
                  <w:txbxContent>
                    <w:p w:rsidR="00FE535F" w:rsidRDefault="00FE535F" w:rsidP="00FE535F">
                      <w:pPr>
                        <w:pStyle w:val="ListParagraph"/>
                        <w:numPr>
                          <w:ilvl w:val="0"/>
                          <w:numId w:val="4"/>
                        </w:numPr>
                        <w:spacing w:before="0" w:beforeAutospacing="0" w:after="0" w:afterAutospacing="0" w:line="240" w:lineRule="auto"/>
                        <w:ind w:left="720" w:hanging="720"/>
                        <w:contextualSpacing w:val="0"/>
                      </w:pPr>
                      <w:r>
                        <w:t xml:space="preserve">Operation Risk - </w:t>
                      </w:r>
                      <w:r>
                        <w:rPr>
                          <w:rFonts w:eastAsia="Arial"/>
                          <w:color w:val="000000"/>
                        </w:rPr>
                        <w:t>Standard devia</w:t>
                      </w:r>
                      <w:r w:rsidR="00AF0519">
                        <w:rPr>
                          <w:rFonts w:eastAsia="Arial"/>
                          <w:color w:val="000000"/>
                        </w:rPr>
                        <w:t>tion.</w:t>
                      </w:r>
                    </w:p>
                    <w:p w:rsidR="00FE535F" w:rsidRDefault="00FE535F" w:rsidP="00FE535F">
                      <w:pPr>
                        <w:jc w:val="center"/>
                      </w:pPr>
                    </w:p>
                    <w:p w:rsidR="00FE535F" w:rsidRDefault="00FE535F" w:rsidP="00FE535F">
                      <w:pPr>
                        <w:jc w:val="center"/>
                      </w:pPr>
                    </w:p>
                  </w:txbxContent>
                </v:textbox>
              </v:rect>
            </w:pict>
          </mc:Fallback>
        </mc:AlternateContent>
      </w:r>
      <w:r>
        <w:rPr>
          <w:rFonts w:cs="Times New Roman"/>
          <w:b/>
          <w:szCs w:val="24"/>
          <w:lang w:val="en-GB"/>
        </w:rPr>
        <w:t xml:space="preserve">Independent Variable                    </w:t>
      </w:r>
      <w:r>
        <w:rPr>
          <w:rFonts w:cs="Times New Roman"/>
          <w:b/>
          <w:szCs w:val="24"/>
          <w:lang w:val="en-GB"/>
        </w:rPr>
        <w:tab/>
      </w:r>
      <w:r>
        <w:rPr>
          <w:rFonts w:cs="Times New Roman"/>
          <w:b/>
          <w:szCs w:val="24"/>
          <w:lang w:val="en-GB"/>
        </w:rPr>
        <w:tab/>
      </w:r>
      <w:r>
        <w:rPr>
          <w:rFonts w:cs="Times New Roman"/>
          <w:b/>
          <w:szCs w:val="24"/>
          <w:lang w:val="en-GB"/>
        </w:rPr>
        <w:tab/>
      </w:r>
      <w:r>
        <w:rPr>
          <w:rFonts w:cs="Times New Roman"/>
          <w:b/>
          <w:szCs w:val="24"/>
          <w:lang w:val="en-GB"/>
        </w:rPr>
        <w:tab/>
        <w:t xml:space="preserve">   Dependent Variable</w:t>
      </w:r>
    </w:p>
    <w:p w:rsidR="00FE535F" w:rsidRDefault="00FE535F" w:rsidP="00FE535F">
      <w:pPr>
        <w:spacing w:line="360" w:lineRule="auto"/>
        <w:rPr>
          <w:rFonts w:cs="Times New Roman"/>
          <w:szCs w:val="24"/>
          <w:lang w:val="en-GB"/>
        </w:rPr>
      </w:pP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5408" behindDoc="0" locked="0" layoutInCell="1" allowOverlap="1" wp14:anchorId="3BD215DD" wp14:editId="059D8F76">
                <wp:simplePos x="0" y="0"/>
                <wp:positionH relativeFrom="column">
                  <wp:posOffset>2514600</wp:posOffset>
                </wp:positionH>
                <wp:positionV relativeFrom="paragraph">
                  <wp:posOffset>101600</wp:posOffset>
                </wp:positionV>
                <wp:extent cx="24765" cy="3322320"/>
                <wp:effectExtent l="0" t="0" r="32385" b="11430"/>
                <wp:wrapNone/>
                <wp:docPr id="6" name="Straight Connector 6"/>
                <wp:cNvGraphicFramePr/>
                <a:graphic xmlns:a="http://schemas.openxmlformats.org/drawingml/2006/main">
                  <a:graphicData uri="http://schemas.microsoft.com/office/word/2010/wordprocessingShape">
                    <wps:wsp>
                      <wps:cNvCnPr/>
                      <wps:spPr>
                        <a:xfrm flipH="1">
                          <a:off x="0" y="0"/>
                          <a:ext cx="24765" cy="3322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EF30"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pt" to="199.9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" strokecolor="black [3040]"/>
            </w:pict>
          </mc:Fallback>
        </mc:AlternateContent>
      </w:r>
      <w:r>
        <w:rPr>
          <w:rFonts w:cs="Times New Roman"/>
          <w:noProof/>
          <w:szCs w:val="24"/>
        </w:rPr>
        <mc:AlternateContent>
          <mc:Choice Requires="wps">
            <w:drawing>
              <wp:anchor distT="0" distB="0" distL="114300" distR="114300" simplePos="0" relativeHeight="251666432" behindDoc="0" locked="0" layoutInCell="1" allowOverlap="1" wp14:anchorId="089562FC" wp14:editId="66030B1A">
                <wp:simplePos x="0" y="0"/>
                <wp:positionH relativeFrom="column">
                  <wp:posOffset>1981200</wp:posOffset>
                </wp:positionH>
                <wp:positionV relativeFrom="paragraph">
                  <wp:posOffset>106045</wp:posOffset>
                </wp:positionV>
                <wp:extent cx="548640"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266F7E" id="_x0000_t32" coordsize="21600,21600" o:spt="32" o:oned="t" path="m,l21600,21600e" filled="f">
                <v:path arrowok="t" fillok="f" o:connecttype="none"/>
                <o:lock v:ext="edit" shapetype="t"/>
              </v:shapetype>
              <v:shape id="Straight Arrow Connector 7" o:spid="_x0000_s1026" type="#_x0000_t32" style="position:absolute;margin-left:156pt;margin-top:8.35pt;width:43.2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w:lastRenderedPageBreak/>
        <mc:AlternateContent>
          <mc:Choice Requires="wps">
            <w:drawing>
              <wp:anchor distT="0" distB="0" distL="114300" distR="114300" simplePos="0" relativeHeight="251660288" behindDoc="0" locked="0" layoutInCell="1" allowOverlap="1" wp14:anchorId="1DCDCF12" wp14:editId="7B8DAB38">
                <wp:simplePos x="0" y="0"/>
                <wp:positionH relativeFrom="column">
                  <wp:posOffset>-85725</wp:posOffset>
                </wp:positionH>
                <wp:positionV relativeFrom="paragraph">
                  <wp:posOffset>139700</wp:posOffset>
                </wp:positionV>
                <wp:extent cx="2019300" cy="10896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FE535F" w:rsidP="00AF0519">
                            <w:pPr>
                              <w:pStyle w:val="ListParagraph"/>
                              <w:numPr>
                                <w:ilvl w:val="0"/>
                                <w:numId w:val="4"/>
                              </w:numPr>
                              <w:spacing w:before="0" w:beforeAutospacing="0" w:after="0" w:afterAutospacing="0" w:line="240" w:lineRule="auto"/>
                              <w:ind w:left="720" w:hanging="720"/>
                              <w:contextualSpacing w:val="0"/>
                            </w:pPr>
                            <w:r>
                              <w:t xml:space="preserve">Credit Risk- </w:t>
                            </w:r>
                            <w:r w:rsidR="00AF0519">
                              <w:rPr>
                                <w:rFonts w:eastAsia="Arial"/>
                                <w:color w:val="000000"/>
                              </w:rPr>
                              <w:t>Standard deviation.</w:t>
                            </w:r>
                          </w:p>
                          <w:p w:rsidR="00AF0519" w:rsidRDefault="00AF0519" w:rsidP="00AF0519">
                            <w:pPr>
                              <w:pStyle w:val="ListParagraph"/>
                              <w:widowControl w:val="0"/>
                              <w:numPr>
                                <w:ilvl w:val="0"/>
                                <w:numId w:val="5"/>
                              </w:numPr>
                              <w:autoSpaceDE w:val="0"/>
                              <w:autoSpaceDN w:val="0"/>
                              <w:adjustRightInd w:val="0"/>
                              <w:spacing w:before="0" w:beforeAutospacing="0" w:after="0" w:afterAutospacing="0" w:line="240" w:lineRule="auto"/>
                              <w:ind w:left="450" w:hanging="270"/>
                              <w:contextualSpacing w:val="0"/>
                              <w:rPr>
                                <w:rFonts w:cs="Times New Roman"/>
                                <w:szCs w:val="24"/>
                              </w:rP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DCDCF12" id="Rectangle 3" o:spid="_x0000_s1027" style="position:absolute;left:0;text-align:left;margin-left:-6.75pt;margin-top:11pt;width:159pt;height:8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" fillcolor="window" strokecolor="windowText" strokeweight="2pt">
                <v:textbox>
                  <w:txbxContent>
                    <w:p w:rsidR="00AF0519" w:rsidRDefault="00FE535F" w:rsidP="00AF0519">
                      <w:pPr>
                        <w:pStyle w:val="ListParagraph"/>
                        <w:numPr>
                          <w:ilvl w:val="0"/>
                          <w:numId w:val="4"/>
                        </w:numPr>
                        <w:spacing w:before="0" w:beforeAutospacing="0" w:after="0" w:afterAutospacing="0" w:line="240" w:lineRule="auto"/>
                        <w:ind w:left="720" w:hanging="720"/>
                        <w:contextualSpacing w:val="0"/>
                      </w:pPr>
                      <w:r>
                        <w:t xml:space="preserve">Credit Risk- </w:t>
                      </w:r>
                      <w:r w:rsidR="00AF0519">
                        <w:rPr>
                          <w:rFonts w:eastAsia="Arial"/>
                          <w:color w:val="000000"/>
                        </w:rPr>
                        <w:t>Standard deviation.</w:t>
                      </w:r>
                    </w:p>
                    <w:p w:rsidR="00AF0519" w:rsidRDefault="00AF0519" w:rsidP="00AF0519">
                      <w:pPr>
                        <w:pStyle w:val="ListParagraph"/>
                        <w:widowControl w:val="0"/>
                        <w:numPr>
                          <w:ilvl w:val="0"/>
                          <w:numId w:val="5"/>
                        </w:numPr>
                        <w:autoSpaceDE w:val="0"/>
                        <w:autoSpaceDN w:val="0"/>
                        <w:adjustRightInd w:val="0"/>
                        <w:spacing w:before="0" w:beforeAutospacing="0" w:after="0" w:afterAutospacing="0" w:line="240" w:lineRule="auto"/>
                        <w:ind w:left="450" w:hanging="270"/>
                        <w:contextualSpacing w:val="0"/>
                        <w:rPr>
                          <w:rFonts w:cs="Times New Roman"/>
                          <w:szCs w:val="24"/>
                        </w:rPr>
                      </w:pPr>
                    </w:p>
                    <w:p w:rsidR="00FE535F" w:rsidRDefault="00FE535F" w:rsidP="00FE535F">
                      <w:pPr>
                        <w:jc w:val="center"/>
                      </w:pPr>
                    </w:p>
                  </w:txbxContent>
                </v:textbox>
              </v:rect>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2336" behindDoc="0" locked="0" layoutInCell="1" allowOverlap="1" wp14:anchorId="04EE80B4" wp14:editId="4CCC2885">
                <wp:simplePos x="0" y="0"/>
                <wp:positionH relativeFrom="column">
                  <wp:posOffset>3379470</wp:posOffset>
                </wp:positionH>
                <wp:positionV relativeFrom="paragraph">
                  <wp:posOffset>96520</wp:posOffset>
                </wp:positionV>
                <wp:extent cx="1943100" cy="10896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943100" cy="1089660"/>
                        </a:xfrm>
                        <a:prstGeom prst="rect">
                          <a:avLst/>
                        </a:prstGeom>
                        <a:solidFill>
                          <a:sysClr val="window" lastClr="FFFFFF"/>
                        </a:solidFill>
                        <a:ln w="25400" cap="flat" cmpd="sng" algn="ctr">
                          <a:solidFill>
                            <a:sysClr val="windowText" lastClr="000000"/>
                          </a:solidFill>
                          <a:prstDash val="solid"/>
                        </a:ln>
                        <a:effectLst/>
                      </wps:spPr>
                      <wps:txbx>
                        <w:txbxContent>
                          <w:p w:rsidR="00FE535F" w:rsidRDefault="00BA2733" w:rsidP="00FE535F">
                            <w:pPr>
                              <w:jc w:val="center"/>
                            </w:pPr>
                            <w:r>
                              <w:t>Financial Performance - Profitability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EE80B4" id="Rectangle 5" o:spid="_x0000_s1028" style="position:absolute;left:0;text-align:left;margin-left:266.1pt;margin-top:7.6pt;width:153pt;height:8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" fillcolor="window" strokecolor="windowText" strokeweight="2pt">
                <v:textbox>
                  <w:txbxContent>
                    <w:p w:rsidR="00FE535F" w:rsidRDefault="00BA2733" w:rsidP="00FE535F">
                      <w:pPr>
                        <w:jc w:val="center"/>
                      </w:pPr>
                      <w:r>
                        <w:t>Financial Performance - Profitability</w:t>
                      </w:r>
                    </w:p>
                  </w:txbxContent>
                </v:textbox>
              </v:rect>
            </w:pict>
          </mc:Fallback>
        </mc:AlternateContent>
      </w:r>
      <w:r>
        <w:rPr>
          <w:rFonts w:cs="Times New Roman"/>
          <w:noProof/>
          <w:szCs w:val="24"/>
        </w:rPr>
        <mc:AlternateContent>
          <mc:Choice Requires="wps">
            <w:drawing>
              <wp:anchor distT="0" distB="0" distL="114300" distR="114300" simplePos="0" relativeHeight="251667456" behindDoc="0" locked="0" layoutInCell="1" allowOverlap="1" wp14:anchorId="4F3B59D2" wp14:editId="32F1AF85">
                <wp:simplePos x="0" y="0"/>
                <wp:positionH relativeFrom="column">
                  <wp:posOffset>1935480</wp:posOffset>
                </wp:positionH>
                <wp:positionV relativeFrom="paragraph">
                  <wp:posOffset>477520</wp:posOffset>
                </wp:positionV>
                <wp:extent cx="594360" cy="7620"/>
                <wp:effectExtent l="0" t="76200" r="15240" b="87630"/>
                <wp:wrapNone/>
                <wp:docPr id="8" name="Straight Arrow Connector 8"/>
                <wp:cNvGraphicFramePr/>
                <a:graphic xmlns:a="http://schemas.openxmlformats.org/drawingml/2006/main">
                  <a:graphicData uri="http://schemas.microsoft.com/office/word/2010/wordprocessingShape">
                    <wps:wsp>
                      <wps:cNvCnPr/>
                      <wps:spPr>
                        <a:xfrm flipV="1">
                          <a:off x="0" y="0"/>
                          <a:ext cx="594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E4DDB" id="Straight Arrow Connector 8" o:spid="_x0000_s1026" type="#_x0000_t32" style="position:absolute;margin-left:152.4pt;margin-top:37.6pt;width:46.8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9504" behindDoc="0" locked="0" layoutInCell="1" allowOverlap="1" wp14:anchorId="5D0D5E07" wp14:editId="64DD20D6">
                <wp:simplePos x="0" y="0"/>
                <wp:positionH relativeFrom="column">
                  <wp:posOffset>2518410</wp:posOffset>
                </wp:positionH>
                <wp:positionV relativeFrom="paragraph">
                  <wp:posOffset>290195</wp:posOffset>
                </wp:positionV>
                <wp:extent cx="8610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861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517B2" id="Straight Arrow Connector 11" o:spid="_x0000_s1026" type="#_x0000_t32" style="position:absolute;margin-left:198.3pt;margin-top:22.85pt;width:67.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" strokecolor="black [3040]">
                <v:stroke endarrow="block"/>
              </v:shape>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59264" behindDoc="0" locked="0" layoutInCell="1" allowOverlap="1" wp14:anchorId="124199F8" wp14:editId="79BC8BF8">
                <wp:simplePos x="0" y="0"/>
                <wp:positionH relativeFrom="column">
                  <wp:posOffset>-85725</wp:posOffset>
                </wp:positionH>
                <wp:positionV relativeFrom="paragraph">
                  <wp:posOffset>-1270</wp:posOffset>
                </wp:positionV>
                <wp:extent cx="2019300" cy="10896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Market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24199F8" id="Rectangle 2" o:spid="_x0000_s1029" style="position:absolute;left:0;text-align:left;margin-left:-6.75pt;margin-top:-.1pt;width:159pt;height:8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" fillcolor="window" strokecolor="windowText" strokeweight="2pt">
                <v:textbo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Market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v:textbox>
              </v:rect>
            </w:pict>
          </mc:Fallback>
        </mc:AlternateContent>
      </w:r>
    </w:p>
    <w:p w:rsidR="00FE535F" w:rsidRDefault="00FE535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8480" behindDoc="0" locked="0" layoutInCell="1" allowOverlap="1" wp14:anchorId="515290DE" wp14:editId="678C8484">
                <wp:simplePos x="0" y="0"/>
                <wp:positionH relativeFrom="column">
                  <wp:posOffset>1958340</wp:posOffset>
                </wp:positionH>
                <wp:positionV relativeFrom="paragraph">
                  <wp:posOffset>279400</wp:posOffset>
                </wp:positionV>
                <wp:extent cx="563880" cy="7620"/>
                <wp:effectExtent l="0" t="76200" r="26670" b="87630"/>
                <wp:wrapNone/>
                <wp:docPr id="9" name="Straight Arrow Connector 9"/>
                <wp:cNvGraphicFramePr/>
                <a:graphic xmlns:a="http://schemas.openxmlformats.org/drawingml/2006/main">
                  <a:graphicData uri="http://schemas.microsoft.com/office/word/2010/wordprocessingShape">
                    <wps:wsp>
                      <wps:cNvCnPr/>
                      <wps:spPr>
                        <a:xfrm flipV="1">
                          <a:off x="0" y="0"/>
                          <a:ext cx="563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68E057" id="Straight Arrow Connector 9" o:spid="_x0000_s1026" type="#_x0000_t32" style="position:absolute;margin-left:154.2pt;margin-top:22pt;width:44.4pt;height:.6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" strokecolor="black [3040]">
                <v:stroke endarrow="block"/>
              </v:shape>
            </w:pict>
          </mc:Fallback>
        </mc:AlternateContent>
      </w:r>
    </w:p>
    <w:p w:rsidR="00FE535F" w:rsidRDefault="00AD21B3"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61312" behindDoc="0" locked="0" layoutInCell="1" allowOverlap="1" wp14:anchorId="14C49D10" wp14:editId="55CA31DF">
                <wp:simplePos x="0" y="0"/>
                <wp:positionH relativeFrom="column">
                  <wp:posOffset>-85725</wp:posOffset>
                </wp:positionH>
                <wp:positionV relativeFrom="paragraph">
                  <wp:posOffset>325120</wp:posOffset>
                </wp:positionV>
                <wp:extent cx="19431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43100" cy="990600"/>
                        </a:xfrm>
                        <a:prstGeom prst="rect">
                          <a:avLst/>
                        </a:prstGeom>
                        <a:solidFill>
                          <a:sysClr val="window" lastClr="FFFFFF"/>
                        </a:solidFill>
                        <a:ln w="25400" cap="flat" cmpd="sng" algn="ctr">
                          <a:solidFill>
                            <a:sysClr val="windowText" lastClr="000000"/>
                          </a:solidFill>
                          <a:prstDash val="solid"/>
                        </a:ln>
                        <a:effectLst/>
                      </wps:spPr>
                      <wps:txb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Legal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4C49D10" id="Rectangle 4" o:spid="_x0000_s1030" style="position:absolute;left:0;text-align:left;margin-left:-6.75pt;margin-top:25.6pt;width:153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" fillcolor="window" strokecolor="windowText" strokeweight="2pt">
                <v:textbox>
                  <w:txbxContent>
                    <w:p w:rsidR="00AF0519" w:rsidRDefault="00AF0519" w:rsidP="00AF0519">
                      <w:pPr>
                        <w:pStyle w:val="ListParagraph"/>
                        <w:numPr>
                          <w:ilvl w:val="0"/>
                          <w:numId w:val="4"/>
                        </w:numPr>
                        <w:spacing w:before="0" w:beforeAutospacing="0" w:after="0" w:afterAutospacing="0" w:line="240" w:lineRule="auto"/>
                        <w:ind w:left="720" w:hanging="720"/>
                        <w:contextualSpacing w:val="0"/>
                      </w:pPr>
                      <w:r>
                        <w:t>Legal Risk</w:t>
                      </w:r>
                      <w:r w:rsidR="00FE535F">
                        <w:t xml:space="preserve"> - </w:t>
                      </w:r>
                      <w:r>
                        <w:rPr>
                          <w:rFonts w:eastAsia="Arial"/>
                          <w:color w:val="000000"/>
                        </w:rPr>
                        <w:t>Standard deviation.</w:t>
                      </w:r>
                    </w:p>
                    <w:p w:rsidR="00FE535F" w:rsidRDefault="00FE535F" w:rsidP="00FE535F">
                      <w:pPr>
                        <w:jc w:val="center"/>
                      </w:pPr>
                    </w:p>
                    <w:p w:rsidR="00FE535F" w:rsidRDefault="00FE535F" w:rsidP="00FE535F">
                      <w:pPr>
                        <w:jc w:val="center"/>
                      </w:pPr>
                    </w:p>
                  </w:txbxContent>
                </v:textbox>
              </v:rect>
            </w:pict>
          </mc:Fallback>
        </mc:AlternateContent>
      </w:r>
    </w:p>
    <w:p w:rsidR="00FE535F" w:rsidRDefault="005A30AF" w:rsidP="00FE535F">
      <w:pPr>
        <w:spacing w:line="360" w:lineRule="auto"/>
        <w:rPr>
          <w:rFonts w:cs="Times New Roman"/>
          <w:szCs w:val="24"/>
          <w:lang w:val="en-GB"/>
        </w:rPr>
      </w:pPr>
      <w:r>
        <w:rPr>
          <w:rFonts w:cs="Times New Roman"/>
          <w:noProof/>
          <w:szCs w:val="24"/>
        </w:rPr>
        <mc:AlternateContent>
          <mc:Choice Requires="wps">
            <w:drawing>
              <wp:anchor distT="0" distB="0" distL="114300" distR="114300" simplePos="0" relativeHeight="251670528" behindDoc="0" locked="0" layoutInCell="1" allowOverlap="1" wp14:anchorId="2E592E05" wp14:editId="2E4752BB">
                <wp:simplePos x="0" y="0"/>
                <wp:positionH relativeFrom="column">
                  <wp:posOffset>1847850</wp:posOffset>
                </wp:positionH>
                <wp:positionV relativeFrom="paragraph">
                  <wp:posOffset>332105</wp:posOffset>
                </wp:positionV>
                <wp:extent cx="659130" cy="7620"/>
                <wp:effectExtent l="0" t="76200" r="26670" b="87630"/>
                <wp:wrapNone/>
                <wp:docPr id="12" name="Straight Arrow Connector 12"/>
                <wp:cNvGraphicFramePr/>
                <a:graphic xmlns:a="http://schemas.openxmlformats.org/drawingml/2006/main">
                  <a:graphicData uri="http://schemas.microsoft.com/office/word/2010/wordprocessingShape">
                    <wps:wsp>
                      <wps:cNvCnPr/>
                      <wps:spPr>
                        <a:xfrm flipV="1">
                          <a:off x="0" y="0"/>
                          <a:ext cx="65913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0D81C7A" id="Straight Arrow Connector 12" o:spid="_x0000_s1026" type="#_x0000_t32" style="position:absolute;margin-left:145.5pt;margin-top:26.15pt;width:51.9pt;height:.6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" strokecolor="black [3040]">
                <v:stroke endarrow="block"/>
              </v:shape>
            </w:pict>
          </mc:Fallback>
        </mc:AlternateContent>
      </w:r>
    </w:p>
    <w:p w:rsidR="00FE535F" w:rsidRPr="00603A59" w:rsidRDefault="00FE535F" w:rsidP="00FE535F">
      <w:pPr>
        <w:spacing w:line="360" w:lineRule="auto"/>
        <w:rPr>
          <w:rFonts w:cs="Times New Roman"/>
          <w:szCs w:val="24"/>
          <w:lang w:val="en-GB"/>
        </w:rPr>
      </w:pPr>
      <w:r>
        <w:rPr>
          <w:rFonts w:cs="Times New Roman"/>
          <w:b/>
          <w:szCs w:val="24"/>
        </w:rPr>
        <w:t>Source; (Author, 2025)</w:t>
      </w:r>
    </w:p>
    <w:p w:rsidR="00FE535F" w:rsidRPr="00FE535F" w:rsidRDefault="00FE535F" w:rsidP="00FE535F"/>
    <w:p w:rsidR="00FE535F" w:rsidRPr="00FE535F" w:rsidRDefault="00FE535F" w:rsidP="00FE535F">
      <w:pPr>
        <w:pStyle w:val="ListParagraph"/>
        <w:ind w:left="1440"/>
        <w:rPr>
          <w:rFonts w:cs="Times New Roman"/>
          <w:b/>
          <w:szCs w:val="24"/>
        </w:rPr>
      </w:pPr>
    </w:p>
    <w:p w:rsidR="00AF49CE" w:rsidRPr="00FF1D5F" w:rsidRDefault="00AF49CE" w:rsidP="00AF49CE">
      <w:pPr>
        <w:pStyle w:val="ListParagraph"/>
        <w:ind w:left="1440"/>
        <w:rPr>
          <w:rFonts w:cs="Times New Roman"/>
          <w:b/>
          <w:szCs w:val="24"/>
        </w:rPr>
      </w:pPr>
    </w:p>
    <w:p w:rsidR="00503471" w:rsidRPr="00503471" w:rsidRDefault="00503471" w:rsidP="00503471">
      <w:pPr>
        <w:pStyle w:val="ListParagraph"/>
        <w:ind w:left="1080"/>
        <w:rPr>
          <w:rFonts w:cs="Times New Roman"/>
          <w:szCs w:val="24"/>
        </w:rPr>
      </w:pPr>
    </w:p>
    <w:p w:rsidR="00664F02" w:rsidRPr="00664F02" w:rsidRDefault="00664F02" w:rsidP="00E906D9">
      <w:pPr>
        <w:ind w:left="40" w:right="40"/>
        <w:rPr>
          <w:rFonts w:eastAsia="Times New Roman" w:cs="Times New Roman"/>
          <w:b/>
          <w:szCs w:val="24"/>
        </w:rPr>
      </w:pPr>
    </w:p>
    <w:p w:rsidR="00735534" w:rsidRDefault="00735534" w:rsidP="00735534">
      <w:pPr>
        <w:rPr>
          <w:rFonts w:cs="Times New Roman"/>
          <w:b/>
          <w:szCs w:val="24"/>
        </w:rPr>
      </w:pPr>
      <w:r w:rsidRPr="00B14A67">
        <w:rPr>
          <w:rFonts w:cs="Times New Roman"/>
          <w:b/>
          <w:szCs w:val="24"/>
        </w:rPr>
        <w:t>Literature Review</w:t>
      </w:r>
    </w:p>
    <w:p w:rsidR="00735534" w:rsidRDefault="00735534" w:rsidP="00735534">
      <w:pPr>
        <w:rPr>
          <w:rFonts w:cs="Times New Roman"/>
          <w:szCs w:val="24"/>
        </w:rPr>
      </w:pPr>
      <w:r>
        <w:rPr>
          <w:rFonts w:cs="Times New Roman"/>
          <w:szCs w:val="24"/>
          <w:lang w:eastAsia="zh-CN"/>
        </w:rPr>
        <w:t>Foreign exchange risk is the threat of antagonistic influence on financial performance due to currency instabilities (World Bank, 2020). Likewise it can be defines as the probable losses from changes in foreign currency values affecting assets and liabilities (</w:t>
      </w:r>
      <w:smartTag w:uri="urn:schemas-microsoft-com:office:smarttags" w:element="stockticker">
        <w:r>
          <w:rPr>
            <w:rFonts w:cs="Times New Roman"/>
            <w:szCs w:val="24"/>
            <w:lang w:eastAsia="zh-CN"/>
          </w:rPr>
          <w:t>CBK</w:t>
        </w:r>
      </w:smartTag>
      <w:r>
        <w:rPr>
          <w:rFonts w:cs="Times New Roman"/>
          <w:szCs w:val="24"/>
          <w:lang w:eastAsia="zh-CN"/>
        </w:rPr>
        <w:t xml:space="preserve"> 2021). </w:t>
      </w:r>
      <w:r>
        <w:rPr>
          <w:rFonts w:cs="Times New Roman"/>
          <w:szCs w:val="24"/>
        </w:rPr>
        <w:t xml:space="preserve">Irene (2021) did a study on the effects of foreign exchange brisk on the financial performance of insurance firms in Kenya. </w:t>
      </w:r>
    </w:p>
    <w:p w:rsidR="00735534" w:rsidRDefault="00D62267" w:rsidP="00735534">
      <w:pPr>
        <w:rPr>
          <w:rFonts w:cs="Times New Roman"/>
          <w:szCs w:val="24"/>
        </w:rPr>
      </w:pPr>
      <w:r>
        <w:lastRenderedPageBreak/>
        <w:t>Ismail B. (2016)</w:t>
      </w:r>
      <w:r w:rsidR="00735534">
        <w:rPr>
          <w:rFonts w:cs="Times New Roman"/>
          <w:szCs w:val="24"/>
        </w:rPr>
        <w:t>, carried out a study on the relationship between the foreign exchange rates and the performance of stock market.</w:t>
      </w:r>
    </w:p>
    <w:p w:rsidR="00735534" w:rsidRDefault="00735534" w:rsidP="00735534">
      <w:pPr>
        <w:rPr>
          <w:rFonts w:cs="Times New Roman"/>
          <w:szCs w:val="24"/>
        </w:rPr>
      </w:pPr>
      <w:r>
        <w:rPr>
          <w:rFonts w:cs="Times New Roman"/>
          <w:szCs w:val="24"/>
        </w:rPr>
        <w:t xml:space="preserve">Accoding to </w:t>
      </w:r>
      <w:r w:rsidR="00C27149">
        <w:t>Joonas H. (2017</w:t>
      </w:r>
      <w:r>
        <w:rPr>
          <w:rFonts w:cs="Times New Roman"/>
          <w:szCs w:val="24"/>
        </w:rPr>
        <w:t>), there exists not at all significant relationship between inflation and financial performance. At the same time, the study discovered that there was not any significant relationship between performance and interest rates.</w:t>
      </w:r>
    </w:p>
    <w:p w:rsidR="00735534" w:rsidRDefault="00735534" w:rsidP="00735534">
      <w:pPr>
        <w:rPr>
          <w:rFonts w:cs="Times New Roman"/>
          <w:szCs w:val="24"/>
        </w:rPr>
      </w:pPr>
      <w:r>
        <w:rPr>
          <w:rFonts w:cs="Times New Roman"/>
          <w:szCs w:val="24"/>
        </w:rPr>
        <w:t xml:space="preserve"> After considering above studies, little has been done on the effects of foreign exchange on performance of insurance fir</w:t>
      </w:r>
      <w:r w:rsidR="00DB39C2">
        <w:rPr>
          <w:rFonts w:cs="Times New Roman"/>
          <w:szCs w:val="24"/>
        </w:rPr>
        <w:t>ms in Kenya. Thus this study is</w:t>
      </w:r>
      <w:r>
        <w:rPr>
          <w:rFonts w:cs="Times New Roman"/>
          <w:szCs w:val="24"/>
        </w:rPr>
        <w:t xml:space="preserve"> </w:t>
      </w:r>
      <w:r w:rsidR="00DB39C2">
        <w:rPr>
          <w:rFonts w:cs="Times New Roman"/>
          <w:szCs w:val="24"/>
        </w:rPr>
        <w:t>pursuing</w:t>
      </w:r>
      <w:r>
        <w:rPr>
          <w:rFonts w:cs="Times New Roman"/>
          <w:szCs w:val="24"/>
        </w:rPr>
        <w:t xml:space="preserve"> to answer the question; what is the effect of foreign exchange exposure on financial performance of insurance firms in Kenya?</w:t>
      </w:r>
    </w:p>
    <w:p w:rsidR="00AB5CC7" w:rsidRDefault="00AB5CC7" w:rsidP="00AB5CC7">
      <w:pPr>
        <w:autoSpaceDE w:val="0"/>
        <w:autoSpaceDN w:val="0"/>
        <w:adjustRightInd w:val="0"/>
        <w:spacing w:before="360"/>
        <w:rPr>
          <w:rFonts w:cs="Times New Roman"/>
          <w:szCs w:val="24"/>
        </w:rPr>
      </w:pPr>
      <w:r>
        <w:rPr>
          <w:rFonts w:cs="Times New Roman"/>
          <w:szCs w:val="24"/>
        </w:rPr>
        <w:t>Interest rate risk is the prospective of financial losses due to antagonistic variations in interest rates, as defined by both the World Bank (2020) and Central bank of Kenya (2021). This risk affects borrowers and lenders alike, with shifts in interest rates influencing the cost of debt and investment returns.</w:t>
      </w:r>
    </w:p>
    <w:p w:rsidR="00AB5CC7" w:rsidRDefault="00FE7E6A" w:rsidP="00AB5CC7">
      <w:pPr>
        <w:autoSpaceDE w:val="0"/>
        <w:autoSpaceDN w:val="0"/>
        <w:adjustRightInd w:val="0"/>
        <w:spacing w:before="360"/>
        <w:rPr>
          <w:rFonts w:cs="Times New Roman"/>
          <w:szCs w:val="24"/>
        </w:rPr>
      </w:pPr>
      <w:r>
        <w:t>Joseph M. &amp; Jagongo A. (2017)</w:t>
      </w:r>
      <w:r w:rsidR="00AB5CC7">
        <w:rPr>
          <w:rFonts w:cs="Times New Roman"/>
          <w:szCs w:val="24"/>
        </w:rPr>
        <w:t xml:space="preserve"> studied </w:t>
      </w:r>
      <w:r w:rsidR="00C9290E">
        <w:rPr>
          <w:rFonts w:cs="Times New Roman"/>
          <w:szCs w:val="24"/>
        </w:rPr>
        <w:t>“</w:t>
      </w:r>
      <w:r w:rsidR="00AB5CC7">
        <w:rPr>
          <w:rFonts w:cs="Times New Roman"/>
          <w:szCs w:val="24"/>
        </w:rPr>
        <w:t>the determinants of interest rate in Costa Rica. They established that the intermediation margin tended in the short term to have an inertial tendency to increase and that higher short term deposits are the result of more aggressive policies to depositors via attractive interest rates and thus lead to lower interest rate</w:t>
      </w:r>
      <w:r w:rsidR="00C9290E">
        <w:rPr>
          <w:rFonts w:cs="Times New Roman"/>
          <w:szCs w:val="24"/>
        </w:rPr>
        <w:t>”</w:t>
      </w:r>
      <w:r w:rsidR="00AB5CC7">
        <w:rPr>
          <w:rFonts w:cs="Times New Roman"/>
          <w:szCs w:val="24"/>
        </w:rPr>
        <w:t>.</w:t>
      </w:r>
    </w:p>
    <w:p w:rsidR="00735534" w:rsidRDefault="00285586" w:rsidP="00AB5CC7">
      <w:pPr>
        <w:spacing w:after="0"/>
        <w:rPr>
          <w:rFonts w:cs="Times New Roman"/>
          <w:szCs w:val="24"/>
        </w:rPr>
      </w:pPr>
      <w:r>
        <w:t>Joseph N.M (2014)</w:t>
      </w:r>
      <w:r w:rsidR="00AB5CC7">
        <w:rPr>
          <w:rFonts w:cs="Times New Roman"/>
          <w:szCs w:val="24"/>
        </w:rPr>
        <w:t xml:space="preserve"> pursued </w:t>
      </w:r>
      <w:r w:rsidR="00C9290E">
        <w:rPr>
          <w:rFonts w:cs="Times New Roman"/>
          <w:szCs w:val="24"/>
        </w:rPr>
        <w:t>“</w:t>
      </w:r>
      <w:r w:rsidR="00AB5CC7">
        <w:rPr>
          <w:rFonts w:cs="Times New Roman"/>
          <w:szCs w:val="24"/>
        </w:rPr>
        <w:t xml:space="preserve">the relationship between interest rate and financial performance of insurance firms in Kenya. The result was that there is positive relationship between financial performances and interest rate where internal and external variables hare significance influencing </w:t>
      </w:r>
      <w:r w:rsidR="00AB5CC7">
        <w:rPr>
          <w:rFonts w:cs="Times New Roman"/>
          <w:szCs w:val="24"/>
        </w:rPr>
        <w:lastRenderedPageBreak/>
        <w:t>on financial performance. It also establish that interest rate spread affect performance of assets in insurance as it increases the cost of loans charged on the borrowers, regulation on interest rates have far reaching effects on assets non-performance. The study recommended that there is need for government to regulate interest rates as this would help to safeguard borrowers from exploitation by insurance</w:t>
      </w:r>
      <w:r w:rsidR="00C9290E">
        <w:rPr>
          <w:rFonts w:cs="Times New Roman"/>
          <w:szCs w:val="24"/>
        </w:rPr>
        <w:t>”</w:t>
      </w:r>
    </w:p>
    <w:p w:rsidR="00AB5CC7" w:rsidRDefault="00AB5CC7" w:rsidP="00AB5CC7">
      <w:pPr>
        <w:rPr>
          <w:rFonts w:cs="Times New Roman"/>
          <w:szCs w:val="24"/>
        </w:rPr>
      </w:pPr>
      <w:r>
        <w:rPr>
          <w:rFonts w:cs="Times New Roman"/>
          <w:szCs w:val="24"/>
        </w:rPr>
        <w:t xml:space="preserve">According to </w:t>
      </w:r>
      <w:r w:rsidR="00FD6F79">
        <w:t xml:space="preserve">Badawi, A. </w:t>
      </w:r>
      <w:r w:rsidR="00FD6F79">
        <w:rPr>
          <w:rFonts w:cs="Times New Roman"/>
          <w:szCs w:val="24"/>
        </w:rPr>
        <w:t>(</w:t>
      </w:r>
      <w:r w:rsidR="00FD6F79">
        <w:t>2017</w:t>
      </w:r>
      <w:r>
        <w:rPr>
          <w:rFonts w:cs="Times New Roman"/>
          <w:szCs w:val="24"/>
        </w:rPr>
        <w:t xml:space="preserve">) he also did a research on impact of equity trading on financial performance of commercial banks. The objective of this research was to examine the connotation among forex dealing and financial performance. A consensus design was assumed in which all commercial banks were used in the study. </w:t>
      </w:r>
    </w:p>
    <w:p w:rsidR="00AB5CC7" w:rsidRDefault="00AB5CC7" w:rsidP="00AB5CC7">
      <w:pPr>
        <w:spacing w:after="0"/>
        <w:rPr>
          <w:rFonts w:cs="Times New Roman"/>
          <w:szCs w:val="24"/>
        </w:rPr>
      </w:pPr>
      <w:r>
        <w:rPr>
          <w:rFonts w:cs="Times New Roman"/>
          <w:szCs w:val="24"/>
        </w:rPr>
        <w:t xml:space="preserve">Also according </w:t>
      </w:r>
      <w:r w:rsidR="00C0772D">
        <w:t>Bony, S. Z., &amp; Moniruzzaman, M. D. (2017</w:t>
      </w:r>
      <w:r>
        <w:rPr>
          <w:rFonts w:cs="Times New Roman"/>
          <w:szCs w:val="24"/>
        </w:rPr>
        <w:t xml:space="preserve">), in his topic of study, relationship between financial performance of insurance firms and equity. </w:t>
      </w:r>
      <w:r w:rsidR="00C0772D">
        <w:t>Deloitte. (2015</w:t>
      </w:r>
      <w:r w:rsidR="00C0772D">
        <w:rPr>
          <w:rFonts w:cs="Times New Roman"/>
          <w:szCs w:val="24"/>
        </w:rPr>
        <w:t>)</w:t>
      </w:r>
      <w:r>
        <w:rPr>
          <w:rFonts w:cs="Times New Roman"/>
          <w:szCs w:val="24"/>
        </w:rPr>
        <w:t xml:space="preserve"> noted the strong association between fiscal performance for international organizations and equity risk unpredictability.</w:t>
      </w:r>
    </w:p>
    <w:p w:rsidR="00AB5CC7" w:rsidRDefault="005E3EA5" w:rsidP="00AB5CC7">
      <w:pPr>
        <w:rPr>
          <w:rFonts w:cs="Times New Roman"/>
          <w:szCs w:val="24"/>
        </w:rPr>
      </w:pPr>
      <w:r>
        <w:t>Geetha, N. (2016)</w:t>
      </w:r>
      <w:r w:rsidR="00AB5CC7">
        <w:rPr>
          <w:rFonts w:cs="Times New Roman"/>
          <w:szCs w:val="24"/>
        </w:rPr>
        <w:t xml:space="preserve"> considered association of firm size and </w:t>
      </w:r>
      <w:r w:rsidR="00AB5CC7">
        <w:rPr>
          <w:rFonts w:cs="Times New Roman"/>
          <w:bCs/>
          <w:szCs w:val="24"/>
        </w:rPr>
        <w:t>financial performance</w:t>
      </w:r>
      <w:r w:rsidR="00AB5CC7">
        <w:rPr>
          <w:rFonts w:cs="Times New Roman"/>
          <w:szCs w:val="24"/>
        </w:rPr>
        <w:t xml:space="preserve"> of insurance companies in Meru County. The research used on debenture financing as a variable but this study is going to use three independent variables. The results of regression analysis were analyzed using different statistical tests, including t and f tests. The price in informative was estimated using price synchronization combined with the transparency of markets information. The results indicated that firm size had an effect of the performance of the insurance firms from a price perspective. The study also recommended that stock price may contain some information that managers do not know. As a result, the study findings can help managers in portfolio decision </w:t>
      </w:r>
      <w:r w:rsidR="00AB5CC7">
        <w:rPr>
          <w:rFonts w:cs="Times New Roman"/>
          <w:szCs w:val="24"/>
        </w:rPr>
        <w:lastRenderedPageBreak/>
        <w:t xml:space="preserve">making. The study is going to use secondary data to clearly find the relationship of firm size and return on investments. </w:t>
      </w:r>
    </w:p>
    <w:p w:rsidR="00AB5CC7" w:rsidRDefault="005E3EA5" w:rsidP="00AB5CC7">
      <w:pPr>
        <w:pStyle w:val="BodyText"/>
        <w:spacing w:before="1" w:line="360" w:lineRule="auto"/>
        <w:jc w:val="both"/>
      </w:pPr>
      <w:r>
        <w:t>Isaac, L. (2015</w:t>
      </w:r>
      <w:r w:rsidR="00AB5CC7">
        <w:t xml:space="preserve">), carried out the study on the impact of company size on borrowing inl insurance </w:t>
      </w:r>
      <w:r w:rsidR="009C1660">
        <w:t>companies</w:t>
      </w:r>
      <w:r w:rsidR="00AB5CC7">
        <w:t xml:space="preserve"> in Kenya and establish a negative relationship which was due to accessibility of financing. Before employing the multiple linear regression models used in brief the study's findings, several and involving tests were conducted. The outcomes of these relationships revealed that return on investment and insurance firms. A strong effect on performance and insurance firms’ interest was shown by hypothesis testing at a 5% significance level. Since the heuristic test was insufficient, a second regression analysis was carried out.</w:t>
      </w:r>
    </w:p>
    <w:p w:rsidR="00AB5CC7" w:rsidRDefault="00AB5CC7" w:rsidP="00AB5CC7">
      <w:pPr>
        <w:rPr>
          <w:rFonts w:cs="Times New Roman"/>
          <w:b/>
          <w:szCs w:val="24"/>
        </w:rPr>
      </w:pPr>
      <w:r w:rsidRPr="00B14A67">
        <w:rPr>
          <w:rFonts w:cs="Times New Roman"/>
          <w:b/>
          <w:szCs w:val="24"/>
        </w:rPr>
        <w:t xml:space="preserve">Theoretical Review </w:t>
      </w:r>
    </w:p>
    <w:p w:rsidR="00AB5CC7" w:rsidRPr="00DB39C2" w:rsidRDefault="00AB5CC7" w:rsidP="00AB5CC7">
      <w:pPr>
        <w:pStyle w:val="Heading3"/>
        <w:rPr>
          <w:rFonts w:cs="Times New Roman"/>
          <w:color w:val="auto"/>
        </w:rPr>
      </w:pPr>
      <w:r w:rsidRPr="00DB39C2">
        <w:rPr>
          <w:rFonts w:cs="Times New Roman"/>
          <w:color w:val="auto"/>
        </w:rPr>
        <w:t>The Purchasing Power Parity (PPP) Theory</w:t>
      </w:r>
    </w:p>
    <w:p w:rsidR="00AB5CC7" w:rsidRDefault="00C9290E" w:rsidP="00AB5CC7">
      <w:pPr>
        <w:rPr>
          <w:rFonts w:cs="Times New Roman"/>
          <w:color w:val="000000" w:themeColor="text1"/>
          <w:szCs w:val="24"/>
        </w:rPr>
      </w:pPr>
      <w:r>
        <w:rPr>
          <w:rFonts w:cs="Times New Roman"/>
          <w:color w:val="000000" w:themeColor="text1"/>
          <w:szCs w:val="24"/>
        </w:rPr>
        <w:t>“</w:t>
      </w:r>
      <w:r w:rsidR="00AB5CC7">
        <w:rPr>
          <w:rFonts w:cs="Times New Roman"/>
          <w:color w:val="000000" w:themeColor="text1"/>
          <w:szCs w:val="24"/>
        </w:rPr>
        <w:t>Purchasing Power Parity (PPP) theory was developed by Gustav Cassel, a Swedish economist, in in 1918. The fundamental argument of PPP theory is based on the law of one price, which states that identical goods should sell for the same price when expressed in a common currency. The PPP theory argues that in the long run, exchange rates risk should adjust to equalize the cost of a basket of goods and services in two different countries. This is because the buying power of two currencies must vary in order for them to be equal</w:t>
      </w:r>
      <w:r>
        <w:rPr>
          <w:rFonts w:cs="Times New Roman"/>
          <w:color w:val="000000" w:themeColor="text1"/>
          <w:szCs w:val="24"/>
        </w:rPr>
        <w:t>”</w:t>
      </w:r>
      <w:r w:rsidR="00AB5CC7">
        <w:rPr>
          <w:rFonts w:cs="Times New Roman"/>
          <w:color w:val="000000" w:themeColor="text1"/>
          <w:szCs w:val="24"/>
        </w:rPr>
        <w:t xml:space="preserve"> </w:t>
      </w:r>
      <w:r w:rsidR="00AB5CC7">
        <w:rPr>
          <w:rFonts w:cs="Times New Roman"/>
          <w:color w:val="000000" w:themeColor="text1"/>
          <w:szCs w:val="24"/>
        </w:rPr>
        <w:fldChar w:fldCharType="begin" w:fldLock="1"/>
      </w:r>
      <w:r w:rsidR="00AB5CC7">
        <w:rPr>
          <w:rFonts w:cs="Times New Roman"/>
          <w:color w:val="000000" w:themeColor="text1"/>
          <w:szCs w:val="24"/>
        </w:rPr>
        <w:instrText>ADDIN CSL_CITATION {"citationItems":[{"id":"ITEM-1","itemData":{"ISSN":"0261-5606","author":[{"dropping-particle":"","family":"Lothian","given":"James R","non-dropping-particle":"","parse-names":false,"suffix":""}],"container-title":"Journal of International Money and Finance","id":"ITEM-1","issued":{"date-parts":[["2016"]]},"page":"5-21","publisher":"Elsevier","title":"Purchasing power parity and the behavior of prices and nominal exchange rates across exchange-rate regimes","type":"article-journal","volume":"69"},"uris":["http://www.mendeley.com/documents/?uuid=332bcbef-5a4b-45cf-9c58-02730cf57cac"]}],"mendeley":{"formattedCitation":"(Lothian, 2016)","plainTextFormattedCitation":"(Lothian, 2016)","previouslyFormattedCitation":"(Lothian, 2016)"},"properties":{"noteIndex":0},"schema":"https://github.com/citation-style-language/schema/raw/master/csl-citation.json"}</w:instrText>
      </w:r>
      <w:r w:rsidR="00AB5CC7">
        <w:rPr>
          <w:rFonts w:cs="Times New Roman"/>
          <w:color w:val="000000" w:themeColor="text1"/>
          <w:szCs w:val="24"/>
        </w:rPr>
        <w:fldChar w:fldCharType="separate"/>
      </w:r>
      <w:r w:rsidR="00AB5CC7">
        <w:rPr>
          <w:rFonts w:cs="Times New Roman"/>
          <w:color w:val="000000" w:themeColor="text1"/>
          <w:szCs w:val="24"/>
        </w:rPr>
        <w:t>(</w:t>
      </w:r>
      <w:r w:rsidR="0008400A">
        <w:t>Jeleel, A., &amp; Olayiwola, B. (2017)</w:t>
      </w:r>
      <w:r w:rsidR="00AB5CC7">
        <w:rPr>
          <w:rFonts w:cs="Times New Roman"/>
          <w:color w:val="000000" w:themeColor="text1"/>
          <w:szCs w:val="24"/>
        </w:rPr>
        <w:fldChar w:fldCharType="end"/>
      </w:r>
      <w:r w:rsidR="00AB5CC7">
        <w:rPr>
          <w:rFonts w:cs="Times New Roman"/>
          <w:color w:val="000000" w:themeColor="text1"/>
          <w:szCs w:val="24"/>
        </w:rPr>
        <w:t xml:space="preserve">. The ratio between the prices of a basket of goods and services in each nation and the relative prices in the other country should be used to determine the exchange rate between two currencies. According to the theory, currency risk should be proportional to the disparity in inflation rates between the two nations. The theory assumes that there are no transportation costs, no trade restrictions, and </w:t>
      </w:r>
      <w:r w:rsidR="00DB39C2">
        <w:rPr>
          <w:rFonts w:cs="Times New Roman"/>
          <w:color w:val="000000" w:themeColor="text1"/>
          <w:szCs w:val="24"/>
        </w:rPr>
        <w:t>those</w:t>
      </w:r>
      <w:r w:rsidR="00AB5CC7">
        <w:rPr>
          <w:rFonts w:cs="Times New Roman"/>
          <w:color w:val="000000" w:themeColor="text1"/>
          <w:szCs w:val="24"/>
        </w:rPr>
        <w:t xml:space="preserve"> goods and services can be freely exchanged across nations. </w:t>
      </w:r>
    </w:p>
    <w:p w:rsidR="00AB5CC7" w:rsidRPr="00DB39C2" w:rsidRDefault="00AB5CC7" w:rsidP="00AB5CC7">
      <w:pPr>
        <w:pStyle w:val="Heading3"/>
        <w:rPr>
          <w:rFonts w:cs="Times New Roman"/>
          <w:color w:val="auto"/>
        </w:rPr>
      </w:pPr>
      <w:r w:rsidRPr="00DB39C2">
        <w:rPr>
          <w:rFonts w:cs="Times New Roman"/>
          <w:color w:val="auto"/>
        </w:rPr>
        <w:lastRenderedPageBreak/>
        <w:t>The Macaulay Duration Theory</w:t>
      </w:r>
    </w:p>
    <w:p w:rsidR="00AB5CC7" w:rsidRDefault="00AB5CC7" w:rsidP="00AB5CC7">
      <w:pPr>
        <w:rPr>
          <w:rFonts w:cs="Times New Roman"/>
          <w:color w:val="000000" w:themeColor="text1"/>
          <w:szCs w:val="24"/>
        </w:rPr>
      </w:pPr>
      <w:r>
        <w:rPr>
          <w:rFonts w:cs="Times New Roman"/>
          <w:color w:val="000000" w:themeColor="text1"/>
          <w:szCs w:val="24"/>
        </w:rPr>
        <w:t>Macaulay</w:t>
      </w:r>
      <w:r>
        <w:rPr>
          <w:rFonts w:cs="Times New Roman"/>
          <w:b/>
          <w:bCs/>
          <w:color w:val="000000" w:themeColor="text1"/>
          <w:szCs w:val="24"/>
        </w:rPr>
        <w:t xml:space="preserve"> </w:t>
      </w:r>
      <w:r>
        <w:rPr>
          <w:rFonts w:cs="Times New Roman"/>
          <w:color w:val="000000" w:themeColor="text1"/>
          <w:szCs w:val="24"/>
        </w:rPr>
        <w:t>Duration theory</w:t>
      </w:r>
      <w:r>
        <w:rPr>
          <w:rFonts w:cs="Times New Roman"/>
          <w:color w:val="000000" w:themeColor="text1"/>
          <w:szCs w:val="24"/>
          <w:lang w:val="en-GB"/>
        </w:rPr>
        <w:t xml:space="preserve"> </w:t>
      </w:r>
      <w:r>
        <w:rPr>
          <w:rFonts w:cs="Times New Roman"/>
          <w:color w:val="000000" w:themeColor="text1"/>
          <w:szCs w:val="24"/>
        </w:rPr>
        <w:t xml:space="preserve">was developed by F. Macaulay in 1938. </w:t>
      </w:r>
      <w:r>
        <w:rPr>
          <w:rFonts w:cs="Times New Roman"/>
          <w:color w:val="000000" w:themeColor="text1"/>
          <w:szCs w:val="24"/>
          <w:lang w:val="en-GB"/>
        </w:rPr>
        <w:t>The t</w:t>
      </w:r>
      <w:r w:rsidR="00DB39C2">
        <w:rPr>
          <w:rFonts w:cs="Times New Roman"/>
          <w:color w:val="000000" w:themeColor="text1"/>
          <w:szCs w:val="24"/>
        </w:rPr>
        <w:t>theory</w:t>
      </w:r>
      <w:r>
        <w:rPr>
          <w:rFonts w:cs="Times New Roman"/>
          <w:color w:val="000000" w:themeColor="text1"/>
          <w:szCs w:val="24"/>
        </w:rPr>
        <w:t xml:space="preserve"> argues that the value of a constant-revenue security, such as a bond, is sensitive to interest rate risk. Duration represents the weighted average time it takes to receive the cash flows from a bond. It considers both the timing and magnitude of cash flows, incorporating the coupon payments and the bond's final principal payment. Duration allows for the comparison of bonds with different maturities, coupon rates, and yields. It provides a standardized measure that can help investors assess the interest rate risk associated with different bond investments.</w:t>
      </w:r>
    </w:p>
    <w:p w:rsidR="00AB5CC7" w:rsidRDefault="00AB5CC7" w:rsidP="00AB5CC7">
      <w:pPr>
        <w:rPr>
          <w:rFonts w:cs="Times New Roman"/>
          <w:color w:val="000000" w:themeColor="text1"/>
          <w:szCs w:val="24"/>
        </w:rPr>
      </w:pPr>
      <w:r>
        <w:rPr>
          <w:rFonts w:cs="Times New Roman"/>
          <w:color w:val="000000" w:themeColor="text1"/>
          <w:szCs w:val="24"/>
        </w:rPr>
        <w:t xml:space="preserve">According to </w:t>
      </w:r>
      <w:r w:rsidR="002E4563">
        <w:t>Kassi, D. F., Rathnayake, D. N., Louembe, P. A., &amp; Ding, N. (2019</w:t>
      </w:r>
      <w:r>
        <w:rPr>
          <w:rFonts w:cs="Times New Roman"/>
          <w:color w:val="000000" w:themeColor="text1"/>
          <w:szCs w:val="24"/>
        </w:rPr>
        <w:t>), IRP holds in the longer period, but that deviations from IRP can persistent in</w:t>
      </w:r>
      <w:r w:rsidR="00DB39C2">
        <w:rPr>
          <w:rFonts w:cs="Times New Roman"/>
          <w:color w:val="000000" w:themeColor="text1"/>
          <w:szCs w:val="24"/>
        </w:rPr>
        <w:t xml:space="preserve"> the shorter period. The study</w:t>
      </w:r>
      <w:r>
        <w:rPr>
          <w:rFonts w:cs="Times New Roman"/>
          <w:color w:val="000000" w:themeColor="text1"/>
          <w:szCs w:val="24"/>
        </w:rPr>
        <w:t xml:space="preserve"> use</w:t>
      </w:r>
      <w:r w:rsidR="00DB39C2">
        <w:rPr>
          <w:rFonts w:cs="Times New Roman"/>
          <w:color w:val="000000" w:themeColor="text1"/>
          <w:szCs w:val="24"/>
        </w:rPr>
        <w:t>d</w:t>
      </w:r>
      <w:r>
        <w:rPr>
          <w:rFonts w:cs="Times New Roman"/>
          <w:szCs w:val="24"/>
        </w:rPr>
        <w:t xml:space="preserve"> </w:t>
      </w:r>
      <w:r>
        <w:rPr>
          <w:rFonts w:cs="Times New Roman"/>
          <w:color w:val="000000" w:themeColor="text1"/>
          <w:szCs w:val="24"/>
        </w:rPr>
        <w:t>Macaulay Duration Theory to investigate the effect of interest rate risk on the financial distress of insurance companies in Kenya.</w:t>
      </w:r>
    </w:p>
    <w:p w:rsidR="00AB5CC7" w:rsidRPr="009C0B23" w:rsidRDefault="00AB5CC7" w:rsidP="00AB5CC7">
      <w:pPr>
        <w:pStyle w:val="Heading2"/>
        <w:rPr>
          <w:color w:val="auto"/>
          <w:szCs w:val="24"/>
        </w:rPr>
      </w:pPr>
      <w:r w:rsidRPr="009C0B23">
        <w:rPr>
          <w:color w:val="auto"/>
          <w:szCs w:val="24"/>
        </w:rPr>
        <w:t>Research Design</w:t>
      </w:r>
    </w:p>
    <w:p w:rsidR="00AB5CC7" w:rsidRDefault="009C0B23" w:rsidP="00AB5CC7">
      <w:pPr>
        <w:spacing w:after="0"/>
      </w:pPr>
      <w:r>
        <w:t>This study</w:t>
      </w:r>
      <w:r w:rsidR="00AB5CC7">
        <w:t xml:space="preserve"> adopt</w:t>
      </w:r>
      <w:r>
        <w:t>ed</w:t>
      </w:r>
      <w:r w:rsidR="00AB5CC7">
        <w:t xml:space="preserve"> descriptive survey research design as the study attempts to examine relationship between market risks and the financial distress of Insurance Industry in Kenya. The de</w:t>
      </w:r>
      <w:r w:rsidR="00A10042">
        <w:t>sign was</w:t>
      </w:r>
      <w:r w:rsidR="00AB5CC7">
        <w:t xml:space="preserve"> relevant as it explains the current status of a phenomenon and is concerned with finding out the what, where and how of a phenomenon </w:t>
      </w:r>
      <w:r w:rsidR="00A470B0">
        <w:t>Little, R., &amp; Rubin, D. (2014)</w:t>
      </w:r>
      <w:r w:rsidR="00AB5CC7">
        <w:t>.</w:t>
      </w:r>
    </w:p>
    <w:p w:rsidR="00AB5CC7" w:rsidRPr="00A10042" w:rsidRDefault="00AB5CC7" w:rsidP="00AB5CC7">
      <w:pPr>
        <w:pStyle w:val="Heading2"/>
        <w:rPr>
          <w:color w:val="auto"/>
          <w:szCs w:val="24"/>
        </w:rPr>
      </w:pPr>
      <w:r w:rsidRPr="00A10042">
        <w:rPr>
          <w:color w:val="auto"/>
          <w:szCs w:val="24"/>
        </w:rPr>
        <w:lastRenderedPageBreak/>
        <w:t>Research Philosophy</w:t>
      </w:r>
    </w:p>
    <w:p w:rsidR="00AB5CC7" w:rsidRPr="00A10042" w:rsidRDefault="00AB5CC7" w:rsidP="00AB5CC7">
      <w:pPr>
        <w:rPr>
          <w:rFonts w:cs="Times New Roman"/>
          <w:color w:val="1F1F1F"/>
          <w:szCs w:val="24"/>
          <w:shd w:val="clear" w:color="auto" w:fill="FFFFFF"/>
        </w:rPr>
      </w:pPr>
      <w:r w:rsidRPr="00A10042">
        <w:rPr>
          <w:rFonts w:cs="Times New Roman"/>
          <w:szCs w:val="24"/>
          <w:shd w:val="clear" w:color="auto" w:fill="FFFFFF"/>
        </w:rPr>
        <w:t>A methodology </w:t>
      </w:r>
      <w:r w:rsidR="00A10042" w:rsidRPr="00A10042">
        <w:rPr>
          <w:rFonts w:cs="Times New Roman"/>
          <w:szCs w:val="24"/>
        </w:rPr>
        <w:t>particular</w:t>
      </w:r>
      <w:r w:rsidRPr="00A10042">
        <w:rPr>
          <w:rFonts w:cs="Times New Roman"/>
          <w:szCs w:val="24"/>
        </w:rPr>
        <w:t xml:space="preserve"> investigator's tactic to the research to guarantee dependable, binding outcomes that address their goals and purposes</w:t>
      </w:r>
      <w:r w:rsidRPr="00A10042">
        <w:rPr>
          <w:rFonts w:cs="Times New Roman"/>
          <w:szCs w:val="24"/>
          <w:shd w:val="clear" w:color="auto" w:fill="FFFFFF"/>
        </w:rPr>
        <w:t>. It includes what data they are going to collect and where from, as well as how it's being composed and scrutinized</w:t>
      </w:r>
      <w:r w:rsidRPr="00A10042">
        <w:rPr>
          <w:rFonts w:cs="Times New Roman"/>
          <w:color w:val="1F1F1F"/>
          <w:szCs w:val="24"/>
          <w:shd w:val="clear" w:color="auto" w:fill="FFFFFF"/>
        </w:rPr>
        <w:t xml:space="preserve">. </w:t>
      </w:r>
    </w:p>
    <w:p w:rsidR="00AB5CC7" w:rsidRDefault="00AB5CC7" w:rsidP="00AB5CC7">
      <w:r>
        <w:rPr>
          <w:rFonts w:eastAsia="SimSun" w:cs="Times New Roman"/>
          <w:szCs w:val="24"/>
          <w:lang w:eastAsia="zh-CN" w:bidi="ar"/>
        </w:rPr>
        <w:t>A framework that directs research methodology based on conceptions of reality and the nature of knowledge is known as a research philosophy (</w:t>
      </w:r>
      <w:r w:rsidR="004F6C35">
        <w:t>Cytonn Investments. (2020</w:t>
      </w:r>
      <w:r>
        <w:rPr>
          <w:rFonts w:eastAsia="SimSun" w:cs="Times New Roman"/>
          <w:szCs w:val="24"/>
          <w:lang w:eastAsia="zh-CN" w:bidi="ar"/>
        </w:rPr>
        <w:t xml:space="preserve">). There are two primary research philosophies: interpretivism and positivism. Since positivism holds that reality exists independently of humans and that researchers may thus study reality objectively, both ideologies reflect two essentially different ways that humans interpret the world. According to interpretivism, reality is very subjective since our perceptions shape it </w:t>
      </w:r>
      <w:r w:rsidR="004F6C35">
        <w:t>Cytonn Investments. (2020</w:t>
      </w:r>
      <w:r>
        <w:rPr>
          <w:rFonts w:ascii="SimSun" w:eastAsia="SimSun" w:hAnsi="SimSun" w:cs="SimSun"/>
          <w:szCs w:val="24"/>
          <w:lang w:eastAsia="zh-CN" w:bidi="ar"/>
        </w:rPr>
        <w:t>.</w:t>
      </w:r>
    </w:p>
    <w:p w:rsidR="00AB5CC7" w:rsidRPr="00A10042" w:rsidRDefault="00AB5CC7" w:rsidP="00AB5CC7">
      <w:pPr>
        <w:pStyle w:val="Heading2"/>
        <w:rPr>
          <w:color w:val="auto"/>
          <w:szCs w:val="24"/>
        </w:rPr>
      </w:pPr>
      <w:r w:rsidRPr="00A10042">
        <w:rPr>
          <w:color w:val="auto"/>
          <w:szCs w:val="24"/>
        </w:rPr>
        <w:t>Data Collection Instrument</w:t>
      </w:r>
    </w:p>
    <w:p w:rsidR="00AB5CC7" w:rsidRDefault="00AB5CC7" w:rsidP="00AB5CC7">
      <w:pPr>
        <w:pStyle w:val="BodyText"/>
        <w:spacing w:before="1" w:line="360" w:lineRule="auto"/>
        <w:ind w:right="225"/>
        <w:jc w:val="both"/>
      </w:pPr>
      <w:r>
        <w:t xml:space="preserve"> Secondary data </w:t>
      </w:r>
      <w:r w:rsidR="00A10042">
        <w:t xml:space="preserve">was </w:t>
      </w:r>
      <w:r>
        <w:t>used from financial statements as per the audits reports. Data w</w:t>
      </w:r>
      <w:r w:rsidR="00A10042">
        <w:t xml:space="preserve">as </w:t>
      </w:r>
      <w:r>
        <w:t xml:space="preserve">received from the Insurance Regulatory authority. The data </w:t>
      </w:r>
      <w:r w:rsidR="00A10042">
        <w:t>was</w:t>
      </w:r>
      <w:r>
        <w:t xml:space="preserve"> from a period of ten years (2013-2024).</w:t>
      </w:r>
    </w:p>
    <w:p w:rsidR="00AB5CC7" w:rsidRPr="0020577F" w:rsidRDefault="00AB5CC7" w:rsidP="00AB5CC7">
      <w:pPr>
        <w:pStyle w:val="Heading2"/>
        <w:rPr>
          <w:color w:val="auto"/>
          <w:szCs w:val="24"/>
        </w:rPr>
      </w:pPr>
      <w:r w:rsidRPr="0020577F">
        <w:rPr>
          <w:color w:val="auto"/>
          <w:szCs w:val="24"/>
        </w:rPr>
        <w:t>Data Collection Procedure</w:t>
      </w:r>
    </w:p>
    <w:p w:rsidR="00AB5CC7" w:rsidRDefault="00AB5CC7" w:rsidP="00AB5CC7">
      <w:pPr>
        <w:rPr>
          <w:rFonts w:cs="Times New Roman"/>
          <w:szCs w:val="24"/>
        </w:rPr>
      </w:pPr>
      <w:r>
        <w:rPr>
          <w:rFonts w:cs="Times New Roman"/>
          <w:bCs/>
          <w:szCs w:val="24"/>
        </w:rPr>
        <w:t>The researcher first obtained an introductory lett</w:t>
      </w:r>
      <w:r w:rsidR="00035FC6">
        <w:rPr>
          <w:rFonts w:cs="Times New Roman"/>
          <w:bCs/>
          <w:szCs w:val="24"/>
        </w:rPr>
        <w:t>er from the university which</w:t>
      </w:r>
      <w:r>
        <w:rPr>
          <w:rFonts w:cs="Times New Roman"/>
          <w:bCs/>
          <w:szCs w:val="24"/>
        </w:rPr>
        <w:t xml:space="preserve"> facilitate</w:t>
      </w:r>
      <w:r w:rsidR="00035FC6">
        <w:rPr>
          <w:rFonts w:cs="Times New Roman"/>
          <w:bCs/>
          <w:szCs w:val="24"/>
        </w:rPr>
        <w:t>d</w:t>
      </w:r>
      <w:r>
        <w:rPr>
          <w:rFonts w:cs="Times New Roman"/>
          <w:bCs/>
          <w:szCs w:val="24"/>
        </w:rPr>
        <w:t xml:space="preserve"> the acquisition of necessary data from respective companies. Using the introduction letter from the university, the </w:t>
      </w:r>
      <w:r w:rsidR="00040A1D">
        <w:rPr>
          <w:rFonts w:cs="Times New Roman"/>
          <w:bCs/>
          <w:szCs w:val="24"/>
        </w:rPr>
        <w:t xml:space="preserve">researcher </w:t>
      </w:r>
      <w:r w:rsidR="00E7349A">
        <w:rPr>
          <w:rFonts w:cs="Times New Roman"/>
          <w:bCs/>
          <w:szCs w:val="24"/>
        </w:rPr>
        <w:t>sought permission</w:t>
      </w:r>
      <w:r>
        <w:rPr>
          <w:rFonts w:cs="Times New Roman"/>
          <w:bCs/>
          <w:szCs w:val="24"/>
        </w:rPr>
        <w:t xml:space="preserve"> from IRA to access financial statements of the 10 major Insurance Companies between 2013 and 2024. The data collected </w:t>
      </w:r>
      <w:r w:rsidR="00035FC6">
        <w:rPr>
          <w:rFonts w:cs="Times New Roman"/>
          <w:bCs/>
          <w:szCs w:val="24"/>
        </w:rPr>
        <w:t>was</w:t>
      </w:r>
      <w:r>
        <w:rPr>
          <w:rFonts w:cs="Times New Roman"/>
          <w:bCs/>
          <w:szCs w:val="24"/>
        </w:rPr>
        <w:t xml:space="preserve"> used to calculate </w:t>
      </w:r>
      <w:r>
        <w:rPr>
          <w:rFonts w:cs="Times New Roman"/>
          <w:bCs/>
          <w:szCs w:val="24"/>
        </w:rPr>
        <w:lastRenderedPageBreak/>
        <w:t>ratios for individual study variables. The cross sectional data consisted of the firms while the time series data were the years between 2013 and 2024</w:t>
      </w:r>
      <w:r>
        <w:rPr>
          <w:rFonts w:cs="Times New Roman"/>
          <w:szCs w:val="24"/>
        </w:rPr>
        <w:t>.</w:t>
      </w:r>
    </w:p>
    <w:p w:rsidR="00AB5CC7" w:rsidRPr="00035FC6" w:rsidRDefault="00035FC6" w:rsidP="00AB5CC7">
      <w:pPr>
        <w:pStyle w:val="Heading2"/>
        <w:rPr>
          <w:b w:val="0"/>
          <w:color w:val="auto"/>
          <w:lang w:eastAsia="zh-CN"/>
        </w:rPr>
      </w:pPr>
      <w:r>
        <w:rPr>
          <w:color w:val="auto"/>
          <w:lang w:eastAsia="zh-CN"/>
        </w:rPr>
        <w:t>Data Analysis and presentation</w:t>
      </w:r>
    </w:p>
    <w:p w:rsidR="00AB5CC7" w:rsidRPr="00035FC6" w:rsidRDefault="00AB5CC7" w:rsidP="00035FC6">
      <w:pPr>
        <w:pStyle w:val="Heading2"/>
        <w:rPr>
          <w:b w:val="0"/>
          <w:color w:val="000000" w:themeColor="text1"/>
          <w:lang w:eastAsia="zh-CN"/>
        </w:rPr>
      </w:pPr>
      <w:r w:rsidRPr="00EA43E7">
        <w:rPr>
          <w:b w:val="0"/>
          <w:color w:val="000000" w:themeColor="text1"/>
          <w:szCs w:val="24"/>
        </w:rPr>
        <w:t xml:space="preserve">Data </w:t>
      </w:r>
      <w:r w:rsidR="00035FC6">
        <w:rPr>
          <w:b w:val="0"/>
          <w:color w:val="000000" w:themeColor="text1"/>
          <w:szCs w:val="24"/>
        </w:rPr>
        <w:t>was</w:t>
      </w:r>
      <w:r w:rsidRPr="00EA43E7">
        <w:rPr>
          <w:b w:val="0"/>
          <w:color w:val="000000" w:themeColor="text1"/>
          <w:szCs w:val="24"/>
        </w:rPr>
        <w:t xml:space="preserve"> first </w:t>
      </w:r>
      <w:r w:rsidR="00A376D5" w:rsidRPr="00EA43E7">
        <w:rPr>
          <w:b w:val="0"/>
          <w:color w:val="000000" w:themeColor="text1"/>
          <w:szCs w:val="24"/>
        </w:rPr>
        <w:t>being</w:t>
      </w:r>
      <w:r w:rsidRPr="00EA43E7">
        <w:rPr>
          <w:b w:val="0"/>
          <w:color w:val="000000" w:themeColor="text1"/>
          <w:szCs w:val="24"/>
        </w:rPr>
        <w:t xml:space="preserve"> </w:t>
      </w:r>
      <w:r w:rsidR="00035FC6" w:rsidRPr="00EA43E7">
        <w:rPr>
          <w:b w:val="0"/>
          <w:color w:val="000000" w:themeColor="text1"/>
          <w:szCs w:val="24"/>
        </w:rPr>
        <w:t>tilted</w:t>
      </w:r>
      <w:r w:rsidRPr="00EA43E7">
        <w:rPr>
          <w:b w:val="0"/>
          <w:color w:val="000000" w:themeColor="text1"/>
          <w:szCs w:val="24"/>
        </w:rPr>
        <w:t xml:space="preserve">, set and organized for analysis. Data Statistical package for social sciences (SPSS) software will be used. Average statistics </w:t>
      </w:r>
      <w:r w:rsidR="00035FC6">
        <w:rPr>
          <w:b w:val="0"/>
          <w:color w:val="000000" w:themeColor="text1"/>
          <w:szCs w:val="24"/>
        </w:rPr>
        <w:t>was</w:t>
      </w:r>
      <w:r w:rsidRPr="00EA43E7">
        <w:rPr>
          <w:b w:val="0"/>
          <w:color w:val="000000" w:themeColor="text1"/>
          <w:szCs w:val="24"/>
        </w:rPr>
        <w:t xml:space="preserve"> used for illustration for this study. </w:t>
      </w:r>
    </w:p>
    <w:p w:rsidR="00AB5CC7" w:rsidRPr="00035FC6" w:rsidRDefault="00AB5CC7" w:rsidP="00AB5CC7">
      <w:pPr>
        <w:pStyle w:val="Heading3"/>
        <w:rPr>
          <w:color w:val="auto"/>
          <w:lang w:eastAsia="zh-CN"/>
        </w:rPr>
      </w:pPr>
      <w:r w:rsidRPr="00035FC6">
        <w:rPr>
          <w:color w:val="auto"/>
          <w:lang w:eastAsia="zh-CN"/>
        </w:rPr>
        <w:t>3.9.1 Models used to study data analysis</w:t>
      </w:r>
    </w:p>
    <w:p w:rsidR="00AB5CC7" w:rsidRPr="006F3566" w:rsidRDefault="00AB5CC7" w:rsidP="00AB5CC7">
      <w:pPr>
        <w:rPr>
          <w:rFonts w:cs="Times New Roman"/>
          <w:szCs w:val="24"/>
        </w:rPr>
      </w:pPr>
      <w:r w:rsidRPr="006F3566">
        <w:rPr>
          <w:rFonts w:cs="Times New Roman"/>
          <w:szCs w:val="24"/>
        </w:rPr>
        <w:t>The multiple regression equation will take the form below.</w:t>
      </w:r>
    </w:p>
    <w:p w:rsidR="00AB5CC7" w:rsidRPr="006F3566" w:rsidRDefault="00AB5CC7" w:rsidP="00AB5CC7">
      <w:pPr>
        <w:ind w:left="720"/>
        <w:rPr>
          <w:rFonts w:cs="Times New Roman"/>
          <w:szCs w:val="24"/>
        </w:rPr>
      </w:pPr>
      <w:r w:rsidRPr="006F3566">
        <w:rPr>
          <w:rFonts w:cs="Times New Roman"/>
          <w:szCs w:val="24"/>
        </w:rPr>
        <w:t>Y =B</w:t>
      </w:r>
      <w:r w:rsidRPr="006F3566">
        <w:rPr>
          <w:rFonts w:cs="Times New Roman"/>
          <w:szCs w:val="24"/>
          <w:vertAlign w:val="subscript"/>
        </w:rPr>
        <w:t>O</w:t>
      </w:r>
      <w:r w:rsidRPr="006F3566">
        <w:rPr>
          <w:rFonts w:cs="Times New Roman"/>
          <w:szCs w:val="24"/>
        </w:rPr>
        <w:t>+B</w:t>
      </w:r>
      <w:r w:rsidRPr="006F3566">
        <w:rPr>
          <w:rFonts w:cs="Times New Roman"/>
          <w:szCs w:val="24"/>
          <w:vertAlign w:val="subscript"/>
        </w:rPr>
        <w:t>1</w:t>
      </w:r>
      <w:r w:rsidRPr="006F3566">
        <w:rPr>
          <w:rFonts w:cs="Times New Roman"/>
          <w:szCs w:val="24"/>
        </w:rPr>
        <w:t>X</w:t>
      </w:r>
      <w:r w:rsidRPr="006F3566">
        <w:rPr>
          <w:rFonts w:cs="Times New Roman"/>
          <w:szCs w:val="24"/>
          <w:vertAlign w:val="subscript"/>
        </w:rPr>
        <w:t>1</w:t>
      </w:r>
      <w:r w:rsidRPr="006F3566">
        <w:rPr>
          <w:rFonts w:cs="Times New Roman"/>
          <w:szCs w:val="24"/>
        </w:rPr>
        <w:t xml:space="preserve"> +B</w:t>
      </w:r>
      <w:r w:rsidRPr="006F3566">
        <w:rPr>
          <w:rFonts w:cs="Times New Roman"/>
          <w:szCs w:val="24"/>
          <w:vertAlign w:val="subscript"/>
        </w:rPr>
        <w:t>2</w:t>
      </w:r>
      <w:r w:rsidRPr="006F3566">
        <w:rPr>
          <w:rFonts w:cs="Times New Roman"/>
          <w:szCs w:val="24"/>
        </w:rPr>
        <w:t>X</w:t>
      </w:r>
      <w:r w:rsidRPr="006F3566">
        <w:rPr>
          <w:rFonts w:cs="Times New Roman"/>
          <w:szCs w:val="24"/>
          <w:vertAlign w:val="subscript"/>
        </w:rPr>
        <w:t>2</w:t>
      </w:r>
      <w:r w:rsidRPr="006F3566">
        <w:rPr>
          <w:rFonts w:cs="Times New Roman"/>
          <w:szCs w:val="24"/>
        </w:rPr>
        <w:t>+B</w:t>
      </w:r>
      <w:r w:rsidRPr="006F3566">
        <w:rPr>
          <w:rFonts w:cs="Times New Roman"/>
          <w:szCs w:val="24"/>
          <w:vertAlign w:val="subscript"/>
        </w:rPr>
        <w:t>3</w:t>
      </w:r>
      <w:r w:rsidRPr="006F3566">
        <w:rPr>
          <w:rFonts w:cs="Times New Roman"/>
          <w:szCs w:val="24"/>
        </w:rPr>
        <w:t>X</w:t>
      </w:r>
      <w:r w:rsidRPr="006F3566">
        <w:rPr>
          <w:rFonts w:cs="Times New Roman"/>
          <w:szCs w:val="24"/>
          <w:vertAlign w:val="subscript"/>
        </w:rPr>
        <w:t>3</w:t>
      </w:r>
      <w:r w:rsidRPr="006F3566">
        <w:rPr>
          <w:rFonts w:cs="Times New Roman"/>
          <w:szCs w:val="24"/>
        </w:rPr>
        <w:t xml:space="preserve"> +</w:t>
      </w:r>
      <w:r>
        <w:rPr>
          <w:rFonts w:cs="Times New Roman"/>
          <w:szCs w:val="24"/>
        </w:rPr>
        <w:t>B</w:t>
      </w:r>
      <w:r w:rsidRPr="00070CBD">
        <w:rPr>
          <w:rFonts w:cs="Times New Roman"/>
          <w:szCs w:val="24"/>
          <w:vertAlign w:val="subscript"/>
        </w:rPr>
        <w:t>4</w:t>
      </w:r>
      <w:r>
        <w:rPr>
          <w:rFonts w:cs="Times New Roman"/>
          <w:szCs w:val="24"/>
        </w:rPr>
        <w:t>X</w:t>
      </w:r>
      <w:r w:rsidRPr="00070CBD">
        <w:rPr>
          <w:rFonts w:cs="Times New Roman"/>
          <w:szCs w:val="24"/>
          <w:vertAlign w:val="subscript"/>
        </w:rPr>
        <w:t>4</w:t>
      </w:r>
      <w:r w:rsidRPr="006F3566">
        <w:rPr>
          <w:rFonts w:cs="Times New Roman"/>
          <w:szCs w:val="24"/>
        </w:rPr>
        <w:t xml:space="preserve">+ Ɛ. </w:t>
      </w:r>
    </w:p>
    <w:p w:rsidR="00AB5CC7" w:rsidRPr="006F3566" w:rsidRDefault="00AB5CC7" w:rsidP="00AB5CC7">
      <w:pPr>
        <w:ind w:left="720"/>
        <w:rPr>
          <w:rFonts w:cs="Times New Roman"/>
          <w:szCs w:val="24"/>
        </w:rPr>
      </w:pPr>
      <w:r w:rsidRPr="006F3566">
        <w:rPr>
          <w:rFonts w:cs="Times New Roman"/>
          <w:szCs w:val="24"/>
        </w:rPr>
        <w:t xml:space="preserve">Where; </w:t>
      </w:r>
    </w:p>
    <w:p w:rsidR="00AB5CC7" w:rsidRPr="0017170A" w:rsidRDefault="00AB5CC7" w:rsidP="00AB5CC7">
      <w:pPr>
        <w:widowControl w:val="0"/>
        <w:autoSpaceDE w:val="0"/>
        <w:autoSpaceDN w:val="0"/>
        <w:adjustRightInd w:val="0"/>
        <w:spacing w:before="0" w:after="0" w:line="240" w:lineRule="auto"/>
        <w:rPr>
          <w:b/>
          <w:bCs/>
          <w:szCs w:val="24"/>
        </w:rPr>
      </w:pPr>
      <w:r>
        <w:rPr>
          <w:rFonts w:cs="Times New Roman"/>
          <w:szCs w:val="24"/>
        </w:rPr>
        <w:t xml:space="preserve">           </w:t>
      </w:r>
      <w:r w:rsidRPr="006F3566">
        <w:rPr>
          <w:rFonts w:cs="Times New Roman"/>
          <w:szCs w:val="24"/>
        </w:rPr>
        <w:t xml:space="preserve">Y= </w:t>
      </w:r>
      <w:r>
        <w:rPr>
          <w:rFonts w:cs="Times New Roman"/>
          <w:szCs w:val="24"/>
        </w:rPr>
        <w:t xml:space="preserve">   </w:t>
      </w:r>
      <w:r w:rsidR="00883D49">
        <w:rPr>
          <w:bCs/>
          <w:szCs w:val="24"/>
        </w:rPr>
        <w:t xml:space="preserve">Financial </w:t>
      </w:r>
      <w:r w:rsidR="00A376D5">
        <w:rPr>
          <w:bCs/>
          <w:szCs w:val="24"/>
        </w:rPr>
        <w:t>performance</w:t>
      </w:r>
    </w:p>
    <w:p w:rsidR="00AB5CC7" w:rsidRPr="00C734AC" w:rsidRDefault="00AB5CC7" w:rsidP="00AB5CC7">
      <w:pPr>
        <w:ind w:left="720"/>
        <w:rPr>
          <w:rFonts w:cs="Times New Roman"/>
          <w:szCs w:val="24"/>
        </w:rPr>
      </w:pPr>
      <w:r w:rsidRPr="00C734AC">
        <w:rPr>
          <w:rFonts w:cs="Times New Roman"/>
          <w:szCs w:val="24"/>
        </w:rPr>
        <w:t>B</w:t>
      </w:r>
      <w:r w:rsidRPr="00C734AC">
        <w:rPr>
          <w:rFonts w:cs="Times New Roman"/>
          <w:szCs w:val="24"/>
          <w:vertAlign w:val="subscript"/>
        </w:rPr>
        <w:t>O</w:t>
      </w:r>
      <w:r w:rsidRPr="00C734AC">
        <w:rPr>
          <w:rFonts w:cs="Times New Roman"/>
          <w:szCs w:val="24"/>
        </w:rPr>
        <w:t xml:space="preserve">= coefficient of intercept  </w:t>
      </w:r>
    </w:p>
    <w:p w:rsidR="00AB5CC7" w:rsidRPr="00070CBD" w:rsidRDefault="00AB5CC7" w:rsidP="00AB5CC7">
      <w:pPr>
        <w:spacing w:before="0" w:after="0" w:line="240" w:lineRule="auto"/>
        <w:ind w:left="720" w:hanging="720"/>
        <w:rPr>
          <w:sz w:val="22"/>
        </w:rPr>
      </w:pPr>
      <w:r w:rsidRPr="00070CBD">
        <w:rPr>
          <w:rFonts w:cs="Times New Roman"/>
          <w:szCs w:val="24"/>
        </w:rPr>
        <w:t xml:space="preserve">           </w:t>
      </w:r>
      <w:r>
        <w:rPr>
          <w:rFonts w:cs="Times New Roman"/>
          <w:szCs w:val="24"/>
        </w:rPr>
        <w:t xml:space="preserve"> </w:t>
      </w:r>
      <w:r w:rsidRPr="00070CBD">
        <w:rPr>
          <w:rFonts w:cs="Times New Roman"/>
          <w:szCs w:val="24"/>
        </w:rPr>
        <w:t>X</w:t>
      </w:r>
      <w:r w:rsidRPr="00070CBD">
        <w:rPr>
          <w:rFonts w:cs="Times New Roman"/>
          <w:szCs w:val="24"/>
          <w:vertAlign w:val="subscript"/>
        </w:rPr>
        <w:t>1</w:t>
      </w:r>
      <w:r w:rsidRPr="00070CBD">
        <w:rPr>
          <w:rFonts w:cs="Times New Roman"/>
          <w:szCs w:val="24"/>
        </w:rPr>
        <w:t xml:space="preserve"> = </w:t>
      </w:r>
      <w:r w:rsidR="00A376D5">
        <w:rPr>
          <w:color w:val="000000"/>
          <w:sz w:val="22"/>
        </w:rPr>
        <w:t xml:space="preserve">Operation </w:t>
      </w:r>
      <w:r w:rsidR="00A376D5" w:rsidRPr="00070CBD">
        <w:rPr>
          <w:color w:val="000000"/>
          <w:sz w:val="22"/>
        </w:rPr>
        <w:t>Risk</w:t>
      </w:r>
    </w:p>
    <w:p w:rsidR="00AB5CC7" w:rsidRPr="00070CBD" w:rsidRDefault="00AB5CC7" w:rsidP="00AB5CC7">
      <w:pPr>
        <w:spacing w:before="0" w:after="0" w:line="240" w:lineRule="auto"/>
      </w:pPr>
      <w:r>
        <w:rPr>
          <w:rFonts w:cs="Times New Roman"/>
          <w:szCs w:val="24"/>
        </w:rPr>
        <w:t xml:space="preserve">            </w:t>
      </w:r>
      <w:r w:rsidRPr="00070CBD">
        <w:rPr>
          <w:rFonts w:cs="Times New Roman"/>
          <w:szCs w:val="24"/>
        </w:rPr>
        <w:t>X</w:t>
      </w:r>
      <w:r w:rsidRPr="00070CBD">
        <w:rPr>
          <w:rFonts w:cs="Times New Roman"/>
          <w:szCs w:val="24"/>
          <w:vertAlign w:val="subscript"/>
        </w:rPr>
        <w:t xml:space="preserve">2= </w:t>
      </w:r>
      <w:r w:rsidR="00A376D5">
        <w:rPr>
          <w:rFonts w:cs="Times New Roman"/>
          <w:szCs w:val="24"/>
        </w:rPr>
        <w:t>Credit</w:t>
      </w:r>
      <w:r w:rsidR="00A376D5" w:rsidRPr="00070CBD">
        <w:rPr>
          <w:color w:val="000000"/>
        </w:rPr>
        <w:t xml:space="preserve"> </w:t>
      </w:r>
      <w:r w:rsidRPr="00070CBD">
        <w:rPr>
          <w:color w:val="000000"/>
        </w:rPr>
        <w:t>Risk</w:t>
      </w:r>
    </w:p>
    <w:p w:rsidR="00AB5CC7" w:rsidRDefault="00AB5CC7" w:rsidP="00AB5CC7">
      <w:pPr>
        <w:spacing w:before="0" w:after="0" w:line="240" w:lineRule="auto"/>
        <w:rPr>
          <w:color w:val="000000"/>
        </w:rPr>
      </w:pPr>
      <w:r>
        <w:rPr>
          <w:rFonts w:cs="Times New Roman"/>
          <w:szCs w:val="24"/>
        </w:rPr>
        <w:t xml:space="preserve">            </w:t>
      </w:r>
      <w:r w:rsidRPr="00070CBD">
        <w:rPr>
          <w:rFonts w:cs="Times New Roman"/>
          <w:szCs w:val="24"/>
        </w:rPr>
        <w:t>X</w:t>
      </w:r>
      <w:r w:rsidRPr="00070CBD">
        <w:rPr>
          <w:rFonts w:cs="Times New Roman"/>
          <w:szCs w:val="24"/>
          <w:vertAlign w:val="subscript"/>
        </w:rPr>
        <w:t>3</w:t>
      </w:r>
      <w:r w:rsidRPr="00070CBD">
        <w:rPr>
          <w:rFonts w:cs="Times New Roman"/>
          <w:szCs w:val="24"/>
        </w:rPr>
        <w:t xml:space="preserve">= </w:t>
      </w:r>
      <w:r w:rsidR="00A376D5">
        <w:rPr>
          <w:color w:val="000000"/>
        </w:rPr>
        <w:t>Market</w:t>
      </w:r>
      <w:r w:rsidR="00A376D5" w:rsidRPr="00070CBD">
        <w:rPr>
          <w:color w:val="000000"/>
        </w:rPr>
        <w:t xml:space="preserve"> </w:t>
      </w:r>
      <w:r w:rsidRPr="00070CBD">
        <w:rPr>
          <w:color w:val="000000"/>
        </w:rPr>
        <w:t>Risk</w:t>
      </w:r>
    </w:p>
    <w:p w:rsidR="00AB5CC7" w:rsidRPr="00070CBD" w:rsidRDefault="00AB5CC7" w:rsidP="00AB5CC7">
      <w:pPr>
        <w:spacing w:before="0" w:after="0" w:line="240" w:lineRule="auto"/>
      </w:pPr>
      <w:r>
        <w:rPr>
          <w:color w:val="000000"/>
        </w:rPr>
        <w:t xml:space="preserve">            X</w:t>
      </w:r>
      <w:r w:rsidRPr="00070CBD">
        <w:rPr>
          <w:color w:val="000000"/>
          <w:vertAlign w:val="subscript"/>
        </w:rPr>
        <w:t>4</w:t>
      </w:r>
      <w:r w:rsidRPr="00070CBD">
        <w:rPr>
          <w:rFonts w:cs="Times New Roman"/>
          <w:szCs w:val="24"/>
        </w:rPr>
        <w:t>=</w:t>
      </w:r>
      <w:r w:rsidRPr="00070CBD">
        <w:rPr>
          <w:b/>
          <w:color w:val="000000"/>
          <w:lang w:val="en-GB"/>
        </w:rPr>
        <w:t xml:space="preserve"> </w:t>
      </w:r>
      <w:r w:rsidR="00A376D5">
        <w:rPr>
          <w:color w:val="000000"/>
          <w:lang w:val="en-GB"/>
        </w:rPr>
        <w:t>Legal</w:t>
      </w:r>
      <w:r w:rsidR="00A376D5" w:rsidRPr="00070CBD">
        <w:rPr>
          <w:color w:val="000000"/>
        </w:rPr>
        <w:t xml:space="preserve"> </w:t>
      </w:r>
      <w:r w:rsidRPr="00070CBD">
        <w:rPr>
          <w:color w:val="000000"/>
        </w:rPr>
        <w:t>Risk</w:t>
      </w:r>
    </w:p>
    <w:p w:rsidR="00AB5CC7" w:rsidRPr="006F3566" w:rsidRDefault="00AB5CC7" w:rsidP="00AB5CC7">
      <w:pPr>
        <w:ind w:left="720"/>
        <w:rPr>
          <w:rFonts w:cs="Times New Roman"/>
          <w:szCs w:val="24"/>
        </w:rPr>
      </w:pPr>
      <w:r w:rsidRPr="006F3566">
        <w:rPr>
          <w:rFonts w:cs="Times New Roman"/>
          <w:szCs w:val="24"/>
        </w:rPr>
        <w:t>B</w:t>
      </w:r>
      <w:r w:rsidRPr="006F3566">
        <w:rPr>
          <w:rFonts w:cs="Times New Roman"/>
          <w:szCs w:val="24"/>
          <w:vertAlign w:val="subscript"/>
        </w:rPr>
        <w:t>1</w:t>
      </w:r>
      <w:r w:rsidRPr="006F3566">
        <w:rPr>
          <w:rFonts w:cs="Times New Roman"/>
          <w:szCs w:val="24"/>
        </w:rPr>
        <w:t xml:space="preserve">= Sensitivity of </w:t>
      </w:r>
      <w:r w:rsidR="00A376D5">
        <w:rPr>
          <w:bCs/>
          <w:szCs w:val="24"/>
        </w:rPr>
        <w:t>Financial perfomance</w:t>
      </w:r>
      <w:r>
        <w:rPr>
          <w:b/>
          <w:bCs/>
          <w:szCs w:val="24"/>
        </w:rPr>
        <w:t xml:space="preserve"> </w:t>
      </w:r>
      <w:r w:rsidRPr="006F3566">
        <w:rPr>
          <w:rFonts w:cs="Times New Roman"/>
          <w:szCs w:val="24"/>
        </w:rPr>
        <w:t xml:space="preserve">to the independent variable </w:t>
      </w:r>
    </w:p>
    <w:p w:rsidR="00AB5CC7" w:rsidRDefault="00AB5CC7" w:rsidP="00AB5CC7">
      <w:pPr>
        <w:ind w:left="720"/>
        <w:rPr>
          <w:rFonts w:cs="Times New Roman"/>
          <w:szCs w:val="24"/>
        </w:rPr>
      </w:pPr>
      <w:r w:rsidRPr="006F3566">
        <w:rPr>
          <w:rFonts w:cs="Times New Roman"/>
          <w:szCs w:val="24"/>
        </w:rPr>
        <w:t>Ɛ= Error term.</w:t>
      </w:r>
    </w:p>
    <w:p w:rsidR="003C2360" w:rsidRPr="00FF1D5F" w:rsidRDefault="003C2360" w:rsidP="003C2360">
      <w:pPr>
        <w:pStyle w:val="Heading1"/>
        <w:ind w:left="432" w:hanging="432"/>
        <w:rPr>
          <w:szCs w:val="24"/>
        </w:rPr>
      </w:pPr>
      <w:r w:rsidRPr="00FF1D5F">
        <w:rPr>
          <w:szCs w:val="24"/>
        </w:rPr>
        <w:lastRenderedPageBreak/>
        <w:t>Limitation</w:t>
      </w:r>
      <w:r w:rsidRPr="00BA4759">
        <w:rPr>
          <w:b w:val="0"/>
          <w:szCs w:val="24"/>
        </w:rPr>
        <w:t>s</w:t>
      </w:r>
      <w:r w:rsidRPr="00FF1D5F">
        <w:rPr>
          <w:szCs w:val="24"/>
        </w:rPr>
        <w:t xml:space="preserve"> of the study</w:t>
      </w:r>
    </w:p>
    <w:p w:rsidR="003C2360" w:rsidRDefault="003C2360" w:rsidP="003C2360">
      <w:pPr>
        <w:rPr>
          <w:rFonts w:cs="Times New Roman"/>
          <w:szCs w:val="24"/>
        </w:rPr>
      </w:pPr>
      <w:r>
        <w:rPr>
          <w:rFonts w:cs="Times New Roman"/>
          <w:szCs w:val="24"/>
        </w:rPr>
        <w:t>Some respondents were reluctant to</w:t>
      </w:r>
      <w:r w:rsidR="00245929">
        <w:rPr>
          <w:rFonts w:cs="Times New Roman"/>
          <w:szCs w:val="24"/>
        </w:rPr>
        <w:t xml:space="preserve"> answer questions</w:t>
      </w:r>
      <w:r>
        <w:rPr>
          <w:rFonts w:cs="Times New Roman"/>
          <w:szCs w:val="24"/>
        </w:rPr>
        <w:t xml:space="preserve"> </w:t>
      </w:r>
      <w:r w:rsidR="00245929">
        <w:rPr>
          <w:rFonts w:cs="Times New Roman"/>
          <w:szCs w:val="24"/>
        </w:rPr>
        <w:t xml:space="preserve">due </w:t>
      </w:r>
      <w:r w:rsidR="00973456">
        <w:rPr>
          <w:rFonts w:cs="Times New Roman"/>
          <w:szCs w:val="24"/>
        </w:rPr>
        <w:t>to sensitivity</w:t>
      </w:r>
      <w:r w:rsidR="00245929">
        <w:rPr>
          <w:rFonts w:cs="Times New Roman"/>
          <w:szCs w:val="24"/>
        </w:rPr>
        <w:t xml:space="preserve"> of the sector and their position in the company</w:t>
      </w:r>
      <w:r w:rsidR="00621AB0">
        <w:rPr>
          <w:rFonts w:cs="Times New Roman"/>
          <w:szCs w:val="24"/>
        </w:rPr>
        <w:t>.</w:t>
      </w:r>
    </w:p>
    <w:p w:rsidR="00621AB0" w:rsidRDefault="00621AB0" w:rsidP="00274376">
      <w:pPr>
        <w:rPr>
          <w:rFonts w:cs="Times New Roman"/>
          <w:b/>
          <w:szCs w:val="24"/>
        </w:rPr>
      </w:pPr>
      <w:r w:rsidRPr="00621AB0">
        <w:rPr>
          <w:rFonts w:cs="Times New Roman"/>
          <w:b/>
          <w:szCs w:val="24"/>
        </w:rPr>
        <w:t>Findings</w:t>
      </w:r>
    </w:p>
    <w:p w:rsidR="00AD21B3" w:rsidRDefault="00AD21B3" w:rsidP="00274376">
      <w:pPr>
        <w:rPr>
          <w:rFonts w:cs="Times New Roman"/>
          <w:b/>
          <w:szCs w:val="24"/>
        </w:rPr>
      </w:pPr>
      <w:r>
        <w:rPr>
          <w:rFonts w:cs="Times New Roman"/>
          <w:b/>
          <w:szCs w:val="24"/>
        </w:rPr>
        <w:t xml:space="preserve">Table 1: </w:t>
      </w:r>
      <w:r w:rsidR="00301804">
        <w:rPr>
          <w:rFonts w:cs="Times New Roman"/>
          <w:b/>
          <w:szCs w:val="24"/>
        </w:rPr>
        <w:t xml:space="preserve">Result of </w:t>
      </w:r>
      <w:r w:rsidR="00301804" w:rsidRPr="00540DFE">
        <w:rPr>
          <w:rFonts w:ascii="Arial" w:hAnsi="Arial" w:cs="Arial"/>
          <w:b/>
          <w:bCs/>
          <w:color w:val="010205"/>
          <w:sz w:val="22"/>
        </w:rPr>
        <w:t>Descriptive Statistics</w:t>
      </w:r>
    </w:p>
    <w:tbl>
      <w:tblPr>
        <w:tblStyle w:val="TableGrid"/>
        <w:tblW w:w="9576" w:type="dxa"/>
        <w:tblLayout w:type="fixed"/>
        <w:tblLook w:val="04A0" w:firstRow="1" w:lastRow="0" w:firstColumn="1" w:lastColumn="0" w:noHBand="0" w:noVBand="1"/>
      </w:tblPr>
      <w:tblGrid>
        <w:gridCol w:w="2397"/>
        <w:gridCol w:w="2393"/>
        <w:gridCol w:w="2393"/>
        <w:gridCol w:w="2393"/>
      </w:tblGrid>
      <w:tr w:rsidR="008E0C19" w:rsidTr="00C24663">
        <w:tc>
          <w:tcPr>
            <w:tcW w:w="9576" w:type="dxa"/>
            <w:gridSpan w:val="4"/>
          </w:tcPr>
          <w:p w:rsidR="008E0C19" w:rsidRDefault="008E0C19" w:rsidP="008E0C19">
            <w:pPr>
              <w:autoSpaceDE w:val="0"/>
              <w:autoSpaceDN w:val="0"/>
              <w:adjustRightInd w:val="0"/>
              <w:spacing w:before="0" w:beforeAutospacing="0" w:after="0" w:afterAutospacing="0" w:line="400" w:lineRule="atLeast"/>
              <w:jc w:val="center"/>
              <w:rPr>
                <w:rFonts w:cs="Times New Roman"/>
                <w:szCs w:val="24"/>
              </w:rPr>
            </w:pPr>
            <w:r w:rsidRPr="00540DFE">
              <w:rPr>
                <w:rFonts w:ascii="Arial" w:hAnsi="Arial" w:cs="Arial"/>
                <w:b/>
                <w:bCs/>
                <w:color w:val="010205"/>
                <w:sz w:val="22"/>
              </w:rPr>
              <w:t>Descriptive Statistics</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Operation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1.4</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Market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0.9</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Credit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0.9</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Legal risk</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4.35</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w:t>
            </w:r>
          </w:p>
        </w:tc>
      </w:tr>
      <w:tr w:rsidR="008E0C19" w:rsidTr="008E0C19">
        <w:tc>
          <w:tcPr>
            <w:tcW w:w="2397" w:type="dxa"/>
          </w:tcPr>
          <w:p w:rsidR="008E0C19" w:rsidRDefault="008E0C19"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 xml:space="preserve">Financial </w:t>
            </w:r>
            <w:r w:rsidR="00863D46">
              <w:rPr>
                <w:rFonts w:cs="Times New Roman"/>
                <w:szCs w:val="24"/>
              </w:rPr>
              <w:t>performance</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20</w:t>
            </w:r>
          </w:p>
        </w:tc>
        <w:tc>
          <w:tcPr>
            <w:tcW w:w="2393" w:type="dxa"/>
          </w:tcPr>
          <w:p w:rsidR="008E0C19" w:rsidRDefault="000A226C"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4.1</w:t>
            </w:r>
          </w:p>
        </w:tc>
        <w:tc>
          <w:tcPr>
            <w:tcW w:w="2393" w:type="dxa"/>
          </w:tcPr>
          <w:p w:rsidR="008E0C19" w:rsidRDefault="00272A31" w:rsidP="00540DFE">
            <w:pPr>
              <w:autoSpaceDE w:val="0"/>
              <w:autoSpaceDN w:val="0"/>
              <w:adjustRightInd w:val="0"/>
              <w:spacing w:before="0" w:beforeAutospacing="0" w:after="0" w:afterAutospacing="0" w:line="400" w:lineRule="atLeast"/>
              <w:jc w:val="left"/>
              <w:rPr>
                <w:rFonts w:cs="Times New Roman"/>
                <w:szCs w:val="24"/>
              </w:rPr>
            </w:pPr>
            <w:r>
              <w:rPr>
                <w:rFonts w:cs="Times New Roman"/>
                <w:szCs w:val="24"/>
              </w:rPr>
              <w:t>1.3</w:t>
            </w:r>
          </w:p>
        </w:tc>
      </w:tr>
    </w:tbl>
    <w:p w:rsidR="00540DFE" w:rsidRDefault="00540DFE" w:rsidP="00274376">
      <w:pPr>
        <w:rPr>
          <w:rFonts w:cs="Times New Roman"/>
          <w:b/>
          <w:szCs w:val="24"/>
        </w:rPr>
      </w:pPr>
    </w:p>
    <w:p w:rsidR="00621AB0" w:rsidRDefault="00621AB0" w:rsidP="00274376">
      <w:pPr>
        <w:rPr>
          <w:rFonts w:cs="Times New Roman"/>
          <w:szCs w:val="24"/>
        </w:rPr>
      </w:pPr>
      <w:r w:rsidRPr="00244382">
        <w:rPr>
          <w:rFonts w:cs="Times New Roman"/>
          <w:szCs w:val="24"/>
        </w:rPr>
        <w:t xml:space="preserve">With </w:t>
      </w:r>
      <w:r w:rsidR="00244382" w:rsidRPr="00244382">
        <w:rPr>
          <w:rFonts w:cs="Times New Roman"/>
          <w:szCs w:val="24"/>
        </w:rPr>
        <w:t>a mean</w:t>
      </w:r>
      <w:r w:rsidRPr="00244382">
        <w:rPr>
          <w:rFonts w:cs="Times New Roman"/>
          <w:szCs w:val="24"/>
        </w:rPr>
        <w:t xml:space="preserve"> of 4</w:t>
      </w:r>
      <w:r w:rsidR="002A7AAA">
        <w:rPr>
          <w:rFonts w:cs="Times New Roman"/>
          <w:szCs w:val="24"/>
        </w:rPr>
        <w:t xml:space="preserve"> and standard deviation of 1.4</w:t>
      </w:r>
      <w:r w:rsidRPr="00244382">
        <w:rPr>
          <w:rFonts w:cs="Times New Roman"/>
          <w:szCs w:val="24"/>
        </w:rPr>
        <w:t xml:space="preserve">, the outcome showed that operation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sidR="00244382">
        <w:rPr>
          <w:rFonts w:cs="Times New Roman"/>
          <w:szCs w:val="24"/>
        </w:rPr>
        <w:t xml:space="preserve"> This finding is in agreement with</w:t>
      </w:r>
      <w:r w:rsidR="00973456">
        <w:rPr>
          <w:rFonts w:cs="Times New Roman"/>
          <w:szCs w:val="24"/>
        </w:rPr>
        <w:t xml:space="preserve"> </w:t>
      </w:r>
      <w:r w:rsidR="00D228E8">
        <w:t>Oketch, J., Namusonge, G., &amp; Sakwa, M. (2018)</w:t>
      </w:r>
      <w:r w:rsidR="00973456">
        <w:rPr>
          <w:rFonts w:cs="Times New Roman"/>
          <w:szCs w:val="24"/>
        </w:rPr>
        <w:t xml:space="preserve"> who found that financial perform</w:t>
      </w:r>
      <w:r w:rsidR="008875CE">
        <w:rPr>
          <w:rFonts w:cs="Times New Roman"/>
          <w:szCs w:val="24"/>
        </w:rPr>
        <w:t>ance is directly proportional to</w:t>
      </w:r>
      <w:r w:rsidR="00973456">
        <w:rPr>
          <w:rFonts w:cs="Times New Roman"/>
          <w:szCs w:val="24"/>
        </w:rPr>
        <w:t xml:space="preserve"> operation risk of insurance firms operating in Small and Medium Enterprises.</w:t>
      </w:r>
    </w:p>
    <w:p w:rsidR="007365F8" w:rsidRDefault="007365F8" w:rsidP="007365F8">
      <w:pPr>
        <w:rPr>
          <w:rFonts w:cs="Times New Roman"/>
          <w:szCs w:val="24"/>
        </w:rPr>
      </w:pPr>
      <w:r w:rsidRPr="00244382">
        <w:rPr>
          <w:rFonts w:cs="Times New Roman"/>
          <w:szCs w:val="24"/>
        </w:rPr>
        <w:t>With a mean of 4</w:t>
      </w:r>
      <w:r>
        <w:rPr>
          <w:rFonts w:cs="Times New Roman"/>
          <w:szCs w:val="24"/>
        </w:rPr>
        <w:t>.5</w:t>
      </w:r>
      <w:r w:rsidR="00FC286A">
        <w:rPr>
          <w:rFonts w:cs="Times New Roman"/>
          <w:szCs w:val="24"/>
        </w:rPr>
        <w:t xml:space="preserve"> and standard deviation of 0.9</w:t>
      </w:r>
      <w:r w:rsidRPr="00244382">
        <w:rPr>
          <w:rFonts w:cs="Times New Roman"/>
          <w:szCs w:val="24"/>
        </w:rPr>
        <w:t>, the outcome</w:t>
      </w:r>
      <w:r>
        <w:rPr>
          <w:rFonts w:cs="Times New Roman"/>
          <w:szCs w:val="24"/>
        </w:rPr>
        <w:t xml:space="preserve"> showed that credit</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is in agreement with </w:t>
      </w:r>
      <w:r w:rsidR="00B377A1">
        <w:t>Kamau, P. (2017),</w:t>
      </w:r>
      <w:r>
        <w:rPr>
          <w:rFonts w:cs="Times New Roman"/>
          <w:szCs w:val="24"/>
        </w:rPr>
        <w:t xml:space="preserve"> who found that financial performance is absolutely influenced by credit risk of insurance firms operating in </w:t>
      </w:r>
      <w:r w:rsidR="009327E6">
        <w:rPr>
          <w:rFonts w:cs="Times New Roman"/>
          <w:szCs w:val="24"/>
        </w:rPr>
        <w:t>Kenya</w:t>
      </w:r>
      <w:r>
        <w:rPr>
          <w:rFonts w:cs="Times New Roman"/>
          <w:szCs w:val="24"/>
        </w:rPr>
        <w:t>.</w:t>
      </w:r>
    </w:p>
    <w:p w:rsidR="008A3B36" w:rsidRDefault="009327E6" w:rsidP="009327E6">
      <w:pPr>
        <w:rPr>
          <w:rFonts w:cs="Times New Roman"/>
          <w:szCs w:val="24"/>
        </w:rPr>
      </w:pPr>
      <w:r w:rsidRPr="00244382">
        <w:rPr>
          <w:rFonts w:cs="Times New Roman"/>
          <w:szCs w:val="24"/>
        </w:rPr>
        <w:lastRenderedPageBreak/>
        <w:t>With a mean of 4</w:t>
      </w:r>
      <w:r>
        <w:rPr>
          <w:rFonts w:cs="Times New Roman"/>
          <w:szCs w:val="24"/>
        </w:rPr>
        <w:t>.35</w:t>
      </w:r>
      <w:r w:rsidR="00BE5E2B">
        <w:rPr>
          <w:rFonts w:cs="Times New Roman"/>
          <w:szCs w:val="24"/>
        </w:rPr>
        <w:t xml:space="preserve"> and standard deviation of 0.9</w:t>
      </w:r>
      <w:r w:rsidRPr="00244382">
        <w:rPr>
          <w:rFonts w:cs="Times New Roman"/>
          <w:szCs w:val="24"/>
        </w:rPr>
        <w:t>, the outcome</w:t>
      </w:r>
      <w:r>
        <w:rPr>
          <w:rFonts w:cs="Times New Roman"/>
          <w:szCs w:val="24"/>
        </w:rPr>
        <w:t xml:space="preserve"> showed that market</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is in agreement with Dai, T., Han, S., &amp; Barrenechea, D. W. (2024) who found that financial performance is </w:t>
      </w:r>
      <w:r w:rsidR="007301AD">
        <w:rPr>
          <w:rFonts w:cs="Times New Roman"/>
          <w:szCs w:val="24"/>
        </w:rPr>
        <w:t>definitely</w:t>
      </w:r>
      <w:r>
        <w:rPr>
          <w:rFonts w:cs="Times New Roman"/>
          <w:szCs w:val="24"/>
        </w:rPr>
        <w:t xml:space="preserve"> affected  by credit risk </w:t>
      </w:r>
      <w:r w:rsidR="0059013D">
        <w:rPr>
          <w:rFonts w:cs="Times New Roman"/>
          <w:szCs w:val="24"/>
        </w:rPr>
        <w:t>of insurance firms</w:t>
      </w:r>
      <w:r w:rsidR="008A3B36">
        <w:rPr>
          <w:rFonts w:cs="Times New Roman"/>
          <w:szCs w:val="24"/>
        </w:rPr>
        <w:t>.</w:t>
      </w:r>
    </w:p>
    <w:p w:rsidR="008A3B36" w:rsidRDefault="008A3B36" w:rsidP="008A3B36">
      <w:pPr>
        <w:rPr>
          <w:rFonts w:cs="Times New Roman"/>
          <w:szCs w:val="24"/>
        </w:rPr>
      </w:pPr>
      <w:r w:rsidRPr="00244382">
        <w:rPr>
          <w:rFonts w:cs="Times New Roman"/>
          <w:szCs w:val="24"/>
        </w:rPr>
        <w:t>With a mean of 4</w:t>
      </w:r>
      <w:r>
        <w:rPr>
          <w:rFonts w:cs="Times New Roman"/>
          <w:szCs w:val="24"/>
        </w:rPr>
        <w:t>.35</w:t>
      </w:r>
      <w:r w:rsidR="00BE5E2B">
        <w:rPr>
          <w:rFonts w:cs="Times New Roman"/>
          <w:szCs w:val="24"/>
        </w:rPr>
        <w:t xml:space="preserve"> and standard deviation of 1</w:t>
      </w:r>
      <w:r w:rsidRPr="00244382">
        <w:rPr>
          <w:rFonts w:cs="Times New Roman"/>
          <w:szCs w:val="24"/>
        </w:rPr>
        <w:t>, the outcome</w:t>
      </w:r>
      <w:r>
        <w:rPr>
          <w:rFonts w:cs="Times New Roman"/>
          <w:szCs w:val="24"/>
        </w:rPr>
        <w:t xml:space="preserve"> showed that legal</w:t>
      </w:r>
      <w:r w:rsidRPr="00244382">
        <w:rPr>
          <w:rFonts w:cs="Times New Roman"/>
          <w:szCs w:val="24"/>
        </w:rPr>
        <w:t xml:space="preserve"> risks </w:t>
      </w:r>
      <w:r w:rsidR="00983033">
        <w:rPr>
          <w:rFonts w:cs="Times New Roman"/>
          <w:szCs w:val="24"/>
        </w:rPr>
        <w:t xml:space="preserve">negatively </w:t>
      </w:r>
      <w:r w:rsidRPr="00244382">
        <w:rPr>
          <w:rFonts w:cs="Times New Roman"/>
          <w:szCs w:val="24"/>
        </w:rPr>
        <w:t>affects financial performance of insurance companies listed in Nairobi security exchange.</w:t>
      </w:r>
      <w:r>
        <w:rPr>
          <w:rFonts w:cs="Times New Roman"/>
          <w:szCs w:val="24"/>
        </w:rPr>
        <w:t xml:space="preserve"> This finding is in agreement with Ogunbote, O. O., &amp; Ogundipe, A. A. (2021) who found that financial performance is positively affected by credit risk of insurance firms.</w:t>
      </w:r>
    </w:p>
    <w:p w:rsidR="00CA4E19" w:rsidRDefault="00CA4E19" w:rsidP="008A3B36">
      <w:pPr>
        <w:rPr>
          <w:rFonts w:cs="Times New Roman"/>
          <w:szCs w:val="24"/>
        </w:rPr>
      </w:pPr>
      <w:r>
        <w:rPr>
          <w:rFonts w:cs="Times New Roman"/>
          <w:szCs w:val="24"/>
        </w:rPr>
        <w:t>Since all variable used in the study have been found to be influencing financial performance which lead to a conclusion t</w:t>
      </w:r>
      <w:r w:rsidR="00983033">
        <w:rPr>
          <w:rFonts w:cs="Times New Roman"/>
          <w:szCs w:val="24"/>
        </w:rPr>
        <w:t>hat financial risk is negatively</w:t>
      </w:r>
      <w:r>
        <w:rPr>
          <w:rFonts w:cs="Times New Roman"/>
          <w:szCs w:val="24"/>
        </w:rPr>
        <w:t xml:space="preserve"> affecting financial performance</w:t>
      </w:r>
      <w:r w:rsidR="004F4C3A">
        <w:rPr>
          <w:rFonts w:cs="Times New Roman"/>
          <w:szCs w:val="24"/>
        </w:rPr>
        <w:t xml:space="preserve"> which is agreement with </w:t>
      </w:r>
      <w:r w:rsidR="00D33F17">
        <w:t>Saruni, L.A. (2016</w:t>
      </w:r>
      <w:r w:rsidR="004F4C3A">
        <w:rPr>
          <w:rFonts w:cs="Times New Roman"/>
          <w:szCs w:val="24"/>
        </w:rPr>
        <w:t xml:space="preserve">) whose study found out that financial risk have effect on financial </w:t>
      </w:r>
      <w:r w:rsidR="007301AD">
        <w:rPr>
          <w:rFonts w:cs="Times New Roman"/>
          <w:szCs w:val="24"/>
        </w:rPr>
        <w:t>performance</w:t>
      </w:r>
      <w:r>
        <w:rPr>
          <w:rFonts w:cs="Times New Roman"/>
          <w:szCs w:val="24"/>
        </w:rPr>
        <w:t>.</w:t>
      </w:r>
    </w:p>
    <w:p w:rsidR="00E255E5" w:rsidRPr="00035FC6" w:rsidRDefault="00E255E5" w:rsidP="00E255E5">
      <w:pPr>
        <w:pStyle w:val="Heading3"/>
        <w:rPr>
          <w:color w:val="auto"/>
          <w:lang w:eastAsia="zh-CN"/>
        </w:rPr>
      </w:pPr>
      <w:r w:rsidRPr="00035FC6">
        <w:rPr>
          <w:color w:val="auto"/>
          <w:lang w:eastAsia="zh-CN"/>
        </w:rPr>
        <w:t>Models used to study data analysis</w:t>
      </w:r>
    </w:p>
    <w:p w:rsidR="00E255E5" w:rsidRPr="006F3566" w:rsidRDefault="00E255E5" w:rsidP="00E255E5">
      <w:pPr>
        <w:rPr>
          <w:rFonts w:cs="Times New Roman"/>
          <w:szCs w:val="24"/>
        </w:rPr>
      </w:pPr>
      <w:r w:rsidRPr="006F3566">
        <w:rPr>
          <w:rFonts w:cs="Times New Roman"/>
          <w:szCs w:val="24"/>
        </w:rPr>
        <w:t>The m</w:t>
      </w:r>
      <w:r>
        <w:rPr>
          <w:rFonts w:cs="Times New Roman"/>
          <w:szCs w:val="24"/>
        </w:rPr>
        <w:t>ultiple regression equation took</w:t>
      </w:r>
      <w:r w:rsidRPr="006F3566">
        <w:rPr>
          <w:rFonts w:cs="Times New Roman"/>
          <w:szCs w:val="24"/>
        </w:rPr>
        <w:t xml:space="preserve"> the form below.</w:t>
      </w:r>
    </w:p>
    <w:p w:rsidR="00E255E5" w:rsidRDefault="00E255E5" w:rsidP="00E255E5">
      <w:pPr>
        <w:ind w:left="720"/>
        <w:rPr>
          <w:rFonts w:cs="Times New Roman"/>
          <w:szCs w:val="24"/>
          <w:vertAlign w:val="subscript"/>
        </w:rPr>
      </w:pPr>
      <w:r w:rsidRPr="00E255E5">
        <w:rPr>
          <w:rFonts w:cs="Times New Roman"/>
          <w:szCs w:val="24"/>
        </w:rPr>
        <w:t>Y =-1+0</w:t>
      </w:r>
      <w:r w:rsidRPr="00E255E5">
        <w:rPr>
          <w:rFonts w:ascii="Arial" w:hAnsi="Arial" w:cs="Arial"/>
          <w:color w:val="010205"/>
          <w:szCs w:val="24"/>
        </w:rPr>
        <w:t>.295</w:t>
      </w:r>
      <w:r w:rsidRPr="00E255E5">
        <w:rPr>
          <w:rFonts w:cs="Times New Roman"/>
          <w:szCs w:val="24"/>
        </w:rPr>
        <w:t>X</w:t>
      </w:r>
      <w:r w:rsidRPr="00E255E5">
        <w:rPr>
          <w:rFonts w:cs="Times New Roman"/>
          <w:szCs w:val="24"/>
          <w:vertAlign w:val="subscript"/>
        </w:rPr>
        <w:t>1</w:t>
      </w:r>
      <w:r w:rsidRPr="00E255E5">
        <w:rPr>
          <w:rFonts w:cs="Times New Roman"/>
          <w:szCs w:val="24"/>
        </w:rPr>
        <w:t xml:space="preserve"> +</w:t>
      </w:r>
      <w:r w:rsidRPr="00E255E5">
        <w:rPr>
          <w:rFonts w:ascii="Arial" w:hAnsi="Arial" w:cs="Arial"/>
          <w:color w:val="010205"/>
          <w:szCs w:val="24"/>
        </w:rPr>
        <w:t>1.258</w:t>
      </w:r>
      <w:r w:rsidRPr="00E255E5">
        <w:rPr>
          <w:rFonts w:cs="Times New Roman"/>
          <w:szCs w:val="24"/>
        </w:rPr>
        <w:t>X</w:t>
      </w:r>
      <w:r w:rsidRPr="00E255E5">
        <w:rPr>
          <w:rFonts w:cs="Times New Roman"/>
          <w:szCs w:val="24"/>
          <w:vertAlign w:val="subscript"/>
        </w:rPr>
        <w:t>2</w:t>
      </w:r>
      <w:r w:rsidRPr="00E255E5">
        <w:rPr>
          <w:rFonts w:cs="Times New Roman"/>
          <w:szCs w:val="24"/>
        </w:rPr>
        <w:t>+0</w:t>
      </w:r>
      <w:r w:rsidRPr="00E255E5">
        <w:rPr>
          <w:rFonts w:ascii="Arial" w:hAnsi="Arial" w:cs="Arial"/>
          <w:color w:val="010205"/>
          <w:szCs w:val="24"/>
        </w:rPr>
        <w:t>.378</w:t>
      </w:r>
      <w:r w:rsidRPr="00E255E5">
        <w:rPr>
          <w:rFonts w:cs="Times New Roman"/>
          <w:szCs w:val="24"/>
        </w:rPr>
        <w:t>X</w:t>
      </w:r>
      <w:r w:rsidRPr="00E255E5">
        <w:rPr>
          <w:rFonts w:cs="Times New Roman"/>
          <w:szCs w:val="24"/>
          <w:vertAlign w:val="subscript"/>
        </w:rPr>
        <w:t>3</w:t>
      </w:r>
      <w:r w:rsidRPr="00E255E5">
        <w:rPr>
          <w:rFonts w:cs="Times New Roman"/>
          <w:szCs w:val="24"/>
        </w:rPr>
        <w:t xml:space="preserve"> +</w:t>
      </w:r>
      <w:r w:rsidRPr="00E255E5">
        <w:rPr>
          <w:rFonts w:ascii="Arial" w:hAnsi="Arial" w:cs="Arial"/>
          <w:color w:val="010205"/>
          <w:szCs w:val="24"/>
        </w:rPr>
        <w:t>-0.939</w:t>
      </w:r>
      <w:r w:rsidRPr="00E255E5">
        <w:rPr>
          <w:rFonts w:cs="Times New Roman"/>
          <w:szCs w:val="24"/>
        </w:rPr>
        <w:t>X</w:t>
      </w:r>
      <w:r w:rsidRPr="00E255E5">
        <w:rPr>
          <w:rFonts w:cs="Times New Roman"/>
          <w:szCs w:val="24"/>
          <w:vertAlign w:val="subscript"/>
        </w:rPr>
        <w:t>4</w:t>
      </w:r>
    </w:p>
    <w:p w:rsidR="00950D3C" w:rsidRDefault="00950D3C" w:rsidP="00950D3C">
      <w:pPr>
        <w:rPr>
          <w:rFonts w:cs="Times New Roman"/>
          <w:b/>
          <w:szCs w:val="24"/>
        </w:rPr>
      </w:pPr>
      <w:r w:rsidRPr="004C0309">
        <w:rPr>
          <w:rFonts w:cs="Times New Roman"/>
          <w:b/>
          <w:szCs w:val="24"/>
        </w:rPr>
        <w:t>Conclusion</w:t>
      </w:r>
    </w:p>
    <w:p w:rsidR="00950D3C" w:rsidRDefault="004B0321" w:rsidP="00950D3C">
      <w:pPr>
        <w:pStyle w:val="Header"/>
        <w:tabs>
          <w:tab w:val="clear" w:pos="4680"/>
          <w:tab w:val="clear" w:pos="9360"/>
        </w:tabs>
        <w:spacing w:after="160" w:line="480" w:lineRule="auto"/>
      </w:pPr>
      <w:r>
        <w:t>The research</w:t>
      </w:r>
      <w:r w:rsidR="00950D3C">
        <w:t xml:space="preserve"> established that insurance companies’ financial performance is affected by fina</w:t>
      </w:r>
      <w:r w:rsidR="00D106A7">
        <w:t>ncial risks. There were negative</w:t>
      </w:r>
      <w:r w:rsidR="00950D3C">
        <w:t xml:space="preserve"> and significant correlations. </w:t>
      </w:r>
    </w:p>
    <w:p w:rsidR="00950D3C" w:rsidRDefault="00950D3C" w:rsidP="00950D3C">
      <w:pPr>
        <w:pStyle w:val="Header"/>
        <w:tabs>
          <w:tab w:val="clear" w:pos="4680"/>
          <w:tab w:val="clear" w:pos="9360"/>
        </w:tabs>
        <w:spacing w:after="160" w:line="480" w:lineRule="auto"/>
      </w:pPr>
      <w:r>
        <w:lastRenderedPageBreak/>
        <w:t xml:space="preserve">The study's main objective was to define how financial risk affected the financial performance of insurance companies listed in Nairobi security exchange in Kenya. The study displayed a relationship between financial risk and financial performance on insurance companies was favorable. Outcomes from panel data further reinforced a promising connection financial risk and financial performance on insurance companies. </w:t>
      </w:r>
    </w:p>
    <w:p w:rsidR="00950D3C" w:rsidRDefault="00950D3C" w:rsidP="00950D3C">
      <w:pPr>
        <w:pStyle w:val="Header"/>
        <w:tabs>
          <w:tab w:val="clear" w:pos="4680"/>
          <w:tab w:val="clear" w:pos="9360"/>
        </w:tabs>
        <w:spacing w:after="160" w:line="480" w:lineRule="auto"/>
      </w:pPr>
      <w:r>
        <w:t xml:space="preserve">The </w:t>
      </w:r>
      <w:r w:rsidR="00983033">
        <w:t>specific</w:t>
      </w:r>
      <w:r>
        <w:t xml:space="preserve"> objective was to </w:t>
      </w:r>
      <w:r w:rsidR="008D7F38">
        <w:t>appraise</w:t>
      </w:r>
      <w:r>
        <w:t xml:space="preserve"> </w:t>
      </w:r>
      <w:r w:rsidR="00F41658">
        <w:t>how operation risk</w:t>
      </w:r>
      <w:r>
        <w:t xml:space="preserve"> affects the financial performance of </w:t>
      </w:r>
      <w:r w:rsidR="00F41658">
        <w:t>insurance companies</w:t>
      </w:r>
      <w:r>
        <w:t xml:space="preserve">. Notwithstanding lack of strength to draw firm conclusions, the analysis suggested </w:t>
      </w:r>
      <w:r w:rsidR="008D7F38">
        <w:t>strong</w:t>
      </w:r>
      <w:r>
        <w:t xml:space="preserve"> relationship between financial performance and </w:t>
      </w:r>
      <w:r w:rsidR="008D7F38">
        <w:t>operation risk</w:t>
      </w:r>
      <w:r>
        <w:t xml:space="preserve">. As a result, these </w:t>
      </w:r>
      <w:r w:rsidR="00CC001B">
        <w:t>risks</w:t>
      </w:r>
      <w:r>
        <w:t xml:space="preserve"> have </w:t>
      </w:r>
      <w:r w:rsidR="008D7F38">
        <w:t>strong</w:t>
      </w:r>
      <w:r>
        <w:t xml:space="preserve"> impact on financial performance.</w:t>
      </w:r>
    </w:p>
    <w:p w:rsidR="00950D3C" w:rsidRDefault="00950D3C" w:rsidP="00950D3C">
      <w:pPr>
        <w:pStyle w:val="Header"/>
        <w:tabs>
          <w:tab w:val="clear" w:pos="4680"/>
          <w:tab w:val="clear" w:pos="9360"/>
        </w:tabs>
        <w:spacing w:after="160" w:line="480" w:lineRule="auto"/>
      </w:pPr>
      <w:r>
        <w:t xml:space="preserve">Measuring the influence of </w:t>
      </w:r>
      <w:r w:rsidR="00CC001B">
        <w:t>credit risk</w:t>
      </w:r>
      <w:r>
        <w:t xml:space="preserve"> on the financial performance in Kenya was the other objective. </w:t>
      </w:r>
      <w:r w:rsidR="00CC001B">
        <w:t>Nevertheless</w:t>
      </w:r>
      <w:r>
        <w:t xml:space="preserve"> there </w:t>
      </w:r>
      <w:r w:rsidR="00D106A7">
        <w:t>was a negative</w:t>
      </w:r>
      <w:r>
        <w:t xml:space="preserve"> </w:t>
      </w:r>
      <w:r w:rsidR="00CC001B">
        <w:t>association</w:t>
      </w:r>
      <w:r>
        <w:t xml:space="preserve"> between financial performance and </w:t>
      </w:r>
      <w:r w:rsidR="00CC001B">
        <w:t>credit risks</w:t>
      </w:r>
      <w:r>
        <w:t xml:space="preserve">, the connection remained </w:t>
      </w:r>
      <w:r w:rsidR="00CC001B">
        <w:t xml:space="preserve">unstable but </w:t>
      </w:r>
      <w:r>
        <w:t xml:space="preserve">significant since </w:t>
      </w:r>
      <w:r w:rsidR="00CC001B">
        <w:t>statistical significance was</w:t>
      </w:r>
      <w:r>
        <w:t xml:space="preserve"> achieved.</w:t>
      </w:r>
    </w:p>
    <w:p w:rsidR="00950D3C" w:rsidRDefault="00950D3C" w:rsidP="00950D3C">
      <w:pPr>
        <w:pStyle w:val="Header"/>
        <w:tabs>
          <w:tab w:val="clear" w:pos="4680"/>
          <w:tab w:val="clear" w:pos="9360"/>
        </w:tabs>
        <w:spacing w:after="160" w:line="480" w:lineRule="auto"/>
      </w:pPr>
      <w:r>
        <w:t xml:space="preserve">The </w:t>
      </w:r>
      <w:r w:rsidR="00DA6A3B">
        <w:t>valuation</w:t>
      </w:r>
      <w:r>
        <w:t xml:space="preserve"> of the influences of </w:t>
      </w:r>
      <w:r w:rsidR="00DA6A3B">
        <w:t>market risks</w:t>
      </w:r>
      <w:r>
        <w:t xml:space="preserve"> on the financial</w:t>
      </w:r>
      <w:r w:rsidR="00DA6A3B">
        <w:t xml:space="preserve"> performance</w:t>
      </w:r>
      <w:r>
        <w:t xml:space="preserve"> was the main objective of the fourth set </w:t>
      </w:r>
      <w:r w:rsidR="00DA6A3B">
        <w:t>of objectives. The study</w:t>
      </w:r>
      <w:r>
        <w:t xml:space="preserve"> </w:t>
      </w:r>
      <w:r w:rsidR="00DA6A3B">
        <w:t>recognized</w:t>
      </w:r>
      <w:r>
        <w:t xml:space="preserve"> a </w:t>
      </w:r>
      <w:r w:rsidR="00DA6A3B">
        <w:t>strong</w:t>
      </w:r>
      <w:r>
        <w:t xml:space="preserve"> relationship between financial performance and </w:t>
      </w:r>
      <w:r w:rsidR="00DA6A3B">
        <w:t>market risks</w:t>
      </w:r>
      <w:r>
        <w:t>.</w:t>
      </w:r>
    </w:p>
    <w:p w:rsidR="00950D3C" w:rsidRDefault="00950D3C" w:rsidP="00950D3C">
      <w:pPr>
        <w:pStyle w:val="Header"/>
        <w:tabs>
          <w:tab w:val="clear" w:pos="4680"/>
          <w:tab w:val="clear" w:pos="9360"/>
        </w:tabs>
        <w:spacing w:after="160" w:line="480" w:lineRule="auto"/>
      </w:pPr>
      <w:r>
        <w:t xml:space="preserve">The fifth objective was to look at how </w:t>
      </w:r>
      <w:r w:rsidR="00825643">
        <w:t>legal risk</w:t>
      </w:r>
      <w:r>
        <w:t xml:space="preserve"> affects financial performance of </w:t>
      </w:r>
      <w:r w:rsidR="00825643">
        <w:t>insurance firms listed in Nairobi security exchange</w:t>
      </w:r>
      <w:r>
        <w:t xml:space="preserve">. The study </w:t>
      </w:r>
      <w:r w:rsidR="00825643">
        <w:t>recognized</w:t>
      </w:r>
      <w:r>
        <w:t xml:space="preserve"> that </w:t>
      </w:r>
      <w:r w:rsidR="00825643">
        <w:t xml:space="preserve">legal risk strongly affects </w:t>
      </w:r>
      <w:r>
        <w:t xml:space="preserve">the financial performance of </w:t>
      </w:r>
      <w:r w:rsidR="00825643">
        <w:t>insurance firms listed in Nairobi security exchange</w:t>
      </w:r>
      <w:r>
        <w:t>.</w:t>
      </w:r>
    </w:p>
    <w:p w:rsidR="001C0775" w:rsidRPr="00B14A67" w:rsidRDefault="001C0775" w:rsidP="001C0775">
      <w:pPr>
        <w:rPr>
          <w:rFonts w:cs="Times New Roman"/>
          <w:b/>
          <w:szCs w:val="24"/>
        </w:rPr>
      </w:pPr>
      <w:r w:rsidRPr="00B14A67">
        <w:rPr>
          <w:rFonts w:cs="Times New Roman"/>
          <w:b/>
          <w:szCs w:val="24"/>
        </w:rPr>
        <w:t>Recommendations</w:t>
      </w:r>
    </w:p>
    <w:p w:rsidR="001C0775" w:rsidRDefault="00F8424A" w:rsidP="001C0775">
      <w:pPr>
        <w:pStyle w:val="Header"/>
        <w:tabs>
          <w:tab w:val="clear" w:pos="4680"/>
          <w:tab w:val="clear" w:pos="9360"/>
        </w:tabs>
        <w:spacing w:after="160" w:line="480" w:lineRule="auto"/>
      </w:pPr>
      <w:r>
        <w:lastRenderedPageBreak/>
        <w:t>Owing</w:t>
      </w:r>
      <w:r w:rsidR="001C0775">
        <w:t xml:space="preserve"> to nature of the study findings, it will be in order for the </w:t>
      </w:r>
      <w:r>
        <w:t xml:space="preserve">corporate </w:t>
      </w:r>
      <w:r w:rsidR="001C0775">
        <w:t xml:space="preserve">managements of </w:t>
      </w:r>
      <w:r>
        <w:t>insurance companies</w:t>
      </w:r>
      <w:r w:rsidR="001C0775">
        <w:t xml:space="preserve"> to mitigate risk and </w:t>
      </w:r>
      <w:r>
        <w:t>scrutinize</w:t>
      </w:r>
      <w:r w:rsidR="001C0775">
        <w:t xml:space="preserve"> the </w:t>
      </w:r>
      <w:r>
        <w:t>greatest</w:t>
      </w:r>
      <w:r w:rsidR="001C0775">
        <w:t xml:space="preserve"> </w:t>
      </w:r>
      <w:r>
        <w:t>share of risk</w:t>
      </w:r>
      <w:r w:rsidR="001C0775">
        <w:t xml:space="preserve"> in order to enhance their </w:t>
      </w:r>
      <w:r>
        <w:t xml:space="preserve">financial </w:t>
      </w:r>
      <w:r w:rsidR="001C0775">
        <w:t xml:space="preserve">performance. It’s better for the </w:t>
      </w:r>
      <w:r w:rsidR="00B611D1">
        <w:t xml:space="preserve">corporate </w:t>
      </w:r>
      <w:r w:rsidR="001C0775">
        <w:t xml:space="preserve">management to balance risk and </w:t>
      </w:r>
      <w:r w:rsidR="00B611D1">
        <w:t>returns</w:t>
      </w:r>
      <w:r w:rsidR="001C0775">
        <w:t xml:space="preserve">. </w:t>
      </w:r>
    </w:p>
    <w:p w:rsidR="001C0775" w:rsidRDefault="003029E4" w:rsidP="001C0775">
      <w:pPr>
        <w:pStyle w:val="Header"/>
        <w:tabs>
          <w:tab w:val="clear" w:pos="4680"/>
          <w:tab w:val="clear" w:pos="9360"/>
        </w:tabs>
        <w:spacing w:after="160" w:line="480" w:lineRule="auto"/>
      </w:pPr>
      <w:r>
        <w:t>In the meantime</w:t>
      </w:r>
      <w:r w:rsidR="00F556D1">
        <w:t xml:space="preserve"> the finding cautious about</w:t>
      </w:r>
      <w:r w:rsidR="001C0775">
        <w:t xml:space="preserve"> </w:t>
      </w:r>
      <w:r>
        <w:t>operation risk</w:t>
      </w:r>
      <w:r w:rsidR="001C0775">
        <w:t xml:space="preserve"> than other kind of </w:t>
      </w:r>
      <w:r>
        <w:t>risks</w:t>
      </w:r>
      <w:r w:rsidR="001C0775">
        <w:t xml:space="preserve"> because of its </w:t>
      </w:r>
      <w:r>
        <w:t>effect on financial</w:t>
      </w:r>
      <w:r w:rsidR="001C0775">
        <w:t xml:space="preserve"> performance. It is in order for investors w</w:t>
      </w:r>
      <w:r>
        <w:t>ho are looking for stability should be careful with operation risk</w:t>
      </w:r>
      <w:r w:rsidR="001C0775">
        <w:t xml:space="preserve">. These will results into greater </w:t>
      </w:r>
      <w:r>
        <w:t>profitability of the firms</w:t>
      </w:r>
      <w:r w:rsidR="001C0775">
        <w:t xml:space="preserve">. </w:t>
      </w:r>
    </w:p>
    <w:p w:rsidR="001C0775" w:rsidRDefault="001C0775" w:rsidP="001C0775">
      <w:pPr>
        <w:pStyle w:val="Header"/>
        <w:tabs>
          <w:tab w:val="clear" w:pos="4680"/>
          <w:tab w:val="clear" w:pos="9360"/>
        </w:tabs>
        <w:spacing w:after="160" w:line="480" w:lineRule="auto"/>
      </w:pPr>
      <w:r>
        <w:rPr>
          <w:szCs w:val="24"/>
        </w:rPr>
        <w:t>Since</w:t>
      </w:r>
      <w:r w:rsidR="00C36DDD">
        <w:rPr>
          <w:szCs w:val="24"/>
        </w:rPr>
        <w:t xml:space="preserve"> credit risk </w:t>
      </w:r>
      <w:r>
        <w:rPr>
          <w:szCs w:val="24"/>
        </w:rPr>
        <w:t xml:space="preserve">are also affects </w:t>
      </w:r>
      <w:r w:rsidR="00F556D1">
        <w:rPr>
          <w:szCs w:val="24"/>
        </w:rPr>
        <w:t>financial performance negatively</w:t>
      </w:r>
      <w:r>
        <w:rPr>
          <w:szCs w:val="24"/>
        </w:rPr>
        <w:t xml:space="preserve"> </w:t>
      </w:r>
      <w:r w:rsidR="00C36DDD">
        <w:rPr>
          <w:szCs w:val="24"/>
        </w:rPr>
        <w:t>and</w:t>
      </w:r>
      <w:r>
        <w:rPr>
          <w:szCs w:val="24"/>
        </w:rPr>
        <w:t xml:space="preserve"> significantly, </w:t>
      </w:r>
      <w:r>
        <w:t xml:space="preserve">the study proposes that even though there exists a strong affirmative connection between returns on </w:t>
      </w:r>
      <w:r w:rsidR="00C36DDD">
        <w:t>credit risk</w:t>
      </w:r>
      <w:r>
        <w:t xml:space="preserve"> and </w:t>
      </w:r>
      <w:r w:rsidR="00C36DDD">
        <w:t>financial performance</w:t>
      </w:r>
      <w:r>
        <w:t xml:space="preserve">, this connection may not be substantial enough to markedly affect </w:t>
      </w:r>
      <w:r w:rsidR="00C36DDD">
        <w:t>return on equity</w:t>
      </w:r>
      <w:r>
        <w:t xml:space="preserve">, </w:t>
      </w:r>
      <w:r w:rsidR="00C36DDD">
        <w:t>consequently</w:t>
      </w:r>
      <w:r>
        <w:t xml:space="preserve"> </w:t>
      </w:r>
      <w:r w:rsidR="00C36DDD">
        <w:t>stakeholders</w:t>
      </w:r>
      <w:r>
        <w:t xml:space="preserve"> </w:t>
      </w:r>
      <w:r w:rsidR="009A0FAD">
        <w:t>should judiciously</w:t>
      </w:r>
      <w:r w:rsidR="00C36DDD">
        <w:t xml:space="preserve"> allocate</w:t>
      </w:r>
      <w:r>
        <w:t xml:space="preserve"> their resources to </w:t>
      </w:r>
      <w:r w:rsidR="00C36DDD">
        <w:t>credit risk</w:t>
      </w:r>
      <w:r>
        <w:t xml:space="preserve"> and </w:t>
      </w:r>
      <w:r w:rsidR="00C36DDD">
        <w:t>envisage</w:t>
      </w:r>
      <w:r>
        <w:t xml:space="preserve"> diversifying their </w:t>
      </w:r>
      <w:r w:rsidR="00C36DDD">
        <w:t>investments to</w:t>
      </w:r>
      <w:r>
        <w:t xml:space="preserve"> enhance their inclusive financial performance.</w:t>
      </w:r>
    </w:p>
    <w:p w:rsidR="001C0775" w:rsidRDefault="001C0775" w:rsidP="001C0775">
      <w:pPr>
        <w:pStyle w:val="Header"/>
        <w:tabs>
          <w:tab w:val="clear" w:pos="4680"/>
          <w:tab w:val="clear" w:pos="9360"/>
        </w:tabs>
        <w:spacing w:after="160" w:line="480" w:lineRule="auto"/>
      </w:pPr>
      <w:r>
        <w:rPr>
          <w:szCs w:val="24"/>
        </w:rPr>
        <w:t>Since money market f</w:t>
      </w:r>
      <w:r w:rsidR="009A0FAD">
        <w:rPr>
          <w:szCs w:val="24"/>
        </w:rPr>
        <w:t>risk</w:t>
      </w:r>
      <w:r w:rsidRPr="00AB18DE">
        <w:rPr>
          <w:szCs w:val="24"/>
        </w:rPr>
        <w:t xml:space="preserve"> </w:t>
      </w:r>
      <w:r w:rsidR="009A0FAD">
        <w:rPr>
          <w:szCs w:val="24"/>
        </w:rPr>
        <w:t>categorically</w:t>
      </w:r>
      <w:r>
        <w:rPr>
          <w:szCs w:val="24"/>
        </w:rPr>
        <w:t xml:space="preserve"> shake</w:t>
      </w:r>
      <w:r w:rsidRPr="00AB18DE">
        <w:rPr>
          <w:szCs w:val="24"/>
        </w:rPr>
        <w:t xml:space="preserve"> financial performance</w:t>
      </w:r>
      <w:r>
        <w:rPr>
          <w:szCs w:val="24"/>
        </w:rPr>
        <w:t xml:space="preserve"> therefore the study recommend that </w:t>
      </w:r>
      <w:r w:rsidR="009A0FAD">
        <w:rPr>
          <w:szCs w:val="24"/>
        </w:rPr>
        <w:t>insurance</w:t>
      </w:r>
      <w:r>
        <w:rPr>
          <w:szCs w:val="24"/>
        </w:rPr>
        <w:t xml:space="preserve"> firms to incorporate them into the </w:t>
      </w:r>
      <w:r w:rsidR="009A0FAD">
        <w:rPr>
          <w:szCs w:val="24"/>
        </w:rPr>
        <w:t>decision making</w:t>
      </w:r>
      <w:r>
        <w:rPr>
          <w:szCs w:val="24"/>
        </w:rPr>
        <w:t xml:space="preserve"> which will improve the businesses financial performance.</w:t>
      </w:r>
    </w:p>
    <w:p w:rsidR="001C0775" w:rsidRDefault="00525AA4" w:rsidP="001C0775">
      <w:pPr>
        <w:pStyle w:val="Header"/>
        <w:tabs>
          <w:tab w:val="clear" w:pos="4680"/>
          <w:tab w:val="clear" w:pos="9360"/>
        </w:tabs>
        <w:spacing w:after="160" w:line="480" w:lineRule="auto"/>
      </w:pPr>
      <w:r>
        <w:t xml:space="preserve"> Insurance</w:t>
      </w:r>
      <w:r w:rsidR="001C0775">
        <w:t xml:space="preserve"> firms must be careful how they channel their resources into asset </w:t>
      </w:r>
      <w:r w:rsidR="00506A60">
        <w:t>investments</w:t>
      </w:r>
      <w:r w:rsidR="001C0775">
        <w:t xml:space="preserve"> to avoid risk and enhance returns. The study t</w:t>
      </w:r>
      <w:r w:rsidR="00506A60">
        <w:t>herefore suggests that insurance</w:t>
      </w:r>
      <w:r w:rsidR="001C0775">
        <w:t xml:space="preserve"> firms should </w:t>
      </w:r>
      <w:r w:rsidR="00506A60">
        <w:t>appraise</w:t>
      </w:r>
      <w:r w:rsidR="001C0775">
        <w:t xml:space="preserve"> the risk and r</w:t>
      </w:r>
      <w:r w:rsidR="00506A60">
        <w:t>eturn profile of their avenue of investment</w:t>
      </w:r>
      <w:r w:rsidR="001C0775">
        <w:t xml:space="preserve">. </w:t>
      </w:r>
    </w:p>
    <w:p w:rsidR="00035FC6" w:rsidRDefault="00A6094C" w:rsidP="007301AD">
      <w:pPr>
        <w:pStyle w:val="Header"/>
        <w:tabs>
          <w:tab w:val="clear" w:pos="4680"/>
          <w:tab w:val="clear" w:pos="9360"/>
        </w:tabs>
        <w:spacing w:after="160" w:line="480" w:lineRule="auto"/>
      </w:pPr>
      <w:r>
        <w:t>Similarly, the study recommends that stakeholders</w:t>
      </w:r>
      <w:r w:rsidR="001C0775">
        <w:t xml:space="preserve"> should manage </w:t>
      </w:r>
      <w:r>
        <w:t>risky</w:t>
      </w:r>
      <w:r w:rsidR="001C0775">
        <w:t xml:space="preserve"> opportunities to supplement</w:t>
      </w:r>
      <w:r>
        <w:t xml:space="preserve"> and improve their income</w:t>
      </w:r>
      <w:r w:rsidR="001C0775">
        <w:t xml:space="preserve">. </w:t>
      </w:r>
      <w:r>
        <w:t>Lastly</w:t>
      </w:r>
      <w:r w:rsidR="001C0775">
        <w:t>, the study</w:t>
      </w:r>
      <w:r>
        <w:t xml:space="preserve"> recommends</w:t>
      </w:r>
      <w:r w:rsidR="001C0775">
        <w:t xml:space="preserve"> that </w:t>
      </w:r>
      <w:r>
        <w:t>stakeholders</w:t>
      </w:r>
      <w:r w:rsidR="001C0775">
        <w:t xml:space="preserve"> should </w:t>
      </w:r>
      <w:r>
        <w:lastRenderedPageBreak/>
        <w:t>considerately balancing risk to diversify</w:t>
      </w:r>
      <w:r w:rsidR="001C0775">
        <w:t xml:space="preserve"> their allotments to </w:t>
      </w:r>
      <w:r>
        <w:t>investment</w:t>
      </w:r>
      <w:r w:rsidR="001C0775">
        <w:t xml:space="preserve"> portfolio as a </w:t>
      </w:r>
      <w:r>
        <w:t>precaution against failure</w:t>
      </w:r>
      <w:r w:rsidR="001C0775">
        <w:t>.</w:t>
      </w:r>
    </w:p>
    <w:p w:rsidR="00E22C2D" w:rsidRDefault="00E22C2D" w:rsidP="00E22C2D">
      <w:pPr>
        <w:pStyle w:val="Header"/>
        <w:spacing w:after="160"/>
      </w:pPr>
      <w:r>
        <w:t>Ethical Approval</w:t>
      </w:r>
    </w:p>
    <w:p w:rsidR="00E22C2D" w:rsidRDefault="00E22C2D" w:rsidP="00E22C2D">
      <w:pPr>
        <w:pStyle w:val="Header"/>
        <w:tabs>
          <w:tab w:val="clear" w:pos="4680"/>
          <w:tab w:val="clear" w:pos="9360"/>
        </w:tabs>
        <w:spacing w:after="160" w:line="480" w:lineRule="auto"/>
      </w:pPr>
      <w:r>
        <w:t>Known methods were used in collection of data from respondents.  The researcher guaranteed privacy and confidentiality. The study sought authorization from National Council for Science and Technology in the ministry of education.</w:t>
      </w:r>
    </w:p>
    <w:p w:rsidR="002438B3" w:rsidRDefault="002438B3" w:rsidP="007301AD">
      <w:pPr>
        <w:pStyle w:val="Header"/>
        <w:tabs>
          <w:tab w:val="clear" w:pos="4680"/>
          <w:tab w:val="clear" w:pos="9360"/>
        </w:tabs>
        <w:spacing w:after="160" w:line="480" w:lineRule="auto"/>
      </w:pPr>
    </w:p>
    <w:p w:rsidR="002438B3" w:rsidRDefault="002438B3" w:rsidP="002438B3">
      <w:pPr>
        <w:pStyle w:val="Header"/>
        <w:spacing w:after="160"/>
      </w:pPr>
      <w:r>
        <w:t>Disclaimer (Artificial intelligence)</w:t>
      </w:r>
    </w:p>
    <w:p w:rsidR="002438B3" w:rsidRDefault="002438B3" w:rsidP="002438B3">
      <w:pPr>
        <w:pStyle w:val="Header"/>
        <w:spacing w:after="160"/>
      </w:pPr>
      <w:r>
        <w:t xml:space="preserve">Option 1: </w:t>
      </w:r>
    </w:p>
    <w:p w:rsidR="002438B3" w:rsidRDefault="002438B3" w:rsidP="002438B3">
      <w:pPr>
        <w:pStyle w:val="Header"/>
        <w:spacing w:after="160"/>
      </w:pPr>
      <w:r>
        <w:t xml:space="preserve">Author(s) hereby declare that NO generative AI technologies such as Large Language Models (ChatGPT, COPILOT, etc.) and text-to-image generators have been used during the writing or editing of this manuscript. </w:t>
      </w:r>
    </w:p>
    <w:p w:rsidR="002438B3" w:rsidRDefault="002438B3" w:rsidP="002438B3">
      <w:pPr>
        <w:pStyle w:val="Header"/>
        <w:spacing w:after="160"/>
      </w:pPr>
      <w:r>
        <w:t xml:space="preserve">Option 2: </w:t>
      </w:r>
    </w:p>
    <w:p w:rsidR="002438B3" w:rsidRDefault="002438B3" w:rsidP="002438B3">
      <w:pPr>
        <w:pStyle w:val="Header"/>
        <w:spacing w:after="160"/>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438B3" w:rsidRDefault="002438B3" w:rsidP="002438B3">
      <w:pPr>
        <w:pStyle w:val="Header"/>
        <w:spacing w:after="160"/>
      </w:pPr>
      <w:r>
        <w:t>Details of the AI usage are given below:</w:t>
      </w:r>
    </w:p>
    <w:p w:rsidR="002438B3" w:rsidRDefault="002438B3" w:rsidP="002438B3">
      <w:pPr>
        <w:pStyle w:val="Header"/>
        <w:spacing w:after="160"/>
      </w:pPr>
      <w:r>
        <w:t>1.</w:t>
      </w:r>
    </w:p>
    <w:p w:rsidR="002438B3" w:rsidRDefault="002438B3" w:rsidP="002438B3">
      <w:pPr>
        <w:pStyle w:val="Header"/>
        <w:spacing w:after="160"/>
      </w:pPr>
      <w:r>
        <w:t>2.</w:t>
      </w:r>
    </w:p>
    <w:p w:rsidR="002438B3" w:rsidRPr="007301AD" w:rsidRDefault="002438B3" w:rsidP="002438B3">
      <w:pPr>
        <w:pStyle w:val="Header"/>
        <w:tabs>
          <w:tab w:val="clear" w:pos="4680"/>
          <w:tab w:val="clear" w:pos="9360"/>
        </w:tabs>
        <w:spacing w:after="160" w:line="480" w:lineRule="auto"/>
      </w:pPr>
      <w:r>
        <w:t>3.</w:t>
      </w:r>
    </w:p>
    <w:p w:rsidR="00477C3F" w:rsidRPr="007301AD" w:rsidRDefault="00E906D9" w:rsidP="007301AD">
      <w:pPr>
        <w:pStyle w:val="Heading2"/>
        <w:rPr>
          <w:color w:val="auto"/>
          <w:szCs w:val="24"/>
        </w:rPr>
      </w:pPr>
      <w:r w:rsidRPr="00035FC6">
        <w:rPr>
          <w:color w:val="auto"/>
          <w:szCs w:val="24"/>
        </w:rPr>
        <w:lastRenderedPageBreak/>
        <w:t>References</w:t>
      </w:r>
    </w:p>
    <w:p w:rsidR="007959E8" w:rsidRDefault="007959E8" w:rsidP="00E906D9">
      <w:pPr>
        <w:spacing w:after="0"/>
        <w:ind w:left="720" w:hanging="720"/>
        <w:rPr>
          <w:rFonts w:cs="Times New Roman"/>
          <w:szCs w:val="24"/>
        </w:rPr>
      </w:pPr>
      <w:r>
        <w:rPr>
          <w:rFonts w:cs="Times New Roman"/>
          <w:szCs w:val="24"/>
        </w:rPr>
        <w:t xml:space="preserve">Agarrwal, R. (2020). Bankruptcy prediction models and stock bazaar differences. </w:t>
      </w:r>
      <w:r>
        <w:rPr>
          <w:rFonts w:cs="Times New Roman"/>
          <w:i/>
          <w:iCs/>
          <w:szCs w:val="24"/>
        </w:rPr>
        <w:t>Journal of Commercial Finance</w:t>
      </w:r>
      <w:r>
        <w:rPr>
          <w:rFonts w:cs="Times New Roman"/>
          <w:szCs w:val="24"/>
        </w:rPr>
        <w:t>.</w:t>
      </w:r>
    </w:p>
    <w:p w:rsidR="007959E8" w:rsidRDefault="007959E8" w:rsidP="00E906D9">
      <w:pPr>
        <w:spacing w:after="0"/>
        <w:ind w:left="720" w:hanging="720"/>
      </w:pPr>
      <w:r>
        <w:t>Agarwal, R (2018). Value Chain Financing and Financial Performance of Edible Oil Manufacturing Companies in Kenya. Kenyatta University</w:t>
      </w:r>
    </w:p>
    <w:p w:rsidR="007959E8" w:rsidRDefault="007959E8" w:rsidP="00E906D9">
      <w:pPr>
        <w:spacing w:after="0"/>
        <w:ind w:left="720" w:hanging="720"/>
      </w:pPr>
      <w:r>
        <w:t>Akonga, C., J. (2014). The Effect of Financial Risk Management on the Financial Performance Of Commercial Banks In Kenya. University of Nairobi.</w:t>
      </w:r>
    </w:p>
    <w:p w:rsidR="007959E8" w:rsidRDefault="007959E8" w:rsidP="00E906D9">
      <w:pPr>
        <w:spacing w:after="0"/>
        <w:ind w:left="720" w:hanging="720"/>
        <w:rPr>
          <w:rFonts w:cs="Times New Roman"/>
          <w:szCs w:val="24"/>
        </w:rPr>
      </w:pPr>
      <w:r>
        <w:rPr>
          <w:rFonts w:cs="Times New Roman"/>
          <w:szCs w:val="24"/>
        </w:rPr>
        <w:t xml:space="preserve">Alltman, W. (2019). Monetary Perfonmance forecast in an international framework: </w:t>
      </w:r>
      <w:r>
        <w:rPr>
          <w:rFonts w:cs="Times New Roman"/>
          <w:i/>
          <w:iCs/>
          <w:szCs w:val="24"/>
        </w:rPr>
        <w:t>Journal of Internationa econonmic Management</w:t>
      </w:r>
      <w:r>
        <w:rPr>
          <w:rFonts w:cs="Times New Roman"/>
          <w:szCs w:val="24"/>
        </w:rPr>
        <w:t>.</w:t>
      </w:r>
    </w:p>
    <w:p w:rsidR="007959E8" w:rsidRPr="00E7349A" w:rsidRDefault="007959E8" w:rsidP="00E906D9">
      <w:pPr>
        <w:spacing w:after="0"/>
        <w:ind w:left="720" w:hanging="720"/>
      </w:pPr>
      <w:r>
        <w:t xml:space="preserve">Apanga, M, A., Appiah, K, O. &amp; Arthur, J. (2016). Credit risk management of Ghanaian listed </w:t>
      </w:r>
      <w:r w:rsidRPr="00E7349A">
        <w:t xml:space="preserve">banks, </w:t>
      </w:r>
      <w:r w:rsidRPr="00E7349A">
        <w:rPr>
          <w:i/>
        </w:rPr>
        <w:t>International Journal of Law and Management</w:t>
      </w:r>
      <w:r w:rsidRPr="00E7349A">
        <w:t>, Vol. 58 Issue 2.</w:t>
      </w:r>
    </w:p>
    <w:p w:rsidR="007959E8" w:rsidRDefault="007959E8" w:rsidP="00E906D9">
      <w:pPr>
        <w:spacing w:after="0"/>
        <w:ind w:left="720" w:hanging="720"/>
        <w:rPr>
          <w:rFonts w:cs="Times New Roman"/>
          <w:szCs w:val="24"/>
        </w:rPr>
      </w:pPr>
      <w:r>
        <w:rPr>
          <w:rFonts w:cs="Times New Roman"/>
          <w:szCs w:val="24"/>
        </w:rPr>
        <w:t xml:space="preserve">Arismutia, S. A. (2024). The Influence of Total Assets Turnover, Return on Assets </w:t>
      </w:r>
    </w:p>
    <w:p w:rsidR="007959E8" w:rsidRDefault="007959E8" w:rsidP="00E906D9">
      <w:pPr>
        <w:spacing w:after="0"/>
        <w:ind w:left="720" w:hanging="720"/>
        <w:rPr>
          <w:rFonts w:cs="Times New Roman"/>
          <w:szCs w:val="24"/>
        </w:rPr>
      </w:pPr>
      <w:r>
        <w:t>Badawi, A. 2017. Effect of Credit Risk, Liquidity Risk, and Market Risk Banking to Profitability Bank (Study on Devised Banks in Indonesia Stock Exchange</w:t>
      </w:r>
      <w:r w:rsidRPr="00FD6F79">
        <w:rPr>
          <w:i/>
        </w:rPr>
        <w:t xml:space="preserve">). European Journal of Business and Management </w:t>
      </w:r>
      <w:r>
        <w:t>9(4), 1–8.</w:t>
      </w:r>
    </w:p>
    <w:p w:rsidR="007959E8" w:rsidRDefault="007959E8" w:rsidP="00E906D9">
      <w:pPr>
        <w:spacing w:after="0"/>
        <w:ind w:left="720" w:hanging="720"/>
        <w:rPr>
          <w:rFonts w:cs="Times New Roman"/>
          <w:szCs w:val="24"/>
        </w:rPr>
      </w:pPr>
      <w:r>
        <w:rPr>
          <w:rFonts w:cs="Times New Roman"/>
          <w:szCs w:val="24"/>
        </w:rPr>
        <w:t>Barberis, N. C., &amp; Jin, L. J. (2023). </w:t>
      </w:r>
      <w:r>
        <w:rPr>
          <w:rFonts w:cs="Times New Roman"/>
          <w:i/>
          <w:iCs/>
          <w:szCs w:val="24"/>
        </w:rPr>
        <w:t>Model-free and model-based learning as joint drivers of investor behavior</w:t>
      </w:r>
      <w:r>
        <w:rPr>
          <w:rFonts w:cs="Times New Roman"/>
          <w:szCs w:val="24"/>
        </w:rPr>
        <w:t xml:space="preserve"> (No. w31081). </w:t>
      </w:r>
    </w:p>
    <w:p w:rsidR="007959E8" w:rsidRDefault="007959E8" w:rsidP="00E906D9">
      <w:pPr>
        <w:spacing w:after="0"/>
        <w:ind w:left="720" w:hanging="720"/>
        <w:rPr>
          <w:rFonts w:cs="Times New Roman"/>
          <w:szCs w:val="24"/>
        </w:rPr>
      </w:pPr>
      <w:r>
        <w:rPr>
          <w:rFonts w:cs="Times New Roman"/>
          <w:szCs w:val="24"/>
        </w:rPr>
        <w:lastRenderedPageBreak/>
        <w:t>Barquero J. P. R. &amp; Segura C. R (2014). “Determinants of interest rate spread in CostaRica” Research Document No. 03-2011</w:t>
      </w:r>
    </w:p>
    <w:p w:rsidR="007959E8" w:rsidRDefault="007959E8" w:rsidP="00E906D9">
      <w:pPr>
        <w:spacing w:after="0"/>
        <w:ind w:left="720" w:hanging="720"/>
        <w:rPr>
          <w:rFonts w:cs="Times New Roman"/>
          <w:szCs w:val="24"/>
        </w:rPr>
      </w:pPr>
      <w:r>
        <w:t>Bogodistov, Y., &amp; Wohlgemuth, V. (2017). Enterprise risk management: a capability-based perspective. The Journal of Risk Finance, 18(3), 234–251. doi:10.1108/jrf-10 2016-0131</w:t>
      </w:r>
    </w:p>
    <w:p w:rsidR="007959E8" w:rsidRDefault="007959E8" w:rsidP="00E906D9">
      <w:pPr>
        <w:spacing w:after="0"/>
        <w:ind w:left="720" w:hanging="720"/>
        <w:rPr>
          <w:rFonts w:cs="Times New Roman"/>
          <w:szCs w:val="24"/>
        </w:rPr>
      </w:pPr>
      <w:r>
        <w:t xml:space="preserve">Bony, S. Z., &amp; Moniruzzaman, M. D. (2017). A Comparative Analysis between Commercial Banks and Insurance Companies in Bangladesh on the basis of Capital Structure. </w:t>
      </w:r>
      <w:r w:rsidRPr="00C0772D">
        <w:rPr>
          <w:i/>
        </w:rPr>
        <w:t>International Journal of Business and Social Research</w:t>
      </w:r>
      <w:r>
        <w:t>, 7(8), 1-11.</w:t>
      </w:r>
    </w:p>
    <w:p w:rsidR="007959E8" w:rsidRDefault="007959E8" w:rsidP="00E906D9">
      <w:pPr>
        <w:spacing w:after="0"/>
        <w:ind w:left="720" w:hanging="720"/>
      </w:pPr>
      <w:r>
        <w:t xml:space="preserve">Burca, M. &amp; Batrinca, G. (2014). The determinants of financial performance in the Romanian insurance market. </w:t>
      </w:r>
      <w:r w:rsidRPr="008F3632">
        <w:rPr>
          <w:i/>
        </w:rPr>
        <w:t>International Journal of Academic Research in Accounting, Finance and Management Sciences</w:t>
      </w:r>
      <w:r>
        <w:t>, 4 (1), 299-308.</w:t>
      </w:r>
    </w:p>
    <w:p w:rsidR="007959E8" w:rsidRDefault="007959E8" w:rsidP="00E906D9">
      <w:pPr>
        <w:spacing w:after="0"/>
        <w:ind w:left="720" w:hanging="720"/>
      </w:pPr>
      <w:r>
        <w:t>Çekrezi, A (2015). Determinants of Financial Performance of The Insurance Companies: A Case Of Albania</w:t>
      </w:r>
      <w:r w:rsidRPr="003D4E1A">
        <w:rPr>
          <w:i/>
        </w:rPr>
        <w:t>. International Journal of Economics, Commerce and Management</w:t>
      </w:r>
      <w:r>
        <w:t>. Vol. III, Issue 4, April</w:t>
      </w:r>
    </w:p>
    <w:p w:rsidR="007959E8" w:rsidRDefault="007959E8" w:rsidP="00E906D9">
      <w:pPr>
        <w:spacing w:after="0"/>
        <w:ind w:left="720" w:hanging="720"/>
        <w:rPr>
          <w:rFonts w:cs="Times New Roman"/>
          <w:szCs w:val="24"/>
        </w:rPr>
      </w:pPr>
      <w:r>
        <w:t>Çekrezi, A (2015). Determinants of Financial Performance of The Insurance Companies: A Case Of Albania</w:t>
      </w:r>
      <w:r w:rsidRPr="008F3632">
        <w:rPr>
          <w:i/>
        </w:rPr>
        <w:t>. International Journal of Economics, Commerce and Management</w:t>
      </w:r>
      <w:r>
        <w:t>. Vol. III, Issue 4, April</w:t>
      </w:r>
    </w:p>
    <w:p w:rsidR="007959E8" w:rsidRDefault="007959E8" w:rsidP="00E906D9">
      <w:pPr>
        <w:spacing w:after="0"/>
        <w:ind w:left="720" w:hanging="720"/>
      </w:pPr>
      <w:r>
        <w:t>Chen N. (2016). Foreign exchange risk management practices and financial performance of Chinese owned enterprises operating in Kenya.</w:t>
      </w:r>
    </w:p>
    <w:p w:rsidR="007959E8" w:rsidRDefault="007959E8" w:rsidP="00E906D9">
      <w:pPr>
        <w:spacing w:after="0"/>
        <w:ind w:left="720" w:hanging="720"/>
      </w:pPr>
      <w:r>
        <w:lastRenderedPageBreak/>
        <w:t>Christopher M. (2017). Determinants of Financial Risks Hedging Practices by Non-Financial Firms Listed At Nairobi Securities Exchange, Kenya</w:t>
      </w:r>
    </w:p>
    <w:p w:rsidR="007959E8" w:rsidRDefault="007959E8" w:rsidP="00E906D9">
      <w:pPr>
        <w:spacing w:after="0"/>
        <w:ind w:left="720" w:hanging="720"/>
      </w:pPr>
      <w:r>
        <w:t>Cytonn Investments. (2020). Cytonn FY 2020 Insurance Sector Report. Nairobi: Cytonn Investments.</w:t>
      </w:r>
    </w:p>
    <w:p w:rsidR="007959E8" w:rsidRDefault="007959E8" w:rsidP="00E906D9">
      <w:pPr>
        <w:spacing w:after="0"/>
        <w:ind w:left="720" w:hanging="720"/>
        <w:rPr>
          <w:rFonts w:cs="Times New Roman"/>
          <w:szCs w:val="24"/>
        </w:rPr>
      </w:pPr>
      <w:r>
        <w:rPr>
          <w:rFonts w:cs="Times New Roman"/>
          <w:szCs w:val="24"/>
        </w:rPr>
        <w:t>Dai, T., Han, S., &amp; Barrenechea, D. W. (2024). A Research Review of Financial Distress Prediction. </w:t>
      </w:r>
      <w:r>
        <w:rPr>
          <w:rFonts w:cs="Times New Roman"/>
          <w:i/>
          <w:iCs/>
          <w:szCs w:val="24"/>
        </w:rPr>
        <w:t>Journal of Statistics and Economics (ISSN: 3005-5733)</w:t>
      </w:r>
      <w:r>
        <w:rPr>
          <w:rFonts w:cs="Times New Roman"/>
          <w:szCs w:val="24"/>
        </w:rPr>
        <w:t>, </w:t>
      </w:r>
      <w:r>
        <w:rPr>
          <w:rFonts w:cs="Times New Roman"/>
          <w:i/>
          <w:iCs/>
          <w:szCs w:val="24"/>
        </w:rPr>
        <w:t>1</w:t>
      </w:r>
      <w:r>
        <w:rPr>
          <w:rFonts w:cs="Times New Roman"/>
          <w:szCs w:val="24"/>
        </w:rPr>
        <w:t>(3), 173.</w:t>
      </w:r>
    </w:p>
    <w:p w:rsidR="007959E8" w:rsidRDefault="007959E8" w:rsidP="00E906D9">
      <w:pPr>
        <w:spacing w:after="0"/>
        <w:ind w:left="720" w:hanging="720"/>
      </w:pPr>
      <w:r>
        <w:t xml:space="preserve">Darush Y. &amp; Peter O. (2015). Debt financing and firm performance: an empirical study based on Swedish data, </w:t>
      </w:r>
      <w:r w:rsidRPr="00BC4021">
        <w:rPr>
          <w:i/>
        </w:rPr>
        <w:t>The Journal of Risk Finance</w:t>
      </w:r>
      <w:r>
        <w:t>, Vol. 16 Issue: 1, pp.102-118</w:t>
      </w:r>
    </w:p>
    <w:p w:rsidR="007959E8" w:rsidRDefault="007959E8" w:rsidP="00E906D9">
      <w:pPr>
        <w:spacing w:after="0"/>
        <w:ind w:left="720" w:hanging="720"/>
        <w:rPr>
          <w:rFonts w:cs="Times New Roman"/>
          <w:szCs w:val="24"/>
        </w:rPr>
      </w:pPr>
      <w:r>
        <w:rPr>
          <w:rFonts w:cs="Times New Roman"/>
          <w:szCs w:val="24"/>
        </w:rPr>
        <w:t>De Grauwe, P. (2021). Inflation risk?. </w:t>
      </w:r>
      <w:r>
        <w:rPr>
          <w:rFonts w:cs="Times New Roman"/>
          <w:i/>
          <w:iCs/>
          <w:szCs w:val="24"/>
        </w:rPr>
        <w:t>Intereconomics</w:t>
      </w:r>
      <w:r>
        <w:rPr>
          <w:rFonts w:cs="Times New Roman"/>
          <w:szCs w:val="24"/>
        </w:rPr>
        <w:t>, </w:t>
      </w:r>
      <w:r>
        <w:rPr>
          <w:rFonts w:cs="Times New Roman"/>
          <w:i/>
          <w:iCs/>
          <w:szCs w:val="24"/>
        </w:rPr>
        <w:t>56</w:t>
      </w:r>
      <w:r>
        <w:rPr>
          <w:rFonts w:cs="Times New Roman"/>
          <w:szCs w:val="24"/>
        </w:rPr>
        <w:t>(4), 220-222.</w:t>
      </w:r>
    </w:p>
    <w:p w:rsidR="007959E8" w:rsidRDefault="007959E8" w:rsidP="00E906D9">
      <w:pPr>
        <w:spacing w:after="0"/>
        <w:ind w:left="720" w:hanging="720"/>
      </w:pPr>
      <w:r>
        <w:t>Deloitte. (2015). Global risk management survey, ninth edition. Operating in the new normal:Increased regulation and heightened expectations. Deloitte University Press.</w:t>
      </w:r>
    </w:p>
    <w:p w:rsidR="007959E8" w:rsidRDefault="007959E8" w:rsidP="00E906D9">
      <w:pPr>
        <w:spacing w:after="0"/>
        <w:ind w:left="720" w:hanging="720"/>
        <w:rPr>
          <w:rFonts w:cs="Times New Roman"/>
          <w:szCs w:val="24"/>
        </w:rPr>
      </w:pPr>
      <w:r>
        <w:rPr>
          <w:rFonts w:cs="Times New Roman"/>
          <w:szCs w:val="24"/>
        </w:rPr>
        <w:t>Endovitsky, D. A., Korotkikh, V. V., &amp; Khripushin, D. A. (2021). Equity risk and return across hidden market regimes. </w:t>
      </w:r>
      <w:r>
        <w:rPr>
          <w:rFonts w:cs="Times New Roman"/>
          <w:i/>
          <w:iCs/>
          <w:szCs w:val="24"/>
        </w:rPr>
        <w:t>Risks</w:t>
      </w:r>
      <w:r>
        <w:rPr>
          <w:rFonts w:cs="Times New Roman"/>
          <w:szCs w:val="24"/>
        </w:rPr>
        <w:t>, </w:t>
      </w:r>
      <w:r>
        <w:rPr>
          <w:rFonts w:cs="Times New Roman"/>
          <w:i/>
          <w:iCs/>
          <w:szCs w:val="24"/>
        </w:rPr>
        <w:t>9</w:t>
      </w:r>
      <w:r>
        <w:rPr>
          <w:rFonts w:cs="Times New Roman"/>
          <w:szCs w:val="24"/>
        </w:rPr>
        <w:t>(11), 188.</w:t>
      </w:r>
    </w:p>
    <w:p w:rsidR="007959E8" w:rsidRDefault="007959E8" w:rsidP="00E906D9">
      <w:pPr>
        <w:spacing w:after="0"/>
        <w:ind w:left="720" w:hanging="720"/>
      </w:pPr>
      <w:r>
        <w:t>Geetha, N. (2016). Performance of Non-Banking Financial Institutions In India. International Conference on "Research avenues in Social Science” Organize by SNGC, Coimbator.</w:t>
      </w:r>
    </w:p>
    <w:p w:rsidR="007959E8" w:rsidRDefault="007959E8" w:rsidP="00E906D9">
      <w:pPr>
        <w:spacing w:after="0"/>
        <w:ind w:left="720" w:hanging="720"/>
        <w:rPr>
          <w:rFonts w:cs="Times New Roman"/>
          <w:szCs w:val="24"/>
        </w:rPr>
      </w:pPr>
      <w:r>
        <w:rPr>
          <w:rFonts w:cs="Times New Roman"/>
          <w:szCs w:val="24"/>
        </w:rPr>
        <w:t>Hilmola, O. P. (2021). Inflation and Hyperinflation Countries in 2018–2020: Risks of Different Assets and Foreign Trade. </w:t>
      </w:r>
      <w:r>
        <w:rPr>
          <w:rFonts w:cs="Times New Roman"/>
          <w:i/>
          <w:iCs/>
          <w:szCs w:val="24"/>
        </w:rPr>
        <w:t>Journal of Risk and Financial Management</w:t>
      </w:r>
      <w:r>
        <w:rPr>
          <w:rFonts w:cs="Times New Roman"/>
          <w:szCs w:val="24"/>
        </w:rPr>
        <w:t>, </w:t>
      </w:r>
      <w:r>
        <w:rPr>
          <w:rFonts w:cs="Times New Roman"/>
          <w:i/>
          <w:iCs/>
          <w:szCs w:val="24"/>
        </w:rPr>
        <w:t>14</w:t>
      </w:r>
      <w:r>
        <w:rPr>
          <w:rFonts w:cs="Times New Roman"/>
          <w:szCs w:val="24"/>
        </w:rPr>
        <w:t>(12), 618.</w:t>
      </w:r>
    </w:p>
    <w:p w:rsidR="007959E8" w:rsidRDefault="007959E8" w:rsidP="00E906D9">
      <w:pPr>
        <w:spacing w:after="0"/>
        <w:ind w:left="720" w:hanging="720"/>
      </w:pPr>
      <w:r>
        <w:t>Insurance Regulatory Authority (2018). Insurance Industry Annual Report, Kenya: IRA.</w:t>
      </w:r>
    </w:p>
    <w:p w:rsidR="007959E8" w:rsidRDefault="007959E8" w:rsidP="00E906D9">
      <w:pPr>
        <w:spacing w:after="0"/>
        <w:ind w:left="720" w:hanging="720"/>
      </w:pPr>
      <w:r>
        <w:lastRenderedPageBreak/>
        <w:t>Isaac, L. (2015). Assessing the Impact of Exchange Rate Risk on Banks Performance in Nigeria . Journal of Economics and Sustainable Development, 6(6), 1-14.</w:t>
      </w:r>
    </w:p>
    <w:p w:rsidR="007959E8" w:rsidRDefault="007959E8" w:rsidP="00E906D9">
      <w:pPr>
        <w:spacing w:after="0"/>
        <w:ind w:left="720" w:hanging="720"/>
      </w:pPr>
      <w:r>
        <w:t>Ismail B. (2016). Effect of financial leverage on financial performance of non-financial firms listed at Nairobi Securities Exchange</w:t>
      </w:r>
    </w:p>
    <w:p w:rsidR="007959E8" w:rsidRDefault="007959E8" w:rsidP="00E906D9">
      <w:pPr>
        <w:spacing w:after="0"/>
        <w:ind w:left="720" w:hanging="720"/>
      </w:pPr>
      <w:r>
        <w:t xml:space="preserve">Jeleel, A., &amp; Olayiwola, B. (2017). Effect of Leverage on Firm Performance in Nigeria: A Case of Listed Chemicals and Paints Firms in Nigeria . </w:t>
      </w:r>
      <w:r w:rsidRPr="002E4563">
        <w:rPr>
          <w:i/>
        </w:rPr>
        <w:t xml:space="preserve">Global Journal of Management and Business Research: D Accounting and Auditing, </w:t>
      </w:r>
      <w:r>
        <w:t>17(2), 15 24.</w:t>
      </w:r>
    </w:p>
    <w:p w:rsidR="007959E8" w:rsidRDefault="007959E8" w:rsidP="00E906D9">
      <w:pPr>
        <w:spacing w:after="0"/>
        <w:ind w:left="720" w:hanging="720"/>
      </w:pPr>
      <w:r>
        <w:t>Joonas H. (2017). Jet fuel price risk management and exposure in small airlines : Evidence from the Nordic Countries</w:t>
      </w:r>
    </w:p>
    <w:p w:rsidR="007959E8" w:rsidRDefault="007959E8" w:rsidP="00E906D9">
      <w:pPr>
        <w:spacing w:after="0"/>
        <w:ind w:left="720" w:hanging="720"/>
      </w:pPr>
      <w:r>
        <w:t xml:space="preserve">Joseph M. &amp; Jagongo A. (2017). Financial Risk Hedging Practices and Performance of Firms, </w:t>
      </w:r>
      <w:r w:rsidRPr="00FE7E6A">
        <w:rPr>
          <w:i/>
        </w:rPr>
        <w:t>International Journal of Scientific Research and Innovative Technology</w:t>
      </w:r>
      <w:r>
        <w:t xml:space="preserve"> ISSN: 2313-3759 Vol. 4 No. 1</w:t>
      </w:r>
    </w:p>
    <w:p w:rsidR="007959E8" w:rsidRDefault="007959E8" w:rsidP="00E906D9">
      <w:pPr>
        <w:spacing w:after="0"/>
        <w:ind w:left="720" w:hanging="720"/>
      </w:pPr>
      <w:r>
        <w:t>Kamau, P. (2017). Economic paradox in Kenya: More favorable perceptions amidst economic insecurity. Afrobarometer Dispatch No. 169, 1-14.</w:t>
      </w:r>
    </w:p>
    <w:p w:rsidR="007959E8" w:rsidRDefault="007959E8" w:rsidP="00E906D9">
      <w:pPr>
        <w:spacing w:after="0"/>
        <w:ind w:left="720" w:hanging="720"/>
        <w:rPr>
          <w:rFonts w:cs="Times New Roman"/>
          <w:szCs w:val="24"/>
        </w:rPr>
      </w:pPr>
      <w:r>
        <w:t>Kassi, D. F., Rathnayake, D. N., Louembe, P. A., &amp; Ding, N. (2019). Market Risk and Financial Performance of Non-Financial Companies Listed on the Moroccan Stock Exchange. Risks, 7(1), 20</w:t>
      </w:r>
    </w:p>
    <w:p w:rsidR="007959E8" w:rsidRDefault="007959E8" w:rsidP="00E906D9">
      <w:pPr>
        <w:spacing w:after="0"/>
        <w:ind w:left="720" w:hanging="720"/>
        <w:rPr>
          <w:rFonts w:cs="Times New Roman"/>
          <w:szCs w:val="24"/>
        </w:rPr>
      </w:pPr>
      <w:r>
        <w:rPr>
          <w:rFonts w:cs="Times New Roman"/>
          <w:szCs w:val="24"/>
        </w:rPr>
        <w:t>Khan, M. A., &amp; Sadiq, M. (2021). The Role of Firm Size in Risk Management: Evidence from the Insurance Sector. International Journal of Financial Studies.</w:t>
      </w:r>
    </w:p>
    <w:p w:rsidR="007959E8" w:rsidRDefault="007959E8" w:rsidP="00E906D9">
      <w:pPr>
        <w:spacing w:after="0"/>
        <w:ind w:left="720" w:hanging="720"/>
      </w:pPr>
      <w:r>
        <w:lastRenderedPageBreak/>
        <w:t xml:space="preserve">Little, R., &amp; Rubin, D. (2014). Statistical Analysis with Missing Data. </w:t>
      </w:r>
      <w:r w:rsidRPr="004F6C35">
        <w:rPr>
          <w:i/>
        </w:rPr>
        <w:t>Statistical analysis with missing data Second edition.</w:t>
      </w:r>
      <w:r>
        <w:t xml:space="preserve"> http://doi.org/10.2307/1533221</w:t>
      </w:r>
    </w:p>
    <w:p w:rsidR="007959E8" w:rsidRPr="00E7349A" w:rsidRDefault="007959E8" w:rsidP="00E906D9">
      <w:pPr>
        <w:spacing w:after="0"/>
        <w:ind w:left="720" w:hanging="720"/>
        <w:rPr>
          <w:rFonts w:cs="Times New Roman"/>
          <w:szCs w:val="24"/>
        </w:rPr>
      </w:pPr>
      <w:r w:rsidRPr="00E7349A">
        <w:rPr>
          <w:rFonts w:cs="Times New Roman"/>
          <w:szCs w:val="24"/>
          <w:shd w:val="clear" w:color="auto" w:fill="FFFFFF"/>
        </w:rPr>
        <w:t>Macaulay, F. (1938) </w:t>
      </w:r>
      <w:r w:rsidRPr="00E7349A">
        <w:rPr>
          <w:rFonts w:cs="Times New Roman"/>
          <w:szCs w:val="24"/>
        </w:rPr>
        <w:t>The Movements of Interest Rates, Bond Yields and Stock Prices in the United States Since 1856.</w:t>
      </w:r>
      <w:r w:rsidRPr="00E7349A">
        <w:rPr>
          <w:rFonts w:cs="Times New Roman"/>
          <w:szCs w:val="24"/>
          <w:shd w:val="clear" w:color="auto" w:fill="FFFFFF"/>
        </w:rPr>
        <w:t> </w:t>
      </w:r>
      <w:r w:rsidRPr="00E7349A">
        <w:rPr>
          <w:rFonts w:cs="Times New Roman"/>
          <w:szCs w:val="24"/>
        </w:rPr>
        <w:t>National Bureau of Economic Research, New York.</w:t>
      </w:r>
    </w:p>
    <w:p w:rsidR="007959E8" w:rsidRDefault="007959E8" w:rsidP="00E906D9">
      <w:pPr>
        <w:spacing w:after="0"/>
        <w:ind w:left="720" w:hanging="720"/>
      </w:pPr>
      <w:r>
        <w:t>Mishra, B. K., Rolland, E., Satpathy, A., &amp; Moore, M. (2019). A framework for enterprise risk identification and management: the resource-based view</w:t>
      </w:r>
      <w:r w:rsidRPr="003D4E1A">
        <w:rPr>
          <w:i/>
        </w:rPr>
        <w:t>. Managerial Auditing Journal</w:t>
      </w:r>
      <w:r>
        <w:t>.</w:t>
      </w:r>
    </w:p>
    <w:p w:rsidR="007959E8" w:rsidRDefault="007959E8" w:rsidP="00E906D9">
      <w:pPr>
        <w:spacing w:after="0"/>
        <w:ind w:left="720" w:hanging="720"/>
      </w:pPr>
      <w:r>
        <w:t>Muriithi, J, G. &amp; Waweru, K, M (2017). Liquidity Risk and Financial Performance of Commercial Banks in Kenya</w:t>
      </w:r>
      <w:r w:rsidRPr="006315A7">
        <w:rPr>
          <w:i/>
        </w:rPr>
        <w:t>. International Journal of Economics and Finance</w:t>
      </w:r>
      <w:r>
        <w:t>; Vol. 9, No. 3.</w:t>
      </w:r>
    </w:p>
    <w:p w:rsidR="007959E8" w:rsidRDefault="007959E8" w:rsidP="00E906D9">
      <w:pPr>
        <w:spacing w:after="0"/>
        <w:ind w:left="720" w:hanging="720"/>
      </w:pPr>
      <w:r>
        <w:t xml:space="preserve">Muriithi, J, G., Muturi, W, M. &amp; Waweru, K, M. (2016). The Effect of Market Risk on Financial Performance of Commercial Banks in Kenya. </w:t>
      </w:r>
      <w:r w:rsidRPr="00D13F3A">
        <w:rPr>
          <w:i/>
        </w:rPr>
        <w:t>Journal of Finance and Accounting 2016</w:t>
      </w:r>
      <w:r>
        <w:t>; 4(4): 225-233.</w:t>
      </w:r>
    </w:p>
    <w:p w:rsidR="007959E8" w:rsidRDefault="007959E8" w:rsidP="00E906D9">
      <w:pPr>
        <w:spacing w:after="0"/>
        <w:ind w:left="720" w:hanging="720"/>
        <w:rPr>
          <w:rFonts w:cs="Times New Roman"/>
          <w:szCs w:val="24"/>
        </w:rPr>
      </w:pPr>
      <w:r>
        <w:rPr>
          <w:rFonts w:cs="Times New Roman"/>
          <w:szCs w:val="24"/>
        </w:rPr>
        <w:t xml:space="preserve">Ng’ang’a, P., &amp; Waweru, G. (2022). The predictive ability of the Altman Z-Score in assessing financial distress in Kenyan insurance firms. </w:t>
      </w:r>
      <w:r>
        <w:rPr>
          <w:rFonts w:cs="Times New Roman"/>
          <w:i/>
          <w:iCs/>
          <w:szCs w:val="24"/>
        </w:rPr>
        <w:t>Kenya Journal of Business and Economics</w:t>
      </w:r>
      <w:r>
        <w:rPr>
          <w:rFonts w:cs="Times New Roman"/>
          <w:szCs w:val="24"/>
        </w:rPr>
        <w:t>, 9(2), 55-72.</w:t>
      </w:r>
    </w:p>
    <w:p w:rsidR="007959E8" w:rsidRDefault="007959E8" w:rsidP="00E906D9">
      <w:pPr>
        <w:spacing w:after="0"/>
        <w:ind w:left="720" w:hanging="720"/>
        <w:rPr>
          <w:rFonts w:cs="Times New Roman"/>
          <w:szCs w:val="24"/>
        </w:rPr>
      </w:pPr>
      <w:r>
        <w:rPr>
          <w:rFonts w:cs="Times New Roman"/>
          <w:szCs w:val="24"/>
        </w:rPr>
        <w:t>Nge‟tich, J. C. &amp; Wanjau, K. (2016). The effects of interest rate spread on the level of non-performing assets: A case of commercial banks in Kenya. International Journal of Business and Public Management (ISSN: 2223-6244) Vol. 1(1): 58-65</w:t>
      </w:r>
    </w:p>
    <w:p w:rsidR="007959E8" w:rsidRDefault="007959E8" w:rsidP="00E906D9">
      <w:pPr>
        <w:spacing w:after="0"/>
        <w:ind w:left="720" w:hanging="720"/>
        <w:rPr>
          <w:rFonts w:cs="Times New Roman"/>
          <w:szCs w:val="24"/>
        </w:rPr>
      </w:pPr>
      <w:r>
        <w:rPr>
          <w:rFonts w:cs="Times New Roman"/>
          <w:szCs w:val="24"/>
        </w:rPr>
        <w:lastRenderedPageBreak/>
        <w:t>Nobanee, H., Dilshad, M. N., Alzaabi, F., Alkindi, S., Alhammadi, J., &amp; Alnaqbi, M. (2022). Bibliometric analysis of foreign exchange risk. </w:t>
      </w:r>
      <w:r>
        <w:rPr>
          <w:rFonts w:cs="Times New Roman"/>
          <w:i/>
          <w:iCs/>
          <w:szCs w:val="24"/>
        </w:rPr>
        <w:t xml:space="preserve"> Journal of Governance and Regulation</w:t>
      </w:r>
      <w:r>
        <w:rPr>
          <w:rFonts w:cs="Times New Roman"/>
          <w:szCs w:val="24"/>
        </w:rPr>
        <w:t>, </w:t>
      </w:r>
      <w:r>
        <w:rPr>
          <w:rFonts w:cs="Times New Roman"/>
          <w:i/>
          <w:iCs/>
          <w:szCs w:val="24"/>
        </w:rPr>
        <w:t>11</w:t>
      </w:r>
      <w:r>
        <w:rPr>
          <w:rFonts w:cs="Times New Roman"/>
          <w:szCs w:val="24"/>
        </w:rPr>
        <w:t>(1), 86-99.</w:t>
      </w:r>
    </w:p>
    <w:p w:rsidR="007959E8" w:rsidRDefault="007959E8" w:rsidP="00E906D9">
      <w:pPr>
        <w:spacing w:after="0"/>
        <w:ind w:left="720" w:hanging="720"/>
        <w:rPr>
          <w:rFonts w:cs="Times New Roman"/>
          <w:szCs w:val="24"/>
        </w:rPr>
      </w:pPr>
      <w:r>
        <w:rPr>
          <w:rFonts w:cs="Times New Roman"/>
          <w:szCs w:val="24"/>
        </w:rPr>
        <w:t xml:space="preserve">Ogunbote, O. O., &amp; Ogundipe, A. A. (2021). Regulatory Compliance and Financial Resilience </w:t>
      </w:r>
    </w:p>
    <w:p w:rsidR="007959E8" w:rsidRDefault="007959E8" w:rsidP="00E906D9">
      <w:pPr>
        <w:spacing w:after="0"/>
        <w:ind w:left="720" w:hanging="720"/>
        <w:rPr>
          <w:rFonts w:cs="Times New Roman"/>
          <w:szCs w:val="24"/>
        </w:rPr>
      </w:pPr>
      <w:r>
        <w:t xml:space="preserve">Oketch, J., Namusonge, G., &amp; Sakwa, M. (2018). Effect of financial leverage on performance of listed commercial banks in Kenya. </w:t>
      </w:r>
      <w:r w:rsidRPr="00EA077C">
        <w:rPr>
          <w:i/>
        </w:rPr>
        <w:t>International Journal of Social Sciences and Information Technology,</w:t>
      </w:r>
      <w:r>
        <w:t xml:space="preserve"> 4(2), 2760-2766.</w:t>
      </w:r>
    </w:p>
    <w:p w:rsidR="007959E8" w:rsidRDefault="007959E8" w:rsidP="00E906D9">
      <w:pPr>
        <w:spacing w:after="0"/>
        <w:ind w:left="720" w:hanging="720"/>
        <w:rPr>
          <w:rFonts w:cs="Times New Roman"/>
          <w:szCs w:val="24"/>
        </w:rPr>
      </w:pPr>
      <w:r>
        <w:rPr>
          <w:rFonts w:cs="Times New Roman"/>
          <w:szCs w:val="24"/>
        </w:rPr>
        <w:t>Oxelheim, L., Alviniussen, A., &amp; Jankensgard, H. (2020). </w:t>
      </w:r>
      <w:r>
        <w:rPr>
          <w:rFonts w:cs="Times New Roman"/>
          <w:i/>
          <w:iCs/>
          <w:szCs w:val="24"/>
        </w:rPr>
        <w:t>Corporate foreign exchange risk management</w:t>
      </w:r>
      <w:r>
        <w:rPr>
          <w:rFonts w:cs="Times New Roman"/>
          <w:szCs w:val="24"/>
        </w:rPr>
        <w:t>. John Wiley &amp; Sons.</w:t>
      </w:r>
    </w:p>
    <w:p w:rsidR="007959E8" w:rsidRDefault="007959E8" w:rsidP="00E906D9">
      <w:pPr>
        <w:spacing w:after="0"/>
        <w:ind w:left="720" w:hanging="720"/>
        <w:rPr>
          <w:rFonts w:cs="Times New Roman"/>
          <w:szCs w:val="24"/>
        </w:rPr>
      </w:pPr>
      <w:r>
        <w:rPr>
          <w:rFonts w:cs="Times New Roman"/>
          <w:szCs w:val="24"/>
        </w:rPr>
        <w:t>Paul, P., &amp; Zhu, S. (2020). Are Banks Exposed to Interest Rate Risk?. </w:t>
      </w:r>
    </w:p>
    <w:p w:rsidR="007959E8" w:rsidRDefault="007959E8" w:rsidP="00E906D9">
      <w:pPr>
        <w:spacing w:after="0"/>
        <w:ind w:left="720" w:hanging="720"/>
        <w:rPr>
          <w:rFonts w:cs="Times New Roman"/>
          <w:szCs w:val="24"/>
        </w:rPr>
      </w:pPr>
      <w:r>
        <w:t>Saruni, L.A. (2016). Credit information sharing and default rate of loans issued by commercial banks listed at the Nairobi securities exchange. Unpublished MBA Project of Kenyatta University.</w:t>
      </w:r>
    </w:p>
    <w:p w:rsidR="007959E8" w:rsidRDefault="007959E8" w:rsidP="00E906D9">
      <w:pPr>
        <w:spacing w:after="0"/>
        <w:ind w:left="720" w:hanging="720"/>
        <w:rPr>
          <w:rFonts w:cs="Times New Roman"/>
          <w:szCs w:val="24"/>
        </w:rPr>
      </w:pPr>
      <w:r>
        <w:rPr>
          <w:rFonts w:cs="Times New Roman"/>
          <w:szCs w:val="24"/>
        </w:rPr>
        <w:t>Siegel, J. J. (2021). </w:t>
      </w:r>
      <w:r>
        <w:rPr>
          <w:rFonts w:cs="Times New Roman"/>
          <w:i/>
          <w:iCs/>
          <w:szCs w:val="24"/>
        </w:rPr>
        <w:t>Stocks for the long run: The definitive guide to financial market returns &amp; long-term investment strategies</w:t>
      </w:r>
      <w:r>
        <w:rPr>
          <w:rFonts w:cs="Times New Roman"/>
          <w:szCs w:val="24"/>
        </w:rPr>
        <w:t>. McGraw-Hill Education.</w:t>
      </w:r>
    </w:p>
    <w:p w:rsidR="007959E8" w:rsidRDefault="007959E8" w:rsidP="00E906D9">
      <w:pPr>
        <w:spacing w:after="0"/>
        <w:ind w:left="720" w:hanging="720"/>
        <w:rPr>
          <w:rFonts w:cs="Times New Roman"/>
          <w:szCs w:val="24"/>
        </w:rPr>
      </w:pPr>
      <w:bookmarkStart w:id="3" w:name="_Hlk180274675"/>
      <w:r>
        <w:rPr>
          <w:rFonts w:cs="Times New Roman"/>
          <w:szCs w:val="24"/>
        </w:rPr>
        <w:t xml:space="preserve">Susetyo, D. P. (2023). </w:t>
      </w:r>
      <w:bookmarkEnd w:id="3"/>
      <w:r>
        <w:rPr>
          <w:rFonts w:cs="Times New Roman"/>
          <w:szCs w:val="24"/>
        </w:rPr>
        <w:t>The Effect of Return on Assets and Firm Size on Capital Structure. </w:t>
      </w:r>
      <w:r>
        <w:rPr>
          <w:rFonts w:cs="Times New Roman"/>
          <w:i/>
          <w:iCs/>
          <w:szCs w:val="24"/>
        </w:rPr>
        <w:t>Jurnal Ekonomi, Manajemen dan Akuntansi</w:t>
      </w:r>
      <w:r>
        <w:rPr>
          <w:rFonts w:cs="Times New Roman"/>
          <w:szCs w:val="24"/>
        </w:rPr>
        <w:t>, </w:t>
      </w:r>
      <w:r>
        <w:rPr>
          <w:rFonts w:cs="Times New Roman"/>
          <w:i/>
          <w:iCs/>
          <w:szCs w:val="24"/>
        </w:rPr>
        <w:t>1</w:t>
      </w:r>
      <w:r>
        <w:rPr>
          <w:rFonts w:cs="Times New Roman"/>
          <w:szCs w:val="24"/>
        </w:rPr>
        <w:t>(01), 25-32.</w:t>
      </w:r>
    </w:p>
    <w:p w:rsidR="007959E8" w:rsidRDefault="007959E8" w:rsidP="00E906D9">
      <w:pPr>
        <w:spacing w:after="0"/>
        <w:ind w:left="720" w:hanging="720"/>
        <w:rPr>
          <w:rFonts w:cs="Times New Roman"/>
          <w:szCs w:val="24"/>
        </w:rPr>
      </w:pPr>
      <w:r>
        <w:rPr>
          <w:rFonts w:cs="Times New Roman"/>
          <w:szCs w:val="24"/>
        </w:rPr>
        <w:lastRenderedPageBreak/>
        <w:t>Syah, M. J., Kuncoro, A. W., Ipmawan, H., Kristanto, D., Hendrawan, K., &amp; Naryoto, P. (2023). Analysis Of The Effect Of Current Ratio, Debt To Equity Ratio, Total Asset Turnover, And Firm Size On Return On Assets. </w:t>
      </w:r>
      <w:r>
        <w:rPr>
          <w:rFonts w:cs="Times New Roman"/>
          <w:i/>
          <w:iCs/>
          <w:szCs w:val="24"/>
        </w:rPr>
        <w:t>Jurnal Bintang Manajemen</w:t>
      </w:r>
      <w:r>
        <w:rPr>
          <w:rFonts w:cs="Times New Roman"/>
          <w:szCs w:val="24"/>
        </w:rPr>
        <w:t>, </w:t>
      </w:r>
      <w:r>
        <w:rPr>
          <w:rFonts w:cs="Times New Roman"/>
          <w:i/>
          <w:iCs/>
          <w:szCs w:val="24"/>
        </w:rPr>
        <w:t>1</w:t>
      </w:r>
      <w:r>
        <w:rPr>
          <w:rFonts w:cs="Times New Roman"/>
          <w:szCs w:val="24"/>
        </w:rPr>
        <w:t>(2), 98-113.</w:t>
      </w:r>
    </w:p>
    <w:p w:rsidR="007959E8" w:rsidRDefault="007959E8" w:rsidP="00E906D9">
      <w:pPr>
        <w:spacing w:after="0"/>
        <w:ind w:left="720" w:hanging="720"/>
        <w:rPr>
          <w:rFonts w:cs="Times New Roman"/>
          <w:szCs w:val="24"/>
        </w:rPr>
      </w:pPr>
      <w:r>
        <w:rPr>
          <w:rFonts w:cs="Times New Roman"/>
          <w:szCs w:val="24"/>
        </w:rPr>
        <w:t>Wang, Y., &amp; Huang, Z. (2022). Market Power, Firm Size, and Financial Stability: Evidence from the Insurance Industry. Journal of Financial Stability.</w:t>
      </w:r>
    </w:p>
    <w:p w:rsidR="007959E8" w:rsidRDefault="007959E8" w:rsidP="00E906D9">
      <w:pPr>
        <w:spacing w:after="0"/>
        <w:ind w:left="720" w:hanging="720"/>
        <w:rPr>
          <w:rFonts w:cs="Times New Roman"/>
          <w:szCs w:val="24"/>
        </w:rPr>
      </w:pPr>
      <w:r>
        <w:rPr>
          <w:rFonts w:cs="Times New Roman"/>
          <w:szCs w:val="24"/>
        </w:rPr>
        <w:t xml:space="preserve">World Bank. (2018). </w:t>
      </w:r>
      <w:r>
        <w:rPr>
          <w:rFonts w:cs="Times New Roman"/>
          <w:i/>
          <w:iCs/>
          <w:szCs w:val="24"/>
        </w:rPr>
        <w:t>World Development Report 2018: Governance for Development</w:t>
      </w:r>
      <w:r>
        <w:rPr>
          <w:rFonts w:cs="Times New Roman"/>
          <w:szCs w:val="24"/>
        </w:rPr>
        <w:t xml:space="preserve">. World Bank Group. </w:t>
      </w:r>
    </w:p>
    <w:p w:rsidR="007959E8" w:rsidRDefault="007959E8" w:rsidP="00E906D9">
      <w:pPr>
        <w:spacing w:after="0"/>
        <w:ind w:left="720" w:hanging="720"/>
        <w:rPr>
          <w:rStyle w:val="Hyperlink"/>
          <w:rFonts w:cs="Times New Roman"/>
          <w:color w:val="auto"/>
          <w:szCs w:val="24"/>
        </w:rPr>
      </w:pPr>
      <w:r>
        <w:rPr>
          <w:rFonts w:cs="Times New Roman"/>
          <w:szCs w:val="24"/>
        </w:rPr>
        <w:t xml:space="preserve">World Bank. (2020). Global Economic Prospects. Washington, DC: The World Bank Group. Retrieved from </w:t>
      </w:r>
      <w:hyperlink r:id="rId8" w:tgtFrame="_new" w:history="1">
        <w:r w:rsidRPr="00035FC6">
          <w:rPr>
            <w:rStyle w:val="Hyperlink"/>
            <w:rFonts w:cs="Times New Roman"/>
            <w:color w:val="auto"/>
            <w:szCs w:val="24"/>
          </w:rPr>
          <w:t>https://www.worldbank.org/</w:t>
        </w:r>
      </w:hyperlink>
    </w:p>
    <w:sectPr w:rsidR="007959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7CEE" w:rsidRDefault="00527CEE" w:rsidP="00AB5CC7">
      <w:pPr>
        <w:spacing w:before="0" w:after="0" w:line="240" w:lineRule="auto"/>
      </w:pPr>
      <w:r>
        <w:separator/>
      </w:r>
    </w:p>
  </w:endnote>
  <w:endnote w:type="continuationSeparator" w:id="0">
    <w:p w:rsidR="00527CEE" w:rsidRDefault="00527CEE" w:rsidP="00AB5C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243081"/>
      <w:docPartObj>
        <w:docPartGallery w:val="Page Numbers (Bottom of Page)"/>
        <w:docPartUnique/>
      </w:docPartObj>
    </w:sdtPr>
    <w:sdtEndPr>
      <w:rPr>
        <w:noProof/>
      </w:rPr>
    </w:sdtEndPr>
    <w:sdtContent>
      <w:p w:rsidR="00AB5CC7" w:rsidRDefault="00AB5CC7">
        <w:pPr>
          <w:pStyle w:val="Footer"/>
          <w:jc w:val="center"/>
        </w:pPr>
        <w:r>
          <w:fldChar w:fldCharType="begin"/>
        </w:r>
        <w:r>
          <w:instrText xml:space="preserve"> PAGE   \* MERGEFORMAT </w:instrText>
        </w:r>
        <w:r>
          <w:fldChar w:fldCharType="separate"/>
        </w:r>
        <w:r w:rsidR="00110286">
          <w:rPr>
            <w:noProof/>
          </w:rPr>
          <w:t>2</w:t>
        </w:r>
        <w:r>
          <w:rPr>
            <w:noProof/>
          </w:rPr>
          <w:fldChar w:fldCharType="end"/>
        </w:r>
      </w:p>
    </w:sdtContent>
  </w:sdt>
  <w:p w:rsidR="00AB5CC7" w:rsidRDefault="00AB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7CEE" w:rsidRDefault="00527CEE" w:rsidP="00AB5CC7">
      <w:pPr>
        <w:spacing w:before="0" w:after="0" w:line="240" w:lineRule="auto"/>
      </w:pPr>
      <w:r>
        <w:separator/>
      </w:r>
    </w:p>
  </w:footnote>
  <w:footnote w:type="continuationSeparator" w:id="0">
    <w:p w:rsidR="00527CEE" w:rsidRDefault="00527CEE" w:rsidP="00AB5CC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F78E2"/>
    <w:multiLevelType w:val="multilevel"/>
    <w:tmpl w:val="1EEF78E2"/>
    <w:lvl w:ilvl="0">
      <w:start w:val="1"/>
      <w:numFmt w:val="bullet"/>
      <w:lvlText w:val=""/>
      <w:lvlJc w:val="left"/>
      <w:pPr>
        <w:ind w:left="863" w:hanging="360"/>
      </w:pPr>
      <w:rPr>
        <w:rFonts w:ascii="Symbol" w:hAnsi="Symbol"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1" w15:restartNumberingAfterBreak="0">
    <w:nsid w:val="23B2206C"/>
    <w:multiLevelType w:val="multilevel"/>
    <w:tmpl w:val="23B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B442500"/>
    <w:multiLevelType w:val="hybridMultilevel"/>
    <w:tmpl w:val="B20E6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17122"/>
    <w:multiLevelType w:val="hybridMultilevel"/>
    <w:tmpl w:val="885A88E0"/>
    <w:lvl w:ilvl="0" w:tplc="049056E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625190"/>
    <w:multiLevelType w:val="hybridMultilevel"/>
    <w:tmpl w:val="98883F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3936108">
    <w:abstractNumId w:val="3"/>
  </w:num>
  <w:num w:numId="2" w16cid:durableId="1621496555">
    <w:abstractNumId w:val="2"/>
  </w:num>
  <w:num w:numId="3" w16cid:durableId="1558275143">
    <w:abstractNumId w:val="4"/>
  </w:num>
  <w:num w:numId="4" w16cid:durableId="1204832901">
    <w:abstractNumId w:val="0"/>
  </w:num>
  <w:num w:numId="5" w16cid:durableId="126943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2F9"/>
    <w:rsid w:val="00002282"/>
    <w:rsid w:val="00035FC6"/>
    <w:rsid w:val="00040A1D"/>
    <w:rsid w:val="000652C4"/>
    <w:rsid w:val="0008400A"/>
    <w:rsid w:val="00096109"/>
    <w:rsid w:val="000A226C"/>
    <w:rsid w:val="000B0990"/>
    <w:rsid w:val="00110286"/>
    <w:rsid w:val="0011456B"/>
    <w:rsid w:val="00125E70"/>
    <w:rsid w:val="001442F9"/>
    <w:rsid w:val="001527E4"/>
    <w:rsid w:val="00190B47"/>
    <w:rsid w:val="001C0775"/>
    <w:rsid w:val="001C3887"/>
    <w:rsid w:val="0020577F"/>
    <w:rsid w:val="0023669A"/>
    <w:rsid w:val="002438B3"/>
    <w:rsid w:val="00244382"/>
    <w:rsid w:val="00245929"/>
    <w:rsid w:val="00272A31"/>
    <w:rsid w:val="00274376"/>
    <w:rsid w:val="00285586"/>
    <w:rsid w:val="002A52A1"/>
    <w:rsid w:val="002A7AAA"/>
    <w:rsid w:val="002E4563"/>
    <w:rsid w:val="00301804"/>
    <w:rsid w:val="003029E4"/>
    <w:rsid w:val="00307C18"/>
    <w:rsid w:val="003133AF"/>
    <w:rsid w:val="00323915"/>
    <w:rsid w:val="00375A35"/>
    <w:rsid w:val="00385A0A"/>
    <w:rsid w:val="003A3C8B"/>
    <w:rsid w:val="003C2360"/>
    <w:rsid w:val="003D4E1A"/>
    <w:rsid w:val="003F61D5"/>
    <w:rsid w:val="00407824"/>
    <w:rsid w:val="004130CD"/>
    <w:rsid w:val="00413601"/>
    <w:rsid w:val="00455A86"/>
    <w:rsid w:val="00477C3F"/>
    <w:rsid w:val="00485145"/>
    <w:rsid w:val="004B0321"/>
    <w:rsid w:val="004B7A1C"/>
    <w:rsid w:val="004D3C6E"/>
    <w:rsid w:val="004F39DE"/>
    <w:rsid w:val="004F4C3A"/>
    <w:rsid w:val="004F6C35"/>
    <w:rsid w:val="00500693"/>
    <w:rsid w:val="00503471"/>
    <w:rsid w:val="00506A60"/>
    <w:rsid w:val="00525AA4"/>
    <w:rsid w:val="00527CEE"/>
    <w:rsid w:val="00533AE9"/>
    <w:rsid w:val="00540DFE"/>
    <w:rsid w:val="00550F71"/>
    <w:rsid w:val="0059013D"/>
    <w:rsid w:val="005A30AF"/>
    <w:rsid w:val="005E3EA5"/>
    <w:rsid w:val="00621AB0"/>
    <w:rsid w:val="006315A7"/>
    <w:rsid w:val="00634EE4"/>
    <w:rsid w:val="00641CB1"/>
    <w:rsid w:val="00660E83"/>
    <w:rsid w:val="00664F02"/>
    <w:rsid w:val="006A5C86"/>
    <w:rsid w:val="007301AD"/>
    <w:rsid w:val="00735534"/>
    <w:rsid w:val="007365F8"/>
    <w:rsid w:val="007931F5"/>
    <w:rsid w:val="007959E8"/>
    <w:rsid w:val="007C5A7B"/>
    <w:rsid w:val="00825643"/>
    <w:rsid w:val="00851D4E"/>
    <w:rsid w:val="00863D46"/>
    <w:rsid w:val="00883D49"/>
    <w:rsid w:val="008875CE"/>
    <w:rsid w:val="008A3B36"/>
    <w:rsid w:val="008D7F38"/>
    <w:rsid w:val="008E0C19"/>
    <w:rsid w:val="008F3632"/>
    <w:rsid w:val="00916131"/>
    <w:rsid w:val="009327E6"/>
    <w:rsid w:val="00950D3C"/>
    <w:rsid w:val="00973456"/>
    <w:rsid w:val="00983033"/>
    <w:rsid w:val="00987299"/>
    <w:rsid w:val="009A0FAD"/>
    <w:rsid w:val="009B6B53"/>
    <w:rsid w:val="009C0B23"/>
    <w:rsid w:val="009C1660"/>
    <w:rsid w:val="009E5F16"/>
    <w:rsid w:val="00A10042"/>
    <w:rsid w:val="00A1015E"/>
    <w:rsid w:val="00A376D5"/>
    <w:rsid w:val="00A470B0"/>
    <w:rsid w:val="00A549EC"/>
    <w:rsid w:val="00A6094C"/>
    <w:rsid w:val="00AB5CC7"/>
    <w:rsid w:val="00AD21B3"/>
    <w:rsid w:val="00AF0519"/>
    <w:rsid w:val="00AF49CE"/>
    <w:rsid w:val="00B377A1"/>
    <w:rsid w:val="00B611D1"/>
    <w:rsid w:val="00BA2733"/>
    <w:rsid w:val="00BA7408"/>
    <w:rsid w:val="00BC4021"/>
    <w:rsid w:val="00BE5E2B"/>
    <w:rsid w:val="00C0772D"/>
    <w:rsid w:val="00C27149"/>
    <w:rsid w:val="00C30E5E"/>
    <w:rsid w:val="00C36DDD"/>
    <w:rsid w:val="00C61CDC"/>
    <w:rsid w:val="00C801BB"/>
    <w:rsid w:val="00C8331A"/>
    <w:rsid w:val="00C91694"/>
    <w:rsid w:val="00C9290E"/>
    <w:rsid w:val="00CA4E19"/>
    <w:rsid w:val="00CC001B"/>
    <w:rsid w:val="00D106A7"/>
    <w:rsid w:val="00D13F3A"/>
    <w:rsid w:val="00D228E8"/>
    <w:rsid w:val="00D33F17"/>
    <w:rsid w:val="00D407AB"/>
    <w:rsid w:val="00D4652C"/>
    <w:rsid w:val="00D62267"/>
    <w:rsid w:val="00D96668"/>
    <w:rsid w:val="00DA6A3B"/>
    <w:rsid w:val="00DB39C2"/>
    <w:rsid w:val="00DB49FC"/>
    <w:rsid w:val="00DF3A5C"/>
    <w:rsid w:val="00E22C2D"/>
    <w:rsid w:val="00E255E5"/>
    <w:rsid w:val="00E4677D"/>
    <w:rsid w:val="00E509D4"/>
    <w:rsid w:val="00E6077A"/>
    <w:rsid w:val="00E6091F"/>
    <w:rsid w:val="00E7349A"/>
    <w:rsid w:val="00E73870"/>
    <w:rsid w:val="00E906D9"/>
    <w:rsid w:val="00EA077C"/>
    <w:rsid w:val="00EA43E7"/>
    <w:rsid w:val="00EC4043"/>
    <w:rsid w:val="00EE0466"/>
    <w:rsid w:val="00F02FA8"/>
    <w:rsid w:val="00F210CD"/>
    <w:rsid w:val="00F3147F"/>
    <w:rsid w:val="00F41658"/>
    <w:rsid w:val="00F450A9"/>
    <w:rsid w:val="00F556D1"/>
    <w:rsid w:val="00F75350"/>
    <w:rsid w:val="00F76884"/>
    <w:rsid w:val="00F8424A"/>
    <w:rsid w:val="00FC286A"/>
    <w:rsid w:val="00FC6649"/>
    <w:rsid w:val="00FD6F79"/>
    <w:rsid w:val="00FE535F"/>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191BD3"/>
  <w15:docId w15:val="{E3C23887-4B76-4129-8A13-ED122AD4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71"/>
    <w:pPr>
      <w:spacing w:before="100" w:beforeAutospacing="1" w:after="100" w:afterAutospacing="1"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B49FC"/>
    <w:pPr>
      <w:keepNext/>
      <w:spacing w:before="240" w:beforeAutospacing="0" w:after="60" w:afterAutospacing="0" w:line="36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B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5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1442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qFormat/>
    <w:rsid w:val="001442F9"/>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DB49FC"/>
    <w:rPr>
      <w:color w:val="0000FF" w:themeColor="hyperlink"/>
      <w:u w:val="single"/>
    </w:rPr>
  </w:style>
  <w:style w:type="character" w:customStyle="1" w:styleId="Heading1Char">
    <w:name w:val="Heading 1 Char"/>
    <w:basedOn w:val="DefaultParagraphFont"/>
    <w:link w:val="Heading1"/>
    <w:uiPriority w:val="9"/>
    <w:qFormat/>
    <w:rsid w:val="00DB49FC"/>
    <w:rPr>
      <w:rFonts w:ascii="Cambria" w:eastAsia="Times New Roman" w:hAnsi="Cambria" w:cs="Times New Roman"/>
      <w:b/>
      <w:bCs/>
      <w:kern w:val="32"/>
      <w:sz w:val="32"/>
      <w:szCs w:val="32"/>
    </w:rPr>
  </w:style>
  <w:style w:type="character" w:styleId="Strong">
    <w:name w:val="Strong"/>
    <w:basedOn w:val="DefaultParagraphFont"/>
    <w:uiPriority w:val="22"/>
    <w:qFormat/>
    <w:rsid w:val="00735534"/>
    <w:rPr>
      <w:b/>
      <w:bCs/>
    </w:rPr>
  </w:style>
  <w:style w:type="paragraph" w:styleId="BodyText">
    <w:name w:val="Body Text"/>
    <w:basedOn w:val="Normal"/>
    <w:link w:val="BodyTextChar"/>
    <w:uiPriority w:val="1"/>
    <w:qFormat/>
    <w:rsid w:val="00AB5CC7"/>
    <w:pPr>
      <w:widowControl w:val="0"/>
      <w:autoSpaceDE w:val="0"/>
      <w:autoSpaceDN w:val="0"/>
      <w:spacing w:before="0" w:beforeAutospacing="0" w:after="0" w:afterAutospacing="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qFormat/>
    <w:rsid w:val="00AB5CC7"/>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semiHidden/>
    <w:rsid w:val="00AB5CC7"/>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AB5C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qFormat/>
    <w:rsid w:val="00AB5CC7"/>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AB5CC7"/>
    <w:rPr>
      <w:rFonts w:ascii="Times New Roman" w:hAnsi="Times New Roman"/>
      <w:sz w:val="24"/>
    </w:rPr>
  </w:style>
  <w:style w:type="paragraph" w:styleId="Footer">
    <w:name w:val="footer"/>
    <w:basedOn w:val="Normal"/>
    <w:link w:val="FooterChar"/>
    <w:uiPriority w:val="99"/>
    <w:unhideWhenUsed/>
    <w:rsid w:val="00AB5C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5CC7"/>
    <w:rPr>
      <w:rFonts w:ascii="Times New Roman" w:hAnsi="Times New Roman"/>
      <w:sz w:val="24"/>
    </w:rPr>
  </w:style>
  <w:style w:type="paragraph" w:styleId="ListParagraph">
    <w:name w:val="List Paragraph"/>
    <w:basedOn w:val="Normal"/>
    <w:link w:val="ListParagraphChar"/>
    <w:qFormat/>
    <w:rsid w:val="00503471"/>
    <w:pPr>
      <w:ind w:left="720"/>
      <w:contextualSpacing/>
    </w:pPr>
  </w:style>
  <w:style w:type="character" w:customStyle="1" w:styleId="ListParagraphChar">
    <w:name w:val="List Paragraph Char"/>
    <w:link w:val="ListParagraph"/>
    <w:qFormat/>
    <w:locked/>
    <w:rsid w:val="00FE535F"/>
    <w:rPr>
      <w:rFonts w:ascii="Times New Roman" w:hAnsi="Times New Roman"/>
      <w:sz w:val="24"/>
    </w:rPr>
  </w:style>
  <w:style w:type="table" w:styleId="TableGrid">
    <w:name w:val="Table Grid"/>
    <w:basedOn w:val="TableNormal"/>
    <w:uiPriority w:val="59"/>
    <w:rsid w:val="008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335-4816-4C81-B734-89E41B1C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25</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120</cp:revision>
  <dcterms:created xsi:type="dcterms:W3CDTF">2025-03-07T11:19:00Z</dcterms:created>
  <dcterms:modified xsi:type="dcterms:W3CDTF">2025-04-11T08:56:00Z</dcterms:modified>
</cp:coreProperties>
</file>