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C6AB8" w14:textId="77777777" w:rsidR="002B378F" w:rsidRPr="000C4AC9" w:rsidRDefault="002B378F" w:rsidP="00695DC0">
      <w:pPr>
        <w:tabs>
          <w:tab w:val="center" w:pos="4513"/>
        </w:tabs>
        <w:jc w:val="both"/>
        <w:rPr>
          <w:rFonts w:ascii="Times New Roman" w:hAnsi="Times New Roman" w:cs="Times New Roman"/>
          <w:noProof/>
          <w:sz w:val="24"/>
          <w:szCs w:val="24"/>
        </w:rPr>
      </w:pPr>
      <w:r w:rsidRPr="000C4AC9">
        <w:rPr>
          <w:rFonts w:ascii="Times New Roman" w:hAnsi="Times New Roman" w:cs="Times New Roman"/>
          <w:noProof/>
          <w:sz w:val="24"/>
          <w:szCs w:val="24"/>
          <w:highlight w:val="green"/>
        </w:rPr>
        <w:t>Original Research Article</w:t>
      </w:r>
    </w:p>
    <w:p w14:paraId="294E9028" w14:textId="58156F14" w:rsidR="00695DC0" w:rsidRPr="00695DC0" w:rsidRDefault="00710220" w:rsidP="00695DC0">
      <w:pPr>
        <w:tabs>
          <w:tab w:val="center" w:pos="4513"/>
        </w:tabs>
        <w:jc w:val="both"/>
        <w:rPr>
          <w:rFonts w:ascii="Times New Roman" w:hAnsi="Times New Roman" w:cs="Times New Roman"/>
          <w:sz w:val="32"/>
          <w:szCs w:val="32"/>
          <w:highlight w:val="green"/>
        </w:rPr>
      </w:pPr>
      <w:r w:rsidRPr="00710220">
        <w:rPr>
          <w:sz w:val="32"/>
          <w:szCs w:val="32"/>
        </w:rPr>
        <w:tab/>
      </w:r>
      <w:r w:rsidR="00695DC0" w:rsidRPr="00695DC0">
        <w:rPr>
          <w:rFonts w:ascii="Times New Roman" w:hAnsi="Times New Roman" w:cs="Times New Roman"/>
          <w:b/>
          <w:sz w:val="32"/>
          <w:szCs w:val="32"/>
        </w:rPr>
        <w:t>MULTI-DRUG</w:t>
      </w:r>
      <w:r w:rsidR="00695DC0" w:rsidRPr="00695DC0">
        <w:rPr>
          <w:rFonts w:ascii="Times New Roman" w:hAnsi="Times New Roman" w:cs="Times New Roman"/>
          <w:b/>
          <w:spacing w:val="-3"/>
          <w:sz w:val="32"/>
          <w:szCs w:val="32"/>
        </w:rPr>
        <w:t xml:space="preserve"> </w:t>
      </w:r>
      <w:r w:rsidR="00695DC0" w:rsidRPr="00695DC0">
        <w:rPr>
          <w:rFonts w:ascii="Times New Roman" w:hAnsi="Times New Roman" w:cs="Times New Roman"/>
          <w:b/>
          <w:sz w:val="32"/>
          <w:szCs w:val="32"/>
        </w:rPr>
        <w:t>RESISTANCE</w:t>
      </w:r>
      <w:r w:rsidR="00695DC0" w:rsidRPr="00695DC0">
        <w:rPr>
          <w:rFonts w:ascii="Times New Roman" w:hAnsi="Times New Roman" w:cs="Times New Roman"/>
          <w:b/>
          <w:spacing w:val="-3"/>
          <w:sz w:val="32"/>
          <w:szCs w:val="32"/>
        </w:rPr>
        <w:t xml:space="preserve"> </w:t>
      </w:r>
      <w:r w:rsidR="00695DC0" w:rsidRPr="00695DC0">
        <w:rPr>
          <w:rFonts w:ascii="Times New Roman" w:hAnsi="Times New Roman" w:cs="Times New Roman"/>
          <w:b/>
          <w:sz w:val="32"/>
          <w:szCs w:val="32"/>
        </w:rPr>
        <w:t>PROFILE</w:t>
      </w:r>
      <w:r w:rsidR="00695DC0" w:rsidRPr="00695DC0">
        <w:rPr>
          <w:rFonts w:ascii="Times New Roman" w:hAnsi="Times New Roman" w:cs="Times New Roman"/>
          <w:b/>
          <w:spacing w:val="-5"/>
          <w:sz w:val="32"/>
          <w:szCs w:val="32"/>
        </w:rPr>
        <w:t xml:space="preserve"> </w:t>
      </w:r>
      <w:r w:rsidR="00695DC0" w:rsidRPr="00695DC0">
        <w:rPr>
          <w:rFonts w:ascii="Times New Roman" w:hAnsi="Times New Roman" w:cs="Times New Roman"/>
          <w:b/>
          <w:sz w:val="32"/>
          <w:szCs w:val="32"/>
        </w:rPr>
        <w:t>OF</w:t>
      </w:r>
      <w:r w:rsidR="00695DC0" w:rsidRPr="00695DC0">
        <w:rPr>
          <w:rFonts w:ascii="Times New Roman" w:hAnsi="Times New Roman" w:cs="Times New Roman"/>
          <w:b/>
          <w:spacing w:val="-4"/>
          <w:sz w:val="32"/>
          <w:szCs w:val="32"/>
        </w:rPr>
        <w:t xml:space="preserve"> </w:t>
      </w:r>
      <w:r w:rsidR="00695DC0" w:rsidRPr="00695DC0">
        <w:rPr>
          <w:rFonts w:ascii="Times New Roman" w:hAnsi="Times New Roman" w:cs="Times New Roman"/>
          <w:b/>
          <w:sz w:val="32"/>
          <w:szCs w:val="32"/>
        </w:rPr>
        <w:t>BACTERIA</w:t>
      </w:r>
      <w:r w:rsidR="00695DC0" w:rsidRPr="00695DC0">
        <w:rPr>
          <w:rFonts w:ascii="Times New Roman" w:hAnsi="Times New Roman" w:cs="Times New Roman"/>
          <w:b/>
          <w:spacing w:val="-5"/>
          <w:sz w:val="32"/>
          <w:szCs w:val="32"/>
        </w:rPr>
        <w:t xml:space="preserve"> </w:t>
      </w:r>
      <w:r w:rsidR="00695DC0" w:rsidRPr="00695DC0">
        <w:rPr>
          <w:rFonts w:ascii="Times New Roman" w:hAnsi="Times New Roman" w:cs="Times New Roman"/>
          <w:b/>
          <w:sz w:val="32"/>
          <w:szCs w:val="32"/>
        </w:rPr>
        <w:t>ISOLATES</w:t>
      </w:r>
      <w:r w:rsidR="00695DC0" w:rsidRPr="00695DC0">
        <w:rPr>
          <w:rFonts w:ascii="Times New Roman" w:hAnsi="Times New Roman" w:cs="Times New Roman"/>
          <w:b/>
          <w:spacing w:val="-5"/>
          <w:sz w:val="32"/>
          <w:szCs w:val="32"/>
        </w:rPr>
        <w:t xml:space="preserve"> </w:t>
      </w:r>
      <w:r w:rsidR="00695DC0" w:rsidRPr="00695DC0">
        <w:rPr>
          <w:rFonts w:ascii="Times New Roman" w:hAnsi="Times New Roman" w:cs="Times New Roman"/>
          <w:b/>
          <w:sz w:val="32"/>
          <w:szCs w:val="32"/>
        </w:rPr>
        <w:t>FROM</w:t>
      </w:r>
      <w:r w:rsidR="00695DC0" w:rsidRPr="00695DC0">
        <w:rPr>
          <w:rFonts w:ascii="Times New Roman" w:hAnsi="Times New Roman" w:cs="Times New Roman"/>
          <w:b/>
          <w:spacing w:val="-5"/>
          <w:sz w:val="32"/>
          <w:szCs w:val="32"/>
        </w:rPr>
        <w:t xml:space="preserve"> </w:t>
      </w:r>
      <w:r w:rsidR="00695DC0" w:rsidRPr="00695DC0">
        <w:rPr>
          <w:rFonts w:ascii="Times New Roman" w:hAnsi="Times New Roman" w:cs="Times New Roman"/>
          <w:b/>
          <w:sz w:val="32"/>
          <w:szCs w:val="32"/>
        </w:rPr>
        <w:t>URINARY</w:t>
      </w:r>
      <w:r w:rsidR="00695DC0" w:rsidRPr="00695DC0">
        <w:rPr>
          <w:rFonts w:ascii="Times New Roman" w:hAnsi="Times New Roman" w:cs="Times New Roman"/>
          <w:b/>
          <w:spacing w:val="-5"/>
          <w:sz w:val="32"/>
          <w:szCs w:val="32"/>
        </w:rPr>
        <w:t xml:space="preserve"> </w:t>
      </w:r>
      <w:r w:rsidR="00695DC0" w:rsidRPr="00695DC0">
        <w:rPr>
          <w:rFonts w:ascii="Times New Roman" w:hAnsi="Times New Roman" w:cs="Times New Roman"/>
          <w:b/>
          <w:sz w:val="32"/>
          <w:szCs w:val="32"/>
        </w:rPr>
        <w:t>TRACT</w:t>
      </w:r>
      <w:r w:rsidR="00695DC0" w:rsidRPr="00695DC0">
        <w:rPr>
          <w:rFonts w:ascii="Times New Roman" w:hAnsi="Times New Roman" w:cs="Times New Roman"/>
          <w:b/>
          <w:spacing w:val="-4"/>
          <w:sz w:val="32"/>
          <w:szCs w:val="32"/>
        </w:rPr>
        <w:t xml:space="preserve"> </w:t>
      </w:r>
      <w:r w:rsidR="00695DC0" w:rsidRPr="00695DC0">
        <w:rPr>
          <w:rFonts w:ascii="Times New Roman" w:hAnsi="Times New Roman" w:cs="Times New Roman"/>
          <w:b/>
          <w:sz w:val="32"/>
          <w:szCs w:val="32"/>
        </w:rPr>
        <w:t>INFECTIONS</w:t>
      </w:r>
      <w:r w:rsidR="00695DC0" w:rsidRPr="00695DC0">
        <w:rPr>
          <w:rFonts w:ascii="Times New Roman" w:hAnsi="Times New Roman" w:cs="Times New Roman"/>
          <w:b/>
          <w:spacing w:val="-3"/>
          <w:sz w:val="32"/>
          <w:szCs w:val="32"/>
        </w:rPr>
        <w:t xml:space="preserve"> </w:t>
      </w:r>
      <w:r w:rsidR="00695DC0" w:rsidRPr="00695DC0">
        <w:rPr>
          <w:rFonts w:ascii="Times New Roman" w:hAnsi="Times New Roman" w:cs="Times New Roman"/>
          <w:b/>
          <w:sz w:val="32"/>
          <w:szCs w:val="32"/>
        </w:rPr>
        <w:t>AMONGST</w:t>
      </w:r>
      <w:r w:rsidR="00695DC0" w:rsidRPr="00695DC0">
        <w:rPr>
          <w:rFonts w:ascii="Times New Roman" w:hAnsi="Times New Roman" w:cs="Times New Roman"/>
          <w:b/>
          <w:spacing w:val="-4"/>
          <w:sz w:val="32"/>
          <w:szCs w:val="32"/>
        </w:rPr>
        <w:t xml:space="preserve"> </w:t>
      </w:r>
      <w:r w:rsidR="00695DC0" w:rsidRPr="00695DC0">
        <w:rPr>
          <w:rFonts w:ascii="Times New Roman" w:hAnsi="Times New Roman" w:cs="Times New Roman"/>
          <w:b/>
          <w:sz w:val="32"/>
          <w:szCs w:val="32"/>
        </w:rPr>
        <w:t>H</w:t>
      </w:r>
      <w:bookmarkStart w:id="0" w:name="_GoBack"/>
      <w:bookmarkEnd w:id="0"/>
      <w:r w:rsidR="00695DC0" w:rsidRPr="00695DC0">
        <w:rPr>
          <w:rFonts w:ascii="Times New Roman" w:hAnsi="Times New Roman" w:cs="Times New Roman"/>
          <w:b/>
          <w:sz w:val="32"/>
          <w:szCs w:val="32"/>
        </w:rPr>
        <w:t>OSPITALIZED</w:t>
      </w:r>
      <w:r w:rsidR="00695DC0" w:rsidRPr="00695DC0">
        <w:rPr>
          <w:rFonts w:ascii="Times New Roman" w:hAnsi="Times New Roman" w:cs="Times New Roman"/>
          <w:b/>
          <w:spacing w:val="-5"/>
          <w:sz w:val="32"/>
          <w:szCs w:val="32"/>
        </w:rPr>
        <w:t xml:space="preserve"> </w:t>
      </w:r>
      <w:r w:rsidR="00695DC0" w:rsidRPr="00695DC0">
        <w:rPr>
          <w:rFonts w:ascii="Times New Roman" w:hAnsi="Times New Roman" w:cs="Times New Roman"/>
          <w:b/>
          <w:sz w:val="32"/>
          <w:szCs w:val="32"/>
        </w:rPr>
        <w:t>FEMALE</w:t>
      </w:r>
      <w:r w:rsidR="00695DC0" w:rsidRPr="00695DC0">
        <w:rPr>
          <w:rFonts w:ascii="Times New Roman" w:hAnsi="Times New Roman" w:cs="Times New Roman"/>
          <w:b/>
          <w:spacing w:val="-3"/>
          <w:sz w:val="32"/>
          <w:szCs w:val="32"/>
        </w:rPr>
        <w:t xml:space="preserve"> </w:t>
      </w:r>
      <w:r w:rsidR="00695DC0" w:rsidRPr="00695DC0">
        <w:rPr>
          <w:rFonts w:ascii="Times New Roman" w:hAnsi="Times New Roman" w:cs="Times New Roman"/>
          <w:b/>
          <w:sz w:val="32"/>
          <w:szCs w:val="32"/>
        </w:rPr>
        <w:t>PATIENTS</w:t>
      </w:r>
      <w:r w:rsidR="00695DC0" w:rsidRPr="00695DC0">
        <w:rPr>
          <w:rFonts w:ascii="Times New Roman" w:hAnsi="Times New Roman" w:cs="Times New Roman"/>
          <w:b/>
          <w:spacing w:val="-3"/>
          <w:sz w:val="32"/>
          <w:szCs w:val="32"/>
        </w:rPr>
        <w:t xml:space="preserve"> </w:t>
      </w:r>
      <w:r w:rsidR="00695DC0" w:rsidRPr="00695DC0">
        <w:rPr>
          <w:rFonts w:ascii="Times New Roman" w:hAnsi="Times New Roman" w:cs="Times New Roman"/>
          <w:b/>
          <w:sz w:val="32"/>
          <w:szCs w:val="32"/>
        </w:rPr>
        <w:t>IN</w:t>
      </w:r>
      <w:r w:rsidR="00695DC0" w:rsidRPr="00695DC0">
        <w:rPr>
          <w:rFonts w:ascii="Times New Roman" w:hAnsi="Times New Roman" w:cs="Times New Roman"/>
          <w:b/>
          <w:spacing w:val="-3"/>
          <w:sz w:val="32"/>
          <w:szCs w:val="32"/>
        </w:rPr>
        <w:t xml:space="preserve"> </w:t>
      </w:r>
      <w:r w:rsidR="00695DC0" w:rsidRPr="00695DC0">
        <w:rPr>
          <w:rFonts w:ascii="Times New Roman" w:hAnsi="Times New Roman" w:cs="Times New Roman"/>
          <w:b/>
          <w:sz w:val="32"/>
          <w:szCs w:val="32"/>
        </w:rPr>
        <w:t>BENIN CITY, EDO STATE</w:t>
      </w:r>
      <w:r w:rsidR="00695DC0" w:rsidRPr="00695DC0">
        <w:rPr>
          <w:rFonts w:ascii="Times New Roman" w:hAnsi="Times New Roman" w:cs="Times New Roman"/>
          <w:sz w:val="32"/>
          <w:szCs w:val="32"/>
          <w:highlight w:val="green"/>
        </w:rPr>
        <w:t xml:space="preserve"> </w:t>
      </w:r>
    </w:p>
    <w:p w14:paraId="4AFEF195" w14:textId="77777777" w:rsidR="004B305A" w:rsidRDefault="004B305A" w:rsidP="00216065">
      <w:pPr>
        <w:rPr>
          <w:rFonts w:ascii="Times New Roman" w:hAnsi="Times New Roman" w:cs="Times New Roman"/>
          <w:b/>
          <w:bCs/>
          <w:sz w:val="24"/>
          <w:szCs w:val="24"/>
          <w:lang w:val="en-US"/>
        </w:rPr>
      </w:pPr>
    </w:p>
    <w:p w14:paraId="786AA1B5" w14:textId="333673A3" w:rsidR="00216065" w:rsidRPr="00B4516C" w:rsidRDefault="00216065" w:rsidP="00216065">
      <w:pPr>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ABSTRACT</w:t>
      </w:r>
    </w:p>
    <w:p w14:paraId="0226BF11" w14:textId="77777777" w:rsidR="00216065" w:rsidRPr="00B4516C" w:rsidRDefault="00216065" w:rsidP="00216065">
      <w:pPr>
        <w:jc w:val="both"/>
        <w:rPr>
          <w:rFonts w:ascii="Times New Roman" w:hAnsi="Times New Roman" w:cs="Times New Roman"/>
          <w:sz w:val="24"/>
          <w:szCs w:val="24"/>
        </w:rPr>
      </w:pPr>
      <w:r w:rsidRPr="00B4516C">
        <w:rPr>
          <w:rFonts w:ascii="Times New Roman" w:hAnsi="Times New Roman" w:cs="Times New Roman"/>
          <w:b/>
          <w:bCs/>
          <w:sz w:val="24"/>
          <w:szCs w:val="24"/>
        </w:rPr>
        <w:t>Background:</w:t>
      </w:r>
      <w:r w:rsidRPr="00B4516C">
        <w:rPr>
          <w:rFonts w:ascii="Times New Roman" w:hAnsi="Times New Roman" w:cs="Times New Roman"/>
          <w:sz w:val="24"/>
          <w:szCs w:val="24"/>
        </w:rPr>
        <w:t xml:space="preserve"> Urinary tract infections (UTIs) pose a significant public health burden, particularly among hospitalized female patients. Multidrug resistance (MDR) among UTI pathogens complicates treatment, necessitating continuous surveillance.</w:t>
      </w:r>
    </w:p>
    <w:p w14:paraId="237CA401" w14:textId="77777777" w:rsidR="00216065" w:rsidRPr="00B4516C" w:rsidRDefault="00216065" w:rsidP="00216065">
      <w:pPr>
        <w:jc w:val="both"/>
        <w:rPr>
          <w:rFonts w:ascii="Times New Roman" w:hAnsi="Times New Roman" w:cs="Times New Roman"/>
          <w:sz w:val="24"/>
          <w:szCs w:val="24"/>
        </w:rPr>
      </w:pPr>
      <w:r w:rsidRPr="00B4516C">
        <w:rPr>
          <w:rFonts w:ascii="Times New Roman" w:hAnsi="Times New Roman" w:cs="Times New Roman"/>
          <w:b/>
          <w:bCs/>
          <w:sz w:val="24"/>
          <w:szCs w:val="24"/>
        </w:rPr>
        <w:t>Objectives:</w:t>
      </w:r>
      <w:r w:rsidRPr="00B4516C">
        <w:rPr>
          <w:rFonts w:ascii="Times New Roman" w:hAnsi="Times New Roman" w:cs="Times New Roman"/>
          <w:sz w:val="24"/>
          <w:szCs w:val="24"/>
        </w:rPr>
        <w:t xml:space="preserve"> This study aimed to isolate and phenotypically identify MDR bacterial isolates from UTIs in female patients at Edo Specialist Hospital, Benin City, Edo State, Nigeria.</w:t>
      </w:r>
    </w:p>
    <w:p w14:paraId="7FAC7003" w14:textId="5A11FFDE" w:rsidR="00216065" w:rsidRPr="00B4516C" w:rsidRDefault="00216065" w:rsidP="00996703">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b/>
          <w:bCs/>
          <w:sz w:val="24"/>
          <w:szCs w:val="24"/>
        </w:rPr>
        <w:t>Materials and Methods:</w:t>
      </w:r>
      <w:r w:rsidRPr="00B4516C">
        <w:rPr>
          <w:rFonts w:ascii="Times New Roman" w:hAnsi="Times New Roman" w:cs="Times New Roman"/>
          <w:sz w:val="24"/>
          <w:szCs w:val="24"/>
        </w:rPr>
        <w:t xml:space="preserve"> </w:t>
      </w:r>
      <w:r w:rsidR="00970C56" w:rsidRPr="00996703">
        <w:rPr>
          <w:rFonts w:ascii="Times New Roman" w:hAnsi="Times New Roman" w:cs="Times New Roman"/>
          <w:sz w:val="24"/>
          <w:szCs w:val="24"/>
          <w:highlight w:val="green"/>
        </w:rPr>
        <w:t>Urine samples were obtained from 50 hospitalized female p</w:t>
      </w:r>
      <w:r w:rsidR="00996703" w:rsidRPr="00996703">
        <w:rPr>
          <w:rFonts w:ascii="Times New Roman" w:hAnsi="Times New Roman" w:cs="Times New Roman"/>
          <w:sz w:val="24"/>
          <w:szCs w:val="24"/>
          <w:highlight w:val="green"/>
        </w:rPr>
        <w:t xml:space="preserve">atients aged 18 years and above </w:t>
      </w:r>
      <w:r w:rsidRPr="00996703">
        <w:rPr>
          <w:rFonts w:ascii="Times New Roman" w:hAnsi="Times New Roman" w:cs="Times New Roman"/>
          <w:sz w:val="24"/>
          <w:szCs w:val="24"/>
          <w:highlight w:val="green"/>
        </w:rPr>
        <w:t xml:space="preserve">and </w:t>
      </w:r>
      <w:r w:rsidR="00996703" w:rsidRPr="00996703">
        <w:rPr>
          <w:rFonts w:ascii="Times New Roman" w:hAnsi="Times New Roman" w:cs="Times New Roman"/>
          <w:sz w:val="24"/>
          <w:szCs w:val="24"/>
          <w:highlight w:val="green"/>
        </w:rPr>
        <w:t xml:space="preserve">were </w:t>
      </w:r>
      <w:proofErr w:type="spellStart"/>
      <w:r w:rsidRPr="00996703">
        <w:rPr>
          <w:rFonts w:ascii="Times New Roman" w:hAnsi="Times New Roman" w:cs="Times New Roman"/>
          <w:sz w:val="24"/>
          <w:szCs w:val="24"/>
          <w:highlight w:val="green"/>
        </w:rPr>
        <w:t>analyzed</w:t>
      </w:r>
      <w:proofErr w:type="spellEnd"/>
      <w:r w:rsidRPr="00996703">
        <w:rPr>
          <w:rFonts w:ascii="Times New Roman" w:hAnsi="Times New Roman" w:cs="Times New Roman"/>
          <w:sz w:val="24"/>
          <w:szCs w:val="24"/>
          <w:highlight w:val="green"/>
        </w:rPr>
        <w:t xml:space="preserve"> at the Medical Microbiology Laboratory, Benson Idahosa University.</w:t>
      </w:r>
      <w:r w:rsidRPr="00B4516C">
        <w:rPr>
          <w:rFonts w:ascii="Times New Roman" w:hAnsi="Times New Roman" w:cs="Times New Roman"/>
          <w:sz w:val="24"/>
          <w:szCs w:val="24"/>
        </w:rPr>
        <w:t xml:space="preserve"> Bacterial isolation involved culturing on MacConkey and CLED agar, followed by Gram staining and biochemical tests. Antibiotic susceptibility was determined using the Kirby-Bauer disc diffusion method.</w:t>
      </w:r>
    </w:p>
    <w:p w14:paraId="15521608" w14:textId="3193BD2F" w:rsidR="00216065" w:rsidRPr="00B4516C" w:rsidRDefault="00216065" w:rsidP="00216065">
      <w:pPr>
        <w:jc w:val="both"/>
        <w:rPr>
          <w:rFonts w:ascii="Times New Roman" w:hAnsi="Times New Roman" w:cs="Times New Roman"/>
          <w:sz w:val="24"/>
          <w:szCs w:val="24"/>
        </w:rPr>
      </w:pPr>
      <w:r w:rsidRPr="00B4516C">
        <w:rPr>
          <w:rFonts w:ascii="Times New Roman" w:hAnsi="Times New Roman" w:cs="Times New Roman"/>
          <w:b/>
          <w:bCs/>
          <w:sz w:val="24"/>
          <w:szCs w:val="24"/>
        </w:rPr>
        <w:t>Results:</w:t>
      </w:r>
      <w:r w:rsidRPr="00B4516C">
        <w:rPr>
          <w:rFonts w:ascii="Times New Roman" w:hAnsi="Times New Roman" w:cs="Times New Roman"/>
          <w:sz w:val="24"/>
          <w:szCs w:val="24"/>
        </w:rPr>
        <w:t xml:space="preserve"> </w:t>
      </w:r>
      <w:r w:rsidR="00B45E61" w:rsidRPr="00B4516C">
        <w:rPr>
          <w:rFonts w:ascii="Times New Roman" w:hAnsi="Times New Roman" w:cs="Times New Roman"/>
          <w:sz w:val="24"/>
          <w:szCs w:val="24"/>
          <w:lang w:val="en-US"/>
        </w:rPr>
        <w:t xml:space="preserve">The prevalence of bacterial infection in urine of participants was 60% in this study. </w:t>
      </w:r>
      <w:r w:rsidRPr="00B4516C">
        <w:rPr>
          <w:rFonts w:ascii="Times New Roman" w:hAnsi="Times New Roman" w:cs="Times New Roman"/>
          <w:i/>
          <w:iCs/>
          <w:sz w:val="24"/>
          <w:szCs w:val="24"/>
        </w:rPr>
        <w:t>Escherichia coli</w:t>
      </w:r>
      <w:r w:rsidRPr="00B4516C">
        <w:rPr>
          <w:rFonts w:ascii="Times New Roman" w:hAnsi="Times New Roman" w:cs="Times New Roman"/>
          <w:sz w:val="24"/>
          <w:szCs w:val="24"/>
        </w:rPr>
        <w:t xml:space="preserve"> (50%), </w:t>
      </w:r>
      <w:r w:rsidRPr="00B4516C">
        <w:rPr>
          <w:rFonts w:ascii="Times New Roman" w:hAnsi="Times New Roman" w:cs="Times New Roman"/>
          <w:i/>
          <w:iCs/>
          <w:sz w:val="24"/>
          <w:szCs w:val="24"/>
        </w:rPr>
        <w:t>Staphylococcus aureus</w:t>
      </w:r>
      <w:r w:rsidRPr="00B4516C">
        <w:rPr>
          <w:rFonts w:ascii="Times New Roman" w:hAnsi="Times New Roman" w:cs="Times New Roman"/>
          <w:sz w:val="24"/>
          <w:szCs w:val="24"/>
        </w:rPr>
        <w:t xml:space="preserve"> (43.3%), and </w:t>
      </w:r>
      <w:r w:rsidRPr="00B4516C">
        <w:rPr>
          <w:rFonts w:ascii="Times New Roman" w:hAnsi="Times New Roman" w:cs="Times New Roman"/>
          <w:i/>
          <w:iCs/>
          <w:sz w:val="24"/>
          <w:szCs w:val="24"/>
        </w:rPr>
        <w:t>Pseudomonas aeruginosa</w:t>
      </w:r>
      <w:r w:rsidRPr="00B4516C">
        <w:rPr>
          <w:rFonts w:ascii="Times New Roman" w:hAnsi="Times New Roman" w:cs="Times New Roman"/>
          <w:sz w:val="24"/>
          <w:szCs w:val="24"/>
        </w:rPr>
        <w:t xml:space="preserve"> (6.7%) were </w:t>
      </w:r>
      <w:r w:rsidR="00B45E61" w:rsidRPr="00B4516C">
        <w:rPr>
          <w:rFonts w:ascii="Times New Roman" w:hAnsi="Times New Roman" w:cs="Times New Roman"/>
          <w:sz w:val="24"/>
          <w:szCs w:val="24"/>
          <w:lang w:val="en-US"/>
        </w:rPr>
        <w:t>isolated from samples</w:t>
      </w:r>
      <w:r w:rsidRPr="00B4516C">
        <w:rPr>
          <w:rFonts w:ascii="Times New Roman" w:hAnsi="Times New Roman" w:cs="Times New Roman"/>
          <w:sz w:val="24"/>
          <w:szCs w:val="24"/>
        </w:rPr>
        <w:t xml:space="preserve">. High resistance was observed against Ciprofloxacin, Cefuroxime, and Oxacillin, with sensitivity rates of 46.7%, 38.5%, and 13.3%, respectively. </w:t>
      </w:r>
      <w:r w:rsidRPr="00B4516C">
        <w:rPr>
          <w:rFonts w:ascii="Times New Roman" w:hAnsi="Times New Roman" w:cs="Times New Roman"/>
          <w:i/>
          <w:iCs/>
          <w:sz w:val="24"/>
          <w:szCs w:val="24"/>
        </w:rPr>
        <w:t>P. aeruginosa</w:t>
      </w:r>
      <w:r w:rsidRPr="00B4516C">
        <w:rPr>
          <w:rFonts w:ascii="Times New Roman" w:hAnsi="Times New Roman" w:cs="Times New Roman"/>
          <w:sz w:val="24"/>
          <w:szCs w:val="24"/>
        </w:rPr>
        <w:t xml:space="preserve"> exhibited notable resistance to Oxacillin and Amoxicillin-clavulanic acid. Imipenem was the most effective antibiotic, with sensitivity rates of 73.3% (</w:t>
      </w:r>
      <w:r w:rsidRPr="00B4516C">
        <w:rPr>
          <w:rFonts w:ascii="Times New Roman" w:hAnsi="Times New Roman" w:cs="Times New Roman"/>
          <w:i/>
          <w:iCs/>
          <w:sz w:val="24"/>
          <w:szCs w:val="24"/>
        </w:rPr>
        <w:t>E. coli</w:t>
      </w:r>
      <w:r w:rsidRPr="00B4516C">
        <w:rPr>
          <w:rFonts w:ascii="Times New Roman" w:hAnsi="Times New Roman" w:cs="Times New Roman"/>
          <w:sz w:val="24"/>
          <w:szCs w:val="24"/>
        </w:rPr>
        <w:t>), 92.3%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and 100% (</w:t>
      </w:r>
      <w:r w:rsidRPr="00B4516C">
        <w:rPr>
          <w:rFonts w:ascii="Times New Roman" w:hAnsi="Times New Roman" w:cs="Times New Roman"/>
          <w:i/>
          <w:iCs/>
          <w:sz w:val="24"/>
          <w:szCs w:val="24"/>
        </w:rPr>
        <w:t>P. aeruginosa</w:t>
      </w:r>
      <w:r w:rsidRPr="00B4516C">
        <w:rPr>
          <w:rFonts w:ascii="Times New Roman" w:hAnsi="Times New Roman" w:cs="Times New Roman"/>
          <w:sz w:val="24"/>
          <w:szCs w:val="24"/>
        </w:rPr>
        <w:t xml:space="preserve">). </w:t>
      </w:r>
    </w:p>
    <w:p w14:paraId="0923FCF6" w14:textId="77777777" w:rsidR="00216065" w:rsidRPr="00B4516C" w:rsidRDefault="00216065" w:rsidP="00216065">
      <w:pPr>
        <w:jc w:val="both"/>
        <w:rPr>
          <w:rFonts w:ascii="Times New Roman" w:hAnsi="Times New Roman" w:cs="Times New Roman"/>
          <w:sz w:val="24"/>
          <w:szCs w:val="24"/>
        </w:rPr>
      </w:pPr>
      <w:r w:rsidRPr="00B4516C">
        <w:rPr>
          <w:rFonts w:ascii="Times New Roman" w:hAnsi="Times New Roman" w:cs="Times New Roman"/>
          <w:b/>
          <w:bCs/>
          <w:sz w:val="24"/>
          <w:szCs w:val="24"/>
        </w:rPr>
        <w:t>Conclusions:</w:t>
      </w:r>
      <w:r w:rsidRPr="00B4516C">
        <w:rPr>
          <w:rFonts w:ascii="Times New Roman" w:hAnsi="Times New Roman" w:cs="Times New Roman"/>
          <w:sz w:val="24"/>
          <w:szCs w:val="24"/>
        </w:rPr>
        <w:t xml:space="preserve"> The findings highlight the urgent need for robust antibiotic stewardship programs, continuous surveillance, and the development of novel antibiotics to combat MDR UTI pathogens. Tailored treatment strategies based on local resistance patterns are essential for effective management and improved patient outcomes.</w:t>
      </w:r>
    </w:p>
    <w:p w14:paraId="14AD9302" w14:textId="02985E55" w:rsidR="00216065" w:rsidRPr="00B4516C" w:rsidRDefault="00216065" w:rsidP="00216065">
      <w:pPr>
        <w:jc w:val="both"/>
        <w:rPr>
          <w:rFonts w:ascii="Times New Roman" w:hAnsi="Times New Roman" w:cs="Times New Roman"/>
          <w:sz w:val="24"/>
          <w:szCs w:val="24"/>
        </w:rPr>
      </w:pPr>
      <w:r w:rsidRPr="00B4516C">
        <w:rPr>
          <w:rFonts w:ascii="Times New Roman" w:hAnsi="Times New Roman" w:cs="Times New Roman"/>
          <w:b/>
          <w:bCs/>
          <w:sz w:val="24"/>
          <w:szCs w:val="24"/>
        </w:rPr>
        <w:t>Keywords:</w:t>
      </w:r>
      <w:r w:rsidRPr="00B4516C">
        <w:rPr>
          <w:rFonts w:ascii="Times New Roman" w:hAnsi="Times New Roman" w:cs="Times New Roman"/>
          <w:sz w:val="24"/>
          <w:szCs w:val="24"/>
        </w:rPr>
        <w:t xml:space="preserve"> Antibiotic</w:t>
      </w:r>
      <w:r w:rsidRPr="00B4516C">
        <w:rPr>
          <w:rFonts w:ascii="Times New Roman" w:hAnsi="Times New Roman" w:cs="Times New Roman"/>
          <w:sz w:val="24"/>
          <w:szCs w:val="24"/>
          <w:lang w:val="en-US"/>
        </w:rPr>
        <w:t>,</w:t>
      </w:r>
      <w:r w:rsidRPr="00B4516C">
        <w:rPr>
          <w:rFonts w:ascii="Times New Roman" w:hAnsi="Times New Roman" w:cs="Times New Roman"/>
          <w:sz w:val="24"/>
          <w:szCs w:val="24"/>
        </w:rPr>
        <w:t xml:space="preserve"> Bacteria</w:t>
      </w:r>
      <w:r w:rsidRPr="00B4516C">
        <w:rPr>
          <w:rFonts w:ascii="Times New Roman" w:hAnsi="Times New Roman" w:cs="Times New Roman"/>
          <w:sz w:val="24"/>
          <w:szCs w:val="24"/>
          <w:lang w:val="en-US"/>
        </w:rPr>
        <w:t>,</w:t>
      </w:r>
      <w:r w:rsidRPr="00B4516C">
        <w:rPr>
          <w:rFonts w:ascii="Times New Roman" w:hAnsi="Times New Roman" w:cs="Times New Roman"/>
          <w:sz w:val="24"/>
          <w:szCs w:val="24"/>
        </w:rPr>
        <w:t xml:space="preserve"> Multidrug resistance</w:t>
      </w:r>
      <w:r w:rsidRPr="00B4516C">
        <w:rPr>
          <w:rFonts w:ascii="Times New Roman" w:hAnsi="Times New Roman" w:cs="Times New Roman"/>
          <w:sz w:val="24"/>
          <w:szCs w:val="24"/>
          <w:lang w:val="en-US"/>
        </w:rPr>
        <w:t>,</w:t>
      </w:r>
      <w:r w:rsidRPr="00B4516C">
        <w:rPr>
          <w:rFonts w:ascii="Times New Roman" w:hAnsi="Times New Roman" w:cs="Times New Roman"/>
          <w:sz w:val="24"/>
          <w:szCs w:val="24"/>
        </w:rPr>
        <w:t xml:space="preserve"> Urinary tract infection</w:t>
      </w:r>
      <w:r w:rsidRPr="00B4516C">
        <w:rPr>
          <w:rFonts w:ascii="Times New Roman" w:hAnsi="Times New Roman" w:cs="Times New Roman"/>
          <w:sz w:val="24"/>
          <w:szCs w:val="24"/>
          <w:lang w:val="en-US"/>
        </w:rPr>
        <w:t>,</w:t>
      </w:r>
      <w:r w:rsidRPr="00B4516C">
        <w:rPr>
          <w:rFonts w:ascii="Times New Roman" w:hAnsi="Times New Roman" w:cs="Times New Roman"/>
          <w:sz w:val="24"/>
          <w:szCs w:val="24"/>
        </w:rPr>
        <w:t xml:space="preserve"> Women</w:t>
      </w:r>
      <w:r w:rsidR="00C02D19" w:rsidRPr="00B4516C">
        <w:rPr>
          <w:rFonts w:ascii="Times New Roman" w:hAnsi="Times New Roman" w:cs="Times New Roman"/>
          <w:sz w:val="24"/>
          <w:szCs w:val="24"/>
        </w:rPr>
        <w:t>.</w:t>
      </w:r>
    </w:p>
    <w:p w14:paraId="6A721503" w14:textId="359CF413" w:rsidR="00216065" w:rsidRPr="00B4516C" w:rsidRDefault="00216065" w:rsidP="00216065">
      <w:pPr>
        <w:jc w:val="both"/>
        <w:rPr>
          <w:rFonts w:ascii="Times New Roman" w:hAnsi="Times New Roman" w:cs="Times New Roman"/>
          <w:sz w:val="24"/>
          <w:szCs w:val="24"/>
        </w:rPr>
      </w:pPr>
    </w:p>
    <w:p w14:paraId="614C4A87" w14:textId="46D3FDC6" w:rsidR="00216065" w:rsidRPr="00B4516C" w:rsidRDefault="00216065" w:rsidP="00216065">
      <w:pPr>
        <w:jc w:val="both"/>
        <w:rPr>
          <w:rFonts w:ascii="Times New Roman" w:hAnsi="Times New Roman" w:cs="Times New Roman"/>
          <w:sz w:val="24"/>
          <w:szCs w:val="24"/>
        </w:rPr>
      </w:pPr>
    </w:p>
    <w:p w14:paraId="4DBB81E0" w14:textId="3186B1E7" w:rsidR="00216065" w:rsidRDefault="00216065" w:rsidP="00216065">
      <w:pPr>
        <w:jc w:val="both"/>
        <w:rPr>
          <w:rFonts w:ascii="Times New Roman" w:hAnsi="Times New Roman" w:cs="Times New Roman"/>
          <w:sz w:val="24"/>
          <w:szCs w:val="24"/>
        </w:rPr>
      </w:pPr>
    </w:p>
    <w:p w14:paraId="1763BD6B" w14:textId="686664D2" w:rsidR="004B305A" w:rsidRDefault="004B305A" w:rsidP="00216065">
      <w:pPr>
        <w:jc w:val="both"/>
        <w:rPr>
          <w:rFonts w:ascii="Times New Roman" w:hAnsi="Times New Roman" w:cs="Times New Roman"/>
          <w:sz w:val="24"/>
          <w:szCs w:val="24"/>
        </w:rPr>
      </w:pPr>
    </w:p>
    <w:p w14:paraId="3B36B9E9" w14:textId="3D86EF85" w:rsidR="004B305A" w:rsidRDefault="004B305A" w:rsidP="00216065">
      <w:pPr>
        <w:jc w:val="both"/>
        <w:rPr>
          <w:rFonts w:ascii="Times New Roman" w:hAnsi="Times New Roman" w:cs="Times New Roman"/>
          <w:sz w:val="24"/>
          <w:szCs w:val="24"/>
        </w:rPr>
      </w:pPr>
    </w:p>
    <w:p w14:paraId="7C9F8CEA" w14:textId="0FEDF7C7" w:rsidR="004B305A" w:rsidRDefault="004B305A" w:rsidP="00216065">
      <w:pPr>
        <w:jc w:val="both"/>
        <w:rPr>
          <w:rFonts w:ascii="Times New Roman" w:hAnsi="Times New Roman" w:cs="Times New Roman"/>
          <w:sz w:val="24"/>
          <w:szCs w:val="24"/>
        </w:rPr>
      </w:pPr>
    </w:p>
    <w:p w14:paraId="3747500E" w14:textId="45D6FCDB" w:rsidR="004B305A" w:rsidRDefault="004B305A" w:rsidP="00216065">
      <w:pPr>
        <w:jc w:val="both"/>
        <w:rPr>
          <w:rFonts w:ascii="Times New Roman" w:hAnsi="Times New Roman" w:cs="Times New Roman"/>
          <w:sz w:val="24"/>
          <w:szCs w:val="24"/>
        </w:rPr>
      </w:pPr>
    </w:p>
    <w:p w14:paraId="63AF3A3E" w14:textId="77777777" w:rsidR="004B305A" w:rsidRPr="00B4516C" w:rsidRDefault="004B305A" w:rsidP="00216065">
      <w:pPr>
        <w:jc w:val="both"/>
        <w:rPr>
          <w:rFonts w:ascii="Times New Roman" w:hAnsi="Times New Roman" w:cs="Times New Roman"/>
          <w:sz w:val="24"/>
          <w:szCs w:val="24"/>
        </w:rPr>
      </w:pPr>
    </w:p>
    <w:p w14:paraId="14E470AC" w14:textId="1AC33128" w:rsidR="00216065" w:rsidRPr="00B4516C" w:rsidRDefault="00216065" w:rsidP="00216065">
      <w:pPr>
        <w:jc w:val="both"/>
        <w:rPr>
          <w:rFonts w:ascii="Times New Roman" w:hAnsi="Times New Roman" w:cs="Times New Roman"/>
          <w:sz w:val="24"/>
          <w:szCs w:val="24"/>
        </w:rPr>
      </w:pPr>
    </w:p>
    <w:p w14:paraId="4D4187A0" w14:textId="65FCD286" w:rsidR="00216065" w:rsidRPr="00B4516C" w:rsidRDefault="00216065" w:rsidP="00216065">
      <w:pPr>
        <w:jc w:val="both"/>
        <w:rPr>
          <w:rFonts w:ascii="Times New Roman" w:hAnsi="Times New Roman" w:cs="Times New Roman"/>
          <w:sz w:val="24"/>
          <w:szCs w:val="24"/>
        </w:rPr>
      </w:pPr>
    </w:p>
    <w:p w14:paraId="2F2550DF" w14:textId="44E783A2" w:rsidR="00216065" w:rsidRPr="00B4516C" w:rsidRDefault="00216065" w:rsidP="00CC44A7">
      <w:pPr>
        <w:spacing w:after="0" w:line="480" w:lineRule="auto"/>
        <w:contextualSpacing/>
        <w:jc w:val="both"/>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INTRODUCTION</w:t>
      </w:r>
    </w:p>
    <w:p w14:paraId="14677301" w14:textId="1FA913EC" w:rsidR="00380855" w:rsidRPr="00B4516C" w:rsidRDefault="00216065" w:rsidP="00CC44A7">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Urinary tract infections (UTIs) represent a significant burden on public health globally, with varying prevalence rates across dif</w:t>
      </w:r>
      <w:r w:rsidR="00A23E89">
        <w:rPr>
          <w:rFonts w:ascii="Times New Roman" w:hAnsi="Times New Roman" w:cs="Times New Roman"/>
          <w:sz w:val="24"/>
          <w:szCs w:val="24"/>
        </w:rPr>
        <w:t xml:space="preserve">ferent regions and populations. </w:t>
      </w:r>
      <w:r w:rsidRPr="00B4516C">
        <w:rPr>
          <w:rFonts w:ascii="Times New Roman" w:hAnsi="Times New Roman" w:cs="Times New Roman"/>
          <w:sz w:val="24"/>
          <w:szCs w:val="24"/>
        </w:rPr>
        <w:t>Understanding the prevalence of UTIs in specific geographical areas is crucial for effective management and prevention strategies. UTIs are among the most common bacterial infections encountered in both healthcare and community settings, affecting individuals of all ages and genders, and are associated with increased treatment costs, morbidity, and mortality</w:t>
      </w:r>
      <w:r w:rsidR="00E23363" w:rsidRPr="00B4516C">
        <w:rPr>
          <w:rFonts w:ascii="Times New Roman" w:hAnsi="Times New Roman" w:cs="Times New Roman"/>
          <w:sz w:val="24"/>
          <w:szCs w:val="24"/>
        </w:rPr>
        <w:t xml:space="preserve"> (</w:t>
      </w:r>
      <w:r w:rsidR="00CA611D" w:rsidRPr="00B4516C">
        <w:rPr>
          <w:rFonts w:ascii="Times New Roman" w:eastAsia="Times New Roman" w:hAnsi="Times New Roman" w:cs="Times New Roman"/>
          <w:sz w:val="24"/>
          <w:szCs w:val="24"/>
        </w:rPr>
        <w:t>Donkor</w:t>
      </w:r>
      <w:r w:rsidR="00CA611D" w:rsidRPr="00B4516C">
        <w:rPr>
          <w:rStyle w:val="HTMLCite"/>
          <w:rFonts w:ascii="Times New Roman" w:hAnsi="Times New Roman" w:cs="Times New Roman"/>
          <w:i w:val="0"/>
          <w:sz w:val="24"/>
          <w:szCs w:val="24"/>
        </w:rPr>
        <w:t xml:space="preserve"> </w:t>
      </w:r>
      <w:r w:rsidR="00CA611D" w:rsidRPr="00B4516C">
        <w:rPr>
          <w:rStyle w:val="HTMLCite"/>
          <w:rFonts w:ascii="Times New Roman" w:hAnsi="Times New Roman" w:cs="Times New Roman"/>
          <w:sz w:val="24"/>
          <w:szCs w:val="24"/>
        </w:rPr>
        <w:t>et al</w:t>
      </w:r>
      <w:r w:rsidR="00CA611D" w:rsidRPr="00B4516C">
        <w:rPr>
          <w:rStyle w:val="HTMLCite"/>
          <w:rFonts w:ascii="Times New Roman" w:hAnsi="Times New Roman" w:cs="Times New Roman"/>
          <w:i w:val="0"/>
          <w:sz w:val="24"/>
          <w:szCs w:val="24"/>
        </w:rPr>
        <w:t xml:space="preserve">., 2012; </w:t>
      </w:r>
      <w:r w:rsidR="00940596" w:rsidRPr="00B4516C">
        <w:rPr>
          <w:rStyle w:val="HTMLCite"/>
          <w:rFonts w:ascii="Times New Roman" w:hAnsi="Times New Roman" w:cs="Times New Roman"/>
          <w:i w:val="0"/>
          <w:sz w:val="24"/>
          <w:szCs w:val="24"/>
        </w:rPr>
        <w:t>Bader</w:t>
      </w:r>
      <w:r w:rsidR="00940596" w:rsidRPr="00B4516C">
        <w:rPr>
          <w:rFonts w:ascii="Times New Roman" w:eastAsia="Times New Roman" w:hAnsi="Times New Roman" w:cs="Times New Roman"/>
          <w:sz w:val="24"/>
          <w:szCs w:val="24"/>
        </w:rPr>
        <w:t xml:space="preserve"> </w:t>
      </w:r>
      <w:r w:rsidR="00940596" w:rsidRPr="00B4516C">
        <w:rPr>
          <w:rFonts w:ascii="Times New Roman" w:eastAsia="Times New Roman" w:hAnsi="Times New Roman" w:cs="Times New Roman"/>
          <w:i/>
          <w:sz w:val="24"/>
          <w:szCs w:val="24"/>
        </w:rPr>
        <w:t>et al</w:t>
      </w:r>
      <w:r w:rsidR="00940596" w:rsidRPr="00B4516C">
        <w:rPr>
          <w:rFonts w:ascii="Times New Roman" w:eastAsia="Times New Roman" w:hAnsi="Times New Roman" w:cs="Times New Roman"/>
          <w:sz w:val="24"/>
          <w:szCs w:val="24"/>
        </w:rPr>
        <w:t>., 2020; Mancuso</w:t>
      </w:r>
      <w:r w:rsidR="00E23363" w:rsidRPr="00B4516C">
        <w:rPr>
          <w:rFonts w:ascii="Times New Roman" w:eastAsia="Times New Roman" w:hAnsi="Times New Roman" w:cs="Times New Roman"/>
          <w:kern w:val="0"/>
          <w:sz w:val="24"/>
          <w:szCs w:val="24"/>
        </w:rPr>
        <w:t xml:space="preserve"> </w:t>
      </w:r>
      <w:r w:rsidR="00E23363" w:rsidRPr="00B4516C">
        <w:rPr>
          <w:rFonts w:ascii="Times New Roman" w:eastAsia="Times New Roman" w:hAnsi="Times New Roman" w:cs="Times New Roman"/>
          <w:i/>
          <w:kern w:val="0"/>
          <w:sz w:val="24"/>
          <w:szCs w:val="24"/>
        </w:rPr>
        <w:t>et al</w:t>
      </w:r>
      <w:r w:rsidR="00940596" w:rsidRPr="00B4516C">
        <w:rPr>
          <w:rFonts w:ascii="Times New Roman" w:eastAsia="Times New Roman" w:hAnsi="Times New Roman" w:cs="Times New Roman"/>
          <w:kern w:val="0"/>
          <w:sz w:val="24"/>
          <w:szCs w:val="24"/>
        </w:rPr>
        <w:t>., 2023</w:t>
      </w:r>
      <w:r w:rsidR="00E23363" w:rsidRPr="00B4516C">
        <w:rPr>
          <w:rFonts w:ascii="Times New Roman" w:eastAsia="Times New Roman" w:hAnsi="Times New Roman" w:cs="Times New Roman"/>
          <w:kern w:val="0"/>
          <w:sz w:val="24"/>
          <w:szCs w:val="24"/>
        </w:rPr>
        <w:t>)</w:t>
      </w:r>
      <w:r w:rsidR="00E23363" w:rsidRPr="00B4516C">
        <w:rPr>
          <w:rFonts w:ascii="Times New Roman" w:hAnsi="Times New Roman" w:cs="Times New Roman"/>
          <w:sz w:val="24"/>
          <w:szCs w:val="24"/>
        </w:rPr>
        <w:t xml:space="preserve">. </w:t>
      </w:r>
      <w:r w:rsidRPr="00B4516C">
        <w:rPr>
          <w:rFonts w:ascii="Times New Roman" w:hAnsi="Times New Roman" w:cs="Times New Roman"/>
          <w:sz w:val="24"/>
          <w:szCs w:val="24"/>
        </w:rPr>
        <w:t>The prevalence of UTIs varies depending on factors such as age, gender, socio-economic status, and geogr</w:t>
      </w:r>
      <w:r w:rsidR="006B50AF" w:rsidRPr="00B4516C">
        <w:rPr>
          <w:rFonts w:ascii="Times New Roman" w:hAnsi="Times New Roman" w:cs="Times New Roman"/>
          <w:sz w:val="24"/>
          <w:szCs w:val="24"/>
        </w:rPr>
        <w:t xml:space="preserve">aphical location. In </w:t>
      </w:r>
      <w:r w:rsidRPr="00B4516C">
        <w:rPr>
          <w:rFonts w:ascii="Times New Roman" w:hAnsi="Times New Roman" w:cs="Times New Roman"/>
          <w:sz w:val="24"/>
          <w:szCs w:val="24"/>
        </w:rPr>
        <w:t xml:space="preserve">Nigeria, several studies have been conducted to ascertain the prevalence of UTIs and identify associated risk factors. </w:t>
      </w:r>
    </w:p>
    <w:p w14:paraId="79A6A836" w14:textId="2BF31D3E" w:rsidR="00216065" w:rsidRPr="00B4516C" w:rsidRDefault="00216065" w:rsidP="00FC3163">
      <w:pPr>
        <w:spacing w:line="480" w:lineRule="auto"/>
        <w:jc w:val="both"/>
        <w:rPr>
          <w:rFonts w:ascii="Times New Roman" w:hAnsi="Times New Roman" w:cs="Times New Roman"/>
          <w:sz w:val="24"/>
          <w:szCs w:val="24"/>
        </w:rPr>
      </w:pPr>
      <w:r w:rsidRPr="00B4516C">
        <w:rPr>
          <w:rFonts w:ascii="Times New Roman" w:hAnsi="Times New Roman" w:cs="Times New Roman"/>
          <w:sz w:val="24"/>
          <w:szCs w:val="24"/>
        </w:rPr>
        <w:t>A cross-sectional analysis</w:t>
      </w:r>
      <w:r w:rsidR="00DC1643" w:rsidRPr="00B4516C">
        <w:rPr>
          <w:rFonts w:ascii="Times New Roman" w:hAnsi="Times New Roman" w:cs="Times New Roman"/>
          <w:sz w:val="24"/>
          <w:szCs w:val="24"/>
        </w:rPr>
        <w:t xml:space="preserve"> in C</w:t>
      </w:r>
      <w:r w:rsidR="00F84744" w:rsidRPr="00B4516C">
        <w:rPr>
          <w:rFonts w:ascii="Times New Roman" w:hAnsi="Times New Roman" w:cs="Times New Roman"/>
          <w:sz w:val="24"/>
          <w:szCs w:val="24"/>
        </w:rPr>
        <w:t>alabar</w:t>
      </w:r>
      <w:r w:rsidRPr="00B4516C">
        <w:rPr>
          <w:rFonts w:ascii="Times New Roman" w:hAnsi="Times New Roman" w:cs="Times New Roman"/>
          <w:sz w:val="24"/>
          <w:szCs w:val="24"/>
        </w:rPr>
        <w:t xml:space="preserve"> by </w:t>
      </w:r>
      <w:r w:rsidR="00DC4911" w:rsidRPr="00B4516C">
        <w:rPr>
          <w:rFonts w:ascii="Times New Roman" w:hAnsi="Times New Roman" w:cs="Times New Roman"/>
          <w:sz w:val="24"/>
          <w:szCs w:val="24"/>
        </w:rPr>
        <w:t>Bassey</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et al</w:t>
      </w:r>
      <w:r w:rsidRPr="00B4516C">
        <w:rPr>
          <w:rFonts w:ascii="Times New Roman" w:hAnsi="Times New Roman" w:cs="Times New Roman"/>
          <w:sz w:val="24"/>
          <w:szCs w:val="24"/>
        </w:rPr>
        <w:t>.</w:t>
      </w:r>
      <w:r w:rsidR="00DC4911" w:rsidRPr="00B4516C">
        <w:rPr>
          <w:rFonts w:ascii="Times New Roman" w:hAnsi="Times New Roman" w:cs="Times New Roman"/>
          <w:sz w:val="24"/>
          <w:szCs w:val="24"/>
        </w:rPr>
        <w:t xml:space="preserve"> (2023</w:t>
      </w:r>
      <w:r w:rsidR="00E23363" w:rsidRPr="00B4516C">
        <w:rPr>
          <w:rFonts w:ascii="Times New Roman" w:hAnsi="Times New Roman" w:cs="Times New Roman"/>
          <w:sz w:val="24"/>
          <w:szCs w:val="24"/>
        </w:rPr>
        <w:t>)</w:t>
      </w:r>
      <w:r w:rsidR="00DC4911" w:rsidRPr="00B4516C">
        <w:rPr>
          <w:rFonts w:ascii="Times New Roman" w:hAnsi="Times New Roman" w:cs="Times New Roman"/>
          <w:sz w:val="24"/>
          <w:szCs w:val="24"/>
        </w:rPr>
        <w:t xml:space="preserve"> involving 227</w:t>
      </w:r>
      <w:r w:rsidRPr="00B4516C">
        <w:rPr>
          <w:rFonts w:ascii="Times New Roman" w:hAnsi="Times New Roman" w:cs="Times New Roman"/>
          <w:sz w:val="24"/>
          <w:szCs w:val="24"/>
        </w:rPr>
        <w:t xml:space="preserve"> patients with symptoms suggestive of UTIs</w:t>
      </w:r>
      <w:r w:rsidR="00FC3163" w:rsidRPr="00B4516C">
        <w:rPr>
          <w:rFonts w:ascii="Times New Roman" w:hAnsi="Times New Roman" w:cs="Times New Roman"/>
          <w:sz w:val="24"/>
          <w:szCs w:val="24"/>
        </w:rPr>
        <w:t xml:space="preserve"> reported a prevalence rate of </w:t>
      </w:r>
      <w:r w:rsidRPr="00B4516C">
        <w:rPr>
          <w:rFonts w:ascii="Times New Roman" w:hAnsi="Times New Roman" w:cs="Times New Roman"/>
          <w:sz w:val="24"/>
          <w:szCs w:val="24"/>
        </w:rPr>
        <w:t>2</w:t>
      </w:r>
      <w:r w:rsidR="00FC3163" w:rsidRPr="00B4516C">
        <w:rPr>
          <w:rFonts w:ascii="Times New Roman" w:hAnsi="Times New Roman" w:cs="Times New Roman"/>
          <w:sz w:val="24"/>
          <w:szCs w:val="24"/>
        </w:rPr>
        <w:t>8</w:t>
      </w:r>
      <w:r w:rsidRPr="00B4516C">
        <w:rPr>
          <w:rFonts w:ascii="Times New Roman" w:hAnsi="Times New Roman" w:cs="Times New Roman"/>
          <w:sz w:val="24"/>
          <w:szCs w:val="24"/>
        </w:rPr>
        <w:t xml:space="preserve">.6%, </w:t>
      </w:r>
      <w:r w:rsidR="00FC3163" w:rsidRPr="00B4516C">
        <w:rPr>
          <w:rFonts w:ascii="Times New Roman" w:hAnsi="Times New Roman" w:cs="Times New Roman"/>
          <w:sz w:val="24"/>
          <w:szCs w:val="24"/>
        </w:rPr>
        <w:t xml:space="preserve">with </w:t>
      </w:r>
      <w:r w:rsidR="00FC3163" w:rsidRPr="00B4516C">
        <w:rPr>
          <w:rFonts w:ascii="Times New Roman" w:hAnsi="Times New Roman" w:cs="Times New Roman"/>
          <w:i/>
          <w:sz w:val="24"/>
          <w:szCs w:val="24"/>
        </w:rPr>
        <w:t>Klebsiella pneumoniae</w:t>
      </w:r>
      <w:r w:rsidR="00FC3163" w:rsidRPr="00B4516C">
        <w:rPr>
          <w:rFonts w:ascii="Times New Roman" w:hAnsi="Times New Roman" w:cs="Times New Roman"/>
          <w:sz w:val="24"/>
          <w:szCs w:val="24"/>
        </w:rPr>
        <w:t xml:space="preserve"> (23.1%) been the most predominant pathogen, followed by Coagulase-negative Staphylococci (16.9%) and </w:t>
      </w:r>
      <w:r w:rsidR="00FC3163" w:rsidRPr="00B4516C">
        <w:rPr>
          <w:rFonts w:ascii="Times New Roman" w:hAnsi="Times New Roman" w:cs="Times New Roman"/>
          <w:i/>
          <w:sz w:val="24"/>
          <w:szCs w:val="24"/>
        </w:rPr>
        <w:t>Escherichia coli</w:t>
      </w:r>
      <w:r w:rsidR="00FC3163" w:rsidRPr="00B4516C">
        <w:rPr>
          <w:rFonts w:ascii="Times New Roman" w:hAnsi="Times New Roman" w:cs="Times New Roman"/>
          <w:sz w:val="24"/>
          <w:szCs w:val="24"/>
        </w:rPr>
        <w:t xml:space="preserve"> (12.3%). </w:t>
      </w:r>
      <w:r w:rsidRPr="00B4516C">
        <w:rPr>
          <w:rFonts w:ascii="Times New Roman" w:hAnsi="Times New Roman" w:cs="Times New Roman"/>
          <w:sz w:val="24"/>
          <w:szCs w:val="24"/>
        </w:rPr>
        <w:t xml:space="preserve">Another study by </w:t>
      </w:r>
      <w:r w:rsidR="00F84744" w:rsidRPr="00B4516C">
        <w:rPr>
          <w:rFonts w:ascii="Times New Roman" w:hAnsi="Times New Roman" w:cs="Times New Roman"/>
          <w:sz w:val="24"/>
          <w:szCs w:val="24"/>
        </w:rPr>
        <w:t>Jamiu</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et al</w:t>
      </w:r>
      <w:r w:rsidR="00F84744" w:rsidRPr="00B4516C">
        <w:rPr>
          <w:rFonts w:ascii="Times New Roman" w:hAnsi="Times New Roman" w:cs="Times New Roman"/>
          <w:sz w:val="24"/>
          <w:szCs w:val="24"/>
        </w:rPr>
        <w:t xml:space="preserve">. (2021) </w:t>
      </w:r>
      <w:r w:rsidRPr="00B4516C">
        <w:rPr>
          <w:rFonts w:ascii="Times New Roman" w:hAnsi="Times New Roman" w:cs="Times New Roman"/>
          <w:sz w:val="24"/>
          <w:szCs w:val="24"/>
        </w:rPr>
        <w:t xml:space="preserve">investigated the prevalence of UTIs among pregnant women attending antenatal clinics in </w:t>
      </w:r>
      <w:r w:rsidR="00F84744" w:rsidRPr="00B4516C">
        <w:rPr>
          <w:rFonts w:ascii="Times New Roman" w:hAnsi="Times New Roman" w:cs="Times New Roman"/>
          <w:sz w:val="24"/>
          <w:szCs w:val="24"/>
        </w:rPr>
        <w:t>Ibadan</w:t>
      </w:r>
      <w:r w:rsidRPr="00B4516C">
        <w:rPr>
          <w:rFonts w:ascii="Times New Roman" w:hAnsi="Times New Roman" w:cs="Times New Roman"/>
          <w:sz w:val="24"/>
          <w:szCs w:val="24"/>
        </w:rPr>
        <w:t xml:space="preserve">, reporting a prevalence rate of </w:t>
      </w:r>
      <w:r w:rsidR="00F84744" w:rsidRPr="00B4516C">
        <w:rPr>
          <w:rFonts w:ascii="Times New Roman" w:hAnsi="Times New Roman" w:cs="Times New Roman"/>
          <w:sz w:val="24"/>
          <w:szCs w:val="24"/>
        </w:rPr>
        <w:t>8.7</w:t>
      </w:r>
      <w:r w:rsidRPr="00B4516C">
        <w:rPr>
          <w:rFonts w:ascii="Times New Roman" w:hAnsi="Times New Roman" w:cs="Times New Roman"/>
          <w:sz w:val="24"/>
          <w:szCs w:val="24"/>
        </w:rPr>
        <w:t xml:space="preserve">% and highlighting their vulnerability. </w:t>
      </w:r>
      <w:r w:rsidR="00F84744" w:rsidRPr="00B4516C">
        <w:rPr>
          <w:rFonts w:ascii="Times New Roman" w:hAnsi="Times New Roman" w:cs="Times New Roman"/>
          <w:sz w:val="24"/>
          <w:szCs w:val="24"/>
        </w:rPr>
        <w:t xml:space="preserve">Other similar studies also noted varying prevalence across </w:t>
      </w:r>
      <w:r w:rsidR="00AF5F5A" w:rsidRPr="00B4516C">
        <w:rPr>
          <w:rFonts w:ascii="Times New Roman" w:hAnsi="Times New Roman" w:cs="Times New Roman"/>
          <w:sz w:val="24"/>
          <w:szCs w:val="24"/>
        </w:rPr>
        <w:t xml:space="preserve">the globe </w:t>
      </w:r>
      <w:r w:rsidR="00F84744" w:rsidRPr="00B4516C">
        <w:rPr>
          <w:rFonts w:ascii="Times New Roman" w:hAnsi="Times New Roman" w:cs="Times New Roman"/>
          <w:sz w:val="24"/>
          <w:szCs w:val="24"/>
        </w:rPr>
        <w:t>(</w:t>
      </w:r>
      <w:r w:rsidR="00A70AA1" w:rsidRPr="00B4516C">
        <w:rPr>
          <w:rFonts w:ascii="Times New Roman" w:eastAsia="Times New Roman" w:hAnsi="Times New Roman" w:cs="Times New Roman"/>
          <w:sz w:val="24"/>
          <w:szCs w:val="24"/>
        </w:rPr>
        <w:t xml:space="preserve">Johnson </w:t>
      </w:r>
      <w:r w:rsidR="00A70AA1" w:rsidRPr="00B4516C">
        <w:rPr>
          <w:rFonts w:ascii="Times New Roman" w:eastAsia="Times New Roman" w:hAnsi="Times New Roman" w:cs="Times New Roman"/>
          <w:i/>
          <w:sz w:val="24"/>
          <w:szCs w:val="24"/>
        </w:rPr>
        <w:t>et al</w:t>
      </w:r>
      <w:r w:rsidR="00A70AA1" w:rsidRPr="00B4516C">
        <w:rPr>
          <w:rFonts w:ascii="Times New Roman" w:eastAsia="Times New Roman" w:hAnsi="Times New Roman" w:cs="Times New Roman"/>
          <w:sz w:val="24"/>
          <w:szCs w:val="24"/>
        </w:rPr>
        <w:t xml:space="preserve">., 2021; </w:t>
      </w:r>
      <w:proofErr w:type="spellStart"/>
      <w:r w:rsidR="00AF5F5A" w:rsidRPr="00B4516C">
        <w:rPr>
          <w:rFonts w:ascii="Times New Roman" w:eastAsia="Times New Roman" w:hAnsi="Times New Roman" w:cs="Times New Roman"/>
          <w:sz w:val="24"/>
          <w:szCs w:val="24"/>
        </w:rPr>
        <w:t>Gebretensaie</w:t>
      </w:r>
      <w:proofErr w:type="spellEnd"/>
      <w:r w:rsidR="00AF5F5A" w:rsidRPr="00B4516C">
        <w:rPr>
          <w:rFonts w:ascii="Times New Roman" w:eastAsia="Times New Roman" w:hAnsi="Times New Roman" w:cs="Times New Roman"/>
          <w:sz w:val="24"/>
          <w:szCs w:val="24"/>
        </w:rPr>
        <w:t xml:space="preserve"> </w:t>
      </w:r>
      <w:r w:rsidR="00AF5F5A" w:rsidRPr="00B4516C">
        <w:rPr>
          <w:rFonts w:ascii="Times New Roman" w:eastAsia="Times New Roman" w:hAnsi="Times New Roman" w:cs="Times New Roman"/>
          <w:i/>
          <w:sz w:val="24"/>
          <w:szCs w:val="24"/>
        </w:rPr>
        <w:t>et al</w:t>
      </w:r>
      <w:r w:rsidR="00AF5F5A" w:rsidRPr="00B4516C">
        <w:rPr>
          <w:rFonts w:ascii="Times New Roman" w:eastAsia="Times New Roman" w:hAnsi="Times New Roman" w:cs="Times New Roman"/>
          <w:sz w:val="24"/>
          <w:szCs w:val="24"/>
        </w:rPr>
        <w:t>., 2023</w:t>
      </w:r>
      <w:r w:rsidR="00F84744" w:rsidRPr="00B4516C">
        <w:rPr>
          <w:rFonts w:ascii="Times New Roman" w:hAnsi="Times New Roman" w:cs="Times New Roman"/>
          <w:sz w:val="24"/>
          <w:szCs w:val="24"/>
        </w:rPr>
        <w:t xml:space="preserve">). </w:t>
      </w:r>
      <w:r w:rsidRPr="00B4516C">
        <w:rPr>
          <w:rFonts w:ascii="Times New Roman" w:hAnsi="Times New Roman" w:cs="Times New Roman"/>
          <w:sz w:val="24"/>
          <w:szCs w:val="24"/>
        </w:rPr>
        <w:t>Several risk factors contribute to the prevalence of UTIs in Benin City, including poor hygiene practices, inadequate sanitation facilities, limited access to healthcare services, female gender, pregnancy, diabetes mellit</w:t>
      </w:r>
      <w:r w:rsidR="00B47394" w:rsidRPr="00B4516C">
        <w:rPr>
          <w:rFonts w:ascii="Times New Roman" w:hAnsi="Times New Roman" w:cs="Times New Roman"/>
          <w:sz w:val="24"/>
          <w:szCs w:val="24"/>
        </w:rPr>
        <w:t xml:space="preserve">us, and urinary catheterization (Ezugwu </w:t>
      </w:r>
      <w:r w:rsidR="00B47394" w:rsidRPr="00B4516C">
        <w:rPr>
          <w:rFonts w:ascii="Times New Roman" w:hAnsi="Times New Roman" w:cs="Times New Roman"/>
          <w:i/>
          <w:sz w:val="24"/>
          <w:szCs w:val="24"/>
        </w:rPr>
        <w:t>et al</w:t>
      </w:r>
      <w:r w:rsidR="00B47394" w:rsidRPr="00B4516C">
        <w:rPr>
          <w:rFonts w:ascii="Times New Roman" w:hAnsi="Times New Roman" w:cs="Times New Roman"/>
          <w:sz w:val="24"/>
          <w:szCs w:val="24"/>
        </w:rPr>
        <w:t>.,2021).</w:t>
      </w:r>
      <w:r w:rsidRPr="00B4516C">
        <w:rPr>
          <w:rFonts w:ascii="Times New Roman" w:hAnsi="Times New Roman" w:cs="Times New Roman"/>
          <w:sz w:val="24"/>
          <w:szCs w:val="24"/>
        </w:rPr>
        <w:t xml:space="preserve"> </w:t>
      </w:r>
    </w:p>
    <w:p w14:paraId="7EA728F6" w14:textId="59402303" w:rsidR="00216065" w:rsidRPr="00310D88" w:rsidRDefault="00CC44A7" w:rsidP="00310D88">
      <w:pPr>
        <w:spacing w:line="480" w:lineRule="auto"/>
        <w:jc w:val="both"/>
        <w:rPr>
          <w:rFonts w:ascii="Times New Roman" w:eastAsia="Times New Roman" w:hAnsi="Times New Roman" w:cs="Times New Roman"/>
          <w:sz w:val="24"/>
          <w:vertAlign w:val="superscript"/>
        </w:rPr>
      </w:pPr>
      <w:r w:rsidRPr="00B4516C">
        <w:rPr>
          <w:rFonts w:ascii="Times New Roman" w:hAnsi="Times New Roman" w:cs="Times New Roman"/>
          <w:sz w:val="24"/>
          <w:szCs w:val="24"/>
        </w:rPr>
        <w:lastRenderedPageBreak/>
        <w:t xml:space="preserve">Urinary tract infections (UTIs) are prevalent among both genders; however, there is a lack of documented research focusing specifically on the multidrug resistance (MDR) profile of bacterial isolates from UTIs among hospitalized female patients in Edo Specialist Hospital, Benin City, Edo State, Nigeria. </w:t>
      </w:r>
      <w:r w:rsidR="00A4321E" w:rsidRPr="00A4321E">
        <w:rPr>
          <w:rFonts w:ascii="Times New Roman" w:eastAsia="Times New Roman" w:hAnsi="Times New Roman" w:cs="Times New Roman"/>
          <w:sz w:val="24"/>
          <w:highlight w:val="green"/>
        </w:rPr>
        <w:t>MDR pathogens can develop resistance to various antimicrobials through horizontal gene transfer and genetic mutations caused by drug overexposure (</w:t>
      </w:r>
      <w:proofErr w:type="spellStart"/>
      <w:r w:rsidR="00A4321E" w:rsidRPr="00A4321E">
        <w:rPr>
          <w:rFonts w:ascii="Times New Roman" w:eastAsia="Times New Roman" w:hAnsi="Times New Roman" w:cs="Times New Roman"/>
          <w:sz w:val="24"/>
          <w:highlight w:val="green"/>
        </w:rPr>
        <w:t>Makanjuola</w:t>
      </w:r>
      <w:proofErr w:type="spellEnd"/>
      <w:r w:rsidR="00A4321E" w:rsidRPr="00A4321E">
        <w:rPr>
          <w:rFonts w:ascii="Times New Roman" w:eastAsia="Times New Roman" w:hAnsi="Times New Roman" w:cs="Times New Roman"/>
          <w:sz w:val="24"/>
          <w:highlight w:val="green"/>
        </w:rPr>
        <w:t xml:space="preserve"> </w:t>
      </w:r>
      <w:r w:rsidR="00A4321E" w:rsidRPr="00A4321E">
        <w:rPr>
          <w:rFonts w:ascii="Times New Roman" w:eastAsia="Times New Roman" w:hAnsi="Times New Roman" w:cs="Times New Roman"/>
          <w:i/>
          <w:sz w:val="24"/>
          <w:highlight w:val="green"/>
        </w:rPr>
        <w:t>et al</w:t>
      </w:r>
      <w:r w:rsidR="00A4321E" w:rsidRPr="00A4321E">
        <w:rPr>
          <w:rFonts w:ascii="Times New Roman" w:eastAsia="Times New Roman" w:hAnsi="Times New Roman" w:cs="Times New Roman"/>
          <w:sz w:val="24"/>
          <w:highlight w:val="green"/>
        </w:rPr>
        <w:t>., 2018). Different types of multidrug resistance mechanisms occur in microbes, like natural resistance in certain microbes against a particular antimicrobial, genetic mutation, or acquired resistance from other species (</w:t>
      </w:r>
      <w:r w:rsidR="00A4321E" w:rsidRPr="00A4321E">
        <w:rPr>
          <w:rFonts w:ascii="Times New Roman" w:eastAsia="Times New Roman" w:hAnsi="Times New Roman" w:cs="Times New Roman"/>
          <w:color w:val="222222"/>
          <w:sz w:val="24"/>
          <w:highlight w:val="green"/>
          <w:shd w:val="clear" w:color="auto" w:fill="FFFFFF"/>
        </w:rPr>
        <w:t xml:space="preserve">Catalano </w:t>
      </w:r>
      <w:r w:rsidR="00A4321E" w:rsidRPr="00A4321E">
        <w:rPr>
          <w:rFonts w:ascii="Times New Roman" w:eastAsia="Times New Roman" w:hAnsi="Times New Roman" w:cs="Times New Roman"/>
          <w:i/>
          <w:color w:val="222222"/>
          <w:sz w:val="24"/>
          <w:highlight w:val="green"/>
          <w:shd w:val="clear" w:color="auto" w:fill="FFFFFF"/>
        </w:rPr>
        <w:t>et al</w:t>
      </w:r>
      <w:r w:rsidR="00A4321E" w:rsidRPr="00A4321E">
        <w:rPr>
          <w:rFonts w:ascii="Times New Roman" w:eastAsia="Times New Roman" w:hAnsi="Times New Roman" w:cs="Times New Roman"/>
          <w:color w:val="222222"/>
          <w:sz w:val="24"/>
          <w:highlight w:val="green"/>
          <w:shd w:val="clear" w:color="auto" w:fill="FFFFFF"/>
        </w:rPr>
        <w:t>., 2022).</w:t>
      </w:r>
      <w:r w:rsidR="00310D88">
        <w:rPr>
          <w:rFonts w:ascii="Times New Roman" w:eastAsia="Times New Roman" w:hAnsi="Times New Roman" w:cs="Times New Roman"/>
          <w:sz w:val="24"/>
          <w:vertAlign w:val="superscript"/>
        </w:rPr>
        <w:t xml:space="preserve"> </w:t>
      </w:r>
      <w:r w:rsidRPr="00B4516C">
        <w:rPr>
          <w:rFonts w:ascii="Times New Roman" w:hAnsi="Times New Roman" w:cs="Times New Roman"/>
          <w:sz w:val="24"/>
          <w:szCs w:val="24"/>
        </w:rPr>
        <w:t xml:space="preserve">The clinical consequences of MDR in UTIs are substantial, leading to prolonged hospital stays, increased healthcare costs, and higher rates of treatment failure and recurrence. Patients infected with MDR </w:t>
      </w:r>
      <w:proofErr w:type="spellStart"/>
      <w:r w:rsidRPr="00B4516C">
        <w:rPr>
          <w:rFonts w:ascii="Times New Roman" w:hAnsi="Times New Roman" w:cs="Times New Roman"/>
          <w:sz w:val="24"/>
          <w:szCs w:val="24"/>
        </w:rPr>
        <w:t>uropathogens</w:t>
      </w:r>
      <w:proofErr w:type="spellEnd"/>
      <w:r w:rsidRPr="00B4516C">
        <w:rPr>
          <w:rFonts w:ascii="Times New Roman" w:hAnsi="Times New Roman" w:cs="Times New Roman"/>
          <w:sz w:val="24"/>
          <w:szCs w:val="24"/>
        </w:rPr>
        <w:t xml:space="preserve"> face a greater risk of developing complicated UTIs, necessitating more aggressive treatment regimens and pot</w:t>
      </w:r>
      <w:r w:rsidR="00B47394" w:rsidRPr="00B4516C">
        <w:rPr>
          <w:rFonts w:ascii="Times New Roman" w:hAnsi="Times New Roman" w:cs="Times New Roman"/>
          <w:sz w:val="24"/>
          <w:szCs w:val="24"/>
        </w:rPr>
        <w:t>entially invasive interventions (</w:t>
      </w:r>
      <w:r w:rsidR="00B47394" w:rsidRPr="00B4516C">
        <w:rPr>
          <w:rFonts w:ascii="Times New Roman" w:eastAsia="Times New Roman" w:hAnsi="Times New Roman" w:cs="Times New Roman"/>
          <w:sz w:val="24"/>
          <w:szCs w:val="24"/>
        </w:rPr>
        <w:t>Storme</w:t>
      </w:r>
      <w:r w:rsidR="00B47394" w:rsidRPr="00B4516C">
        <w:rPr>
          <w:rFonts w:ascii="Times New Roman" w:hAnsi="Times New Roman" w:cs="Times New Roman"/>
          <w:sz w:val="24"/>
          <w:szCs w:val="24"/>
        </w:rPr>
        <w:t xml:space="preserve"> </w:t>
      </w:r>
      <w:r w:rsidR="00B47394" w:rsidRPr="00B4516C">
        <w:rPr>
          <w:rFonts w:ascii="Times New Roman" w:hAnsi="Times New Roman" w:cs="Times New Roman"/>
          <w:i/>
          <w:sz w:val="24"/>
          <w:szCs w:val="24"/>
        </w:rPr>
        <w:t>et al</w:t>
      </w:r>
      <w:r w:rsidR="00B47394" w:rsidRPr="00B4516C">
        <w:rPr>
          <w:rFonts w:ascii="Times New Roman" w:hAnsi="Times New Roman" w:cs="Times New Roman"/>
          <w:sz w:val="24"/>
          <w:szCs w:val="24"/>
        </w:rPr>
        <w:t xml:space="preserve">., 2019). </w:t>
      </w:r>
      <w:r w:rsidRPr="00B4516C">
        <w:rPr>
          <w:rFonts w:ascii="Times New Roman" w:hAnsi="Times New Roman" w:cs="Times New Roman"/>
          <w:sz w:val="24"/>
          <w:szCs w:val="24"/>
        </w:rPr>
        <w:t>Understanding the prevalence of UTIs among hospitalized females in Benin City is crucial for monitoring antibiotic resistance patterns, as the overuse and misuse of antibiotics contribute to resistance, making infections more difficult to treat. Surveillance of prevalence rates can aid clinicians in prescribing appropriate antibiotics, thereby helping to combat antibiotic resistance. This study aims to isolate and employ phenotypic methods in identifying MDR bacterial isolates from UTIs among female patients in Edo Specialist Hospital, Benin City, Edo State. The specific objectives are to isolate and phenotypically identify bacterial isolates from UTIs among female patients, determine the prevalence of UTIs among hospitalized female patients, assess the antibiogram of bacterial isolates, and identify multidrug resistance in these isolates.</w:t>
      </w:r>
    </w:p>
    <w:p w14:paraId="127E7EB0" w14:textId="01654BDD" w:rsidR="00216065" w:rsidRPr="00B4516C" w:rsidRDefault="00CC44A7" w:rsidP="003C22AD">
      <w:pPr>
        <w:spacing w:after="0" w:line="480" w:lineRule="auto"/>
        <w:contextualSpacing/>
        <w:jc w:val="both"/>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MATERIALS AND METHODS</w:t>
      </w:r>
    </w:p>
    <w:p w14:paraId="1CC18386" w14:textId="75415DC4" w:rsidR="00AF4CAD" w:rsidRPr="00B4516C" w:rsidRDefault="00AF4CAD" w:rsidP="003C22AD">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b/>
          <w:bCs/>
          <w:sz w:val="24"/>
          <w:szCs w:val="24"/>
        </w:rPr>
        <w:t>Design of Study</w:t>
      </w:r>
    </w:p>
    <w:p w14:paraId="46DF7748" w14:textId="240CCCA7" w:rsidR="00AF4CAD" w:rsidRPr="00B4516C" w:rsidRDefault="00AF4CAD" w:rsidP="003C22AD">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lastRenderedPageBreak/>
        <w:t>This study employed a cross-sectional design that involved the collection and analysis of urine samples from hospitalized female patients at Edo Specialist Hospital, Benin City, Edo State. Ethical approval was obtained from the ethics committee of Edo Specialist Hospital (ESH) HA/737/24/D/0708308 before the commencement of this study. Informed consent was obtained from all participants before sample collection.</w:t>
      </w:r>
    </w:p>
    <w:p w14:paraId="4FC64AA4" w14:textId="77777777" w:rsidR="00AF4CAD" w:rsidRPr="00B4516C" w:rsidRDefault="00AF4CAD" w:rsidP="003C22AD">
      <w:pPr>
        <w:spacing w:after="0" w:line="480" w:lineRule="auto"/>
        <w:contextualSpacing/>
        <w:jc w:val="both"/>
        <w:rPr>
          <w:rFonts w:ascii="Times New Roman" w:hAnsi="Times New Roman" w:cs="Times New Roman"/>
          <w:b/>
          <w:bCs/>
          <w:sz w:val="24"/>
          <w:szCs w:val="24"/>
        </w:rPr>
      </w:pPr>
      <w:r w:rsidRPr="00B4516C">
        <w:rPr>
          <w:rFonts w:ascii="Times New Roman" w:hAnsi="Times New Roman" w:cs="Times New Roman"/>
          <w:b/>
          <w:bCs/>
          <w:sz w:val="24"/>
          <w:szCs w:val="24"/>
        </w:rPr>
        <w:t>Study Location, Duration, and Patient Selection</w:t>
      </w:r>
    </w:p>
    <w:p w14:paraId="052A54AB" w14:textId="77777777" w:rsidR="00AF4CAD" w:rsidRPr="00B4516C" w:rsidRDefault="00AF4CAD" w:rsidP="003C22AD">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 xml:space="preserve">The study was conducted at Edo Specialist Hospital (ESH), Benin City, Edo State, between November 2023 and June 2024. Urine samples were obtained from 50 hospitalized female patients aged 18 years and above from the general surgery, obstetrics/gynaecology, and </w:t>
      </w:r>
      <w:proofErr w:type="spellStart"/>
      <w:r w:rsidRPr="00B4516C">
        <w:rPr>
          <w:rFonts w:ascii="Times New Roman" w:hAnsi="Times New Roman" w:cs="Times New Roman"/>
          <w:sz w:val="24"/>
          <w:szCs w:val="24"/>
        </w:rPr>
        <w:t>orthopedic</w:t>
      </w:r>
      <w:proofErr w:type="spellEnd"/>
      <w:r w:rsidRPr="00B4516C">
        <w:rPr>
          <w:rFonts w:ascii="Times New Roman" w:hAnsi="Times New Roman" w:cs="Times New Roman"/>
          <w:sz w:val="24"/>
          <w:szCs w:val="24"/>
        </w:rPr>
        <w:t xml:space="preserve"> wards.</w:t>
      </w:r>
    </w:p>
    <w:p w14:paraId="43FEC47D" w14:textId="543710BB" w:rsidR="00AF4CAD" w:rsidRPr="00B4516C" w:rsidRDefault="00AF4CAD" w:rsidP="003C22AD">
      <w:pPr>
        <w:spacing w:after="0" w:line="480" w:lineRule="auto"/>
        <w:contextualSpacing/>
        <w:jc w:val="both"/>
        <w:rPr>
          <w:rFonts w:ascii="Times New Roman" w:hAnsi="Times New Roman" w:cs="Times New Roman"/>
          <w:b/>
          <w:bCs/>
          <w:sz w:val="24"/>
          <w:szCs w:val="24"/>
        </w:rPr>
      </w:pPr>
      <w:r w:rsidRPr="00B4516C">
        <w:rPr>
          <w:rFonts w:ascii="Times New Roman" w:hAnsi="Times New Roman" w:cs="Times New Roman"/>
          <w:b/>
          <w:bCs/>
          <w:sz w:val="24"/>
          <w:szCs w:val="24"/>
        </w:rPr>
        <w:t>Inclusion Criteria</w:t>
      </w:r>
    </w:p>
    <w:p w14:paraId="1FC4DB3C" w14:textId="77777777" w:rsidR="00AF4CAD" w:rsidRPr="00B4516C" w:rsidRDefault="00AF4CAD" w:rsidP="003C22AD">
      <w:pPr>
        <w:pStyle w:val="ListParagraph"/>
        <w:numPr>
          <w:ilvl w:val="0"/>
          <w:numId w:val="6"/>
        </w:numPr>
        <w:spacing w:after="0" w:line="480" w:lineRule="auto"/>
        <w:jc w:val="both"/>
        <w:rPr>
          <w:rFonts w:ascii="Times New Roman" w:hAnsi="Times New Roman" w:cs="Times New Roman"/>
          <w:sz w:val="24"/>
          <w:szCs w:val="24"/>
        </w:rPr>
      </w:pPr>
      <w:r w:rsidRPr="00B4516C">
        <w:rPr>
          <w:rFonts w:ascii="Times New Roman" w:hAnsi="Times New Roman" w:cs="Times New Roman"/>
          <w:sz w:val="24"/>
          <w:szCs w:val="24"/>
        </w:rPr>
        <w:t>Only urine samples from hospitalized female patients were collected.</w:t>
      </w:r>
    </w:p>
    <w:p w14:paraId="5E1B4EE2" w14:textId="49EC76F3" w:rsidR="00AF4CAD" w:rsidRPr="00B4516C" w:rsidRDefault="00AF4CAD" w:rsidP="003C22AD">
      <w:pPr>
        <w:spacing w:after="0" w:line="480" w:lineRule="auto"/>
        <w:contextualSpacing/>
        <w:jc w:val="both"/>
        <w:rPr>
          <w:rFonts w:ascii="Times New Roman" w:hAnsi="Times New Roman" w:cs="Times New Roman"/>
          <w:b/>
          <w:bCs/>
          <w:sz w:val="24"/>
          <w:szCs w:val="24"/>
        </w:rPr>
      </w:pPr>
      <w:r w:rsidRPr="00B4516C">
        <w:rPr>
          <w:rFonts w:ascii="Times New Roman" w:hAnsi="Times New Roman" w:cs="Times New Roman"/>
          <w:b/>
          <w:bCs/>
          <w:sz w:val="24"/>
          <w:szCs w:val="24"/>
        </w:rPr>
        <w:t>Exclusion Criteria</w:t>
      </w:r>
    </w:p>
    <w:p w14:paraId="58AE15E2" w14:textId="77777777" w:rsidR="00AF4CAD" w:rsidRPr="00B4516C" w:rsidRDefault="00AF4CAD" w:rsidP="003C22AD">
      <w:pPr>
        <w:numPr>
          <w:ilvl w:val="0"/>
          <w:numId w:val="7"/>
        </w:num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Urine samples from hospitalized male patients were excluded.</w:t>
      </w:r>
    </w:p>
    <w:p w14:paraId="298A5A84" w14:textId="77777777" w:rsidR="00AF4CAD" w:rsidRPr="00B4516C" w:rsidRDefault="00AF4CAD" w:rsidP="003C22AD">
      <w:pPr>
        <w:numPr>
          <w:ilvl w:val="0"/>
          <w:numId w:val="7"/>
        </w:num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Non-hospitalized female patients were not included in the study.</w:t>
      </w:r>
    </w:p>
    <w:p w14:paraId="7B666524" w14:textId="2DF9B71A" w:rsidR="00AF4CAD" w:rsidRPr="00B4516C" w:rsidRDefault="00AF4CAD" w:rsidP="003C22AD">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b/>
          <w:bCs/>
          <w:sz w:val="24"/>
          <w:szCs w:val="24"/>
        </w:rPr>
        <w:t>Specimens</w:t>
      </w:r>
    </w:p>
    <w:p w14:paraId="22430EA4" w14:textId="1257DF0F" w:rsidR="00AF4CAD" w:rsidRPr="00B4516C" w:rsidRDefault="00AF4CAD" w:rsidP="003C22AD">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 xml:space="preserve">Urine samples were collected from 50 hospitalized female patients at Edo Specialist Hospital. The collected samples were transported immediately to the Medical </w:t>
      </w:r>
      <w:r w:rsidR="000F01B0" w:rsidRPr="00B4516C">
        <w:rPr>
          <w:rFonts w:ascii="Times New Roman" w:hAnsi="Times New Roman" w:cs="Times New Roman"/>
          <w:sz w:val="24"/>
          <w:szCs w:val="24"/>
        </w:rPr>
        <w:t xml:space="preserve">Laboratory Department of </w:t>
      </w:r>
      <w:r w:rsidRPr="00B4516C">
        <w:rPr>
          <w:rFonts w:ascii="Times New Roman" w:hAnsi="Times New Roman" w:cs="Times New Roman"/>
          <w:sz w:val="24"/>
          <w:szCs w:val="24"/>
        </w:rPr>
        <w:t xml:space="preserve">Microbiology </w:t>
      </w:r>
      <w:r w:rsidR="000F01B0" w:rsidRPr="00B4516C">
        <w:rPr>
          <w:rFonts w:ascii="Times New Roman" w:hAnsi="Times New Roman" w:cs="Times New Roman"/>
          <w:sz w:val="24"/>
          <w:szCs w:val="24"/>
        </w:rPr>
        <w:t>unit</w:t>
      </w:r>
      <w:r w:rsidRPr="00B4516C">
        <w:rPr>
          <w:rFonts w:ascii="Times New Roman" w:hAnsi="Times New Roman" w:cs="Times New Roman"/>
          <w:sz w:val="24"/>
          <w:szCs w:val="24"/>
        </w:rPr>
        <w:t xml:space="preserve"> of Benson Idahosa University for processing under aseptic conditions.</w:t>
      </w:r>
    </w:p>
    <w:p w14:paraId="365CD4E7" w14:textId="77777777" w:rsidR="00AF4CAD" w:rsidRPr="00B4516C" w:rsidRDefault="00AF4CAD" w:rsidP="003C22AD">
      <w:pPr>
        <w:spacing w:after="0" w:line="480" w:lineRule="auto"/>
        <w:contextualSpacing/>
        <w:jc w:val="both"/>
        <w:rPr>
          <w:rFonts w:ascii="Times New Roman" w:hAnsi="Times New Roman" w:cs="Times New Roman"/>
          <w:b/>
          <w:bCs/>
          <w:sz w:val="24"/>
          <w:szCs w:val="24"/>
        </w:rPr>
      </w:pPr>
      <w:r w:rsidRPr="00B4516C">
        <w:rPr>
          <w:rFonts w:ascii="Times New Roman" w:hAnsi="Times New Roman" w:cs="Times New Roman"/>
          <w:b/>
          <w:bCs/>
          <w:sz w:val="24"/>
          <w:szCs w:val="24"/>
        </w:rPr>
        <w:t>Processing of Samples</w:t>
      </w:r>
    </w:p>
    <w:p w14:paraId="6A5334D4" w14:textId="33BB42AB" w:rsidR="00AF4CAD" w:rsidRPr="00B4516C" w:rsidRDefault="00AF4CAD" w:rsidP="003C22AD">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 xml:space="preserve">Urine samples were inoculated onto MacConkey and Cystine Lactose Electrolyte Deficient (CLED) agar and incubated at 37°C for 24 hours. Bacterial isolates were identified phenotypically following standard microbiological procedures </w:t>
      </w:r>
      <w:r w:rsidR="00180AE2" w:rsidRPr="00B4516C">
        <w:rPr>
          <w:rFonts w:ascii="Times New Roman" w:hAnsi="Times New Roman" w:cs="Times New Roman"/>
          <w:sz w:val="24"/>
          <w:szCs w:val="24"/>
        </w:rPr>
        <w:t>(</w:t>
      </w:r>
      <w:r w:rsidR="00180AE2" w:rsidRPr="00B4516C">
        <w:rPr>
          <w:rFonts w:ascii="Times New Roman" w:eastAsia="Times New Roman" w:hAnsi="Times New Roman" w:cs="Times New Roman"/>
          <w:sz w:val="24"/>
          <w:szCs w:val="24"/>
        </w:rPr>
        <w:t>Cheesbrough, 2005</w:t>
      </w:r>
      <w:r w:rsidR="00180AE2" w:rsidRPr="00B4516C">
        <w:rPr>
          <w:rFonts w:ascii="Times New Roman" w:hAnsi="Times New Roman" w:cs="Times New Roman"/>
          <w:sz w:val="24"/>
          <w:szCs w:val="24"/>
        </w:rPr>
        <w:t>)</w:t>
      </w:r>
      <w:r w:rsidRPr="00B4516C">
        <w:rPr>
          <w:rFonts w:ascii="Times New Roman" w:hAnsi="Times New Roman" w:cs="Times New Roman"/>
          <w:sz w:val="24"/>
          <w:szCs w:val="24"/>
        </w:rPr>
        <w:t>.</w:t>
      </w:r>
      <w:r w:rsidRPr="00B4516C">
        <w:rPr>
          <w:rFonts w:ascii="Times New Roman" w:hAnsi="Times New Roman" w:cs="Times New Roman"/>
          <w:sz w:val="24"/>
          <w:szCs w:val="24"/>
          <w:lang w:val="en-US"/>
        </w:rPr>
        <w:t xml:space="preserve"> </w:t>
      </w:r>
      <w:r w:rsidRPr="00B4516C">
        <w:rPr>
          <w:rFonts w:ascii="Times New Roman" w:hAnsi="Times New Roman" w:cs="Times New Roman"/>
          <w:sz w:val="24"/>
          <w:szCs w:val="24"/>
        </w:rPr>
        <w:t xml:space="preserve">Following incubation, a smear was prepared from the cultured samples, stained using the Gram </w:t>
      </w:r>
      <w:r w:rsidRPr="00B4516C">
        <w:rPr>
          <w:rFonts w:ascii="Times New Roman" w:hAnsi="Times New Roman" w:cs="Times New Roman"/>
          <w:sz w:val="24"/>
          <w:szCs w:val="24"/>
        </w:rPr>
        <w:lastRenderedPageBreak/>
        <w:t>staining technique, and examined under a light microscope (X100 objective) to determine bacterial morphology and Gram reaction.</w:t>
      </w:r>
    </w:p>
    <w:p w14:paraId="2019B1B4" w14:textId="395E781C" w:rsidR="00AF4CAD" w:rsidRPr="00B4516C" w:rsidRDefault="00AF4CAD" w:rsidP="003C22AD">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b/>
          <w:bCs/>
          <w:sz w:val="24"/>
          <w:szCs w:val="24"/>
        </w:rPr>
        <w:t>Isolation and Identification of Bacteria</w:t>
      </w:r>
    </w:p>
    <w:p w14:paraId="18403C94" w14:textId="29C8C8DA" w:rsidR="00AF4CAD" w:rsidRPr="00B4516C" w:rsidRDefault="00AF4CAD" w:rsidP="00180AE2">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Colonial appearances on MacConkey and CLED agar were used for preliminary identification. Morphological characteristics such as size, form, elevation, opacity, odour, and edge were noted. Gram staining was performed to categorize isolates into Gram-positive and Gram-negative bacteria.</w:t>
      </w:r>
      <w:r w:rsidRPr="00B4516C">
        <w:rPr>
          <w:rFonts w:ascii="Times New Roman" w:hAnsi="Times New Roman" w:cs="Times New Roman"/>
          <w:sz w:val="24"/>
          <w:szCs w:val="24"/>
          <w:lang w:val="en-US"/>
        </w:rPr>
        <w:t xml:space="preserve"> </w:t>
      </w:r>
      <w:r w:rsidRPr="00B4516C">
        <w:rPr>
          <w:rFonts w:ascii="Times New Roman" w:hAnsi="Times New Roman" w:cs="Times New Roman"/>
          <w:sz w:val="24"/>
          <w:szCs w:val="24"/>
        </w:rPr>
        <w:t>Pure cultures of bacterial isolates were obtained by subculturing colonies onto nutrient agar and incubating at 37°C for 24 hours. Biochemical tests, including citrate utilization, urease production, indole production, oxidase test, motility test, and sugar fermentation tests, w</w:t>
      </w:r>
      <w:r w:rsidR="00180AE2" w:rsidRPr="00B4516C">
        <w:rPr>
          <w:rFonts w:ascii="Times New Roman" w:hAnsi="Times New Roman" w:cs="Times New Roman"/>
          <w:sz w:val="24"/>
          <w:szCs w:val="24"/>
        </w:rPr>
        <w:t>ere conducted for identification (</w:t>
      </w:r>
      <w:r w:rsidR="00180AE2" w:rsidRPr="00B4516C">
        <w:rPr>
          <w:rFonts w:ascii="Times New Roman" w:eastAsia="Times New Roman" w:hAnsi="Times New Roman" w:cs="Times New Roman"/>
          <w:sz w:val="24"/>
          <w:szCs w:val="24"/>
        </w:rPr>
        <w:t>Cowan and Steel, 1974).</w:t>
      </w:r>
    </w:p>
    <w:p w14:paraId="38854555" w14:textId="6A625B1C" w:rsidR="00F75C08" w:rsidRPr="00B4516C" w:rsidRDefault="00F75C08" w:rsidP="003C22AD">
      <w:pPr>
        <w:spacing w:after="0" w:line="480" w:lineRule="auto"/>
        <w:contextualSpacing/>
        <w:jc w:val="both"/>
        <w:rPr>
          <w:rFonts w:ascii="Times New Roman" w:hAnsi="Times New Roman" w:cs="Times New Roman"/>
          <w:b/>
          <w:bCs/>
          <w:sz w:val="24"/>
          <w:szCs w:val="24"/>
        </w:rPr>
      </w:pPr>
    </w:p>
    <w:p w14:paraId="49C1BA5B" w14:textId="77777777" w:rsidR="004A0DD2" w:rsidRPr="00C9414E" w:rsidRDefault="004A0DD2" w:rsidP="004A0DD2">
      <w:pPr>
        <w:spacing w:after="0" w:line="360" w:lineRule="auto"/>
        <w:contextualSpacing/>
        <w:jc w:val="both"/>
        <w:rPr>
          <w:rFonts w:ascii="Times New Roman" w:hAnsi="Times New Roman"/>
          <w:b/>
          <w:bCs/>
          <w:sz w:val="24"/>
          <w:szCs w:val="24"/>
          <w:highlight w:val="green"/>
        </w:rPr>
      </w:pPr>
      <w:r w:rsidRPr="00C9414E">
        <w:rPr>
          <w:rFonts w:ascii="Times New Roman" w:hAnsi="Times New Roman"/>
          <w:b/>
          <w:bCs/>
          <w:sz w:val="24"/>
          <w:szCs w:val="24"/>
          <w:highlight w:val="green"/>
        </w:rPr>
        <w:t>Bacterial Identification/ Biochemical Tests</w:t>
      </w:r>
    </w:p>
    <w:p w14:paraId="28170ADA" w14:textId="77777777" w:rsidR="004A0DD2" w:rsidRPr="001D7DB7" w:rsidRDefault="004A0DD2" w:rsidP="004A0DD2">
      <w:pPr>
        <w:spacing w:after="0" w:line="360" w:lineRule="auto"/>
        <w:contextualSpacing/>
        <w:jc w:val="both"/>
        <w:rPr>
          <w:rFonts w:ascii="Times New Roman" w:hAnsi="Times New Roman"/>
          <w:sz w:val="24"/>
          <w:szCs w:val="24"/>
        </w:rPr>
      </w:pPr>
      <w:r w:rsidRPr="00C9414E">
        <w:rPr>
          <w:rFonts w:ascii="Times New Roman" w:hAnsi="Times New Roman"/>
          <w:sz w:val="24"/>
          <w:szCs w:val="24"/>
          <w:highlight w:val="green"/>
        </w:rPr>
        <w:t xml:space="preserve">Bacterial isolates were identified using standard procedures such as Gram staining technique to grouped the bacteria into gram positive and gram-negative bacteria, and were further analysed biochemically at Benson </w:t>
      </w:r>
      <w:proofErr w:type="spellStart"/>
      <w:r w:rsidRPr="00C9414E">
        <w:rPr>
          <w:rFonts w:ascii="Times New Roman" w:hAnsi="Times New Roman"/>
          <w:sz w:val="24"/>
          <w:szCs w:val="24"/>
          <w:highlight w:val="green"/>
        </w:rPr>
        <w:t>Idahosa</w:t>
      </w:r>
      <w:proofErr w:type="spellEnd"/>
      <w:r w:rsidRPr="00C9414E">
        <w:rPr>
          <w:rFonts w:ascii="Times New Roman" w:hAnsi="Times New Roman"/>
          <w:sz w:val="24"/>
          <w:szCs w:val="24"/>
          <w:highlight w:val="green"/>
        </w:rPr>
        <w:t xml:space="preserve"> University laboratory, Benin City according to</w:t>
      </w:r>
      <w:r w:rsidRPr="00C9414E">
        <w:rPr>
          <w:rFonts w:ascii="Times New Roman" w:hAnsi="Times New Roman"/>
          <w:b/>
          <w:bCs/>
          <w:sz w:val="24"/>
          <w:szCs w:val="24"/>
          <w:highlight w:val="green"/>
        </w:rPr>
        <w:t xml:space="preserve"> </w:t>
      </w:r>
      <w:r w:rsidRPr="00C9414E">
        <w:rPr>
          <w:rFonts w:ascii="Times New Roman" w:hAnsi="Times New Roman" w:cs="Times New Roman"/>
          <w:sz w:val="24"/>
          <w:szCs w:val="24"/>
          <w:highlight w:val="green"/>
        </w:rPr>
        <w:t>(Cowan and steel, 1974).</w:t>
      </w:r>
    </w:p>
    <w:p w14:paraId="35FE717E" w14:textId="4CFF9822" w:rsidR="00AF4CAD" w:rsidRPr="00B4516C" w:rsidRDefault="00AF4CAD" w:rsidP="003C22AD">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b/>
          <w:bCs/>
          <w:sz w:val="24"/>
          <w:szCs w:val="24"/>
        </w:rPr>
        <w:t>Antibiotic Susceptibility Testing</w:t>
      </w:r>
    </w:p>
    <w:p w14:paraId="6821FA71" w14:textId="0CA3DB34" w:rsidR="00323B72" w:rsidRPr="00B4516C" w:rsidRDefault="00AF4CAD" w:rsidP="00180AE2">
      <w:pPr>
        <w:spacing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Antimicrobial susceptibility testing was performed using the Kirby-Bauer disc diffusion method following the Clinical and Laboratory Standa</w:t>
      </w:r>
      <w:r w:rsidR="00180AE2" w:rsidRPr="00B4516C">
        <w:rPr>
          <w:rFonts w:ascii="Times New Roman" w:hAnsi="Times New Roman" w:cs="Times New Roman"/>
          <w:sz w:val="24"/>
          <w:szCs w:val="24"/>
        </w:rPr>
        <w:t>rds Institute (CLSI) guidelines (CLSI, 2020).</w:t>
      </w:r>
      <w:r w:rsidRPr="00B4516C">
        <w:rPr>
          <w:rFonts w:ascii="Times New Roman" w:hAnsi="Times New Roman" w:cs="Times New Roman"/>
          <w:sz w:val="24"/>
          <w:szCs w:val="24"/>
        </w:rPr>
        <w:t xml:space="preserve"> The test isolates were inoculated onto Mueller-Hinton agar and incubated at 37°C for 24 hours. </w:t>
      </w:r>
      <w:r w:rsidR="009A298B" w:rsidRPr="00B4516C">
        <w:rPr>
          <w:rFonts w:ascii="Times New Roman" w:hAnsi="Times New Roman" w:cs="Times New Roman"/>
          <w:sz w:val="24"/>
          <w:szCs w:val="24"/>
        </w:rPr>
        <w:t>The antimicrobial disc used included Ceftriaxone (CRX 5ug), Imipenem (Imp, 30µg), Oxacillin (OX 5µg), Ciprofloxacin (CPR, 5µg), Erythromycin (ERY, 10ug), Cefuroxime (CRX, 30ug), Cefepime (Cro, 5ug), and Augmentin (Aug, 30ug)</w:t>
      </w:r>
      <w:r w:rsidR="009A298B" w:rsidRPr="00B4516C">
        <w:rPr>
          <w:rFonts w:ascii="Times New Roman" w:hAnsi="Times New Roman" w:cs="Times New Roman"/>
          <w:sz w:val="24"/>
          <w:szCs w:val="24"/>
          <w:lang w:val="en-US"/>
        </w:rPr>
        <w:t xml:space="preserve">. </w:t>
      </w:r>
      <w:r w:rsidRPr="00B4516C">
        <w:rPr>
          <w:rFonts w:ascii="Times New Roman" w:hAnsi="Times New Roman" w:cs="Times New Roman"/>
          <w:sz w:val="24"/>
          <w:szCs w:val="24"/>
        </w:rPr>
        <w:t xml:space="preserve">The inhibition zones were measured in </w:t>
      </w:r>
      <w:r w:rsidR="003C22AD" w:rsidRPr="00B4516C">
        <w:rPr>
          <w:rFonts w:ascii="Times New Roman" w:hAnsi="Times New Roman" w:cs="Times New Roman"/>
          <w:sz w:val="24"/>
          <w:szCs w:val="24"/>
        </w:rPr>
        <w:t>millimetres</w:t>
      </w:r>
      <w:r w:rsidRPr="00B4516C">
        <w:rPr>
          <w:rFonts w:ascii="Times New Roman" w:hAnsi="Times New Roman" w:cs="Times New Roman"/>
          <w:sz w:val="24"/>
          <w:szCs w:val="24"/>
        </w:rPr>
        <w:t xml:space="preserve"> using a ruler, and the results were interpreted according to CLSI </w:t>
      </w:r>
      <w:r w:rsidR="00180AE2" w:rsidRPr="00B4516C">
        <w:rPr>
          <w:rFonts w:ascii="Times New Roman" w:hAnsi="Times New Roman" w:cs="Times New Roman"/>
          <w:sz w:val="24"/>
          <w:szCs w:val="24"/>
        </w:rPr>
        <w:t xml:space="preserve">guidelines (CLSI, 2020). </w:t>
      </w:r>
      <w:r w:rsidRPr="00B4516C">
        <w:rPr>
          <w:rFonts w:ascii="Times New Roman" w:hAnsi="Times New Roman" w:cs="Times New Roman"/>
          <w:sz w:val="24"/>
          <w:szCs w:val="24"/>
        </w:rPr>
        <w:t>Isolates resistant to at least three classes of antibiotics were classified as multidrug-resistant (MDR).</w:t>
      </w:r>
    </w:p>
    <w:p w14:paraId="2CFDB446" w14:textId="77777777" w:rsidR="00323B72" w:rsidRPr="00B4516C" w:rsidRDefault="00323B72" w:rsidP="00323B72">
      <w:pPr>
        <w:spacing w:after="0" w:line="360" w:lineRule="auto"/>
        <w:contextualSpacing/>
        <w:jc w:val="both"/>
        <w:rPr>
          <w:rFonts w:ascii="Times New Roman" w:hAnsi="Times New Roman"/>
          <w:b/>
          <w:bCs/>
          <w:sz w:val="24"/>
          <w:szCs w:val="24"/>
          <w:lang w:val="en-US"/>
        </w:rPr>
      </w:pPr>
    </w:p>
    <w:p w14:paraId="1DFB27EB" w14:textId="31733D26" w:rsidR="00323B72" w:rsidRPr="00B4516C" w:rsidRDefault="00323B72" w:rsidP="00323B72">
      <w:pPr>
        <w:spacing w:after="0" w:line="360" w:lineRule="auto"/>
        <w:contextualSpacing/>
        <w:jc w:val="both"/>
        <w:rPr>
          <w:rFonts w:ascii="Times New Roman" w:hAnsi="Times New Roman"/>
          <w:b/>
          <w:bCs/>
          <w:sz w:val="24"/>
          <w:szCs w:val="24"/>
          <w:lang w:val="en-US"/>
        </w:rPr>
      </w:pPr>
      <w:r w:rsidRPr="00B4516C">
        <w:rPr>
          <w:rFonts w:ascii="Times New Roman" w:hAnsi="Times New Roman"/>
          <w:b/>
          <w:bCs/>
          <w:sz w:val="24"/>
          <w:szCs w:val="24"/>
          <w:lang w:val="en-US"/>
        </w:rPr>
        <w:lastRenderedPageBreak/>
        <w:t>RESULTS</w:t>
      </w:r>
    </w:p>
    <w:p w14:paraId="593AC834" w14:textId="598059C9" w:rsidR="00323B72" w:rsidRPr="00B4516C" w:rsidRDefault="00323B72" w:rsidP="00323B72">
      <w:pPr>
        <w:spacing w:after="0" w:line="360" w:lineRule="auto"/>
        <w:contextualSpacing/>
        <w:jc w:val="both"/>
        <w:rPr>
          <w:rFonts w:ascii="Times New Roman" w:hAnsi="Times New Roman"/>
          <w:i/>
          <w:iCs/>
          <w:sz w:val="24"/>
          <w:szCs w:val="24"/>
        </w:rPr>
      </w:pPr>
      <w:r w:rsidRPr="00B4516C">
        <w:rPr>
          <w:rFonts w:ascii="Times New Roman" w:hAnsi="Times New Roman"/>
          <w:sz w:val="24"/>
          <w:szCs w:val="24"/>
          <w:lang w:val="en-US"/>
        </w:rPr>
        <w:t xml:space="preserve">Out of the fifty (50) urine samples cultured from hospitalized </w:t>
      </w:r>
      <w:r w:rsidR="00B45E61" w:rsidRPr="00B4516C">
        <w:rPr>
          <w:rFonts w:ascii="Times New Roman" w:hAnsi="Times New Roman"/>
          <w:sz w:val="24"/>
          <w:szCs w:val="24"/>
          <w:lang w:val="en-US"/>
        </w:rPr>
        <w:t>fe</w:t>
      </w:r>
      <w:r w:rsidRPr="00B4516C">
        <w:rPr>
          <w:rFonts w:ascii="Times New Roman" w:hAnsi="Times New Roman"/>
          <w:sz w:val="24"/>
          <w:szCs w:val="24"/>
          <w:lang w:val="en-US"/>
        </w:rPr>
        <w:t xml:space="preserve">male </w:t>
      </w:r>
      <w:r w:rsidR="00B45E61" w:rsidRPr="00B4516C">
        <w:rPr>
          <w:rFonts w:ascii="Times New Roman" w:hAnsi="Times New Roman"/>
          <w:sz w:val="24"/>
          <w:szCs w:val="24"/>
          <w:lang w:val="en-US"/>
        </w:rPr>
        <w:t>participants</w:t>
      </w:r>
      <w:r w:rsidRPr="00B4516C">
        <w:rPr>
          <w:rFonts w:ascii="Times New Roman" w:hAnsi="Times New Roman"/>
          <w:sz w:val="24"/>
          <w:szCs w:val="24"/>
          <w:lang w:val="en-US"/>
        </w:rPr>
        <w:t xml:space="preserve">, thirty had growth of bacteria of different genera which gave a total prevalence rate of 60% (Figure 1). Bacteria isolates recovered from the urine sampled were </w:t>
      </w:r>
      <w:r w:rsidRPr="00B4516C">
        <w:rPr>
          <w:rFonts w:ascii="Times New Roman" w:hAnsi="Times New Roman"/>
          <w:i/>
          <w:iCs/>
          <w:sz w:val="24"/>
          <w:szCs w:val="24"/>
          <w:lang w:val="en-US"/>
        </w:rPr>
        <w:t xml:space="preserve">Escherichia coli </w:t>
      </w:r>
      <w:r w:rsidRPr="00B4516C">
        <w:rPr>
          <w:rFonts w:ascii="Times New Roman" w:hAnsi="Times New Roman"/>
          <w:sz w:val="24"/>
          <w:szCs w:val="24"/>
          <w:lang w:val="en-US"/>
        </w:rPr>
        <w:t>(50 %),</w:t>
      </w:r>
      <w:r w:rsidRPr="00B4516C">
        <w:rPr>
          <w:rFonts w:ascii="Times New Roman" w:hAnsi="Times New Roman"/>
          <w:i/>
          <w:iCs/>
          <w:sz w:val="24"/>
          <w:szCs w:val="24"/>
          <w:lang w:val="en-US"/>
        </w:rPr>
        <w:t xml:space="preserve"> Staphylococcus aureus </w:t>
      </w:r>
      <w:r w:rsidRPr="00B4516C">
        <w:rPr>
          <w:rFonts w:ascii="Times New Roman" w:hAnsi="Times New Roman"/>
          <w:sz w:val="24"/>
          <w:szCs w:val="24"/>
          <w:lang w:val="en-US"/>
        </w:rPr>
        <w:t xml:space="preserve">(43.3%) and </w:t>
      </w:r>
      <w:r w:rsidRPr="00B4516C">
        <w:rPr>
          <w:rFonts w:ascii="Times New Roman" w:hAnsi="Times New Roman"/>
          <w:i/>
          <w:iCs/>
          <w:sz w:val="24"/>
          <w:szCs w:val="24"/>
          <w:lang w:val="en-US"/>
        </w:rPr>
        <w:t xml:space="preserve">Pseudomonas aeruginosa </w:t>
      </w:r>
      <w:r w:rsidRPr="00B4516C">
        <w:rPr>
          <w:rFonts w:ascii="Times New Roman" w:hAnsi="Times New Roman"/>
          <w:sz w:val="24"/>
          <w:szCs w:val="24"/>
          <w:lang w:val="en-US"/>
        </w:rPr>
        <w:t xml:space="preserve">(6.7%) (Table 1). </w:t>
      </w:r>
      <w:r w:rsidRPr="00B4516C">
        <w:rPr>
          <w:rFonts w:ascii="Times New Roman" w:hAnsi="Times New Roman"/>
          <w:sz w:val="24"/>
          <w:szCs w:val="24"/>
        </w:rPr>
        <w:t>Table 2 summarizes the Gram stain characteristics, biochemical reactions, and motility of the</w:t>
      </w:r>
      <w:r w:rsidRPr="00B4516C">
        <w:rPr>
          <w:rFonts w:ascii="Times New Roman" w:hAnsi="Times New Roman"/>
          <w:i/>
          <w:iCs/>
          <w:sz w:val="24"/>
          <w:szCs w:val="24"/>
        </w:rPr>
        <w:t xml:space="preserve"> </w:t>
      </w:r>
      <w:r w:rsidRPr="00B4516C">
        <w:rPr>
          <w:rFonts w:ascii="Times New Roman" w:hAnsi="Times New Roman"/>
          <w:sz w:val="24"/>
          <w:szCs w:val="24"/>
        </w:rPr>
        <w:t>bacteria isolated</w:t>
      </w:r>
      <w:r w:rsidRPr="00B4516C">
        <w:rPr>
          <w:rFonts w:ascii="Times New Roman" w:hAnsi="Times New Roman"/>
          <w:i/>
          <w:iCs/>
          <w:sz w:val="24"/>
          <w:szCs w:val="24"/>
        </w:rPr>
        <w:t>.</w:t>
      </w:r>
    </w:p>
    <w:p w14:paraId="2839ACE7" w14:textId="3A2D538C" w:rsidR="00323B72" w:rsidRPr="00B4516C" w:rsidRDefault="00B45E61" w:rsidP="00323B72">
      <w:pPr>
        <w:rPr>
          <w:rFonts w:ascii="Times New Roman" w:hAnsi="Times New Roman" w:cs="Times New Roman"/>
          <w:sz w:val="24"/>
          <w:szCs w:val="24"/>
        </w:rPr>
      </w:pPr>
      <w:r w:rsidRPr="00B4516C">
        <w:rPr>
          <w:noProof/>
          <w:lang w:val="en-US"/>
        </w:rPr>
        <w:drawing>
          <wp:inline distT="0" distB="0" distL="0" distR="0" wp14:anchorId="77EAEE48" wp14:editId="7620A3AC">
            <wp:extent cx="5731510" cy="2926715"/>
            <wp:effectExtent l="0" t="0" r="2540" b="6985"/>
            <wp:docPr id="1" name="Chart 1">
              <a:extLst xmlns:a="http://schemas.openxmlformats.org/drawingml/2006/main">
                <a:ext uri="{FF2B5EF4-FFF2-40B4-BE49-F238E27FC236}">
                  <a16:creationId xmlns:a16="http://schemas.microsoft.com/office/drawing/2014/main" id="{33824BFF-4D42-4E0E-92F1-24BA0FFB0D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eGrid"/>
        <w:tblW w:w="9067" w:type="dxa"/>
        <w:tblLook w:val="04A0" w:firstRow="1" w:lastRow="0" w:firstColumn="1" w:lastColumn="0" w:noHBand="0" w:noVBand="1"/>
      </w:tblPr>
      <w:tblGrid>
        <w:gridCol w:w="3539"/>
        <w:gridCol w:w="2693"/>
        <w:gridCol w:w="2835"/>
      </w:tblGrid>
      <w:tr w:rsidR="00B4516C" w:rsidRPr="00B4516C" w14:paraId="62A5F94D" w14:textId="77777777" w:rsidTr="00DA3A3A">
        <w:trPr>
          <w:trHeight w:val="300"/>
        </w:trPr>
        <w:tc>
          <w:tcPr>
            <w:tcW w:w="9067" w:type="dxa"/>
            <w:gridSpan w:val="3"/>
            <w:tcBorders>
              <w:top w:val="nil"/>
              <w:left w:val="nil"/>
              <w:bottom w:val="single" w:sz="4" w:space="0" w:color="auto"/>
              <w:right w:val="nil"/>
            </w:tcBorders>
          </w:tcPr>
          <w:p w14:paraId="47AAD449" w14:textId="77777777" w:rsidR="00323B72" w:rsidRPr="00B4516C" w:rsidRDefault="00323B72" w:rsidP="00DA3A3A">
            <w:pPr>
              <w:spacing w:line="480" w:lineRule="auto"/>
              <w:contextualSpacing/>
              <w:rPr>
                <w:rFonts w:ascii="Times New Roman" w:eastAsia="Calibri" w:hAnsi="Times New Roman"/>
                <w:b/>
                <w:bCs/>
                <w:sz w:val="24"/>
                <w:szCs w:val="24"/>
              </w:rPr>
            </w:pPr>
            <w:r w:rsidRPr="00B4516C">
              <w:rPr>
                <w:rFonts w:ascii="Times New Roman" w:eastAsia="Calibri" w:hAnsi="Times New Roman"/>
                <w:b/>
                <w:bCs/>
                <w:sz w:val="24"/>
                <w:szCs w:val="24"/>
              </w:rPr>
              <w:t>Figure 1. Prevalence of Urinary tract infection among participants</w:t>
            </w:r>
          </w:p>
          <w:p w14:paraId="7F9EE176" w14:textId="77777777" w:rsidR="00323B72" w:rsidRPr="00B4516C" w:rsidRDefault="00323B72" w:rsidP="00DA3A3A">
            <w:pPr>
              <w:spacing w:line="480" w:lineRule="auto"/>
              <w:contextualSpacing/>
              <w:rPr>
                <w:rFonts w:ascii="Times New Roman" w:eastAsia="Calibri" w:hAnsi="Times New Roman"/>
                <w:b/>
                <w:bCs/>
                <w:sz w:val="24"/>
                <w:szCs w:val="24"/>
              </w:rPr>
            </w:pPr>
          </w:p>
          <w:p w14:paraId="0D3C701E" w14:textId="77777777" w:rsidR="00323B72" w:rsidRPr="00B4516C" w:rsidRDefault="00323B72" w:rsidP="00DA3A3A">
            <w:pPr>
              <w:spacing w:line="480" w:lineRule="auto"/>
              <w:contextualSpacing/>
              <w:rPr>
                <w:rFonts w:ascii="Times New Roman" w:hAnsi="Times New Roman" w:cs="Times New Roman"/>
                <w:sz w:val="24"/>
                <w:szCs w:val="24"/>
                <w:lang w:val="en-US"/>
              </w:rPr>
            </w:pPr>
            <w:r w:rsidRPr="00B4516C">
              <w:rPr>
                <w:rFonts w:ascii="Times New Roman" w:eastAsia="Calibri" w:hAnsi="Times New Roman"/>
                <w:b/>
                <w:bCs/>
                <w:sz w:val="24"/>
                <w:szCs w:val="24"/>
              </w:rPr>
              <w:t>Table 1. Percentage of Bacteria Isolated</w:t>
            </w:r>
          </w:p>
        </w:tc>
      </w:tr>
      <w:tr w:rsidR="00B4516C" w:rsidRPr="00B4516C" w14:paraId="50182DFC" w14:textId="77777777" w:rsidTr="00DA3A3A">
        <w:trPr>
          <w:trHeight w:val="300"/>
        </w:trPr>
        <w:tc>
          <w:tcPr>
            <w:tcW w:w="3539" w:type="dxa"/>
            <w:tcBorders>
              <w:top w:val="single" w:sz="4" w:space="0" w:color="auto"/>
              <w:left w:val="nil"/>
              <w:bottom w:val="single" w:sz="4" w:space="0" w:color="auto"/>
              <w:right w:val="nil"/>
            </w:tcBorders>
          </w:tcPr>
          <w:p w14:paraId="1459E6FA" w14:textId="77777777" w:rsidR="00323B72" w:rsidRPr="00B4516C" w:rsidRDefault="00323B72" w:rsidP="00DA3A3A">
            <w:pPr>
              <w:spacing w:line="480" w:lineRule="auto"/>
              <w:contextualSpacing/>
              <w:rPr>
                <w:rFonts w:ascii="Times New Roman" w:hAnsi="Times New Roman" w:cs="Times New Roman"/>
                <w:b/>
                <w:bCs/>
                <w:sz w:val="24"/>
                <w:szCs w:val="24"/>
              </w:rPr>
            </w:pPr>
            <w:r w:rsidRPr="00B4516C">
              <w:rPr>
                <w:rFonts w:ascii="Times New Roman" w:hAnsi="Times New Roman" w:cs="Times New Roman"/>
                <w:b/>
                <w:bCs/>
                <w:sz w:val="24"/>
                <w:szCs w:val="24"/>
              </w:rPr>
              <w:t>Organism</w:t>
            </w:r>
          </w:p>
        </w:tc>
        <w:tc>
          <w:tcPr>
            <w:tcW w:w="2693" w:type="dxa"/>
            <w:tcBorders>
              <w:top w:val="single" w:sz="4" w:space="0" w:color="auto"/>
              <w:left w:val="nil"/>
              <w:bottom w:val="single" w:sz="4" w:space="0" w:color="auto"/>
              <w:right w:val="nil"/>
            </w:tcBorders>
            <w:noWrap/>
          </w:tcPr>
          <w:p w14:paraId="57FEBCCA" w14:textId="77777777" w:rsidR="00323B72" w:rsidRPr="00B4516C" w:rsidRDefault="00323B72" w:rsidP="00DA3A3A">
            <w:pPr>
              <w:spacing w:line="480" w:lineRule="auto"/>
              <w:contextualSpacing/>
              <w:jc w:val="center"/>
              <w:rPr>
                <w:rFonts w:ascii="Times New Roman" w:hAnsi="Times New Roman" w:cs="Times New Roman"/>
                <w:b/>
                <w:bCs/>
                <w:sz w:val="24"/>
                <w:szCs w:val="24"/>
              </w:rPr>
            </w:pPr>
            <w:r w:rsidRPr="00B4516C">
              <w:rPr>
                <w:rFonts w:ascii="Times New Roman" w:hAnsi="Times New Roman" w:cs="Times New Roman"/>
                <w:b/>
                <w:bCs/>
                <w:sz w:val="24"/>
                <w:szCs w:val="24"/>
              </w:rPr>
              <w:t>Frequency</w:t>
            </w:r>
          </w:p>
        </w:tc>
        <w:tc>
          <w:tcPr>
            <w:tcW w:w="2835" w:type="dxa"/>
            <w:tcBorders>
              <w:top w:val="single" w:sz="4" w:space="0" w:color="auto"/>
              <w:left w:val="nil"/>
              <w:bottom w:val="single" w:sz="4" w:space="0" w:color="auto"/>
              <w:right w:val="nil"/>
            </w:tcBorders>
          </w:tcPr>
          <w:p w14:paraId="629D8585" w14:textId="4A3E9C9D" w:rsidR="00323B72" w:rsidRPr="00B4516C" w:rsidRDefault="00B45E61" w:rsidP="00DA3A3A">
            <w:pPr>
              <w:spacing w:line="480" w:lineRule="auto"/>
              <w:contextualSpacing/>
              <w:jc w:val="center"/>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Prevalence</w:t>
            </w:r>
          </w:p>
        </w:tc>
      </w:tr>
      <w:tr w:rsidR="00B4516C" w:rsidRPr="00B4516C" w14:paraId="61C9D0EF" w14:textId="77777777" w:rsidTr="00DA3A3A">
        <w:trPr>
          <w:trHeight w:val="300"/>
        </w:trPr>
        <w:tc>
          <w:tcPr>
            <w:tcW w:w="3539" w:type="dxa"/>
            <w:tcBorders>
              <w:top w:val="single" w:sz="4" w:space="0" w:color="auto"/>
              <w:left w:val="nil"/>
              <w:bottom w:val="nil"/>
              <w:right w:val="nil"/>
            </w:tcBorders>
          </w:tcPr>
          <w:p w14:paraId="4AA90140" w14:textId="37CFE826" w:rsidR="00B45E61" w:rsidRPr="00B4516C" w:rsidRDefault="00B45E61" w:rsidP="00B45E61">
            <w:pPr>
              <w:spacing w:line="480" w:lineRule="auto"/>
              <w:contextualSpacing/>
              <w:rPr>
                <w:rFonts w:ascii="Times New Roman" w:hAnsi="Times New Roman" w:cs="Times New Roman"/>
                <w:sz w:val="24"/>
                <w:szCs w:val="24"/>
              </w:rPr>
            </w:pPr>
            <w:r w:rsidRPr="00B4516C">
              <w:rPr>
                <w:rFonts w:ascii="Times New Roman" w:hAnsi="Times New Roman" w:cs="Times New Roman"/>
                <w:i/>
                <w:iCs/>
                <w:kern w:val="0"/>
                <w:sz w:val="24"/>
                <w:szCs w:val="24"/>
              </w:rPr>
              <w:t xml:space="preserve">Escherichia coli  </w:t>
            </w:r>
          </w:p>
        </w:tc>
        <w:tc>
          <w:tcPr>
            <w:tcW w:w="2693" w:type="dxa"/>
            <w:tcBorders>
              <w:top w:val="single" w:sz="4" w:space="0" w:color="auto"/>
              <w:left w:val="nil"/>
              <w:bottom w:val="nil"/>
              <w:right w:val="nil"/>
            </w:tcBorders>
            <w:noWrap/>
          </w:tcPr>
          <w:p w14:paraId="50A1D2E2" w14:textId="2E36400E" w:rsidR="00B45E61" w:rsidRPr="00B4516C" w:rsidRDefault="00B45E61" w:rsidP="00B45E61">
            <w:pPr>
              <w:spacing w:line="480" w:lineRule="auto"/>
              <w:contextualSpacing/>
              <w:jc w:val="center"/>
              <w:rPr>
                <w:rFonts w:ascii="Times New Roman" w:hAnsi="Times New Roman" w:cs="Times New Roman"/>
                <w:sz w:val="24"/>
                <w:szCs w:val="24"/>
              </w:rPr>
            </w:pPr>
            <w:r w:rsidRPr="00B4516C">
              <w:rPr>
                <w:rFonts w:ascii="Times New Roman" w:hAnsi="Times New Roman" w:cs="Times New Roman"/>
                <w:kern w:val="0"/>
                <w:sz w:val="24"/>
                <w:szCs w:val="24"/>
              </w:rPr>
              <w:t>15</w:t>
            </w:r>
          </w:p>
        </w:tc>
        <w:tc>
          <w:tcPr>
            <w:tcW w:w="2835" w:type="dxa"/>
            <w:tcBorders>
              <w:top w:val="single" w:sz="4" w:space="0" w:color="auto"/>
              <w:left w:val="nil"/>
              <w:bottom w:val="nil"/>
              <w:right w:val="nil"/>
            </w:tcBorders>
          </w:tcPr>
          <w:p w14:paraId="6B2411C0" w14:textId="3DF5192D" w:rsidR="00B45E61" w:rsidRPr="00B4516C" w:rsidRDefault="00B45E61" w:rsidP="00B45E61">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kern w:val="0"/>
                <w:sz w:val="24"/>
                <w:szCs w:val="24"/>
              </w:rPr>
              <w:t>50.0</w:t>
            </w:r>
          </w:p>
        </w:tc>
      </w:tr>
      <w:tr w:rsidR="00B4516C" w:rsidRPr="00B4516C" w14:paraId="31823295" w14:textId="77777777" w:rsidTr="00DA3A3A">
        <w:trPr>
          <w:trHeight w:val="300"/>
        </w:trPr>
        <w:tc>
          <w:tcPr>
            <w:tcW w:w="3539" w:type="dxa"/>
            <w:tcBorders>
              <w:top w:val="nil"/>
              <w:left w:val="nil"/>
              <w:bottom w:val="nil"/>
              <w:right w:val="nil"/>
            </w:tcBorders>
          </w:tcPr>
          <w:p w14:paraId="1661471B" w14:textId="5D64FBFF" w:rsidR="00B45E61" w:rsidRPr="00B4516C" w:rsidRDefault="00B45E61" w:rsidP="00B45E61">
            <w:pPr>
              <w:spacing w:line="480" w:lineRule="auto"/>
              <w:contextualSpacing/>
              <w:rPr>
                <w:rFonts w:ascii="Times New Roman" w:hAnsi="Times New Roman" w:cs="Times New Roman"/>
                <w:sz w:val="24"/>
                <w:szCs w:val="24"/>
                <w:lang w:val="en-US"/>
              </w:rPr>
            </w:pPr>
            <w:r w:rsidRPr="00B4516C">
              <w:rPr>
                <w:rFonts w:ascii="Times New Roman" w:hAnsi="Times New Roman" w:cs="Times New Roman"/>
                <w:i/>
                <w:iCs/>
                <w:kern w:val="0"/>
                <w:sz w:val="24"/>
                <w:szCs w:val="24"/>
              </w:rPr>
              <w:t>Staphylococcus aureus</w:t>
            </w:r>
          </w:p>
        </w:tc>
        <w:tc>
          <w:tcPr>
            <w:tcW w:w="2693" w:type="dxa"/>
            <w:tcBorders>
              <w:top w:val="nil"/>
              <w:left w:val="nil"/>
              <w:bottom w:val="nil"/>
              <w:right w:val="nil"/>
            </w:tcBorders>
            <w:noWrap/>
          </w:tcPr>
          <w:p w14:paraId="2CF187F7" w14:textId="16D93C72" w:rsidR="00B45E61" w:rsidRPr="00B4516C" w:rsidRDefault="00B45E61" w:rsidP="00B45E61">
            <w:pPr>
              <w:spacing w:line="480" w:lineRule="auto"/>
              <w:contextualSpacing/>
              <w:jc w:val="center"/>
              <w:rPr>
                <w:rFonts w:ascii="Times New Roman" w:hAnsi="Times New Roman" w:cs="Times New Roman"/>
                <w:sz w:val="24"/>
                <w:szCs w:val="24"/>
              </w:rPr>
            </w:pPr>
            <w:r w:rsidRPr="00B4516C">
              <w:rPr>
                <w:rFonts w:ascii="Times New Roman" w:hAnsi="Times New Roman" w:cs="Times New Roman"/>
                <w:kern w:val="0"/>
                <w:sz w:val="24"/>
                <w:szCs w:val="24"/>
              </w:rPr>
              <w:t>13</w:t>
            </w:r>
          </w:p>
        </w:tc>
        <w:tc>
          <w:tcPr>
            <w:tcW w:w="2835" w:type="dxa"/>
            <w:tcBorders>
              <w:top w:val="nil"/>
              <w:left w:val="nil"/>
              <w:bottom w:val="nil"/>
              <w:right w:val="nil"/>
            </w:tcBorders>
          </w:tcPr>
          <w:p w14:paraId="48F9C833" w14:textId="75A6CAD8" w:rsidR="00B45E61" w:rsidRPr="00B4516C" w:rsidRDefault="00B45E61" w:rsidP="00B45E61">
            <w:pPr>
              <w:spacing w:line="480" w:lineRule="auto"/>
              <w:contextualSpacing/>
              <w:jc w:val="center"/>
              <w:rPr>
                <w:rFonts w:ascii="Times New Roman" w:hAnsi="Times New Roman" w:cs="Times New Roman"/>
                <w:sz w:val="24"/>
                <w:szCs w:val="24"/>
              </w:rPr>
            </w:pPr>
            <w:r w:rsidRPr="00B4516C">
              <w:rPr>
                <w:rFonts w:ascii="Times New Roman" w:hAnsi="Times New Roman" w:cs="Times New Roman"/>
                <w:kern w:val="0"/>
                <w:sz w:val="24"/>
                <w:szCs w:val="24"/>
              </w:rPr>
              <w:t>43.3</w:t>
            </w:r>
          </w:p>
        </w:tc>
      </w:tr>
      <w:tr w:rsidR="00B4516C" w:rsidRPr="00B4516C" w14:paraId="6C2E94A9" w14:textId="77777777" w:rsidTr="00B45E61">
        <w:trPr>
          <w:trHeight w:val="237"/>
        </w:trPr>
        <w:tc>
          <w:tcPr>
            <w:tcW w:w="3539" w:type="dxa"/>
            <w:tcBorders>
              <w:top w:val="nil"/>
              <w:left w:val="nil"/>
              <w:bottom w:val="nil"/>
              <w:right w:val="nil"/>
            </w:tcBorders>
          </w:tcPr>
          <w:p w14:paraId="6ADB40BD" w14:textId="5D1260B7" w:rsidR="00B45E61" w:rsidRPr="00B4516C" w:rsidRDefault="00B45E61" w:rsidP="00B45E61">
            <w:pPr>
              <w:spacing w:line="480" w:lineRule="auto"/>
              <w:contextualSpacing/>
              <w:rPr>
                <w:rFonts w:ascii="Times New Roman" w:hAnsi="Times New Roman" w:cs="Times New Roman"/>
                <w:sz w:val="24"/>
                <w:szCs w:val="24"/>
              </w:rPr>
            </w:pPr>
            <w:r w:rsidRPr="00B4516C">
              <w:rPr>
                <w:rFonts w:ascii="Times New Roman" w:hAnsi="Times New Roman" w:cs="Times New Roman"/>
                <w:i/>
                <w:iCs/>
                <w:kern w:val="0"/>
                <w:sz w:val="24"/>
                <w:szCs w:val="24"/>
              </w:rPr>
              <w:t>Pseudomonas aeruginosa</w:t>
            </w:r>
          </w:p>
        </w:tc>
        <w:tc>
          <w:tcPr>
            <w:tcW w:w="2693" w:type="dxa"/>
            <w:tcBorders>
              <w:top w:val="nil"/>
              <w:left w:val="nil"/>
              <w:bottom w:val="nil"/>
              <w:right w:val="nil"/>
            </w:tcBorders>
            <w:noWrap/>
          </w:tcPr>
          <w:p w14:paraId="784F7EDA" w14:textId="6D4533E8" w:rsidR="00B45E61" w:rsidRPr="00B4516C" w:rsidRDefault="00B45E61" w:rsidP="00B45E61">
            <w:pPr>
              <w:spacing w:line="480" w:lineRule="auto"/>
              <w:contextualSpacing/>
              <w:jc w:val="center"/>
              <w:rPr>
                <w:rFonts w:ascii="Times New Roman" w:hAnsi="Times New Roman" w:cs="Times New Roman"/>
                <w:sz w:val="24"/>
                <w:szCs w:val="24"/>
              </w:rPr>
            </w:pPr>
            <w:r w:rsidRPr="00B4516C">
              <w:rPr>
                <w:rFonts w:ascii="Times New Roman" w:hAnsi="Times New Roman" w:cs="Times New Roman"/>
                <w:kern w:val="0"/>
                <w:sz w:val="24"/>
                <w:szCs w:val="24"/>
              </w:rPr>
              <w:t>2</w:t>
            </w:r>
          </w:p>
        </w:tc>
        <w:tc>
          <w:tcPr>
            <w:tcW w:w="2835" w:type="dxa"/>
            <w:tcBorders>
              <w:top w:val="nil"/>
              <w:left w:val="nil"/>
              <w:bottom w:val="nil"/>
              <w:right w:val="nil"/>
            </w:tcBorders>
          </w:tcPr>
          <w:p w14:paraId="1CC27C7D" w14:textId="7CB6BD74" w:rsidR="00B45E61" w:rsidRPr="00B4516C" w:rsidRDefault="00B45E61" w:rsidP="00B45E61">
            <w:pPr>
              <w:spacing w:line="480" w:lineRule="auto"/>
              <w:contextualSpacing/>
              <w:jc w:val="center"/>
              <w:rPr>
                <w:rFonts w:ascii="Times New Roman" w:hAnsi="Times New Roman" w:cs="Times New Roman"/>
                <w:sz w:val="24"/>
                <w:szCs w:val="24"/>
              </w:rPr>
            </w:pPr>
            <w:r w:rsidRPr="00B4516C">
              <w:rPr>
                <w:rFonts w:ascii="Times New Roman" w:hAnsi="Times New Roman" w:cs="Times New Roman"/>
                <w:kern w:val="0"/>
                <w:sz w:val="24"/>
                <w:szCs w:val="24"/>
              </w:rPr>
              <w:t>6.7</w:t>
            </w:r>
          </w:p>
        </w:tc>
      </w:tr>
      <w:tr w:rsidR="00B45E61" w:rsidRPr="00B4516C" w14:paraId="004631BE" w14:textId="77777777" w:rsidTr="00B45E61">
        <w:trPr>
          <w:trHeight w:val="237"/>
        </w:trPr>
        <w:tc>
          <w:tcPr>
            <w:tcW w:w="3539" w:type="dxa"/>
            <w:tcBorders>
              <w:top w:val="nil"/>
              <w:left w:val="nil"/>
              <w:bottom w:val="single" w:sz="4" w:space="0" w:color="auto"/>
              <w:right w:val="nil"/>
            </w:tcBorders>
          </w:tcPr>
          <w:p w14:paraId="5209FBA6" w14:textId="1B7FF46D" w:rsidR="00B45E61" w:rsidRPr="00B4516C" w:rsidRDefault="00B45E61" w:rsidP="00B45E61">
            <w:pPr>
              <w:spacing w:line="480" w:lineRule="auto"/>
              <w:contextualSpacing/>
              <w:rPr>
                <w:rFonts w:ascii="Times New Roman" w:eastAsia="Calibri" w:hAnsi="Times New Roman"/>
                <w:i/>
                <w:iCs/>
                <w:sz w:val="24"/>
                <w:szCs w:val="24"/>
              </w:rPr>
            </w:pPr>
            <w:r w:rsidRPr="00B4516C">
              <w:rPr>
                <w:rFonts w:ascii="Times New Roman" w:hAnsi="Times New Roman" w:cs="Times New Roman"/>
                <w:kern w:val="0"/>
                <w:sz w:val="24"/>
                <w:szCs w:val="24"/>
              </w:rPr>
              <w:t>Total</w:t>
            </w:r>
          </w:p>
        </w:tc>
        <w:tc>
          <w:tcPr>
            <w:tcW w:w="2693" w:type="dxa"/>
            <w:tcBorders>
              <w:top w:val="nil"/>
              <w:left w:val="nil"/>
              <w:bottom w:val="single" w:sz="4" w:space="0" w:color="auto"/>
              <w:right w:val="nil"/>
            </w:tcBorders>
            <w:noWrap/>
          </w:tcPr>
          <w:p w14:paraId="6407EAA4" w14:textId="51598DC7" w:rsidR="00B45E61" w:rsidRPr="00B4516C" w:rsidRDefault="00B45E61" w:rsidP="00B45E61">
            <w:pPr>
              <w:spacing w:line="480" w:lineRule="auto"/>
              <w:contextualSpacing/>
              <w:jc w:val="center"/>
              <w:rPr>
                <w:rFonts w:ascii="Times New Roman" w:hAnsi="Times New Roman" w:cs="Times New Roman"/>
                <w:sz w:val="24"/>
                <w:szCs w:val="24"/>
              </w:rPr>
            </w:pPr>
            <w:r w:rsidRPr="00B4516C">
              <w:rPr>
                <w:rFonts w:ascii="Times New Roman" w:hAnsi="Times New Roman" w:cs="Times New Roman"/>
                <w:kern w:val="0"/>
                <w:sz w:val="24"/>
                <w:szCs w:val="24"/>
              </w:rPr>
              <w:t>30</w:t>
            </w:r>
          </w:p>
        </w:tc>
        <w:tc>
          <w:tcPr>
            <w:tcW w:w="2835" w:type="dxa"/>
            <w:tcBorders>
              <w:top w:val="nil"/>
              <w:left w:val="nil"/>
              <w:bottom w:val="single" w:sz="4" w:space="0" w:color="auto"/>
              <w:right w:val="nil"/>
            </w:tcBorders>
          </w:tcPr>
          <w:p w14:paraId="1EC17F87" w14:textId="01BC15E9" w:rsidR="00B45E61" w:rsidRPr="00B4516C" w:rsidRDefault="00B45E61" w:rsidP="00B45E61">
            <w:pPr>
              <w:spacing w:line="480" w:lineRule="auto"/>
              <w:contextualSpacing/>
              <w:jc w:val="center"/>
              <w:rPr>
                <w:rFonts w:ascii="Times New Roman" w:hAnsi="Times New Roman" w:cs="Times New Roman"/>
                <w:sz w:val="24"/>
                <w:szCs w:val="24"/>
              </w:rPr>
            </w:pPr>
            <w:r w:rsidRPr="00B4516C">
              <w:rPr>
                <w:rFonts w:ascii="Times New Roman" w:hAnsi="Times New Roman" w:cs="Times New Roman"/>
                <w:kern w:val="0"/>
                <w:sz w:val="24"/>
                <w:szCs w:val="24"/>
              </w:rPr>
              <w:t>100</w:t>
            </w:r>
          </w:p>
        </w:tc>
      </w:tr>
    </w:tbl>
    <w:p w14:paraId="1111A5EA" w14:textId="77777777" w:rsidR="00323B72" w:rsidRPr="00B4516C" w:rsidRDefault="00323B72" w:rsidP="00323B72">
      <w:pPr>
        <w:rPr>
          <w:rFonts w:ascii="Times New Roman" w:hAnsi="Times New Roman" w:cs="Times New Roman"/>
          <w:sz w:val="24"/>
          <w:szCs w:val="24"/>
        </w:rPr>
      </w:pPr>
    </w:p>
    <w:p w14:paraId="6D16B794" w14:textId="77777777" w:rsidR="00323B72" w:rsidRPr="00B4516C" w:rsidRDefault="00323B72" w:rsidP="00323B72">
      <w:pPr>
        <w:rPr>
          <w:rFonts w:ascii="Times New Roman" w:hAnsi="Times New Roman" w:cs="Times New Roman"/>
          <w:sz w:val="24"/>
          <w:szCs w:val="24"/>
        </w:rPr>
      </w:pPr>
    </w:p>
    <w:p w14:paraId="1B8DA41A" w14:textId="77777777" w:rsidR="00323B72" w:rsidRPr="00B4516C" w:rsidRDefault="00323B72" w:rsidP="00323B72">
      <w:pPr>
        <w:rPr>
          <w:rFonts w:ascii="Times New Roman" w:hAnsi="Times New Roman" w:cs="Times New Roman"/>
          <w:sz w:val="24"/>
          <w:szCs w:val="24"/>
        </w:rPr>
      </w:pPr>
    </w:p>
    <w:p w14:paraId="1D9B0E00" w14:textId="2304FBB1" w:rsidR="00323B72" w:rsidRDefault="00323B72" w:rsidP="00323B72">
      <w:pPr>
        <w:rPr>
          <w:rFonts w:ascii="Times New Roman" w:hAnsi="Times New Roman" w:cs="Times New Roman"/>
          <w:sz w:val="24"/>
          <w:szCs w:val="24"/>
        </w:rPr>
      </w:pPr>
    </w:p>
    <w:p w14:paraId="113879A3" w14:textId="3E9F2EDE" w:rsidR="00F15121" w:rsidRDefault="00F15121" w:rsidP="00323B72">
      <w:pPr>
        <w:rPr>
          <w:rFonts w:ascii="Times New Roman" w:hAnsi="Times New Roman" w:cs="Times New Roman"/>
          <w:sz w:val="24"/>
          <w:szCs w:val="24"/>
        </w:rPr>
      </w:pPr>
    </w:p>
    <w:p w14:paraId="7BD5CD84" w14:textId="543A3D1C" w:rsidR="00F15121" w:rsidRDefault="00F15121" w:rsidP="00323B72">
      <w:pPr>
        <w:rPr>
          <w:rFonts w:ascii="Times New Roman" w:hAnsi="Times New Roman" w:cs="Times New Roman"/>
          <w:sz w:val="24"/>
          <w:szCs w:val="24"/>
        </w:rPr>
      </w:pPr>
    </w:p>
    <w:p w14:paraId="59473443" w14:textId="77777777" w:rsidR="00F15121" w:rsidRPr="00B4516C" w:rsidRDefault="00F15121" w:rsidP="00323B72">
      <w:pPr>
        <w:rPr>
          <w:rFonts w:ascii="Times New Roman" w:hAnsi="Times New Roman" w:cs="Times New Roman"/>
          <w:sz w:val="24"/>
          <w:szCs w:val="24"/>
        </w:rPr>
      </w:pPr>
    </w:p>
    <w:p w14:paraId="6074E426" w14:textId="77777777" w:rsidR="00323B72" w:rsidRPr="00B4516C" w:rsidRDefault="00323B72" w:rsidP="00323B72">
      <w:pPr>
        <w:pStyle w:val="NormalWeb"/>
        <w:spacing w:before="0" w:beforeAutospacing="0" w:after="0" w:afterAutospacing="0" w:line="480" w:lineRule="auto"/>
        <w:contextualSpacing/>
        <w:jc w:val="both"/>
        <w:rPr>
          <w:b/>
          <w:bCs/>
        </w:rPr>
      </w:pPr>
      <w:r w:rsidRPr="00B4516C">
        <w:rPr>
          <w:b/>
          <w:bCs/>
        </w:rPr>
        <w:t>Table 2: Phenotypic Identification of bacteria isolates from urine</w:t>
      </w:r>
    </w:p>
    <w:tbl>
      <w:tblPr>
        <w:tblW w:w="0" w:type="auto"/>
        <w:tblCellSpacing w:w="15" w:type="dxa"/>
        <w:tblInd w:w="-142"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293"/>
        <w:gridCol w:w="990"/>
        <w:gridCol w:w="887"/>
        <w:gridCol w:w="940"/>
        <w:gridCol w:w="422"/>
        <w:gridCol w:w="460"/>
        <w:gridCol w:w="714"/>
        <w:gridCol w:w="793"/>
        <w:gridCol w:w="887"/>
        <w:gridCol w:w="782"/>
      </w:tblGrid>
      <w:tr w:rsidR="00B4516C" w:rsidRPr="00B4516C" w14:paraId="699B48C9" w14:textId="77777777" w:rsidTr="00B45E61">
        <w:trPr>
          <w:tblHeader/>
          <w:tblCellSpacing w:w="15" w:type="dxa"/>
        </w:trPr>
        <w:tc>
          <w:tcPr>
            <w:tcW w:w="2248" w:type="dxa"/>
            <w:tcBorders>
              <w:top w:val="nil"/>
              <w:bottom w:val="single" w:sz="12" w:space="0" w:color="auto"/>
            </w:tcBorders>
          </w:tcPr>
          <w:p w14:paraId="7F6170F3" w14:textId="77777777" w:rsidR="00323B72" w:rsidRPr="00B4516C" w:rsidRDefault="00323B72" w:rsidP="00DA3A3A">
            <w:pPr>
              <w:pStyle w:val="NormalWeb"/>
              <w:spacing w:line="480" w:lineRule="auto"/>
              <w:rPr>
                <w:b/>
                <w:bCs/>
              </w:rPr>
            </w:pPr>
            <w:r w:rsidRPr="00B4516C">
              <w:rPr>
                <w:b/>
                <w:bCs/>
              </w:rPr>
              <w:t>Bacteria</w:t>
            </w:r>
          </w:p>
        </w:tc>
        <w:tc>
          <w:tcPr>
            <w:tcW w:w="0" w:type="auto"/>
            <w:tcBorders>
              <w:top w:val="nil"/>
              <w:bottom w:val="single" w:sz="12" w:space="0" w:color="auto"/>
            </w:tcBorders>
          </w:tcPr>
          <w:p w14:paraId="583710BD" w14:textId="77777777" w:rsidR="00323B72" w:rsidRPr="00B4516C" w:rsidRDefault="00323B72" w:rsidP="00DA3A3A">
            <w:pPr>
              <w:pStyle w:val="NormalWeb"/>
              <w:spacing w:line="480" w:lineRule="auto"/>
              <w:jc w:val="center"/>
              <w:rPr>
                <w:b/>
                <w:bCs/>
              </w:rPr>
            </w:pPr>
            <w:r w:rsidRPr="00B4516C">
              <w:rPr>
                <w:b/>
                <w:bCs/>
              </w:rPr>
              <w:t>Gram</w:t>
            </w:r>
          </w:p>
        </w:tc>
        <w:tc>
          <w:tcPr>
            <w:tcW w:w="0" w:type="auto"/>
            <w:tcBorders>
              <w:top w:val="nil"/>
              <w:bottom w:val="single" w:sz="12" w:space="0" w:color="auto"/>
            </w:tcBorders>
          </w:tcPr>
          <w:p w14:paraId="538A033E" w14:textId="77777777" w:rsidR="00323B72" w:rsidRPr="00B4516C" w:rsidRDefault="00323B72" w:rsidP="00DA3A3A">
            <w:pPr>
              <w:pStyle w:val="NormalWeb"/>
              <w:spacing w:line="480" w:lineRule="auto"/>
              <w:jc w:val="center"/>
              <w:rPr>
                <w:b/>
                <w:bCs/>
              </w:rPr>
            </w:pPr>
            <w:r w:rsidRPr="00B4516C">
              <w:rPr>
                <w:b/>
                <w:bCs/>
              </w:rPr>
              <w:t>Oxidase</w:t>
            </w:r>
          </w:p>
        </w:tc>
        <w:tc>
          <w:tcPr>
            <w:tcW w:w="0" w:type="auto"/>
            <w:tcBorders>
              <w:top w:val="nil"/>
              <w:bottom w:val="single" w:sz="12" w:space="0" w:color="auto"/>
            </w:tcBorders>
          </w:tcPr>
          <w:p w14:paraId="70AB4088" w14:textId="77777777" w:rsidR="00323B72" w:rsidRPr="00B4516C" w:rsidRDefault="00323B72" w:rsidP="00DA3A3A">
            <w:pPr>
              <w:pStyle w:val="NormalWeb"/>
              <w:spacing w:line="480" w:lineRule="auto"/>
              <w:jc w:val="center"/>
              <w:rPr>
                <w:b/>
                <w:bCs/>
              </w:rPr>
            </w:pPr>
            <w:r w:rsidRPr="00B4516C">
              <w:rPr>
                <w:b/>
                <w:bCs/>
              </w:rPr>
              <w:t>Catalase</w:t>
            </w:r>
          </w:p>
        </w:tc>
        <w:tc>
          <w:tcPr>
            <w:tcW w:w="0" w:type="auto"/>
            <w:tcBorders>
              <w:top w:val="nil"/>
              <w:bottom w:val="single" w:sz="12" w:space="0" w:color="auto"/>
            </w:tcBorders>
          </w:tcPr>
          <w:p w14:paraId="74D78788" w14:textId="77777777" w:rsidR="00323B72" w:rsidRPr="00B4516C" w:rsidRDefault="00323B72" w:rsidP="00DA3A3A">
            <w:pPr>
              <w:pStyle w:val="NormalWeb"/>
              <w:spacing w:line="480" w:lineRule="auto"/>
              <w:jc w:val="center"/>
              <w:rPr>
                <w:b/>
                <w:bCs/>
              </w:rPr>
            </w:pPr>
            <w:r w:rsidRPr="00B4516C">
              <w:rPr>
                <w:b/>
                <w:bCs/>
              </w:rPr>
              <w:t>VP</w:t>
            </w:r>
          </w:p>
        </w:tc>
        <w:tc>
          <w:tcPr>
            <w:tcW w:w="0" w:type="auto"/>
            <w:tcBorders>
              <w:top w:val="nil"/>
              <w:bottom w:val="single" w:sz="12" w:space="0" w:color="auto"/>
            </w:tcBorders>
          </w:tcPr>
          <w:p w14:paraId="0B775C6D" w14:textId="77777777" w:rsidR="00323B72" w:rsidRPr="00B4516C" w:rsidRDefault="00323B72" w:rsidP="00DA3A3A">
            <w:pPr>
              <w:pStyle w:val="NormalWeb"/>
              <w:spacing w:line="480" w:lineRule="auto"/>
              <w:jc w:val="center"/>
              <w:rPr>
                <w:b/>
                <w:bCs/>
              </w:rPr>
            </w:pPr>
            <w:r w:rsidRPr="00B4516C">
              <w:rPr>
                <w:b/>
                <w:bCs/>
              </w:rPr>
              <w:t>MR</w:t>
            </w:r>
          </w:p>
        </w:tc>
        <w:tc>
          <w:tcPr>
            <w:tcW w:w="0" w:type="auto"/>
            <w:tcBorders>
              <w:top w:val="nil"/>
              <w:bottom w:val="single" w:sz="12" w:space="0" w:color="auto"/>
            </w:tcBorders>
          </w:tcPr>
          <w:p w14:paraId="7D218A5A" w14:textId="77777777" w:rsidR="00323B72" w:rsidRPr="00B4516C" w:rsidRDefault="00323B72" w:rsidP="00DA3A3A">
            <w:pPr>
              <w:pStyle w:val="NormalWeb"/>
              <w:spacing w:line="480" w:lineRule="auto"/>
              <w:jc w:val="center"/>
              <w:rPr>
                <w:b/>
                <w:bCs/>
              </w:rPr>
            </w:pPr>
            <w:r w:rsidRPr="00B4516C">
              <w:rPr>
                <w:b/>
                <w:bCs/>
              </w:rPr>
              <w:t>Indole</w:t>
            </w:r>
          </w:p>
        </w:tc>
        <w:tc>
          <w:tcPr>
            <w:tcW w:w="0" w:type="auto"/>
            <w:tcBorders>
              <w:top w:val="nil"/>
              <w:bottom w:val="single" w:sz="12" w:space="0" w:color="auto"/>
            </w:tcBorders>
          </w:tcPr>
          <w:p w14:paraId="0AC586D9" w14:textId="77777777" w:rsidR="00323B72" w:rsidRPr="00B4516C" w:rsidRDefault="00323B72" w:rsidP="00DA3A3A">
            <w:pPr>
              <w:pStyle w:val="NormalWeb"/>
              <w:spacing w:line="480" w:lineRule="auto"/>
              <w:jc w:val="center"/>
              <w:rPr>
                <w:b/>
                <w:bCs/>
              </w:rPr>
            </w:pPr>
            <w:r w:rsidRPr="00B4516C">
              <w:rPr>
                <w:b/>
                <w:bCs/>
              </w:rPr>
              <w:t>Citrate</w:t>
            </w:r>
          </w:p>
        </w:tc>
        <w:tc>
          <w:tcPr>
            <w:tcW w:w="0" w:type="auto"/>
            <w:tcBorders>
              <w:top w:val="nil"/>
              <w:bottom w:val="single" w:sz="12" w:space="0" w:color="auto"/>
            </w:tcBorders>
          </w:tcPr>
          <w:p w14:paraId="56D2F8E4" w14:textId="77777777" w:rsidR="00323B72" w:rsidRPr="00B4516C" w:rsidRDefault="00323B72" w:rsidP="00DA3A3A">
            <w:pPr>
              <w:pStyle w:val="NormalWeb"/>
              <w:spacing w:line="480" w:lineRule="auto"/>
              <w:jc w:val="center"/>
              <w:rPr>
                <w:b/>
                <w:bCs/>
              </w:rPr>
            </w:pPr>
            <w:r w:rsidRPr="00B4516C">
              <w:rPr>
                <w:b/>
                <w:bCs/>
              </w:rPr>
              <w:t>Motility</w:t>
            </w:r>
          </w:p>
        </w:tc>
        <w:tc>
          <w:tcPr>
            <w:tcW w:w="0" w:type="auto"/>
            <w:tcBorders>
              <w:top w:val="nil"/>
              <w:bottom w:val="single" w:sz="12" w:space="0" w:color="auto"/>
            </w:tcBorders>
          </w:tcPr>
          <w:p w14:paraId="76A3164C" w14:textId="77777777" w:rsidR="00323B72" w:rsidRPr="00B4516C" w:rsidRDefault="00323B72" w:rsidP="00DA3A3A">
            <w:pPr>
              <w:pStyle w:val="NormalWeb"/>
              <w:spacing w:line="480" w:lineRule="auto"/>
              <w:jc w:val="center"/>
              <w:rPr>
                <w:b/>
                <w:bCs/>
              </w:rPr>
            </w:pPr>
            <w:r w:rsidRPr="00B4516C">
              <w:rPr>
                <w:b/>
                <w:bCs/>
              </w:rPr>
              <w:t>Urease</w:t>
            </w:r>
          </w:p>
        </w:tc>
      </w:tr>
      <w:tr w:rsidR="00B4516C" w:rsidRPr="00B4516C" w14:paraId="792177A7" w14:textId="77777777" w:rsidTr="00B45E61">
        <w:trPr>
          <w:tblCellSpacing w:w="15" w:type="dxa"/>
        </w:trPr>
        <w:tc>
          <w:tcPr>
            <w:tcW w:w="2248" w:type="dxa"/>
            <w:vAlign w:val="center"/>
          </w:tcPr>
          <w:p w14:paraId="05442582" w14:textId="77777777" w:rsidR="00323B72" w:rsidRPr="00B4516C" w:rsidRDefault="00323B72" w:rsidP="00DA3A3A">
            <w:pPr>
              <w:pStyle w:val="NormalWeb"/>
              <w:spacing w:before="0" w:beforeAutospacing="0" w:after="0" w:afterAutospacing="0" w:line="480" w:lineRule="auto"/>
              <w:contextualSpacing/>
              <w:rPr>
                <w:b/>
                <w:bCs/>
                <w:i/>
                <w:iCs/>
              </w:rPr>
            </w:pPr>
            <w:r w:rsidRPr="00B4516C">
              <w:rPr>
                <w:rStyle w:val="Strong"/>
                <w:b w:val="0"/>
                <w:bCs/>
                <w:i/>
                <w:iCs/>
              </w:rPr>
              <w:t>Escherichia coli</w:t>
            </w:r>
          </w:p>
        </w:tc>
        <w:tc>
          <w:tcPr>
            <w:tcW w:w="0" w:type="auto"/>
            <w:vAlign w:val="center"/>
          </w:tcPr>
          <w:p w14:paraId="225FA194" w14:textId="32BB74D8" w:rsidR="00323B72" w:rsidRPr="00B4516C" w:rsidRDefault="00F15121" w:rsidP="00DA3A3A">
            <w:pPr>
              <w:pStyle w:val="NormalWeb"/>
              <w:spacing w:before="0" w:beforeAutospacing="0" w:after="0" w:afterAutospacing="0" w:line="480" w:lineRule="auto"/>
              <w:contextualSpacing/>
              <w:jc w:val="center"/>
            </w:pPr>
            <w:r>
              <w:t>-</w:t>
            </w:r>
            <w:proofErr w:type="spellStart"/>
            <w:r>
              <w:t>ve</w:t>
            </w:r>
            <w:proofErr w:type="spellEnd"/>
            <w:r>
              <w:t xml:space="preserve"> </w:t>
            </w:r>
            <w:r w:rsidR="00323B72" w:rsidRPr="00B4516C">
              <w:t>bacilli</w:t>
            </w:r>
          </w:p>
        </w:tc>
        <w:tc>
          <w:tcPr>
            <w:tcW w:w="0" w:type="auto"/>
            <w:vAlign w:val="center"/>
          </w:tcPr>
          <w:p w14:paraId="49C66AD4"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5BFD2C78"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1A9FCF30"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7FDC24DF"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3B7F874F"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2676A4C3"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309B961F" w14:textId="77777777" w:rsidR="00323B72" w:rsidRPr="00B4516C" w:rsidRDefault="00323B72" w:rsidP="00DA3A3A">
            <w:pPr>
              <w:pStyle w:val="NormalWeb"/>
              <w:spacing w:before="0" w:beforeAutospacing="0" w:after="0" w:afterAutospacing="0" w:line="480" w:lineRule="auto"/>
              <w:contextualSpacing/>
              <w:jc w:val="center"/>
            </w:pPr>
            <w:r w:rsidRPr="00B4516C">
              <w:t>Yes</w:t>
            </w:r>
          </w:p>
        </w:tc>
        <w:tc>
          <w:tcPr>
            <w:tcW w:w="0" w:type="auto"/>
            <w:vAlign w:val="center"/>
          </w:tcPr>
          <w:p w14:paraId="5BDAEF76"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r>
      <w:tr w:rsidR="00B4516C" w:rsidRPr="00B4516C" w14:paraId="45C410FC" w14:textId="77777777" w:rsidTr="00B45E61">
        <w:trPr>
          <w:tblCellSpacing w:w="15" w:type="dxa"/>
        </w:trPr>
        <w:tc>
          <w:tcPr>
            <w:tcW w:w="2248" w:type="dxa"/>
            <w:vAlign w:val="center"/>
          </w:tcPr>
          <w:p w14:paraId="0721D84D" w14:textId="77777777" w:rsidR="00B45E61" w:rsidRPr="00B4516C" w:rsidRDefault="00B45E61" w:rsidP="00DA3A3A">
            <w:pPr>
              <w:pStyle w:val="NormalWeb"/>
              <w:spacing w:before="0" w:beforeAutospacing="0" w:after="0" w:afterAutospacing="0" w:line="480" w:lineRule="auto"/>
              <w:contextualSpacing/>
              <w:rPr>
                <w:rFonts w:eastAsia="SimSun"/>
                <w:bCs/>
                <w:i/>
                <w:iCs/>
                <w:sz w:val="21"/>
              </w:rPr>
            </w:pPr>
            <w:r w:rsidRPr="00B4516C">
              <w:rPr>
                <w:rStyle w:val="Strong"/>
                <w:b w:val="0"/>
                <w:bCs/>
                <w:i/>
                <w:iCs/>
              </w:rPr>
              <w:t>Staphylococcus aureus</w:t>
            </w:r>
          </w:p>
        </w:tc>
        <w:tc>
          <w:tcPr>
            <w:tcW w:w="0" w:type="auto"/>
            <w:vAlign w:val="center"/>
          </w:tcPr>
          <w:p w14:paraId="3873B227" w14:textId="77777777" w:rsidR="00B45E61" w:rsidRPr="00B4516C" w:rsidRDefault="00B45E61" w:rsidP="00DA3A3A">
            <w:pPr>
              <w:pStyle w:val="NormalWeb"/>
              <w:spacing w:before="0" w:beforeAutospacing="0" w:after="0" w:afterAutospacing="0" w:line="480" w:lineRule="auto"/>
              <w:contextualSpacing/>
              <w:jc w:val="center"/>
            </w:pPr>
            <w:r w:rsidRPr="00B4516C">
              <w:t>+</w:t>
            </w:r>
            <w:proofErr w:type="spellStart"/>
            <w:r w:rsidRPr="00B4516C">
              <w:t>ve</w:t>
            </w:r>
            <w:proofErr w:type="spellEnd"/>
            <w:r w:rsidRPr="00B4516C">
              <w:t xml:space="preserve"> cocci</w:t>
            </w:r>
          </w:p>
        </w:tc>
        <w:tc>
          <w:tcPr>
            <w:tcW w:w="0" w:type="auto"/>
            <w:vAlign w:val="center"/>
          </w:tcPr>
          <w:p w14:paraId="49865424" w14:textId="77777777" w:rsidR="00B45E61" w:rsidRPr="00B4516C" w:rsidRDefault="00B45E61"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4156B7FA" w14:textId="77777777" w:rsidR="00B45E61" w:rsidRPr="00B4516C" w:rsidRDefault="00B45E61"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36DCD5ED" w14:textId="77777777" w:rsidR="00B45E61" w:rsidRPr="00B4516C" w:rsidRDefault="00B45E61"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5107B259" w14:textId="77777777" w:rsidR="00B45E61" w:rsidRPr="00B4516C" w:rsidRDefault="00B45E61"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2F51E496" w14:textId="77777777" w:rsidR="00B45E61" w:rsidRPr="00B4516C" w:rsidRDefault="00B45E61"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73BB29AD" w14:textId="77777777" w:rsidR="00B45E61" w:rsidRPr="00B4516C" w:rsidRDefault="00B45E61"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6E3AD438" w14:textId="77777777" w:rsidR="00B45E61" w:rsidRPr="00B4516C" w:rsidRDefault="00B45E61" w:rsidP="00DA3A3A">
            <w:pPr>
              <w:pStyle w:val="NormalWeb"/>
              <w:spacing w:before="0" w:beforeAutospacing="0" w:after="0" w:afterAutospacing="0" w:line="480" w:lineRule="auto"/>
              <w:contextualSpacing/>
              <w:jc w:val="center"/>
            </w:pPr>
            <w:r w:rsidRPr="00B4516C">
              <w:t>No</w:t>
            </w:r>
          </w:p>
        </w:tc>
        <w:tc>
          <w:tcPr>
            <w:tcW w:w="0" w:type="auto"/>
            <w:vAlign w:val="center"/>
          </w:tcPr>
          <w:p w14:paraId="61EC6AA4" w14:textId="77777777" w:rsidR="00B45E61" w:rsidRPr="00B4516C" w:rsidRDefault="00B45E61"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r>
      <w:tr w:rsidR="00B4516C" w:rsidRPr="00B4516C" w14:paraId="4EEBF6F0" w14:textId="77777777" w:rsidTr="00B45E61">
        <w:trPr>
          <w:tblCellSpacing w:w="15" w:type="dxa"/>
        </w:trPr>
        <w:tc>
          <w:tcPr>
            <w:tcW w:w="2248" w:type="dxa"/>
            <w:vAlign w:val="center"/>
          </w:tcPr>
          <w:p w14:paraId="0C36258A" w14:textId="2E6BC1CC" w:rsidR="00323B72" w:rsidRPr="00B4516C" w:rsidRDefault="00323B72" w:rsidP="00DA3A3A">
            <w:pPr>
              <w:pStyle w:val="NormalWeb"/>
              <w:spacing w:before="0" w:beforeAutospacing="0" w:after="0" w:afterAutospacing="0" w:line="480" w:lineRule="auto"/>
              <w:contextualSpacing/>
              <w:rPr>
                <w:b/>
                <w:bCs/>
                <w:i/>
                <w:iCs/>
              </w:rPr>
            </w:pPr>
            <w:r w:rsidRPr="00B4516C">
              <w:rPr>
                <w:rStyle w:val="Strong"/>
                <w:b w:val="0"/>
                <w:bCs/>
                <w:i/>
                <w:iCs/>
              </w:rPr>
              <w:t>Pseudomonas</w:t>
            </w:r>
            <w:r w:rsidR="00B45E61" w:rsidRPr="00B4516C">
              <w:rPr>
                <w:rStyle w:val="Strong"/>
                <w:b w:val="0"/>
                <w:bCs/>
                <w:i/>
                <w:iCs/>
              </w:rPr>
              <w:t xml:space="preserve"> </w:t>
            </w:r>
            <w:r w:rsidR="00B45E61" w:rsidRPr="00B4516C">
              <w:rPr>
                <w:rStyle w:val="Strong"/>
                <w:b w:val="0"/>
                <w:i/>
                <w:iCs/>
              </w:rPr>
              <w:t>aeruginosa</w:t>
            </w:r>
          </w:p>
        </w:tc>
        <w:tc>
          <w:tcPr>
            <w:tcW w:w="0" w:type="auto"/>
            <w:vAlign w:val="center"/>
          </w:tcPr>
          <w:p w14:paraId="144AD665"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r w:rsidRPr="00B4516C">
              <w:t xml:space="preserve"> bacilli</w:t>
            </w:r>
          </w:p>
        </w:tc>
        <w:tc>
          <w:tcPr>
            <w:tcW w:w="0" w:type="auto"/>
            <w:vAlign w:val="center"/>
          </w:tcPr>
          <w:p w14:paraId="160F8ED2"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6DE6DC83"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4CA67FB5"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2A7E0ECF"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410ADCB0"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58C11C56"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c>
          <w:tcPr>
            <w:tcW w:w="0" w:type="auto"/>
            <w:vAlign w:val="center"/>
          </w:tcPr>
          <w:p w14:paraId="0368E544" w14:textId="77777777" w:rsidR="00323B72" w:rsidRPr="00B4516C" w:rsidRDefault="00323B72" w:rsidP="00DA3A3A">
            <w:pPr>
              <w:pStyle w:val="NormalWeb"/>
              <w:spacing w:before="0" w:beforeAutospacing="0" w:after="0" w:afterAutospacing="0" w:line="480" w:lineRule="auto"/>
              <w:contextualSpacing/>
              <w:jc w:val="center"/>
            </w:pPr>
            <w:r w:rsidRPr="00B4516C">
              <w:t>Yes</w:t>
            </w:r>
          </w:p>
        </w:tc>
        <w:tc>
          <w:tcPr>
            <w:tcW w:w="0" w:type="auto"/>
            <w:vAlign w:val="center"/>
          </w:tcPr>
          <w:p w14:paraId="6A3002E5" w14:textId="77777777" w:rsidR="00323B72" w:rsidRPr="00B4516C" w:rsidRDefault="00323B72" w:rsidP="00DA3A3A">
            <w:pPr>
              <w:pStyle w:val="NormalWeb"/>
              <w:spacing w:before="0" w:beforeAutospacing="0" w:after="0" w:afterAutospacing="0" w:line="480" w:lineRule="auto"/>
              <w:contextualSpacing/>
              <w:jc w:val="center"/>
            </w:pPr>
            <w:r w:rsidRPr="00B4516C">
              <w:t>-</w:t>
            </w:r>
            <w:proofErr w:type="spellStart"/>
            <w:r w:rsidRPr="00B4516C">
              <w:t>ve</w:t>
            </w:r>
            <w:proofErr w:type="spellEnd"/>
          </w:p>
        </w:tc>
      </w:tr>
    </w:tbl>
    <w:p w14:paraId="1429BFDD" w14:textId="77777777" w:rsidR="00323B72" w:rsidRPr="00B4516C" w:rsidRDefault="00323B72" w:rsidP="00B45E61">
      <w:pPr>
        <w:pStyle w:val="NormalWeb"/>
        <w:spacing w:before="0" w:beforeAutospacing="0" w:after="0" w:afterAutospacing="0" w:line="276" w:lineRule="auto"/>
        <w:jc w:val="both"/>
      </w:pPr>
      <w:r w:rsidRPr="00B4516C">
        <w:t>Keys: -Ve = Negative, +Ve = Positive, VP: Voges-Proskauer test, MR: Methyl Red test, Indole: Indole test</w:t>
      </w:r>
    </w:p>
    <w:p w14:paraId="6BA5EF6F" w14:textId="220E9D2D" w:rsidR="00216065" w:rsidRPr="00B4516C" w:rsidRDefault="00216065" w:rsidP="00216065">
      <w:pPr>
        <w:rPr>
          <w:rFonts w:ascii="Times New Roman" w:hAnsi="Times New Roman" w:cs="Times New Roman"/>
          <w:sz w:val="24"/>
          <w:szCs w:val="24"/>
        </w:rPr>
      </w:pPr>
    </w:p>
    <w:p w14:paraId="25B081CB" w14:textId="7D7A3A52" w:rsidR="007E7677" w:rsidRPr="00B4516C" w:rsidRDefault="007E7677" w:rsidP="007E7677">
      <w:pPr>
        <w:spacing w:line="48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Table 3 shows the antibiogram pattern of tested bacterial isolates, including </w:t>
      </w:r>
      <w:r w:rsidRPr="00B4516C">
        <w:rPr>
          <w:rFonts w:ascii="Times New Roman" w:hAnsi="Times New Roman" w:cs="Times New Roman"/>
          <w:i/>
          <w:iCs/>
          <w:sz w:val="24"/>
          <w:szCs w:val="24"/>
        </w:rPr>
        <w:t>Escherichia coli</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E. coli</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Staphylococcus aureus</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xml:space="preserve">), and </w:t>
      </w:r>
      <w:r w:rsidRPr="00B4516C">
        <w:rPr>
          <w:rFonts w:ascii="Times New Roman" w:hAnsi="Times New Roman" w:cs="Times New Roman"/>
          <w:i/>
          <w:iCs/>
          <w:sz w:val="24"/>
          <w:szCs w:val="24"/>
        </w:rPr>
        <w:t>Pseudomonas aeruginosa</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P. aeruginosa</w:t>
      </w:r>
      <w:r w:rsidRPr="00B4516C">
        <w:rPr>
          <w:rFonts w:ascii="Times New Roman" w:hAnsi="Times New Roman" w:cs="Times New Roman"/>
          <w:sz w:val="24"/>
          <w:szCs w:val="24"/>
        </w:rPr>
        <w:t xml:space="preserve">), against selected antibiotics. Among </w:t>
      </w:r>
      <w:r w:rsidRPr="00B4516C">
        <w:rPr>
          <w:rFonts w:ascii="Times New Roman" w:hAnsi="Times New Roman" w:cs="Times New Roman"/>
          <w:i/>
          <w:iCs/>
          <w:sz w:val="24"/>
          <w:szCs w:val="24"/>
        </w:rPr>
        <w:t>E. coli</w:t>
      </w:r>
      <w:r w:rsidRPr="00B4516C">
        <w:rPr>
          <w:rFonts w:ascii="Times New Roman" w:hAnsi="Times New Roman" w:cs="Times New Roman"/>
          <w:sz w:val="24"/>
          <w:szCs w:val="24"/>
        </w:rPr>
        <w:t xml:space="preserve"> isolates (n = 15), the highest sensitivity was observed with imipenem (73.3%), followed by </w:t>
      </w:r>
      <w:r w:rsidR="006C5E52" w:rsidRPr="00B4516C">
        <w:rPr>
          <w:rFonts w:ascii="Times New Roman" w:hAnsi="Times New Roman" w:cs="Times New Roman"/>
          <w:sz w:val="24"/>
          <w:szCs w:val="24"/>
        </w:rPr>
        <w:t xml:space="preserve">Amoxicillin-clavulanic acid </w:t>
      </w:r>
      <w:r w:rsidRPr="00B4516C">
        <w:rPr>
          <w:rFonts w:ascii="Times New Roman" w:hAnsi="Times New Roman" w:cs="Times New Roman"/>
          <w:sz w:val="24"/>
          <w:szCs w:val="24"/>
        </w:rPr>
        <w:t xml:space="preserve">(60.0%) and erythromycin (53.3%). Conversely, resistance was notably high against oxacillin (86.7%) and ciprofloxacin, cefuroxime, and ceftriaxone (each 53.3%). For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xml:space="preserve"> isolates (n = 13), imipenem exhibited the highest sensitivity (92.3%), followed by cefepime (69.2%) and erythromycin (61.5%). However, oxacillin demonstrated the highest resistance (92.3%), followed by ciprofloxacin and ceftriaxone (each 69.2%). </w:t>
      </w:r>
      <w:r w:rsidRPr="00B4516C">
        <w:rPr>
          <w:rFonts w:ascii="Times New Roman" w:hAnsi="Times New Roman" w:cs="Times New Roman"/>
          <w:i/>
          <w:iCs/>
          <w:sz w:val="24"/>
          <w:szCs w:val="24"/>
        </w:rPr>
        <w:t>P. aeruginosa</w:t>
      </w:r>
      <w:r w:rsidRPr="00B4516C">
        <w:rPr>
          <w:rFonts w:ascii="Times New Roman" w:hAnsi="Times New Roman" w:cs="Times New Roman"/>
          <w:sz w:val="24"/>
          <w:szCs w:val="24"/>
        </w:rPr>
        <w:t xml:space="preserve"> (n = 2) showed complete sensitivity to imipenem and cefepime (100%) but exhibited full resistance to oxacillin and </w:t>
      </w:r>
      <w:r w:rsidR="006C5E52" w:rsidRPr="00B4516C">
        <w:rPr>
          <w:rFonts w:ascii="Times New Roman" w:hAnsi="Times New Roman" w:cs="Times New Roman"/>
          <w:sz w:val="24"/>
          <w:szCs w:val="24"/>
        </w:rPr>
        <w:t xml:space="preserve">Amoxicillin-clavulanic acid </w:t>
      </w:r>
      <w:r w:rsidRPr="00B4516C">
        <w:rPr>
          <w:rFonts w:ascii="Times New Roman" w:hAnsi="Times New Roman" w:cs="Times New Roman"/>
          <w:sz w:val="24"/>
          <w:szCs w:val="24"/>
        </w:rPr>
        <w:t xml:space="preserve">(100%). Ciprofloxacin, cefuroxime, erythromycin, and ceftriaxone demonstrated equal sensitivity and resistance (50%) among </w:t>
      </w:r>
      <w:r w:rsidRPr="00B4516C">
        <w:rPr>
          <w:rFonts w:ascii="Times New Roman" w:hAnsi="Times New Roman" w:cs="Times New Roman"/>
          <w:i/>
          <w:iCs/>
          <w:sz w:val="24"/>
          <w:szCs w:val="24"/>
        </w:rPr>
        <w:t>P. aeruginosa</w:t>
      </w:r>
      <w:r w:rsidRPr="00B4516C">
        <w:rPr>
          <w:rFonts w:ascii="Times New Roman" w:hAnsi="Times New Roman" w:cs="Times New Roman"/>
          <w:sz w:val="24"/>
          <w:szCs w:val="24"/>
        </w:rPr>
        <w:t xml:space="preserve"> isolates.</w:t>
      </w:r>
    </w:p>
    <w:p w14:paraId="11F597F3" w14:textId="421D345B" w:rsidR="007E7677" w:rsidRPr="00B4516C" w:rsidRDefault="007E7677" w:rsidP="007E7677">
      <w:pPr>
        <w:spacing w:line="480" w:lineRule="auto"/>
        <w:jc w:val="both"/>
        <w:rPr>
          <w:rFonts w:ascii="Times New Roman" w:hAnsi="Times New Roman" w:cs="Times New Roman"/>
          <w:sz w:val="24"/>
          <w:szCs w:val="24"/>
        </w:rPr>
      </w:pPr>
    </w:p>
    <w:p w14:paraId="756E5342" w14:textId="77777777" w:rsidR="007E7677" w:rsidRPr="00B4516C" w:rsidRDefault="007E7677" w:rsidP="007E7677">
      <w:pPr>
        <w:spacing w:line="480" w:lineRule="auto"/>
        <w:jc w:val="both"/>
        <w:rPr>
          <w:rFonts w:ascii="Times New Roman" w:hAnsi="Times New Roman" w:cs="Times New Roman"/>
          <w:sz w:val="24"/>
          <w:szCs w:val="24"/>
        </w:rPr>
      </w:pPr>
    </w:p>
    <w:tbl>
      <w:tblPr>
        <w:tblStyle w:val="TableGrid"/>
        <w:tblW w:w="9773" w:type="dxa"/>
        <w:tblInd w:w="-275" w:type="dxa"/>
        <w:tblLayout w:type="fixed"/>
        <w:tblLook w:val="04A0" w:firstRow="1" w:lastRow="0" w:firstColumn="1" w:lastColumn="0" w:noHBand="0" w:noVBand="1"/>
      </w:tblPr>
      <w:tblGrid>
        <w:gridCol w:w="1835"/>
        <w:gridCol w:w="1417"/>
        <w:gridCol w:w="1276"/>
        <w:gridCol w:w="1417"/>
        <w:gridCol w:w="1276"/>
        <w:gridCol w:w="1276"/>
        <w:gridCol w:w="1276"/>
      </w:tblGrid>
      <w:tr w:rsidR="00B4516C" w:rsidRPr="00B4516C" w14:paraId="78279C90" w14:textId="77777777" w:rsidTr="00DA3A3A">
        <w:tc>
          <w:tcPr>
            <w:tcW w:w="9773" w:type="dxa"/>
            <w:gridSpan w:val="7"/>
            <w:tcBorders>
              <w:top w:val="nil"/>
              <w:left w:val="nil"/>
              <w:bottom w:val="single" w:sz="4" w:space="0" w:color="auto"/>
              <w:right w:val="nil"/>
            </w:tcBorders>
          </w:tcPr>
          <w:p w14:paraId="0F101CA5" w14:textId="423F0309" w:rsidR="007E7677" w:rsidRPr="00B4516C" w:rsidRDefault="007E7677" w:rsidP="00DA3A3A">
            <w:pPr>
              <w:spacing w:after="160" w:line="259" w:lineRule="auto"/>
              <w:rPr>
                <w:rFonts w:ascii="Times New Roman" w:hAnsi="Times New Roman" w:cs="Times New Roman"/>
                <w:b/>
                <w:bCs/>
                <w:sz w:val="24"/>
                <w:szCs w:val="24"/>
                <w:lang w:val="en-US"/>
              </w:rPr>
            </w:pPr>
            <w:bookmarkStart w:id="1" w:name="_Hlk180383735"/>
            <w:r w:rsidRPr="00B4516C">
              <w:rPr>
                <w:rFonts w:ascii="Times New Roman" w:hAnsi="Times New Roman" w:cs="Times New Roman"/>
                <w:b/>
                <w:bCs/>
                <w:sz w:val="24"/>
                <w:szCs w:val="24"/>
                <w:lang w:val="en-US"/>
              </w:rPr>
              <w:t xml:space="preserve">Table 3. Antibiogram Pattern of </w:t>
            </w:r>
            <w:bookmarkEnd w:id="1"/>
            <w:r w:rsidRPr="00B4516C">
              <w:rPr>
                <w:rFonts w:ascii="Times New Roman" w:hAnsi="Times New Roman" w:cs="Times New Roman"/>
                <w:b/>
                <w:bCs/>
                <w:sz w:val="24"/>
                <w:szCs w:val="24"/>
                <w:lang w:val="en-US"/>
              </w:rPr>
              <w:t>Antibiotics Against Tested Isolates</w:t>
            </w:r>
            <w:r w:rsidRPr="00B4516C">
              <w:rPr>
                <w:rFonts w:ascii="Times New Roman" w:hAnsi="Times New Roman" w:cs="Times New Roman"/>
                <w:b/>
                <w:bCs/>
                <w:sz w:val="24"/>
                <w:szCs w:val="24"/>
              </w:rPr>
              <w:t>.</w:t>
            </w:r>
          </w:p>
        </w:tc>
      </w:tr>
      <w:tr w:rsidR="00B4516C" w:rsidRPr="00B4516C" w14:paraId="01308B23" w14:textId="77777777" w:rsidTr="00DA3A3A">
        <w:tc>
          <w:tcPr>
            <w:tcW w:w="1835" w:type="dxa"/>
            <w:tcBorders>
              <w:top w:val="single" w:sz="4" w:space="0" w:color="auto"/>
              <w:left w:val="nil"/>
              <w:bottom w:val="nil"/>
              <w:right w:val="nil"/>
            </w:tcBorders>
          </w:tcPr>
          <w:p w14:paraId="22AE2A1D" w14:textId="77777777" w:rsidR="007E7677" w:rsidRPr="00B4516C" w:rsidRDefault="007E7677" w:rsidP="00DA3A3A">
            <w:pPr>
              <w:spacing w:after="160" w:line="259" w:lineRule="auto"/>
              <w:rPr>
                <w:rFonts w:ascii="Times New Roman" w:hAnsi="Times New Roman" w:cs="Times New Roman"/>
                <w:b/>
                <w:bCs/>
                <w:i/>
                <w:iCs/>
                <w:sz w:val="24"/>
                <w:szCs w:val="24"/>
                <w:lang w:val="en-US"/>
              </w:rPr>
            </w:pPr>
          </w:p>
        </w:tc>
        <w:tc>
          <w:tcPr>
            <w:tcW w:w="2693" w:type="dxa"/>
            <w:gridSpan w:val="2"/>
            <w:tcBorders>
              <w:top w:val="single" w:sz="4" w:space="0" w:color="auto"/>
              <w:left w:val="nil"/>
              <w:bottom w:val="single" w:sz="4" w:space="0" w:color="auto"/>
              <w:right w:val="nil"/>
            </w:tcBorders>
          </w:tcPr>
          <w:p w14:paraId="0E92604C" w14:textId="77777777" w:rsidR="007E7677" w:rsidRPr="00B4516C" w:rsidRDefault="007E7677" w:rsidP="00DA3A3A">
            <w:pPr>
              <w:spacing w:after="160" w:line="259" w:lineRule="auto"/>
              <w:jc w:val="center"/>
              <w:rPr>
                <w:rFonts w:ascii="Times New Roman" w:hAnsi="Times New Roman" w:cs="Times New Roman"/>
                <w:b/>
                <w:bCs/>
                <w:i/>
                <w:iCs/>
                <w:sz w:val="24"/>
                <w:szCs w:val="24"/>
                <w:lang w:val="en-US"/>
              </w:rPr>
            </w:pPr>
            <w:r w:rsidRPr="00B4516C">
              <w:rPr>
                <w:rFonts w:ascii="Times New Roman" w:hAnsi="Times New Roman" w:cs="Times New Roman"/>
                <w:b/>
                <w:bCs/>
                <w:i/>
                <w:iCs/>
                <w:sz w:val="24"/>
                <w:szCs w:val="24"/>
                <w:lang w:val="en-US"/>
              </w:rPr>
              <w:t xml:space="preserve">E. coli </w:t>
            </w:r>
            <w:r w:rsidRPr="00B4516C">
              <w:rPr>
                <w:rFonts w:ascii="Times New Roman" w:hAnsi="Times New Roman" w:cs="Times New Roman"/>
                <w:b/>
                <w:bCs/>
                <w:sz w:val="24"/>
                <w:szCs w:val="24"/>
                <w:lang w:val="en-US"/>
              </w:rPr>
              <w:t>(n=15)</w:t>
            </w:r>
          </w:p>
        </w:tc>
        <w:tc>
          <w:tcPr>
            <w:tcW w:w="2693" w:type="dxa"/>
            <w:gridSpan w:val="2"/>
            <w:tcBorders>
              <w:top w:val="single" w:sz="4" w:space="0" w:color="auto"/>
              <w:left w:val="nil"/>
              <w:bottom w:val="single" w:sz="4" w:space="0" w:color="auto"/>
              <w:right w:val="nil"/>
            </w:tcBorders>
          </w:tcPr>
          <w:p w14:paraId="2084FB35" w14:textId="77777777" w:rsidR="007E7677" w:rsidRPr="00B4516C" w:rsidRDefault="007E7677" w:rsidP="00DA3A3A">
            <w:pPr>
              <w:spacing w:after="160" w:line="259" w:lineRule="auto"/>
              <w:jc w:val="center"/>
              <w:rPr>
                <w:rFonts w:ascii="Times New Roman" w:hAnsi="Times New Roman" w:cs="Times New Roman"/>
                <w:b/>
                <w:bCs/>
                <w:sz w:val="24"/>
                <w:szCs w:val="24"/>
                <w:lang w:val="en-US"/>
              </w:rPr>
            </w:pPr>
            <w:r w:rsidRPr="00B4516C">
              <w:rPr>
                <w:rFonts w:ascii="Times New Roman" w:hAnsi="Times New Roman" w:cs="Times New Roman"/>
                <w:b/>
                <w:bCs/>
                <w:i/>
                <w:iCs/>
                <w:sz w:val="24"/>
                <w:szCs w:val="24"/>
                <w:lang w:val="en-US"/>
              </w:rPr>
              <w:t xml:space="preserve">S. aureus </w:t>
            </w:r>
            <w:r w:rsidRPr="00B4516C">
              <w:rPr>
                <w:rFonts w:ascii="Times New Roman" w:hAnsi="Times New Roman" w:cs="Times New Roman"/>
                <w:b/>
                <w:bCs/>
                <w:sz w:val="24"/>
                <w:szCs w:val="24"/>
                <w:lang w:val="en-US"/>
              </w:rPr>
              <w:t>(n=13)</w:t>
            </w:r>
          </w:p>
        </w:tc>
        <w:tc>
          <w:tcPr>
            <w:tcW w:w="2552" w:type="dxa"/>
            <w:gridSpan w:val="2"/>
            <w:tcBorders>
              <w:top w:val="single" w:sz="4" w:space="0" w:color="auto"/>
              <w:left w:val="nil"/>
              <w:bottom w:val="single" w:sz="4" w:space="0" w:color="auto"/>
              <w:right w:val="nil"/>
            </w:tcBorders>
          </w:tcPr>
          <w:p w14:paraId="28A5F18E" w14:textId="77777777" w:rsidR="007E7677" w:rsidRPr="00B4516C" w:rsidRDefault="007E7677" w:rsidP="00DA3A3A">
            <w:pPr>
              <w:spacing w:after="160" w:line="259" w:lineRule="auto"/>
              <w:jc w:val="center"/>
              <w:rPr>
                <w:rFonts w:ascii="Times New Roman" w:hAnsi="Times New Roman" w:cs="Times New Roman"/>
                <w:b/>
                <w:bCs/>
                <w:i/>
                <w:iCs/>
                <w:sz w:val="24"/>
                <w:szCs w:val="24"/>
                <w:lang w:val="en-US"/>
              </w:rPr>
            </w:pPr>
            <w:r w:rsidRPr="00B4516C">
              <w:rPr>
                <w:rFonts w:ascii="Times New Roman" w:hAnsi="Times New Roman" w:cs="Times New Roman"/>
                <w:b/>
                <w:bCs/>
                <w:i/>
                <w:iCs/>
                <w:sz w:val="24"/>
                <w:szCs w:val="24"/>
                <w:lang w:val="en-US"/>
              </w:rPr>
              <w:t xml:space="preserve">P. aeruginosa </w:t>
            </w:r>
            <w:r w:rsidRPr="00B4516C">
              <w:rPr>
                <w:rFonts w:ascii="Times New Roman" w:hAnsi="Times New Roman" w:cs="Times New Roman"/>
                <w:b/>
                <w:bCs/>
                <w:sz w:val="24"/>
                <w:szCs w:val="24"/>
                <w:lang w:val="en-US"/>
              </w:rPr>
              <w:t>(n=2)</w:t>
            </w:r>
          </w:p>
        </w:tc>
      </w:tr>
      <w:tr w:rsidR="00B4516C" w:rsidRPr="00B4516C" w14:paraId="09ECA0E3" w14:textId="77777777" w:rsidTr="00DA3A3A">
        <w:tc>
          <w:tcPr>
            <w:tcW w:w="1835" w:type="dxa"/>
            <w:tcBorders>
              <w:top w:val="nil"/>
              <w:left w:val="nil"/>
              <w:bottom w:val="single" w:sz="4" w:space="0" w:color="auto"/>
              <w:right w:val="nil"/>
            </w:tcBorders>
          </w:tcPr>
          <w:p w14:paraId="3E567A2F" w14:textId="77777777" w:rsidR="007E7677" w:rsidRPr="00B4516C" w:rsidRDefault="007E7677" w:rsidP="00DA3A3A">
            <w:pPr>
              <w:spacing w:after="160" w:line="259" w:lineRule="auto"/>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Antibiotics</w:t>
            </w:r>
          </w:p>
        </w:tc>
        <w:tc>
          <w:tcPr>
            <w:tcW w:w="1417" w:type="dxa"/>
            <w:tcBorders>
              <w:top w:val="nil"/>
              <w:left w:val="nil"/>
              <w:bottom w:val="single" w:sz="4" w:space="0" w:color="auto"/>
              <w:right w:val="nil"/>
            </w:tcBorders>
          </w:tcPr>
          <w:p w14:paraId="169A26F5" w14:textId="77777777" w:rsidR="007E7677" w:rsidRPr="00B4516C" w:rsidRDefault="007E7677" w:rsidP="00DA3A3A">
            <w:pPr>
              <w:spacing w:after="160" w:line="259" w:lineRule="auto"/>
              <w:jc w:val="center"/>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S (%)</w:t>
            </w:r>
          </w:p>
        </w:tc>
        <w:tc>
          <w:tcPr>
            <w:tcW w:w="1276" w:type="dxa"/>
            <w:tcBorders>
              <w:top w:val="nil"/>
              <w:left w:val="nil"/>
              <w:bottom w:val="single" w:sz="4" w:space="0" w:color="auto"/>
              <w:right w:val="nil"/>
            </w:tcBorders>
          </w:tcPr>
          <w:p w14:paraId="32D547B1" w14:textId="77777777" w:rsidR="007E7677" w:rsidRPr="00B4516C" w:rsidRDefault="007E7677" w:rsidP="00DA3A3A">
            <w:pPr>
              <w:spacing w:after="160" w:line="259" w:lineRule="auto"/>
              <w:jc w:val="center"/>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R (%)</w:t>
            </w:r>
          </w:p>
        </w:tc>
        <w:tc>
          <w:tcPr>
            <w:tcW w:w="1417" w:type="dxa"/>
            <w:tcBorders>
              <w:top w:val="nil"/>
              <w:left w:val="nil"/>
              <w:bottom w:val="single" w:sz="4" w:space="0" w:color="auto"/>
              <w:right w:val="nil"/>
            </w:tcBorders>
          </w:tcPr>
          <w:p w14:paraId="3B2C1E1A" w14:textId="77777777" w:rsidR="007E7677" w:rsidRPr="00B4516C" w:rsidRDefault="007E7677" w:rsidP="00DA3A3A">
            <w:pPr>
              <w:spacing w:after="160" w:line="259" w:lineRule="auto"/>
              <w:jc w:val="center"/>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S (%)</w:t>
            </w:r>
          </w:p>
        </w:tc>
        <w:tc>
          <w:tcPr>
            <w:tcW w:w="1276" w:type="dxa"/>
            <w:tcBorders>
              <w:top w:val="nil"/>
              <w:left w:val="nil"/>
              <w:bottom w:val="single" w:sz="4" w:space="0" w:color="auto"/>
              <w:right w:val="nil"/>
            </w:tcBorders>
          </w:tcPr>
          <w:p w14:paraId="268BAC41" w14:textId="77777777" w:rsidR="007E7677" w:rsidRPr="00B4516C" w:rsidRDefault="007E7677" w:rsidP="00DA3A3A">
            <w:pPr>
              <w:spacing w:after="160" w:line="259" w:lineRule="auto"/>
              <w:jc w:val="center"/>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R (%)</w:t>
            </w:r>
          </w:p>
        </w:tc>
        <w:tc>
          <w:tcPr>
            <w:tcW w:w="1276" w:type="dxa"/>
            <w:tcBorders>
              <w:top w:val="nil"/>
              <w:left w:val="nil"/>
              <w:bottom w:val="single" w:sz="4" w:space="0" w:color="auto"/>
              <w:right w:val="nil"/>
            </w:tcBorders>
          </w:tcPr>
          <w:p w14:paraId="575C072A" w14:textId="77777777" w:rsidR="007E7677" w:rsidRPr="00B4516C" w:rsidRDefault="007E7677" w:rsidP="00DA3A3A">
            <w:pPr>
              <w:spacing w:after="160" w:line="259" w:lineRule="auto"/>
              <w:jc w:val="center"/>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S (%)</w:t>
            </w:r>
          </w:p>
        </w:tc>
        <w:tc>
          <w:tcPr>
            <w:tcW w:w="1276" w:type="dxa"/>
            <w:tcBorders>
              <w:top w:val="nil"/>
              <w:left w:val="nil"/>
              <w:bottom w:val="single" w:sz="4" w:space="0" w:color="auto"/>
              <w:right w:val="nil"/>
            </w:tcBorders>
          </w:tcPr>
          <w:p w14:paraId="008BB007" w14:textId="77777777" w:rsidR="007E7677" w:rsidRPr="00B4516C" w:rsidRDefault="007E7677" w:rsidP="00DA3A3A">
            <w:pPr>
              <w:spacing w:after="160" w:line="259" w:lineRule="auto"/>
              <w:jc w:val="center"/>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R (%)</w:t>
            </w:r>
          </w:p>
        </w:tc>
      </w:tr>
      <w:tr w:rsidR="00B4516C" w:rsidRPr="00B4516C" w14:paraId="64FDB5B8" w14:textId="77777777" w:rsidTr="00DA3A3A">
        <w:tc>
          <w:tcPr>
            <w:tcW w:w="1835" w:type="dxa"/>
            <w:tcBorders>
              <w:top w:val="single" w:sz="4" w:space="0" w:color="auto"/>
              <w:left w:val="nil"/>
              <w:bottom w:val="nil"/>
              <w:right w:val="nil"/>
            </w:tcBorders>
          </w:tcPr>
          <w:p w14:paraId="55E4DB9D" w14:textId="77777777" w:rsidR="007E7677" w:rsidRPr="00B4516C" w:rsidRDefault="007E7677" w:rsidP="00DA3A3A">
            <w:pPr>
              <w:spacing w:after="160" w:line="480" w:lineRule="auto"/>
              <w:contextualSpacing/>
              <w:rPr>
                <w:rFonts w:ascii="Times New Roman" w:hAnsi="Times New Roman" w:cs="Times New Roman"/>
                <w:sz w:val="24"/>
                <w:szCs w:val="24"/>
                <w:lang w:val="en-US"/>
              </w:rPr>
            </w:pPr>
            <w:r w:rsidRPr="00B4516C">
              <w:rPr>
                <w:rFonts w:ascii="Times New Roman" w:hAnsi="Times New Roman" w:cs="Times New Roman"/>
                <w:sz w:val="24"/>
                <w:szCs w:val="24"/>
                <w:lang w:val="en-US"/>
              </w:rPr>
              <w:t>Ciprofloxacin</w:t>
            </w:r>
          </w:p>
        </w:tc>
        <w:tc>
          <w:tcPr>
            <w:tcW w:w="1417" w:type="dxa"/>
            <w:tcBorders>
              <w:top w:val="single" w:sz="4" w:space="0" w:color="auto"/>
              <w:left w:val="nil"/>
              <w:bottom w:val="nil"/>
              <w:right w:val="nil"/>
            </w:tcBorders>
          </w:tcPr>
          <w:p w14:paraId="47C9EF63" w14:textId="77777777" w:rsidR="007E7677" w:rsidRPr="00B4516C" w:rsidRDefault="007E7677" w:rsidP="00DA3A3A">
            <w:pPr>
              <w:spacing w:after="160"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7 (46.7%)</w:t>
            </w:r>
          </w:p>
        </w:tc>
        <w:tc>
          <w:tcPr>
            <w:tcW w:w="1276" w:type="dxa"/>
            <w:tcBorders>
              <w:top w:val="single" w:sz="4" w:space="0" w:color="auto"/>
              <w:left w:val="nil"/>
              <w:bottom w:val="nil"/>
              <w:right w:val="nil"/>
            </w:tcBorders>
          </w:tcPr>
          <w:p w14:paraId="28F186ED" w14:textId="77777777" w:rsidR="007E7677" w:rsidRPr="00B4516C" w:rsidRDefault="007E7677" w:rsidP="00DA3A3A">
            <w:pPr>
              <w:spacing w:after="160"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8 (53.3%) </w:t>
            </w:r>
          </w:p>
        </w:tc>
        <w:tc>
          <w:tcPr>
            <w:tcW w:w="1417" w:type="dxa"/>
            <w:tcBorders>
              <w:top w:val="single" w:sz="4" w:space="0" w:color="auto"/>
              <w:left w:val="nil"/>
              <w:bottom w:val="nil"/>
              <w:right w:val="nil"/>
            </w:tcBorders>
          </w:tcPr>
          <w:p w14:paraId="54D20365" w14:textId="77777777" w:rsidR="007E7677" w:rsidRPr="00B4516C" w:rsidRDefault="007E7677" w:rsidP="00DA3A3A">
            <w:pPr>
              <w:spacing w:after="160"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4 (30.8 %)</w:t>
            </w:r>
          </w:p>
        </w:tc>
        <w:tc>
          <w:tcPr>
            <w:tcW w:w="1276" w:type="dxa"/>
            <w:tcBorders>
              <w:top w:val="single" w:sz="4" w:space="0" w:color="auto"/>
              <w:left w:val="nil"/>
              <w:bottom w:val="nil"/>
              <w:right w:val="nil"/>
            </w:tcBorders>
          </w:tcPr>
          <w:p w14:paraId="17D9169B" w14:textId="77777777" w:rsidR="007E7677" w:rsidRPr="00B4516C" w:rsidRDefault="007E7677" w:rsidP="00DA3A3A">
            <w:pPr>
              <w:spacing w:after="160"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9 (69.2%)</w:t>
            </w:r>
          </w:p>
        </w:tc>
        <w:tc>
          <w:tcPr>
            <w:tcW w:w="1276" w:type="dxa"/>
            <w:tcBorders>
              <w:top w:val="single" w:sz="4" w:space="0" w:color="auto"/>
              <w:left w:val="nil"/>
              <w:bottom w:val="nil"/>
              <w:right w:val="nil"/>
            </w:tcBorders>
          </w:tcPr>
          <w:p w14:paraId="7E44F4C6" w14:textId="77777777" w:rsidR="007E7677" w:rsidRPr="00B4516C" w:rsidRDefault="007E7677" w:rsidP="00DA3A3A">
            <w:pPr>
              <w:spacing w:after="160"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(50 %)</w:t>
            </w:r>
          </w:p>
        </w:tc>
        <w:tc>
          <w:tcPr>
            <w:tcW w:w="1276" w:type="dxa"/>
            <w:tcBorders>
              <w:top w:val="single" w:sz="4" w:space="0" w:color="auto"/>
              <w:left w:val="nil"/>
              <w:bottom w:val="nil"/>
              <w:right w:val="nil"/>
            </w:tcBorders>
          </w:tcPr>
          <w:p w14:paraId="366F402C" w14:textId="77777777" w:rsidR="007E7677" w:rsidRPr="00B4516C" w:rsidRDefault="007E7677" w:rsidP="00DA3A3A">
            <w:pPr>
              <w:spacing w:after="160"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(50%)</w:t>
            </w:r>
          </w:p>
        </w:tc>
      </w:tr>
      <w:tr w:rsidR="00B4516C" w:rsidRPr="00B4516C" w14:paraId="1A419285" w14:textId="77777777" w:rsidTr="00DA3A3A">
        <w:tc>
          <w:tcPr>
            <w:tcW w:w="1835" w:type="dxa"/>
            <w:tcBorders>
              <w:top w:val="nil"/>
              <w:left w:val="nil"/>
              <w:bottom w:val="nil"/>
              <w:right w:val="nil"/>
            </w:tcBorders>
          </w:tcPr>
          <w:p w14:paraId="74313699" w14:textId="77777777" w:rsidR="007E7677" w:rsidRPr="00B4516C" w:rsidRDefault="007E7677" w:rsidP="00DA3A3A">
            <w:pPr>
              <w:spacing w:line="480" w:lineRule="auto"/>
              <w:contextualSpacing/>
              <w:rPr>
                <w:rFonts w:ascii="Times New Roman" w:hAnsi="Times New Roman" w:cs="Times New Roman"/>
                <w:sz w:val="24"/>
                <w:szCs w:val="24"/>
                <w:lang w:val="en-US"/>
              </w:rPr>
            </w:pPr>
            <w:r w:rsidRPr="00B4516C">
              <w:rPr>
                <w:rFonts w:ascii="Times New Roman" w:eastAsia="Calibri" w:hAnsi="Times New Roman"/>
                <w:sz w:val="24"/>
                <w:szCs w:val="24"/>
              </w:rPr>
              <w:t>Cefuroxime</w:t>
            </w:r>
          </w:p>
        </w:tc>
        <w:tc>
          <w:tcPr>
            <w:tcW w:w="1417" w:type="dxa"/>
            <w:tcBorders>
              <w:top w:val="nil"/>
              <w:left w:val="nil"/>
              <w:bottom w:val="nil"/>
              <w:right w:val="nil"/>
            </w:tcBorders>
          </w:tcPr>
          <w:p w14:paraId="1F0874DC"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7 (46.7%)</w:t>
            </w:r>
          </w:p>
        </w:tc>
        <w:tc>
          <w:tcPr>
            <w:tcW w:w="1276" w:type="dxa"/>
            <w:tcBorders>
              <w:top w:val="nil"/>
              <w:left w:val="nil"/>
              <w:bottom w:val="nil"/>
              <w:right w:val="nil"/>
            </w:tcBorders>
          </w:tcPr>
          <w:p w14:paraId="2277D758"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8 (53.3%) </w:t>
            </w:r>
          </w:p>
        </w:tc>
        <w:tc>
          <w:tcPr>
            <w:tcW w:w="1417" w:type="dxa"/>
            <w:tcBorders>
              <w:top w:val="nil"/>
              <w:left w:val="nil"/>
              <w:bottom w:val="nil"/>
              <w:right w:val="nil"/>
            </w:tcBorders>
          </w:tcPr>
          <w:p w14:paraId="6A8D0004"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5 (38.5 %)</w:t>
            </w:r>
          </w:p>
        </w:tc>
        <w:tc>
          <w:tcPr>
            <w:tcW w:w="1276" w:type="dxa"/>
            <w:tcBorders>
              <w:top w:val="nil"/>
              <w:left w:val="nil"/>
              <w:bottom w:val="nil"/>
              <w:right w:val="nil"/>
            </w:tcBorders>
          </w:tcPr>
          <w:p w14:paraId="3E468A5F"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8 (61.5%)</w:t>
            </w:r>
          </w:p>
        </w:tc>
        <w:tc>
          <w:tcPr>
            <w:tcW w:w="1276" w:type="dxa"/>
            <w:tcBorders>
              <w:top w:val="nil"/>
              <w:left w:val="nil"/>
              <w:bottom w:val="nil"/>
              <w:right w:val="nil"/>
            </w:tcBorders>
          </w:tcPr>
          <w:p w14:paraId="33372E16"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(50 %)</w:t>
            </w:r>
          </w:p>
        </w:tc>
        <w:tc>
          <w:tcPr>
            <w:tcW w:w="1276" w:type="dxa"/>
            <w:tcBorders>
              <w:top w:val="nil"/>
              <w:left w:val="nil"/>
              <w:bottom w:val="nil"/>
              <w:right w:val="nil"/>
            </w:tcBorders>
          </w:tcPr>
          <w:p w14:paraId="66EFD815"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(50%)</w:t>
            </w:r>
          </w:p>
        </w:tc>
      </w:tr>
      <w:tr w:rsidR="00B4516C" w:rsidRPr="00B4516C" w14:paraId="19BC33E9" w14:textId="77777777" w:rsidTr="00DA3A3A">
        <w:tc>
          <w:tcPr>
            <w:tcW w:w="1835" w:type="dxa"/>
            <w:tcBorders>
              <w:top w:val="nil"/>
              <w:left w:val="nil"/>
              <w:bottom w:val="nil"/>
              <w:right w:val="nil"/>
            </w:tcBorders>
          </w:tcPr>
          <w:p w14:paraId="609EB994" w14:textId="77777777" w:rsidR="007E7677" w:rsidRPr="00B4516C" w:rsidRDefault="007E7677" w:rsidP="00DA3A3A">
            <w:pPr>
              <w:spacing w:line="480" w:lineRule="auto"/>
              <w:contextualSpacing/>
              <w:rPr>
                <w:rFonts w:ascii="Times New Roman" w:hAnsi="Times New Roman" w:cs="Times New Roman"/>
                <w:sz w:val="24"/>
                <w:szCs w:val="24"/>
                <w:lang w:val="en-US"/>
              </w:rPr>
            </w:pPr>
            <w:r w:rsidRPr="00B4516C">
              <w:rPr>
                <w:rFonts w:ascii="Times New Roman" w:eastAsia="Calibri" w:hAnsi="Times New Roman"/>
                <w:sz w:val="24"/>
                <w:szCs w:val="24"/>
              </w:rPr>
              <w:t>Oxacillin</w:t>
            </w:r>
          </w:p>
        </w:tc>
        <w:tc>
          <w:tcPr>
            <w:tcW w:w="1417" w:type="dxa"/>
            <w:tcBorders>
              <w:top w:val="nil"/>
              <w:left w:val="nil"/>
              <w:bottom w:val="nil"/>
              <w:right w:val="nil"/>
            </w:tcBorders>
          </w:tcPr>
          <w:p w14:paraId="4442449F"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2(13.3 %)</w:t>
            </w:r>
          </w:p>
        </w:tc>
        <w:tc>
          <w:tcPr>
            <w:tcW w:w="1276" w:type="dxa"/>
            <w:tcBorders>
              <w:top w:val="nil"/>
              <w:left w:val="nil"/>
              <w:bottom w:val="nil"/>
              <w:right w:val="nil"/>
            </w:tcBorders>
          </w:tcPr>
          <w:p w14:paraId="3D4F6A25"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13(86.7%) </w:t>
            </w:r>
          </w:p>
        </w:tc>
        <w:tc>
          <w:tcPr>
            <w:tcW w:w="1417" w:type="dxa"/>
            <w:tcBorders>
              <w:top w:val="nil"/>
              <w:left w:val="nil"/>
              <w:bottom w:val="nil"/>
              <w:right w:val="nil"/>
            </w:tcBorders>
          </w:tcPr>
          <w:p w14:paraId="2AA7D3E0"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1(7.7 %)</w:t>
            </w:r>
          </w:p>
        </w:tc>
        <w:tc>
          <w:tcPr>
            <w:tcW w:w="1276" w:type="dxa"/>
            <w:tcBorders>
              <w:top w:val="nil"/>
              <w:left w:val="nil"/>
              <w:bottom w:val="nil"/>
              <w:right w:val="nil"/>
            </w:tcBorders>
          </w:tcPr>
          <w:p w14:paraId="03780854"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12(92.3%)</w:t>
            </w:r>
          </w:p>
        </w:tc>
        <w:tc>
          <w:tcPr>
            <w:tcW w:w="1276" w:type="dxa"/>
            <w:tcBorders>
              <w:top w:val="nil"/>
              <w:left w:val="nil"/>
              <w:bottom w:val="nil"/>
              <w:right w:val="nil"/>
            </w:tcBorders>
          </w:tcPr>
          <w:p w14:paraId="2EE42ABA"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0 (0%)</w:t>
            </w:r>
          </w:p>
        </w:tc>
        <w:tc>
          <w:tcPr>
            <w:tcW w:w="1276" w:type="dxa"/>
            <w:tcBorders>
              <w:top w:val="nil"/>
              <w:left w:val="nil"/>
              <w:bottom w:val="nil"/>
              <w:right w:val="nil"/>
            </w:tcBorders>
          </w:tcPr>
          <w:p w14:paraId="0247DB7E"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2 (100%)</w:t>
            </w:r>
          </w:p>
        </w:tc>
      </w:tr>
      <w:tr w:rsidR="00B4516C" w:rsidRPr="00B4516C" w14:paraId="33ED9BD7" w14:textId="77777777" w:rsidTr="00DA3A3A">
        <w:tc>
          <w:tcPr>
            <w:tcW w:w="1835" w:type="dxa"/>
            <w:tcBorders>
              <w:top w:val="nil"/>
              <w:left w:val="nil"/>
              <w:bottom w:val="nil"/>
              <w:right w:val="nil"/>
            </w:tcBorders>
          </w:tcPr>
          <w:p w14:paraId="642041E5" w14:textId="15207F40" w:rsidR="007E7677" w:rsidRPr="00B4516C" w:rsidRDefault="006C5E52" w:rsidP="00DA3A3A">
            <w:pPr>
              <w:spacing w:line="480" w:lineRule="auto"/>
              <w:contextualSpacing/>
              <w:rPr>
                <w:rFonts w:ascii="Times New Roman" w:hAnsi="Times New Roman" w:cs="Times New Roman"/>
                <w:sz w:val="24"/>
                <w:szCs w:val="24"/>
                <w:lang w:val="en-US"/>
              </w:rPr>
            </w:pPr>
            <w:r w:rsidRPr="00B4516C">
              <w:rPr>
                <w:rFonts w:ascii="Times New Roman" w:hAnsi="Times New Roman" w:cs="Times New Roman"/>
                <w:sz w:val="24"/>
                <w:szCs w:val="24"/>
              </w:rPr>
              <w:t>Amoxicillin-clavulanic acid</w:t>
            </w:r>
          </w:p>
        </w:tc>
        <w:tc>
          <w:tcPr>
            <w:tcW w:w="1417" w:type="dxa"/>
            <w:tcBorders>
              <w:top w:val="nil"/>
              <w:left w:val="nil"/>
              <w:bottom w:val="nil"/>
              <w:right w:val="nil"/>
            </w:tcBorders>
          </w:tcPr>
          <w:p w14:paraId="448CCD47"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9 (60.0 %)</w:t>
            </w:r>
          </w:p>
        </w:tc>
        <w:tc>
          <w:tcPr>
            <w:tcW w:w="1276" w:type="dxa"/>
            <w:tcBorders>
              <w:top w:val="nil"/>
              <w:left w:val="nil"/>
              <w:bottom w:val="nil"/>
              <w:right w:val="nil"/>
            </w:tcBorders>
          </w:tcPr>
          <w:p w14:paraId="68ABE386"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6 (40.0 %) </w:t>
            </w:r>
          </w:p>
        </w:tc>
        <w:tc>
          <w:tcPr>
            <w:tcW w:w="1417" w:type="dxa"/>
            <w:tcBorders>
              <w:top w:val="nil"/>
              <w:left w:val="nil"/>
              <w:bottom w:val="nil"/>
              <w:right w:val="nil"/>
            </w:tcBorders>
          </w:tcPr>
          <w:p w14:paraId="25447781"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7 (53.8%)</w:t>
            </w:r>
          </w:p>
        </w:tc>
        <w:tc>
          <w:tcPr>
            <w:tcW w:w="1276" w:type="dxa"/>
            <w:tcBorders>
              <w:top w:val="nil"/>
              <w:left w:val="nil"/>
              <w:bottom w:val="nil"/>
              <w:right w:val="nil"/>
            </w:tcBorders>
          </w:tcPr>
          <w:p w14:paraId="4EA951F3"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6 (46.2%)</w:t>
            </w:r>
          </w:p>
        </w:tc>
        <w:tc>
          <w:tcPr>
            <w:tcW w:w="1276" w:type="dxa"/>
            <w:tcBorders>
              <w:top w:val="nil"/>
              <w:left w:val="nil"/>
              <w:bottom w:val="nil"/>
              <w:right w:val="nil"/>
            </w:tcBorders>
          </w:tcPr>
          <w:p w14:paraId="50B9B90F"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0 (0%)</w:t>
            </w:r>
          </w:p>
        </w:tc>
        <w:tc>
          <w:tcPr>
            <w:tcW w:w="1276" w:type="dxa"/>
            <w:tcBorders>
              <w:top w:val="nil"/>
              <w:left w:val="nil"/>
              <w:bottom w:val="nil"/>
              <w:right w:val="nil"/>
            </w:tcBorders>
          </w:tcPr>
          <w:p w14:paraId="7FFD4FDC"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2 (100%)</w:t>
            </w:r>
          </w:p>
        </w:tc>
      </w:tr>
      <w:tr w:rsidR="00B4516C" w:rsidRPr="00B4516C" w14:paraId="64AFC915" w14:textId="77777777" w:rsidTr="00DA3A3A">
        <w:tc>
          <w:tcPr>
            <w:tcW w:w="1835" w:type="dxa"/>
            <w:tcBorders>
              <w:top w:val="nil"/>
              <w:left w:val="nil"/>
              <w:bottom w:val="nil"/>
              <w:right w:val="nil"/>
            </w:tcBorders>
          </w:tcPr>
          <w:p w14:paraId="3D8056C1" w14:textId="77777777" w:rsidR="007E7677" w:rsidRPr="00B4516C" w:rsidRDefault="007E7677" w:rsidP="00DA3A3A">
            <w:pPr>
              <w:spacing w:line="480" w:lineRule="auto"/>
              <w:contextualSpacing/>
              <w:rPr>
                <w:rFonts w:ascii="Times New Roman" w:hAnsi="Times New Roman" w:cs="Times New Roman"/>
                <w:sz w:val="24"/>
                <w:szCs w:val="24"/>
                <w:lang w:val="en-US"/>
              </w:rPr>
            </w:pPr>
            <w:r w:rsidRPr="00B4516C">
              <w:rPr>
                <w:rFonts w:ascii="Times New Roman" w:hAnsi="Times New Roman"/>
                <w:sz w:val="24"/>
                <w:szCs w:val="24"/>
              </w:rPr>
              <w:t>Erythromycin</w:t>
            </w:r>
          </w:p>
        </w:tc>
        <w:tc>
          <w:tcPr>
            <w:tcW w:w="1417" w:type="dxa"/>
            <w:tcBorders>
              <w:top w:val="nil"/>
              <w:left w:val="nil"/>
              <w:bottom w:val="nil"/>
              <w:right w:val="nil"/>
            </w:tcBorders>
          </w:tcPr>
          <w:p w14:paraId="7F8D072C"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8 (53.3%)</w:t>
            </w:r>
          </w:p>
        </w:tc>
        <w:tc>
          <w:tcPr>
            <w:tcW w:w="1276" w:type="dxa"/>
            <w:tcBorders>
              <w:top w:val="nil"/>
              <w:left w:val="nil"/>
              <w:bottom w:val="nil"/>
              <w:right w:val="nil"/>
            </w:tcBorders>
          </w:tcPr>
          <w:p w14:paraId="605913C0"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7 (46.7 %) </w:t>
            </w:r>
          </w:p>
        </w:tc>
        <w:tc>
          <w:tcPr>
            <w:tcW w:w="1417" w:type="dxa"/>
            <w:tcBorders>
              <w:top w:val="nil"/>
              <w:left w:val="nil"/>
              <w:bottom w:val="nil"/>
              <w:right w:val="nil"/>
            </w:tcBorders>
          </w:tcPr>
          <w:p w14:paraId="545794D3"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8 (61.5%)</w:t>
            </w:r>
          </w:p>
        </w:tc>
        <w:tc>
          <w:tcPr>
            <w:tcW w:w="1276" w:type="dxa"/>
            <w:tcBorders>
              <w:top w:val="nil"/>
              <w:left w:val="nil"/>
              <w:bottom w:val="nil"/>
              <w:right w:val="nil"/>
            </w:tcBorders>
          </w:tcPr>
          <w:p w14:paraId="3EF547F5"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5 (38.5%)</w:t>
            </w:r>
          </w:p>
        </w:tc>
        <w:tc>
          <w:tcPr>
            <w:tcW w:w="1276" w:type="dxa"/>
            <w:tcBorders>
              <w:top w:val="nil"/>
              <w:left w:val="nil"/>
              <w:bottom w:val="nil"/>
              <w:right w:val="nil"/>
            </w:tcBorders>
          </w:tcPr>
          <w:p w14:paraId="62D64BA8"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(50.0%)</w:t>
            </w:r>
          </w:p>
        </w:tc>
        <w:tc>
          <w:tcPr>
            <w:tcW w:w="1276" w:type="dxa"/>
            <w:tcBorders>
              <w:top w:val="nil"/>
              <w:left w:val="nil"/>
              <w:bottom w:val="nil"/>
              <w:right w:val="nil"/>
            </w:tcBorders>
          </w:tcPr>
          <w:p w14:paraId="52215B13"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(50.0%)</w:t>
            </w:r>
          </w:p>
        </w:tc>
      </w:tr>
      <w:tr w:rsidR="00B4516C" w:rsidRPr="00B4516C" w14:paraId="2E3C9F33" w14:textId="77777777" w:rsidTr="00DA3A3A">
        <w:tc>
          <w:tcPr>
            <w:tcW w:w="1835" w:type="dxa"/>
            <w:tcBorders>
              <w:top w:val="nil"/>
              <w:left w:val="nil"/>
              <w:bottom w:val="nil"/>
              <w:right w:val="nil"/>
            </w:tcBorders>
          </w:tcPr>
          <w:p w14:paraId="46C21B05" w14:textId="77777777" w:rsidR="007E7677" w:rsidRPr="00B4516C" w:rsidRDefault="007E7677" w:rsidP="00DA3A3A">
            <w:pPr>
              <w:spacing w:line="480" w:lineRule="auto"/>
              <w:contextualSpacing/>
              <w:rPr>
                <w:rFonts w:ascii="Times New Roman" w:hAnsi="Times New Roman" w:cs="Times New Roman"/>
                <w:sz w:val="24"/>
                <w:szCs w:val="24"/>
                <w:lang w:val="en-US"/>
              </w:rPr>
            </w:pPr>
            <w:r w:rsidRPr="00B4516C">
              <w:rPr>
                <w:rFonts w:ascii="Times New Roman" w:hAnsi="Times New Roman"/>
                <w:sz w:val="24"/>
                <w:szCs w:val="24"/>
              </w:rPr>
              <w:t>Imipenem</w:t>
            </w:r>
          </w:p>
        </w:tc>
        <w:tc>
          <w:tcPr>
            <w:tcW w:w="1417" w:type="dxa"/>
            <w:tcBorders>
              <w:top w:val="nil"/>
              <w:left w:val="nil"/>
              <w:bottom w:val="nil"/>
              <w:right w:val="nil"/>
            </w:tcBorders>
          </w:tcPr>
          <w:p w14:paraId="1F937A57"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11 (73.3%)</w:t>
            </w:r>
          </w:p>
        </w:tc>
        <w:tc>
          <w:tcPr>
            <w:tcW w:w="1276" w:type="dxa"/>
            <w:tcBorders>
              <w:top w:val="nil"/>
              <w:left w:val="nil"/>
              <w:bottom w:val="nil"/>
              <w:right w:val="nil"/>
            </w:tcBorders>
          </w:tcPr>
          <w:p w14:paraId="77C9282E"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4 (26.7 %) </w:t>
            </w:r>
          </w:p>
        </w:tc>
        <w:tc>
          <w:tcPr>
            <w:tcW w:w="1417" w:type="dxa"/>
            <w:tcBorders>
              <w:top w:val="nil"/>
              <w:left w:val="nil"/>
              <w:bottom w:val="nil"/>
              <w:right w:val="nil"/>
            </w:tcBorders>
          </w:tcPr>
          <w:p w14:paraId="7B175EF9"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12 (92.3%)</w:t>
            </w:r>
          </w:p>
        </w:tc>
        <w:tc>
          <w:tcPr>
            <w:tcW w:w="1276" w:type="dxa"/>
            <w:tcBorders>
              <w:top w:val="nil"/>
              <w:left w:val="nil"/>
              <w:bottom w:val="nil"/>
              <w:right w:val="nil"/>
            </w:tcBorders>
          </w:tcPr>
          <w:p w14:paraId="4AA376CF"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(7.7 %)</w:t>
            </w:r>
          </w:p>
        </w:tc>
        <w:tc>
          <w:tcPr>
            <w:tcW w:w="1276" w:type="dxa"/>
            <w:tcBorders>
              <w:top w:val="nil"/>
              <w:left w:val="nil"/>
              <w:bottom w:val="nil"/>
              <w:right w:val="nil"/>
            </w:tcBorders>
          </w:tcPr>
          <w:p w14:paraId="7C11C2E1"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2 (100%)</w:t>
            </w:r>
          </w:p>
        </w:tc>
        <w:tc>
          <w:tcPr>
            <w:tcW w:w="1276" w:type="dxa"/>
            <w:tcBorders>
              <w:top w:val="nil"/>
              <w:left w:val="nil"/>
              <w:bottom w:val="nil"/>
              <w:right w:val="nil"/>
            </w:tcBorders>
          </w:tcPr>
          <w:p w14:paraId="506E3037"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0 (0%)</w:t>
            </w:r>
          </w:p>
        </w:tc>
      </w:tr>
      <w:tr w:rsidR="00B4516C" w:rsidRPr="00B4516C" w14:paraId="6BF25049" w14:textId="77777777" w:rsidTr="00DA3A3A">
        <w:tc>
          <w:tcPr>
            <w:tcW w:w="1835" w:type="dxa"/>
            <w:tcBorders>
              <w:top w:val="nil"/>
              <w:left w:val="nil"/>
              <w:bottom w:val="nil"/>
              <w:right w:val="nil"/>
            </w:tcBorders>
          </w:tcPr>
          <w:p w14:paraId="66B42C9C" w14:textId="77777777" w:rsidR="007E7677" w:rsidRPr="00B4516C" w:rsidRDefault="007E7677" w:rsidP="00DA3A3A">
            <w:pPr>
              <w:spacing w:line="480" w:lineRule="auto"/>
              <w:contextualSpacing/>
              <w:rPr>
                <w:rFonts w:ascii="Times New Roman" w:hAnsi="Times New Roman" w:cs="Times New Roman"/>
                <w:sz w:val="24"/>
                <w:szCs w:val="24"/>
                <w:lang w:val="en-US"/>
              </w:rPr>
            </w:pPr>
            <w:r w:rsidRPr="00B4516C">
              <w:rPr>
                <w:rFonts w:ascii="Times New Roman" w:hAnsi="Times New Roman"/>
                <w:sz w:val="24"/>
                <w:szCs w:val="24"/>
              </w:rPr>
              <w:t>Ceftriaxone</w:t>
            </w:r>
          </w:p>
        </w:tc>
        <w:tc>
          <w:tcPr>
            <w:tcW w:w="1417" w:type="dxa"/>
            <w:tcBorders>
              <w:top w:val="nil"/>
              <w:left w:val="nil"/>
              <w:bottom w:val="nil"/>
              <w:right w:val="nil"/>
            </w:tcBorders>
          </w:tcPr>
          <w:p w14:paraId="292048A5"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7 (46.7%)</w:t>
            </w:r>
          </w:p>
        </w:tc>
        <w:tc>
          <w:tcPr>
            <w:tcW w:w="1276" w:type="dxa"/>
            <w:tcBorders>
              <w:top w:val="nil"/>
              <w:left w:val="nil"/>
              <w:bottom w:val="nil"/>
              <w:right w:val="nil"/>
            </w:tcBorders>
          </w:tcPr>
          <w:p w14:paraId="568FB1F7"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8 (53.3%) </w:t>
            </w:r>
          </w:p>
        </w:tc>
        <w:tc>
          <w:tcPr>
            <w:tcW w:w="1417" w:type="dxa"/>
            <w:tcBorders>
              <w:top w:val="nil"/>
              <w:left w:val="nil"/>
              <w:bottom w:val="nil"/>
              <w:right w:val="nil"/>
            </w:tcBorders>
          </w:tcPr>
          <w:p w14:paraId="61AB2A45"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4 (30.8%)</w:t>
            </w:r>
          </w:p>
        </w:tc>
        <w:tc>
          <w:tcPr>
            <w:tcW w:w="1276" w:type="dxa"/>
            <w:tcBorders>
              <w:top w:val="nil"/>
              <w:left w:val="nil"/>
              <w:bottom w:val="nil"/>
              <w:right w:val="nil"/>
            </w:tcBorders>
          </w:tcPr>
          <w:p w14:paraId="7E81753A"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9 (69.2%)</w:t>
            </w:r>
          </w:p>
        </w:tc>
        <w:tc>
          <w:tcPr>
            <w:tcW w:w="1276" w:type="dxa"/>
            <w:tcBorders>
              <w:top w:val="nil"/>
              <w:left w:val="nil"/>
              <w:bottom w:val="nil"/>
              <w:right w:val="nil"/>
            </w:tcBorders>
          </w:tcPr>
          <w:p w14:paraId="477B1BF2"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(50.0%)</w:t>
            </w:r>
          </w:p>
        </w:tc>
        <w:tc>
          <w:tcPr>
            <w:tcW w:w="1276" w:type="dxa"/>
            <w:tcBorders>
              <w:top w:val="nil"/>
              <w:left w:val="nil"/>
              <w:bottom w:val="nil"/>
              <w:right w:val="nil"/>
            </w:tcBorders>
          </w:tcPr>
          <w:p w14:paraId="58EBDFB7"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1 (50.0%)</w:t>
            </w:r>
          </w:p>
        </w:tc>
      </w:tr>
      <w:tr w:rsidR="00B4516C" w:rsidRPr="00B4516C" w14:paraId="7F9E4C58" w14:textId="77777777" w:rsidTr="00DA3A3A">
        <w:tc>
          <w:tcPr>
            <w:tcW w:w="1835" w:type="dxa"/>
            <w:tcBorders>
              <w:top w:val="nil"/>
              <w:left w:val="nil"/>
              <w:bottom w:val="single" w:sz="4" w:space="0" w:color="auto"/>
              <w:right w:val="nil"/>
            </w:tcBorders>
          </w:tcPr>
          <w:p w14:paraId="49FEF46F" w14:textId="77777777" w:rsidR="007E7677" w:rsidRPr="00B4516C" w:rsidRDefault="007E7677" w:rsidP="00DA3A3A">
            <w:pPr>
              <w:spacing w:line="480" w:lineRule="auto"/>
              <w:contextualSpacing/>
              <w:rPr>
                <w:rFonts w:ascii="Times New Roman" w:hAnsi="Times New Roman" w:cs="Times New Roman"/>
                <w:sz w:val="24"/>
                <w:szCs w:val="24"/>
                <w:lang w:val="en-US"/>
              </w:rPr>
            </w:pPr>
            <w:r w:rsidRPr="00B4516C">
              <w:rPr>
                <w:rFonts w:ascii="Times New Roman" w:hAnsi="Times New Roman"/>
                <w:sz w:val="24"/>
                <w:szCs w:val="24"/>
              </w:rPr>
              <w:t xml:space="preserve">Cefepime   </w:t>
            </w:r>
          </w:p>
        </w:tc>
        <w:tc>
          <w:tcPr>
            <w:tcW w:w="1417" w:type="dxa"/>
            <w:tcBorders>
              <w:top w:val="nil"/>
              <w:left w:val="nil"/>
              <w:bottom w:val="single" w:sz="4" w:space="0" w:color="auto"/>
              <w:right w:val="nil"/>
            </w:tcBorders>
          </w:tcPr>
          <w:p w14:paraId="54F4202A"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 8 (53.3%)</w:t>
            </w:r>
          </w:p>
        </w:tc>
        <w:tc>
          <w:tcPr>
            <w:tcW w:w="1276" w:type="dxa"/>
            <w:tcBorders>
              <w:top w:val="nil"/>
              <w:left w:val="nil"/>
              <w:bottom w:val="single" w:sz="4" w:space="0" w:color="auto"/>
              <w:right w:val="nil"/>
            </w:tcBorders>
          </w:tcPr>
          <w:p w14:paraId="3482BCEE"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7 (46.7%)</w:t>
            </w:r>
          </w:p>
        </w:tc>
        <w:tc>
          <w:tcPr>
            <w:tcW w:w="1417" w:type="dxa"/>
            <w:tcBorders>
              <w:top w:val="nil"/>
              <w:left w:val="nil"/>
              <w:bottom w:val="single" w:sz="4" w:space="0" w:color="auto"/>
              <w:right w:val="nil"/>
            </w:tcBorders>
          </w:tcPr>
          <w:p w14:paraId="1696CFDA"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 xml:space="preserve">9 (69.2%)  </w:t>
            </w:r>
          </w:p>
        </w:tc>
        <w:tc>
          <w:tcPr>
            <w:tcW w:w="1276" w:type="dxa"/>
            <w:tcBorders>
              <w:top w:val="nil"/>
              <w:left w:val="nil"/>
              <w:bottom w:val="single" w:sz="4" w:space="0" w:color="auto"/>
              <w:right w:val="nil"/>
            </w:tcBorders>
          </w:tcPr>
          <w:p w14:paraId="32B0AC6C"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4 (30.8%)</w:t>
            </w:r>
          </w:p>
        </w:tc>
        <w:tc>
          <w:tcPr>
            <w:tcW w:w="1276" w:type="dxa"/>
            <w:tcBorders>
              <w:top w:val="nil"/>
              <w:left w:val="nil"/>
              <w:bottom w:val="single" w:sz="4" w:space="0" w:color="auto"/>
              <w:right w:val="nil"/>
            </w:tcBorders>
          </w:tcPr>
          <w:p w14:paraId="3ED376FD"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2 (100%)</w:t>
            </w:r>
          </w:p>
        </w:tc>
        <w:tc>
          <w:tcPr>
            <w:tcW w:w="1276" w:type="dxa"/>
            <w:tcBorders>
              <w:top w:val="nil"/>
              <w:left w:val="nil"/>
              <w:bottom w:val="single" w:sz="4" w:space="0" w:color="auto"/>
              <w:right w:val="nil"/>
            </w:tcBorders>
          </w:tcPr>
          <w:p w14:paraId="518893E3" w14:textId="77777777" w:rsidR="007E7677" w:rsidRPr="00B4516C" w:rsidRDefault="007E7677" w:rsidP="00DA3A3A">
            <w:pPr>
              <w:spacing w:line="480" w:lineRule="auto"/>
              <w:contextualSpacing/>
              <w:jc w:val="center"/>
              <w:rPr>
                <w:rFonts w:ascii="Times New Roman" w:hAnsi="Times New Roman" w:cs="Times New Roman"/>
                <w:sz w:val="24"/>
                <w:szCs w:val="24"/>
                <w:lang w:val="en-US"/>
              </w:rPr>
            </w:pPr>
            <w:r w:rsidRPr="00B4516C">
              <w:rPr>
                <w:rFonts w:ascii="Times New Roman" w:hAnsi="Times New Roman" w:cs="Times New Roman"/>
                <w:sz w:val="24"/>
                <w:szCs w:val="24"/>
              </w:rPr>
              <w:t>0 (0%)</w:t>
            </w:r>
          </w:p>
        </w:tc>
      </w:tr>
    </w:tbl>
    <w:p w14:paraId="76E3C6D9" w14:textId="77777777" w:rsidR="007E7677" w:rsidRPr="00B4516C" w:rsidRDefault="007E7677" w:rsidP="007E7677">
      <w:pPr>
        <w:rPr>
          <w:rFonts w:ascii="Times New Roman" w:hAnsi="Times New Roman" w:cs="Times New Roman"/>
          <w:sz w:val="24"/>
          <w:szCs w:val="24"/>
          <w:lang w:val="en-US"/>
        </w:rPr>
      </w:pPr>
      <w:r w:rsidRPr="00B4516C">
        <w:rPr>
          <w:rFonts w:ascii="Times New Roman" w:hAnsi="Times New Roman" w:cs="Times New Roman"/>
          <w:sz w:val="24"/>
          <w:szCs w:val="24"/>
          <w:lang w:val="en-US"/>
        </w:rPr>
        <w:t>Key: S=Sensitive, R=Resistant.</w:t>
      </w:r>
    </w:p>
    <w:p w14:paraId="62AF0A83" w14:textId="16F7DB1C" w:rsidR="00216065" w:rsidRPr="00B4516C" w:rsidRDefault="00216065" w:rsidP="00216065">
      <w:pPr>
        <w:rPr>
          <w:rFonts w:ascii="Times New Roman" w:hAnsi="Times New Roman" w:cs="Times New Roman"/>
          <w:sz w:val="24"/>
          <w:szCs w:val="24"/>
        </w:rPr>
      </w:pPr>
    </w:p>
    <w:p w14:paraId="3D9D8283" w14:textId="190B0D26" w:rsidR="009371F0" w:rsidRPr="00B4516C" w:rsidRDefault="009371F0" w:rsidP="00216065">
      <w:pPr>
        <w:rPr>
          <w:rFonts w:ascii="Times New Roman" w:hAnsi="Times New Roman" w:cs="Times New Roman"/>
          <w:b/>
          <w:bCs/>
          <w:sz w:val="24"/>
          <w:szCs w:val="24"/>
        </w:rPr>
      </w:pPr>
      <w:r w:rsidRPr="00B4516C">
        <w:rPr>
          <w:rFonts w:ascii="Times New Roman" w:hAnsi="Times New Roman" w:cs="Times New Roman"/>
          <w:b/>
          <w:bCs/>
          <w:sz w:val="24"/>
          <w:szCs w:val="24"/>
        </w:rPr>
        <w:t>DISCUSSION</w:t>
      </w:r>
    </w:p>
    <w:p w14:paraId="12A855FE" w14:textId="65DB871B" w:rsidR="006C5E52" w:rsidRPr="00B4516C" w:rsidRDefault="006C5E52" w:rsidP="006C5E52">
      <w:pPr>
        <w:spacing w:before="100" w:beforeAutospacing="1" w:after="0" w:line="480" w:lineRule="auto"/>
        <w:contextualSpacing/>
        <w:jc w:val="both"/>
        <w:rPr>
          <w:rFonts w:ascii="Times New Roman" w:eastAsia="Times New Roman" w:hAnsi="Times New Roman" w:cs="Times New Roman"/>
          <w:kern w:val="0"/>
          <w:sz w:val="24"/>
          <w:szCs w:val="24"/>
          <w14:ligatures w14:val="none"/>
        </w:rPr>
      </w:pPr>
      <w:r w:rsidRPr="00B4516C">
        <w:rPr>
          <w:rFonts w:ascii="Times New Roman" w:eastAsia="Times New Roman" w:hAnsi="Times New Roman" w:cs="Times New Roman"/>
          <w:kern w:val="0"/>
          <w:sz w:val="24"/>
          <w:szCs w:val="24"/>
          <w14:ligatures w14:val="none"/>
        </w:rPr>
        <w:t xml:space="preserve">Urinary tract infections (UTIs) are among the most common bacterial infections encountered in community healthcare settings, contributing to increased treatment </w:t>
      </w:r>
      <w:r w:rsidR="00BD1BDA" w:rsidRPr="00B4516C">
        <w:rPr>
          <w:rFonts w:ascii="Times New Roman" w:eastAsia="Times New Roman" w:hAnsi="Times New Roman" w:cs="Times New Roman"/>
          <w:kern w:val="0"/>
          <w:sz w:val="24"/>
          <w:szCs w:val="24"/>
          <w14:ligatures w14:val="none"/>
        </w:rPr>
        <w:t>costs, morbidity, and mortality (</w:t>
      </w:r>
      <w:r w:rsidR="00BD1BDA" w:rsidRPr="00B4516C">
        <w:rPr>
          <w:rStyle w:val="HTMLCite"/>
          <w:rFonts w:ascii="Times New Roman" w:hAnsi="Times New Roman" w:cs="Times New Roman"/>
          <w:i w:val="0"/>
          <w:sz w:val="24"/>
          <w:szCs w:val="24"/>
        </w:rPr>
        <w:t>Bader</w:t>
      </w:r>
      <w:r w:rsidR="00BD1BDA" w:rsidRPr="00B4516C">
        <w:rPr>
          <w:rFonts w:ascii="Times New Roman" w:eastAsia="Times New Roman" w:hAnsi="Times New Roman" w:cs="Times New Roman"/>
          <w:sz w:val="24"/>
          <w:szCs w:val="24"/>
        </w:rPr>
        <w:t xml:space="preserve"> </w:t>
      </w:r>
      <w:r w:rsidR="00BD1BDA" w:rsidRPr="00B4516C">
        <w:rPr>
          <w:rFonts w:ascii="Times New Roman" w:eastAsia="Times New Roman" w:hAnsi="Times New Roman" w:cs="Times New Roman"/>
          <w:i/>
          <w:sz w:val="24"/>
          <w:szCs w:val="24"/>
        </w:rPr>
        <w:t>et al</w:t>
      </w:r>
      <w:r w:rsidR="00BD1BDA" w:rsidRPr="00B4516C">
        <w:rPr>
          <w:rFonts w:ascii="Times New Roman" w:eastAsia="Times New Roman" w:hAnsi="Times New Roman" w:cs="Times New Roman"/>
          <w:sz w:val="24"/>
          <w:szCs w:val="24"/>
        </w:rPr>
        <w:t>., 2020; Mancuso</w:t>
      </w:r>
      <w:r w:rsidR="00BD1BDA" w:rsidRPr="00B4516C">
        <w:rPr>
          <w:rFonts w:ascii="Times New Roman" w:eastAsia="Times New Roman" w:hAnsi="Times New Roman" w:cs="Times New Roman"/>
          <w:kern w:val="0"/>
          <w:sz w:val="24"/>
          <w:szCs w:val="24"/>
        </w:rPr>
        <w:t xml:space="preserve"> </w:t>
      </w:r>
      <w:r w:rsidR="00BD1BDA" w:rsidRPr="00B4516C">
        <w:rPr>
          <w:rFonts w:ascii="Times New Roman" w:eastAsia="Times New Roman" w:hAnsi="Times New Roman" w:cs="Times New Roman"/>
          <w:i/>
          <w:kern w:val="0"/>
          <w:sz w:val="24"/>
          <w:szCs w:val="24"/>
        </w:rPr>
        <w:t>et al</w:t>
      </w:r>
      <w:r w:rsidR="00BD1BDA" w:rsidRPr="00B4516C">
        <w:rPr>
          <w:rFonts w:ascii="Times New Roman" w:eastAsia="Times New Roman" w:hAnsi="Times New Roman" w:cs="Times New Roman"/>
          <w:kern w:val="0"/>
          <w:sz w:val="24"/>
          <w:szCs w:val="24"/>
        </w:rPr>
        <w:t>., 2023</w:t>
      </w:r>
      <w:r w:rsidR="00BD1BDA" w:rsidRPr="00B4516C">
        <w:rPr>
          <w:rFonts w:ascii="Times New Roman" w:eastAsia="Times New Roman" w:hAnsi="Times New Roman" w:cs="Times New Roman"/>
          <w:kern w:val="0"/>
          <w:sz w:val="24"/>
          <w:szCs w:val="24"/>
          <w14:ligatures w14:val="none"/>
        </w:rPr>
        <w:t xml:space="preserve">). </w:t>
      </w:r>
      <w:r w:rsidRPr="00B4516C">
        <w:rPr>
          <w:rFonts w:ascii="Times New Roman" w:eastAsia="Times New Roman" w:hAnsi="Times New Roman" w:cs="Times New Roman"/>
          <w:kern w:val="0"/>
          <w:sz w:val="24"/>
          <w:szCs w:val="24"/>
          <w14:ligatures w14:val="none"/>
        </w:rPr>
        <w:t>UTIs are generally classified into two categories based on their mode of acquisition: community-acquired and hospital-acquired infections</w:t>
      </w:r>
      <w:r w:rsidRPr="00B4516C">
        <w:rPr>
          <w:rFonts w:ascii="Times New Roman" w:eastAsia="Times New Roman" w:hAnsi="Times New Roman" w:cs="Times New Roman"/>
          <w:kern w:val="0"/>
          <w:sz w:val="24"/>
          <w:szCs w:val="24"/>
          <w:vertAlign w:val="superscript"/>
          <w14:ligatures w14:val="none"/>
        </w:rPr>
        <w:t xml:space="preserve"> </w:t>
      </w:r>
      <w:r w:rsidR="00DB56B8" w:rsidRPr="00B4516C">
        <w:rPr>
          <w:rFonts w:ascii="Times New Roman" w:eastAsia="Times New Roman" w:hAnsi="Times New Roman" w:cs="Times New Roman"/>
          <w:kern w:val="0"/>
          <w:sz w:val="24"/>
          <w:szCs w:val="24"/>
          <w:vertAlign w:val="superscript"/>
          <w14:ligatures w14:val="none"/>
        </w:rPr>
        <w:t>(</w:t>
      </w:r>
      <w:r w:rsidR="00DB56B8" w:rsidRPr="00B4516C">
        <w:rPr>
          <w:rFonts w:ascii="Times New Roman" w:eastAsia="Times New Roman" w:hAnsi="Times New Roman" w:cs="Times New Roman"/>
          <w:sz w:val="24"/>
          <w:szCs w:val="24"/>
        </w:rPr>
        <w:t>Mancuso</w:t>
      </w:r>
      <w:r w:rsidR="00DB56B8" w:rsidRPr="00B4516C">
        <w:rPr>
          <w:rFonts w:ascii="Times New Roman" w:eastAsia="Times New Roman" w:hAnsi="Times New Roman" w:cs="Times New Roman"/>
          <w:kern w:val="0"/>
          <w:sz w:val="24"/>
          <w:szCs w:val="24"/>
        </w:rPr>
        <w:t xml:space="preserve"> </w:t>
      </w:r>
      <w:r w:rsidR="00DB56B8" w:rsidRPr="00B4516C">
        <w:rPr>
          <w:rFonts w:ascii="Times New Roman" w:eastAsia="Times New Roman" w:hAnsi="Times New Roman" w:cs="Times New Roman"/>
          <w:i/>
          <w:kern w:val="0"/>
          <w:sz w:val="24"/>
          <w:szCs w:val="24"/>
        </w:rPr>
        <w:t>et al</w:t>
      </w:r>
      <w:r w:rsidR="00DB56B8" w:rsidRPr="00B4516C">
        <w:rPr>
          <w:rFonts w:ascii="Times New Roman" w:eastAsia="Times New Roman" w:hAnsi="Times New Roman" w:cs="Times New Roman"/>
          <w:kern w:val="0"/>
          <w:sz w:val="24"/>
          <w:szCs w:val="24"/>
        </w:rPr>
        <w:t xml:space="preserve">., 2023). </w:t>
      </w:r>
      <w:r w:rsidRPr="00B4516C">
        <w:rPr>
          <w:rFonts w:ascii="Times New Roman" w:eastAsia="Times New Roman" w:hAnsi="Times New Roman" w:cs="Times New Roman"/>
          <w:i/>
          <w:iCs/>
          <w:kern w:val="0"/>
          <w:sz w:val="24"/>
          <w:szCs w:val="24"/>
          <w14:ligatures w14:val="none"/>
        </w:rPr>
        <w:t>Escherichia coli</w:t>
      </w:r>
      <w:r w:rsidRPr="00B4516C">
        <w:rPr>
          <w:rFonts w:ascii="Times New Roman" w:eastAsia="Times New Roman" w:hAnsi="Times New Roman" w:cs="Times New Roman"/>
          <w:kern w:val="0"/>
          <w:sz w:val="24"/>
          <w:szCs w:val="24"/>
          <w14:ligatures w14:val="none"/>
        </w:rPr>
        <w:t xml:space="preserve"> is the most frequently implicated </w:t>
      </w:r>
      <w:proofErr w:type="spellStart"/>
      <w:r w:rsidRPr="00B4516C">
        <w:rPr>
          <w:rFonts w:ascii="Times New Roman" w:eastAsia="Times New Roman" w:hAnsi="Times New Roman" w:cs="Times New Roman"/>
          <w:kern w:val="0"/>
          <w:sz w:val="24"/>
          <w:szCs w:val="24"/>
          <w14:ligatures w14:val="none"/>
        </w:rPr>
        <w:t>uropathogen</w:t>
      </w:r>
      <w:proofErr w:type="spellEnd"/>
      <w:r w:rsidRPr="00B4516C">
        <w:rPr>
          <w:rFonts w:ascii="Times New Roman" w:eastAsia="Times New Roman" w:hAnsi="Times New Roman" w:cs="Times New Roman"/>
          <w:kern w:val="0"/>
          <w:sz w:val="24"/>
          <w:szCs w:val="24"/>
          <w14:ligatures w14:val="none"/>
        </w:rPr>
        <w:t xml:space="preserve"> in UTIs, although other bacterial species such as </w:t>
      </w:r>
      <w:r w:rsidRPr="00B4516C">
        <w:rPr>
          <w:rFonts w:ascii="Times New Roman" w:eastAsia="Times New Roman" w:hAnsi="Times New Roman" w:cs="Times New Roman"/>
          <w:i/>
          <w:iCs/>
          <w:kern w:val="0"/>
          <w:sz w:val="24"/>
          <w:szCs w:val="24"/>
          <w14:ligatures w14:val="none"/>
        </w:rPr>
        <w:t>Klebsiella</w:t>
      </w:r>
      <w:r w:rsidRPr="00B4516C">
        <w:rPr>
          <w:rFonts w:ascii="Times New Roman" w:eastAsia="Times New Roman" w:hAnsi="Times New Roman" w:cs="Times New Roman"/>
          <w:kern w:val="0"/>
          <w:sz w:val="24"/>
          <w:szCs w:val="24"/>
          <w14:ligatures w14:val="none"/>
        </w:rPr>
        <w:t xml:space="preserve"> spp., </w:t>
      </w:r>
      <w:r w:rsidRPr="00B4516C">
        <w:rPr>
          <w:rFonts w:ascii="Times New Roman" w:eastAsia="Times New Roman" w:hAnsi="Times New Roman" w:cs="Times New Roman"/>
          <w:i/>
          <w:iCs/>
          <w:kern w:val="0"/>
          <w:sz w:val="24"/>
          <w:szCs w:val="24"/>
          <w14:ligatures w14:val="none"/>
        </w:rPr>
        <w:t>Staphylococcus</w:t>
      </w:r>
      <w:r w:rsidRPr="00B4516C">
        <w:rPr>
          <w:rFonts w:ascii="Times New Roman" w:eastAsia="Times New Roman" w:hAnsi="Times New Roman" w:cs="Times New Roman"/>
          <w:kern w:val="0"/>
          <w:sz w:val="24"/>
          <w:szCs w:val="24"/>
          <w14:ligatures w14:val="none"/>
        </w:rPr>
        <w:t xml:space="preserve"> spp., </w:t>
      </w:r>
      <w:r w:rsidRPr="00B4516C">
        <w:rPr>
          <w:rFonts w:ascii="Times New Roman" w:eastAsia="Times New Roman" w:hAnsi="Times New Roman" w:cs="Times New Roman"/>
          <w:i/>
          <w:iCs/>
          <w:kern w:val="0"/>
          <w:sz w:val="24"/>
          <w:szCs w:val="24"/>
          <w14:ligatures w14:val="none"/>
        </w:rPr>
        <w:t>Enterococcus</w:t>
      </w:r>
      <w:r w:rsidRPr="00B4516C">
        <w:rPr>
          <w:rFonts w:ascii="Times New Roman" w:eastAsia="Times New Roman" w:hAnsi="Times New Roman" w:cs="Times New Roman"/>
          <w:kern w:val="0"/>
          <w:sz w:val="24"/>
          <w:szCs w:val="24"/>
          <w14:ligatures w14:val="none"/>
        </w:rPr>
        <w:t xml:space="preserve"> spp., </w:t>
      </w:r>
      <w:r w:rsidRPr="00B4516C">
        <w:rPr>
          <w:rFonts w:ascii="Times New Roman" w:eastAsia="Times New Roman" w:hAnsi="Times New Roman" w:cs="Times New Roman"/>
          <w:i/>
          <w:iCs/>
          <w:kern w:val="0"/>
          <w:sz w:val="24"/>
          <w:szCs w:val="24"/>
          <w14:ligatures w14:val="none"/>
        </w:rPr>
        <w:t>Enterobacter</w:t>
      </w:r>
      <w:r w:rsidRPr="00B4516C">
        <w:rPr>
          <w:rFonts w:ascii="Times New Roman" w:eastAsia="Times New Roman" w:hAnsi="Times New Roman" w:cs="Times New Roman"/>
          <w:kern w:val="0"/>
          <w:sz w:val="24"/>
          <w:szCs w:val="24"/>
          <w14:ligatures w14:val="none"/>
        </w:rPr>
        <w:t xml:space="preserve"> spp., and </w:t>
      </w:r>
      <w:r w:rsidRPr="00B4516C">
        <w:rPr>
          <w:rFonts w:ascii="Times New Roman" w:eastAsia="Times New Roman" w:hAnsi="Times New Roman" w:cs="Times New Roman"/>
          <w:i/>
          <w:iCs/>
          <w:kern w:val="0"/>
          <w:sz w:val="24"/>
          <w:szCs w:val="24"/>
          <w14:ligatures w14:val="none"/>
        </w:rPr>
        <w:t>Citrobacter</w:t>
      </w:r>
      <w:r w:rsidRPr="00B4516C">
        <w:rPr>
          <w:rFonts w:ascii="Times New Roman" w:eastAsia="Times New Roman" w:hAnsi="Times New Roman" w:cs="Times New Roman"/>
          <w:kern w:val="0"/>
          <w:sz w:val="24"/>
          <w:szCs w:val="24"/>
          <w14:ligatures w14:val="none"/>
        </w:rPr>
        <w:t xml:space="preserve"> spp. have also been identified as causative agents </w:t>
      </w:r>
      <w:r w:rsidR="00A4270F" w:rsidRPr="00B4516C">
        <w:rPr>
          <w:rFonts w:ascii="Times New Roman" w:hAnsi="Times New Roman" w:cs="Times New Roman"/>
          <w:sz w:val="24"/>
          <w:szCs w:val="24"/>
        </w:rPr>
        <w:t>(</w:t>
      </w:r>
      <w:r w:rsidR="00A4270F" w:rsidRPr="00B4516C">
        <w:rPr>
          <w:rFonts w:ascii="Times New Roman" w:eastAsia="Times New Roman" w:hAnsi="Times New Roman" w:cs="Times New Roman"/>
          <w:sz w:val="24"/>
          <w:szCs w:val="24"/>
        </w:rPr>
        <w:t>Mancuso</w:t>
      </w:r>
      <w:r w:rsidR="00A4270F" w:rsidRPr="00B4516C">
        <w:rPr>
          <w:rFonts w:ascii="Times New Roman" w:eastAsia="Times New Roman" w:hAnsi="Times New Roman" w:cs="Times New Roman"/>
          <w:kern w:val="0"/>
          <w:sz w:val="24"/>
          <w:szCs w:val="24"/>
        </w:rPr>
        <w:t xml:space="preserve"> </w:t>
      </w:r>
      <w:r w:rsidR="00A4270F" w:rsidRPr="00B4516C">
        <w:rPr>
          <w:rFonts w:ascii="Times New Roman" w:eastAsia="Times New Roman" w:hAnsi="Times New Roman" w:cs="Times New Roman"/>
          <w:i/>
          <w:kern w:val="0"/>
          <w:sz w:val="24"/>
          <w:szCs w:val="24"/>
        </w:rPr>
        <w:t>et al</w:t>
      </w:r>
      <w:r w:rsidR="00A4270F" w:rsidRPr="00B4516C">
        <w:rPr>
          <w:rFonts w:ascii="Times New Roman" w:eastAsia="Times New Roman" w:hAnsi="Times New Roman" w:cs="Times New Roman"/>
          <w:kern w:val="0"/>
          <w:sz w:val="24"/>
          <w:szCs w:val="24"/>
        </w:rPr>
        <w:t>., 2023</w:t>
      </w:r>
      <w:r w:rsidR="00A4270F" w:rsidRPr="00B4516C">
        <w:rPr>
          <w:rFonts w:ascii="Times New Roman" w:hAnsi="Times New Roman" w:cs="Times New Roman"/>
          <w:sz w:val="24"/>
          <w:szCs w:val="24"/>
        </w:rPr>
        <w:t>).</w:t>
      </w:r>
    </w:p>
    <w:p w14:paraId="5EF7BF92" w14:textId="278FB69F" w:rsidR="006C5E52" w:rsidRPr="00B4516C" w:rsidRDefault="006C5E52" w:rsidP="006C5E52">
      <w:pPr>
        <w:spacing w:before="100" w:beforeAutospacing="1" w:after="0" w:line="480" w:lineRule="auto"/>
        <w:contextualSpacing/>
        <w:jc w:val="both"/>
        <w:rPr>
          <w:rFonts w:ascii="Times New Roman" w:eastAsia="Times New Roman" w:hAnsi="Times New Roman" w:cs="Times New Roman"/>
          <w:kern w:val="0"/>
          <w:sz w:val="24"/>
          <w:szCs w:val="24"/>
          <w14:ligatures w14:val="none"/>
        </w:rPr>
      </w:pPr>
      <w:r w:rsidRPr="00B4516C">
        <w:rPr>
          <w:rFonts w:ascii="Times New Roman" w:eastAsia="Times New Roman" w:hAnsi="Times New Roman" w:cs="Times New Roman"/>
          <w:kern w:val="0"/>
          <w:sz w:val="24"/>
          <w:szCs w:val="24"/>
          <w14:ligatures w14:val="none"/>
        </w:rPr>
        <w:t xml:space="preserve">The primary aim of this study was to isolate and phenotypically identify bacterial pathogens associated with UTIs among hospitalized female patients at Edo Specialist Hospital, Benin </w:t>
      </w:r>
      <w:r w:rsidRPr="00B4516C">
        <w:rPr>
          <w:rFonts w:ascii="Times New Roman" w:eastAsia="Times New Roman" w:hAnsi="Times New Roman" w:cs="Times New Roman"/>
          <w:kern w:val="0"/>
          <w:sz w:val="24"/>
          <w:szCs w:val="24"/>
          <w14:ligatures w14:val="none"/>
        </w:rPr>
        <w:lastRenderedPageBreak/>
        <w:t>City, Edo State. The findings revealed a diverse range of bacterial isolates</w:t>
      </w:r>
      <w:r w:rsidRPr="00B4516C">
        <w:rPr>
          <w:rFonts w:ascii="Times New Roman" w:eastAsia="Times New Roman" w:hAnsi="Times New Roman" w:cs="Times New Roman"/>
          <w:kern w:val="0"/>
          <w:sz w:val="24"/>
          <w:szCs w:val="24"/>
          <w:lang w:val="en-US"/>
          <w14:ligatures w14:val="none"/>
        </w:rPr>
        <w:t xml:space="preserve"> including</w:t>
      </w:r>
      <w:r w:rsidRPr="00B4516C">
        <w:rPr>
          <w:rFonts w:ascii="Times New Roman" w:eastAsia="Times New Roman" w:hAnsi="Times New Roman" w:cs="Times New Roman"/>
          <w:kern w:val="0"/>
          <w:sz w:val="24"/>
          <w:szCs w:val="24"/>
          <w14:ligatures w14:val="none"/>
        </w:rPr>
        <w:t xml:space="preserve"> </w:t>
      </w:r>
      <w:r w:rsidRPr="00B4516C">
        <w:rPr>
          <w:rFonts w:ascii="Times New Roman" w:eastAsia="Times New Roman" w:hAnsi="Times New Roman" w:cs="Times New Roman"/>
          <w:i/>
          <w:iCs/>
          <w:kern w:val="0"/>
          <w:sz w:val="24"/>
          <w:szCs w:val="24"/>
          <w14:ligatures w14:val="none"/>
        </w:rPr>
        <w:t>E. coli</w:t>
      </w:r>
      <w:r w:rsidRPr="00B4516C">
        <w:rPr>
          <w:rFonts w:ascii="Times New Roman" w:eastAsia="Times New Roman" w:hAnsi="Times New Roman" w:cs="Times New Roman"/>
          <w:kern w:val="0"/>
          <w:sz w:val="24"/>
          <w:szCs w:val="24"/>
          <w14:ligatures w14:val="none"/>
        </w:rPr>
        <w:t xml:space="preserve">, </w:t>
      </w:r>
      <w:r w:rsidRPr="00B4516C">
        <w:rPr>
          <w:rFonts w:ascii="Times New Roman" w:eastAsia="Times New Roman" w:hAnsi="Times New Roman" w:cs="Times New Roman"/>
          <w:i/>
          <w:iCs/>
          <w:kern w:val="0"/>
          <w:sz w:val="24"/>
          <w:szCs w:val="24"/>
          <w14:ligatures w14:val="none"/>
        </w:rPr>
        <w:t>Staphylococcus aureus</w:t>
      </w:r>
      <w:r w:rsidRPr="00B4516C">
        <w:rPr>
          <w:rFonts w:ascii="Times New Roman" w:eastAsia="Times New Roman" w:hAnsi="Times New Roman" w:cs="Times New Roman"/>
          <w:kern w:val="0"/>
          <w:sz w:val="24"/>
          <w:szCs w:val="24"/>
          <w14:ligatures w14:val="none"/>
        </w:rPr>
        <w:t xml:space="preserve">, and </w:t>
      </w:r>
      <w:r w:rsidRPr="00B4516C">
        <w:rPr>
          <w:rFonts w:ascii="Times New Roman" w:eastAsia="Times New Roman" w:hAnsi="Times New Roman" w:cs="Times New Roman"/>
          <w:i/>
          <w:iCs/>
          <w:kern w:val="0"/>
          <w:sz w:val="24"/>
          <w:szCs w:val="24"/>
          <w14:ligatures w14:val="none"/>
        </w:rPr>
        <w:t>Pseudomonas aeruginosa</w:t>
      </w:r>
      <w:r w:rsidRPr="00B4516C">
        <w:rPr>
          <w:rFonts w:ascii="Times New Roman" w:eastAsia="Times New Roman" w:hAnsi="Times New Roman" w:cs="Times New Roman"/>
          <w:kern w:val="0"/>
          <w:sz w:val="24"/>
          <w:szCs w:val="24"/>
          <w14:ligatures w14:val="none"/>
        </w:rPr>
        <w:t xml:space="preserve">. This microbial profile aligns with previous studies that consistently report these organisms as major </w:t>
      </w:r>
      <w:proofErr w:type="spellStart"/>
      <w:r w:rsidRPr="00B4516C">
        <w:rPr>
          <w:rFonts w:ascii="Times New Roman" w:eastAsia="Times New Roman" w:hAnsi="Times New Roman" w:cs="Times New Roman"/>
          <w:kern w:val="0"/>
          <w:sz w:val="24"/>
          <w:szCs w:val="24"/>
          <w14:ligatures w14:val="none"/>
        </w:rPr>
        <w:t>uropathogens</w:t>
      </w:r>
      <w:proofErr w:type="spellEnd"/>
      <w:r w:rsidRPr="00B4516C">
        <w:rPr>
          <w:rFonts w:ascii="Times New Roman" w:eastAsia="Times New Roman" w:hAnsi="Times New Roman" w:cs="Times New Roman"/>
          <w:kern w:val="0"/>
          <w:sz w:val="24"/>
          <w:szCs w:val="24"/>
          <w14:ligatures w14:val="none"/>
        </w:rPr>
        <w:t xml:space="preserve">. </w:t>
      </w:r>
      <w:r w:rsidRPr="00B4516C">
        <w:rPr>
          <w:rFonts w:ascii="Times New Roman" w:eastAsia="Times New Roman" w:hAnsi="Times New Roman" w:cs="Times New Roman"/>
          <w:i/>
          <w:iCs/>
          <w:kern w:val="0"/>
          <w:sz w:val="24"/>
          <w:szCs w:val="24"/>
          <w14:ligatures w14:val="none"/>
        </w:rPr>
        <w:t>E. coli</w:t>
      </w:r>
      <w:r w:rsidRPr="00B4516C">
        <w:rPr>
          <w:rFonts w:ascii="Times New Roman" w:eastAsia="Times New Roman" w:hAnsi="Times New Roman" w:cs="Times New Roman"/>
          <w:kern w:val="0"/>
          <w:sz w:val="24"/>
          <w:szCs w:val="24"/>
          <w14:ligatures w14:val="none"/>
        </w:rPr>
        <w:t xml:space="preserve"> was the most prevalent isolate. This finding supports existing literature that highlights </w:t>
      </w:r>
      <w:r w:rsidRPr="00B4516C">
        <w:rPr>
          <w:rFonts w:ascii="Times New Roman" w:eastAsia="Times New Roman" w:hAnsi="Times New Roman" w:cs="Times New Roman"/>
          <w:i/>
          <w:iCs/>
          <w:kern w:val="0"/>
          <w:sz w:val="24"/>
          <w:szCs w:val="24"/>
          <w14:ligatures w14:val="none"/>
        </w:rPr>
        <w:t>E. coli</w:t>
      </w:r>
      <w:r w:rsidRPr="00B4516C">
        <w:rPr>
          <w:rFonts w:ascii="Times New Roman" w:eastAsia="Times New Roman" w:hAnsi="Times New Roman" w:cs="Times New Roman"/>
          <w:kern w:val="0"/>
          <w:sz w:val="24"/>
          <w:szCs w:val="24"/>
          <w14:ligatures w14:val="none"/>
        </w:rPr>
        <w:t xml:space="preserve"> as the leading cause of UTIs worldwide, primarily due to its virulence factors such as adhesins, toxins, and iron-acquisition systems, which facilitate its colonization and persi</w:t>
      </w:r>
      <w:r w:rsidR="00EA6304" w:rsidRPr="00B4516C">
        <w:rPr>
          <w:rFonts w:ascii="Times New Roman" w:eastAsia="Times New Roman" w:hAnsi="Times New Roman" w:cs="Times New Roman"/>
          <w:kern w:val="0"/>
          <w:sz w:val="24"/>
          <w:szCs w:val="24"/>
          <w14:ligatures w14:val="none"/>
        </w:rPr>
        <w:t>stence within the urinary tract (</w:t>
      </w:r>
      <w:r w:rsidR="00EA6304" w:rsidRPr="00B4516C">
        <w:rPr>
          <w:rFonts w:ascii="Times New Roman" w:eastAsia="Times New Roman" w:hAnsi="Times New Roman" w:cs="Times New Roman"/>
          <w:sz w:val="24"/>
          <w:szCs w:val="24"/>
        </w:rPr>
        <w:t xml:space="preserve">Flores-Mireles </w:t>
      </w:r>
      <w:r w:rsidR="00EA6304" w:rsidRPr="00B4516C">
        <w:rPr>
          <w:rFonts w:ascii="Times New Roman" w:eastAsia="Times New Roman" w:hAnsi="Times New Roman" w:cs="Times New Roman"/>
          <w:i/>
          <w:sz w:val="24"/>
          <w:szCs w:val="24"/>
        </w:rPr>
        <w:t>et al</w:t>
      </w:r>
      <w:r w:rsidR="00EA6304" w:rsidRPr="00B4516C">
        <w:rPr>
          <w:rFonts w:ascii="Times New Roman" w:eastAsia="Times New Roman" w:hAnsi="Times New Roman" w:cs="Times New Roman"/>
          <w:sz w:val="24"/>
          <w:szCs w:val="24"/>
        </w:rPr>
        <w:t>., 2015)</w:t>
      </w:r>
      <w:r w:rsidRPr="00B4516C">
        <w:rPr>
          <w:rFonts w:ascii="Times New Roman" w:eastAsia="Times New Roman" w:hAnsi="Times New Roman" w:cs="Times New Roman"/>
          <w:kern w:val="0"/>
          <w:sz w:val="24"/>
          <w:szCs w:val="24"/>
          <w14:ligatures w14:val="none"/>
        </w:rPr>
        <w:t xml:space="preserve">. Additionally, </w:t>
      </w:r>
      <w:r w:rsidRPr="00B4516C">
        <w:rPr>
          <w:rFonts w:ascii="Times New Roman" w:eastAsia="Times New Roman" w:hAnsi="Times New Roman" w:cs="Times New Roman"/>
          <w:i/>
          <w:iCs/>
          <w:kern w:val="0"/>
          <w:sz w:val="24"/>
          <w:szCs w:val="24"/>
          <w14:ligatures w14:val="none"/>
        </w:rPr>
        <w:t>E. coli</w:t>
      </w:r>
      <w:r w:rsidRPr="00B4516C">
        <w:rPr>
          <w:rFonts w:ascii="Times New Roman" w:eastAsia="Times New Roman" w:hAnsi="Times New Roman" w:cs="Times New Roman"/>
          <w:kern w:val="0"/>
          <w:sz w:val="24"/>
          <w:szCs w:val="24"/>
          <w14:ligatures w14:val="none"/>
        </w:rPr>
        <w:t>’s ability to form biofilms further enhances its pathogenic potential by enabling evasion of the host immune respon</w:t>
      </w:r>
      <w:r w:rsidR="00EA6304" w:rsidRPr="00B4516C">
        <w:rPr>
          <w:rFonts w:ascii="Times New Roman" w:eastAsia="Times New Roman" w:hAnsi="Times New Roman" w:cs="Times New Roman"/>
          <w:kern w:val="0"/>
          <w:sz w:val="24"/>
          <w:szCs w:val="24"/>
          <w14:ligatures w14:val="none"/>
        </w:rPr>
        <w:t>se and antimicrobial treatments (</w:t>
      </w:r>
      <w:r w:rsidR="00EA6304" w:rsidRPr="00B4516C">
        <w:rPr>
          <w:rFonts w:ascii="Times New Roman" w:eastAsia="Times New Roman" w:hAnsi="Times New Roman" w:cs="Times New Roman"/>
          <w:sz w:val="24"/>
          <w:szCs w:val="24"/>
        </w:rPr>
        <w:t xml:space="preserve">Terlizzi </w:t>
      </w:r>
      <w:r w:rsidR="00EA6304" w:rsidRPr="00B4516C">
        <w:rPr>
          <w:rFonts w:ascii="Times New Roman" w:eastAsia="Times New Roman" w:hAnsi="Times New Roman" w:cs="Times New Roman"/>
          <w:i/>
          <w:sz w:val="24"/>
          <w:szCs w:val="24"/>
        </w:rPr>
        <w:t>et al</w:t>
      </w:r>
      <w:r w:rsidR="00EA6304" w:rsidRPr="00B4516C">
        <w:rPr>
          <w:rFonts w:ascii="Times New Roman" w:eastAsia="Times New Roman" w:hAnsi="Times New Roman" w:cs="Times New Roman"/>
          <w:sz w:val="24"/>
          <w:szCs w:val="24"/>
        </w:rPr>
        <w:t>., 2017</w:t>
      </w:r>
      <w:r w:rsidR="00EA6304" w:rsidRPr="00B4516C">
        <w:rPr>
          <w:rFonts w:ascii="Times New Roman" w:eastAsia="Times New Roman" w:hAnsi="Times New Roman" w:cs="Times New Roman"/>
          <w:kern w:val="0"/>
          <w:sz w:val="24"/>
          <w:szCs w:val="24"/>
          <w14:ligatures w14:val="none"/>
        </w:rPr>
        <w:t xml:space="preserve">). </w:t>
      </w:r>
      <w:r w:rsidRPr="00B4516C">
        <w:rPr>
          <w:rFonts w:ascii="Times New Roman" w:eastAsia="Times New Roman" w:hAnsi="Times New Roman" w:cs="Times New Roman"/>
          <w:i/>
          <w:iCs/>
          <w:kern w:val="0"/>
          <w:sz w:val="24"/>
          <w:szCs w:val="24"/>
          <w14:ligatures w14:val="none"/>
        </w:rPr>
        <w:t>Staphylococcus aureus</w:t>
      </w:r>
      <w:r w:rsidRPr="00B4516C">
        <w:rPr>
          <w:rFonts w:ascii="Times New Roman" w:eastAsia="Times New Roman" w:hAnsi="Times New Roman" w:cs="Times New Roman"/>
          <w:kern w:val="0"/>
          <w:sz w:val="24"/>
          <w:szCs w:val="24"/>
          <w14:ligatures w14:val="none"/>
        </w:rPr>
        <w:t xml:space="preserve"> was identified </w:t>
      </w:r>
      <w:r w:rsidRPr="00B4516C">
        <w:rPr>
          <w:rFonts w:ascii="Times New Roman" w:eastAsia="Times New Roman" w:hAnsi="Times New Roman" w:cs="Times New Roman"/>
          <w:kern w:val="0"/>
          <w:sz w:val="24"/>
          <w:szCs w:val="24"/>
          <w:lang w:val="en-US"/>
          <w14:ligatures w14:val="none"/>
        </w:rPr>
        <w:t>as the</w:t>
      </w:r>
      <w:r w:rsidRPr="00B4516C">
        <w:rPr>
          <w:rFonts w:ascii="Times New Roman" w:eastAsia="Times New Roman" w:hAnsi="Times New Roman" w:cs="Times New Roman"/>
          <w:kern w:val="0"/>
          <w:sz w:val="24"/>
          <w:szCs w:val="24"/>
          <w14:ligatures w14:val="none"/>
        </w:rPr>
        <w:t xml:space="preserve"> second most prevalent isolate. Although </w:t>
      </w:r>
      <w:r w:rsidRPr="00B4516C">
        <w:rPr>
          <w:rFonts w:ascii="Times New Roman" w:eastAsia="Times New Roman" w:hAnsi="Times New Roman" w:cs="Times New Roman"/>
          <w:i/>
          <w:iCs/>
          <w:kern w:val="0"/>
          <w:sz w:val="24"/>
          <w:szCs w:val="24"/>
          <w14:ligatures w14:val="none"/>
        </w:rPr>
        <w:t>S. aureus</w:t>
      </w:r>
      <w:r w:rsidRPr="00B4516C">
        <w:rPr>
          <w:rFonts w:ascii="Times New Roman" w:eastAsia="Times New Roman" w:hAnsi="Times New Roman" w:cs="Times New Roman"/>
          <w:kern w:val="0"/>
          <w:sz w:val="24"/>
          <w:szCs w:val="24"/>
          <w14:ligatures w14:val="none"/>
        </w:rPr>
        <w:t xml:space="preserve"> is not traditionally regarded as a primary </w:t>
      </w:r>
      <w:proofErr w:type="spellStart"/>
      <w:r w:rsidRPr="00B4516C">
        <w:rPr>
          <w:rFonts w:ascii="Times New Roman" w:eastAsia="Times New Roman" w:hAnsi="Times New Roman" w:cs="Times New Roman"/>
          <w:kern w:val="0"/>
          <w:sz w:val="24"/>
          <w:szCs w:val="24"/>
          <w14:ligatures w14:val="none"/>
        </w:rPr>
        <w:t>uropathogen</w:t>
      </w:r>
      <w:proofErr w:type="spellEnd"/>
      <w:r w:rsidRPr="00B4516C">
        <w:rPr>
          <w:rFonts w:ascii="Times New Roman" w:eastAsia="Times New Roman" w:hAnsi="Times New Roman" w:cs="Times New Roman"/>
          <w:kern w:val="0"/>
          <w:sz w:val="24"/>
          <w:szCs w:val="24"/>
          <w14:ligatures w14:val="none"/>
        </w:rPr>
        <w:t>, its increasing association with hospital-</w:t>
      </w:r>
      <w:r w:rsidR="003A52E9" w:rsidRPr="00B4516C">
        <w:rPr>
          <w:rFonts w:ascii="Times New Roman" w:eastAsia="Times New Roman" w:hAnsi="Times New Roman" w:cs="Times New Roman"/>
          <w:kern w:val="0"/>
          <w:sz w:val="24"/>
          <w:szCs w:val="24"/>
          <w14:ligatures w14:val="none"/>
        </w:rPr>
        <w:t>acquired UTIs is noteworthy.</w:t>
      </w:r>
      <w:r w:rsidRPr="00B4516C">
        <w:rPr>
          <w:rFonts w:ascii="Times New Roman" w:eastAsia="Times New Roman" w:hAnsi="Times New Roman" w:cs="Times New Roman"/>
          <w:kern w:val="0"/>
          <w:sz w:val="24"/>
          <w:szCs w:val="24"/>
          <w14:ligatures w14:val="none"/>
        </w:rPr>
        <w:t xml:space="preserve"> The presence of </w:t>
      </w:r>
      <w:r w:rsidRPr="00B4516C">
        <w:rPr>
          <w:rFonts w:ascii="Times New Roman" w:eastAsia="Times New Roman" w:hAnsi="Times New Roman" w:cs="Times New Roman"/>
          <w:i/>
          <w:iCs/>
          <w:kern w:val="0"/>
          <w:sz w:val="24"/>
          <w:szCs w:val="24"/>
          <w14:ligatures w14:val="none"/>
        </w:rPr>
        <w:t>S. aureus</w:t>
      </w:r>
      <w:r w:rsidRPr="00B4516C">
        <w:rPr>
          <w:rFonts w:ascii="Times New Roman" w:eastAsia="Times New Roman" w:hAnsi="Times New Roman" w:cs="Times New Roman"/>
          <w:kern w:val="0"/>
          <w:sz w:val="24"/>
          <w:szCs w:val="24"/>
          <w14:ligatures w14:val="none"/>
        </w:rPr>
        <w:t xml:space="preserve"> in UTIs among hospitalized patients suggests a potential nosocomial origin, often linked to invasive procedures such as catheterization. The pathogenicity of </w:t>
      </w:r>
      <w:r w:rsidRPr="00B4516C">
        <w:rPr>
          <w:rFonts w:ascii="Times New Roman" w:eastAsia="Times New Roman" w:hAnsi="Times New Roman" w:cs="Times New Roman"/>
          <w:i/>
          <w:iCs/>
          <w:kern w:val="0"/>
          <w:sz w:val="24"/>
          <w:szCs w:val="24"/>
          <w14:ligatures w14:val="none"/>
        </w:rPr>
        <w:t>S. aureus</w:t>
      </w:r>
      <w:r w:rsidRPr="00B4516C">
        <w:rPr>
          <w:rFonts w:ascii="Times New Roman" w:eastAsia="Times New Roman" w:hAnsi="Times New Roman" w:cs="Times New Roman"/>
          <w:kern w:val="0"/>
          <w:sz w:val="24"/>
          <w:szCs w:val="24"/>
          <w14:ligatures w14:val="none"/>
        </w:rPr>
        <w:t xml:space="preserve"> in UTIs is attributed to its ability to produce biofilms and an array of virulence factors, including surface proteins and toxins, which enhance its ability to colonize and p</w:t>
      </w:r>
      <w:r w:rsidR="003A52E9" w:rsidRPr="00B4516C">
        <w:rPr>
          <w:rFonts w:ascii="Times New Roman" w:eastAsia="Times New Roman" w:hAnsi="Times New Roman" w:cs="Times New Roman"/>
          <w:kern w:val="0"/>
          <w:sz w:val="24"/>
          <w:szCs w:val="24"/>
          <w14:ligatures w14:val="none"/>
        </w:rPr>
        <w:t>ersist within the urinary tract (</w:t>
      </w:r>
      <w:proofErr w:type="spellStart"/>
      <w:r w:rsidR="003A52E9" w:rsidRPr="00B4516C">
        <w:rPr>
          <w:rFonts w:ascii="Times New Roman" w:eastAsia="Times New Roman" w:hAnsi="Times New Roman" w:cs="Times New Roman"/>
          <w:sz w:val="24"/>
          <w:szCs w:val="24"/>
        </w:rPr>
        <w:t>Vandenesch</w:t>
      </w:r>
      <w:proofErr w:type="spellEnd"/>
      <w:r w:rsidR="003A52E9" w:rsidRPr="00B4516C">
        <w:rPr>
          <w:rFonts w:ascii="Times New Roman" w:eastAsia="Times New Roman" w:hAnsi="Times New Roman" w:cs="Times New Roman"/>
          <w:i/>
          <w:iCs/>
          <w:kern w:val="0"/>
          <w:sz w:val="24"/>
          <w:szCs w:val="24"/>
          <w14:ligatures w14:val="none"/>
        </w:rPr>
        <w:t xml:space="preserve"> et al.,</w:t>
      </w:r>
      <w:r w:rsidR="003A52E9" w:rsidRPr="00B4516C">
        <w:rPr>
          <w:rFonts w:ascii="Times New Roman" w:eastAsia="Times New Roman" w:hAnsi="Times New Roman" w:cs="Times New Roman"/>
          <w:iCs/>
          <w:kern w:val="0"/>
          <w:sz w:val="24"/>
          <w:szCs w:val="24"/>
          <w14:ligatures w14:val="none"/>
        </w:rPr>
        <w:t xml:space="preserve"> 2012). </w:t>
      </w:r>
      <w:r w:rsidRPr="00B4516C">
        <w:rPr>
          <w:rFonts w:ascii="Times New Roman" w:eastAsia="Times New Roman" w:hAnsi="Times New Roman" w:cs="Times New Roman"/>
          <w:i/>
          <w:iCs/>
          <w:kern w:val="0"/>
          <w:sz w:val="24"/>
          <w:szCs w:val="24"/>
          <w14:ligatures w14:val="none"/>
        </w:rPr>
        <w:t>Pseudomonas aeruginosa</w:t>
      </w:r>
      <w:r w:rsidRPr="00B4516C">
        <w:rPr>
          <w:rFonts w:ascii="Times New Roman" w:eastAsia="Times New Roman" w:hAnsi="Times New Roman" w:cs="Times New Roman"/>
          <w:kern w:val="0"/>
          <w:sz w:val="24"/>
          <w:szCs w:val="24"/>
          <w14:ligatures w14:val="none"/>
        </w:rPr>
        <w:t xml:space="preserve"> was the least frequently isolated pathogen</w:t>
      </w:r>
      <w:r w:rsidRPr="00B4516C">
        <w:rPr>
          <w:rFonts w:ascii="Times New Roman" w:eastAsia="Times New Roman" w:hAnsi="Times New Roman" w:cs="Times New Roman"/>
          <w:kern w:val="0"/>
          <w:sz w:val="24"/>
          <w:szCs w:val="24"/>
          <w:lang w:val="en-US"/>
          <w14:ligatures w14:val="none"/>
        </w:rPr>
        <w:t xml:space="preserve"> and</w:t>
      </w:r>
      <w:r w:rsidRPr="00B4516C">
        <w:rPr>
          <w:rFonts w:ascii="Times New Roman" w:eastAsia="Times New Roman" w:hAnsi="Times New Roman" w:cs="Times New Roman"/>
          <w:kern w:val="0"/>
          <w:sz w:val="24"/>
          <w:szCs w:val="24"/>
          <w14:ligatures w14:val="none"/>
        </w:rPr>
        <w:t xml:space="preserve"> despite its lower prevalence, </w:t>
      </w:r>
      <w:r w:rsidRPr="00B4516C">
        <w:rPr>
          <w:rFonts w:ascii="Times New Roman" w:eastAsia="Times New Roman" w:hAnsi="Times New Roman" w:cs="Times New Roman"/>
          <w:i/>
          <w:iCs/>
          <w:kern w:val="0"/>
          <w:sz w:val="24"/>
          <w:szCs w:val="24"/>
          <w14:ligatures w14:val="none"/>
        </w:rPr>
        <w:t>P. aeruginosa</w:t>
      </w:r>
      <w:r w:rsidRPr="00B4516C">
        <w:rPr>
          <w:rFonts w:ascii="Times New Roman" w:eastAsia="Times New Roman" w:hAnsi="Times New Roman" w:cs="Times New Roman"/>
          <w:kern w:val="0"/>
          <w:sz w:val="24"/>
          <w:szCs w:val="24"/>
          <w14:ligatures w14:val="none"/>
        </w:rPr>
        <w:t xml:space="preserve"> remains clinically significant due to its intrinsic resistance to many antibiotics a</w:t>
      </w:r>
      <w:r w:rsidR="00B23FA1" w:rsidRPr="00B4516C">
        <w:rPr>
          <w:rFonts w:ascii="Times New Roman" w:eastAsia="Times New Roman" w:hAnsi="Times New Roman" w:cs="Times New Roman"/>
          <w:kern w:val="0"/>
          <w:sz w:val="24"/>
          <w:szCs w:val="24"/>
          <w14:ligatures w14:val="none"/>
        </w:rPr>
        <w:t xml:space="preserve">nd its role in complicated UTIs (Pang </w:t>
      </w:r>
      <w:r w:rsidR="00B23FA1" w:rsidRPr="00B4516C">
        <w:rPr>
          <w:rFonts w:ascii="Times New Roman" w:eastAsia="Times New Roman" w:hAnsi="Times New Roman" w:cs="Times New Roman"/>
          <w:i/>
          <w:kern w:val="0"/>
          <w:sz w:val="24"/>
          <w:szCs w:val="24"/>
          <w14:ligatures w14:val="none"/>
        </w:rPr>
        <w:t>et al</w:t>
      </w:r>
      <w:r w:rsidR="00B23FA1" w:rsidRPr="00B4516C">
        <w:rPr>
          <w:rFonts w:ascii="Times New Roman" w:eastAsia="Times New Roman" w:hAnsi="Times New Roman" w:cs="Times New Roman"/>
          <w:kern w:val="0"/>
          <w:sz w:val="24"/>
          <w:szCs w:val="24"/>
          <w14:ligatures w14:val="none"/>
        </w:rPr>
        <w:t xml:space="preserve">., 2019). </w:t>
      </w:r>
      <w:r w:rsidRPr="00B4516C">
        <w:rPr>
          <w:rFonts w:ascii="Times New Roman" w:eastAsia="Times New Roman" w:hAnsi="Times New Roman" w:cs="Times New Roman"/>
          <w:kern w:val="0"/>
          <w:sz w:val="24"/>
          <w:szCs w:val="24"/>
          <w14:ligatures w14:val="none"/>
        </w:rPr>
        <w:t xml:space="preserve">This pathogen’s ability to survive in harsh environments, form biofilms, and resist antimicrobial treatments makes it a formidable cause of persistent infections, particularly among immunocompromised patients. The detection of </w:t>
      </w:r>
      <w:r w:rsidRPr="00B4516C">
        <w:rPr>
          <w:rFonts w:ascii="Times New Roman" w:eastAsia="Times New Roman" w:hAnsi="Times New Roman" w:cs="Times New Roman"/>
          <w:i/>
          <w:iCs/>
          <w:kern w:val="0"/>
          <w:sz w:val="24"/>
          <w:szCs w:val="24"/>
          <w14:ligatures w14:val="none"/>
        </w:rPr>
        <w:t>P. aeruginosa</w:t>
      </w:r>
      <w:r w:rsidRPr="00B4516C">
        <w:rPr>
          <w:rFonts w:ascii="Times New Roman" w:eastAsia="Times New Roman" w:hAnsi="Times New Roman" w:cs="Times New Roman"/>
          <w:kern w:val="0"/>
          <w:sz w:val="24"/>
          <w:szCs w:val="24"/>
          <w14:ligatures w14:val="none"/>
        </w:rPr>
        <w:t xml:space="preserve"> in this study is consistent with global trends, reinforcing its role in healthcare-associated infections and underscoring the need for vigilant antimicrobial stewardship</w:t>
      </w:r>
      <w:r w:rsidR="00846383" w:rsidRPr="00B4516C">
        <w:rPr>
          <w:rFonts w:ascii="Times New Roman" w:eastAsia="Times New Roman" w:hAnsi="Times New Roman" w:cs="Times New Roman"/>
          <w:kern w:val="0"/>
          <w:sz w:val="24"/>
          <w:szCs w:val="24"/>
          <w14:ligatures w14:val="none"/>
        </w:rPr>
        <w:t xml:space="preserve"> and infection control measures (</w:t>
      </w:r>
      <w:r w:rsidR="00846383" w:rsidRPr="00B4516C">
        <w:rPr>
          <w:rFonts w:ascii="Times New Roman" w:eastAsia="Times New Roman" w:hAnsi="Times New Roman" w:cs="Times New Roman"/>
          <w:sz w:val="24"/>
          <w:szCs w:val="24"/>
        </w:rPr>
        <w:t xml:space="preserve">Bonomo </w:t>
      </w:r>
      <w:r w:rsidR="00846383" w:rsidRPr="00B4516C">
        <w:rPr>
          <w:rFonts w:ascii="Times New Roman" w:eastAsia="Times New Roman" w:hAnsi="Times New Roman" w:cs="Times New Roman"/>
          <w:i/>
          <w:sz w:val="24"/>
          <w:szCs w:val="24"/>
        </w:rPr>
        <w:t>et al</w:t>
      </w:r>
      <w:r w:rsidR="00846383" w:rsidRPr="00B4516C">
        <w:rPr>
          <w:rFonts w:ascii="Times New Roman" w:eastAsia="Times New Roman" w:hAnsi="Times New Roman" w:cs="Times New Roman"/>
          <w:sz w:val="24"/>
          <w:szCs w:val="24"/>
        </w:rPr>
        <w:t>., 2018).</w:t>
      </w:r>
    </w:p>
    <w:p w14:paraId="617D3D1F" w14:textId="65F8830B" w:rsidR="006C5E52" w:rsidRPr="00B4516C" w:rsidRDefault="006C5E52" w:rsidP="006C5E52">
      <w:pPr>
        <w:spacing w:before="100" w:beforeAutospacing="1" w:after="0" w:line="480" w:lineRule="auto"/>
        <w:contextualSpacing/>
        <w:jc w:val="both"/>
        <w:rPr>
          <w:rFonts w:ascii="Times New Roman" w:hAnsi="Times New Roman" w:cs="Times New Roman"/>
          <w:sz w:val="24"/>
          <w:szCs w:val="24"/>
          <w:lang w:val="en-US"/>
        </w:rPr>
      </w:pPr>
      <w:r w:rsidRPr="00B4516C">
        <w:rPr>
          <w:rFonts w:ascii="Times New Roman" w:hAnsi="Times New Roman" w:cs="Times New Roman"/>
          <w:sz w:val="24"/>
          <w:szCs w:val="24"/>
        </w:rPr>
        <w:lastRenderedPageBreak/>
        <w:t>The phenotypic identification of bacterial pathogens in this study was based on conventional biochemical tests and cultural characteristics, which remain standard practices in clinical microbiology. These methods provide timely and reliable diagnoses that guide appropriate treatment decisions. However, incorporating molecular techniques such as polymerase chain reaction (PCR) could improve specificity and sensitivity, particularly in detecting resista</w:t>
      </w:r>
      <w:r w:rsidR="00284BC2" w:rsidRPr="00B4516C">
        <w:rPr>
          <w:rFonts w:ascii="Times New Roman" w:hAnsi="Times New Roman" w:cs="Times New Roman"/>
          <w:sz w:val="24"/>
          <w:szCs w:val="24"/>
        </w:rPr>
        <w:t>nce genes and virulence factors (</w:t>
      </w:r>
      <w:r w:rsidR="00284BC2" w:rsidRPr="00B4516C">
        <w:t>Zhang</w:t>
      </w:r>
      <w:r w:rsidR="00284BC2" w:rsidRPr="00B4516C">
        <w:rPr>
          <w:rFonts w:ascii="Times New Roman" w:hAnsi="Times New Roman" w:cs="Times New Roman"/>
          <w:sz w:val="24"/>
          <w:szCs w:val="24"/>
          <w:lang w:val="en-US"/>
        </w:rPr>
        <w:t xml:space="preserve"> </w:t>
      </w:r>
      <w:r w:rsidR="00284BC2" w:rsidRPr="00B4516C">
        <w:rPr>
          <w:rFonts w:ascii="Times New Roman" w:hAnsi="Times New Roman" w:cs="Times New Roman"/>
          <w:i/>
          <w:sz w:val="24"/>
          <w:szCs w:val="24"/>
          <w:lang w:val="en-US"/>
        </w:rPr>
        <w:t>et al</w:t>
      </w:r>
      <w:r w:rsidR="00284BC2" w:rsidRPr="00B4516C">
        <w:rPr>
          <w:rFonts w:ascii="Times New Roman" w:hAnsi="Times New Roman" w:cs="Times New Roman"/>
          <w:sz w:val="24"/>
          <w:szCs w:val="24"/>
          <w:lang w:val="en-US"/>
        </w:rPr>
        <w:t xml:space="preserve">., 2021). </w:t>
      </w:r>
      <w:r w:rsidRPr="00B4516C">
        <w:rPr>
          <w:rFonts w:ascii="Times New Roman" w:hAnsi="Times New Roman" w:cs="Times New Roman"/>
          <w:sz w:val="24"/>
          <w:szCs w:val="24"/>
          <w:lang w:val="en-US"/>
        </w:rPr>
        <w:t xml:space="preserve">In addition to the identification of prevalent pathogens, the study's findings highlight the need for individualized patient care and the importance of antimicrobial stewardship. Effective management of UTIs requires accurate identification of causative agents and susceptibility testing to guide appropriate antibiotic therapy </w:t>
      </w:r>
      <w:r w:rsidR="00B86967" w:rsidRPr="00B4516C">
        <w:rPr>
          <w:rFonts w:ascii="Times New Roman" w:hAnsi="Times New Roman" w:cs="Times New Roman"/>
          <w:sz w:val="24"/>
          <w:szCs w:val="24"/>
        </w:rPr>
        <w:t>(</w:t>
      </w:r>
      <w:r w:rsidR="00B86967" w:rsidRPr="00B4516C">
        <w:t>Zhang</w:t>
      </w:r>
      <w:r w:rsidR="00B86967" w:rsidRPr="00B4516C">
        <w:rPr>
          <w:rFonts w:ascii="Times New Roman" w:hAnsi="Times New Roman" w:cs="Times New Roman"/>
          <w:sz w:val="24"/>
          <w:szCs w:val="24"/>
          <w:lang w:val="en-US"/>
        </w:rPr>
        <w:t xml:space="preserve"> </w:t>
      </w:r>
      <w:r w:rsidR="00B86967" w:rsidRPr="00B4516C">
        <w:rPr>
          <w:rFonts w:ascii="Times New Roman" w:hAnsi="Times New Roman" w:cs="Times New Roman"/>
          <w:i/>
          <w:sz w:val="24"/>
          <w:szCs w:val="24"/>
          <w:lang w:val="en-US"/>
        </w:rPr>
        <w:t>et al</w:t>
      </w:r>
      <w:r w:rsidR="00B86967" w:rsidRPr="00B4516C">
        <w:rPr>
          <w:rFonts w:ascii="Times New Roman" w:hAnsi="Times New Roman" w:cs="Times New Roman"/>
          <w:sz w:val="24"/>
          <w:szCs w:val="24"/>
          <w:lang w:val="en-US"/>
        </w:rPr>
        <w:t xml:space="preserve">., 2021). </w:t>
      </w:r>
      <w:r w:rsidRPr="00B4516C">
        <w:rPr>
          <w:rFonts w:ascii="Times New Roman" w:hAnsi="Times New Roman" w:cs="Times New Roman"/>
          <w:sz w:val="24"/>
          <w:szCs w:val="24"/>
          <w:lang w:val="en-US"/>
        </w:rPr>
        <w:t>The diverse microbial profile observed in this study indicates that empirical treatment strategies must be informed by local epidemiological data to optimize therapeutic outcomes and minimize the development of resistance. Moreover, the high prevalence of UTIs in this study reflects broader trends observed globally. UTIs are among the most common infections worldwide, with significant morbidity and healthcare costs</w:t>
      </w:r>
      <w:r w:rsidR="00F95FC2" w:rsidRPr="00B4516C">
        <w:rPr>
          <w:rFonts w:ascii="Times New Roman" w:hAnsi="Times New Roman" w:cs="Times New Roman"/>
          <w:sz w:val="24"/>
          <w:szCs w:val="24"/>
          <w:lang w:val="en-US"/>
        </w:rPr>
        <w:t xml:space="preserve"> (</w:t>
      </w:r>
      <w:r w:rsidR="00F95FC2" w:rsidRPr="00B4516C">
        <w:rPr>
          <w:rFonts w:ascii="Times New Roman" w:hAnsi="Times New Roman" w:cs="Times New Roman"/>
          <w:sz w:val="24"/>
          <w:szCs w:val="24"/>
        </w:rPr>
        <w:t xml:space="preserve">Amiri </w:t>
      </w:r>
      <w:r w:rsidR="00F95FC2" w:rsidRPr="00B4516C">
        <w:rPr>
          <w:rFonts w:ascii="Times New Roman" w:hAnsi="Times New Roman" w:cs="Times New Roman"/>
          <w:i/>
          <w:sz w:val="24"/>
          <w:szCs w:val="24"/>
        </w:rPr>
        <w:t>et al</w:t>
      </w:r>
      <w:r w:rsidR="00F95FC2" w:rsidRPr="00B4516C">
        <w:rPr>
          <w:rFonts w:ascii="Times New Roman" w:hAnsi="Times New Roman" w:cs="Times New Roman"/>
          <w:sz w:val="24"/>
          <w:szCs w:val="24"/>
        </w:rPr>
        <w:t>., 2025</w:t>
      </w:r>
      <w:r w:rsidR="00F95FC2" w:rsidRPr="00B4516C">
        <w:rPr>
          <w:rFonts w:ascii="Times New Roman" w:hAnsi="Times New Roman" w:cs="Times New Roman"/>
          <w:sz w:val="24"/>
          <w:szCs w:val="24"/>
          <w:lang w:val="en-US"/>
        </w:rPr>
        <w:t>)</w:t>
      </w:r>
      <w:r w:rsidRPr="00B4516C">
        <w:rPr>
          <w:rFonts w:ascii="Times New Roman" w:hAnsi="Times New Roman" w:cs="Times New Roman"/>
          <w:sz w:val="24"/>
          <w:szCs w:val="24"/>
          <w:lang w:val="en-US"/>
        </w:rPr>
        <w:t>. The findings from this research contribute to the growing body of evidence highlighting the persistent and pervasive nature of UTIs in various populations and settings.</w:t>
      </w:r>
    </w:p>
    <w:p w14:paraId="1C9EBC7C" w14:textId="2ECBDF3A" w:rsidR="006C5E52" w:rsidRPr="00B4516C" w:rsidRDefault="006C5E52" w:rsidP="006C5E52">
      <w:pPr>
        <w:spacing w:before="100" w:beforeAutospacing="1"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 xml:space="preserve">The antibiogram analysis highlighted varying levels of antibiotic resistance among UTI pathogens, emphasizing the need for targeted antibiotic stewardship. Ciprofloxacin, a commonly prescribed fluoroquinolone, showed moderate effectiveness against </w:t>
      </w:r>
      <w:r w:rsidRPr="00B4516C">
        <w:rPr>
          <w:rFonts w:ascii="Times New Roman" w:hAnsi="Times New Roman" w:cs="Times New Roman"/>
          <w:i/>
          <w:iCs/>
          <w:sz w:val="24"/>
          <w:szCs w:val="24"/>
        </w:rPr>
        <w:t>Escherichia coli</w:t>
      </w:r>
      <w:r w:rsidRPr="00B4516C">
        <w:rPr>
          <w:rFonts w:ascii="Times New Roman" w:hAnsi="Times New Roman" w:cs="Times New Roman"/>
          <w:sz w:val="24"/>
          <w:szCs w:val="24"/>
        </w:rPr>
        <w:t xml:space="preserve"> in this study, with resistance patterns consistent with global trends. </w:t>
      </w:r>
      <w:r w:rsidR="00B43116" w:rsidRPr="00B4516C">
        <w:rPr>
          <w:rStyle w:val="text"/>
        </w:rPr>
        <w:t>Iqbal</w:t>
      </w:r>
      <w:r w:rsidR="00B43116" w:rsidRPr="00B4516C">
        <w:rPr>
          <w:rFonts w:ascii="Times New Roman" w:hAnsi="Times New Roman" w:cs="Times New Roman"/>
          <w:sz w:val="24"/>
          <w:szCs w:val="24"/>
        </w:rPr>
        <w:t xml:space="preserve"> </w:t>
      </w:r>
      <w:r w:rsidR="00B43116" w:rsidRPr="00B4516C">
        <w:rPr>
          <w:rFonts w:ascii="Times New Roman" w:hAnsi="Times New Roman" w:cs="Times New Roman"/>
          <w:i/>
          <w:sz w:val="24"/>
          <w:szCs w:val="24"/>
        </w:rPr>
        <w:t>et al</w:t>
      </w:r>
      <w:r w:rsidR="00B43116" w:rsidRPr="00B4516C">
        <w:rPr>
          <w:rFonts w:ascii="Times New Roman" w:hAnsi="Times New Roman" w:cs="Times New Roman"/>
          <w:sz w:val="24"/>
          <w:szCs w:val="24"/>
        </w:rPr>
        <w:t xml:space="preserve">. (2021) </w:t>
      </w:r>
      <w:r w:rsidRPr="00B4516C">
        <w:rPr>
          <w:rFonts w:ascii="Times New Roman" w:hAnsi="Times New Roman" w:cs="Times New Roman"/>
          <w:sz w:val="24"/>
          <w:szCs w:val="24"/>
        </w:rPr>
        <w:t xml:space="preserve">similarly reported increasing resistance among UTI pathogens, particularly </w:t>
      </w:r>
      <w:r w:rsidRPr="00B4516C">
        <w:rPr>
          <w:rFonts w:ascii="Times New Roman" w:hAnsi="Times New Roman" w:cs="Times New Roman"/>
          <w:i/>
          <w:iCs/>
          <w:sz w:val="24"/>
          <w:szCs w:val="24"/>
        </w:rPr>
        <w:t>E. coli</w:t>
      </w:r>
      <w:r w:rsidRPr="00B4516C">
        <w:rPr>
          <w:rFonts w:ascii="Times New Roman" w:hAnsi="Times New Roman" w:cs="Times New Roman"/>
          <w:sz w:val="24"/>
          <w:szCs w:val="24"/>
        </w:rPr>
        <w:t>, which raises concerns about the continued efficacy of fluoroquinolones in empirical therapy.</w:t>
      </w:r>
      <w:r w:rsidRPr="00B4516C">
        <w:rPr>
          <w:rFonts w:ascii="Times New Roman" w:hAnsi="Times New Roman" w:cs="Times New Roman"/>
          <w:sz w:val="24"/>
          <w:szCs w:val="24"/>
          <w:lang w:val="en-US"/>
        </w:rPr>
        <w:t xml:space="preserve"> </w:t>
      </w:r>
      <w:r w:rsidRPr="00B4516C">
        <w:rPr>
          <w:rFonts w:ascii="Times New Roman" w:hAnsi="Times New Roman" w:cs="Times New Roman"/>
          <w:sz w:val="24"/>
          <w:szCs w:val="24"/>
        </w:rPr>
        <w:t xml:space="preserve">Cefuroxime exhibited inconsistent susceptibility across bacterial isolates in this study, reinforcing the necessity of local resistance data to guide antibiotic selection. </w:t>
      </w:r>
      <w:r w:rsidR="001637D0" w:rsidRPr="00B4516C">
        <w:rPr>
          <w:rFonts w:ascii="Times New Roman" w:hAnsi="Times New Roman" w:cs="Times New Roman"/>
          <w:sz w:val="24"/>
          <w:szCs w:val="24"/>
        </w:rPr>
        <w:t>This</w:t>
      </w:r>
      <w:r w:rsidRPr="00B4516C">
        <w:rPr>
          <w:rFonts w:ascii="Times New Roman" w:hAnsi="Times New Roman" w:cs="Times New Roman"/>
          <w:sz w:val="24"/>
          <w:szCs w:val="24"/>
        </w:rPr>
        <w:t xml:space="preserve"> underscores the importance of routine antimicrobial surveillance to optimize treatment protocols.</w:t>
      </w:r>
      <w:r w:rsidRPr="00B4516C">
        <w:rPr>
          <w:rFonts w:ascii="Times New Roman" w:hAnsi="Times New Roman" w:cs="Times New Roman"/>
          <w:sz w:val="24"/>
          <w:szCs w:val="24"/>
          <w:lang w:val="en-US"/>
        </w:rPr>
        <w:t xml:space="preserve"> </w:t>
      </w:r>
      <w:r w:rsidRPr="00B4516C">
        <w:rPr>
          <w:rFonts w:ascii="Times New Roman" w:hAnsi="Times New Roman" w:cs="Times New Roman"/>
          <w:sz w:val="24"/>
          <w:szCs w:val="24"/>
        </w:rPr>
        <w:t xml:space="preserve">Oxacillin </w:t>
      </w:r>
      <w:r w:rsidRPr="00B4516C">
        <w:rPr>
          <w:rFonts w:ascii="Times New Roman" w:hAnsi="Times New Roman" w:cs="Times New Roman"/>
          <w:sz w:val="24"/>
          <w:szCs w:val="24"/>
        </w:rPr>
        <w:lastRenderedPageBreak/>
        <w:t xml:space="preserve">demonstrated minimal effectiveness, particularly against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xml:space="preserve">, which showed a high resistance rate. The widespread resistance observed in this study suggests the presence of methicillin-resistant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xml:space="preserve"> (MRSA) strains, a well-documented challenge in hospit</w:t>
      </w:r>
      <w:r w:rsidR="001637D0" w:rsidRPr="00B4516C">
        <w:rPr>
          <w:rFonts w:ascii="Times New Roman" w:hAnsi="Times New Roman" w:cs="Times New Roman"/>
          <w:sz w:val="24"/>
          <w:szCs w:val="24"/>
        </w:rPr>
        <w:t xml:space="preserve">al settings. </w:t>
      </w:r>
      <w:proofErr w:type="spellStart"/>
      <w:r w:rsidR="001637D0" w:rsidRPr="00B4516C">
        <w:rPr>
          <w:rFonts w:ascii="Times New Roman" w:hAnsi="Times New Roman" w:cs="Times New Roman"/>
          <w:sz w:val="24"/>
          <w:szCs w:val="24"/>
        </w:rPr>
        <w:t>Lakhundi</w:t>
      </w:r>
      <w:proofErr w:type="spellEnd"/>
      <w:r w:rsidR="001637D0" w:rsidRPr="00B4516C">
        <w:rPr>
          <w:rFonts w:ascii="Times New Roman" w:hAnsi="Times New Roman" w:cs="Times New Roman"/>
          <w:sz w:val="24"/>
          <w:szCs w:val="24"/>
        </w:rPr>
        <w:t xml:space="preserve"> and Zhang (2018) </w:t>
      </w:r>
      <w:r w:rsidRPr="00B4516C">
        <w:rPr>
          <w:rFonts w:ascii="Times New Roman" w:hAnsi="Times New Roman" w:cs="Times New Roman"/>
          <w:sz w:val="24"/>
          <w:szCs w:val="24"/>
        </w:rPr>
        <w:t>similarly highlighted the increasing prevalence of MRSA, emphasizing the need for stringent infection control measures and alternative treatment options.</w:t>
      </w:r>
      <w:r w:rsidRPr="00B4516C">
        <w:rPr>
          <w:rFonts w:ascii="Times New Roman" w:hAnsi="Times New Roman" w:cs="Times New Roman"/>
          <w:sz w:val="24"/>
          <w:szCs w:val="24"/>
          <w:lang w:val="en-US"/>
        </w:rPr>
        <w:t xml:space="preserve"> </w:t>
      </w:r>
      <w:r w:rsidRPr="00B4516C">
        <w:rPr>
          <w:rFonts w:ascii="Times New Roman" w:hAnsi="Times New Roman" w:cs="Times New Roman"/>
          <w:sz w:val="24"/>
          <w:szCs w:val="24"/>
        </w:rPr>
        <w:t xml:space="preserve">Amoxicillin-clavulanic acid remained a viable treatment option for </w:t>
      </w:r>
      <w:r w:rsidRPr="00B4516C">
        <w:rPr>
          <w:rFonts w:ascii="Times New Roman" w:hAnsi="Times New Roman" w:cs="Times New Roman"/>
          <w:i/>
          <w:iCs/>
          <w:sz w:val="24"/>
          <w:szCs w:val="24"/>
        </w:rPr>
        <w:t>E. coli</w:t>
      </w:r>
      <w:r w:rsidRPr="00B4516C">
        <w:rPr>
          <w:rFonts w:ascii="Times New Roman" w:hAnsi="Times New Roman" w:cs="Times New Roman"/>
          <w:sz w:val="24"/>
          <w:szCs w:val="24"/>
        </w:rPr>
        <w:t xml:space="preserve"> and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xml:space="preserve"> in this study, despite observed resistance. Huttner </w:t>
      </w:r>
      <w:r w:rsidRPr="00B4516C">
        <w:rPr>
          <w:rFonts w:ascii="Times New Roman" w:hAnsi="Times New Roman" w:cs="Times New Roman"/>
          <w:i/>
          <w:iCs/>
          <w:sz w:val="24"/>
          <w:szCs w:val="24"/>
        </w:rPr>
        <w:t>et al</w:t>
      </w:r>
      <w:r w:rsidR="00DA1E7C" w:rsidRPr="00B4516C">
        <w:rPr>
          <w:rFonts w:ascii="Times New Roman" w:hAnsi="Times New Roman" w:cs="Times New Roman"/>
          <w:sz w:val="24"/>
          <w:szCs w:val="24"/>
        </w:rPr>
        <w:t xml:space="preserve">. (2020) </w:t>
      </w:r>
      <w:r w:rsidRPr="00B4516C">
        <w:rPr>
          <w:rFonts w:ascii="Times New Roman" w:hAnsi="Times New Roman" w:cs="Times New Roman"/>
          <w:sz w:val="24"/>
          <w:szCs w:val="24"/>
        </w:rPr>
        <w:t>similarl</w:t>
      </w:r>
      <w:r w:rsidR="00791CC8" w:rsidRPr="00B4516C">
        <w:rPr>
          <w:rFonts w:ascii="Times New Roman" w:hAnsi="Times New Roman" w:cs="Times New Roman"/>
          <w:sz w:val="24"/>
          <w:szCs w:val="24"/>
        </w:rPr>
        <w:t>y noted that</w:t>
      </w:r>
      <w:r w:rsidR="00DA1E7C" w:rsidRPr="00B4516C">
        <w:rPr>
          <w:rFonts w:ascii="Times New Roman" w:hAnsi="Times New Roman" w:cs="Times New Roman"/>
          <w:sz w:val="24"/>
          <w:szCs w:val="24"/>
        </w:rPr>
        <w:t xml:space="preserve"> </w:t>
      </w:r>
      <w:r w:rsidRPr="00B4516C">
        <w:rPr>
          <w:rFonts w:ascii="Times New Roman" w:hAnsi="Times New Roman" w:cs="Times New Roman"/>
          <w:sz w:val="24"/>
          <w:szCs w:val="24"/>
        </w:rPr>
        <w:t>while amoxicillin-clavulanic acid retains effectiveness in UTI management, emerging resistance necessitates cautious use. The observed resistance patterns reinforce the need for periodic susceptibility testing to ensure optimal antibiotic selection.</w:t>
      </w:r>
    </w:p>
    <w:p w14:paraId="10B19BF2" w14:textId="363AD5A0" w:rsidR="006C5E52" w:rsidRPr="00B4516C" w:rsidRDefault="006C5E52" w:rsidP="006C5E52">
      <w:pPr>
        <w:spacing w:before="100" w:beforeAutospacing="1"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 xml:space="preserve">Erythromycin demonstrated moderate effectiveness against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xml:space="preserve"> in this study, whereas </w:t>
      </w:r>
      <w:r w:rsidRPr="00B4516C">
        <w:rPr>
          <w:rFonts w:ascii="Times New Roman" w:hAnsi="Times New Roman" w:cs="Times New Roman"/>
          <w:i/>
          <w:iCs/>
          <w:sz w:val="24"/>
          <w:szCs w:val="24"/>
        </w:rPr>
        <w:t>E. coli</w:t>
      </w:r>
      <w:r w:rsidRPr="00B4516C">
        <w:rPr>
          <w:rFonts w:ascii="Times New Roman" w:hAnsi="Times New Roman" w:cs="Times New Roman"/>
          <w:sz w:val="24"/>
          <w:szCs w:val="24"/>
        </w:rPr>
        <w:t xml:space="preserve"> and </w:t>
      </w:r>
      <w:r w:rsidRPr="00B4516C">
        <w:rPr>
          <w:rFonts w:ascii="Times New Roman" w:hAnsi="Times New Roman" w:cs="Times New Roman"/>
          <w:i/>
          <w:iCs/>
          <w:sz w:val="24"/>
          <w:szCs w:val="24"/>
        </w:rPr>
        <w:t>P. aeruginosa</w:t>
      </w:r>
      <w:r w:rsidRPr="00B4516C">
        <w:rPr>
          <w:rFonts w:ascii="Times New Roman" w:hAnsi="Times New Roman" w:cs="Times New Roman"/>
          <w:sz w:val="24"/>
          <w:szCs w:val="24"/>
        </w:rPr>
        <w:t xml:space="preserve"> showed variable susceptibility. These findings alig</w:t>
      </w:r>
      <w:r w:rsidR="00283572" w:rsidRPr="00B4516C">
        <w:rPr>
          <w:rFonts w:ascii="Times New Roman" w:hAnsi="Times New Roman" w:cs="Times New Roman"/>
          <w:sz w:val="24"/>
          <w:szCs w:val="24"/>
        </w:rPr>
        <w:t xml:space="preserve">n with those of </w:t>
      </w:r>
      <w:proofErr w:type="spellStart"/>
      <w:r w:rsidR="00283572" w:rsidRPr="00B4516C">
        <w:rPr>
          <w:rFonts w:ascii="Times New Roman" w:hAnsi="Times New Roman" w:cs="Times New Roman"/>
          <w:sz w:val="24"/>
          <w:szCs w:val="24"/>
        </w:rPr>
        <w:t>Saginur</w:t>
      </w:r>
      <w:proofErr w:type="spellEnd"/>
      <w:r w:rsidR="00283572" w:rsidRPr="00B4516C">
        <w:rPr>
          <w:rFonts w:ascii="Times New Roman" w:hAnsi="Times New Roman" w:cs="Times New Roman"/>
          <w:sz w:val="24"/>
          <w:szCs w:val="24"/>
        </w:rPr>
        <w:t xml:space="preserve"> and Suh (</w:t>
      </w:r>
      <w:proofErr w:type="spellStart"/>
      <w:r w:rsidR="00283572" w:rsidRPr="00B4516C">
        <w:rPr>
          <w:rFonts w:ascii="Times New Roman" w:hAnsi="Times New Roman" w:cs="Times New Roman"/>
          <w:sz w:val="24"/>
          <w:szCs w:val="24"/>
        </w:rPr>
        <w:t>Asim</w:t>
      </w:r>
      <w:proofErr w:type="spellEnd"/>
      <w:r w:rsidR="00283572" w:rsidRPr="00B4516C">
        <w:rPr>
          <w:rFonts w:ascii="Times New Roman" w:hAnsi="Times New Roman" w:cs="Times New Roman"/>
          <w:sz w:val="24"/>
          <w:szCs w:val="24"/>
        </w:rPr>
        <w:t xml:space="preserve"> </w:t>
      </w:r>
      <w:r w:rsidR="00283572" w:rsidRPr="00B4516C">
        <w:rPr>
          <w:rFonts w:ascii="Times New Roman" w:hAnsi="Times New Roman" w:cs="Times New Roman"/>
          <w:i/>
          <w:sz w:val="24"/>
          <w:szCs w:val="24"/>
        </w:rPr>
        <w:t>et al</w:t>
      </w:r>
      <w:r w:rsidR="00283572" w:rsidRPr="00B4516C">
        <w:rPr>
          <w:rFonts w:ascii="Times New Roman" w:hAnsi="Times New Roman" w:cs="Times New Roman"/>
          <w:sz w:val="24"/>
          <w:szCs w:val="24"/>
        </w:rPr>
        <w:t>., 2017),</w:t>
      </w:r>
      <w:r w:rsidRPr="00B4516C">
        <w:rPr>
          <w:rFonts w:ascii="Times New Roman" w:hAnsi="Times New Roman" w:cs="Times New Roman"/>
          <w:sz w:val="24"/>
          <w:szCs w:val="24"/>
        </w:rPr>
        <w:t xml:space="preserve"> who reported fluctuating erythromycin resistance among UTI pathogens, reinforcing the necessity of routine antimicrobial testing to guide clinical decisions.</w:t>
      </w:r>
    </w:p>
    <w:p w14:paraId="08B83D8D" w14:textId="6922D87E" w:rsidR="006C5E52" w:rsidRPr="00B4516C" w:rsidRDefault="006C5E52" w:rsidP="006C5E52">
      <w:pPr>
        <w:spacing w:before="100" w:beforeAutospacing="1"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 xml:space="preserve">Imipenem exhibited high effectiveness across all tested pathogens, particularly against </w:t>
      </w:r>
      <w:r w:rsidRPr="00B4516C">
        <w:rPr>
          <w:rFonts w:ascii="Times New Roman" w:hAnsi="Times New Roman" w:cs="Times New Roman"/>
          <w:i/>
          <w:iCs/>
          <w:sz w:val="24"/>
          <w:szCs w:val="24"/>
        </w:rPr>
        <w:t>P. aeruginosa</w:t>
      </w:r>
      <w:r w:rsidRPr="00B4516C">
        <w:rPr>
          <w:rFonts w:ascii="Times New Roman" w:hAnsi="Times New Roman" w:cs="Times New Roman"/>
          <w:sz w:val="24"/>
          <w:szCs w:val="24"/>
        </w:rPr>
        <w:t xml:space="preserve">, which showed complete sensitivity. This supports its role as a potent treatment for severe or complicated UTIs. Similarly, </w:t>
      </w:r>
      <w:r w:rsidR="00AF2E0A" w:rsidRPr="00B4516C">
        <w:rPr>
          <w:rFonts w:ascii="Times New Roman" w:hAnsi="Times New Roman" w:cs="Times New Roman"/>
          <w:sz w:val="24"/>
          <w:szCs w:val="24"/>
        </w:rPr>
        <w:t>Chen</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et al</w:t>
      </w:r>
      <w:r w:rsidR="00AF2E0A" w:rsidRPr="00B4516C">
        <w:rPr>
          <w:rFonts w:ascii="Times New Roman" w:hAnsi="Times New Roman" w:cs="Times New Roman"/>
          <w:sz w:val="24"/>
          <w:szCs w:val="24"/>
        </w:rPr>
        <w:t xml:space="preserve">. (2021) </w:t>
      </w:r>
      <w:r w:rsidRPr="00B4516C">
        <w:rPr>
          <w:rFonts w:ascii="Times New Roman" w:hAnsi="Times New Roman" w:cs="Times New Roman"/>
          <w:sz w:val="24"/>
          <w:szCs w:val="24"/>
        </w:rPr>
        <w:t>highlighted the critical role of carbapenems in managing multidrug-resistant infections, cautioning against overuse to prevent the emergence of carbapenem-resistant strains.</w:t>
      </w:r>
      <w:r w:rsidRPr="00B4516C">
        <w:rPr>
          <w:rFonts w:ascii="Times New Roman" w:hAnsi="Times New Roman" w:cs="Times New Roman"/>
          <w:sz w:val="24"/>
          <w:szCs w:val="24"/>
          <w:lang w:val="en-US"/>
        </w:rPr>
        <w:t xml:space="preserve"> </w:t>
      </w:r>
      <w:r w:rsidRPr="00B4516C">
        <w:rPr>
          <w:rFonts w:ascii="Times New Roman" w:hAnsi="Times New Roman" w:cs="Times New Roman"/>
          <w:sz w:val="24"/>
          <w:szCs w:val="24"/>
        </w:rPr>
        <w:t xml:space="preserve">Ceftriaxone displayed significant resistance among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xml:space="preserve"> and </w:t>
      </w:r>
      <w:r w:rsidRPr="00B4516C">
        <w:rPr>
          <w:rFonts w:ascii="Times New Roman" w:hAnsi="Times New Roman" w:cs="Times New Roman"/>
          <w:i/>
          <w:iCs/>
          <w:sz w:val="24"/>
          <w:szCs w:val="24"/>
        </w:rPr>
        <w:t>E. coli</w:t>
      </w:r>
      <w:r w:rsidRPr="00B4516C">
        <w:rPr>
          <w:rFonts w:ascii="Times New Roman" w:hAnsi="Times New Roman" w:cs="Times New Roman"/>
          <w:sz w:val="24"/>
          <w:szCs w:val="24"/>
        </w:rPr>
        <w:t xml:space="preserve"> in this study, indicating potential limitations in its empirical use for UTI treatment. Such trends highlight the need for alternative therapeutic options in resistant cases.</w:t>
      </w:r>
    </w:p>
    <w:p w14:paraId="1F1E0B43" w14:textId="2C2A259D" w:rsidR="006C5E52" w:rsidRPr="00B4516C" w:rsidRDefault="006C5E52" w:rsidP="006C5E52">
      <w:pPr>
        <w:spacing w:before="100" w:beforeAutospacing="1" w:after="0" w:line="480" w:lineRule="auto"/>
        <w:contextualSpacing/>
        <w:jc w:val="both"/>
        <w:rPr>
          <w:rFonts w:ascii="Times New Roman" w:hAnsi="Times New Roman" w:cs="Times New Roman"/>
          <w:sz w:val="24"/>
          <w:szCs w:val="24"/>
        </w:rPr>
      </w:pPr>
      <w:r w:rsidRPr="00B4516C">
        <w:rPr>
          <w:rFonts w:ascii="Times New Roman" w:hAnsi="Times New Roman" w:cs="Times New Roman"/>
          <w:sz w:val="24"/>
          <w:szCs w:val="24"/>
        </w:rPr>
        <w:t xml:space="preserve">Cefepime demonstrated strong activity against </w:t>
      </w:r>
      <w:r w:rsidRPr="00B4516C">
        <w:rPr>
          <w:rFonts w:ascii="Times New Roman" w:hAnsi="Times New Roman" w:cs="Times New Roman"/>
          <w:i/>
          <w:iCs/>
          <w:sz w:val="24"/>
          <w:szCs w:val="24"/>
        </w:rPr>
        <w:t>S. aureus</w:t>
      </w:r>
      <w:r w:rsidRPr="00B4516C">
        <w:rPr>
          <w:rFonts w:ascii="Times New Roman" w:hAnsi="Times New Roman" w:cs="Times New Roman"/>
          <w:sz w:val="24"/>
          <w:szCs w:val="24"/>
        </w:rPr>
        <w:t xml:space="preserve"> and </w:t>
      </w:r>
      <w:r w:rsidRPr="00B4516C">
        <w:rPr>
          <w:rFonts w:ascii="Times New Roman" w:hAnsi="Times New Roman" w:cs="Times New Roman"/>
          <w:i/>
          <w:iCs/>
          <w:sz w:val="24"/>
          <w:szCs w:val="24"/>
        </w:rPr>
        <w:t>P. aeruginosa</w:t>
      </w:r>
      <w:r w:rsidRPr="00B4516C">
        <w:rPr>
          <w:rFonts w:ascii="Times New Roman" w:hAnsi="Times New Roman" w:cs="Times New Roman"/>
          <w:sz w:val="24"/>
          <w:szCs w:val="24"/>
        </w:rPr>
        <w:t xml:space="preserve"> in this study, making it a reliable option for treating UTIs caused by multidrug-resistant organisms. This </w:t>
      </w:r>
      <w:r w:rsidRPr="00B4516C">
        <w:rPr>
          <w:rFonts w:ascii="Times New Roman" w:hAnsi="Times New Roman" w:cs="Times New Roman"/>
          <w:sz w:val="24"/>
          <w:szCs w:val="24"/>
        </w:rPr>
        <w:lastRenderedPageBreak/>
        <w:t xml:space="preserve">aligns with the observations of </w:t>
      </w:r>
      <w:r w:rsidR="00AF2E0A" w:rsidRPr="00B4516C">
        <w:rPr>
          <w:rStyle w:val="text"/>
          <w:rFonts w:ascii="Times New Roman" w:hAnsi="Times New Roman" w:cs="Times New Roman"/>
          <w:sz w:val="24"/>
          <w:szCs w:val="24"/>
        </w:rPr>
        <w:t>Bonnin</w:t>
      </w:r>
      <w:r w:rsidR="00AF2E0A" w:rsidRPr="00B4516C">
        <w:rPr>
          <w:rFonts w:ascii="Times New Roman" w:hAnsi="Times New Roman" w:cs="Times New Roman"/>
          <w:i/>
          <w:iCs/>
          <w:sz w:val="24"/>
          <w:szCs w:val="24"/>
        </w:rPr>
        <w:t xml:space="preserve"> </w:t>
      </w:r>
      <w:r w:rsidRPr="00B4516C">
        <w:rPr>
          <w:rFonts w:ascii="Times New Roman" w:hAnsi="Times New Roman" w:cs="Times New Roman"/>
          <w:i/>
          <w:iCs/>
          <w:sz w:val="24"/>
          <w:szCs w:val="24"/>
        </w:rPr>
        <w:t>et al</w:t>
      </w:r>
      <w:r w:rsidR="00AF2E0A" w:rsidRPr="00B4516C">
        <w:rPr>
          <w:rFonts w:ascii="Times New Roman" w:hAnsi="Times New Roman" w:cs="Times New Roman"/>
          <w:sz w:val="24"/>
          <w:szCs w:val="24"/>
        </w:rPr>
        <w:t>. (2025)</w:t>
      </w:r>
      <w:r w:rsidRPr="00B4516C">
        <w:rPr>
          <w:rFonts w:ascii="Times New Roman" w:hAnsi="Times New Roman" w:cs="Times New Roman"/>
          <w:sz w:val="24"/>
          <w:szCs w:val="24"/>
        </w:rPr>
        <w:t xml:space="preserve">, who reported cefepime as a potent treatment choice against resistant Gram-negative bacteria. </w:t>
      </w:r>
    </w:p>
    <w:p w14:paraId="105DA2C2" w14:textId="3CBDA710" w:rsidR="006C5E52" w:rsidRPr="00B4516C" w:rsidRDefault="006C5E52" w:rsidP="006C5E52">
      <w:pPr>
        <w:spacing w:before="100" w:beforeAutospacing="1" w:after="0" w:line="480" w:lineRule="auto"/>
        <w:contextualSpacing/>
        <w:jc w:val="both"/>
        <w:rPr>
          <w:rFonts w:ascii="Times New Roman" w:hAnsi="Times New Roman" w:cs="Times New Roman"/>
          <w:b/>
          <w:bCs/>
          <w:sz w:val="24"/>
          <w:szCs w:val="24"/>
          <w:lang w:val="en-US"/>
        </w:rPr>
      </w:pPr>
      <w:r w:rsidRPr="00B4516C">
        <w:rPr>
          <w:rFonts w:ascii="Times New Roman" w:hAnsi="Times New Roman" w:cs="Times New Roman"/>
          <w:b/>
          <w:bCs/>
          <w:sz w:val="24"/>
          <w:szCs w:val="24"/>
          <w:lang w:val="en-US"/>
        </w:rPr>
        <w:t>CONCLUSION</w:t>
      </w:r>
    </w:p>
    <w:p w14:paraId="5EA2D64A" w14:textId="1F64ADA5" w:rsidR="006C5E52" w:rsidRDefault="006C5E52" w:rsidP="006C5E52">
      <w:pPr>
        <w:spacing w:before="100" w:beforeAutospacing="1" w:after="0" w:line="480" w:lineRule="auto"/>
        <w:contextualSpacing/>
        <w:jc w:val="both"/>
        <w:rPr>
          <w:rFonts w:ascii="Times New Roman" w:hAnsi="Times New Roman" w:cs="Times New Roman"/>
          <w:sz w:val="24"/>
          <w:szCs w:val="24"/>
          <w:lang w:val="en-US"/>
        </w:rPr>
      </w:pPr>
      <w:r w:rsidRPr="00B4516C">
        <w:rPr>
          <w:rFonts w:ascii="Times New Roman" w:hAnsi="Times New Roman" w:cs="Times New Roman"/>
          <w:sz w:val="24"/>
          <w:szCs w:val="24"/>
          <w:lang w:val="en-US"/>
        </w:rPr>
        <w:t xml:space="preserve">This study found that the main bacterial isolates causing UTIs in female patients at Edo Specialist Hospital were </w:t>
      </w:r>
      <w:r w:rsidRPr="00B4516C">
        <w:rPr>
          <w:rFonts w:ascii="Times New Roman" w:hAnsi="Times New Roman" w:cs="Times New Roman"/>
          <w:i/>
          <w:iCs/>
          <w:sz w:val="24"/>
          <w:szCs w:val="24"/>
          <w:lang w:val="en-US"/>
        </w:rPr>
        <w:t>Escherichia coli, Staphylococcus aureus</w:t>
      </w:r>
      <w:r w:rsidRPr="00B4516C">
        <w:rPr>
          <w:rFonts w:ascii="Times New Roman" w:hAnsi="Times New Roman" w:cs="Times New Roman"/>
          <w:sz w:val="24"/>
          <w:szCs w:val="24"/>
          <w:lang w:val="en-US"/>
        </w:rPr>
        <w:t xml:space="preserve">, and </w:t>
      </w:r>
      <w:r w:rsidRPr="00B4516C">
        <w:rPr>
          <w:rFonts w:ascii="Times New Roman" w:hAnsi="Times New Roman" w:cs="Times New Roman"/>
          <w:i/>
          <w:iCs/>
          <w:sz w:val="24"/>
          <w:szCs w:val="24"/>
          <w:lang w:val="en-US"/>
        </w:rPr>
        <w:t>Pseudomonas aeruginosa</w:t>
      </w:r>
      <w:r w:rsidRPr="00B4516C">
        <w:rPr>
          <w:rFonts w:ascii="Times New Roman" w:hAnsi="Times New Roman" w:cs="Times New Roman"/>
          <w:sz w:val="24"/>
          <w:szCs w:val="24"/>
          <w:lang w:val="en-US"/>
        </w:rPr>
        <w:t>. The results make clear how serious the problem of multidrug resistance is and how important it is to create novel treatment approaches, efficient antibiotic stewardship practices, and focused prevention measures.</w:t>
      </w:r>
    </w:p>
    <w:p w14:paraId="54435C3A" w14:textId="77777777" w:rsidR="0002518D" w:rsidRDefault="0002518D" w:rsidP="006C5E52">
      <w:pPr>
        <w:spacing w:before="100" w:beforeAutospacing="1" w:after="0" w:line="480" w:lineRule="auto"/>
        <w:contextualSpacing/>
        <w:jc w:val="both"/>
        <w:rPr>
          <w:rFonts w:ascii="Times New Roman" w:hAnsi="Times New Roman" w:cs="Times New Roman"/>
          <w:sz w:val="24"/>
          <w:szCs w:val="24"/>
          <w:lang w:val="en-US"/>
        </w:rPr>
      </w:pPr>
    </w:p>
    <w:p w14:paraId="7FD0662E" w14:textId="77777777" w:rsidR="0002518D" w:rsidRPr="0002518D" w:rsidRDefault="0002518D" w:rsidP="0002518D">
      <w:pPr>
        <w:spacing w:before="100" w:beforeAutospacing="1" w:after="0" w:line="480" w:lineRule="auto"/>
        <w:contextualSpacing/>
        <w:jc w:val="both"/>
        <w:rPr>
          <w:rFonts w:ascii="Times New Roman" w:hAnsi="Times New Roman" w:cs="Times New Roman"/>
          <w:sz w:val="24"/>
          <w:szCs w:val="24"/>
          <w:lang w:val="en-US"/>
        </w:rPr>
      </w:pPr>
      <w:r w:rsidRPr="0002518D">
        <w:rPr>
          <w:rFonts w:ascii="Times New Roman" w:hAnsi="Times New Roman" w:cs="Times New Roman"/>
          <w:sz w:val="24"/>
          <w:szCs w:val="24"/>
          <w:lang w:val="en-US"/>
        </w:rPr>
        <w:t>COMPETING INTERESTS DISCLAIMER:</w:t>
      </w:r>
    </w:p>
    <w:p w14:paraId="2C7EF81F" w14:textId="0A116331" w:rsidR="0002518D" w:rsidRDefault="0002518D" w:rsidP="0002518D">
      <w:pPr>
        <w:spacing w:before="100" w:beforeAutospacing="1" w:after="0" w:line="480" w:lineRule="auto"/>
        <w:contextualSpacing/>
        <w:jc w:val="both"/>
        <w:rPr>
          <w:rFonts w:ascii="Times New Roman" w:hAnsi="Times New Roman" w:cs="Times New Roman"/>
          <w:sz w:val="24"/>
          <w:szCs w:val="24"/>
          <w:lang w:val="en-US"/>
        </w:rPr>
      </w:pPr>
      <w:r w:rsidRPr="0002518D">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5816FCBB" w14:textId="04EA790A" w:rsidR="005B04E4" w:rsidRDefault="005B04E4" w:rsidP="0002518D">
      <w:pPr>
        <w:spacing w:before="100" w:beforeAutospacing="1" w:after="0" w:line="480" w:lineRule="auto"/>
        <w:contextualSpacing/>
        <w:jc w:val="both"/>
        <w:rPr>
          <w:rFonts w:ascii="Times New Roman" w:hAnsi="Times New Roman" w:cs="Times New Roman"/>
          <w:sz w:val="24"/>
          <w:szCs w:val="24"/>
          <w:lang w:val="en-US"/>
        </w:rPr>
      </w:pPr>
    </w:p>
    <w:p w14:paraId="48DD8FFB" w14:textId="77777777" w:rsidR="005B04E4" w:rsidRPr="003055E5" w:rsidRDefault="005B04E4" w:rsidP="005B04E4">
      <w:pPr>
        <w:rPr>
          <w:highlight w:val="green"/>
        </w:rPr>
      </w:pPr>
      <w:r w:rsidRPr="003055E5">
        <w:rPr>
          <w:highlight w:val="green"/>
        </w:rPr>
        <w:t>Disclaimer (Artificial intelligence)</w:t>
      </w:r>
    </w:p>
    <w:p w14:paraId="76E97A5B" w14:textId="77777777" w:rsidR="005B04E4" w:rsidRPr="003055E5" w:rsidRDefault="005B04E4" w:rsidP="005B04E4">
      <w:pPr>
        <w:rPr>
          <w:highlight w:val="green"/>
        </w:rPr>
      </w:pPr>
    </w:p>
    <w:p w14:paraId="7607DDA8" w14:textId="77777777" w:rsidR="005B04E4" w:rsidRPr="003055E5" w:rsidRDefault="005B04E4" w:rsidP="005B04E4">
      <w:pPr>
        <w:rPr>
          <w:highlight w:val="green"/>
        </w:rPr>
      </w:pPr>
      <w:r w:rsidRPr="003055E5">
        <w:rPr>
          <w:highlight w:val="green"/>
        </w:rPr>
        <w:t xml:space="preserve">Option 1: </w:t>
      </w:r>
    </w:p>
    <w:p w14:paraId="26CF65C0" w14:textId="77777777" w:rsidR="005B04E4" w:rsidRPr="003055E5" w:rsidRDefault="005B04E4" w:rsidP="005B04E4">
      <w:pPr>
        <w:rPr>
          <w:highlight w:val="green"/>
        </w:rPr>
      </w:pPr>
    </w:p>
    <w:p w14:paraId="7D7F49FE" w14:textId="77777777" w:rsidR="005B04E4" w:rsidRPr="003055E5" w:rsidRDefault="005B04E4" w:rsidP="005B04E4">
      <w:r w:rsidRPr="003055E5">
        <w:rPr>
          <w:highlight w:val="green"/>
        </w:rPr>
        <w:t>Author(s) hereby declare that NO generative AI technologies such as Large Language Models (</w:t>
      </w:r>
      <w:proofErr w:type="spellStart"/>
      <w:r w:rsidRPr="003055E5">
        <w:rPr>
          <w:highlight w:val="green"/>
        </w:rPr>
        <w:t>ChatGPT</w:t>
      </w:r>
      <w:proofErr w:type="spellEnd"/>
      <w:r w:rsidRPr="003055E5">
        <w:rPr>
          <w:highlight w:val="green"/>
        </w:rPr>
        <w:t>, COPILOT, etc.) and text-to-image generators have been used during the writing or editing of this manuscript.</w:t>
      </w:r>
      <w:r w:rsidRPr="003055E5">
        <w:t xml:space="preserve"> </w:t>
      </w:r>
    </w:p>
    <w:p w14:paraId="17468DE9" w14:textId="77777777" w:rsidR="005B04E4" w:rsidRPr="003055E5" w:rsidRDefault="005B04E4" w:rsidP="005B04E4"/>
    <w:p w14:paraId="323225B6" w14:textId="77777777" w:rsidR="005B04E4" w:rsidRPr="00B4516C" w:rsidRDefault="005B04E4" w:rsidP="0002518D">
      <w:pPr>
        <w:spacing w:before="100" w:beforeAutospacing="1" w:after="0" w:line="480" w:lineRule="auto"/>
        <w:contextualSpacing/>
        <w:jc w:val="both"/>
        <w:rPr>
          <w:rFonts w:ascii="Times New Roman" w:hAnsi="Times New Roman" w:cs="Times New Roman"/>
          <w:sz w:val="24"/>
          <w:szCs w:val="24"/>
          <w:lang w:val="en-US"/>
        </w:rPr>
      </w:pPr>
    </w:p>
    <w:p w14:paraId="3374BCCC" w14:textId="4730655B" w:rsidR="006C5E52" w:rsidRPr="00B4516C" w:rsidRDefault="00B83D22" w:rsidP="003E0A6F">
      <w:pPr>
        <w:spacing w:before="100" w:beforeAutospacing="1" w:after="0" w:line="480" w:lineRule="auto"/>
        <w:contextualSpacing/>
        <w:jc w:val="both"/>
        <w:rPr>
          <w:rFonts w:ascii="Times New Roman" w:hAnsi="Times New Roman" w:cs="Times New Roman"/>
          <w:b/>
          <w:bCs/>
          <w:sz w:val="24"/>
          <w:szCs w:val="24"/>
        </w:rPr>
      </w:pPr>
      <w:r w:rsidRPr="00B4516C">
        <w:rPr>
          <w:rFonts w:ascii="Times New Roman" w:hAnsi="Times New Roman" w:cs="Times New Roman"/>
          <w:b/>
          <w:bCs/>
          <w:sz w:val="24"/>
          <w:szCs w:val="24"/>
        </w:rPr>
        <w:t>REFERENCES</w:t>
      </w:r>
    </w:p>
    <w:p w14:paraId="0318C37B" w14:textId="77777777" w:rsidR="003E0A6F" w:rsidRPr="00B4516C" w:rsidRDefault="003E0A6F" w:rsidP="003E0A6F">
      <w:pPr>
        <w:spacing w:line="240" w:lineRule="auto"/>
        <w:jc w:val="both"/>
        <w:rPr>
          <w:rFonts w:ascii="Times New Roman" w:hAnsi="Times New Roman" w:cs="Times New Roman"/>
          <w:sz w:val="24"/>
          <w:szCs w:val="24"/>
          <w:lang w:val="en-US"/>
        </w:rPr>
      </w:pPr>
      <w:r w:rsidRPr="00B4516C">
        <w:rPr>
          <w:rFonts w:ascii="Times New Roman" w:hAnsi="Times New Roman" w:cs="Times New Roman"/>
          <w:sz w:val="24"/>
          <w:szCs w:val="24"/>
        </w:rPr>
        <w:t xml:space="preserve">Amiri, F., Safiri, S., </w:t>
      </w:r>
      <w:proofErr w:type="spellStart"/>
      <w:r w:rsidRPr="00B4516C">
        <w:rPr>
          <w:rFonts w:ascii="Times New Roman" w:hAnsi="Times New Roman" w:cs="Times New Roman"/>
          <w:sz w:val="24"/>
          <w:szCs w:val="24"/>
        </w:rPr>
        <w:t>Aletaha</w:t>
      </w:r>
      <w:proofErr w:type="spellEnd"/>
      <w:r w:rsidRPr="00B4516C">
        <w:rPr>
          <w:rFonts w:ascii="Times New Roman" w:hAnsi="Times New Roman" w:cs="Times New Roman"/>
          <w:sz w:val="24"/>
          <w:szCs w:val="24"/>
        </w:rPr>
        <w:t>, R.</w:t>
      </w:r>
      <w:r w:rsidRPr="00B4516C">
        <w:rPr>
          <w:rFonts w:ascii="Times New Roman" w:hAnsi="Times New Roman" w:cs="Times New Roman"/>
          <w:iCs/>
          <w:sz w:val="24"/>
          <w:szCs w:val="24"/>
        </w:rPr>
        <w:t xml:space="preserve">, </w:t>
      </w:r>
      <w:proofErr w:type="spellStart"/>
      <w:r w:rsidRPr="00B4516C">
        <w:rPr>
          <w:rFonts w:ascii="Times New Roman" w:hAnsi="Times New Roman" w:cs="Times New Roman"/>
          <w:iCs/>
          <w:sz w:val="24"/>
          <w:szCs w:val="24"/>
        </w:rPr>
        <w:t>Sullman</w:t>
      </w:r>
      <w:proofErr w:type="spellEnd"/>
      <w:r w:rsidRPr="00B4516C">
        <w:rPr>
          <w:rFonts w:ascii="Times New Roman" w:hAnsi="Times New Roman" w:cs="Times New Roman"/>
          <w:iCs/>
          <w:sz w:val="24"/>
          <w:szCs w:val="24"/>
        </w:rPr>
        <w:t xml:space="preserve">, M.J.M., </w:t>
      </w:r>
      <w:proofErr w:type="spellStart"/>
      <w:r w:rsidRPr="00B4516C">
        <w:rPr>
          <w:rFonts w:ascii="Times New Roman" w:hAnsi="Times New Roman" w:cs="Times New Roman"/>
          <w:iCs/>
          <w:sz w:val="24"/>
          <w:szCs w:val="24"/>
        </w:rPr>
        <w:t>Hassanzadeh</w:t>
      </w:r>
      <w:proofErr w:type="spellEnd"/>
      <w:r w:rsidRPr="00B4516C">
        <w:rPr>
          <w:rFonts w:ascii="Times New Roman" w:hAnsi="Times New Roman" w:cs="Times New Roman"/>
          <w:iCs/>
          <w:sz w:val="24"/>
          <w:szCs w:val="24"/>
        </w:rPr>
        <w:t xml:space="preserve">, K., Kolahi, A-A., </w:t>
      </w:r>
      <w:r w:rsidRPr="00B4516C">
        <w:rPr>
          <w:rFonts w:ascii="Times New Roman" w:hAnsi="Times New Roman" w:cs="Times New Roman"/>
          <w:sz w:val="24"/>
          <w:szCs w:val="24"/>
        </w:rPr>
        <w:t xml:space="preserve">&amp; </w:t>
      </w:r>
      <w:r w:rsidRPr="00B4516C">
        <w:rPr>
          <w:rFonts w:ascii="Times New Roman" w:hAnsi="Times New Roman" w:cs="Times New Roman"/>
          <w:iCs/>
          <w:sz w:val="24"/>
          <w:szCs w:val="24"/>
        </w:rPr>
        <w:t>Arshi, S. (2025).</w:t>
      </w:r>
      <w:r w:rsidRPr="00B4516C">
        <w:rPr>
          <w:rFonts w:ascii="Times New Roman" w:hAnsi="Times New Roman" w:cs="Times New Roman"/>
          <w:sz w:val="24"/>
          <w:szCs w:val="24"/>
        </w:rPr>
        <w:t xml:space="preserve"> Epidemiology of urinary tract infections in the Middle East and North Africa, 1990–2021. </w:t>
      </w:r>
      <w:r w:rsidRPr="00B4516C">
        <w:rPr>
          <w:rFonts w:ascii="Times New Roman" w:hAnsi="Times New Roman" w:cs="Times New Roman"/>
          <w:i/>
          <w:iCs/>
          <w:sz w:val="24"/>
          <w:szCs w:val="24"/>
        </w:rPr>
        <w:t>Tropical Medicine and Health</w:t>
      </w:r>
      <w:r w:rsidRPr="00B4516C">
        <w:rPr>
          <w:rFonts w:ascii="Times New Roman" w:hAnsi="Times New Roman" w:cs="Times New Roman"/>
          <w:sz w:val="24"/>
          <w:szCs w:val="24"/>
        </w:rPr>
        <w:t xml:space="preserve"> </w:t>
      </w:r>
      <w:r w:rsidRPr="00B4516C">
        <w:rPr>
          <w:rFonts w:ascii="Times New Roman" w:hAnsi="Times New Roman" w:cs="Times New Roman"/>
          <w:bCs/>
          <w:i/>
          <w:sz w:val="24"/>
          <w:szCs w:val="24"/>
        </w:rPr>
        <w:t>53</w:t>
      </w:r>
      <w:r w:rsidRPr="00B4516C">
        <w:rPr>
          <w:rFonts w:ascii="Times New Roman" w:hAnsi="Times New Roman" w:cs="Times New Roman"/>
          <w:sz w:val="24"/>
          <w:szCs w:val="24"/>
        </w:rPr>
        <w:t xml:space="preserve">, 16. </w:t>
      </w:r>
      <w:hyperlink r:id="rId9" w:history="1">
        <w:proofErr w:type="spellStart"/>
        <w:r w:rsidRPr="00B4516C">
          <w:rPr>
            <w:rStyle w:val="Hyperlink"/>
            <w:rFonts w:ascii="Times New Roman" w:hAnsi="Times New Roman" w:cs="Times New Roman"/>
            <w:color w:val="auto"/>
            <w:sz w:val="24"/>
            <w:szCs w:val="24"/>
          </w:rPr>
          <w:t>doi</w:t>
        </w:r>
        <w:proofErr w:type="spellEnd"/>
        <w:r w:rsidRPr="00B4516C">
          <w:rPr>
            <w:rStyle w:val="Hyperlink"/>
            <w:rFonts w:ascii="Times New Roman" w:hAnsi="Times New Roman" w:cs="Times New Roman"/>
            <w:color w:val="auto"/>
            <w:sz w:val="24"/>
            <w:szCs w:val="24"/>
          </w:rPr>
          <w:t>: 10.1186/s41182-025-00692-x</w:t>
        </w:r>
      </w:hyperlink>
      <w:r w:rsidRPr="00B4516C">
        <w:rPr>
          <w:rStyle w:val="Hyperlink"/>
          <w:rFonts w:ascii="Times New Roman" w:hAnsi="Times New Roman" w:cs="Times New Roman"/>
          <w:color w:val="auto"/>
          <w:sz w:val="24"/>
          <w:szCs w:val="24"/>
        </w:rPr>
        <w:t>.</w:t>
      </w:r>
    </w:p>
    <w:p w14:paraId="680FF004" w14:textId="77777777" w:rsidR="003E0A6F" w:rsidRPr="00B4516C" w:rsidRDefault="003E0A6F" w:rsidP="003E0A6F">
      <w:pPr>
        <w:spacing w:line="240" w:lineRule="auto"/>
        <w:jc w:val="both"/>
        <w:rPr>
          <w:rFonts w:ascii="Times New Roman" w:hAnsi="Times New Roman" w:cs="Times New Roman"/>
          <w:sz w:val="24"/>
          <w:szCs w:val="24"/>
        </w:rPr>
      </w:pPr>
    </w:p>
    <w:p w14:paraId="7A5B1367" w14:textId="50CA4C1E"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Asim, M.S., Sharma, P., Anita, K.B., Swathi, V., &amp; Naya, N. (2017). Prevalence of inducible clindamycin resistance among </w:t>
      </w:r>
      <w:r w:rsidRPr="00B4516C">
        <w:rPr>
          <w:rFonts w:ascii="Times New Roman" w:hAnsi="Times New Roman" w:cs="Times New Roman"/>
          <w:i/>
          <w:sz w:val="24"/>
          <w:szCs w:val="24"/>
        </w:rPr>
        <w:t>Staphylococcus aureus</w:t>
      </w:r>
      <w:r w:rsidRPr="00B4516C">
        <w:rPr>
          <w:rFonts w:ascii="Times New Roman" w:hAnsi="Times New Roman" w:cs="Times New Roman"/>
          <w:sz w:val="24"/>
          <w:szCs w:val="24"/>
        </w:rPr>
        <w:t xml:space="preserve"> isolates resistant to erythromycin. </w:t>
      </w:r>
      <w:r w:rsidRPr="00B4516C">
        <w:rPr>
          <w:rFonts w:ascii="Times New Roman" w:hAnsi="Times New Roman" w:cs="Times New Roman"/>
          <w:i/>
          <w:sz w:val="24"/>
          <w:szCs w:val="24"/>
        </w:rPr>
        <w:lastRenderedPageBreak/>
        <w:t>Journal of</w:t>
      </w:r>
      <w:r w:rsidRPr="00B4516C">
        <w:rPr>
          <w:rFonts w:ascii="Times New Roman" w:hAnsi="Times New Roman" w:cs="Times New Roman"/>
          <w:sz w:val="24"/>
          <w:szCs w:val="24"/>
        </w:rPr>
        <w:t xml:space="preserve"> </w:t>
      </w:r>
      <w:r w:rsidRPr="00B4516C">
        <w:rPr>
          <w:rStyle w:val="Emphasis"/>
          <w:rFonts w:ascii="Times New Roman" w:hAnsi="Times New Roman" w:cs="Times New Roman"/>
          <w:sz w:val="24"/>
          <w:szCs w:val="24"/>
        </w:rPr>
        <w:t>Evidence Based Medicine</w:t>
      </w:r>
      <w:r w:rsidRPr="00B4516C">
        <w:rPr>
          <w:rFonts w:ascii="Times New Roman" w:hAnsi="Times New Roman" w:cs="Times New Roman"/>
          <w:sz w:val="24"/>
          <w:szCs w:val="24"/>
        </w:rPr>
        <w:t xml:space="preserve"> and </w:t>
      </w:r>
      <w:r w:rsidRPr="00B4516C">
        <w:rPr>
          <w:rStyle w:val="Emphasis"/>
          <w:rFonts w:ascii="Times New Roman" w:hAnsi="Times New Roman" w:cs="Times New Roman"/>
          <w:sz w:val="24"/>
          <w:szCs w:val="24"/>
        </w:rPr>
        <w:t>Healthcare</w:t>
      </w:r>
      <w:r w:rsidRPr="00B4516C">
        <w:rPr>
          <w:rFonts w:ascii="Times New Roman" w:hAnsi="Times New Roman" w:cs="Times New Roman"/>
          <w:sz w:val="24"/>
          <w:szCs w:val="24"/>
        </w:rPr>
        <w:t xml:space="preserve">, </w:t>
      </w:r>
      <w:r w:rsidRPr="00B4516C">
        <w:rPr>
          <w:rFonts w:ascii="Times New Roman" w:hAnsi="Times New Roman" w:cs="Times New Roman"/>
          <w:i/>
          <w:sz w:val="24"/>
          <w:szCs w:val="24"/>
        </w:rPr>
        <w:t>4</w:t>
      </w:r>
      <w:r w:rsidRPr="00B4516C">
        <w:rPr>
          <w:rFonts w:ascii="Times New Roman" w:hAnsi="Times New Roman" w:cs="Times New Roman"/>
          <w:sz w:val="24"/>
          <w:szCs w:val="24"/>
        </w:rPr>
        <w:t xml:space="preserve">(31), 1824-1827. </w:t>
      </w:r>
      <w:proofErr w:type="spellStart"/>
      <w:r w:rsidRPr="00B4516C">
        <w:rPr>
          <w:rFonts w:ascii="Times New Roman" w:hAnsi="Times New Roman" w:cs="Times New Roman"/>
          <w:sz w:val="24"/>
          <w:szCs w:val="24"/>
        </w:rPr>
        <w:t>doi</w:t>
      </w:r>
      <w:proofErr w:type="spellEnd"/>
      <w:r w:rsidRPr="00B4516C">
        <w:rPr>
          <w:rFonts w:ascii="Times New Roman" w:hAnsi="Times New Roman" w:cs="Times New Roman"/>
          <w:sz w:val="24"/>
          <w:szCs w:val="24"/>
        </w:rPr>
        <w:t>: 10.18410/</w:t>
      </w:r>
      <w:proofErr w:type="spellStart"/>
      <w:r w:rsidRPr="00B4516C">
        <w:rPr>
          <w:rFonts w:ascii="Times New Roman" w:hAnsi="Times New Roman" w:cs="Times New Roman"/>
          <w:sz w:val="24"/>
          <w:szCs w:val="24"/>
        </w:rPr>
        <w:t>jebmh</w:t>
      </w:r>
      <w:proofErr w:type="spellEnd"/>
      <w:r w:rsidRPr="00B4516C">
        <w:rPr>
          <w:rFonts w:ascii="Times New Roman" w:hAnsi="Times New Roman" w:cs="Times New Roman"/>
          <w:sz w:val="24"/>
          <w:szCs w:val="24"/>
        </w:rPr>
        <w:t>/2017/355.</w:t>
      </w:r>
    </w:p>
    <w:p w14:paraId="130460F7" w14:textId="77777777" w:rsidR="003E0A6F" w:rsidRPr="00B4516C" w:rsidRDefault="003E0A6F" w:rsidP="003E0A6F">
      <w:pPr>
        <w:spacing w:line="240" w:lineRule="auto"/>
        <w:jc w:val="both"/>
        <w:rPr>
          <w:rFonts w:ascii="Times New Roman" w:hAnsi="Times New Roman" w:cs="Times New Roman"/>
          <w:sz w:val="24"/>
          <w:szCs w:val="24"/>
        </w:rPr>
      </w:pPr>
    </w:p>
    <w:p w14:paraId="2A0891AA" w14:textId="77777777" w:rsidR="003E0A6F" w:rsidRPr="00B4516C" w:rsidRDefault="003E0A6F" w:rsidP="003E0A6F">
      <w:pPr>
        <w:spacing w:line="240" w:lineRule="auto"/>
        <w:jc w:val="both"/>
        <w:rPr>
          <w:rStyle w:val="HTMLCite"/>
          <w:rFonts w:ascii="Times New Roman" w:hAnsi="Times New Roman" w:cs="Times New Roman"/>
          <w:i w:val="0"/>
          <w:sz w:val="24"/>
          <w:szCs w:val="24"/>
        </w:rPr>
      </w:pPr>
      <w:bookmarkStart w:id="2" w:name="h1"/>
      <w:bookmarkEnd w:id="2"/>
      <w:r w:rsidRPr="00B4516C">
        <w:rPr>
          <w:rStyle w:val="HTMLCite"/>
          <w:rFonts w:ascii="Times New Roman" w:hAnsi="Times New Roman" w:cs="Times New Roman"/>
          <w:i w:val="0"/>
          <w:sz w:val="24"/>
          <w:szCs w:val="24"/>
        </w:rPr>
        <w:t xml:space="preserve">Bader M.S., Loeb M., Leto D., </w:t>
      </w:r>
      <w:r w:rsidRPr="00B4516C">
        <w:rPr>
          <w:rFonts w:ascii="Times New Roman" w:hAnsi="Times New Roman" w:cs="Times New Roman"/>
          <w:i/>
          <w:sz w:val="24"/>
          <w:szCs w:val="24"/>
        </w:rPr>
        <w:t xml:space="preserve">&amp; </w:t>
      </w:r>
      <w:r w:rsidRPr="00B4516C">
        <w:rPr>
          <w:rStyle w:val="HTMLCite"/>
          <w:rFonts w:ascii="Times New Roman" w:hAnsi="Times New Roman" w:cs="Times New Roman"/>
          <w:i w:val="0"/>
          <w:sz w:val="24"/>
          <w:szCs w:val="24"/>
        </w:rPr>
        <w:t>Brooks A.A.</w:t>
      </w:r>
      <w:r w:rsidRPr="00B4516C">
        <w:rPr>
          <w:rStyle w:val="HTMLCite"/>
          <w:rFonts w:ascii="Times New Roman" w:hAnsi="Times New Roman" w:cs="Times New Roman"/>
          <w:sz w:val="24"/>
          <w:szCs w:val="24"/>
        </w:rPr>
        <w:t xml:space="preserve"> </w:t>
      </w:r>
      <w:r w:rsidRPr="00B4516C">
        <w:rPr>
          <w:rStyle w:val="HTMLCite"/>
          <w:rFonts w:ascii="Times New Roman" w:hAnsi="Times New Roman" w:cs="Times New Roman"/>
          <w:i w:val="0"/>
          <w:sz w:val="24"/>
          <w:szCs w:val="24"/>
        </w:rPr>
        <w:t xml:space="preserve">(2020). Treatment of urinary tract infections in the era of antimicrobial resistance and new antimicrobial agents. </w:t>
      </w:r>
      <w:r w:rsidRPr="00B4516C">
        <w:rPr>
          <w:rStyle w:val="HTMLCite"/>
          <w:rFonts w:ascii="Times New Roman" w:hAnsi="Times New Roman" w:cs="Times New Roman"/>
          <w:sz w:val="24"/>
          <w:szCs w:val="24"/>
        </w:rPr>
        <w:t>Postgraduate Medicine</w:t>
      </w:r>
      <w:r w:rsidRPr="00B4516C">
        <w:rPr>
          <w:rStyle w:val="HTMLCite"/>
          <w:rFonts w:ascii="Times New Roman" w:hAnsi="Times New Roman" w:cs="Times New Roman"/>
          <w:i w:val="0"/>
          <w:sz w:val="24"/>
          <w:szCs w:val="24"/>
        </w:rPr>
        <w:t xml:space="preserve">, </w:t>
      </w:r>
      <w:r w:rsidRPr="00B4516C">
        <w:rPr>
          <w:rStyle w:val="HTMLCite"/>
          <w:rFonts w:ascii="Times New Roman" w:hAnsi="Times New Roman" w:cs="Times New Roman"/>
          <w:sz w:val="24"/>
          <w:szCs w:val="24"/>
        </w:rPr>
        <w:t>132</w:t>
      </w:r>
      <w:r w:rsidRPr="00B4516C">
        <w:rPr>
          <w:rStyle w:val="HTMLCite"/>
          <w:rFonts w:ascii="Times New Roman" w:hAnsi="Times New Roman" w:cs="Times New Roman"/>
          <w:i w:val="0"/>
          <w:sz w:val="24"/>
          <w:szCs w:val="24"/>
        </w:rPr>
        <w:t xml:space="preserve">, 234–250. </w:t>
      </w:r>
      <w:proofErr w:type="spellStart"/>
      <w:r w:rsidRPr="00B4516C">
        <w:rPr>
          <w:rStyle w:val="HTMLCite"/>
          <w:rFonts w:ascii="Times New Roman" w:hAnsi="Times New Roman" w:cs="Times New Roman"/>
          <w:i w:val="0"/>
          <w:sz w:val="24"/>
          <w:szCs w:val="24"/>
        </w:rPr>
        <w:t>doi</w:t>
      </w:r>
      <w:proofErr w:type="spellEnd"/>
      <w:r w:rsidRPr="00B4516C">
        <w:rPr>
          <w:rStyle w:val="HTMLCite"/>
          <w:rFonts w:ascii="Times New Roman" w:hAnsi="Times New Roman" w:cs="Times New Roman"/>
          <w:i w:val="0"/>
          <w:sz w:val="24"/>
          <w:szCs w:val="24"/>
        </w:rPr>
        <w:t>: 10.1080/00325481.2019.1680052.</w:t>
      </w:r>
    </w:p>
    <w:p w14:paraId="25C8E77F" w14:textId="77777777" w:rsidR="003E0A6F" w:rsidRPr="00B4516C" w:rsidRDefault="003E0A6F" w:rsidP="003E0A6F">
      <w:pPr>
        <w:spacing w:line="240" w:lineRule="auto"/>
        <w:jc w:val="both"/>
        <w:rPr>
          <w:rStyle w:val="HTMLCite"/>
          <w:rFonts w:ascii="Times New Roman" w:hAnsi="Times New Roman" w:cs="Times New Roman"/>
          <w:i w:val="0"/>
          <w:sz w:val="24"/>
          <w:szCs w:val="24"/>
        </w:rPr>
      </w:pPr>
    </w:p>
    <w:p w14:paraId="2765CA94" w14:textId="77777777" w:rsidR="003E0A6F" w:rsidRPr="00B4516C" w:rsidRDefault="003E0A6F" w:rsidP="003E0A6F">
      <w:pPr>
        <w:spacing w:line="240" w:lineRule="auto"/>
        <w:jc w:val="both"/>
        <w:rPr>
          <w:rStyle w:val="Hyperlink"/>
          <w:rFonts w:ascii="Times New Roman" w:hAnsi="Times New Roman" w:cs="Times New Roman"/>
          <w:color w:val="auto"/>
          <w:sz w:val="24"/>
          <w:szCs w:val="24"/>
        </w:rPr>
      </w:pPr>
      <w:r w:rsidRPr="00B4516C">
        <w:rPr>
          <w:rFonts w:ascii="Times New Roman" w:hAnsi="Times New Roman" w:cs="Times New Roman"/>
          <w:sz w:val="24"/>
          <w:szCs w:val="24"/>
        </w:rPr>
        <w:t xml:space="preserve">Bassey, E.E., Mbah, M., </w:t>
      </w:r>
      <w:proofErr w:type="spellStart"/>
      <w:r w:rsidRPr="00B4516C">
        <w:rPr>
          <w:rFonts w:ascii="Times New Roman" w:hAnsi="Times New Roman" w:cs="Times New Roman"/>
          <w:sz w:val="24"/>
          <w:szCs w:val="24"/>
        </w:rPr>
        <w:t>Akpan</w:t>
      </w:r>
      <w:proofErr w:type="spellEnd"/>
      <w:r w:rsidRPr="00B4516C">
        <w:rPr>
          <w:rFonts w:ascii="Times New Roman" w:hAnsi="Times New Roman" w:cs="Times New Roman"/>
          <w:sz w:val="24"/>
          <w:szCs w:val="24"/>
        </w:rPr>
        <w:t xml:space="preserve">, S.S., </w:t>
      </w:r>
      <w:proofErr w:type="spellStart"/>
      <w:r w:rsidRPr="00B4516C">
        <w:rPr>
          <w:rFonts w:ascii="Times New Roman" w:hAnsi="Times New Roman" w:cs="Times New Roman"/>
          <w:sz w:val="24"/>
          <w:szCs w:val="24"/>
        </w:rPr>
        <w:t>Ikpi</w:t>
      </w:r>
      <w:proofErr w:type="spellEnd"/>
      <w:r w:rsidRPr="00B4516C">
        <w:rPr>
          <w:rFonts w:ascii="Times New Roman" w:hAnsi="Times New Roman" w:cs="Times New Roman"/>
          <w:sz w:val="24"/>
          <w:szCs w:val="24"/>
        </w:rPr>
        <w:t xml:space="preserve">, E.E., &amp; </w:t>
      </w:r>
      <w:proofErr w:type="spellStart"/>
      <w:r w:rsidRPr="00B4516C">
        <w:rPr>
          <w:rFonts w:ascii="Times New Roman" w:hAnsi="Times New Roman" w:cs="Times New Roman"/>
          <w:sz w:val="24"/>
          <w:szCs w:val="24"/>
        </w:rPr>
        <w:t>Alaribe</w:t>
      </w:r>
      <w:proofErr w:type="spellEnd"/>
      <w:r w:rsidRPr="00B4516C">
        <w:rPr>
          <w:rFonts w:ascii="Times New Roman" w:hAnsi="Times New Roman" w:cs="Times New Roman"/>
          <w:sz w:val="24"/>
          <w:szCs w:val="24"/>
        </w:rPr>
        <w:t xml:space="preserve">, A.A. (2023). Prevalence of Symptomatic Bacteriuria and Associated Risk Factors among Patients Attending Major Hospitals in Calabar, Nigeria. </w:t>
      </w:r>
      <w:proofErr w:type="spellStart"/>
      <w:r w:rsidRPr="00B4516C">
        <w:rPr>
          <w:rStyle w:val="label"/>
          <w:rFonts w:ascii="Times New Roman" w:hAnsi="Times New Roman" w:cs="Times New Roman"/>
          <w:sz w:val="24"/>
          <w:szCs w:val="24"/>
        </w:rPr>
        <w:t>doi</w:t>
      </w:r>
      <w:proofErr w:type="spellEnd"/>
      <w:r w:rsidRPr="00B4516C">
        <w:rPr>
          <w:rStyle w:val="label"/>
          <w:rFonts w:ascii="Times New Roman" w:hAnsi="Times New Roman" w:cs="Times New Roman"/>
          <w:sz w:val="24"/>
          <w:szCs w:val="24"/>
        </w:rPr>
        <w:t>:</w:t>
      </w:r>
      <w:hyperlink r:id="rId10" w:history="1">
        <w:r w:rsidRPr="00B4516C">
          <w:rPr>
            <w:rStyle w:val="Hyperlink"/>
            <w:rFonts w:ascii="Times New Roman" w:hAnsi="Times New Roman" w:cs="Times New Roman"/>
            <w:color w:val="auto"/>
            <w:sz w:val="24"/>
            <w:szCs w:val="24"/>
          </w:rPr>
          <w:t xml:space="preserve"> 10.1101/2023.09.26.23296138</w:t>
        </w:r>
      </w:hyperlink>
      <w:r w:rsidRPr="00B4516C">
        <w:rPr>
          <w:rStyle w:val="Hyperlink"/>
          <w:rFonts w:ascii="Times New Roman" w:hAnsi="Times New Roman" w:cs="Times New Roman"/>
          <w:color w:val="auto"/>
          <w:sz w:val="24"/>
          <w:szCs w:val="24"/>
        </w:rPr>
        <w:t>.</w:t>
      </w:r>
    </w:p>
    <w:p w14:paraId="071968A2" w14:textId="77777777" w:rsidR="003E0A6F" w:rsidRPr="00B4516C" w:rsidRDefault="003E0A6F" w:rsidP="003E0A6F">
      <w:pPr>
        <w:spacing w:line="240" w:lineRule="auto"/>
        <w:jc w:val="both"/>
        <w:rPr>
          <w:rStyle w:val="highwire-cite-metadata-doi"/>
          <w:rFonts w:ascii="Times New Roman" w:hAnsi="Times New Roman" w:cs="Times New Roman"/>
          <w:sz w:val="24"/>
          <w:szCs w:val="24"/>
        </w:rPr>
      </w:pPr>
    </w:p>
    <w:p w14:paraId="74CFD2A9" w14:textId="77777777"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Bonnin, R. A., Jeannot, K., Santerre Henriksen, A., Quevedo, J., &amp; </w:t>
      </w:r>
      <w:proofErr w:type="spellStart"/>
      <w:r w:rsidRPr="00B4516C">
        <w:rPr>
          <w:rFonts w:ascii="Times New Roman" w:hAnsi="Times New Roman" w:cs="Times New Roman"/>
          <w:sz w:val="24"/>
          <w:szCs w:val="24"/>
        </w:rPr>
        <w:t>Dortet</w:t>
      </w:r>
      <w:proofErr w:type="spellEnd"/>
      <w:r w:rsidRPr="00B4516C">
        <w:rPr>
          <w:rFonts w:ascii="Times New Roman" w:hAnsi="Times New Roman" w:cs="Times New Roman"/>
          <w:sz w:val="24"/>
          <w:szCs w:val="24"/>
        </w:rPr>
        <w:t xml:space="preserve">, L. (2025). In vitro activity of </w:t>
      </w:r>
      <w:proofErr w:type="spellStart"/>
      <w:r w:rsidRPr="00B4516C">
        <w:rPr>
          <w:rFonts w:ascii="Times New Roman" w:hAnsi="Times New Roman" w:cs="Times New Roman"/>
          <w:sz w:val="24"/>
          <w:szCs w:val="24"/>
        </w:rPr>
        <w:t>cefepime-enmetazobactam</w:t>
      </w:r>
      <w:proofErr w:type="spellEnd"/>
      <w:r w:rsidRPr="00B4516C">
        <w:rPr>
          <w:rFonts w:ascii="Times New Roman" w:hAnsi="Times New Roman" w:cs="Times New Roman"/>
          <w:sz w:val="24"/>
          <w:szCs w:val="24"/>
        </w:rPr>
        <w:t xml:space="preserve"> on </w:t>
      </w:r>
      <w:proofErr w:type="spellStart"/>
      <w:r w:rsidRPr="00B4516C">
        <w:rPr>
          <w:rFonts w:ascii="Times New Roman" w:hAnsi="Times New Roman" w:cs="Times New Roman"/>
          <w:sz w:val="24"/>
          <w:szCs w:val="24"/>
        </w:rPr>
        <w:t>carbapenem</w:t>
      </w:r>
      <w:proofErr w:type="spellEnd"/>
      <w:r w:rsidRPr="00B4516C">
        <w:rPr>
          <w:rFonts w:ascii="Times New Roman" w:hAnsi="Times New Roman" w:cs="Times New Roman"/>
          <w:sz w:val="24"/>
          <w:szCs w:val="24"/>
        </w:rPr>
        <w:t xml:space="preserve">-resistant Gram negatives. </w:t>
      </w:r>
      <w:r w:rsidRPr="00B4516C">
        <w:rPr>
          <w:rFonts w:ascii="Times New Roman" w:hAnsi="Times New Roman" w:cs="Times New Roman"/>
          <w:i/>
          <w:iCs/>
          <w:sz w:val="24"/>
          <w:szCs w:val="24"/>
        </w:rPr>
        <w:t>Clinical Microbiology and Infection: the official publication of the European Society of Clinical Microbiology and Infectious Diseases</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31</w:t>
      </w:r>
      <w:r w:rsidRPr="00B4516C">
        <w:rPr>
          <w:rFonts w:ascii="Times New Roman" w:hAnsi="Times New Roman" w:cs="Times New Roman"/>
          <w:sz w:val="24"/>
          <w:szCs w:val="24"/>
        </w:rPr>
        <w:t xml:space="preserve">(2), 240–249. </w:t>
      </w:r>
      <w:hyperlink r:id="rId11" w:history="1">
        <w:proofErr w:type="spellStart"/>
        <w:r w:rsidRPr="00B4516C">
          <w:rPr>
            <w:rStyle w:val="Hyperlink"/>
            <w:rFonts w:ascii="Times New Roman" w:hAnsi="Times New Roman" w:cs="Times New Roman"/>
            <w:color w:val="auto"/>
            <w:sz w:val="24"/>
            <w:szCs w:val="24"/>
          </w:rPr>
          <w:t>doi</w:t>
        </w:r>
        <w:proofErr w:type="spellEnd"/>
      </w:hyperlink>
      <w:r w:rsidRPr="00B4516C">
        <w:rPr>
          <w:rFonts w:ascii="Times New Roman" w:hAnsi="Times New Roman" w:cs="Times New Roman"/>
          <w:sz w:val="24"/>
          <w:szCs w:val="24"/>
        </w:rPr>
        <w:t>: 10.1016/j.cmi.2024.09.031.</w:t>
      </w:r>
    </w:p>
    <w:p w14:paraId="2C789D3E" w14:textId="31DB0E05" w:rsidR="003E0A6F" w:rsidRPr="00B4516C" w:rsidRDefault="003E0A6F" w:rsidP="003E0A6F">
      <w:pPr>
        <w:spacing w:line="240" w:lineRule="auto"/>
        <w:jc w:val="both"/>
        <w:rPr>
          <w:rFonts w:ascii="Times New Roman" w:hAnsi="Times New Roman" w:cs="Times New Roman"/>
          <w:sz w:val="24"/>
          <w:szCs w:val="24"/>
        </w:rPr>
      </w:pPr>
    </w:p>
    <w:p w14:paraId="780E50FD" w14:textId="104B1BDD"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Bonomo, R. A., Burd, E. M., Conly, J., </w:t>
      </w:r>
      <w:proofErr w:type="spellStart"/>
      <w:r w:rsidRPr="00B4516C">
        <w:rPr>
          <w:rFonts w:ascii="Times New Roman" w:hAnsi="Times New Roman" w:cs="Times New Roman"/>
          <w:sz w:val="24"/>
          <w:szCs w:val="24"/>
        </w:rPr>
        <w:t>Limbago</w:t>
      </w:r>
      <w:proofErr w:type="spellEnd"/>
      <w:r w:rsidRPr="00B4516C">
        <w:rPr>
          <w:rFonts w:ascii="Times New Roman" w:hAnsi="Times New Roman" w:cs="Times New Roman"/>
          <w:sz w:val="24"/>
          <w:szCs w:val="24"/>
        </w:rPr>
        <w:t xml:space="preserve">, B. M., </w:t>
      </w:r>
      <w:proofErr w:type="spellStart"/>
      <w:r w:rsidRPr="00B4516C">
        <w:rPr>
          <w:rFonts w:ascii="Times New Roman" w:hAnsi="Times New Roman" w:cs="Times New Roman"/>
          <w:sz w:val="24"/>
          <w:szCs w:val="24"/>
        </w:rPr>
        <w:t>Poirel</w:t>
      </w:r>
      <w:proofErr w:type="spellEnd"/>
      <w:r w:rsidRPr="00B4516C">
        <w:rPr>
          <w:rFonts w:ascii="Times New Roman" w:hAnsi="Times New Roman" w:cs="Times New Roman"/>
          <w:sz w:val="24"/>
          <w:szCs w:val="24"/>
        </w:rPr>
        <w:t xml:space="preserve">, L., Segre, J. A., &amp; </w:t>
      </w:r>
      <w:proofErr w:type="spellStart"/>
      <w:r w:rsidRPr="00B4516C">
        <w:rPr>
          <w:rFonts w:ascii="Times New Roman" w:hAnsi="Times New Roman" w:cs="Times New Roman"/>
          <w:sz w:val="24"/>
          <w:szCs w:val="24"/>
        </w:rPr>
        <w:t>Westblade</w:t>
      </w:r>
      <w:proofErr w:type="spellEnd"/>
      <w:r w:rsidRPr="00B4516C">
        <w:rPr>
          <w:rFonts w:ascii="Times New Roman" w:hAnsi="Times New Roman" w:cs="Times New Roman"/>
          <w:sz w:val="24"/>
          <w:szCs w:val="24"/>
        </w:rPr>
        <w:t xml:space="preserve">, L. F. (2018). </w:t>
      </w:r>
      <w:proofErr w:type="spellStart"/>
      <w:r w:rsidRPr="00B4516C">
        <w:rPr>
          <w:rFonts w:ascii="Times New Roman" w:hAnsi="Times New Roman" w:cs="Times New Roman"/>
          <w:sz w:val="24"/>
          <w:szCs w:val="24"/>
        </w:rPr>
        <w:t>Carbapenemase</w:t>
      </w:r>
      <w:proofErr w:type="spellEnd"/>
      <w:r w:rsidRPr="00B4516C">
        <w:rPr>
          <w:rFonts w:ascii="Times New Roman" w:hAnsi="Times New Roman" w:cs="Times New Roman"/>
          <w:sz w:val="24"/>
          <w:szCs w:val="24"/>
        </w:rPr>
        <w:t xml:space="preserve">-Producing Organisms: A Global Scourge. </w:t>
      </w:r>
      <w:r w:rsidRPr="00B4516C">
        <w:rPr>
          <w:rFonts w:ascii="Times New Roman" w:hAnsi="Times New Roman" w:cs="Times New Roman"/>
          <w:i/>
          <w:iCs/>
          <w:sz w:val="24"/>
          <w:szCs w:val="24"/>
        </w:rPr>
        <w:t>Clinical Infectious Diseases: an official publication of the Infectious Diseases Society of America</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66</w:t>
      </w:r>
      <w:r w:rsidRPr="00B4516C">
        <w:rPr>
          <w:rFonts w:ascii="Times New Roman" w:hAnsi="Times New Roman" w:cs="Times New Roman"/>
          <w:sz w:val="24"/>
          <w:szCs w:val="24"/>
        </w:rPr>
        <w:t xml:space="preserve">(8), 1290–1297. </w:t>
      </w:r>
      <w:hyperlink r:id="rId12" w:history="1">
        <w:proofErr w:type="spellStart"/>
        <w:r w:rsidRPr="00B4516C">
          <w:rPr>
            <w:rStyle w:val="Hyperlink"/>
            <w:rFonts w:ascii="Times New Roman" w:hAnsi="Times New Roman" w:cs="Times New Roman"/>
            <w:color w:val="auto"/>
            <w:sz w:val="24"/>
            <w:szCs w:val="24"/>
          </w:rPr>
          <w:t>doi</w:t>
        </w:r>
        <w:proofErr w:type="spellEnd"/>
        <w:r w:rsidRPr="00B4516C">
          <w:rPr>
            <w:rStyle w:val="Hyperlink"/>
            <w:rFonts w:ascii="Times New Roman" w:hAnsi="Times New Roman" w:cs="Times New Roman"/>
            <w:color w:val="auto"/>
            <w:sz w:val="24"/>
            <w:szCs w:val="24"/>
          </w:rPr>
          <w:t>; 10.1093/</w:t>
        </w:r>
        <w:proofErr w:type="spellStart"/>
        <w:r w:rsidRPr="00B4516C">
          <w:rPr>
            <w:rStyle w:val="Hyperlink"/>
            <w:rFonts w:ascii="Times New Roman" w:hAnsi="Times New Roman" w:cs="Times New Roman"/>
            <w:color w:val="auto"/>
            <w:sz w:val="24"/>
            <w:szCs w:val="24"/>
          </w:rPr>
          <w:t>cid</w:t>
        </w:r>
        <w:proofErr w:type="spellEnd"/>
        <w:r w:rsidRPr="00B4516C">
          <w:rPr>
            <w:rStyle w:val="Hyperlink"/>
            <w:rFonts w:ascii="Times New Roman" w:hAnsi="Times New Roman" w:cs="Times New Roman"/>
            <w:color w:val="auto"/>
            <w:sz w:val="24"/>
            <w:szCs w:val="24"/>
          </w:rPr>
          <w:t>/cix893</w:t>
        </w:r>
      </w:hyperlink>
      <w:r w:rsidRPr="00B4516C">
        <w:rPr>
          <w:rFonts w:ascii="Times New Roman" w:hAnsi="Times New Roman" w:cs="Times New Roman"/>
          <w:sz w:val="24"/>
          <w:szCs w:val="24"/>
        </w:rPr>
        <w:t>.</w:t>
      </w:r>
    </w:p>
    <w:p w14:paraId="024C1479" w14:textId="77777777" w:rsidR="006A2874" w:rsidRDefault="006A2874" w:rsidP="006A2874">
      <w:pPr>
        <w:spacing w:line="240" w:lineRule="auto"/>
        <w:jc w:val="both"/>
        <w:rPr>
          <w:rFonts w:ascii="Times New Roman" w:eastAsia="Times New Roman" w:hAnsi="Times New Roman" w:cs="Times New Roman"/>
          <w:sz w:val="24"/>
        </w:rPr>
      </w:pPr>
      <w:r w:rsidRPr="006A2874">
        <w:rPr>
          <w:rFonts w:ascii="Times New Roman" w:eastAsia="Times New Roman" w:hAnsi="Times New Roman" w:cs="Times New Roman"/>
          <w:color w:val="222222"/>
          <w:sz w:val="24"/>
          <w:highlight w:val="green"/>
          <w:shd w:val="clear" w:color="auto" w:fill="FFFFFF"/>
        </w:rPr>
        <w:t xml:space="preserve">Catalano, A., </w:t>
      </w:r>
      <w:proofErr w:type="spellStart"/>
      <w:r w:rsidRPr="006A2874">
        <w:rPr>
          <w:rFonts w:ascii="Times New Roman" w:eastAsia="Times New Roman" w:hAnsi="Times New Roman" w:cs="Times New Roman"/>
          <w:color w:val="222222"/>
          <w:sz w:val="24"/>
          <w:highlight w:val="green"/>
          <w:shd w:val="clear" w:color="auto" w:fill="FFFFFF"/>
        </w:rPr>
        <w:t>Iacopetta</w:t>
      </w:r>
      <w:proofErr w:type="spellEnd"/>
      <w:r w:rsidRPr="006A2874">
        <w:rPr>
          <w:rFonts w:ascii="Times New Roman" w:eastAsia="Times New Roman" w:hAnsi="Times New Roman" w:cs="Times New Roman"/>
          <w:color w:val="222222"/>
          <w:sz w:val="24"/>
          <w:highlight w:val="green"/>
          <w:shd w:val="clear" w:color="auto" w:fill="FFFFFF"/>
        </w:rPr>
        <w:t xml:space="preserve">, D., </w:t>
      </w:r>
      <w:proofErr w:type="spellStart"/>
      <w:r w:rsidRPr="006A2874">
        <w:rPr>
          <w:rFonts w:ascii="Times New Roman" w:eastAsia="Times New Roman" w:hAnsi="Times New Roman" w:cs="Times New Roman"/>
          <w:color w:val="222222"/>
          <w:sz w:val="24"/>
          <w:highlight w:val="green"/>
          <w:shd w:val="clear" w:color="auto" w:fill="FFFFFF"/>
        </w:rPr>
        <w:t>Ceramella</w:t>
      </w:r>
      <w:proofErr w:type="spellEnd"/>
      <w:r w:rsidRPr="006A2874">
        <w:rPr>
          <w:rFonts w:ascii="Times New Roman" w:eastAsia="Times New Roman" w:hAnsi="Times New Roman" w:cs="Times New Roman"/>
          <w:color w:val="222222"/>
          <w:sz w:val="24"/>
          <w:highlight w:val="green"/>
          <w:shd w:val="clear" w:color="auto" w:fill="FFFFFF"/>
        </w:rPr>
        <w:t xml:space="preserve">. J., </w:t>
      </w:r>
      <w:proofErr w:type="spellStart"/>
      <w:r w:rsidRPr="006A2874">
        <w:rPr>
          <w:rFonts w:ascii="Times New Roman" w:eastAsia="Times New Roman" w:hAnsi="Times New Roman" w:cs="Times New Roman"/>
          <w:color w:val="222222"/>
          <w:sz w:val="24"/>
          <w:highlight w:val="green"/>
          <w:shd w:val="clear" w:color="auto" w:fill="FFFFFF"/>
        </w:rPr>
        <w:t>Scumaci</w:t>
      </w:r>
      <w:proofErr w:type="spellEnd"/>
      <w:r w:rsidRPr="006A2874">
        <w:rPr>
          <w:rFonts w:ascii="Times New Roman" w:eastAsia="Times New Roman" w:hAnsi="Times New Roman" w:cs="Times New Roman"/>
          <w:color w:val="222222"/>
          <w:sz w:val="24"/>
          <w:highlight w:val="green"/>
          <w:shd w:val="clear" w:color="auto" w:fill="FFFFFF"/>
        </w:rPr>
        <w:t xml:space="preserve">, D., </w:t>
      </w:r>
      <w:proofErr w:type="spellStart"/>
      <w:r w:rsidRPr="006A2874">
        <w:rPr>
          <w:rFonts w:ascii="Times New Roman" w:eastAsia="Times New Roman" w:hAnsi="Times New Roman" w:cs="Times New Roman"/>
          <w:color w:val="222222"/>
          <w:sz w:val="24"/>
          <w:highlight w:val="green"/>
          <w:shd w:val="clear" w:color="auto" w:fill="FFFFFF"/>
        </w:rPr>
        <w:t>Giuziom</w:t>
      </w:r>
      <w:proofErr w:type="spellEnd"/>
      <w:r w:rsidRPr="006A2874">
        <w:rPr>
          <w:rFonts w:ascii="Times New Roman" w:eastAsia="Times New Roman" w:hAnsi="Times New Roman" w:cs="Times New Roman"/>
          <w:color w:val="222222"/>
          <w:sz w:val="24"/>
          <w:highlight w:val="green"/>
          <w:shd w:val="clear" w:color="auto" w:fill="FFFFFF"/>
        </w:rPr>
        <w:t xml:space="preserve"> F., </w:t>
      </w:r>
      <w:proofErr w:type="spellStart"/>
      <w:r w:rsidRPr="006A2874">
        <w:rPr>
          <w:rFonts w:ascii="Times New Roman" w:eastAsia="Times New Roman" w:hAnsi="Times New Roman" w:cs="Times New Roman"/>
          <w:color w:val="222222"/>
          <w:sz w:val="24"/>
          <w:highlight w:val="green"/>
          <w:shd w:val="clear" w:color="auto" w:fill="FFFFFF"/>
        </w:rPr>
        <w:t>Saturnino</w:t>
      </w:r>
      <w:proofErr w:type="spellEnd"/>
      <w:r w:rsidRPr="006A2874">
        <w:rPr>
          <w:rFonts w:ascii="Times New Roman" w:eastAsia="Times New Roman" w:hAnsi="Times New Roman" w:cs="Times New Roman"/>
          <w:color w:val="222222"/>
          <w:sz w:val="24"/>
          <w:highlight w:val="green"/>
          <w:shd w:val="clear" w:color="auto" w:fill="FFFFFF"/>
        </w:rPr>
        <w:t xml:space="preserve">, C., </w:t>
      </w:r>
      <w:proofErr w:type="spellStart"/>
      <w:r w:rsidRPr="006A2874">
        <w:rPr>
          <w:rFonts w:ascii="Times New Roman" w:eastAsia="Times New Roman" w:hAnsi="Times New Roman" w:cs="Times New Roman"/>
          <w:color w:val="222222"/>
          <w:sz w:val="24"/>
          <w:highlight w:val="green"/>
          <w:shd w:val="clear" w:color="auto" w:fill="FFFFFF"/>
        </w:rPr>
        <w:t>Aquaro</w:t>
      </w:r>
      <w:proofErr w:type="spellEnd"/>
      <w:r w:rsidRPr="006A2874">
        <w:rPr>
          <w:rFonts w:ascii="Times New Roman" w:eastAsia="Times New Roman" w:hAnsi="Times New Roman" w:cs="Times New Roman"/>
          <w:color w:val="222222"/>
          <w:sz w:val="24"/>
          <w:highlight w:val="green"/>
          <w:shd w:val="clear" w:color="auto" w:fill="FFFFFF"/>
        </w:rPr>
        <w:t xml:space="preserve">, S., </w:t>
      </w:r>
      <w:proofErr w:type="spellStart"/>
      <w:r w:rsidRPr="006A2874">
        <w:rPr>
          <w:rFonts w:ascii="Times New Roman" w:eastAsia="Times New Roman" w:hAnsi="Times New Roman" w:cs="Times New Roman"/>
          <w:color w:val="222222"/>
          <w:sz w:val="24"/>
          <w:highlight w:val="green"/>
          <w:shd w:val="clear" w:color="auto" w:fill="FFFFFF"/>
        </w:rPr>
        <w:t>Rosano</w:t>
      </w:r>
      <w:proofErr w:type="spellEnd"/>
      <w:r w:rsidRPr="006A2874">
        <w:rPr>
          <w:rFonts w:ascii="Times New Roman" w:eastAsia="Times New Roman" w:hAnsi="Times New Roman" w:cs="Times New Roman"/>
          <w:color w:val="222222"/>
          <w:sz w:val="24"/>
          <w:highlight w:val="green"/>
          <w:shd w:val="clear" w:color="auto" w:fill="FFFFFF"/>
        </w:rPr>
        <w:t xml:space="preserve">, C., </w:t>
      </w:r>
      <w:r w:rsidRPr="006A2874">
        <w:rPr>
          <w:highlight w:val="green"/>
        </w:rPr>
        <w:t xml:space="preserve">&amp; </w:t>
      </w:r>
      <w:proofErr w:type="spellStart"/>
      <w:r w:rsidRPr="006A2874">
        <w:rPr>
          <w:rFonts w:ascii="Times New Roman" w:eastAsia="Times New Roman" w:hAnsi="Times New Roman" w:cs="Times New Roman"/>
          <w:color w:val="222222"/>
          <w:sz w:val="24"/>
          <w:highlight w:val="green"/>
          <w:shd w:val="clear" w:color="auto" w:fill="FFFFFF"/>
        </w:rPr>
        <w:t>Sinicropi</w:t>
      </w:r>
      <w:proofErr w:type="spellEnd"/>
      <w:r w:rsidRPr="006A2874">
        <w:rPr>
          <w:rFonts w:ascii="Times New Roman" w:eastAsia="Times New Roman" w:hAnsi="Times New Roman" w:cs="Times New Roman"/>
          <w:color w:val="222222"/>
          <w:sz w:val="24"/>
          <w:highlight w:val="green"/>
          <w:shd w:val="clear" w:color="auto" w:fill="FFFFFF"/>
        </w:rPr>
        <w:t xml:space="preserve">, M.S (2022). Multidrug resistance (MDR): a widespread phenomenon in pharmacological therapies. </w:t>
      </w:r>
      <w:r w:rsidRPr="006A2874">
        <w:rPr>
          <w:rFonts w:ascii="Times New Roman" w:eastAsia="Times New Roman" w:hAnsi="Times New Roman" w:cs="Times New Roman"/>
          <w:i/>
          <w:color w:val="222222"/>
          <w:sz w:val="24"/>
          <w:highlight w:val="green"/>
          <w:shd w:val="clear" w:color="auto" w:fill="FFFFFF"/>
        </w:rPr>
        <w:t xml:space="preserve">Molecules, </w:t>
      </w:r>
      <w:r w:rsidRPr="006A2874">
        <w:rPr>
          <w:rFonts w:ascii="Times New Roman" w:eastAsia="Times New Roman" w:hAnsi="Times New Roman" w:cs="Times New Roman"/>
          <w:color w:val="222222"/>
          <w:sz w:val="24"/>
          <w:highlight w:val="green"/>
          <w:shd w:val="clear" w:color="auto" w:fill="FFFFFF"/>
        </w:rPr>
        <w:t>27(3), 616- 624.</w:t>
      </w:r>
    </w:p>
    <w:p w14:paraId="5845F371" w14:textId="77777777" w:rsidR="003E0A6F" w:rsidRPr="00B4516C" w:rsidRDefault="003E0A6F" w:rsidP="003E0A6F">
      <w:pPr>
        <w:spacing w:before="100" w:beforeAutospacing="1" w:after="100" w:afterAutospacing="1" w:line="240" w:lineRule="auto"/>
        <w:jc w:val="both"/>
        <w:rPr>
          <w:rFonts w:ascii="Times New Roman" w:hAnsi="Times New Roman" w:cs="Times New Roman"/>
          <w:sz w:val="24"/>
          <w:szCs w:val="24"/>
        </w:rPr>
      </w:pPr>
      <w:proofErr w:type="spellStart"/>
      <w:r w:rsidRPr="00B4516C">
        <w:rPr>
          <w:rFonts w:ascii="Times New Roman" w:hAnsi="Times New Roman" w:cs="Times New Roman"/>
          <w:sz w:val="24"/>
          <w:szCs w:val="24"/>
        </w:rPr>
        <w:t>Cheesbrough</w:t>
      </w:r>
      <w:proofErr w:type="spellEnd"/>
      <w:r w:rsidRPr="00B4516C">
        <w:rPr>
          <w:rFonts w:ascii="Times New Roman" w:hAnsi="Times New Roman" w:cs="Times New Roman"/>
          <w:sz w:val="24"/>
          <w:szCs w:val="24"/>
        </w:rPr>
        <w:t>, M. (2005). District laboratory practice in tropical countries, part 2. Cambridge: Cambridge University Press.</w:t>
      </w:r>
    </w:p>
    <w:p w14:paraId="249B461E" w14:textId="1D20D9AA"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Chen, H. Y., Jean, S. S., Lee, Y. L., Lu, M. C., Ko, W. C., Liu, P. Y., &amp; Hsueh, P. R. (2021). </w:t>
      </w:r>
      <w:proofErr w:type="spellStart"/>
      <w:r w:rsidRPr="00B4516C">
        <w:rPr>
          <w:rFonts w:ascii="Times New Roman" w:hAnsi="Times New Roman" w:cs="Times New Roman"/>
          <w:sz w:val="24"/>
          <w:szCs w:val="24"/>
        </w:rPr>
        <w:t>Carbapenem</w:t>
      </w:r>
      <w:proofErr w:type="spellEnd"/>
      <w:r w:rsidRPr="00B4516C">
        <w:rPr>
          <w:rFonts w:ascii="Times New Roman" w:hAnsi="Times New Roman" w:cs="Times New Roman"/>
          <w:sz w:val="24"/>
          <w:szCs w:val="24"/>
        </w:rPr>
        <w:t xml:space="preserve">-Resistant </w:t>
      </w:r>
      <w:proofErr w:type="spellStart"/>
      <w:r w:rsidRPr="00B4516C">
        <w:rPr>
          <w:rFonts w:ascii="Times New Roman" w:hAnsi="Times New Roman" w:cs="Times New Roman"/>
          <w:sz w:val="24"/>
          <w:szCs w:val="24"/>
        </w:rPr>
        <w:t>Enterobacterales</w:t>
      </w:r>
      <w:proofErr w:type="spellEnd"/>
      <w:r w:rsidRPr="00B4516C">
        <w:rPr>
          <w:rFonts w:ascii="Times New Roman" w:hAnsi="Times New Roman" w:cs="Times New Roman"/>
          <w:sz w:val="24"/>
          <w:szCs w:val="24"/>
        </w:rPr>
        <w:t xml:space="preserve"> in Long-Term Care Facilities: A Global and Narrative Review. </w:t>
      </w:r>
      <w:r w:rsidRPr="00B4516C">
        <w:rPr>
          <w:rFonts w:ascii="Times New Roman" w:hAnsi="Times New Roman" w:cs="Times New Roman"/>
          <w:i/>
          <w:iCs/>
          <w:sz w:val="24"/>
          <w:szCs w:val="24"/>
        </w:rPr>
        <w:t>Frontiers in Cellular and Infection Microbiology</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11</w:t>
      </w:r>
      <w:r w:rsidRPr="00B4516C">
        <w:rPr>
          <w:rFonts w:ascii="Times New Roman" w:hAnsi="Times New Roman" w:cs="Times New Roman"/>
          <w:sz w:val="24"/>
          <w:szCs w:val="24"/>
        </w:rPr>
        <w:t xml:space="preserve">, 601968. </w:t>
      </w:r>
      <w:hyperlink r:id="rId13" w:history="1">
        <w:proofErr w:type="spellStart"/>
        <w:r w:rsidRPr="00B4516C">
          <w:rPr>
            <w:rStyle w:val="Hyperlink"/>
            <w:rFonts w:ascii="Times New Roman" w:hAnsi="Times New Roman" w:cs="Times New Roman"/>
            <w:color w:val="auto"/>
            <w:sz w:val="24"/>
            <w:szCs w:val="24"/>
          </w:rPr>
          <w:t>doi</w:t>
        </w:r>
        <w:proofErr w:type="spellEnd"/>
      </w:hyperlink>
      <w:r w:rsidRPr="00B4516C">
        <w:rPr>
          <w:rFonts w:ascii="Times New Roman" w:hAnsi="Times New Roman" w:cs="Times New Roman"/>
          <w:sz w:val="24"/>
          <w:szCs w:val="24"/>
        </w:rPr>
        <w:t>: 10.3389/fcimb.2021.601968.</w:t>
      </w:r>
    </w:p>
    <w:p w14:paraId="73DDB7E6" w14:textId="77777777" w:rsidR="003E0A6F" w:rsidRPr="00B4516C" w:rsidRDefault="003E0A6F" w:rsidP="003E0A6F">
      <w:pPr>
        <w:spacing w:before="100" w:beforeAutospacing="1" w:after="100" w:afterAutospacing="1" w:line="240" w:lineRule="auto"/>
        <w:jc w:val="both"/>
        <w:rPr>
          <w:rFonts w:ascii="Times New Roman" w:hAnsi="Times New Roman" w:cs="Times New Roman"/>
          <w:sz w:val="24"/>
          <w:szCs w:val="24"/>
        </w:rPr>
      </w:pPr>
      <w:r w:rsidRPr="00B4516C">
        <w:rPr>
          <w:rFonts w:ascii="Times New Roman" w:hAnsi="Times New Roman" w:cs="Times New Roman"/>
          <w:sz w:val="24"/>
          <w:szCs w:val="24"/>
        </w:rPr>
        <w:t>Clinical and Laboratory Standards Institute (CLSI). Performance standards for antimicrobial susceptibility testing. 30th ed. Wayne, PA: CLSI; 2020.</w:t>
      </w:r>
    </w:p>
    <w:p w14:paraId="1BE4EBF1" w14:textId="77777777" w:rsidR="003E0A6F" w:rsidRPr="00B4516C" w:rsidRDefault="003E0A6F" w:rsidP="003E0A6F">
      <w:pPr>
        <w:spacing w:before="100" w:beforeAutospacing="1" w:after="100" w:afterAutospacing="1" w:line="240" w:lineRule="auto"/>
        <w:jc w:val="both"/>
        <w:rPr>
          <w:rFonts w:ascii="Times New Roman" w:hAnsi="Times New Roman" w:cs="Times New Roman"/>
          <w:sz w:val="24"/>
          <w:szCs w:val="24"/>
        </w:rPr>
      </w:pPr>
      <w:r w:rsidRPr="00B4516C">
        <w:rPr>
          <w:rFonts w:ascii="Times New Roman" w:hAnsi="Times New Roman" w:cs="Times New Roman"/>
          <w:sz w:val="24"/>
          <w:szCs w:val="24"/>
        </w:rPr>
        <w:t>Cowan, S.T., &amp; Steel, K.J. (1974). Manual for the identification of medical bacteria. Cambridge: Cambridge University Press.</w:t>
      </w:r>
    </w:p>
    <w:p w14:paraId="383C39EB" w14:textId="77777777" w:rsidR="003E0A6F" w:rsidRPr="00B4516C" w:rsidRDefault="003E0A6F" w:rsidP="003E0A6F">
      <w:pPr>
        <w:spacing w:line="240" w:lineRule="auto"/>
        <w:jc w:val="both"/>
        <w:rPr>
          <w:rFonts w:ascii="Times New Roman" w:hAnsi="Times New Roman" w:cs="Times New Roman"/>
          <w:sz w:val="24"/>
          <w:szCs w:val="24"/>
        </w:rPr>
      </w:pPr>
      <w:proofErr w:type="spellStart"/>
      <w:r w:rsidRPr="00B4516C">
        <w:rPr>
          <w:rFonts w:ascii="Times New Roman" w:hAnsi="Times New Roman" w:cs="Times New Roman"/>
          <w:sz w:val="24"/>
          <w:szCs w:val="24"/>
        </w:rPr>
        <w:t>Donkor</w:t>
      </w:r>
      <w:proofErr w:type="spellEnd"/>
      <w:r w:rsidRPr="00B4516C">
        <w:rPr>
          <w:rFonts w:ascii="Times New Roman" w:hAnsi="Times New Roman" w:cs="Times New Roman"/>
          <w:sz w:val="24"/>
          <w:szCs w:val="24"/>
        </w:rPr>
        <w:t xml:space="preserve">, E.S., </w:t>
      </w:r>
      <w:proofErr w:type="spellStart"/>
      <w:r w:rsidRPr="00B4516C">
        <w:rPr>
          <w:rFonts w:ascii="Times New Roman" w:hAnsi="Times New Roman" w:cs="Times New Roman"/>
          <w:sz w:val="24"/>
          <w:szCs w:val="24"/>
        </w:rPr>
        <w:t>Dayie</w:t>
      </w:r>
      <w:proofErr w:type="spellEnd"/>
      <w:r w:rsidRPr="00B4516C">
        <w:rPr>
          <w:rFonts w:ascii="Times New Roman" w:hAnsi="Times New Roman" w:cs="Times New Roman"/>
          <w:sz w:val="24"/>
          <w:szCs w:val="24"/>
        </w:rPr>
        <w:t xml:space="preserve">, N.T.K.D., &amp; </w:t>
      </w:r>
      <w:proofErr w:type="spellStart"/>
      <w:r w:rsidRPr="00B4516C">
        <w:rPr>
          <w:rFonts w:ascii="Times New Roman" w:hAnsi="Times New Roman" w:cs="Times New Roman"/>
          <w:sz w:val="24"/>
          <w:szCs w:val="24"/>
        </w:rPr>
        <w:t>Tetteh-Quarcoo</w:t>
      </w:r>
      <w:proofErr w:type="spellEnd"/>
      <w:r w:rsidRPr="00B4516C">
        <w:rPr>
          <w:rFonts w:ascii="Times New Roman" w:hAnsi="Times New Roman" w:cs="Times New Roman"/>
          <w:sz w:val="24"/>
          <w:szCs w:val="24"/>
        </w:rPr>
        <w:t xml:space="preserve">, P.B. (2012). Self-medication practices with antibiotics among tertiary level students in Accra, Ghana: A cross-sectional study. </w:t>
      </w:r>
      <w:r w:rsidRPr="00B4516C">
        <w:rPr>
          <w:rFonts w:ascii="Times New Roman" w:hAnsi="Times New Roman" w:cs="Times New Roman"/>
          <w:i/>
          <w:sz w:val="24"/>
          <w:szCs w:val="24"/>
        </w:rPr>
        <w:t>International Journal of Environmental Research and Public Health</w:t>
      </w:r>
      <w:r w:rsidRPr="00B4516C">
        <w:rPr>
          <w:rFonts w:ascii="Times New Roman" w:hAnsi="Times New Roman" w:cs="Times New Roman"/>
          <w:sz w:val="24"/>
          <w:szCs w:val="24"/>
        </w:rPr>
        <w:t xml:space="preserve">, </w:t>
      </w:r>
      <w:r w:rsidRPr="00B4516C">
        <w:rPr>
          <w:rFonts w:ascii="Times New Roman" w:hAnsi="Times New Roman" w:cs="Times New Roman"/>
          <w:i/>
          <w:sz w:val="24"/>
          <w:szCs w:val="24"/>
        </w:rPr>
        <w:t>15</w:t>
      </w:r>
      <w:r w:rsidRPr="00B4516C">
        <w:rPr>
          <w:rFonts w:ascii="Times New Roman" w:hAnsi="Times New Roman" w:cs="Times New Roman"/>
          <w:sz w:val="24"/>
          <w:szCs w:val="24"/>
        </w:rPr>
        <w:t xml:space="preserve">(10), 1-12. </w:t>
      </w:r>
    </w:p>
    <w:p w14:paraId="5625AC16" w14:textId="77777777" w:rsidR="003E0A6F" w:rsidRPr="00B4516C" w:rsidRDefault="003E0A6F" w:rsidP="003E0A6F">
      <w:pPr>
        <w:spacing w:line="240" w:lineRule="auto"/>
        <w:jc w:val="both"/>
        <w:rPr>
          <w:rFonts w:ascii="Times New Roman" w:hAnsi="Times New Roman" w:cs="Times New Roman"/>
          <w:sz w:val="24"/>
          <w:szCs w:val="24"/>
        </w:rPr>
      </w:pPr>
    </w:p>
    <w:p w14:paraId="7986BD24" w14:textId="2E5BBCDD" w:rsidR="003E0A6F" w:rsidRPr="00B4516C" w:rsidRDefault="00B65063"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Ezugwu, I., </w:t>
      </w:r>
      <w:proofErr w:type="spellStart"/>
      <w:r w:rsidRPr="00B4516C">
        <w:rPr>
          <w:rFonts w:ascii="Times New Roman" w:hAnsi="Times New Roman" w:cs="Times New Roman"/>
          <w:sz w:val="24"/>
          <w:szCs w:val="24"/>
        </w:rPr>
        <w:t>Afunwa</w:t>
      </w:r>
      <w:proofErr w:type="spellEnd"/>
      <w:r w:rsidRPr="00B4516C">
        <w:rPr>
          <w:rFonts w:ascii="Times New Roman" w:hAnsi="Times New Roman" w:cs="Times New Roman"/>
          <w:sz w:val="24"/>
          <w:szCs w:val="24"/>
        </w:rPr>
        <w:t>, R.</w:t>
      </w:r>
      <w:r w:rsidR="003E0A6F" w:rsidRPr="00B4516C">
        <w:rPr>
          <w:rFonts w:ascii="Times New Roman" w:hAnsi="Times New Roman" w:cs="Times New Roman"/>
          <w:sz w:val="24"/>
          <w:szCs w:val="24"/>
        </w:rPr>
        <w:t xml:space="preserve">, Onyia, F. , </w:t>
      </w:r>
      <w:proofErr w:type="spellStart"/>
      <w:r w:rsidR="003E0A6F" w:rsidRPr="00B4516C">
        <w:rPr>
          <w:rFonts w:ascii="Times New Roman" w:hAnsi="Times New Roman" w:cs="Times New Roman"/>
          <w:sz w:val="24"/>
          <w:szCs w:val="24"/>
        </w:rPr>
        <w:t>Chukwunwejim</w:t>
      </w:r>
      <w:proofErr w:type="spellEnd"/>
      <w:r w:rsidR="003E0A6F" w:rsidRPr="00B4516C">
        <w:rPr>
          <w:rFonts w:ascii="Times New Roman" w:hAnsi="Times New Roman" w:cs="Times New Roman"/>
          <w:sz w:val="24"/>
          <w:szCs w:val="24"/>
        </w:rPr>
        <w:t xml:space="preserve">, C. , Offe, I. , Onyia, C. , </w:t>
      </w:r>
      <w:proofErr w:type="spellStart"/>
      <w:r w:rsidR="003E0A6F" w:rsidRPr="00B4516C">
        <w:rPr>
          <w:rFonts w:ascii="Times New Roman" w:hAnsi="Times New Roman" w:cs="Times New Roman"/>
          <w:sz w:val="24"/>
          <w:szCs w:val="24"/>
        </w:rPr>
        <w:t>Unachukwu</w:t>
      </w:r>
      <w:proofErr w:type="spellEnd"/>
      <w:r w:rsidR="003E0A6F" w:rsidRPr="00B4516C">
        <w:rPr>
          <w:rFonts w:ascii="Times New Roman" w:hAnsi="Times New Roman" w:cs="Times New Roman"/>
          <w:sz w:val="24"/>
          <w:szCs w:val="24"/>
        </w:rPr>
        <w:t xml:space="preserve">, M. &amp; Eze, E. (2021) Prevalence of Urinary Tract Infections and Associated Risk Factors among </w:t>
      </w:r>
      <w:r w:rsidR="003E0A6F" w:rsidRPr="00B4516C">
        <w:rPr>
          <w:rFonts w:ascii="Times New Roman" w:hAnsi="Times New Roman" w:cs="Times New Roman"/>
          <w:sz w:val="24"/>
          <w:szCs w:val="24"/>
        </w:rPr>
        <w:lastRenderedPageBreak/>
        <w:t xml:space="preserve">Pregnant Women in Enugu Metropolis, Nigeria. </w:t>
      </w:r>
      <w:r w:rsidR="003E0A6F" w:rsidRPr="00B4516C">
        <w:rPr>
          <w:rFonts w:ascii="Times New Roman" w:hAnsi="Times New Roman" w:cs="Times New Roman"/>
          <w:i/>
          <w:iCs/>
          <w:sz w:val="24"/>
          <w:szCs w:val="24"/>
        </w:rPr>
        <w:t>Journal of Biosciences and Medicines</w:t>
      </w:r>
      <w:r w:rsidR="003E0A6F" w:rsidRPr="00B4516C">
        <w:rPr>
          <w:rFonts w:ascii="Times New Roman" w:hAnsi="Times New Roman" w:cs="Times New Roman"/>
          <w:sz w:val="24"/>
          <w:szCs w:val="24"/>
        </w:rPr>
        <w:t xml:space="preserve">, </w:t>
      </w:r>
      <w:r w:rsidR="003E0A6F" w:rsidRPr="00B4516C">
        <w:rPr>
          <w:rFonts w:ascii="Times New Roman" w:hAnsi="Times New Roman" w:cs="Times New Roman"/>
          <w:bCs/>
          <w:i/>
          <w:sz w:val="24"/>
          <w:szCs w:val="24"/>
        </w:rPr>
        <w:t>9</w:t>
      </w:r>
      <w:r w:rsidR="003E0A6F" w:rsidRPr="00B4516C">
        <w:rPr>
          <w:rFonts w:ascii="Times New Roman" w:hAnsi="Times New Roman" w:cs="Times New Roman"/>
          <w:sz w:val="24"/>
          <w:szCs w:val="24"/>
        </w:rPr>
        <w:t xml:space="preserve">, 156-171. </w:t>
      </w:r>
      <w:proofErr w:type="spellStart"/>
      <w:r w:rsidR="003E0A6F" w:rsidRPr="00B4516C">
        <w:rPr>
          <w:rFonts w:ascii="Times New Roman" w:hAnsi="Times New Roman" w:cs="Times New Roman"/>
          <w:sz w:val="24"/>
          <w:szCs w:val="24"/>
        </w:rPr>
        <w:t>doi</w:t>
      </w:r>
      <w:proofErr w:type="spellEnd"/>
      <w:r w:rsidR="003E0A6F" w:rsidRPr="00B4516C">
        <w:rPr>
          <w:rFonts w:ascii="Times New Roman" w:hAnsi="Times New Roman" w:cs="Times New Roman"/>
          <w:sz w:val="24"/>
          <w:szCs w:val="24"/>
        </w:rPr>
        <w:t xml:space="preserve">: </w:t>
      </w:r>
      <w:hyperlink r:id="rId14" w:tgtFrame="_blank" w:history="1">
        <w:r w:rsidR="003E0A6F" w:rsidRPr="00B4516C">
          <w:rPr>
            <w:rStyle w:val="Hyperlink"/>
            <w:rFonts w:ascii="Times New Roman" w:hAnsi="Times New Roman" w:cs="Times New Roman"/>
            <w:color w:val="auto"/>
            <w:sz w:val="24"/>
            <w:szCs w:val="24"/>
          </w:rPr>
          <w:t>10.4236/jbm.2021.910014</w:t>
        </w:r>
      </w:hyperlink>
      <w:r w:rsidR="003E0A6F" w:rsidRPr="00B4516C">
        <w:rPr>
          <w:rFonts w:ascii="Times New Roman" w:hAnsi="Times New Roman" w:cs="Times New Roman"/>
          <w:sz w:val="24"/>
          <w:szCs w:val="24"/>
        </w:rPr>
        <w:t>.</w:t>
      </w:r>
    </w:p>
    <w:p w14:paraId="411306F0" w14:textId="77777777" w:rsidR="003E0A6F" w:rsidRPr="00B4516C" w:rsidRDefault="003E0A6F" w:rsidP="003E0A6F">
      <w:pPr>
        <w:spacing w:line="240" w:lineRule="auto"/>
        <w:jc w:val="both"/>
        <w:rPr>
          <w:rFonts w:ascii="Times New Roman" w:hAnsi="Times New Roman" w:cs="Times New Roman"/>
          <w:sz w:val="24"/>
          <w:szCs w:val="24"/>
        </w:rPr>
      </w:pPr>
    </w:p>
    <w:p w14:paraId="6FA411B6" w14:textId="176ADFAA" w:rsidR="002208EF" w:rsidRPr="00B4516C" w:rsidRDefault="002208EF" w:rsidP="002208EF">
      <w:pPr>
        <w:jc w:val="both"/>
        <w:rPr>
          <w:rFonts w:ascii="Times New Roman" w:hAnsi="Times New Roman" w:cs="Times New Roman"/>
          <w:sz w:val="24"/>
          <w:szCs w:val="24"/>
        </w:rPr>
      </w:pPr>
      <w:r w:rsidRPr="00B4516C">
        <w:rPr>
          <w:rFonts w:ascii="Times New Roman" w:hAnsi="Times New Roman" w:cs="Times New Roman"/>
          <w:sz w:val="24"/>
          <w:szCs w:val="24"/>
        </w:rPr>
        <w:t xml:space="preserve">Flores-Mireles, A. L., Walker, J. N., </w:t>
      </w:r>
      <w:proofErr w:type="spellStart"/>
      <w:r w:rsidRPr="00B4516C">
        <w:rPr>
          <w:rFonts w:ascii="Times New Roman" w:hAnsi="Times New Roman" w:cs="Times New Roman"/>
          <w:sz w:val="24"/>
          <w:szCs w:val="24"/>
        </w:rPr>
        <w:t>Caparon</w:t>
      </w:r>
      <w:proofErr w:type="spellEnd"/>
      <w:r w:rsidRPr="00B4516C">
        <w:rPr>
          <w:rFonts w:ascii="Times New Roman" w:hAnsi="Times New Roman" w:cs="Times New Roman"/>
          <w:sz w:val="24"/>
          <w:szCs w:val="24"/>
        </w:rPr>
        <w:t xml:space="preserve">, M., &amp; Hultgren, S. J. (2015). Urinary tract infections: epidemiology, mechanisms of infection and treatment options. </w:t>
      </w:r>
      <w:r w:rsidRPr="00B4516C">
        <w:rPr>
          <w:rFonts w:ascii="Times New Roman" w:hAnsi="Times New Roman" w:cs="Times New Roman"/>
          <w:i/>
          <w:iCs/>
          <w:sz w:val="24"/>
          <w:szCs w:val="24"/>
        </w:rPr>
        <w:t>Nature Reviews Microbiology</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13</w:t>
      </w:r>
      <w:r w:rsidRPr="00B4516C">
        <w:rPr>
          <w:rFonts w:ascii="Times New Roman" w:hAnsi="Times New Roman" w:cs="Times New Roman"/>
          <w:sz w:val="24"/>
          <w:szCs w:val="24"/>
        </w:rPr>
        <w:t xml:space="preserve">(5), 269–284. </w:t>
      </w:r>
      <w:hyperlink r:id="rId15" w:history="1">
        <w:proofErr w:type="spellStart"/>
        <w:r w:rsidRPr="00B4516C">
          <w:rPr>
            <w:rStyle w:val="Hyperlink"/>
            <w:rFonts w:ascii="Times New Roman" w:hAnsi="Times New Roman" w:cs="Times New Roman"/>
            <w:color w:val="auto"/>
            <w:sz w:val="24"/>
            <w:szCs w:val="24"/>
          </w:rPr>
          <w:t>doi</w:t>
        </w:r>
        <w:proofErr w:type="spellEnd"/>
      </w:hyperlink>
      <w:r w:rsidRPr="00B4516C">
        <w:rPr>
          <w:rFonts w:ascii="Times New Roman" w:hAnsi="Times New Roman" w:cs="Times New Roman"/>
          <w:sz w:val="24"/>
          <w:szCs w:val="24"/>
        </w:rPr>
        <w:t>: 10.1038/nrmicro3432.</w:t>
      </w:r>
    </w:p>
    <w:p w14:paraId="7A134356" w14:textId="77777777" w:rsidR="002208EF" w:rsidRPr="00B4516C" w:rsidRDefault="002208EF" w:rsidP="002208EF">
      <w:pPr>
        <w:jc w:val="both"/>
        <w:rPr>
          <w:rFonts w:ascii="Times New Roman" w:hAnsi="Times New Roman" w:cs="Times New Roman"/>
          <w:sz w:val="24"/>
          <w:szCs w:val="24"/>
          <w:lang w:val="en-US"/>
        </w:rPr>
      </w:pPr>
    </w:p>
    <w:p w14:paraId="11FDFE95" w14:textId="77777777" w:rsidR="003E0A6F" w:rsidRPr="00B4516C" w:rsidRDefault="003E0A6F" w:rsidP="003E0A6F">
      <w:pPr>
        <w:spacing w:line="240" w:lineRule="auto"/>
        <w:jc w:val="both"/>
        <w:rPr>
          <w:rFonts w:ascii="Times New Roman" w:hAnsi="Times New Roman" w:cs="Times New Roman"/>
          <w:sz w:val="24"/>
          <w:szCs w:val="24"/>
        </w:rPr>
      </w:pPr>
      <w:proofErr w:type="spellStart"/>
      <w:r w:rsidRPr="00B4516C">
        <w:rPr>
          <w:rFonts w:ascii="Times New Roman" w:hAnsi="Times New Roman" w:cs="Times New Roman"/>
          <w:sz w:val="24"/>
          <w:szCs w:val="24"/>
        </w:rPr>
        <w:t>Gebretensaie</w:t>
      </w:r>
      <w:proofErr w:type="spellEnd"/>
      <w:r w:rsidRPr="00B4516C">
        <w:rPr>
          <w:rFonts w:ascii="Times New Roman" w:hAnsi="Times New Roman" w:cs="Times New Roman"/>
          <w:sz w:val="24"/>
          <w:szCs w:val="24"/>
        </w:rPr>
        <w:t xml:space="preserve">, Y., </w:t>
      </w:r>
      <w:proofErr w:type="spellStart"/>
      <w:r w:rsidRPr="00B4516C">
        <w:rPr>
          <w:rFonts w:ascii="Times New Roman" w:hAnsi="Times New Roman" w:cs="Times New Roman"/>
          <w:sz w:val="24"/>
          <w:szCs w:val="24"/>
        </w:rPr>
        <w:t>Atnafu</w:t>
      </w:r>
      <w:proofErr w:type="spellEnd"/>
      <w:r w:rsidRPr="00B4516C">
        <w:rPr>
          <w:rFonts w:ascii="Times New Roman" w:hAnsi="Times New Roman" w:cs="Times New Roman"/>
          <w:sz w:val="24"/>
          <w:szCs w:val="24"/>
        </w:rPr>
        <w:t xml:space="preserve">, A., Girma, S., Alemu, Y., &amp; Desta, K. (2023). Prevalence of Bacterial Urinary Tract Infection, Associated Risk Factors, and Antimicrobial Resistance Pattern in Addis Ababa, Ethiopia: A Cross-Sectional Study. </w:t>
      </w:r>
      <w:r w:rsidRPr="00B4516C">
        <w:rPr>
          <w:rFonts w:ascii="Times New Roman" w:hAnsi="Times New Roman" w:cs="Times New Roman"/>
          <w:i/>
          <w:iCs/>
          <w:sz w:val="24"/>
          <w:szCs w:val="24"/>
        </w:rPr>
        <w:t>Infection and Drug Resistance</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16</w:t>
      </w:r>
      <w:r w:rsidRPr="00B4516C">
        <w:rPr>
          <w:rFonts w:ascii="Times New Roman" w:hAnsi="Times New Roman" w:cs="Times New Roman"/>
          <w:sz w:val="24"/>
          <w:szCs w:val="24"/>
        </w:rPr>
        <w:t>, 3041–3050. doi:10.2147/IDR.S402279</w:t>
      </w:r>
    </w:p>
    <w:p w14:paraId="4F1C7906" w14:textId="7EE0E68F" w:rsidR="003E0A6F" w:rsidRPr="00B4516C" w:rsidRDefault="003E0A6F" w:rsidP="003E0A6F">
      <w:pPr>
        <w:spacing w:line="240" w:lineRule="auto"/>
        <w:jc w:val="both"/>
        <w:rPr>
          <w:rFonts w:ascii="Times New Roman" w:hAnsi="Times New Roman" w:cs="Times New Roman"/>
          <w:sz w:val="24"/>
          <w:szCs w:val="24"/>
        </w:rPr>
      </w:pPr>
    </w:p>
    <w:p w14:paraId="125BCD86" w14:textId="77777777"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Huttner, A., Bielicki, J., Clements, M. N., Frimodt-Møller, N., Muller, A. E., </w:t>
      </w:r>
      <w:proofErr w:type="spellStart"/>
      <w:r w:rsidRPr="00B4516C">
        <w:rPr>
          <w:rFonts w:ascii="Times New Roman" w:hAnsi="Times New Roman" w:cs="Times New Roman"/>
          <w:sz w:val="24"/>
          <w:szCs w:val="24"/>
        </w:rPr>
        <w:t>Paccaud</w:t>
      </w:r>
      <w:proofErr w:type="spellEnd"/>
      <w:r w:rsidRPr="00B4516C">
        <w:rPr>
          <w:rFonts w:ascii="Times New Roman" w:hAnsi="Times New Roman" w:cs="Times New Roman"/>
          <w:sz w:val="24"/>
          <w:szCs w:val="24"/>
        </w:rPr>
        <w:t xml:space="preserve">, J. P., &amp; Mouton, J. W. (2020). Oral amoxicillin and amoxicillin-clavulanic acid: properties, indications and usage. </w:t>
      </w:r>
      <w:r w:rsidRPr="00B4516C">
        <w:rPr>
          <w:rFonts w:ascii="Times New Roman" w:hAnsi="Times New Roman" w:cs="Times New Roman"/>
          <w:i/>
          <w:iCs/>
          <w:sz w:val="24"/>
          <w:szCs w:val="24"/>
        </w:rPr>
        <w:t>Clinical Microbiology and Infection: the official publication of the European Society of Clinical Microbiology and Infectious Diseases</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26</w:t>
      </w:r>
      <w:r w:rsidRPr="00B4516C">
        <w:rPr>
          <w:rFonts w:ascii="Times New Roman" w:hAnsi="Times New Roman" w:cs="Times New Roman"/>
          <w:sz w:val="24"/>
          <w:szCs w:val="24"/>
        </w:rPr>
        <w:t xml:space="preserve">(7), 871–879. </w:t>
      </w:r>
      <w:hyperlink r:id="rId16" w:history="1">
        <w:proofErr w:type="spellStart"/>
        <w:r w:rsidRPr="00B4516C">
          <w:rPr>
            <w:rStyle w:val="Hyperlink"/>
            <w:rFonts w:ascii="Times New Roman" w:hAnsi="Times New Roman" w:cs="Times New Roman"/>
            <w:color w:val="auto"/>
            <w:sz w:val="24"/>
            <w:szCs w:val="24"/>
          </w:rPr>
          <w:t>doi</w:t>
        </w:r>
        <w:proofErr w:type="spellEnd"/>
      </w:hyperlink>
      <w:r w:rsidRPr="00B4516C">
        <w:rPr>
          <w:rFonts w:ascii="Times New Roman" w:hAnsi="Times New Roman" w:cs="Times New Roman"/>
          <w:sz w:val="24"/>
          <w:szCs w:val="24"/>
        </w:rPr>
        <w:t>:  10.1016/j.cmi.2019.11.028.</w:t>
      </w:r>
    </w:p>
    <w:p w14:paraId="66E84832" w14:textId="77777777" w:rsidR="003E0A6F" w:rsidRPr="00B4516C" w:rsidRDefault="003E0A6F" w:rsidP="003E0A6F">
      <w:pPr>
        <w:spacing w:line="240" w:lineRule="auto"/>
        <w:jc w:val="both"/>
        <w:rPr>
          <w:rFonts w:ascii="Times New Roman" w:hAnsi="Times New Roman" w:cs="Times New Roman"/>
          <w:sz w:val="24"/>
          <w:szCs w:val="24"/>
        </w:rPr>
      </w:pPr>
    </w:p>
    <w:p w14:paraId="7826A10B" w14:textId="77777777" w:rsidR="003E0A6F" w:rsidRPr="00B4516C" w:rsidRDefault="003E0A6F" w:rsidP="003E0A6F">
      <w:pPr>
        <w:spacing w:line="240" w:lineRule="auto"/>
        <w:rPr>
          <w:rFonts w:ascii="Times New Roman" w:hAnsi="Times New Roman" w:cs="Times New Roman"/>
          <w:sz w:val="24"/>
          <w:szCs w:val="24"/>
        </w:rPr>
      </w:pPr>
      <w:r w:rsidRPr="00B4516C">
        <w:rPr>
          <w:rFonts w:ascii="Times New Roman" w:hAnsi="Times New Roman" w:cs="Times New Roman"/>
          <w:sz w:val="24"/>
          <w:szCs w:val="24"/>
        </w:rPr>
        <w:t xml:space="preserve">Iqbal, Z., Mumtaz, M.Z., &amp; Malik, A. (2021). Extensive drug-resistance in strains of </w:t>
      </w:r>
      <w:r w:rsidRPr="00B4516C">
        <w:rPr>
          <w:rFonts w:ascii="Times New Roman" w:hAnsi="Times New Roman" w:cs="Times New Roman"/>
          <w:i/>
          <w:sz w:val="24"/>
          <w:szCs w:val="24"/>
        </w:rPr>
        <w:t>Escherichia coli</w:t>
      </w:r>
      <w:r w:rsidRPr="00B4516C">
        <w:rPr>
          <w:rFonts w:ascii="Times New Roman" w:hAnsi="Times New Roman" w:cs="Times New Roman"/>
          <w:sz w:val="24"/>
          <w:szCs w:val="24"/>
        </w:rPr>
        <w:t xml:space="preserve"> and </w:t>
      </w:r>
      <w:r w:rsidRPr="00B4516C">
        <w:rPr>
          <w:rFonts w:ascii="Times New Roman" w:hAnsi="Times New Roman" w:cs="Times New Roman"/>
          <w:i/>
          <w:sz w:val="24"/>
          <w:szCs w:val="24"/>
        </w:rPr>
        <w:t>Klebsiella pneumoniae</w:t>
      </w:r>
      <w:r w:rsidRPr="00B4516C">
        <w:rPr>
          <w:rFonts w:ascii="Times New Roman" w:hAnsi="Times New Roman" w:cs="Times New Roman"/>
          <w:sz w:val="24"/>
          <w:szCs w:val="24"/>
        </w:rPr>
        <w:t xml:space="preserve"> isolated from paediatric urinary tract infections. </w:t>
      </w:r>
      <w:hyperlink r:id="rId17" w:tooltip="Go to Journal of Taibah University Medical Sciences on ScienceDirect" w:history="1">
        <w:r w:rsidRPr="00B4516C">
          <w:rPr>
            <w:rStyle w:val="Hyperlink"/>
            <w:rFonts w:ascii="Times New Roman" w:hAnsi="Times New Roman" w:cs="Times New Roman"/>
            <w:i/>
            <w:color w:val="auto"/>
            <w:sz w:val="24"/>
            <w:szCs w:val="24"/>
          </w:rPr>
          <w:t>Journal of Taibah University Medical Sciences</w:t>
        </w:r>
      </w:hyperlink>
      <w:r w:rsidRPr="00B4516C">
        <w:rPr>
          <w:rFonts w:ascii="Times New Roman" w:hAnsi="Times New Roman" w:cs="Times New Roman"/>
          <w:sz w:val="24"/>
          <w:szCs w:val="24"/>
        </w:rPr>
        <w:t xml:space="preserve">, </w:t>
      </w:r>
      <w:r w:rsidRPr="00B4516C">
        <w:rPr>
          <w:rFonts w:ascii="Times New Roman" w:hAnsi="Times New Roman" w:cs="Times New Roman"/>
          <w:i/>
          <w:sz w:val="24"/>
          <w:szCs w:val="24"/>
        </w:rPr>
        <w:t xml:space="preserve">16 </w:t>
      </w:r>
      <w:r w:rsidRPr="00B4516C">
        <w:rPr>
          <w:rFonts w:ascii="Times New Roman" w:hAnsi="Times New Roman" w:cs="Times New Roman"/>
          <w:sz w:val="24"/>
          <w:szCs w:val="24"/>
        </w:rPr>
        <w:t xml:space="preserve">(4), 565-574. </w:t>
      </w:r>
      <w:hyperlink r:id="rId18" w:tgtFrame="_blank" w:tooltip="Persistent link using digital object identifier" w:history="1">
        <w:proofErr w:type="spellStart"/>
        <w:r w:rsidRPr="00B4516C">
          <w:rPr>
            <w:rStyle w:val="Hyperlink"/>
            <w:rFonts w:ascii="Times New Roman" w:hAnsi="Times New Roman" w:cs="Times New Roman"/>
            <w:color w:val="auto"/>
            <w:sz w:val="24"/>
            <w:szCs w:val="24"/>
          </w:rPr>
          <w:t>doi</w:t>
        </w:r>
        <w:proofErr w:type="spellEnd"/>
        <w:r w:rsidRPr="00B4516C">
          <w:rPr>
            <w:rStyle w:val="Hyperlink"/>
            <w:rFonts w:ascii="Times New Roman" w:hAnsi="Times New Roman" w:cs="Times New Roman"/>
            <w:color w:val="auto"/>
            <w:sz w:val="24"/>
            <w:szCs w:val="24"/>
          </w:rPr>
          <w:t>: 10.1016/j.jtumed.2021.03.004</w:t>
        </w:r>
      </w:hyperlink>
    </w:p>
    <w:p w14:paraId="7CFD1F00" w14:textId="77777777" w:rsidR="003E0A6F" w:rsidRPr="00B4516C" w:rsidRDefault="003E0A6F" w:rsidP="003E0A6F">
      <w:pPr>
        <w:spacing w:line="240" w:lineRule="auto"/>
        <w:rPr>
          <w:rFonts w:ascii="Times New Roman" w:hAnsi="Times New Roman" w:cs="Times New Roman"/>
          <w:sz w:val="24"/>
          <w:szCs w:val="24"/>
        </w:rPr>
      </w:pPr>
    </w:p>
    <w:p w14:paraId="159B3485" w14:textId="77777777" w:rsidR="003E0A6F" w:rsidRPr="00B4516C" w:rsidRDefault="003E0A6F" w:rsidP="003E0A6F">
      <w:pPr>
        <w:spacing w:line="240" w:lineRule="auto"/>
        <w:rPr>
          <w:rFonts w:ascii="Times New Roman" w:hAnsi="Times New Roman" w:cs="Times New Roman"/>
          <w:sz w:val="24"/>
          <w:szCs w:val="24"/>
        </w:rPr>
      </w:pPr>
    </w:p>
    <w:p w14:paraId="7E3A8CFB" w14:textId="77777777"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Jamiu, M. O., </w:t>
      </w:r>
      <w:proofErr w:type="spellStart"/>
      <w:r w:rsidRPr="00B4516C">
        <w:rPr>
          <w:rFonts w:ascii="Times New Roman" w:hAnsi="Times New Roman" w:cs="Times New Roman"/>
          <w:sz w:val="24"/>
          <w:szCs w:val="24"/>
        </w:rPr>
        <w:t>Okesola</w:t>
      </w:r>
      <w:proofErr w:type="spellEnd"/>
      <w:r w:rsidRPr="00B4516C">
        <w:rPr>
          <w:rFonts w:ascii="Times New Roman" w:hAnsi="Times New Roman" w:cs="Times New Roman"/>
          <w:sz w:val="24"/>
          <w:szCs w:val="24"/>
        </w:rPr>
        <w:t xml:space="preserve">, A. O., 3Ogunleye, V. O., &amp; </w:t>
      </w:r>
      <w:proofErr w:type="spellStart"/>
      <w:r w:rsidRPr="00B4516C">
        <w:rPr>
          <w:rFonts w:ascii="Times New Roman" w:hAnsi="Times New Roman" w:cs="Times New Roman"/>
          <w:sz w:val="24"/>
          <w:szCs w:val="24"/>
        </w:rPr>
        <w:t>Fasulu</w:t>
      </w:r>
      <w:proofErr w:type="spellEnd"/>
      <w:r w:rsidRPr="00B4516C">
        <w:rPr>
          <w:rFonts w:ascii="Times New Roman" w:hAnsi="Times New Roman" w:cs="Times New Roman"/>
          <w:sz w:val="24"/>
          <w:szCs w:val="24"/>
        </w:rPr>
        <w:t xml:space="preserve">, P. E. (2021). Prevalence of and factors associated with significant bacteriuria among pregnant women attending the antenatal clinic of </w:t>
      </w:r>
      <w:proofErr w:type="spellStart"/>
      <w:r w:rsidRPr="00B4516C">
        <w:rPr>
          <w:rFonts w:ascii="Times New Roman" w:hAnsi="Times New Roman" w:cs="Times New Roman"/>
          <w:sz w:val="24"/>
          <w:szCs w:val="24"/>
        </w:rPr>
        <w:t>Adeoyo</w:t>
      </w:r>
      <w:proofErr w:type="spellEnd"/>
      <w:r w:rsidRPr="00B4516C">
        <w:rPr>
          <w:rFonts w:ascii="Times New Roman" w:hAnsi="Times New Roman" w:cs="Times New Roman"/>
          <w:sz w:val="24"/>
          <w:szCs w:val="24"/>
        </w:rPr>
        <w:t xml:space="preserve"> Maternity Hospital, </w:t>
      </w:r>
      <w:proofErr w:type="spellStart"/>
      <w:r w:rsidRPr="00B4516C">
        <w:rPr>
          <w:rFonts w:ascii="Times New Roman" w:hAnsi="Times New Roman" w:cs="Times New Roman"/>
          <w:sz w:val="24"/>
          <w:szCs w:val="24"/>
        </w:rPr>
        <w:t>Yemetu</w:t>
      </w:r>
      <w:proofErr w:type="spellEnd"/>
      <w:r w:rsidRPr="00B4516C">
        <w:rPr>
          <w:rFonts w:ascii="Times New Roman" w:hAnsi="Times New Roman" w:cs="Times New Roman"/>
          <w:sz w:val="24"/>
          <w:szCs w:val="24"/>
        </w:rPr>
        <w:t xml:space="preserve">, Ibadan, Nigeria. </w:t>
      </w:r>
      <w:r w:rsidRPr="00B4516C">
        <w:rPr>
          <w:rFonts w:ascii="Times New Roman" w:hAnsi="Times New Roman" w:cs="Times New Roman"/>
          <w:i/>
          <w:sz w:val="24"/>
          <w:szCs w:val="24"/>
        </w:rPr>
        <w:t>African Journal of Clinical and Experimental Microbiology</w:t>
      </w:r>
      <w:r w:rsidRPr="00B4516C">
        <w:rPr>
          <w:rFonts w:ascii="Times New Roman" w:hAnsi="Times New Roman" w:cs="Times New Roman"/>
          <w:sz w:val="24"/>
          <w:szCs w:val="24"/>
        </w:rPr>
        <w:t xml:space="preserve">, </w:t>
      </w:r>
      <w:r w:rsidRPr="00B4516C">
        <w:rPr>
          <w:rFonts w:ascii="Times New Roman" w:hAnsi="Times New Roman" w:cs="Times New Roman"/>
          <w:i/>
          <w:sz w:val="24"/>
          <w:szCs w:val="24"/>
        </w:rPr>
        <w:t>22</w:t>
      </w:r>
      <w:r w:rsidRPr="00B4516C">
        <w:rPr>
          <w:rFonts w:ascii="Times New Roman" w:hAnsi="Times New Roman" w:cs="Times New Roman"/>
          <w:sz w:val="24"/>
          <w:szCs w:val="24"/>
        </w:rPr>
        <w:t xml:space="preserve"> (4), 489 – 497. </w:t>
      </w:r>
      <w:proofErr w:type="spellStart"/>
      <w:r w:rsidRPr="00B4516C">
        <w:rPr>
          <w:rFonts w:ascii="Times New Roman" w:hAnsi="Times New Roman" w:cs="Times New Roman"/>
          <w:sz w:val="24"/>
          <w:szCs w:val="24"/>
        </w:rPr>
        <w:t>doi</w:t>
      </w:r>
      <w:proofErr w:type="spellEnd"/>
      <w:r w:rsidRPr="00B4516C">
        <w:rPr>
          <w:rFonts w:ascii="Times New Roman" w:hAnsi="Times New Roman" w:cs="Times New Roman"/>
          <w:sz w:val="24"/>
          <w:szCs w:val="24"/>
        </w:rPr>
        <w:t>: 10.4314/</w:t>
      </w:r>
      <w:proofErr w:type="gramStart"/>
      <w:r w:rsidRPr="00B4516C">
        <w:rPr>
          <w:rFonts w:ascii="Times New Roman" w:hAnsi="Times New Roman" w:cs="Times New Roman"/>
          <w:sz w:val="24"/>
          <w:szCs w:val="24"/>
        </w:rPr>
        <w:t>ajcem.v</w:t>
      </w:r>
      <w:proofErr w:type="gramEnd"/>
      <w:r w:rsidRPr="00B4516C">
        <w:rPr>
          <w:rFonts w:ascii="Times New Roman" w:hAnsi="Times New Roman" w:cs="Times New Roman"/>
          <w:sz w:val="24"/>
          <w:szCs w:val="24"/>
        </w:rPr>
        <w:t xml:space="preserve">22i4.9. </w:t>
      </w:r>
    </w:p>
    <w:p w14:paraId="273F8201" w14:textId="77777777" w:rsidR="003E0A6F" w:rsidRPr="00B4516C" w:rsidRDefault="003E0A6F" w:rsidP="003E0A6F">
      <w:pPr>
        <w:spacing w:line="240" w:lineRule="auto"/>
        <w:jc w:val="both"/>
        <w:rPr>
          <w:rFonts w:ascii="Times New Roman" w:hAnsi="Times New Roman" w:cs="Times New Roman"/>
          <w:sz w:val="24"/>
          <w:szCs w:val="24"/>
        </w:rPr>
      </w:pPr>
    </w:p>
    <w:p w14:paraId="4A6B2DEA" w14:textId="77777777"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Johnson, B., Stephen, B. M., Joseph, N., </w:t>
      </w:r>
      <w:proofErr w:type="spellStart"/>
      <w:r w:rsidRPr="00B4516C">
        <w:rPr>
          <w:rFonts w:ascii="Times New Roman" w:hAnsi="Times New Roman" w:cs="Times New Roman"/>
          <w:sz w:val="24"/>
          <w:szCs w:val="24"/>
        </w:rPr>
        <w:t>Asiphas</w:t>
      </w:r>
      <w:proofErr w:type="spellEnd"/>
      <w:r w:rsidRPr="00B4516C">
        <w:rPr>
          <w:rFonts w:ascii="Times New Roman" w:hAnsi="Times New Roman" w:cs="Times New Roman"/>
          <w:sz w:val="24"/>
          <w:szCs w:val="24"/>
        </w:rPr>
        <w:t xml:space="preserve">, O., Musa, K., &amp; </w:t>
      </w:r>
      <w:proofErr w:type="spellStart"/>
      <w:r w:rsidRPr="00B4516C">
        <w:rPr>
          <w:rFonts w:ascii="Times New Roman" w:hAnsi="Times New Roman" w:cs="Times New Roman"/>
          <w:sz w:val="24"/>
          <w:szCs w:val="24"/>
        </w:rPr>
        <w:t>Taseera</w:t>
      </w:r>
      <w:proofErr w:type="spellEnd"/>
      <w:r w:rsidRPr="00B4516C">
        <w:rPr>
          <w:rFonts w:ascii="Times New Roman" w:hAnsi="Times New Roman" w:cs="Times New Roman"/>
          <w:sz w:val="24"/>
          <w:szCs w:val="24"/>
        </w:rPr>
        <w:t xml:space="preserve">, K. (2021). Prevalence and bacteriology of culture-positive urinary tract infection among pregnant women with suspected urinary tract infection at Mbarara regional referral hospital, South-Western Uganda. </w:t>
      </w:r>
      <w:r w:rsidRPr="00B4516C">
        <w:rPr>
          <w:rFonts w:ascii="Times New Roman" w:hAnsi="Times New Roman" w:cs="Times New Roman"/>
          <w:i/>
          <w:iCs/>
          <w:sz w:val="24"/>
          <w:szCs w:val="24"/>
        </w:rPr>
        <w:t>BMC Pregnancy and Childbirth</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21</w:t>
      </w:r>
      <w:r w:rsidRPr="00B4516C">
        <w:rPr>
          <w:rFonts w:ascii="Times New Roman" w:hAnsi="Times New Roman" w:cs="Times New Roman"/>
          <w:sz w:val="24"/>
          <w:szCs w:val="24"/>
        </w:rPr>
        <w:t xml:space="preserve">(1), 159. </w:t>
      </w:r>
      <w:proofErr w:type="spellStart"/>
      <w:r w:rsidRPr="00B4516C">
        <w:rPr>
          <w:rFonts w:ascii="Times New Roman" w:hAnsi="Times New Roman" w:cs="Times New Roman"/>
          <w:sz w:val="24"/>
          <w:szCs w:val="24"/>
        </w:rPr>
        <w:t>doi</w:t>
      </w:r>
      <w:proofErr w:type="spellEnd"/>
      <w:r w:rsidRPr="00B4516C">
        <w:rPr>
          <w:rFonts w:ascii="Times New Roman" w:hAnsi="Times New Roman" w:cs="Times New Roman"/>
          <w:sz w:val="24"/>
          <w:szCs w:val="24"/>
        </w:rPr>
        <w:t>: 10.1186/s12884-021-03641-8.</w:t>
      </w:r>
    </w:p>
    <w:p w14:paraId="0CCD43C6" w14:textId="77777777" w:rsidR="003E0A6F" w:rsidRPr="00B4516C" w:rsidRDefault="003E0A6F" w:rsidP="003E0A6F">
      <w:pPr>
        <w:spacing w:line="240" w:lineRule="auto"/>
        <w:jc w:val="both"/>
        <w:rPr>
          <w:rFonts w:ascii="Times New Roman" w:hAnsi="Times New Roman" w:cs="Times New Roman"/>
          <w:sz w:val="24"/>
          <w:szCs w:val="24"/>
        </w:rPr>
      </w:pPr>
    </w:p>
    <w:p w14:paraId="07BFC6A4" w14:textId="373949E1" w:rsidR="003E0A6F" w:rsidRPr="00B4516C" w:rsidRDefault="003E0A6F" w:rsidP="003E0A6F">
      <w:pPr>
        <w:spacing w:line="240" w:lineRule="auto"/>
        <w:jc w:val="both"/>
        <w:rPr>
          <w:rFonts w:ascii="Times New Roman" w:hAnsi="Times New Roman" w:cs="Times New Roman"/>
          <w:sz w:val="24"/>
          <w:szCs w:val="24"/>
        </w:rPr>
      </w:pPr>
      <w:proofErr w:type="spellStart"/>
      <w:r w:rsidRPr="00B4516C">
        <w:rPr>
          <w:rFonts w:ascii="Times New Roman" w:hAnsi="Times New Roman" w:cs="Times New Roman"/>
          <w:sz w:val="24"/>
          <w:szCs w:val="24"/>
        </w:rPr>
        <w:t>Lakhundi</w:t>
      </w:r>
      <w:proofErr w:type="spellEnd"/>
      <w:r w:rsidRPr="00B4516C">
        <w:rPr>
          <w:rFonts w:ascii="Times New Roman" w:hAnsi="Times New Roman" w:cs="Times New Roman"/>
          <w:sz w:val="24"/>
          <w:szCs w:val="24"/>
        </w:rPr>
        <w:t xml:space="preserve">, S., &amp; Zhang, K. (2018) Methicillin-Resistant </w:t>
      </w:r>
      <w:r w:rsidRPr="00B4516C">
        <w:rPr>
          <w:rFonts w:ascii="Times New Roman" w:hAnsi="Times New Roman" w:cs="Times New Roman"/>
          <w:i/>
          <w:sz w:val="24"/>
          <w:szCs w:val="24"/>
        </w:rPr>
        <w:t>Staphylococcus aureus</w:t>
      </w:r>
      <w:r w:rsidRPr="00B4516C">
        <w:rPr>
          <w:rFonts w:ascii="Times New Roman" w:hAnsi="Times New Roman" w:cs="Times New Roman"/>
          <w:sz w:val="24"/>
          <w:szCs w:val="24"/>
        </w:rPr>
        <w:t xml:space="preserve">: Molecular Characterization, Evolution, and Epidemiology. </w:t>
      </w:r>
      <w:r w:rsidRPr="00B4516C">
        <w:rPr>
          <w:rFonts w:ascii="Times New Roman" w:hAnsi="Times New Roman" w:cs="Times New Roman"/>
          <w:i/>
          <w:sz w:val="24"/>
          <w:szCs w:val="24"/>
        </w:rPr>
        <w:t>Clinical Microbiology Reviews</w:t>
      </w:r>
      <w:r w:rsidRPr="00B4516C">
        <w:rPr>
          <w:rFonts w:ascii="Times New Roman" w:hAnsi="Times New Roman" w:cs="Times New Roman"/>
          <w:sz w:val="24"/>
          <w:szCs w:val="24"/>
        </w:rPr>
        <w:t xml:space="preserve">, </w:t>
      </w:r>
      <w:r w:rsidRPr="00B4516C">
        <w:rPr>
          <w:rFonts w:ascii="Times New Roman" w:hAnsi="Times New Roman" w:cs="Times New Roman"/>
          <w:i/>
          <w:sz w:val="24"/>
          <w:szCs w:val="24"/>
        </w:rPr>
        <w:t>31</w:t>
      </w:r>
      <w:r w:rsidRPr="00B4516C">
        <w:rPr>
          <w:rFonts w:ascii="Times New Roman" w:hAnsi="Times New Roman" w:cs="Times New Roman"/>
          <w:sz w:val="24"/>
          <w:szCs w:val="24"/>
        </w:rPr>
        <w:t xml:space="preserve">, e00020-18. </w:t>
      </w:r>
      <w:r w:rsidRPr="00B4516C">
        <w:rPr>
          <w:rFonts w:ascii="Times New Roman" w:hAnsi="Times New Roman" w:cs="Times New Roman"/>
          <w:sz w:val="24"/>
          <w:szCs w:val="24"/>
        </w:rPr>
        <w:br/>
      </w:r>
      <w:hyperlink r:id="rId19" w:history="1">
        <w:proofErr w:type="spellStart"/>
        <w:r w:rsidRPr="00B4516C">
          <w:rPr>
            <w:rStyle w:val="Hyperlink"/>
            <w:rFonts w:ascii="Times New Roman" w:hAnsi="Times New Roman" w:cs="Times New Roman"/>
            <w:color w:val="auto"/>
            <w:sz w:val="24"/>
            <w:szCs w:val="24"/>
          </w:rPr>
          <w:t>doi</w:t>
        </w:r>
        <w:proofErr w:type="spellEnd"/>
        <w:r w:rsidRPr="00B4516C">
          <w:rPr>
            <w:rStyle w:val="Hyperlink"/>
            <w:rFonts w:ascii="Times New Roman" w:hAnsi="Times New Roman" w:cs="Times New Roman"/>
            <w:color w:val="auto"/>
            <w:sz w:val="24"/>
            <w:szCs w:val="24"/>
          </w:rPr>
          <w:t>: 10.1128/CMR.00020-18</w:t>
        </w:r>
      </w:hyperlink>
    </w:p>
    <w:p w14:paraId="2BD3FEC0" w14:textId="77777777" w:rsidR="003E0A6F" w:rsidRPr="00B4516C" w:rsidRDefault="003E0A6F" w:rsidP="003E0A6F">
      <w:pPr>
        <w:spacing w:line="240" w:lineRule="auto"/>
        <w:jc w:val="both"/>
        <w:rPr>
          <w:rFonts w:ascii="Times New Roman" w:hAnsi="Times New Roman" w:cs="Times New Roman"/>
          <w:sz w:val="24"/>
          <w:szCs w:val="24"/>
        </w:rPr>
      </w:pPr>
    </w:p>
    <w:p w14:paraId="78324DC6" w14:textId="77777777" w:rsidR="006A2874" w:rsidRDefault="006A2874" w:rsidP="006A2874">
      <w:pPr>
        <w:spacing w:after="200" w:line="360" w:lineRule="auto"/>
        <w:jc w:val="both"/>
        <w:rPr>
          <w:rFonts w:ascii="Times New Roman" w:eastAsia="Times New Roman" w:hAnsi="Times New Roman" w:cs="Times New Roman"/>
          <w:sz w:val="24"/>
        </w:rPr>
      </w:pPr>
      <w:proofErr w:type="spellStart"/>
      <w:r w:rsidRPr="0090507B">
        <w:rPr>
          <w:rFonts w:ascii="Times New Roman" w:eastAsia="Times New Roman" w:hAnsi="Times New Roman" w:cs="Times New Roman"/>
          <w:sz w:val="24"/>
          <w:highlight w:val="green"/>
        </w:rPr>
        <w:lastRenderedPageBreak/>
        <w:t>Makanjuola</w:t>
      </w:r>
      <w:proofErr w:type="spellEnd"/>
      <w:r w:rsidRPr="0090507B">
        <w:rPr>
          <w:rFonts w:ascii="Times New Roman" w:eastAsia="Times New Roman" w:hAnsi="Times New Roman" w:cs="Times New Roman"/>
          <w:sz w:val="24"/>
          <w:highlight w:val="green"/>
        </w:rPr>
        <w:t xml:space="preserve">, O.B., </w:t>
      </w:r>
      <w:proofErr w:type="spellStart"/>
      <w:r w:rsidRPr="0090507B">
        <w:rPr>
          <w:rFonts w:ascii="Times New Roman" w:eastAsia="Times New Roman" w:hAnsi="Times New Roman" w:cs="Times New Roman"/>
          <w:sz w:val="24"/>
          <w:highlight w:val="green"/>
        </w:rPr>
        <w:t>Fayemiwo</w:t>
      </w:r>
      <w:proofErr w:type="spellEnd"/>
      <w:r w:rsidRPr="0090507B">
        <w:rPr>
          <w:rFonts w:ascii="Times New Roman" w:eastAsia="Times New Roman" w:hAnsi="Times New Roman" w:cs="Times New Roman"/>
          <w:sz w:val="24"/>
          <w:highlight w:val="green"/>
        </w:rPr>
        <w:t xml:space="preserve">, S.A., </w:t>
      </w:r>
      <w:proofErr w:type="spellStart"/>
      <w:r w:rsidRPr="0090507B">
        <w:rPr>
          <w:rFonts w:ascii="Times New Roman" w:eastAsia="Times New Roman" w:hAnsi="Times New Roman" w:cs="Times New Roman"/>
          <w:sz w:val="24"/>
          <w:highlight w:val="green"/>
        </w:rPr>
        <w:t>Okesola</w:t>
      </w:r>
      <w:proofErr w:type="spellEnd"/>
      <w:r w:rsidRPr="0090507B">
        <w:rPr>
          <w:rFonts w:ascii="Times New Roman" w:eastAsia="Times New Roman" w:hAnsi="Times New Roman" w:cs="Times New Roman"/>
          <w:sz w:val="24"/>
          <w:highlight w:val="green"/>
        </w:rPr>
        <w:t xml:space="preserve">, A.O., </w:t>
      </w:r>
      <w:proofErr w:type="spellStart"/>
      <w:r w:rsidRPr="0090507B">
        <w:rPr>
          <w:rFonts w:ascii="Times New Roman" w:eastAsia="Times New Roman" w:hAnsi="Times New Roman" w:cs="Times New Roman"/>
          <w:sz w:val="24"/>
          <w:highlight w:val="green"/>
        </w:rPr>
        <w:t>Gbaja</w:t>
      </w:r>
      <w:proofErr w:type="spellEnd"/>
      <w:r w:rsidRPr="0090507B">
        <w:rPr>
          <w:rFonts w:ascii="Times New Roman" w:eastAsia="Times New Roman" w:hAnsi="Times New Roman" w:cs="Times New Roman"/>
          <w:sz w:val="24"/>
          <w:highlight w:val="green"/>
        </w:rPr>
        <w:t xml:space="preserve">, A., </w:t>
      </w:r>
      <w:proofErr w:type="spellStart"/>
      <w:r w:rsidRPr="0090507B">
        <w:rPr>
          <w:rFonts w:ascii="Times New Roman" w:eastAsia="Times New Roman" w:hAnsi="Times New Roman" w:cs="Times New Roman"/>
          <w:sz w:val="24"/>
          <w:highlight w:val="green"/>
        </w:rPr>
        <w:t>Ogunleye</w:t>
      </w:r>
      <w:proofErr w:type="spellEnd"/>
      <w:r w:rsidRPr="0090507B">
        <w:rPr>
          <w:rFonts w:ascii="Times New Roman" w:eastAsia="Times New Roman" w:hAnsi="Times New Roman" w:cs="Times New Roman"/>
          <w:sz w:val="24"/>
          <w:highlight w:val="green"/>
        </w:rPr>
        <w:t xml:space="preserve">, V.A., </w:t>
      </w:r>
      <w:proofErr w:type="spellStart"/>
      <w:r w:rsidRPr="0090507B">
        <w:rPr>
          <w:rFonts w:ascii="Times New Roman" w:eastAsia="Times New Roman" w:hAnsi="Times New Roman" w:cs="Times New Roman"/>
          <w:sz w:val="24"/>
          <w:highlight w:val="green"/>
        </w:rPr>
        <w:t>Kehinde</w:t>
      </w:r>
      <w:proofErr w:type="spellEnd"/>
      <w:r w:rsidRPr="0090507B">
        <w:rPr>
          <w:rFonts w:ascii="Times New Roman" w:eastAsia="Times New Roman" w:hAnsi="Times New Roman" w:cs="Times New Roman"/>
          <w:sz w:val="24"/>
          <w:highlight w:val="green"/>
        </w:rPr>
        <w:t xml:space="preserve">, A.O., </w:t>
      </w:r>
      <w:r w:rsidRPr="0090507B">
        <w:rPr>
          <w:highlight w:val="green"/>
        </w:rPr>
        <w:t xml:space="preserve">&amp; </w:t>
      </w:r>
      <w:proofErr w:type="spellStart"/>
      <w:r w:rsidRPr="0090507B">
        <w:rPr>
          <w:rFonts w:ascii="Times New Roman" w:eastAsia="Times New Roman" w:hAnsi="Times New Roman" w:cs="Times New Roman"/>
          <w:sz w:val="24"/>
          <w:highlight w:val="green"/>
        </w:rPr>
        <w:t>Bakare</w:t>
      </w:r>
      <w:proofErr w:type="spellEnd"/>
      <w:r w:rsidRPr="0090507B">
        <w:rPr>
          <w:rFonts w:ascii="Times New Roman" w:eastAsia="Times New Roman" w:hAnsi="Times New Roman" w:cs="Times New Roman"/>
          <w:sz w:val="24"/>
          <w:highlight w:val="green"/>
        </w:rPr>
        <w:t xml:space="preserve">, R.A. (2018). Pattern of Multidrug Resistant Bacteria associated with intensive Care Unit infections in Ibadan, Nigeria. </w:t>
      </w:r>
      <w:r w:rsidRPr="0090507B">
        <w:rPr>
          <w:rFonts w:ascii="Times New Roman" w:eastAsia="Times New Roman" w:hAnsi="Times New Roman" w:cs="Times New Roman"/>
          <w:i/>
          <w:sz w:val="24"/>
          <w:highlight w:val="green"/>
        </w:rPr>
        <w:t xml:space="preserve">Ann </w:t>
      </w:r>
      <w:proofErr w:type="spellStart"/>
      <w:r w:rsidRPr="0090507B">
        <w:rPr>
          <w:rFonts w:ascii="Times New Roman" w:eastAsia="Times New Roman" w:hAnsi="Times New Roman" w:cs="Times New Roman"/>
          <w:i/>
          <w:sz w:val="24"/>
          <w:highlight w:val="green"/>
        </w:rPr>
        <w:t>Ib</w:t>
      </w:r>
      <w:proofErr w:type="spellEnd"/>
      <w:r w:rsidRPr="0090507B">
        <w:rPr>
          <w:rFonts w:ascii="Times New Roman" w:eastAsia="Times New Roman" w:hAnsi="Times New Roman" w:cs="Times New Roman"/>
          <w:i/>
          <w:sz w:val="24"/>
          <w:highlight w:val="green"/>
        </w:rPr>
        <w:t xml:space="preserve"> Postgrad Med, </w:t>
      </w:r>
      <w:r w:rsidRPr="0090507B">
        <w:rPr>
          <w:rFonts w:ascii="Times New Roman" w:eastAsia="Times New Roman" w:hAnsi="Times New Roman" w:cs="Times New Roman"/>
          <w:sz w:val="24"/>
          <w:highlight w:val="green"/>
        </w:rPr>
        <w:t>16(2), 162-169.</w:t>
      </w:r>
    </w:p>
    <w:p w14:paraId="63342A7D" w14:textId="77777777"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Mancuso, G., Midiri, A., Gerace, E., Marra, M., Zummo, S., &amp; Biondo, C. (2023). Urinary Tract Infections: The Current Scenario and Future Prospects. </w:t>
      </w:r>
      <w:r w:rsidRPr="00B4516C">
        <w:rPr>
          <w:rFonts w:ascii="Times New Roman" w:hAnsi="Times New Roman" w:cs="Times New Roman"/>
          <w:i/>
          <w:iCs/>
          <w:sz w:val="24"/>
          <w:szCs w:val="24"/>
        </w:rPr>
        <w:t>Pathogens (Basel, Switzerland)</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12</w:t>
      </w:r>
      <w:r w:rsidRPr="00B4516C">
        <w:rPr>
          <w:rFonts w:ascii="Times New Roman" w:hAnsi="Times New Roman" w:cs="Times New Roman"/>
          <w:sz w:val="24"/>
          <w:szCs w:val="24"/>
        </w:rPr>
        <w:t xml:space="preserve">(4), 623. </w:t>
      </w:r>
      <w:proofErr w:type="spellStart"/>
      <w:r w:rsidRPr="00B4516C">
        <w:rPr>
          <w:rFonts w:ascii="Times New Roman" w:hAnsi="Times New Roman" w:cs="Times New Roman"/>
          <w:sz w:val="24"/>
          <w:szCs w:val="24"/>
        </w:rPr>
        <w:t>doi</w:t>
      </w:r>
      <w:proofErr w:type="spellEnd"/>
      <w:r w:rsidRPr="00B4516C">
        <w:rPr>
          <w:rFonts w:ascii="Times New Roman" w:hAnsi="Times New Roman" w:cs="Times New Roman"/>
          <w:sz w:val="24"/>
          <w:szCs w:val="24"/>
        </w:rPr>
        <w:t>: 10.3390/pathogens12040623.</w:t>
      </w:r>
    </w:p>
    <w:p w14:paraId="634EDDFE" w14:textId="77777777" w:rsidR="003E0A6F" w:rsidRPr="00B4516C" w:rsidRDefault="003E0A6F" w:rsidP="003E0A6F">
      <w:pPr>
        <w:spacing w:line="240" w:lineRule="auto"/>
        <w:jc w:val="both"/>
        <w:rPr>
          <w:rFonts w:ascii="Times New Roman" w:hAnsi="Times New Roman" w:cs="Times New Roman"/>
          <w:sz w:val="24"/>
          <w:szCs w:val="24"/>
        </w:rPr>
      </w:pPr>
    </w:p>
    <w:p w14:paraId="63A73848" w14:textId="77777777"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Pang, Z., </w:t>
      </w:r>
      <w:proofErr w:type="spellStart"/>
      <w:r w:rsidRPr="00B4516C">
        <w:rPr>
          <w:rFonts w:ascii="Times New Roman" w:hAnsi="Times New Roman" w:cs="Times New Roman"/>
          <w:sz w:val="24"/>
          <w:szCs w:val="24"/>
        </w:rPr>
        <w:t>Raudonis</w:t>
      </w:r>
      <w:proofErr w:type="spellEnd"/>
      <w:r w:rsidRPr="00B4516C">
        <w:rPr>
          <w:rFonts w:ascii="Times New Roman" w:hAnsi="Times New Roman" w:cs="Times New Roman"/>
          <w:sz w:val="24"/>
          <w:szCs w:val="24"/>
        </w:rPr>
        <w:t xml:space="preserve">, R., Glick, B.R., Lin, T-J., &amp; Cheng, Z. (2019). Antibiotic resistance in </w:t>
      </w:r>
      <w:r w:rsidRPr="00B4516C">
        <w:rPr>
          <w:rFonts w:ascii="Times New Roman" w:hAnsi="Times New Roman" w:cs="Times New Roman"/>
          <w:i/>
          <w:sz w:val="24"/>
          <w:szCs w:val="24"/>
        </w:rPr>
        <w:t>Pseudomonas aeruginosa</w:t>
      </w:r>
      <w:r w:rsidRPr="00B4516C">
        <w:rPr>
          <w:rFonts w:ascii="Times New Roman" w:hAnsi="Times New Roman" w:cs="Times New Roman"/>
          <w:sz w:val="24"/>
          <w:szCs w:val="24"/>
        </w:rPr>
        <w:t xml:space="preserve">: mechanisms and alternative therapeutic strategies. </w:t>
      </w:r>
      <w:r w:rsidRPr="00B4516C">
        <w:rPr>
          <w:rFonts w:ascii="Times New Roman" w:hAnsi="Times New Roman" w:cs="Times New Roman"/>
          <w:i/>
          <w:sz w:val="24"/>
          <w:szCs w:val="24"/>
        </w:rPr>
        <w:t>Biotechnology Advances</w:t>
      </w:r>
      <w:r w:rsidRPr="00B4516C">
        <w:rPr>
          <w:rFonts w:ascii="Times New Roman" w:hAnsi="Times New Roman" w:cs="Times New Roman"/>
          <w:sz w:val="24"/>
          <w:szCs w:val="24"/>
        </w:rPr>
        <w:t xml:space="preserve">, </w:t>
      </w:r>
      <w:r w:rsidRPr="00B4516C">
        <w:rPr>
          <w:rFonts w:ascii="Times New Roman" w:hAnsi="Times New Roman" w:cs="Times New Roman"/>
          <w:i/>
          <w:sz w:val="24"/>
          <w:szCs w:val="24"/>
        </w:rPr>
        <w:t>37</w:t>
      </w:r>
      <w:r w:rsidRPr="00B4516C">
        <w:rPr>
          <w:rFonts w:ascii="Times New Roman" w:hAnsi="Times New Roman" w:cs="Times New Roman"/>
          <w:sz w:val="24"/>
          <w:szCs w:val="24"/>
        </w:rPr>
        <w:t xml:space="preserve">(1), 177-192. </w:t>
      </w:r>
      <w:hyperlink r:id="rId20" w:tgtFrame="_blank" w:tooltip="Persistent link using digital object identifier" w:history="1">
        <w:proofErr w:type="spellStart"/>
        <w:r w:rsidRPr="00B4516C">
          <w:rPr>
            <w:rStyle w:val="Hyperlink"/>
            <w:rFonts w:ascii="Times New Roman" w:hAnsi="Times New Roman" w:cs="Times New Roman"/>
            <w:color w:val="auto"/>
            <w:sz w:val="24"/>
            <w:szCs w:val="24"/>
          </w:rPr>
          <w:t>doi</w:t>
        </w:r>
        <w:proofErr w:type="spellEnd"/>
        <w:r w:rsidRPr="00B4516C">
          <w:rPr>
            <w:rStyle w:val="Hyperlink"/>
            <w:rFonts w:ascii="Times New Roman" w:hAnsi="Times New Roman" w:cs="Times New Roman"/>
            <w:color w:val="auto"/>
            <w:sz w:val="24"/>
            <w:szCs w:val="24"/>
          </w:rPr>
          <w:t>: 10.1016/j.biotechadv.2018.11.013</w:t>
        </w:r>
      </w:hyperlink>
    </w:p>
    <w:p w14:paraId="21270849" w14:textId="77777777" w:rsidR="003E0A6F" w:rsidRPr="00B4516C" w:rsidRDefault="003E0A6F" w:rsidP="003E0A6F">
      <w:pPr>
        <w:spacing w:line="240" w:lineRule="auto"/>
        <w:jc w:val="both"/>
        <w:rPr>
          <w:rFonts w:ascii="Times New Roman" w:hAnsi="Times New Roman" w:cs="Times New Roman"/>
          <w:sz w:val="24"/>
          <w:szCs w:val="24"/>
        </w:rPr>
      </w:pPr>
    </w:p>
    <w:p w14:paraId="48D88128" w14:textId="6FD694B8"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Storme, O., Tirán Saucedo, J., Garcia-Mora, A., Dehesa-Dávila, M., &amp; Naber, K. G. (2019). Risk factors and predisposing conditions for urinary tract infection. </w:t>
      </w:r>
      <w:r w:rsidRPr="00B4516C">
        <w:rPr>
          <w:rFonts w:ascii="Times New Roman" w:hAnsi="Times New Roman" w:cs="Times New Roman"/>
          <w:i/>
          <w:iCs/>
          <w:sz w:val="24"/>
          <w:szCs w:val="24"/>
        </w:rPr>
        <w:t>Therapeutic Advances in Urology</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11</w:t>
      </w:r>
      <w:r w:rsidRPr="00B4516C">
        <w:rPr>
          <w:rFonts w:ascii="Times New Roman" w:hAnsi="Times New Roman" w:cs="Times New Roman"/>
          <w:sz w:val="24"/>
          <w:szCs w:val="24"/>
        </w:rPr>
        <w:t xml:space="preserve">, 1756287218814382. </w:t>
      </w:r>
      <w:proofErr w:type="spellStart"/>
      <w:r w:rsidRPr="00B4516C">
        <w:rPr>
          <w:rFonts w:ascii="Times New Roman" w:hAnsi="Times New Roman" w:cs="Times New Roman"/>
          <w:sz w:val="24"/>
          <w:szCs w:val="24"/>
        </w:rPr>
        <w:t>doi</w:t>
      </w:r>
      <w:proofErr w:type="spellEnd"/>
      <w:r w:rsidRPr="00B4516C">
        <w:rPr>
          <w:rFonts w:ascii="Times New Roman" w:hAnsi="Times New Roman" w:cs="Times New Roman"/>
          <w:sz w:val="24"/>
          <w:szCs w:val="24"/>
        </w:rPr>
        <w:t>: 10.1177/1756287218814382</w:t>
      </w:r>
    </w:p>
    <w:p w14:paraId="16144537" w14:textId="77777777" w:rsidR="003E0A6F" w:rsidRPr="00B4516C" w:rsidRDefault="003E0A6F" w:rsidP="003E0A6F">
      <w:pPr>
        <w:spacing w:line="240" w:lineRule="auto"/>
        <w:jc w:val="both"/>
        <w:rPr>
          <w:rFonts w:ascii="Times New Roman" w:hAnsi="Times New Roman" w:cs="Times New Roman"/>
          <w:sz w:val="24"/>
          <w:szCs w:val="24"/>
        </w:rPr>
      </w:pPr>
    </w:p>
    <w:p w14:paraId="059DCAA1" w14:textId="650DF395" w:rsidR="003E0A6F" w:rsidRPr="00B4516C" w:rsidRDefault="003E0A6F" w:rsidP="003E0A6F">
      <w:pPr>
        <w:spacing w:line="240" w:lineRule="auto"/>
        <w:jc w:val="both"/>
        <w:rPr>
          <w:rFonts w:ascii="Times New Roman" w:hAnsi="Times New Roman" w:cs="Times New Roman"/>
          <w:sz w:val="24"/>
          <w:szCs w:val="24"/>
        </w:rPr>
      </w:pPr>
      <w:proofErr w:type="spellStart"/>
      <w:r w:rsidRPr="00B4516C">
        <w:rPr>
          <w:rFonts w:ascii="Times New Roman" w:hAnsi="Times New Roman" w:cs="Times New Roman"/>
          <w:sz w:val="24"/>
          <w:szCs w:val="24"/>
        </w:rPr>
        <w:t>Vandenesch</w:t>
      </w:r>
      <w:proofErr w:type="spellEnd"/>
      <w:r w:rsidRPr="00B4516C">
        <w:rPr>
          <w:rFonts w:ascii="Times New Roman" w:hAnsi="Times New Roman" w:cs="Times New Roman"/>
          <w:sz w:val="24"/>
          <w:szCs w:val="24"/>
        </w:rPr>
        <w:t xml:space="preserve">, F., Lina, G., &amp; Henry, T. (2012). </w:t>
      </w:r>
      <w:r w:rsidRPr="00B4516C">
        <w:rPr>
          <w:rFonts w:ascii="Times New Roman" w:hAnsi="Times New Roman" w:cs="Times New Roman"/>
          <w:i/>
          <w:sz w:val="24"/>
          <w:szCs w:val="24"/>
        </w:rPr>
        <w:t>Staphylococcus aureus</w:t>
      </w:r>
      <w:r w:rsidRPr="00B4516C">
        <w:rPr>
          <w:rFonts w:ascii="Times New Roman" w:hAnsi="Times New Roman" w:cs="Times New Roman"/>
          <w:sz w:val="24"/>
          <w:szCs w:val="24"/>
        </w:rPr>
        <w:t xml:space="preserve"> </w:t>
      </w:r>
      <w:proofErr w:type="spellStart"/>
      <w:r w:rsidRPr="00B4516C">
        <w:rPr>
          <w:rFonts w:ascii="Times New Roman" w:hAnsi="Times New Roman" w:cs="Times New Roman"/>
          <w:sz w:val="24"/>
          <w:szCs w:val="24"/>
        </w:rPr>
        <w:t>hemolysins</w:t>
      </w:r>
      <w:proofErr w:type="spellEnd"/>
      <w:r w:rsidRPr="00B4516C">
        <w:rPr>
          <w:rFonts w:ascii="Times New Roman" w:hAnsi="Times New Roman" w:cs="Times New Roman"/>
          <w:sz w:val="24"/>
          <w:szCs w:val="24"/>
        </w:rPr>
        <w:t xml:space="preserve">, bi-component </w:t>
      </w:r>
      <w:proofErr w:type="spellStart"/>
      <w:r w:rsidRPr="00B4516C">
        <w:rPr>
          <w:rFonts w:ascii="Times New Roman" w:hAnsi="Times New Roman" w:cs="Times New Roman"/>
          <w:sz w:val="24"/>
          <w:szCs w:val="24"/>
        </w:rPr>
        <w:t>leukocidins</w:t>
      </w:r>
      <w:proofErr w:type="spellEnd"/>
      <w:r w:rsidRPr="00B4516C">
        <w:rPr>
          <w:rFonts w:ascii="Times New Roman" w:hAnsi="Times New Roman" w:cs="Times New Roman"/>
          <w:sz w:val="24"/>
          <w:szCs w:val="24"/>
        </w:rPr>
        <w:t xml:space="preserve">, and cytolytic peptides: a redundant arsenal of membrane-damaging virulence </w:t>
      </w:r>
      <w:proofErr w:type="gramStart"/>
      <w:r w:rsidRPr="00B4516C">
        <w:rPr>
          <w:rFonts w:ascii="Times New Roman" w:hAnsi="Times New Roman" w:cs="Times New Roman"/>
          <w:sz w:val="24"/>
          <w:szCs w:val="24"/>
        </w:rPr>
        <w:t>factors?.</w:t>
      </w:r>
      <w:proofErr w:type="gramEnd"/>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Frontiers in Cellular and Infection Microbiology</w:t>
      </w:r>
      <w:r w:rsidRPr="00B4516C">
        <w:rPr>
          <w:rFonts w:ascii="Times New Roman" w:hAnsi="Times New Roman" w:cs="Times New Roman"/>
          <w:sz w:val="24"/>
          <w:szCs w:val="24"/>
        </w:rPr>
        <w:t xml:space="preserve">, </w:t>
      </w:r>
      <w:r w:rsidRPr="00B4516C">
        <w:rPr>
          <w:rFonts w:ascii="Times New Roman" w:hAnsi="Times New Roman" w:cs="Times New Roman"/>
          <w:i/>
          <w:iCs/>
          <w:sz w:val="24"/>
          <w:szCs w:val="24"/>
        </w:rPr>
        <w:t>2</w:t>
      </w:r>
      <w:r w:rsidRPr="00B4516C">
        <w:rPr>
          <w:rFonts w:ascii="Times New Roman" w:hAnsi="Times New Roman" w:cs="Times New Roman"/>
          <w:sz w:val="24"/>
          <w:szCs w:val="24"/>
        </w:rPr>
        <w:t xml:space="preserve">, 12. </w:t>
      </w:r>
      <w:hyperlink r:id="rId21" w:history="1">
        <w:proofErr w:type="spellStart"/>
        <w:r w:rsidRPr="00B4516C">
          <w:rPr>
            <w:rStyle w:val="Hyperlink"/>
            <w:rFonts w:ascii="Times New Roman" w:hAnsi="Times New Roman" w:cs="Times New Roman"/>
            <w:color w:val="auto"/>
            <w:sz w:val="24"/>
            <w:szCs w:val="24"/>
          </w:rPr>
          <w:t>doi</w:t>
        </w:r>
        <w:proofErr w:type="spellEnd"/>
      </w:hyperlink>
      <w:r w:rsidRPr="00B4516C">
        <w:rPr>
          <w:rFonts w:ascii="Times New Roman" w:hAnsi="Times New Roman" w:cs="Times New Roman"/>
          <w:sz w:val="24"/>
          <w:szCs w:val="24"/>
        </w:rPr>
        <w:t>: 10.3389/fcimb.2012.00012.</w:t>
      </w:r>
    </w:p>
    <w:p w14:paraId="63468CB8" w14:textId="77777777" w:rsidR="003E0A6F" w:rsidRPr="00B4516C" w:rsidRDefault="003E0A6F" w:rsidP="003E0A6F">
      <w:pPr>
        <w:spacing w:line="240" w:lineRule="auto"/>
        <w:jc w:val="both"/>
        <w:rPr>
          <w:rFonts w:ascii="Times New Roman" w:hAnsi="Times New Roman" w:cs="Times New Roman"/>
          <w:sz w:val="24"/>
          <w:szCs w:val="24"/>
        </w:rPr>
      </w:pPr>
    </w:p>
    <w:p w14:paraId="11733DAF" w14:textId="77777777" w:rsidR="003E0A6F" w:rsidRPr="00B4516C" w:rsidRDefault="003E0A6F" w:rsidP="003E0A6F">
      <w:pPr>
        <w:spacing w:line="240" w:lineRule="auto"/>
        <w:jc w:val="both"/>
        <w:rPr>
          <w:rFonts w:ascii="Times New Roman" w:hAnsi="Times New Roman" w:cs="Times New Roman"/>
          <w:sz w:val="24"/>
          <w:szCs w:val="24"/>
        </w:rPr>
      </w:pPr>
      <w:r w:rsidRPr="00B4516C">
        <w:rPr>
          <w:rFonts w:ascii="Times New Roman" w:hAnsi="Times New Roman" w:cs="Times New Roman"/>
          <w:sz w:val="24"/>
          <w:szCs w:val="24"/>
        </w:rPr>
        <w:t xml:space="preserve">Zhang, S., Li, X., Wu, J., Coin, L., O’Brien, J., Hai, F., &amp; Jiang, G. (2021). Molecular Methods for Pathogenic Bacteria Detection and Recent Advances in Wastewater Analysis. </w:t>
      </w:r>
      <w:r w:rsidRPr="00B4516C">
        <w:rPr>
          <w:rStyle w:val="Emphasis"/>
          <w:rFonts w:ascii="Times New Roman" w:hAnsi="Times New Roman" w:cs="Times New Roman"/>
          <w:sz w:val="24"/>
          <w:szCs w:val="24"/>
        </w:rPr>
        <w:t>Water</w:t>
      </w:r>
      <w:r w:rsidRPr="00B4516C">
        <w:rPr>
          <w:rFonts w:ascii="Times New Roman" w:hAnsi="Times New Roman" w:cs="Times New Roman"/>
          <w:sz w:val="24"/>
          <w:szCs w:val="24"/>
        </w:rPr>
        <w:t xml:space="preserve">, </w:t>
      </w:r>
      <w:r w:rsidRPr="00B4516C">
        <w:rPr>
          <w:rStyle w:val="Emphasis"/>
          <w:rFonts w:ascii="Times New Roman" w:hAnsi="Times New Roman" w:cs="Times New Roman"/>
          <w:sz w:val="24"/>
          <w:szCs w:val="24"/>
        </w:rPr>
        <w:t>13</w:t>
      </w:r>
      <w:r w:rsidRPr="00B4516C">
        <w:rPr>
          <w:rFonts w:ascii="Times New Roman" w:hAnsi="Times New Roman" w:cs="Times New Roman"/>
          <w:sz w:val="24"/>
          <w:szCs w:val="24"/>
        </w:rPr>
        <w:t xml:space="preserve">(24), 3551. </w:t>
      </w:r>
      <w:hyperlink r:id="rId22" w:history="1">
        <w:proofErr w:type="spellStart"/>
        <w:r w:rsidRPr="00B4516C">
          <w:rPr>
            <w:rStyle w:val="Hyperlink"/>
            <w:rFonts w:ascii="Times New Roman" w:hAnsi="Times New Roman" w:cs="Times New Roman"/>
            <w:color w:val="auto"/>
            <w:sz w:val="24"/>
            <w:szCs w:val="24"/>
          </w:rPr>
          <w:t>doi</w:t>
        </w:r>
        <w:proofErr w:type="spellEnd"/>
      </w:hyperlink>
      <w:r w:rsidRPr="00B4516C">
        <w:rPr>
          <w:rFonts w:ascii="Times New Roman" w:hAnsi="Times New Roman" w:cs="Times New Roman"/>
          <w:sz w:val="24"/>
          <w:szCs w:val="24"/>
        </w:rPr>
        <w:t>: 10.3390/w13243551</w:t>
      </w:r>
    </w:p>
    <w:p w14:paraId="0D122916" w14:textId="77777777" w:rsidR="003E0A6F" w:rsidRPr="00B4516C" w:rsidRDefault="003E0A6F" w:rsidP="003E0A6F">
      <w:pPr>
        <w:spacing w:line="240" w:lineRule="auto"/>
        <w:rPr>
          <w:rFonts w:ascii="Times New Roman" w:hAnsi="Times New Roman" w:cs="Times New Roman"/>
          <w:sz w:val="24"/>
          <w:szCs w:val="24"/>
        </w:rPr>
      </w:pPr>
    </w:p>
    <w:p w14:paraId="58041750" w14:textId="77777777" w:rsidR="006C5E52" w:rsidRPr="00B4516C" w:rsidRDefault="006C5E52" w:rsidP="003E0A6F">
      <w:pPr>
        <w:spacing w:line="240" w:lineRule="auto"/>
        <w:rPr>
          <w:rFonts w:ascii="Times New Roman" w:hAnsi="Times New Roman" w:cs="Times New Roman"/>
          <w:b/>
          <w:bCs/>
          <w:sz w:val="24"/>
          <w:szCs w:val="24"/>
        </w:rPr>
      </w:pPr>
    </w:p>
    <w:sectPr w:rsidR="006C5E52" w:rsidRPr="00B4516C" w:rsidSect="007D2BE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2CEA8" w14:textId="77777777" w:rsidR="003B0A6D" w:rsidRDefault="003B0A6D" w:rsidP="004B305A">
      <w:pPr>
        <w:spacing w:after="0" w:line="240" w:lineRule="auto"/>
      </w:pPr>
      <w:r>
        <w:separator/>
      </w:r>
    </w:p>
  </w:endnote>
  <w:endnote w:type="continuationSeparator" w:id="0">
    <w:p w14:paraId="4C18544E" w14:textId="77777777" w:rsidR="003B0A6D" w:rsidRDefault="003B0A6D" w:rsidP="004B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D4E8" w14:textId="77777777" w:rsidR="004B305A" w:rsidRDefault="004B30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65AE" w14:textId="77777777" w:rsidR="004B305A" w:rsidRDefault="004B30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8C90" w14:textId="77777777" w:rsidR="004B305A" w:rsidRDefault="004B30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CD575" w14:textId="77777777" w:rsidR="003B0A6D" w:rsidRDefault="003B0A6D" w:rsidP="004B305A">
      <w:pPr>
        <w:spacing w:after="0" w:line="240" w:lineRule="auto"/>
      </w:pPr>
      <w:r>
        <w:separator/>
      </w:r>
    </w:p>
  </w:footnote>
  <w:footnote w:type="continuationSeparator" w:id="0">
    <w:p w14:paraId="2AF6EA2D" w14:textId="77777777" w:rsidR="003B0A6D" w:rsidRDefault="003B0A6D" w:rsidP="004B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2DA3" w14:textId="5741DE53" w:rsidR="004B305A" w:rsidRDefault="003B0A6D">
    <w:pPr>
      <w:pStyle w:val="Header"/>
    </w:pPr>
    <w:r>
      <w:rPr>
        <w:noProof/>
      </w:rPr>
      <w:pict w14:anchorId="15401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524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880C3" w14:textId="66275250" w:rsidR="004B305A" w:rsidRDefault="003B0A6D">
    <w:pPr>
      <w:pStyle w:val="Header"/>
    </w:pPr>
    <w:r>
      <w:rPr>
        <w:noProof/>
      </w:rPr>
      <w:pict w14:anchorId="36C60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524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2DFD9" w14:textId="09C2939D" w:rsidR="004B305A" w:rsidRDefault="003B0A6D">
    <w:pPr>
      <w:pStyle w:val="Header"/>
    </w:pPr>
    <w:r>
      <w:rPr>
        <w:noProof/>
      </w:rPr>
      <w:pict w14:anchorId="0290D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524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116"/>
    <w:multiLevelType w:val="multilevel"/>
    <w:tmpl w:val="6428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52616"/>
    <w:multiLevelType w:val="hybridMultilevel"/>
    <w:tmpl w:val="8C20224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BC43A18"/>
    <w:multiLevelType w:val="multilevel"/>
    <w:tmpl w:val="DD60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322F54"/>
    <w:multiLevelType w:val="multilevel"/>
    <w:tmpl w:val="EF6E09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B252C"/>
    <w:multiLevelType w:val="multilevel"/>
    <w:tmpl w:val="84D8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53DFE"/>
    <w:multiLevelType w:val="multilevel"/>
    <w:tmpl w:val="F7F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7134A"/>
    <w:multiLevelType w:val="hybridMultilevel"/>
    <w:tmpl w:val="5AD4F3E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6D8B4E34"/>
    <w:multiLevelType w:val="multilevel"/>
    <w:tmpl w:val="E572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65"/>
    <w:rsid w:val="0002518D"/>
    <w:rsid w:val="000C4AC9"/>
    <w:rsid w:val="000F01B0"/>
    <w:rsid w:val="001627D3"/>
    <w:rsid w:val="001637D0"/>
    <w:rsid w:val="00180AE2"/>
    <w:rsid w:val="00216065"/>
    <w:rsid w:val="002208EF"/>
    <w:rsid w:val="00283572"/>
    <w:rsid w:val="00284BC2"/>
    <w:rsid w:val="002930C0"/>
    <w:rsid w:val="002B378F"/>
    <w:rsid w:val="002D474E"/>
    <w:rsid w:val="002E2868"/>
    <w:rsid w:val="003055E5"/>
    <w:rsid w:val="00310D88"/>
    <w:rsid w:val="00323B72"/>
    <w:rsid w:val="00337349"/>
    <w:rsid w:val="00374124"/>
    <w:rsid w:val="00380855"/>
    <w:rsid w:val="003A52E9"/>
    <w:rsid w:val="003B0A6D"/>
    <w:rsid w:val="003C22AD"/>
    <w:rsid w:val="003D11F7"/>
    <w:rsid w:val="003E0A6F"/>
    <w:rsid w:val="004123EB"/>
    <w:rsid w:val="00421753"/>
    <w:rsid w:val="00490EA7"/>
    <w:rsid w:val="004A0DD2"/>
    <w:rsid w:val="004B305A"/>
    <w:rsid w:val="00582F75"/>
    <w:rsid w:val="005A0D40"/>
    <w:rsid w:val="005B04E4"/>
    <w:rsid w:val="005B72D5"/>
    <w:rsid w:val="005E05D4"/>
    <w:rsid w:val="006063DB"/>
    <w:rsid w:val="00635361"/>
    <w:rsid w:val="006837CB"/>
    <w:rsid w:val="00695DC0"/>
    <w:rsid w:val="006A1A57"/>
    <w:rsid w:val="006A2874"/>
    <w:rsid w:val="006B50AF"/>
    <w:rsid w:val="006C5E52"/>
    <w:rsid w:val="006F1E77"/>
    <w:rsid w:val="00710220"/>
    <w:rsid w:val="00791CC8"/>
    <w:rsid w:val="007C2729"/>
    <w:rsid w:val="007D2BEB"/>
    <w:rsid w:val="007E7677"/>
    <w:rsid w:val="00846383"/>
    <w:rsid w:val="008D509A"/>
    <w:rsid w:val="0090507B"/>
    <w:rsid w:val="009224AA"/>
    <w:rsid w:val="00923E73"/>
    <w:rsid w:val="009371F0"/>
    <w:rsid w:val="00940596"/>
    <w:rsid w:val="00970187"/>
    <w:rsid w:val="00970C56"/>
    <w:rsid w:val="00996703"/>
    <w:rsid w:val="009A298B"/>
    <w:rsid w:val="00A23E89"/>
    <w:rsid w:val="00A4270F"/>
    <w:rsid w:val="00A4321E"/>
    <w:rsid w:val="00A44875"/>
    <w:rsid w:val="00A552F5"/>
    <w:rsid w:val="00A70AA1"/>
    <w:rsid w:val="00A96849"/>
    <w:rsid w:val="00AF2E0A"/>
    <w:rsid w:val="00AF4CAD"/>
    <w:rsid w:val="00AF5F5A"/>
    <w:rsid w:val="00B23FA1"/>
    <w:rsid w:val="00B42DE8"/>
    <w:rsid w:val="00B43116"/>
    <w:rsid w:val="00B4516C"/>
    <w:rsid w:val="00B45E61"/>
    <w:rsid w:val="00B47394"/>
    <w:rsid w:val="00B65063"/>
    <w:rsid w:val="00B83D22"/>
    <w:rsid w:val="00B86967"/>
    <w:rsid w:val="00B87908"/>
    <w:rsid w:val="00BD1BDA"/>
    <w:rsid w:val="00C02D19"/>
    <w:rsid w:val="00CA611D"/>
    <w:rsid w:val="00CC44A7"/>
    <w:rsid w:val="00DA1E7C"/>
    <w:rsid w:val="00DB56B8"/>
    <w:rsid w:val="00DC1643"/>
    <w:rsid w:val="00DC4911"/>
    <w:rsid w:val="00DD32D6"/>
    <w:rsid w:val="00E03589"/>
    <w:rsid w:val="00E11E3A"/>
    <w:rsid w:val="00E23363"/>
    <w:rsid w:val="00EA6304"/>
    <w:rsid w:val="00EB580E"/>
    <w:rsid w:val="00EE2C6E"/>
    <w:rsid w:val="00F15121"/>
    <w:rsid w:val="00F269C4"/>
    <w:rsid w:val="00F31889"/>
    <w:rsid w:val="00F75BF2"/>
    <w:rsid w:val="00F75C08"/>
    <w:rsid w:val="00F84744"/>
    <w:rsid w:val="00F95FC2"/>
    <w:rsid w:val="00FC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F7C1D"/>
  <w15:chartTrackingRefBased/>
  <w15:docId w15:val="{395F4BCF-2870-4ACD-B9DD-5847610B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16065"/>
  </w:style>
  <w:style w:type="paragraph" w:styleId="ListParagraph">
    <w:name w:val="List Paragraph"/>
    <w:basedOn w:val="Normal"/>
    <w:uiPriority w:val="34"/>
    <w:qFormat/>
    <w:rsid w:val="00AF4CAD"/>
    <w:pPr>
      <w:ind w:left="720"/>
      <w:contextualSpacing/>
    </w:pPr>
  </w:style>
  <w:style w:type="table" w:styleId="TableGrid">
    <w:name w:val="Table Grid"/>
    <w:basedOn w:val="TableNormal"/>
    <w:uiPriority w:val="39"/>
    <w:rsid w:val="00323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23B7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323B72"/>
    <w:rPr>
      <w:rFonts w:ascii="Times New Roman" w:eastAsia="SimSun" w:hAnsi="Times New Roman" w:cs="Times New Roman"/>
      <w:b/>
      <w:sz w:val="21"/>
    </w:rPr>
  </w:style>
  <w:style w:type="character" w:styleId="HTMLCite">
    <w:name w:val="HTML Cite"/>
    <w:basedOn w:val="DefaultParagraphFont"/>
    <w:uiPriority w:val="99"/>
    <w:semiHidden/>
    <w:unhideWhenUsed/>
    <w:rsid w:val="00940596"/>
    <w:rPr>
      <w:i/>
      <w:iCs/>
    </w:rPr>
  </w:style>
  <w:style w:type="character" w:customStyle="1" w:styleId="text">
    <w:name w:val="text"/>
    <w:basedOn w:val="DefaultParagraphFont"/>
    <w:rsid w:val="00B43116"/>
  </w:style>
  <w:style w:type="character" w:styleId="Hyperlink">
    <w:name w:val="Hyperlink"/>
    <w:basedOn w:val="DefaultParagraphFont"/>
    <w:uiPriority w:val="99"/>
    <w:unhideWhenUsed/>
    <w:rsid w:val="003E0A6F"/>
    <w:rPr>
      <w:color w:val="467886" w:themeColor="hyperlink"/>
      <w:u w:val="single"/>
    </w:rPr>
  </w:style>
  <w:style w:type="character" w:customStyle="1" w:styleId="highwire-cite-metadata-doi">
    <w:name w:val="highwire-cite-metadata-doi"/>
    <w:basedOn w:val="DefaultParagraphFont"/>
    <w:rsid w:val="003E0A6F"/>
  </w:style>
  <w:style w:type="character" w:customStyle="1" w:styleId="label">
    <w:name w:val="label"/>
    <w:basedOn w:val="DefaultParagraphFont"/>
    <w:rsid w:val="003E0A6F"/>
  </w:style>
  <w:style w:type="character" w:styleId="Emphasis">
    <w:name w:val="Emphasis"/>
    <w:basedOn w:val="DefaultParagraphFont"/>
    <w:uiPriority w:val="20"/>
    <w:qFormat/>
    <w:rsid w:val="003E0A6F"/>
    <w:rPr>
      <w:i/>
      <w:iCs/>
    </w:rPr>
  </w:style>
  <w:style w:type="character" w:customStyle="1" w:styleId="UnresolvedMention">
    <w:name w:val="Unresolved Mention"/>
    <w:basedOn w:val="DefaultParagraphFont"/>
    <w:uiPriority w:val="99"/>
    <w:semiHidden/>
    <w:unhideWhenUsed/>
    <w:rsid w:val="00582F75"/>
    <w:rPr>
      <w:color w:val="605E5C"/>
      <w:shd w:val="clear" w:color="auto" w:fill="E1DFDD"/>
    </w:rPr>
  </w:style>
  <w:style w:type="paragraph" w:styleId="Header">
    <w:name w:val="header"/>
    <w:basedOn w:val="Normal"/>
    <w:link w:val="HeaderChar"/>
    <w:uiPriority w:val="99"/>
    <w:unhideWhenUsed/>
    <w:rsid w:val="004B3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05A"/>
    <w:rPr>
      <w:lang w:val="en-GB"/>
    </w:rPr>
  </w:style>
  <w:style w:type="paragraph" w:styleId="Footer">
    <w:name w:val="footer"/>
    <w:basedOn w:val="Normal"/>
    <w:link w:val="FooterChar"/>
    <w:uiPriority w:val="99"/>
    <w:unhideWhenUsed/>
    <w:rsid w:val="004B3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05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90470">
      <w:bodyDiv w:val="1"/>
      <w:marLeft w:val="0"/>
      <w:marRight w:val="0"/>
      <w:marTop w:val="0"/>
      <w:marBottom w:val="0"/>
      <w:divBdr>
        <w:top w:val="none" w:sz="0" w:space="0" w:color="auto"/>
        <w:left w:val="none" w:sz="0" w:space="0" w:color="auto"/>
        <w:bottom w:val="none" w:sz="0" w:space="0" w:color="auto"/>
        <w:right w:val="none" w:sz="0" w:space="0" w:color="auto"/>
      </w:divBdr>
    </w:div>
    <w:div w:id="364721948">
      <w:bodyDiv w:val="1"/>
      <w:marLeft w:val="0"/>
      <w:marRight w:val="0"/>
      <w:marTop w:val="0"/>
      <w:marBottom w:val="0"/>
      <w:divBdr>
        <w:top w:val="none" w:sz="0" w:space="0" w:color="auto"/>
        <w:left w:val="none" w:sz="0" w:space="0" w:color="auto"/>
        <w:bottom w:val="none" w:sz="0" w:space="0" w:color="auto"/>
        <w:right w:val="none" w:sz="0" w:space="0" w:color="auto"/>
      </w:divBdr>
    </w:div>
    <w:div w:id="436172281">
      <w:bodyDiv w:val="1"/>
      <w:marLeft w:val="0"/>
      <w:marRight w:val="0"/>
      <w:marTop w:val="0"/>
      <w:marBottom w:val="0"/>
      <w:divBdr>
        <w:top w:val="none" w:sz="0" w:space="0" w:color="auto"/>
        <w:left w:val="none" w:sz="0" w:space="0" w:color="auto"/>
        <w:bottom w:val="none" w:sz="0" w:space="0" w:color="auto"/>
        <w:right w:val="none" w:sz="0" w:space="0" w:color="auto"/>
      </w:divBdr>
    </w:div>
    <w:div w:id="836457233">
      <w:bodyDiv w:val="1"/>
      <w:marLeft w:val="0"/>
      <w:marRight w:val="0"/>
      <w:marTop w:val="0"/>
      <w:marBottom w:val="0"/>
      <w:divBdr>
        <w:top w:val="none" w:sz="0" w:space="0" w:color="auto"/>
        <w:left w:val="none" w:sz="0" w:space="0" w:color="auto"/>
        <w:bottom w:val="none" w:sz="0" w:space="0" w:color="auto"/>
        <w:right w:val="none" w:sz="0" w:space="0" w:color="auto"/>
      </w:divBdr>
    </w:div>
    <w:div w:id="1085305007">
      <w:bodyDiv w:val="1"/>
      <w:marLeft w:val="0"/>
      <w:marRight w:val="0"/>
      <w:marTop w:val="0"/>
      <w:marBottom w:val="0"/>
      <w:divBdr>
        <w:top w:val="none" w:sz="0" w:space="0" w:color="auto"/>
        <w:left w:val="none" w:sz="0" w:space="0" w:color="auto"/>
        <w:bottom w:val="none" w:sz="0" w:space="0" w:color="auto"/>
        <w:right w:val="none" w:sz="0" w:space="0" w:color="auto"/>
      </w:divBdr>
    </w:div>
    <w:div w:id="1219825955">
      <w:bodyDiv w:val="1"/>
      <w:marLeft w:val="0"/>
      <w:marRight w:val="0"/>
      <w:marTop w:val="0"/>
      <w:marBottom w:val="0"/>
      <w:divBdr>
        <w:top w:val="none" w:sz="0" w:space="0" w:color="auto"/>
        <w:left w:val="none" w:sz="0" w:space="0" w:color="auto"/>
        <w:bottom w:val="none" w:sz="0" w:space="0" w:color="auto"/>
        <w:right w:val="none" w:sz="0" w:space="0" w:color="auto"/>
      </w:divBdr>
      <w:divsChild>
        <w:div w:id="1889998995">
          <w:marLeft w:val="0"/>
          <w:marRight w:val="0"/>
          <w:marTop w:val="0"/>
          <w:marBottom w:val="0"/>
          <w:divBdr>
            <w:top w:val="none" w:sz="0" w:space="0" w:color="auto"/>
            <w:left w:val="none" w:sz="0" w:space="0" w:color="auto"/>
            <w:bottom w:val="none" w:sz="0" w:space="0" w:color="auto"/>
            <w:right w:val="none" w:sz="0" w:space="0" w:color="auto"/>
          </w:divBdr>
        </w:div>
      </w:divsChild>
    </w:div>
    <w:div w:id="1592199248">
      <w:bodyDiv w:val="1"/>
      <w:marLeft w:val="0"/>
      <w:marRight w:val="0"/>
      <w:marTop w:val="0"/>
      <w:marBottom w:val="0"/>
      <w:divBdr>
        <w:top w:val="none" w:sz="0" w:space="0" w:color="auto"/>
        <w:left w:val="none" w:sz="0" w:space="0" w:color="auto"/>
        <w:bottom w:val="none" w:sz="0" w:space="0" w:color="auto"/>
        <w:right w:val="none" w:sz="0" w:space="0" w:color="auto"/>
      </w:divBdr>
    </w:div>
    <w:div w:id="18764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 TargetMode="External"/><Relationship Id="rId18" Type="http://schemas.openxmlformats.org/officeDocument/2006/relationships/hyperlink" Target="https://doi.org/10.1016/j.jtumed.2021.03.004"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 TargetMode="External"/><Relationship Id="rId7" Type="http://schemas.openxmlformats.org/officeDocument/2006/relationships/endnotes" Target="endnotes.xml"/><Relationship Id="rId12" Type="http://schemas.openxmlformats.org/officeDocument/2006/relationships/hyperlink" Target="https://doi.org/10.1093/cid/cix893" TargetMode="External"/><Relationship Id="rId17" Type="http://schemas.openxmlformats.org/officeDocument/2006/relationships/hyperlink" Target="https://www.sciencedirect.com/journal/journal-of-taibah-university-medical-scienc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 TargetMode="External"/><Relationship Id="rId20" Type="http://schemas.openxmlformats.org/officeDocument/2006/relationships/hyperlink" Target="https://doi.org/10.1016/j.biotechadv.2018.11.0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01/2023.09.26.23296138" TargetMode="External"/><Relationship Id="rId19" Type="http://schemas.openxmlformats.org/officeDocument/2006/relationships/hyperlink" Target="https://doi.org/10.1128/CMR.00020-18" TargetMode="External"/><Relationship Id="rId4" Type="http://schemas.openxmlformats.org/officeDocument/2006/relationships/settings" Target="settings.xml"/><Relationship Id="rId9" Type="http://schemas.openxmlformats.org/officeDocument/2006/relationships/hyperlink" Target="https://doi.org/10.1186/s41182-025-00692-x" TargetMode="External"/><Relationship Id="rId14" Type="http://schemas.openxmlformats.org/officeDocument/2006/relationships/hyperlink" Target="https://doi.org/10.4236/jbm.2021.910014" TargetMode="External"/><Relationship Id="rId22" Type="http://schemas.openxmlformats.org/officeDocument/2006/relationships/hyperlink" Target="https://doi"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rgbClr val="FF0000"/>
            </a:solidFill>
          </c:spPr>
          <c:dPt>
            <c:idx val="0"/>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1D5A-4C33-A7B3-C567E6168B7F}"/>
              </c:ext>
            </c:extLst>
          </c:dPt>
          <c:dPt>
            <c:idx val="1"/>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1D5A-4C33-A7B3-C567E6168B7F}"/>
              </c:ext>
            </c:extLst>
          </c:dPt>
          <c:dLbls>
            <c:dLbl>
              <c:idx val="0"/>
              <c:layout>
                <c:manualLayout>
                  <c:x val="-0.21408938466025088"/>
                  <c:y val="-0.15291161791304583"/>
                </c:manualLayout>
              </c:layout>
              <c:tx>
                <c:rich>
                  <a:bodyPr/>
                  <a:lstStyle/>
                  <a:p>
                    <a:r>
                      <a:rPr lang="en-US"/>
                      <a:t>30 (60%)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5A-4C33-A7B3-C567E6168B7F}"/>
                </c:ext>
              </c:extLst>
            </c:dLbl>
            <c:dLbl>
              <c:idx val="1"/>
              <c:layout>
                <c:manualLayout>
                  <c:x val="0.17831521059867517"/>
                  <c:y val="5.1115825547713274E-2"/>
                </c:manualLayout>
              </c:layout>
              <c:tx>
                <c:rich>
                  <a:bodyPr/>
                  <a:lstStyle/>
                  <a:p>
                    <a:r>
                      <a:rPr lang="en-US"/>
                      <a:t>20 (40%)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5A-4C33-A7B3-C567E6168B7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Sheet1!$C$3:$D$3</c:f>
              <c:strCache>
                <c:ptCount val="2"/>
                <c:pt idx="0">
                  <c:v>Positive</c:v>
                </c:pt>
                <c:pt idx="1">
                  <c:v>Negative</c:v>
                </c:pt>
              </c:strCache>
            </c:strRef>
          </c:cat>
          <c:val>
            <c:numRef>
              <c:f>Sheet1!$C$4:$D$4</c:f>
              <c:numCache>
                <c:formatCode>General</c:formatCode>
                <c:ptCount val="2"/>
                <c:pt idx="0">
                  <c:v>30</c:v>
                </c:pt>
                <c:pt idx="1">
                  <c:v>20</c:v>
                </c:pt>
              </c:numCache>
            </c:numRef>
          </c:val>
          <c:extLst>
            <c:ext xmlns:c16="http://schemas.microsoft.com/office/drawing/2014/chart" uri="{C3380CC4-5D6E-409C-BE32-E72D297353CC}">
              <c16:uniqueId val="{00000004-1D5A-4C33-A7B3-C567E6168B7F}"/>
            </c:ext>
          </c:extLst>
        </c:ser>
        <c:dLbls>
          <c:showLegendKey val="0"/>
          <c:showVal val="0"/>
          <c:showCatName val="0"/>
          <c:showSerName val="0"/>
          <c:showPercent val="0"/>
          <c:showBubbleSize val="0"/>
          <c:showLeaderLines val="1"/>
        </c:dLbls>
      </c:pie3DChart>
      <c:spPr>
        <a:noFill/>
        <a:ln>
          <a:noFill/>
        </a:ln>
        <a:effectLst/>
      </c:spPr>
    </c:plotArea>
    <c:legend>
      <c:legendPos val="tr"/>
      <c:layout>
        <c:manualLayout>
          <c:xMode val="edge"/>
          <c:yMode val="edge"/>
          <c:x val="0.79625918635170601"/>
          <c:y val="0.10185185185185185"/>
          <c:w val="0.17019794400699911"/>
          <c:h val="0.1773804316127150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AD3BD-C2F1-4482-A2D6-F49E53D5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15</Pages>
  <Words>4249</Words>
  <Characters>24224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Okundaye</dc:creator>
  <cp:keywords/>
  <dc:description/>
  <cp:lastModifiedBy>User</cp:lastModifiedBy>
  <cp:revision>51</cp:revision>
  <dcterms:created xsi:type="dcterms:W3CDTF">2025-04-12T10:00:00Z</dcterms:created>
  <dcterms:modified xsi:type="dcterms:W3CDTF">2025-04-17T09:38:00Z</dcterms:modified>
</cp:coreProperties>
</file>