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B925ED" w14:textId="65A49754" w:rsidR="00163BC4" w:rsidRPr="00163BC4" w:rsidRDefault="00666B9F" w:rsidP="00441B6F">
      <w:pPr>
        <w:pStyle w:val="Author"/>
        <w:spacing w:line="240" w:lineRule="auto"/>
        <w:rPr>
          <w:rFonts w:ascii="Arial" w:hAnsi="Arial" w:cs="Arial"/>
          <w:bCs/>
          <w:iCs/>
          <w:kern w:val="28"/>
          <w:sz w:val="36"/>
        </w:rPr>
      </w:pPr>
      <w:r w:rsidRPr="00EA6B93">
        <w:rPr>
          <w:rFonts w:ascii="Arial" w:hAnsi="Arial" w:cs="Arial"/>
          <w:bCs/>
          <w:iCs/>
          <w:kern w:val="28"/>
          <w:sz w:val="36"/>
        </w:rPr>
        <w:t>Corn cob (</w:t>
      </w:r>
      <w:proofErr w:type="spellStart"/>
      <w:r w:rsidRPr="00666B9F">
        <w:rPr>
          <w:rFonts w:ascii="Arial" w:hAnsi="Arial" w:cs="Arial"/>
          <w:bCs/>
          <w:i/>
          <w:iCs/>
          <w:kern w:val="28"/>
          <w:sz w:val="36"/>
        </w:rPr>
        <w:t>zea</w:t>
      </w:r>
      <w:proofErr w:type="spellEnd"/>
      <w:r w:rsidRPr="00666B9F">
        <w:rPr>
          <w:rFonts w:ascii="Arial" w:hAnsi="Arial" w:cs="Arial"/>
          <w:bCs/>
          <w:i/>
          <w:iCs/>
          <w:kern w:val="28"/>
          <w:sz w:val="36"/>
        </w:rPr>
        <w:t xml:space="preserve"> mays</w:t>
      </w:r>
      <w:r w:rsidRPr="00EA6B93">
        <w:rPr>
          <w:rFonts w:ascii="Arial" w:hAnsi="Arial" w:cs="Arial"/>
          <w:bCs/>
          <w:iCs/>
          <w:kern w:val="28"/>
          <w:sz w:val="36"/>
        </w:rPr>
        <w:t>) and rice (</w:t>
      </w:r>
      <w:proofErr w:type="spellStart"/>
      <w:r w:rsidRPr="00666B9F">
        <w:rPr>
          <w:rFonts w:ascii="Arial" w:hAnsi="Arial" w:cs="Arial"/>
          <w:bCs/>
          <w:i/>
          <w:iCs/>
          <w:kern w:val="28"/>
          <w:sz w:val="36"/>
        </w:rPr>
        <w:t>oryza</w:t>
      </w:r>
      <w:proofErr w:type="spellEnd"/>
      <w:r w:rsidRPr="00666B9F">
        <w:rPr>
          <w:rFonts w:ascii="Arial" w:hAnsi="Arial" w:cs="Arial"/>
          <w:bCs/>
          <w:i/>
          <w:iCs/>
          <w:kern w:val="28"/>
          <w:sz w:val="36"/>
        </w:rPr>
        <w:t xml:space="preserve"> sativa</w:t>
      </w:r>
      <w:r w:rsidRPr="00EA6B93">
        <w:rPr>
          <w:rFonts w:ascii="Arial" w:hAnsi="Arial" w:cs="Arial"/>
          <w:bCs/>
          <w:iCs/>
          <w:kern w:val="28"/>
          <w:sz w:val="36"/>
        </w:rPr>
        <w:t xml:space="preserve"> l.) Hulls as bio pots an alternative to single-use plastic pots</w:t>
      </w:r>
    </w:p>
    <w:p w14:paraId="05F0C799" w14:textId="77777777" w:rsidR="00A258C3" w:rsidRPr="00790ADA" w:rsidRDefault="00A258C3" w:rsidP="00441B6F">
      <w:pPr>
        <w:pStyle w:val="Author"/>
        <w:spacing w:line="240" w:lineRule="auto"/>
        <w:jc w:val="both"/>
        <w:rPr>
          <w:rFonts w:ascii="Arial" w:hAnsi="Arial" w:cs="Arial"/>
          <w:sz w:val="36"/>
        </w:rPr>
      </w:pPr>
    </w:p>
    <w:p w14:paraId="0CCF1BC2" w14:textId="77777777" w:rsidR="002C57D2" w:rsidRPr="00FB3A86" w:rsidRDefault="002C57D2" w:rsidP="00441B6F">
      <w:pPr>
        <w:pStyle w:val="Affiliation"/>
        <w:spacing w:after="0" w:line="240" w:lineRule="auto"/>
        <w:jc w:val="both"/>
        <w:rPr>
          <w:rFonts w:ascii="Arial" w:hAnsi="Arial" w:cs="Arial"/>
        </w:rPr>
      </w:pPr>
    </w:p>
    <w:p w14:paraId="199FF46E" w14:textId="4BEFEBA6" w:rsidR="00B01FCD" w:rsidRDefault="005A5CFA" w:rsidP="00441B6F">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7989B1CB" wp14:editId="2E31EA22">
                <wp:extent cx="5303520" cy="635"/>
                <wp:effectExtent l="13335" t="9525" r="17145" b="9525"/>
                <wp:docPr id="91028964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type w14:anchorId="3C2F724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00689452" w14:textId="5DF1A050" w:rsidR="00AA4328" w:rsidRPr="00FB3A86" w:rsidRDefault="00AA4328" w:rsidP="00441B6F">
      <w:pPr>
        <w:pStyle w:val="Copyright"/>
        <w:spacing w:after="0" w:line="240" w:lineRule="auto"/>
        <w:jc w:val="both"/>
        <w:rPr>
          <w:rFonts w:ascii="Arial" w:hAnsi="Arial" w:cs="Arial"/>
        </w:rPr>
        <w:sectPr w:rsidR="00AA4328" w:rsidRPr="00FB3A86" w:rsidSect="001800F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470EB769" w14:textId="12794B8E"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A9F206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003AC5F" w14:textId="77777777" w:rsidTr="001E44FE">
        <w:tc>
          <w:tcPr>
            <w:tcW w:w="9576" w:type="dxa"/>
            <w:shd w:val="clear" w:color="auto" w:fill="F2F2F2"/>
          </w:tcPr>
          <w:p w14:paraId="58EFBBC7" w14:textId="361FAAF7" w:rsidR="00505F06" w:rsidRPr="00BA1B01" w:rsidRDefault="00EA6B93" w:rsidP="00441B6F">
            <w:pPr>
              <w:pStyle w:val="Body"/>
              <w:spacing w:after="0"/>
              <w:rPr>
                <w:rFonts w:ascii="Arial" w:eastAsia="Calibri" w:hAnsi="Arial" w:cs="Arial"/>
                <w:szCs w:val="22"/>
              </w:rPr>
            </w:pPr>
            <w:r w:rsidRPr="00EA6B93">
              <w:rPr>
                <w:rFonts w:ascii="Arial" w:eastAsia="Calibri" w:hAnsi="Arial" w:cs="Arial"/>
                <w:szCs w:val="22"/>
              </w:rPr>
              <w:t xml:space="preserve">Global plastic production has surged in recent decades, exacerbating the environmental crisis due to its persistent presence and slow degradation. This parallels the environmental challenge agricultural waste poses, often improperly disposed of. On the other hand, biodegradable pots offer a sustainable alternative to plastic pots by decomposing naturally in the soil, reducing waste, and promoting soil health. Thus, </w:t>
            </w:r>
            <w:r w:rsidRPr="0054437B">
              <w:rPr>
                <w:rFonts w:ascii="Arial" w:eastAsia="Calibri" w:hAnsi="Arial" w:cs="Arial"/>
                <w:szCs w:val="22"/>
                <w:highlight w:val="yellow"/>
              </w:rPr>
              <w:t>this research investigated the feasibility of repurposing agricultural waste such as corn cob and rice hulls into biodegradable alternatives to conventional plastic pots. This study aimed to determine the mechanical performance of biodegradable pots in terms of tensile strength, compressive strength, and compressive strength (peak force).</w:t>
            </w:r>
            <w:r w:rsidRPr="00EA6B93">
              <w:rPr>
                <w:rFonts w:ascii="Arial" w:eastAsia="Calibri" w:hAnsi="Arial" w:cs="Arial"/>
                <w:szCs w:val="22"/>
              </w:rPr>
              <w:t xml:space="preserve"> Additionally, comparing its mechanical properties to commercially available pots in the market. A quantitative research approach was employed, utilizing experimental methodologies and the Kruskal-Wallis test to assess differences between the materials. The analysis revealed that the bio-pots exhibited a tensile strength within the 0.1 MPa to 0.3 MPa range. Furthermore, compressive strength demonstrated an average of 0.4 MPa with a maximum peak force of 2625.2 N. The Kruskal-Wallis test result revealed a </w:t>
            </w:r>
            <w:r w:rsidR="00C52253" w:rsidRPr="00C52253">
              <w:rPr>
                <w:rFonts w:ascii="Arial" w:eastAsia="Calibri" w:hAnsi="Arial" w:cs="Arial"/>
                <w:i/>
                <w:iCs/>
                <w:szCs w:val="22"/>
              </w:rPr>
              <w:t>P</w:t>
            </w:r>
            <w:r w:rsidRPr="00EA6B93">
              <w:rPr>
                <w:rFonts w:ascii="Arial" w:eastAsia="Calibri" w:hAnsi="Arial" w:cs="Arial"/>
                <w:szCs w:val="22"/>
              </w:rPr>
              <w:t>-value of (.392), indicating no statistically significant difference in tensile and compressive strength compared to commercially available plant pots. These findings collectively suggest that the fabricated bio-pots possess the potential to be viable alternatives. However, further research and development are necessary to optimize their properties and enhance their performance. Consequently, by utilizing agricultural byproducts, this research contributes to mitigating environmental impact and promoting sustainability in agriculture.</w:t>
            </w:r>
          </w:p>
        </w:tc>
      </w:tr>
    </w:tbl>
    <w:p w14:paraId="27F85B48" w14:textId="77777777" w:rsidR="00636EB2" w:rsidRDefault="00636EB2" w:rsidP="00441B6F">
      <w:pPr>
        <w:pStyle w:val="Body"/>
        <w:spacing w:after="0"/>
        <w:rPr>
          <w:rFonts w:ascii="Arial" w:hAnsi="Arial" w:cs="Arial"/>
          <w:i/>
        </w:rPr>
      </w:pPr>
    </w:p>
    <w:p w14:paraId="760E7164" w14:textId="5F7073DF" w:rsidR="0024282C" w:rsidRDefault="00A24E7E" w:rsidP="00441B6F">
      <w:pPr>
        <w:pStyle w:val="Body"/>
        <w:spacing w:after="0"/>
        <w:rPr>
          <w:rFonts w:ascii="Arial" w:hAnsi="Arial" w:cs="Arial"/>
          <w:i/>
        </w:rPr>
      </w:pPr>
      <w:r w:rsidRPr="00666B9F">
        <w:rPr>
          <w:rFonts w:ascii="Arial" w:hAnsi="Arial" w:cs="Arial"/>
          <w:b/>
          <w:i/>
        </w:rPr>
        <w:t>Keywords:</w:t>
      </w:r>
      <w:r w:rsidR="00EA6B93">
        <w:rPr>
          <w:rFonts w:ascii="Arial" w:hAnsi="Arial" w:cs="Arial"/>
          <w:i/>
        </w:rPr>
        <w:t xml:space="preserve"> </w:t>
      </w:r>
      <w:r w:rsidR="00EA6B93" w:rsidRPr="00EA6B93">
        <w:rPr>
          <w:rFonts w:ascii="Arial" w:hAnsi="Arial" w:cs="Arial"/>
          <w:i/>
        </w:rPr>
        <w:t>Corn Cob, Rice Hull, Agricultural Waste, Biodegradable pots, Plastic Pots, Sustainability</w:t>
      </w:r>
    </w:p>
    <w:p w14:paraId="781A0BC6" w14:textId="63C8AA37" w:rsidR="00AA4328" w:rsidRDefault="00AA4328" w:rsidP="00441B6F">
      <w:pPr>
        <w:pStyle w:val="Body"/>
        <w:spacing w:after="0"/>
        <w:rPr>
          <w:rFonts w:ascii="Arial" w:hAnsi="Arial" w:cs="Arial"/>
          <w:i/>
        </w:rPr>
      </w:pPr>
    </w:p>
    <w:p w14:paraId="2436E3B6" w14:textId="77777777" w:rsidR="00AA4328" w:rsidRPr="00AA4328" w:rsidRDefault="00AA4328" w:rsidP="00441B6F">
      <w:pPr>
        <w:pStyle w:val="Body"/>
        <w:spacing w:after="0"/>
        <w:rPr>
          <w:rFonts w:ascii="Arial" w:hAnsi="Arial" w:cs="Arial"/>
          <w:i/>
        </w:rPr>
      </w:pPr>
    </w:p>
    <w:p w14:paraId="2320F59A" w14:textId="77777777" w:rsidR="00505F06" w:rsidRPr="00A24E7E" w:rsidRDefault="00505F06" w:rsidP="00441B6F">
      <w:pPr>
        <w:pStyle w:val="Body"/>
        <w:spacing w:after="0"/>
        <w:rPr>
          <w:rFonts w:ascii="Arial" w:hAnsi="Arial" w:cs="Arial"/>
          <w:i/>
        </w:rPr>
      </w:pPr>
    </w:p>
    <w:p w14:paraId="427ADA8E" w14:textId="6AFAA451" w:rsidR="007F7B32" w:rsidRDefault="00902823" w:rsidP="00EA6B93">
      <w:pPr>
        <w:pStyle w:val="AbstHead"/>
        <w:spacing w:after="0"/>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E1F499B" w14:textId="77777777" w:rsidR="00790ADA" w:rsidRPr="00FB3A86" w:rsidRDefault="00790ADA" w:rsidP="00441B6F">
      <w:pPr>
        <w:pStyle w:val="AbstHead"/>
        <w:spacing w:after="0"/>
        <w:jc w:val="both"/>
        <w:rPr>
          <w:rFonts w:ascii="Arial" w:hAnsi="Arial" w:cs="Arial"/>
        </w:rPr>
      </w:pPr>
    </w:p>
    <w:p w14:paraId="24904D65" w14:textId="2B8E5944" w:rsidR="00EA6B93" w:rsidRPr="00EA6B93" w:rsidRDefault="00EA6B93" w:rsidP="00EA6B93">
      <w:pPr>
        <w:pStyle w:val="Body"/>
        <w:ind w:firstLine="720"/>
        <w:rPr>
          <w:rFonts w:ascii="Arial" w:hAnsi="Arial" w:cs="Arial"/>
        </w:rPr>
      </w:pPr>
      <w:r w:rsidRPr="00EA6B93">
        <w:rPr>
          <w:rFonts w:ascii="Arial" w:hAnsi="Arial" w:cs="Arial"/>
        </w:rPr>
        <w:t xml:space="preserve">Plastic-based pots are </w:t>
      </w:r>
      <w:r w:rsidRPr="00951446">
        <w:rPr>
          <w:rFonts w:ascii="Arial" w:hAnsi="Arial" w:cs="Arial"/>
          <w:highlight w:val="yellow"/>
        </w:rPr>
        <w:t xml:space="preserve">widely </w:t>
      </w:r>
      <w:proofErr w:type="spellStart"/>
      <w:r w:rsidR="00951446" w:rsidRPr="00951446">
        <w:rPr>
          <w:rFonts w:ascii="Arial" w:hAnsi="Arial" w:cs="Arial"/>
          <w:highlight w:val="yellow"/>
        </w:rPr>
        <w:t>practised</w:t>
      </w:r>
      <w:proofErr w:type="spellEnd"/>
      <w:r w:rsidR="00951446" w:rsidRPr="00951446">
        <w:rPr>
          <w:rFonts w:ascii="Arial" w:hAnsi="Arial" w:cs="Arial"/>
          <w:highlight w:val="yellow"/>
        </w:rPr>
        <w:t xml:space="preserve"> </w:t>
      </w:r>
      <w:r w:rsidRPr="00951446">
        <w:rPr>
          <w:rFonts w:ascii="Arial" w:hAnsi="Arial" w:cs="Arial"/>
          <w:highlight w:val="yellow"/>
        </w:rPr>
        <w:t>in agricult</w:t>
      </w:r>
      <w:r w:rsidRPr="00EA6B93">
        <w:rPr>
          <w:rFonts w:ascii="Arial" w:hAnsi="Arial" w:cs="Arial"/>
        </w:rPr>
        <w:t>ure since they are affordable, lightweight, and durable (</w:t>
      </w:r>
      <w:proofErr w:type="spellStart"/>
      <w:r w:rsidRPr="00EA6B93">
        <w:rPr>
          <w:rFonts w:ascii="Arial" w:hAnsi="Arial" w:cs="Arial"/>
        </w:rPr>
        <w:t>Pilapitiya</w:t>
      </w:r>
      <w:proofErr w:type="spellEnd"/>
      <w:r w:rsidRPr="00EA6B93">
        <w:rPr>
          <w:rFonts w:ascii="Arial" w:hAnsi="Arial" w:cs="Arial"/>
        </w:rPr>
        <w:t xml:space="preserve"> &amp; Ratnayake, 2024). However, given their strong resistance to microbial destruction, plastic pots are non-biodegradable because they are inert material, prompting a long-lasting carbon footprint for centuries (Mohanan et al., 2020). Similarly, agricultural waste, with over 998 million </w:t>
      </w:r>
      <w:proofErr w:type="spellStart"/>
      <w:r w:rsidRPr="00EA6B93">
        <w:rPr>
          <w:rFonts w:ascii="Arial" w:hAnsi="Arial" w:cs="Arial"/>
        </w:rPr>
        <w:t>tonnes</w:t>
      </w:r>
      <w:proofErr w:type="spellEnd"/>
      <w:r w:rsidRPr="00EA6B93">
        <w:rPr>
          <w:rFonts w:ascii="Arial" w:hAnsi="Arial" w:cs="Arial"/>
        </w:rPr>
        <w:t xml:space="preserve"> produced yearly (Raut et al., 2023), including corn cob and rice hulls, also contributes to carbon emissions. Although it is unavoidable and detrimental to the environment, agricultural waste can be repurposed into various sustainable products that can be an alternative to the use of plastic products in human daily life.</w:t>
      </w:r>
    </w:p>
    <w:p w14:paraId="4EF5D948" w14:textId="474DA9F3" w:rsidR="00EA6B93" w:rsidRPr="00EA6B93" w:rsidRDefault="00EA6B93" w:rsidP="00C608A9">
      <w:pPr>
        <w:pStyle w:val="Body"/>
        <w:rPr>
          <w:rFonts w:ascii="Arial" w:hAnsi="Arial" w:cs="Arial"/>
        </w:rPr>
      </w:pPr>
      <w:r w:rsidRPr="00EA6B93">
        <w:rPr>
          <w:rFonts w:ascii="Arial" w:hAnsi="Arial" w:cs="Arial"/>
        </w:rPr>
        <w:t xml:space="preserve">Moreover, the global use of plastic products has doubled production since the beginning of the century to almost 400 million metric tons per year in 2021. In contrast, decomposing can take 500 years (Alves, 2024), mainly when improperly disposed of. Oftentimes, plastics are </w:t>
      </w:r>
      <w:r w:rsidRPr="00EA6B93">
        <w:rPr>
          <w:rFonts w:ascii="Arial" w:hAnsi="Arial" w:cs="Arial"/>
        </w:rPr>
        <w:lastRenderedPageBreak/>
        <w:t>either burned or abandoned in the open fields, disposed of in landfills, and incinerated, resulting in greenhouse gas emissions and economic loss (</w:t>
      </w:r>
      <w:proofErr w:type="spellStart"/>
      <w:r w:rsidRPr="00EA6B93">
        <w:rPr>
          <w:rFonts w:ascii="Arial" w:hAnsi="Arial" w:cs="Arial"/>
        </w:rPr>
        <w:t>Maitlo</w:t>
      </w:r>
      <w:proofErr w:type="spellEnd"/>
      <w:r w:rsidRPr="00EA6B93">
        <w:rPr>
          <w:rFonts w:ascii="Arial" w:hAnsi="Arial" w:cs="Arial"/>
        </w:rPr>
        <w:t xml:space="preserve"> et al., 2022), comparable to agricultural waste management practices. In this sense, it is harmful to the environment since it leads to land and water pollution, the release of harmful substances and air pollutants, and land degradation (Vanella et al., 2022), which is harmful to the ecosystem and biodiversity.</w:t>
      </w:r>
      <w:r w:rsidR="0054437B">
        <w:rPr>
          <w:rFonts w:ascii="Arial" w:hAnsi="Arial" w:cs="Arial"/>
        </w:rPr>
        <w:t xml:space="preserve"> </w:t>
      </w:r>
      <w:r w:rsidR="0054437B" w:rsidRPr="006E4629">
        <w:rPr>
          <w:rFonts w:ascii="Arial" w:hAnsi="Arial" w:cs="Arial"/>
          <w:highlight w:val="yellow"/>
        </w:rPr>
        <w:t xml:space="preserve">From the agronomical point of view, the use of plastic pots influences the ulterior plant development. Pot walls force roots to grow downward and get encircled among </w:t>
      </w:r>
      <w:r w:rsidR="00CB21FC">
        <w:rPr>
          <w:rFonts w:ascii="Arial" w:hAnsi="Arial" w:cs="Arial"/>
          <w:highlight w:val="yellow"/>
        </w:rPr>
        <w:t>themselves</w:t>
      </w:r>
      <w:r w:rsidR="0054437B" w:rsidRPr="006E4629">
        <w:rPr>
          <w:rFonts w:ascii="Arial" w:hAnsi="Arial" w:cs="Arial"/>
          <w:highlight w:val="yellow"/>
        </w:rPr>
        <w:t xml:space="preserve">, during their </w:t>
      </w:r>
      <w:r w:rsidR="00CB21FC">
        <w:rPr>
          <w:rFonts w:ascii="Arial" w:hAnsi="Arial" w:cs="Arial"/>
          <w:highlight w:val="yellow"/>
        </w:rPr>
        <w:t>search</w:t>
      </w:r>
      <w:r w:rsidR="0054437B" w:rsidRPr="006E4629">
        <w:rPr>
          <w:rFonts w:ascii="Arial" w:hAnsi="Arial" w:cs="Arial"/>
          <w:highlight w:val="yellow"/>
        </w:rPr>
        <w:t xml:space="preserve"> for water and nutrients. As a consequence, </w:t>
      </w:r>
      <w:r w:rsidR="00CB21FC">
        <w:rPr>
          <w:rFonts w:ascii="Arial" w:hAnsi="Arial" w:cs="Arial"/>
          <w:highlight w:val="yellow"/>
        </w:rPr>
        <w:t xml:space="preserve">a </w:t>
      </w:r>
      <w:r w:rsidR="0054437B" w:rsidRPr="006E4629">
        <w:rPr>
          <w:rFonts w:ascii="Arial" w:hAnsi="Arial" w:cs="Arial"/>
          <w:highlight w:val="yellow"/>
        </w:rPr>
        <w:t>few long roots are entangled, leading to their choking</w:t>
      </w:r>
      <w:r w:rsidR="006E4629" w:rsidRPr="006E4629">
        <w:rPr>
          <w:rFonts w:ascii="Arial" w:hAnsi="Arial" w:cs="Arial"/>
          <w:highlight w:val="yellow"/>
        </w:rPr>
        <w:t xml:space="preserve"> (Helgeson et al. 2009; Hall et al. 2010</w:t>
      </w:r>
      <w:r w:rsidR="006D6816" w:rsidRPr="000A5897">
        <w:rPr>
          <w:rFonts w:ascii="Arial" w:hAnsi="Arial" w:cs="Arial"/>
          <w:highlight w:val="yellow"/>
        </w:rPr>
        <w:t xml:space="preserve">; </w:t>
      </w:r>
      <w:r w:rsidR="006D6816" w:rsidRPr="000A5897">
        <w:rPr>
          <w:rFonts w:ascii="Arial" w:hAnsi="Arial" w:cs="Arial"/>
          <w:color w:val="222222"/>
          <w:highlight w:val="yellow"/>
          <w:shd w:val="clear" w:color="auto" w:fill="FFFFFF"/>
        </w:rPr>
        <w:t>Fuentes et al. 2021</w:t>
      </w:r>
      <w:r w:rsidR="006E4629" w:rsidRPr="000A5897">
        <w:rPr>
          <w:rFonts w:ascii="Arial" w:hAnsi="Arial" w:cs="Arial"/>
          <w:highlight w:val="yellow"/>
        </w:rPr>
        <w:t>).</w:t>
      </w:r>
      <w:r w:rsidR="006E4629">
        <w:rPr>
          <w:rFonts w:ascii="Arial" w:hAnsi="Arial" w:cs="Arial"/>
        </w:rPr>
        <w:t xml:space="preserve"> </w:t>
      </w:r>
    </w:p>
    <w:p w14:paraId="489D84D5" w14:textId="0F034F70" w:rsidR="00EA6B93" w:rsidRPr="00EA6B93" w:rsidRDefault="00EA6B93" w:rsidP="00EA6B93">
      <w:pPr>
        <w:pStyle w:val="Body"/>
        <w:ind w:firstLine="720"/>
        <w:rPr>
          <w:rFonts w:ascii="Arial" w:hAnsi="Arial" w:cs="Arial"/>
        </w:rPr>
      </w:pPr>
      <w:r w:rsidRPr="00EA6B93">
        <w:rPr>
          <w:rFonts w:ascii="Arial" w:hAnsi="Arial" w:cs="Arial"/>
        </w:rPr>
        <w:t xml:space="preserve">Biodegradable pots are a greener alternative to plastic pots. Produced from organic material like coconut coir or peat moss, they break down in the soil, causing no waste and fertilizing the soil in which they are planted (Beeks &amp; Evan, 2013). Unlike plastic, which stays intact for centuries in landfills, these pots break down, leaving behind nothing but nutrients in the ground. The use of biodegradable products lowers the use of petroleum-based products and will </w:t>
      </w:r>
      <w:r w:rsidRPr="00951446">
        <w:rPr>
          <w:rFonts w:ascii="Arial" w:hAnsi="Arial" w:cs="Arial"/>
          <w:highlight w:val="yellow"/>
        </w:rPr>
        <w:t>contribute to making the p</w:t>
      </w:r>
      <w:r w:rsidRPr="00EA6B93">
        <w:rPr>
          <w:rFonts w:ascii="Arial" w:hAnsi="Arial" w:cs="Arial"/>
        </w:rPr>
        <w:t>lanet a healthier place. The pots offer a green alternative to growing plants, lowering the environmental impact of plastic waste and promoting a greener way of life worldwide. As the environment becomes a bigger and bigger concern, the demand for biodegradable pots increases, driving the production of green solutions. The use of these green alternatives is significant in a greener future.</w:t>
      </w:r>
    </w:p>
    <w:p w14:paraId="5DFDCBE0" w14:textId="063F40E9" w:rsidR="00EA6B93" w:rsidRPr="00EA6B93" w:rsidRDefault="00EA6B93" w:rsidP="00EA6B93">
      <w:pPr>
        <w:pStyle w:val="Body"/>
        <w:ind w:firstLine="720"/>
        <w:rPr>
          <w:rFonts w:ascii="Arial" w:hAnsi="Arial" w:cs="Arial"/>
        </w:rPr>
      </w:pPr>
      <w:r w:rsidRPr="00EA6B93">
        <w:rPr>
          <w:rFonts w:ascii="Arial" w:hAnsi="Arial" w:cs="Arial"/>
        </w:rPr>
        <w:t xml:space="preserve">Additionally, in the study of Mohammed and Salih (2021), varying corn cob particle size enhances the mechanical properties of unsaturated polyester resin composites, which is suitable for the improved mechanical performance of the material. Another study by Miller et al. (2019) discusses that rice hulls improve the mechanical properties of rice-based ash in concrete. Moreover, the incorporation of this material led to enhanced mechanical properties. On the other hand, </w:t>
      </w:r>
      <w:proofErr w:type="spellStart"/>
      <w:r w:rsidRPr="00EA6B93">
        <w:rPr>
          <w:rFonts w:ascii="Arial" w:hAnsi="Arial" w:cs="Arial"/>
        </w:rPr>
        <w:t>biopots</w:t>
      </w:r>
      <w:proofErr w:type="spellEnd"/>
      <w:r w:rsidRPr="00EA6B93">
        <w:rPr>
          <w:rFonts w:ascii="Arial" w:hAnsi="Arial" w:cs="Arial"/>
        </w:rPr>
        <w:t xml:space="preserve"> offer sustainability to the environment. For instance, using pineapple waste to produce pots shows higher degradation properties (</w:t>
      </w:r>
      <w:proofErr w:type="spellStart"/>
      <w:r w:rsidRPr="00EA6B93">
        <w:rPr>
          <w:rFonts w:ascii="Arial" w:hAnsi="Arial" w:cs="Arial"/>
        </w:rPr>
        <w:t>Jirapornvaree</w:t>
      </w:r>
      <w:proofErr w:type="spellEnd"/>
      <w:r w:rsidRPr="00EA6B93">
        <w:rPr>
          <w:rFonts w:ascii="Arial" w:hAnsi="Arial" w:cs="Arial"/>
        </w:rPr>
        <w:t xml:space="preserve"> et al., 2017). Furthermore, using biodegradable pots exceeded the sustainability of the products. It helped to maintain the balance of nature better, protect the environment, and provide a better life for future generations (</w:t>
      </w:r>
      <w:proofErr w:type="spellStart"/>
      <w:r w:rsidRPr="005D75C5">
        <w:rPr>
          <w:rFonts w:ascii="Arial" w:hAnsi="Arial" w:cs="Arial"/>
          <w:highlight w:val="yellow"/>
        </w:rPr>
        <w:t>Srisunont</w:t>
      </w:r>
      <w:proofErr w:type="spellEnd"/>
      <w:r w:rsidRPr="005D75C5">
        <w:rPr>
          <w:rFonts w:ascii="Arial" w:hAnsi="Arial" w:cs="Arial"/>
          <w:highlight w:val="yellow"/>
        </w:rPr>
        <w:t xml:space="preserve"> et al., 2024</w:t>
      </w:r>
      <w:r w:rsidR="005D75C5" w:rsidRPr="005D75C5">
        <w:rPr>
          <w:rFonts w:ascii="Arial" w:hAnsi="Arial" w:cs="Arial"/>
          <w:highlight w:val="yellow"/>
        </w:rPr>
        <w:t xml:space="preserve">; </w:t>
      </w:r>
      <w:r w:rsidR="005D75C5" w:rsidRPr="005D75C5">
        <w:rPr>
          <w:rFonts w:ascii="Arial" w:hAnsi="Arial" w:cs="Arial"/>
          <w:color w:val="222222"/>
          <w:highlight w:val="yellow"/>
          <w:shd w:val="clear" w:color="auto" w:fill="FFFFFF"/>
        </w:rPr>
        <w:t xml:space="preserve">Saha and </w:t>
      </w:r>
      <w:proofErr w:type="gramStart"/>
      <w:r w:rsidR="005D75C5" w:rsidRPr="005D75C5">
        <w:rPr>
          <w:rFonts w:ascii="Arial" w:hAnsi="Arial" w:cs="Arial"/>
          <w:color w:val="222222"/>
          <w:highlight w:val="yellow"/>
          <w:shd w:val="clear" w:color="auto" w:fill="FFFFFF"/>
        </w:rPr>
        <w:t>Hariprasad ,</w:t>
      </w:r>
      <w:proofErr w:type="gramEnd"/>
      <w:r w:rsidR="005D75C5" w:rsidRPr="005D75C5">
        <w:rPr>
          <w:rFonts w:ascii="Arial" w:hAnsi="Arial" w:cs="Arial"/>
          <w:color w:val="222222"/>
          <w:highlight w:val="yellow"/>
          <w:shd w:val="clear" w:color="auto" w:fill="FFFFFF"/>
        </w:rPr>
        <w:t xml:space="preserve"> 2022</w:t>
      </w:r>
      <w:r w:rsidRPr="005D75C5">
        <w:rPr>
          <w:rFonts w:ascii="Arial" w:hAnsi="Arial" w:cs="Arial"/>
          <w:highlight w:val="yellow"/>
        </w:rPr>
        <w:t>).</w:t>
      </w:r>
    </w:p>
    <w:p w14:paraId="7341DD76" w14:textId="356714C0" w:rsidR="002D0845" w:rsidRDefault="00EA6B93" w:rsidP="00AA4328">
      <w:pPr>
        <w:pStyle w:val="Body"/>
        <w:ind w:firstLine="720"/>
        <w:rPr>
          <w:rFonts w:ascii="Arial" w:hAnsi="Arial" w:cs="Arial"/>
        </w:rPr>
      </w:pPr>
      <w:r w:rsidRPr="00EA6B93">
        <w:rPr>
          <w:rFonts w:ascii="Arial" w:hAnsi="Arial" w:cs="Arial"/>
        </w:rPr>
        <w:t>Furthermore, this study aims to produce biodegradable pots derived from corn cob and rice hulls. The mechanical performance of the biodegradable pots in terms of tensile strength, compressive strength, and compressive strength (peak force) must be determined. Moreover, the mechanical performance of the produced biodegradable pots is compared to that of commercial biodegradable pots sold on the market. In connection, this study aims to create an environmentally friendly alternative approach to minimize plastic and agricultural waste, reduce greenhouse gas emissions, and advance a circular economy in agriculture by using agricultural waste materials. This strategy helps international efforts to lessen the adverse environmental effects of plastic trash and is consistent with sustainable agriculture methods (Kumar et al., 2021).</w:t>
      </w:r>
    </w:p>
    <w:p w14:paraId="4E93D162" w14:textId="77777777" w:rsidR="00AA4328" w:rsidRDefault="00AA4328" w:rsidP="00AA4328">
      <w:pPr>
        <w:pStyle w:val="Body"/>
        <w:ind w:firstLine="720"/>
        <w:rPr>
          <w:rFonts w:ascii="Arial" w:hAnsi="Arial" w:cs="Arial"/>
        </w:rPr>
      </w:pPr>
    </w:p>
    <w:p w14:paraId="0BDDF4AE" w14:textId="1AA2E07C"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E4C4E82" w14:textId="77777777" w:rsidR="005A0609" w:rsidRPr="00FB3A86" w:rsidRDefault="005A0609" w:rsidP="00441B6F">
      <w:pPr>
        <w:pStyle w:val="AbstHead"/>
        <w:spacing w:after="0"/>
        <w:jc w:val="both"/>
        <w:rPr>
          <w:rFonts w:ascii="Arial" w:hAnsi="Arial" w:cs="Arial"/>
        </w:rPr>
      </w:pPr>
    </w:p>
    <w:p w14:paraId="1AC8FE85" w14:textId="376FF7DB" w:rsidR="005A0609" w:rsidRPr="005A0609" w:rsidRDefault="005A0609" w:rsidP="005A0609">
      <w:pPr>
        <w:pStyle w:val="Body"/>
        <w:rPr>
          <w:rFonts w:ascii="Arial" w:hAnsi="Arial" w:cs="Arial"/>
          <w:b/>
          <w:bCs/>
        </w:rPr>
      </w:pPr>
      <w:r w:rsidRPr="005A0609">
        <w:rPr>
          <w:rFonts w:ascii="Arial" w:hAnsi="Arial" w:cs="Arial"/>
          <w:b/>
          <w:bCs/>
        </w:rPr>
        <w:t>Research Design</w:t>
      </w:r>
    </w:p>
    <w:p w14:paraId="0A368559" w14:textId="40901990" w:rsidR="00AA4328" w:rsidRPr="005A0609" w:rsidRDefault="005A0609" w:rsidP="00AA4328">
      <w:pPr>
        <w:pStyle w:val="Body"/>
        <w:ind w:firstLine="720"/>
        <w:rPr>
          <w:rFonts w:ascii="Arial" w:hAnsi="Arial" w:cs="Arial"/>
        </w:rPr>
      </w:pPr>
      <w:r w:rsidRPr="005A0609">
        <w:rPr>
          <w:rFonts w:ascii="Arial" w:hAnsi="Arial" w:cs="Arial"/>
        </w:rPr>
        <w:t xml:space="preserve">This study employed a Research and Development (R&amp;D) approach, explicitly utilizing a quantitative experimental design, to investigate the feasibility of developing and evaluating biodegradable pots manufactured from agricultural residues, specifically corn cob and rice hulls. The primary focus of this study was to investigate the mechanical performance of these </w:t>
      </w:r>
      <w:r w:rsidRPr="005A0609">
        <w:rPr>
          <w:rFonts w:ascii="Arial" w:hAnsi="Arial" w:cs="Arial"/>
        </w:rPr>
        <w:lastRenderedPageBreak/>
        <w:t>bio-based pots. The experiments involved mechanical tests like tensile strength and compressive strength, which are significant parameters for investigating the pots' structural stability and load-carrying capacity. Additionally, the mechanical properties of developed bio-pots were comparatively investigated with the commercially available biodegradable pots to provide a comparative basis. This comparative analysis aimed to identify potential advantages and limitations of the developed bio-pots in terms of their mechanical performance. Quantitative data was meticulously collected throughout the experimental process. Subsequently, the collected data was subjected to rigorous statistical analysis to identify significant differences in the mechanical properties of the bio-pots. This statistical analysis allowed for a more objective and robust interpretation of the experimental results.</w:t>
      </w:r>
    </w:p>
    <w:p w14:paraId="3D99ED64" w14:textId="45D92160" w:rsidR="005A0609" w:rsidRPr="005A0609" w:rsidRDefault="005A0609" w:rsidP="005A0609">
      <w:pPr>
        <w:pStyle w:val="Body"/>
        <w:rPr>
          <w:rFonts w:ascii="Arial" w:hAnsi="Arial" w:cs="Arial"/>
          <w:b/>
          <w:bCs/>
        </w:rPr>
      </w:pPr>
      <w:r w:rsidRPr="005A0609">
        <w:rPr>
          <w:rFonts w:ascii="Arial" w:hAnsi="Arial" w:cs="Arial"/>
          <w:b/>
          <w:bCs/>
        </w:rPr>
        <w:t>Entry Protocol</w:t>
      </w:r>
    </w:p>
    <w:p w14:paraId="7A1944AA" w14:textId="4BD3EE26" w:rsidR="00AA4328" w:rsidRPr="005A0609" w:rsidRDefault="005A0609" w:rsidP="00AA4328">
      <w:pPr>
        <w:pStyle w:val="Body"/>
        <w:ind w:firstLine="720"/>
        <w:rPr>
          <w:rFonts w:ascii="Arial" w:hAnsi="Arial" w:cs="Arial"/>
        </w:rPr>
      </w:pPr>
      <w:r w:rsidRPr="005A0609">
        <w:rPr>
          <w:rFonts w:ascii="Arial" w:hAnsi="Arial" w:cs="Arial"/>
        </w:rPr>
        <w:t>Prior to commencing the research on corn cobs and rice hulls as bio pots, several formal letters were submitted to ensure ethical and smooth execution. One of the key processes was obtaining formal approval from authorities to carry out the research activities. Also, a letter of assistance was composed to a specialist at the College of Engineering at Central Mindanao University and Allied Material Testing Laboratories - Malaybalay Branch. The letter requested professional guidance and technical support to use the facilities and equipment, such as the laboratory, to aid the research activity. The research team ensured an ethical and smooth research process by securing these required approvals, forming cooperative relationships with the primary stakeholders, and developing valuable connections in the local community and academic institutions.</w:t>
      </w:r>
    </w:p>
    <w:p w14:paraId="01DC0C8D" w14:textId="1FE9BEA4" w:rsidR="005A0609" w:rsidRPr="005A0609" w:rsidRDefault="005A0609" w:rsidP="005A0609">
      <w:pPr>
        <w:pStyle w:val="Body"/>
        <w:rPr>
          <w:rFonts w:ascii="Arial" w:hAnsi="Arial" w:cs="Arial"/>
          <w:b/>
          <w:bCs/>
        </w:rPr>
      </w:pPr>
      <w:r w:rsidRPr="005A0609">
        <w:rPr>
          <w:rFonts w:ascii="Arial" w:hAnsi="Arial" w:cs="Arial"/>
          <w:b/>
          <w:bCs/>
        </w:rPr>
        <w:t>Research Locale</w:t>
      </w:r>
    </w:p>
    <w:p w14:paraId="57A65B57" w14:textId="34D41BC6" w:rsidR="002D0845" w:rsidRPr="005A0609" w:rsidRDefault="005A0609" w:rsidP="00AA4328">
      <w:pPr>
        <w:pStyle w:val="Body"/>
        <w:ind w:firstLine="720"/>
        <w:rPr>
          <w:rFonts w:ascii="Arial" w:hAnsi="Arial" w:cs="Arial"/>
        </w:rPr>
      </w:pPr>
      <w:r w:rsidRPr="005A0609">
        <w:rPr>
          <w:rFonts w:ascii="Arial" w:hAnsi="Arial" w:cs="Arial"/>
        </w:rPr>
        <w:t xml:space="preserve">The corn cobs were collected in </w:t>
      </w:r>
      <w:proofErr w:type="spellStart"/>
      <w:r w:rsidRPr="005A0609">
        <w:rPr>
          <w:rFonts w:ascii="Arial" w:hAnsi="Arial" w:cs="Arial"/>
        </w:rPr>
        <w:t>Cawayan</w:t>
      </w:r>
      <w:proofErr w:type="spellEnd"/>
      <w:r w:rsidRPr="005A0609">
        <w:rPr>
          <w:rFonts w:ascii="Arial" w:hAnsi="Arial" w:cs="Arial"/>
        </w:rPr>
        <w:t xml:space="preserve">, </w:t>
      </w:r>
      <w:proofErr w:type="spellStart"/>
      <w:r w:rsidRPr="005A0609">
        <w:rPr>
          <w:rFonts w:ascii="Arial" w:hAnsi="Arial" w:cs="Arial"/>
        </w:rPr>
        <w:t>Lantapan</w:t>
      </w:r>
      <w:proofErr w:type="spellEnd"/>
      <w:r w:rsidRPr="005A0609">
        <w:rPr>
          <w:rFonts w:ascii="Arial" w:hAnsi="Arial" w:cs="Arial"/>
        </w:rPr>
        <w:t xml:space="preserve">, Bukidnon; while the rice hulls were collected in </w:t>
      </w:r>
      <w:proofErr w:type="spellStart"/>
      <w:r w:rsidRPr="005A0609">
        <w:rPr>
          <w:rFonts w:ascii="Arial" w:hAnsi="Arial" w:cs="Arial"/>
        </w:rPr>
        <w:t>Basakan</w:t>
      </w:r>
      <w:proofErr w:type="spellEnd"/>
      <w:r w:rsidRPr="005A0609">
        <w:rPr>
          <w:rFonts w:ascii="Arial" w:hAnsi="Arial" w:cs="Arial"/>
        </w:rPr>
        <w:t xml:space="preserve"> District, Barangay </w:t>
      </w:r>
      <w:proofErr w:type="spellStart"/>
      <w:r w:rsidRPr="005A0609">
        <w:rPr>
          <w:rFonts w:ascii="Arial" w:hAnsi="Arial" w:cs="Arial"/>
        </w:rPr>
        <w:t>Simaya</w:t>
      </w:r>
      <w:proofErr w:type="spellEnd"/>
      <w:r w:rsidRPr="005A0609">
        <w:rPr>
          <w:rFonts w:ascii="Arial" w:hAnsi="Arial" w:cs="Arial"/>
        </w:rPr>
        <w:t xml:space="preserve">, Malaybalay City, Bukidnon. The raw materials for the biodegradable pots were processed and milled in Valencia City, Bukidnon. Meanwhile, the preparation of materials and the pot-making process were done in the researcher's home. Central Mindanao University in Maramag, Bukidnon, also served as the site for the compressive and tensile strength tests. Moreover, one test was done at Allied Material Testing Laboratories - Malaybalay Branch for the tensile strength of the commercial pots. </w:t>
      </w:r>
    </w:p>
    <w:p w14:paraId="375B9544" w14:textId="24B54ED3" w:rsidR="00F97C69" w:rsidRDefault="00F97C69" w:rsidP="005A0609">
      <w:pPr>
        <w:pStyle w:val="Body"/>
        <w:rPr>
          <w:rFonts w:ascii="Arial" w:hAnsi="Arial" w:cs="Arial"/>
        </w:rPr>
      </w:pPr>
      <w:r>
        <w:rPr>
          <w:noProof/>
        </w:rPr>
        <w:drawing>
          <wp:anchor distT="0" distB="0" distL="114300" distR="114300" simplePos="0" relativeHeight="251636736" behindDoc="1" locked="0" layoutInCell="1" allowOverlap="1" wp14:anchorId="06DFDA2B" wp14:editId="32C6C31C">
            <wp:simplePos x="0" y="0"/>
            <wp:positionH relativeFrom="column">
              <wp:posOffset>1909445</wp:posOffset>
            </wp:positionH>
            <wp:positionV relativeFrom="paragraph">
              <wp:posOffset>11430</wp:posOffset>
            </wp:positionV>
            <wp:extent cx="1390650" cy="833120"/>
            <wp:effectExtent l="0" t="0" r="0" b="0"/>
            <wp:wrapThrough wrapText="bothSides">
              <wp:wrapPolygon edited="0">
                <wp:start x="0" y="0"/>
                <wp:lineTo x="0" y="21238"/>
                <wp:lineTo x="21304" y="21238"/>
                <wp:lineTo x="21304" y="0"/>
                <wp:lineTo x="0" y="0"/>
              </wp:wrapPolygon>
            </wp:wrapThrough>
            <wp:docPr id="6" name="image3.png"/>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a:extLst>
                        <a:ext uri="{28A0092B-C50C-407E-A947-70E740481C1C}">
                          <a14:useLocalDpi xmlns:a14="http://schemas.microsoft.com/office/drawing/2010/main" val="0"/>
                        </a:ext>
                      </a:extLst>
                    </a:blip>
                    <a:srcRect/>
                    <a:stretch>
                      <a:fillRect/>
                    </a:stretch>
                  </pic:blipFill>
                  <pic:spPr>
                    <a:xfrm>
                      <a:off x="0" y="0"/>
                      <a:ext cx="1390650" cy="83312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394E4A05" wp14:editId="063A01DB">
            <wp:simplePos x="0" y="0"/>
            <wp:positionH relativeFrom="column">
              <wp:posOffset>3608070</wp:posOffset>
            </wp:positionH>
            <wp:positionV relativeFrom="paragraph">
              <wp:posOffset>6985</wp:posOffset>
            </wp:positionV>
            <wp:extent cx="1447800" cy="820420"/>
            <wp:effectExtent l="0" t="0" r="0" b="0"/>
            <wp:wrapTight wrapText="bothSides">
              <wp:wrapPolygon edited="0">
                <wp:start x="0" y="0"/>
                <wp:lineTo x="0" y="21065"/>
                <wp:lineTo x="21316" y="21065"/>
                <wp:lineTo x="21316" y="0"/>
                <wp:lineTo x="0" y="0"/>
              </wp:wrapPolygon>
            </wp:wrapTight>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82042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12177D23" wp14:editId="1A560E0C">
            <wp:simplePos x="0" y="0"/>
            <wp:positionH relativeFrom="column">
              <wp:posOffset>240030</wp:posOffset>
            </wp:positionH>
            <wp:positionV relativeFrom="paragraph">
              <wp:posOffset>16510</wp:posOffset>
            </wp:positionV>
            <wp:extent cx="1400175" cy="833120"/>
            <wp:effectExtent l="0" t="0" r="0" b="0"/>
            <wp:wrapTight wrapText="bothSides">
              <wp:wrapPolygon edited="0">
                <wp:start x="0" y="0"/>
                <wp:lineTo x="0" y="21238"/>
                <wp:lineTo x="21453" y="21238"/>
                <wp:lineTo x="21453" y="0"/>
                <wp:lineTo x="0" y="0"/>
              </wp:wrapPolygon>
            </wp:wrapTight>
            <wp:docPr id="7" name="image2.png"/>
            <wp:cNvGraphicFramePr/>
            <a:graphic xmlns:a="http://schemas.openxmlformats.org/drawingml/2006/main">
              <a:graphicData uri="http://schemas.openxmlformats.org/drawingml/2006/picture">
                <pic:pic xmlns:pic="http://schemas.openxmlformats.org/drawingml/2006/picture">
                  <pic:nvPicPr>
                    <pic:cNvPr id="7" name="image2.png"/>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00175" cy="833120"/>
                    </a:xfrm>
                    <a:prstGeom prst="rect">
                      <a:avLst/>
                    </a:prstGeom>
                    <a:ln/>
                  </pic:spPr>
                </pic:pic>
              </a:graphicData>
            </a:graphic>
            <wp14:sizeRelH relativeFrom="margin">
              <wp14:pctWidth>0</wp14:pctWidth>
            </wp14:sizeRelH>
            <wp14:sizeRelV relativeFrom="margin">
              <wp14:pctHeight>0</wp14:pctHeight>
            </wp14:sizeRelV>
          </wp:anchor>
        </w:drawing>
      </w:r>
    </w:p>
    <w:p w14:paraId="381875A7" w14:textId="431B23DF" w:rsidR="005A0609" w:rsidRPr="00AA4328" w:rsidRDefault="00F97C69" w:rsidP="00F97C69">
      <w:pPr>
        <w:pStyle w:val="Body"/>
        <w:jc w:val="left"/>
        <w:rPr>
          <w:rFonts w:ascii="Arial" w:hAnsi="Arial" w:cs="Arial"/>
          <w:i/>
          <w:iCs/>
          <w:sz w:val="12"/>
          <w:szCs w:val="12"/>
        </w:rPr>
      </w:pPr>
      <w:r w:rsidRPr="00666B9F">
        <w:rPr>
          <w:rFonts w:ascii="Arial" w:hAnsi="Arial" w:cs="Arial"/>
          <w:b/>
          <w:i/>
          <w:iCs/>
          <w:sz w:val="12"/>
          <w:szCs w:val="12"/>
        </w:rPr>
        <w:t xml:space="preserve">           </w:t>
      </w:r>
      <w:r w:rsidR="005A0609" w:rsidRPr="00666B9F">
        <w:rPr>
          <w:rFonts w:ascii="Arial" w:hAnsi="Arial" w:cs="Arial"/>
          <w:b/>
          <w:i/>
          <w:iCs/>
          <w:sz w:val="12"/>
          <w:szCs w:val="12"/>
        </w:rPr>
        <w:t>Figure 1</w:t>
      </w:r>
      <w:r w:rsidR="005A0609" w:rsidRPr="00AA4328">
        <w:rPr>
          <w:rFonts w:ascii="Arial" w:hAnsi="Arial" w:cs="Arial"/>
          <w:i/>
          <w:iCs/>
          <w:sz w:val="12"/>
          <w:szCs w:val="12"/>
        </w:rPr>
        <w:t xml:space="preserve">. </w:t>
      </w:r>
      <w:proofErr w:type="spellStart"/>
      <w:r w:rsidR="005A0609" w:rsidRPr="00AA4328">
        <w:rPr>
          <w:rFonts w:ascii="Arial" w:hAnsi="Arial" w:cs="Arial"/>
          <w:i/>
          <w:iCs/>
          <w:sz w:val="12"/>
          <w:szCs w:val="12"/>
        </w:rPr>
        <w:t>Cawayan</w:t>
      </w:r>
      <w:proofErr w:type="spellEnd"/>
      <w:r w:rsidR="005A0609" w:rsidRPr="00AA4328">
        <w:rPr>
          <w:rFonts w:ascii="Arial" w:hAnsi="Arial" w:cs="Arial"/>
          <w:i/>
          <w:iCs/>
          <w:sz w:val="12"/>
          <w:szCs w:val="12"/>
        </w:rPr>
        <w:t xml:space="preserve">, </w:t>
      </w:r>
      <w:proofErr w:type="spellStart"/>
      <w:r w:rsidR="005A0609" w:rsidRPr="00AA4328">
        <w:rPr>
          <w:rFonts w:ascii="Arial" w:hAnsi="Arial" w:cs="Arial"/>
          <w:i/>
          <w:iCs/>
          <w:sz w:val="12"/>
          <w:szCs w:val="12"/>
        </w:rPr>
        <w:t>Lantapan</w:t>
      </w:r>
      <w:proofErr w:type="spellEnd"/>
      <w:r w:rsidR="005A0609" w:rsidRPr="00AA4328">
        <w:rPr>
          <w:rFonts w:ascii="Arial" w:hAnsi="Arial" w:cs="Arial"/>
          <w:i/>
          <w:iCs/>
          <w:sz w:val="12"/>
          <w:szCs w:val="12"/>
        </w:rPr>
        <w:t>, Bukidnon</w:t>
      </w:r>
      <w:r w:rsidRPr="00AA4328">
        <w:rPr>
          <w:rFonts w:ascii="Arial" w:hAnsi="Arial" w:cs="Arial"/>
          <w:i/>
          <w:iCs/>
          <w:sz w:val="12"/>
          <w:szCs w:val="12"/>
        </w:rPr>
        <w:t xml:space="preserve">           </w:t>
      </w:r>
      <w:r w:rsidR="005A0609" w:rsidRPr="00AA4328">
        <w:rPr>
          <w:rFonts w:ascii="Arial" w:hAnsi="Arial" w:cs="Arial"/>
          <w:i/>
          <w:iCs/>
          <w:sz w:val="12"/>
          <w:szCs w:val="12"/>
        </w:rPr>
        <w:t xml:space="preserve">Figure 2. </w:t>
      </w:r>
      <w:proofErr w:type="spellStart"/>
      <w:r w:rsidR="005A0609" w:rsidRPr="00AA4328">
        <w:rPr>
          <w:rFonts w:ascii="Arial" w:hAnsi="Arial" w:cs="Arial"/>
          <w:i/>
          <w:iCs/>
          <w:sz w:val="12"/>
          <w:szCs w:val="12"/>
        </w:rPr>
        <w:t>Simaya</w:t>
      </w:r>
      <w:proofErr w:type="spellEnd"/>
      <w:r w:rsidR="005A0609" w:rsidRPr="00AA4328">
        <w:rPr>
          <w:rFonts w:ascii="Arial" w:hAnsi="Arial" w:cs="Arial"/>
          <w:i/>
          <w:iCs/>
          <w:sz w:val="12"/>
          <w:szCs w:val="12"/>
        </w:rPr>
        <w:t xml:space="preserve">, Malaybalay City, Bukidnon    </w:t>
      </w:r>
      <w:r w:rsidRPr="00AA4328">
        <w:rPr>
          <w:rFonts w:ascii="Arial" w:hAnsi="Arial" w:cs="Arial"/>
          <w:i/>
          <w:iCs/>
          <w:sz w:val="12"/>
          <w:szCs w:val="12"/>
        </w:rPr>
        <w:t xml:space="preserve"> </w:t>
      </w:r>
      <w:r w:rsidR="005A0609" w:rsidRPr="00AA4328">
        <w:rPr>
          <w:rFonts w:ascii="Arial" w:hAnsi="Arial" w:cs="Arial"/>
          <w:i/>
          <w:iCs/>
          <w:sz w:val="12"/>
          <w:szCs w:val="12"/>
        </w:rPr>
        <w:t xml:space="preserve"> Figure 3. Farmer’s Market, Valencia City, Bukidnon</w:t>
      </w:r>
    </w:p>
    <w:p w14:paraId="1D664D47" w14:textId="73EC2436" w:rsidR="005A0609" w:rsidRPr="005A0609" w:rsidRDefault="005A0609" w:rsidP="005A0609">
      <w:pPr>
        <w:pStyle w:val="Body"/>
        <w:rPr>
          <w:rFonts w:ascii="Arial" w:hAnsi="Arial" w:cs="Arial"/>
        </w:rPr>
      </w:pPr>
    </w:p>
    <w:p w14:paraId="78AF6CD0" w14:textId="53DA6300" w:rsidR="005A0609" w:rsidRPr="005A0609" w:rsidRDefault="00AA4328" w:rsidP="005A0609">
      <w:pPr>
        <w:pStyle w:val="Body"/>
        <w:rPr>
          <w:rFonts w:ascii="Arial" w:hAnsi="Arial" w:cs="Arial"/>
        </w:rPr>
      </w:pPr>
      <w:r>
        <w:rPr>
          <w:noProof/>
        </w:rPr>
        <w:drawing>
          <wp:anchor distT="0" distB="0" distL="114300" distR="114300" simplePos="0" relativeHeight="251713536" behindDoc="1" locked="0" layoutInCell="1" allowOverlap="1" wp14:anchorId="3A6EFAD9" wp14:editId="4FE43F4D">
            <wp:simplePos x="0" y="0"/>
            <wp:positionH relativeFrom="column">
              <wp:posOffset>3141345</wp:posOffset>
            </wp:positionH>
            <wp:positionV relativeFrom="paragraph">
              <wp:posOffset>-392430</wp:posOffset>
            </wp:positionV>
            <wp:extent cx="1397000" cy="863600"/>
            <wp:effectExtent l="0" t="0" r="0" b="0"/>
            <wp:wrapTight wrapText="bothSides">
              <wp:wrapPolygon edited="0">
                <wp:start x="0" y="0"/>
                <wp:lineTo x="0" y="20965"/>
                <wp:lineTo x="21207" y="20965"/>
                <wp:lineTo x="21207" y="0"/>
                <wp:lineTo x="0" y="0"/>
              </wp:wrapPolygon>
            </wp:wrapTight>
            <wp:docPr id="10" name="image5.png"/>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a:extLst>
                        <a:ext uri="{28A0092B-C50C-407E-A947-70E740481C1C}">
                          <a14:useLocalDpi xmlns:a14="http://schemas.microsoft.com/office/drawing/2010/main" val="0"/>
                        </a:ext>
                      </a:extLst>
                    </a:blip>
                    <a:srcRect/>
                    <a:stretch>
                      <a:fillRect/>
                    </a:stretch>
                  </pic:blipFill>
                  <pic:spPr>
                    <a:xfrm>
                      <a:off x="0" y="0"/>
                      <a:ext cx="1397000" cy="8636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1" locked="0" layoutInCell="1" allowOverlap="1" wp14:anchorId="6EB76DB5" wp14:editId="125EE41E">
            <wp:simplePos x="0" y="0"/>
            <wp:positionH relativeFrom="column">
              <wp:posOffset>819150</wp:posOffset>
            </wp:positionH>
            <wp:positionV relativeFrom="paragraph">
              <wp:posOffset>-382905</wp:posOffset>
            </wp:positionV>
            <wp:extent cx="1391285" cy="863600"/>
            <wp:effectExtent l="0" t="0" r="0" b="0"/>
            <wp:wrapTight wrapText="bothSides">
              <wp:wrapPolygon edited="0">
                <wp:start x="0" y="0"/>
                <wp:lineTo x="0" y="20965"/>
                <wp:lineTo x="21294" y="20965"/>
                <wp:lineTo x="21294" y="0"/>
                <wp:lineTo x="0" y="0"/>
              </wp:wrapPolygon>
            </wp:wrapTight>
            <wp:docPr id="8" name="image4.png"/>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a:extLst>
                        <a:ext uri="{28A0092B-C50C-407E-A947-70E740481C1C}">
                          <a14:useLocalDpi xmlns:a14="http://schemas.microsoft.com/office/drawing/2010/main" val="0"/>
                        </a:ext>
                      </a:extLst>
                    </a:blip>
                    <a:srcRect/>
                    <a:stretch>
                      <a:fillRect/>
                    </a:stretch>
                  </pic:blipFill>
                  <pic:spPr>
                    <a:xfrm>
                      <a:off x="0" y="0"/>
                      <a:ext cx="1391285" cy="863600"/>
                    </a:xfrm>
                    <a:prstGeom prst="rect">
                      <a:avLst/>
                    </a:prstGeom>
                    <a:ln/>
                  </pic:spPr>
                </pic:pic>
              </a:graphicData>
            </a:graphic>
            <wp14:sizeRelH relativeFrom="margin">
              <wp14:pctWidth>0</wp14:pctWidth>
            </wp14:sizeRelH>
            <wp14:sizeRelV relativeFrom="margin">
              <wp14:pctHeight>0</wp14:pctHeight>
            </wp14:sizeRelV>
          </wp:anchor>
        </w:drawing>
      </w:r>
    </w:p>
    <w:p w14:paraId="7CEE6776" w14:textId="34B87A73" w:rsidR="005A0609" w:rsidRDefault="005A0609" w:rsidP="005A0609">
      <w:pPr>
        <w:pStyle w:val="Body"/>
        <w:rPr>
          <w:rFonts w:ascii="Arial" w:hAnsi="Arial" w:cs="Arial"/>
        </w:rPr>
      </w:pPr>
    </w:p>
    <w:p w14:paraId="44B34E85" w14:textId="4CEEB1C1" w:rsidR="00AA4328" w:rsidRPr="00AA4328" w:rsidRDefault="00AA4328" w:rsidP="005A0609">
      <w:pPr>
        <w:pStyle w:val="Body"/>
        <w:rPr>
          <w:rFonts w:ascii="Arial" w:hAnsi="Arial" w:cs="Arial"/>
          <w:i/>
          <w:iCs/>
          <w:sz w:val="12"/>
          <w:szCs w:val="12"/>
        </w:rPr>
      </w:pPr>
      <w:r>
        <w:rPr>
          <w:rFonts w:ascii="Arial" w:hAnsi="Arial" w:cs="Arial"/>
          <w:sz w:val="12"/>
          <w:szCs w:val="12"/>
        </w:rPr>
        <w:t xml:space="preserve">                      </w:t>
      </w:r>
      <w:r w:rsidRPr="00AA4328">
        <w:rPr>
          <w:rFonts w:ascii="Arial" w:hAnsi="Arial" w:cs="Arial"/>
          <w:i/>
          <w:iCs/>
          <w:sz w:val="12"/>
          <w:szCs w:val="12"/>
        </w:rPr>
        <w:t xml:space="preserve">  Figure 4. Central Mindanao University, Maramag, Bukidnon       Figure 5. Allied Material Testing Laboratories, Malaybalay City, Bukidnon</w:t>
      </w:r>
    </w:p>
    <w:p w14:paraId="4DD7D125" w14:textId="77777777" w:rsidR="005A0609" w:rsidRPr="005A0609" w:rsidRDefault="005A0609" w:rsidP="005A0609">
      <w:pPr>
        <w:pStyle w:val="Body"/>
        <w:rPr>
          <w:rFonts w:ascii="Arial" w:hAnsi="Arial" w:cs="Arial"/>
        </w:rPr>
      </w:pPr>
    </w:p>
    <w:p w14:paraId="6B7F57D3" w14:textId="77777777" w:rsidR="005A0609" w:rsidRPr="005A0609" w:rsidRDefault="005A0609" w:rsidP="005A0609">
      <w:pPr>
        <w:pStyle w:val="Body"/>
        <w:rPr>
          <w:rFonts w:ascii="Arial" w:hAnsi="Arial" w:cs="Arial"/>
          <w:b/>
          <w:bCs/>
        </w:rPr>
      </w:pPr>
      <w:r w:rsidRPr="005A0609">
        <w:rPr>
          <w:rFonts w:ascii="Arial" w:hAnsi="Arial" w:cs="Arial"/>
          <w:b/>
          <w:bCs/>
        </w:rPr>
        <w:lastRenderedPageBreak/>
        <w:t xml:space="preserve">Identification Of Mechanical Performance </w:t>
      </w:r>
    </w:p>
    <w:p w14:paraId="0F591C43" w14:textId="61773D7E" w:rsidR="005A0609" w:rsidRPr="005A0609" w:rsidRDefault="005A0609" w:rsidP="00AA4328">
      <w:pPr>
        <w:pStyle w:val="Body"/>
        <w:ind w:firstLine="720"/>
        <w:rPr>
          <w:rFonts w:ascii="Arial" w:hAnsi="Arial" w:cs="Arial"/>
        </w:rPr>
      </w:pPr>
      <w:r w:rsidRPr="005A0609">
        <w:rPr>
          <w:rFonts w:ascii="Arial" w:hAnsi="Arial" w:cs="Arial"/>
        </w:rPr>
        <w:t xml:space="preserve">Mechanical property evaluations, specifically tensile and compressive strength, were conducted on bio-pot samples at two accredited laboratories: the College of Engineering laboratory at Central Mindanao University and Allied Material Testing Laboratories – Malaybalay Branch. Adhering to established sampling and manufacturing protocols, specimens were subjected to rigorous testing procedures to assess their mechanical </w:t>
      </w:r>
      <w:proofErr w:type="spellStart"/>
      <w:r w:rsidRPr="005A0609">
        <w:rPr>
          <w:rFonts w:ascii="Arial" w:hAnsi="Arial" w:cs="Arial"/>
        </w:rPr>
        <w:t>behavio</w:t>
      </w:r>
      <w:r w:rsidR="00951446">
        <w:rPr>
          <w:rFonts w:ascii="Arial" w:hAnsi="Arial" w:cs="Arial"/>
        </w:rPr>
        <w:t>u</w:t>
      </w:r>
      <w:r w:rsidRPr="005A0609">
        <w:rPr>
          <w:rFonts w:ascii="Arial" w:hAnsi="Arial" w:cs="Arial"/>
        </w:rPr>
        <w:t>r</w:t>
      </w:r>
      <w:proofErr w:type="spellEnd"/>
      <w:r w:rsidRPr="005A0609">
        <w:rPr>
          <w:rFonts w:ascii="Arial" w:hAnsi="Arial" w:cs="Arial"/>
        </w:rPr>
        <w:t>. Tensile strength, the maximum amount of tensile stress a product can endure before fracture, was measured on a Universal Testing Machine (UTM).</w:t>
      </w:r>
    </w:p>
    <w:p w14:paraId="0D594604" w14:textId="17D3A089" w:rsidR="005A0609" w:rsidRPr="005A0609" w:rsidRDefault="005A0609" w:rsidP="00AA4328">
      <w:pPr>
        <w:pStyle w:val="Body"/>
        <w:ind w:firstLine="720"/>
        <w:rPr>
          <w:rFonts w:ascii="Arial" w:hAnsi="Arial" w:cs="Arial"/>
        </w:rPr>
      </w:pPr>
      <w:r w:rsidRPr="005A0609">
        <w:rPr>
          <w:rFonts w:ascii="Arial" w:hAnsi="Arial" w:cs="Arial"/>
        </w:rPr>
        <w:t>The Compression Testing Machine (CTM) was used to test compressive strength, which is the ability of a material or structure to withstand loads that try to shrink it. The tests were conducted under conditions that were controlled such that there were correctly prepared samples to ensure the quality and reliability of the ensuing data. These critical strength parameters are essential for informed material selection, optimized design, and effective quality control within the broader context of various engineering applications.</w:t>
      </w:r>
    </w:p>
    <w:p w14:paraId="34DFB4C9" w14:textId="77777777" w:rsidR="005A0609" w:rsidRPr="005A0609" w:rsidRDefault="005A0609" w:rsidP="005A0609">
      <w:pPr>
        <w:pStyle w:val="Body"/>
        <w:rPr>
          <w:rFonts w:ascii="Arial" w:hAnsi="Arial" w:cs="Arial"/>
          <w:b/>
          <w:bCs/>
        </w:rPr>
      </w:pPr>
      <w:r w:rsidRPr="005A0609">
        <w:rPr>
          <w:rFonts w:ascii="Arial" w:hAnsi="Arial" w:cs="Arial"/>
          <w:b/>
          <w:bCs/>
        </w:rPr>
        <w:t>Sample Collection and Preparation</w:t>
      </w:r>
    </w:p>
    <w:p w14:paraId="51841CB5" w14:textId="22DBD554" w:rsidR="005A0609" w:rsidRPr="005A0609" w:rsidRDefault="005A0609" w:rsidP="00AA4328">
      <w:pPr>
        <w:pStyle w:val="Body"/>
        <w:ind w:firstLine="720"/>
        <w:rPr>
          <w:rFonts w:ascii="Arial" w:hAnsi="Arial" w:cs="Arial"/>
        </w:rPr>
      </w:pPr>
      <w:r w:rsidRPr="005A0609">
        <w:rPr>
          <w:rFonts w:ascii="Arial" w:hAnsi="Arial" w:cs="Arial"/>
        </w:rPr>
        <w:t>This study utilized corn cobs (</w:t>
      </w:r>
      <w:proofErr w:type="spellStart"/>
      <w:r w:rsidRPr="005A0609">
        <w:rPr>
          <w:rFonts w:ascii="Arial" w:hAnsi="Arial" w:cs="Arial"/>
        </w:rPr>
        <w:t>Zea</w:t>
      </w:r>
      <w:proofErr w:type="spellEnd"/>
      <w:r w:rsidRPr="005A0609">
        <w:rPr>
          <w:rFonts w:ascii="Arial" w:hAnsi="Arial" w:cs="Arial"/>
        </w:rPr>
        <w:t xml:space="preserve"> mays) collected from </w:t>
      </w:r>
      <w:proofErr w:type="spellStart"/>
      <w:r w:rsidRPr="005A0609">
        <w:rPr>
          <w:rFonts w:ascii="Arial" w:hAnsi="Arial" w:cs="Arial"/>
        </w:rPr>
        <w:t>Cawayan</w:t>
      </w:r>
      <w:proofErr w:type="spellEnd"/>
      <w:r w:rsidRPr="005A0609">
        <w:rPr>
          <w:rFonts w:ascii="Arial" w:hAnsi="Arial" w:cs="Arial"/>
        </w:rPr>
        <w:t xml:space="preserve">, </w:t>
      </w:r>
      <w:proofErr w:type="spellStart"/>
      <w:r w:rsidRPr="005A0609">
        <w:rPr>
          <w:rFonts w:ascii="Arial" w:hAnsi="Arial" w:cs="Arial"/>
        </w:rPr>
        <w:t>Lantapan</w:t>
      </w:r>
      <w:proofErr w:type="spellEnd"/>
      <w:r w:rsidRPr="005A0609">
        <w:rPr>
          <w:rFonts w:ascii="Arial" w:hAnsi="Arial" w:cs="Arial"/>
        </w:rPr>
        <w:t xml:space="preserve">, Bukidnon, and rice hulls (Oryza sativa L.) collected as waste from harvested rice in </w:t>
      </w:r>
      <w:proofErr w:type="spellStart"/>
      <w:r w:rsidRPr="005A0609">
        <w:rPr>
          <w:rFonts w:ascii="Arial" w:hAnsi="Arial" w:cs="Arial"/>
        </w:rPr>
        <w:t>Basakan</w:t>
      </w:r>
      <w:proofErr w:type="spellEnd"/>
      <w:r w:rsidRPr="005A0609">
        <w:rPr>
          <w:rFonts w:ascii="Arial" w:hAnsi="Arial" w:cs="Arial"/>
        </w:rPr>
        <w:t xml:space="preserve"> District, Barangay </w:t>
      </w:r>
      <w:proofErr w:type="spellStart"/>
      <w:r w:rsidRPr="005A0609">
        <w:rPr>
          <w:rFonts w:ascii="Arial" w:hAnsi="Arial" w:cs="Arial"/>
        </w:rPr>
        <w:t>Simaya</w:t>
      </w:r>
      <w:proofErr w:type="spellEnd"/>
      <w:r w:rsidRPr="005A0609">
        <w:rPr>
          <w:rFonts w:ascii="Arial" w:hAnsi="Arial" w:cs="Arial"/>
        </w:rPr>
        <w:t xml:space="preserve">, Malaybalay City, Bukidnon, as the primary materials for producing biodegradable plant pots. Other materials used included cornstarch, white vinegar, water, and various equipment such as a grinding machine, stove, casserole, digital weighing scale, containers, spatulas, measuring </w:t>
      </w:r>
      <w:r w:rsidRPr="00951446">
        <w:rPr>
          <w:rFonts w:ascii="Arial" w:hAnsi="Arial" w:cs="Arial"/>
          <w:highlight w:val="yellow"/>
        </w:rPr>
        <w:t>cups, basin</w:t>
      </w:r>
      <w:r w:rsidR="00951446" w:rsidRPr="00951446">
        <w:rPr>
          <w:rFonts w:ascii="Arial" w:hAnsi="Arial" w:cs="Arial"/>
          <w:highlight w:val="yellow"/>
        </w:rPr>
        <w:t>s</w:t>
      </w:r>
      <w:r w:rsidRPr="00951446">
        <w:rPr>
          <w:rFonts w:ascii="Arial" w:hAnsi="Arial" w:cs="Arial"/>
          <w:highlight w:val="yellow"/>
        </w:rPr>
        <w:t xml:space="preserve">, </w:t>
      </w:r>
      <w:proofErr w:type="spellStart"/>
      <w:r w:rsidRPr="00951446">
        <w:rPr>
          <w:rFonts w:ascii="Arial" w:hAnsi="Arial" w:cs="Arial"/>
          <w:highlight w:val="yellow"/>
        </w:rPr>
        <w:t>mo</w:t>
      </w:r>
      <w:r w:rsidR="00951446" w:rsidRPr="00951446">
        <w:rPr>
          <w:rFonts w:ascii="Arial" w:hAnsi="Arial" w:cs="Arial"/>
          <w:highlight w:val="yellow"/>
        </w:rPr>
        <w:t>u</w:t>
      </w:r>
      <w:r w:rsidRPr="00951446">
        <w:rPr>
          <w:rFonts w:ascii="Arial" w:hAnsi="Arial" w:cs="Arial"/>
          <w:highlight w:val="yellow"/>
        </w:rPr>
        <w:t>lds</w:t>
      </w:r>
      <w:proofErr w:type="spellEnd"/>
      <w:r w:rsidRPr="00951446">
        <w:rPr>
          <w:rFonts w:ascii="Arial" w:hAnsi="Arial" w:cs="Arial"/>
          <w:highlight w:val="yellow"/>
        </w:rPr>
        <w:t>, and surgical gloves</w:t>
      </w:r>
      <w:r w:rsidRPr="005A0609">
        <w:rPr>
          <w:rFonts w:ascii="Arial" w:hAnsi="Arial" w:cs="Arial"/>
        </w:rPr>
        <w:t xml:space="preserve">. The collected corn cobs and rice hulls were sun-dried for 3-5 days before ground using a grinding machine in Valencia City, Bukidnon. An adhesive mixture was prepared by heating 1.5 cups of water to boiling and then adding 2 cups of cornstarch and 50 ml of white vinegar, following the procedure outlined by Minay (2023). This mixture was stirred continuously until a homogenous gel was formed. For each pot, 50 grams of ground corn cob and 50 grams of ground rice hull (1:1 ratio) were mixed with the adhesive. The mixture was then poured into </w:t>
      </w:r>
      <w:proofErr w:type="spellStart"/>
      <w:r w:rsidRPr="005A0609">
        <w:rPr>
          <w:rFonts w:ascii="Arial" w:hAnsi="Arial" w:cs="Arial"/>
        </w:rPr>
        <w:t>mo</w:t>
      </w:r>
      <w:r w:rsidR="00951446">
        <w:rPr>
          <w:rFonts w:ascii="Arial" w:hAnsi="Arial" w:cs="Arial"/>
        </w:rPr>
        <w:t>u</w:t>
      </w:r>
      <w:r w:rsidRPr="005A0609">
        <w:rPr>
          <w:rFonts w:ascii="Arial" w:hAnsi="Arial" w:cs="Arial"/>
        </w:rPr>
        <w:t>lds</w:t>
      </w:r>
      <w:proofErr w:type="spellEnd"/>
      <w:r w:rsidRPr="005A0609">
        <w:rPr>
          <w:rFonts w:ascii="Arial" w:hAnsi="Arial" w:cs="Arial"/>
        </w:rPr>
        <w:t>, removed after setting, and left to air-dry for 2-3 days.</w:t>
      </w:r>
    </w:p>
    <w:p w14:paraId="544E219F" w14:textId="77777777" w:rsidR="005A0609" w:rsidRPr="005A0609" w:rsidRDefault="005A0609" w:rsidP="005A0609">
      <w:pPr>
        <w:pStyle w:val="Body"/>
        <w:rPr>
          <w:rFonts w:ascii="Arial" w:hAnsi="Arial" w:cs="Arial"/>
          <w:b/>
          <w:bCs/>
        </w:rPr>
      </w:pPr>
      <w:r w:rsidRPr="005A0609">
        <w:rPr>
          <w:rFonts w:ascii="Arial" w:hAnsi="Arial" w:cs="Arial"/>
          <w:b/>
          <w:bCs/>
        </w:rPr>
        <w:t>Statistical Analysis</w:t>
      </w:r>
    </w:p>
    <w:p w14:paraId="68C55D03" w14:textId="00496C93" w:rsidR="005A0609" w:rsidRPr="005A0609" w:rsidRDefault="005A0609" w:rsidP="00AA4328">
      <w:pPr>
        <w:pStyle w:val="Body"/>
        <w:ind w:firstLine="720"/>
        <w:rPr>
          <w:rFonts w:ascii="Arial" w:hAnsi="Arial" w:cs="Arial"/>
        </w:rPr>
      </w:pPr>
      <w:r w:rsidRPr="005A0609">
        <w:rPr>
          <w:rFonts w:ascii="Arial" w:hAnsi="Arial" w:cs="Arial"/>
        </w:rPr>
        <w:t xml:space="preserve">A Kruskal-Wallis test was conducted to determine the mechanical strength of the biodegradable pots produced from rice hulls and corn cobs compared to the commercial bio-pot. The test is a non-parametric test applied to compare three or more independent groups whose data do not necessarily have a normal distribution. The test was conducted to determine if there were statistically significant differences in the pot strength. </w:t>
      </w:r>
    </w:p>
    <w:p w14:paraId="768E1CD2" w14:textId="77777777" w:rsidR="005A0609" w:rsidRPr="00AA4328" w:rsidRDefault="005A0609" w:rsidP="005A0609">
      <w:pPr>
        <w:pStyle w:val="Body"/>
        <w:rPr>
          <w:rFonts w:ascii="Arial" w:hAnsi="Arial" w:cs="Arial"/>
          <w:b/>
          <w:bCs/>
        </w:rPr>
      </w:pPr>
      <w:r w:rsidRPr="00AA4328">
        <w:rPr>
          <w:rFonts w:ascii="Arial" w:hAnsi="Arial" w:cs="Arial"/>
          <w:b/>
          <w:bCs/>
        </w:rPr>
        <w:t>Ethical Consideration</w:t>
      </w:r>
    </w:p>
    <w:p w14:paraId="757488D4" w14:textId="255A15EF" w:rsidR="005A0609" w:rsidRPr="005A0609" w:rsidRDefault="005A0609" w:rsidP="00AA4328">
      <w:pPr>
        <w:pStyle w:val="Body"/>
        <w:ind w:firstLine="720"/>
        <w:rPr>
          <w:rFonts w:ascii="Arial" w:hAnsi="Arial" w:cs="Arial"/>
        </w:rPr>
      </w:pPr>
      <w:r w:rsidRPr="005A0609">
        <w:rPr>
          <w:rFonts w:ascii="Arial" w:hAnsi="Arial" w:cs="Arial"/>
        </w:rPr>
        <w:t>This study was conducted with the highest ethical and professional integrity. Researchers maintain data integrity to ensure correct and credible data collection and analysis. This study has rigorous safety protocols to minimize potential risks to researchers. Researchers have no conflict of interest that may bias the research outcome or influence the result of the study. The researchers recognize that they personally and solely bear responsibility for what they do and the conduct of this research, including the application of ethical principles and compliance with all relevant regulations. The institution cannot be held accountable for any action or outcome of this study. This study was conducted with respect to all parties concerned and with responsible and ethical research practices.</w:t>
      </w:r>
    </w:p>
    <w:p w14:paraId="12B22BA6" w14:textId="77777777" w:rsidR="005A0609" w:rsidRPr="00AA4328" w:rsidRDefault="005A0609" w:rsidP="005A0609">
      <w:pPr>
        <w:pStyle w:val="Body"/>
        <w:rPr>
          <w:rFonts w:ascii="Arial" w:hAnsi="Arial" w:cs="Arial"/>
          <w:b/>
          <w:bCs/>
        </w:rPr>
      </w:pPr>
      <w:r w:rsidRPr="00AA4328">
        <w:rPr>
          <w:rFonts w:ascii="Arial" w:hAnsi="Arial" w:cs="Arial"/>
          <w:b/>
          <w:bCs/>
        </w:rPr>
        <w:lastRenderedPageBreak/>
        <w:t xml:space="preserve">Data Documentation </w:t>
      </w:r>
    </w:p>
    <w:p w14:paraId="43F703EA" w14:textId="31630A3C" w:rsidR="00790ADA" w:rsidRDefault="005A0609" w:rsidP="00AA4328">
      <w:pPr>
        <w:pStyle w:val="Body"/>
        <w:rPr>
          <w:rFonts w:ascii="Arial" w:hAnsi="Arial" w:cs="Arial"/>
        </w:rPr>
      </w:pPr>
      <w:r w:rsidRPr="005A0609">
        <w:rPr>
          <w:rFonts w:ascii="Arial" w:hAnsi="Arial" w:cs="Arial"/>
        </w:rPr>
        <w:t>Throughout the research, all procedures and experimentation were meticulously documented. Detailed written records were maintained, and photographs were captured using the researcher's smartphone to provide visual documentation. These measures ensured the accuracy, integrity, and reliability of the data pertaining to the production of biodegradable pots from corn cob and rice hulls. Comprehensive data documentation practices were implemented, encompassing detailed recording of all experimental procedures, observations, and measurements. Photographs were taken throughout the research process, including during the collection of variables, to complement and support the written records.</w:t>
      </w:r>
    </w:p>
    <w:p w14:paraId="3F8C6D33" w14:textId="77777777" w:rsidR="00AA4328" w:rsidRPr="00FB3A86" w:rsidRDefault="00AA4328" w:rsidP="00AA4328">
      <w:pPr>
        <w:pStyle w:val="Body"/>
        <w:rPr>
          <w:rFonts w:ascii="Arial" w:hAnsi="Arial" w:cs="Arial"/>
        </w:rPr>
      </w:pPr>
    </w:p>
    <w:p w14:paraId="765E013F" w14:textId="131AD081"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6BDB198" w14:textId="77777777" w:rsidR="008C7FE9" w:rsidRDefault="008C7FE9" w:rsidP="00441B6F">
      <w:pPr>
        <w:pStyle w:val="Head1"/>
        <w:spacing w:after="0"/>
        <w:jc w:val="both"/>
        <w:rPr>
          <w:rFonts w:ascii="Arial" w:hAnsi="Arial" w:cs="Arial"/>
        </w:rPr>
      </w:pPr>
    </w:p>
    <w:p w14:paraId="0F62B48B" w14:textId="77777777" w:rsidR="00790ADA" w:rsidRPr="00FB3A86" w:rsidRDefault="00790ADA" w:rsidP="00441B6F">
      <w:pPr>
        <w:pStyle w:val="Head1"/>
        <w:spacing w:after="0"/>
        <w:jc w:val="both"/>
        <w:rPr>
          <w:rFonts w:ascii="Arial" w:hAnsi="Arial" w:cs="Arial"/>
        </w:rPr>
      </w:pPr>
    </w:p>
    <w:p w14:paraId="79228393" w14:textId="77777777" w:rsidR="008C7FE9" w:rsidRPr="008C7FE9" w:rsidRDefault="008C7FE9" w:rsidP="008C7FE9">
      <w:pPr>
        <w:pStyle w:val="Body"/>
        <w:jc w:val="center"/>
        <w:rPr>
          <w:rFonts w:ascii="Arial" w:hAnsi="Arial" w:cs="Arial"/>
          <w:i/>
          <w:iCs/>
        </w:rPr>
      </w:pPr>
      <w:r w:rsidRPr="008C7FE9">
        <w:rPr>
          <w:rFonts w:ascii="Arial" w:hAnsi="Arial" w:cs="Arial"/>
          <w:i/>
          <w:iCs/>
        </w:rPr>
        <w:t>Table 1. Results of the Mechanical Property Obtained from the Samples</w:t>
      </w:r>
    </w:p>
    <w:tbl>
      <w:tblPr>
        <w:tblpPr w:leftFromText="180" w:rightFromText="180" w:topFromText="180" w:bottomFromText="180" w:vertAnchor="text"/>
        <w:tblW w:w="8240" w:type="dxa"/>
        <w:tblLayout w:type="fixed"/>
        <w:tblLook w:val="0400" w:firstRow="0" w:lastRow="0" w:firstColumn="0" w:lastColumn="0" w:noHBand="0" w:noVBand="1"/>
      </w:tblPr>
      <w:tblGrid>
        <w:gridCol w:w="2035"/>
        <w:gridCol w:w="2047"/>
        <w:gridCol w:w="2022"/>
        <w:gridCol w:w="2136"/>
      </w:tblGrid>
      <w:tr w:rsidR="008C7FE9" w14:paraId="565DB110" w14:textId="77777777" w:rsidTr="00FC15A1">
        <w:trPr>
          <w:trHeight w:val="558"/>
        </w:trPr>
        <w:tc>
          <w:tcPr>
            <w:tcW w:w="2035" w:type="dxa"/>
            <w:tcBorders>
              <w:top w:val="single" w:sz="4" w:space="0" w:color="000000"/>
              <w:bottom w:val="single" w:sz="4" w:space="0" w:color="000000"/>
            </w:tcBorders>
            <w:tcMar>
              <w:top w:w="0" w:type="dxa"/>
              <w:left w:w="115" w:type="dxa"/>
              <w:bottom w:w="0" w:type="dxa"/>
              <w:right w:w="115" w:type="dxa"/>
            </w:tcMar>
            <w:vAlign w:val="center"/>
          </w:tcPr>
          <w:p w14:paraId="1CD1CB7B" w14:textId="77777777" w:rsidR="008C7FE9" w:rsidRPr="008C7FE9" w:rsidRDefault="008C7FE9" w:rsidP="00FC15A1">
            <w:pPr>
              <w:jc w:val="center"/>
              <w:rPr>
                <w:rFonts w:ascii="Arial" w:hAnsi="Arial" w:cs="Arial"/>
                <w:b/>
                <w:bCs/>
                <w:i/>
                <w:highlight w:val="white"/>
              </w:rPr>
            </w:pPr>
            <w:r w:rsidRPr="008C7FE9">
              <w:rPr>
                <w:rFonts w:ascii="Arial" w:hAnsi="Arial" w:cs="Arial"/>
                <w:b/>
                <w:bCs/>
                <w:i/>
                <w:highlight w:val="white"/>
              </w:rPr>
              <w:t>Property</w:t>
            </w:r>
          </w:p>
        </w:tc>
        <w:tc>
          <w:tcPr>
            <w:tcW w:w="2047" w:type="dxa"/>
            <w:tcBorders>
              <w:top w:val="single" w:sz="4" w:space="0" w:color="000000"/>
              <w:bottom w:val="single" w:sz="4" w:space="0" w:color="000000"/>
            </w:tcBorders>
            <w:tcMar>
              <w:top w:w="0" w:type="dxa"/>
              <w:left w:w="115" w:type="dxa"/>
              <w:bottom w:w="0" w:type="dxa"/>
              <w:right w:w="115" w:type="dxa"/>
            </w:tcMar>
            <w:vAlign w:val="center"/>
          </w:tcPr>
          <w:p w14:paraId="0ECEBF02" w14:textId="74BB106E" w:rsidR="008C7FE9" w:rsidRPr="008C7FE9" w:rsidRDefault="008C7FE9" w:rsidP="00FC15A1">
            <w:pPr>
              <w:jc w:val="center"/>
              <w:rPr>
                <w:rFonts w:ascii="Arial" w:hAnsi="Arial" w:cs="Arial"/>
                <w:b/>
                <w:bCs/>
                <w:sz w:val="16"/>
                <w:szCs w:val="16"/>
              </w:rPr>
            </w:pPr>
            <w:r>
              <w:rPr>
                <w:rFonts w:ascii="Arial" w:hAnsi="Arial" w:cs="Arial"/>
                <w:b/>
                <w:bCs/>
                <w:sz w:val="16"/>
                <w:szCs w:val="16"/>
              </w:rPr>
              <w:t xml:space="preserve"> </w:t>
            </w:r>
            <w:r w:rsidRPr="008C7FE9">
              <w:rPr>
                <w:rFonts w:ascii="Arial" w:hAnsi="Arial" w:cs="Arial"/>
                <w:b/>
                <w:bCs/>
                <w:sz w:val="16"/>
                <w:szCs w:val="16"/>
              </w:rPr>
              <w:t>Tensile Strength</w:t>
            </w:r>
          </w:p>
          <w:p w14:paraId="2C825FAF" w14:textId="77777777" w:rsidR="008C7FE9" w:rsidRPr="008C7FE9" w:rsidRDefault="008C7FE9" w:rsidP="00FC15A1">
            <w:pPr>
              <w:jc w:val="center"/>
              <w:rPr>
                <w:rFonts w:ascii="Arial" w:hAnsi="Arial" w:cs="Arial"/>
                <w:b/>
                <w:bCs/>
                <w:sz w:val="16"/>
                <w:szCs w:val="16"/>
                <w:highlight w:val="red"/>
              </w:rPr>
            </w:pPr>
            <w:r w:rsidRPr="008C7FE9">
              <w:rPr>
                <w:rFonts w:ascii="Arial" w:hAnsi="Arial" w:cs="Arial"/>
                <w:b/>
                <w:bCs/>
                <w:sz w:val="16"/>
                <w:szCs w:val="16"/>
                <w:highlight w:val="white"/>
              </w:rPr>
              <w:t>(MPa)</w:t>
            </w:r>
          </w:p>
        </w:tc>
        <w:tc>
          <w:tcPr>
            <w:tcW w:w="2022" w:type="dxa"/>
            <w:tcBorders>
              <w:top w:val="single" w:sz="4" w:space="0" w:color="000000"/>
              <w:bottom w:val="single" w:sz="4" w:space="0" w:color="000000"/>
            </w:tcBorders>
            <w:tcMar>
              <w:top w:w="0" w:type="dxa"/>
              <w:left w:w="115" w:type="dxa"/>
              <w:bottom w:w="0" w:type="dxa"/>
              <w:right w:w="115" w:type="dxa"/>
            </w:tcMar>
            <w:vAlign w:val="center"/>
          </w:tcPr>
          <w:p w14:paraId="545063D7" w14:textId="76E87794" w:rsidR="008C7FE9" w:rsidRPr="008C7FE9" w:rsidRDefault="008C7FE9" w:rsidP="00FC15A1">
            <w:pPr>
              <w:rPr>
                <w:rFonts w:ascii="Arial" w:hAnsi="Arial" w:cs="Arial"/>
                <w:b/>
                <w:bCs/>
                <w:sz w:val="16"/>
                <w:szCs w:val="16"/>
              </w:rPr>
            </w:pPr>
            <w:r w:rsidRPr="008C7FE9">
              <w:rPr>
                <w:rFonts w:ascii="Arial" w:hAnsi="Arial" w:cs="Arial"/>
                <w:b/>
                <w:bCs/>
                <w:sz w:val="16"/>
                <w:szCs w:val="16"/>
              </w:rPr>
              <w:t>Compressive Strength</w:t>
            </w:r>
          </w:p>
          <w:p w14:paraId="2B131216" w14:textId="77777777" w:rsidR="008C7FE9" w:rsidRPr="008C7FE9" w:rsidRDefault="008C7FE9" w:rsidP="00FC15A1">
            <w:pPr>
              <w:jc w:val="center"/>
              <w:rPr>
                <w:rFonts w:ascii="Arial" w:hAnsi="Arial" w:cs="Arial"/>
                <w:b/>
                <w:bCs/>
                <w:sz w:val="16"/>
                <w:szCs w:val="16"/>
                <w:highlight w:val="red"/>
              </w:rPr>
            </w:pPr>
            <w:r w:rsidRPr="008C7FE9">
              <w:rPr>
                <w:rFonts w:ascii="Arial" w:hAnsi="Arial" w:cs="Arial"/>
                <w:b/>
                <w:bCs/>
                <w:sz w:val="16"/>
                <w:szCs w:val="16"/>
                <w:highlight w:val="white"/>
              </w:rPr>
              <w:t>(MPa)</w:t>
            </w:r>
          </w:p>
        </w:tc>
        <w:tc>
          <w:tcPr>
            <w:tcW w:w="2136" w:type="dxa"/>
            <w:tcBorders>
              <w:top w:val="single" w:sz="4" w:space="0" w:color="000000"/>
              <w:bottom w:val="single" w:sz="4" w:space="0" w:color="000000"/>
            </w:tcBorders>
            <w:tcMar>
              <w:top w:w="0" w:type="dxa"/>
              <w:left w:w="115" w:type="dxa"/>
              <w:bottom w:w="0" w:type="dxa"/>
              <w:right w:w="115" w:type="dxa"/>
            </w:tcMar>
            <w:vAlign w:val="center"/>
          </w:tcPr>
          <w:p w14:paraId="4BE0BC79" w14:textId="364F7AFB" w:rsidR="008C7FE9" w:rsidRPr="008C7FE9" w:rsidRDefault="008C7FE9" w:rsidP="00FC15A1">
            <w:pPr>
              <w:jc w:val="center"/>
              <w:rPr>
                <w:rFonts w:ascii="Arial" w:hAnsi="Arial" w:cs="Arial"/>
                <w:b/>
                <w:bCs/>
                <w:sz w:val="16"/>
                <w:szCs w:val="16"/>
              </w:rPr>
            </w:pPr>
          </w:p>
          <w:p w14:paraId="5118BC26" w14:textId="77777777" w:rsidR="008C7FE9" w:rsidRDefault="008C7FE9" w:rsidP="00FC15A1">
            <w:pPr>
              <w:jc w:val="center"/>
              <w:rPr>
                <w:rFonts w:ascii="Arial" w:hAnsi="Arial" w:cs="Arial"/>
                <w:b/>
                <w:bCs/>
                <w:sz w:val="16"/>
                <w:szCs w:val="16"/>
              </w:rPr>
            </w:pPr>
          </w:p>
          <w:p w14:paraId="2146C235" w14:textId="1687E6F9" w:rsidR="008C7FE9" w:rsidRPr="008C7FE9" w:rsidRDefault="008C7FE9" w:rsidP="00FC15A1">
            <w:pPr>
              <w:rPr>
                <w:rFonts w:ascii="Arial" w:hAnsi="Arial" w:cs="Arial"/>
                <w:b/>
                <w:bCs/>
                <w:sz w:val="16"/>
                <w:szCs w:val="16"/>
              </w:rPr>
            </w:pPr>
            <w:r w:rsidRPr="008C7FE9">
              <w:rPr>
                <w:rFonts w:ascii="Arial" w:hAnsi="Arial" w:cs="Arial"/>
                <w:b/>
                <w:bCs/>
                <w:sz w:val="16"/>
                <w:szCs w:val="16"/>
              </w:rPr>
              <w:t xml:space="preserve">Compressive Strength </w:t>
            </w:r>
          </w:p>
          <w:p w14:paraId="15A9ADD0" w14:textId="51F0E324" w:rsidR="008C7FE9" w:rsidRPr="008C7FE9" w:rsidRDefault="008C7FE9" w:rsidP="00FC15A1">
            <w:pPr>
              <w:jc w:val="center"/>
              <w:rPr>
                <w:rFonts w:ascii="Arial" w:hAnsi="Arial" w:cs="Arial"/>
                <w:b/>
                <w:bCs/>
                <w:i/>
                <w:sz w:val="16"/>
                <w:szCs w:val="16"/>
              </w:rPr>
            </w:pPr>
            <w:r w:rsidRPr="008C7FE9">
              <w:rPr>
                <w:rFonts w:ascii="Arial" w:hAnsi="Arial" w:cs="Arial"/>
                <w:b/>
                <w:bCs/>
                <w:i/>
                <w:sz w:val="16"/>
                <w:szCs w:val="16"/>
              </w:rPr>
              <w:t>(Peak Force)</w:t>
            </w:r>
          </w:p>
          <w:p w14:paraId="4D6ED4AA" w14:textId="77777777" w:rsidR="008C7FE9" w:rsidRDefault="008C7FE9" w:rsidP="00FC15A1">
            <w:pPr>
              <w:jc w:val="center"/>
              <w:rPr>
                <w:rFonts w:ascii="Arial" w:hAnsi="Arial" w:cs="Arial"/>
                <w:b/>
                <w:bCs/>
                <w:sz w:val="16"/>
                <w:szCs w:val="16"/>
                <w:highlight w:val="white"/>
              </w:rPr>
            </w:pPr>
            <w:r w:rsidRPr="008C7FE9">
              <w:rPr>
                <w:rFonts w:ascii="Arial" w:hAnsi="Arial" w:cs="Arial"/>
                <w:b/>
                <w:bCs/>
                <w:sz w:val="16"/>
                <w:szCs w:val="16"/>
                <w:highlight w:val="white"/>
              </w:rPr>
              <w:t>(N)</w:t>
            </w:r>
          </w:p>
          <w:p w14:paraId="297DB38B" w14:textId="57D97BCA" w:rsidR="00FC15A1" w:rsidRPr="008C7FE9" w:rsidRDefault="00FC15A1" w:rsidP="00FC15A1">
            <w:pPr>
              <w:jc w:val="center"/>
              <w:rPr>
                <w:rFonts w:ascii="Arial" w:hAnsi="Arial" w:cs="Arial"/>
                <w:b/>
                <w:bCs/>
                <w:sz w:val="16"/>
                <w:szCs w:val="16"/>
                <w:highlight w:val="red"/>
              </w:rPr>
            </w:pPr>
          </w:p>
        </w:tc>
      </w:tr>
      <w:tr w:rsidR="008C7FE9" w14:paraId="1AF7181B" w14:textId="77777777" w:rsidTr="008C7FE9">
        <w:trPr>
          <w:trHeight w:val="591"/>
        </w:trPr>
        <w:tc>
          <w:tcPr>
            <w:tcW w:w="2035" w:type="dxa"/>
            <w:tcBorders>
              <w:top w:val="single" w:sz="4" w:space="0" w:color="000000"/>
              <w:bottom w:val="single" w:sz="4" w:space="0" w:color="000000"/>
            </w:tcBorders>
            <w:tcMar>
              <w:top w:w="0" w:type="dxa"/>
              <w:left w:w="115" w:type="dxa"/>
              <w:bottom w:w="0" w:type="dxa"/>
              <w:right w:w="115" w:type="dxa"/>
            </w:tcMar>
            <w:vAlign w:val="center"/>
          </w:tcPr>
          <w:p w14:paraId="635E9D49" w14:textId="77777777" w:rsidR="008C7FE9" w:rsidRPr="008C7FE9" w:rsidRDefault="008C7FE9" w:rsidP="00FC15A1">
            <w:pPr>
              <w:widowControl w:val="0"/>
              <w:rPr>
                <w:rFonts w:ascii="Arial" w:hAnsi="Arial" w:cs="Arial"/>
                <w:i/>
                <w:highlight w:val="red"/>
              </w:rPr>
            </w:pPr>
            <w:r w:rsidRPr="008C7FE9">
              <w:rPr>
                <w:rFonts w:ascii="Arial" w:hAnsi="Arial" w:cs="Arial"/>
              </w:rPr>
              <w:t xml:space="preserve">Alternative </w:t>
            </w:r>
            <w:proofErr w:type="spellStart"/>
            <w:r w:rsidRPr="008C7FE9">
              <w:rPr>
                <w:rFonts w:ascii="Arial" w:hAnsi="Arial" w:cs="Arial"/>
              </w:rPr>
              <w:t>Biopots</w:t>
            </w:r>
            <w:proofErr w:type="spellEnd"/>
          </w:p>
        </w:tc>
        <w:tc>
          <w:tcPr>
            <w:tcW w:w="2047" w:type="dxa"/>
            <w:tcBorders>
              <w:top w:val="single" w:sz="4" w:space="0" w:color="000000"/>
              <w:bottom w:val="single" w:sz="4" w:space="0" w:color="000000"/>
            </w:tcBorders>
            <w:tcMar>
              <w:top w:w="0" w:type="dxa"/>
              <w:left w:w="115" w:type="dxa"/>
              <w:bottom w:w="0" w:type="dxa"/>
              <w:right w:w="115" w:type="dxa"/>
            </w:tcMar>
            <w:vAlign w:val="center"/>
          </w:tcPr>
          <w:p w14:paraId="3FC4D7A1" w14:textId="77777777" w:rsidR="008C7FE9" w:rsidRPr="008C7FE9" w:rsidRDefault="008C7FE9" w:rsidP="00FC15A1">
            <w:pPr>
              <w:widowControl w:val="0"/>
              <w:jc w:val="center"/>
              <w:rPr>
                <w:rFonts w:ascii="Arial" w:hAnsi="Arial" w:cs="Arial"/>
                <w:highlight w:val="red"/>
              </w:rPr>
            </w:pPr>
            <w:r w:rsidRPr="008C7FE9">
              <w:rPr>
                <w:rFonts w:ascii="Arial" w:hAnsi="Arial" w:cs="Arial"/>
                <w:highlight w:val="white"/>
              </w:rPr>
              <w:t>0.2</w:t>
            </w:r>
          </w:p>
        </w:tc>
        <w:tc>
          <w:tcPr>
            <w:tcW w:w="2022" w:type="dxa"/>
            <w:tcBorders>
              <w:top w:val="single" w:sz="4" w:space="0" w:color="000000"/>
              <w:bottom w:val="single" w:sz="4" w:space="0" w:color="000000"/>
            </w:tcBorders>
            <w:tcMar>
              <w:top w:w="0" w:type="dxa"/>
              <w:left w:w="115" w:type="dxa"/>
              <w:bottom w:w="0" w:type="dxa"/>
              <w:right w:w="115" w:type="dxa"/>
            </w:tcMar>
            <w:vAlign w:val="center"/>
          </w:tcPr>
          <w:p w14:paraId="7D911AB8" w14:textId="77777777" w:rsidR="008C7FE9" w:rsidRPr="008C7FE9" w:rsidRDefault="008C7FE9" w:rsidP="00FC15A1">
            <w:pPr>
              <w:widowControl w:val="0"/>
              <w:jc w:val="center"/>
              <w:rPr>
                <w:rFonts w:ascii="Arial" w:hAnsi="Arial" w:cs="Arial"/>
                <w:highlight w:val="red"/>
              </w:rPr>
            </w:pPr>
            <w:r w:rsidRPr="008C7FE9">
              <w:rPr>
                <w:rFonts w:ascii="Arial" w:hAnsi="Arial" w:cs="Arial"/>
                <w:highlight w:val="white"/>
              </w:rPr>
              <w:t>0. 4</w:t>
            </w:r>
          </w:p>
        </w:tc>
        <w:tc>
          <w:tcPr>
            <w:tcW w:w="2136" w:type="dxa"/>
            <w:tcBorders>
              <w:top w:val="single" w:sz="4" w:space="0" w:color="000000"/>
              <w:bottom w:val="single" w:sz="4" w:space="0" w:color="000000"/>
            </w:tcBorders>
            <w:tcMar>
              <w:top w:w="0" w:type="dxa"/>
              <w:left w:w="115" w:type="dxa"/>
              <w:bottom w:w="0" w:type="dxa"/>
              <w:right w:w="115" w:type="dxa"/>
            </w:tcMar>
            <w:vAlign w:val="center"/>
          </w:tcPr>
          <w:p w14:paraId="42BAFFE0" w14:textId="77777777" w:rsidR="008C7FE9" w:rsidRPr="008C7FE9" w:rsidRDefault="008C7FE9" w:rsidP="00FC15A1">
            <w:pPr>
              <w:widowControl w:val="0"/>
              <w:jc w:val="center"/>
              <w:rPr>
                <w:rFonts w:ascii="Arial" w:hAnsi="Arial" w:cs="Arial"/>
                <w:highlight w:val="red"/>
              </w:rPr>
            </w:pPr>
            <w:r w:rsidRPr="008C7FE9">
              <w:rPr>
                <w:rFonts w:ascii="Arial" w:hAnsi="Arial" w:cs="Arial"/>
                <w:highlight w:val="white"/>
              </w:rPr>
              <w:t>2021.5</w:t>
            </w:r>
          </w:p>
        </w:tc>
      </w:tr>
      <w:tr w:rsidR="008C7FE9" w14:paraId="37A10193" w14:textId="77777777" w:rsidTr="008C7FE9">
        <w:trPr>
          <w:trHeight w:val="448"/>
        </w:trPr>
        <w:tc>
          <w:tcPr>
            <w:tcW w:w="2035" w:type="dxa"/>
            <w:tcBorders>
              <w:top w:val="single" w:sz="4" w:space="0" w:color="000000"/>
              <w:bottom w:val="single" w:sz="4" w:space="0" w:color="000000"/>
            </w:tcBorders>
            <w:tcMar>
              <w:top w:w="0" w:type="dxa"/>
              <w:left w:w="115" w:type="dxa"/>
              <w:bottom w:w="0" w:type="dxa"/>
              <w:right w:w="115" w:type="dxa"/>
            </w:tcMar>
            <w:vAlign w:val="center"/>
          </w:tcPr>
          <w:p w14:paraId="14649496" w14:textId="77777777" w:rsidR="008C7FE9" w:rsidRPr="008C7FE9" w:rsidRDefault="008C7FE9" w:rsidP="00FC15A1">
            <w:pPr>
              <w:widowControl w:val="0"/>
              <w:rPr>
                <w:rFonts w:ascii="Arial" w:hAnsi="Arial" w:cs="Arial"/>
                <w:i/>
                <w:highlight w:val="red"/>
              </w:rPr>
            </w:pPr>
            <w:r w:rsidRPr="008C7FE9">
              <w:rPr>
                <w:rFonts w:ascii="Arial" w:hAnsi="Arial" w:cs="Arial"/>
              </w:rPr>
              <w:t>Commercial Pots</w:t>
            </w:r>
          </w:p>
        </w:tc>
        <w:tc>
          <w:tcPr>
            <w:tcW w:w="2047" w:type="dxa"/>
            <w:tcBorders>
              <w:top w:val="single" w:sz="4" w:space="0" w:color="000000"/>
              <w:bottom w:val="single" w:sz="4" w:space="0" w:color="000000"/>
            </w:tcBorders>
            <w:tcMar>
              <w:top w:w="0" w:type="dxa"/>
              <w:left w:w="115" w:type="dxa"/>
              <w:bottom w:w="0" w:type="dxa"/>
              <w:right w:w="115" w:type="dxa"/>
            </w:tcMar>
            <w:vAlign w:val="center"/>
          </w:tcPr>
          <w:p w14:paraId="71A4EA9F" w14:textId="77777777" w:rsidR="008C7FE9" w:rsidRPr="008C7FE9" w:rsidRDefault="008C7FE9" w:rsidP="00FC15A1">
            <w:pPr>
              <w:widowControl w:val="0"/>
              <w:jc w:val="center"/>
              <w:rPr>
                <w:rFonts w:ascii="Arial" w:hAnsi="Arial" w:cs="Arial"/>
              </w:rPr>
            </w:pPr>
            <w:r w:rsidRPr="008C7FE9">
              <w:rPr>
                <w:rFonts w:ascii="Arial" w:hAnsi="Arial" w:cs="Arial"/>
              </w:rPr>
              <w:t xml:space="preserve">61 </w:t>
            </w:r>
          </w:p>
        </w:tc>
        <w:tc>
          <w:tcPr>
            <w:tcW w:w="2022" w:type="dxa"/>
            <w:tcBorders>
              <w:top w:val="single" w:sz="4" w:space="0" w:color="000000"/>
              <w:bottom w:val="single" w:sz="4" w:space="0" w:color="000000"/>
            </w:tcBorders>
            <w:tcMar>
              <w:top w:w="0" w:type="dxa"/>
              <w:left w:w="115" w:type="dxa"/>
              <w:bottom w:w="0" w:type="dxa"/>
              <w:right w:w="115" w:type="dxa"/>
            </w:tcMar>
            <w:vAlign w:val="center"/>
          </w:tcPr>
          <w:p w14:paraId="5EC9D570" w14:textId="77777777" w:rsidR="008C7FE9" w:rsidRPr="008C7FE9" w:rsidRDefault="008C7FE9" w:rsidP="00FC15A1">
            <w:pPr>
              <w:widowControl w:val="0"/>
              <w:jc w:val="center"/>
              <w:rPr>
                <w:rFonts w:ascii="Arial" w:hAnsi="Arial" w:cs="Arial"/>
              </w:rPr>
            </w:pPr>
            <w:r w:rsidRPr="008C7FE9">
              <w:rPr>
                <w:rFonts w:ascii="Arial" w:hAnsi="Arial" w:cs="Arial"/>
              </w:rPr>
              <w:t>6.3</w:t>
            </w:r>
          </w:p>
        </w:tc>
        <w:tc>
          <w:tcPr>
            <w:tcW w:w="2136" w:type="dxa"/>
            <w:tcBorders>
              <w:top w:val="single" w:sz="4" w:space="0" w:color="000000"/>
              <w:bottom w:val="single" w:sz="4" w:space="0" w:color="000000"/>
            </w:tcBorders>
            <w:tcMar>
              <w:top w:w="0" w:type="dxa"/>
              <w:left w:w="115" w:type="dxa"/>
              <w:bottom w:w="0" w:type="dxa"/>
              <w:right w:w="115" w:type="dxa"/>
            </w:tcMar>
            <w:vAlign w:val="center"/>
          </w:tcPr>
          <w:p w14:paraId="000E1750" w14:textId="77777777" w:rsidR="008C7FE9" w:rsidRPr="008C7FE9" w:rsidRDefault="008C7FE9" w:rsidP="00FC15A1">
            <w:pPr>
              <w:widowControl w:val="0"/>
              <w:jc w:val="center"/>
              <w:rPr>
                <w:rFonts w:ascii="Arial" w:hAnsi="Arial" w:cs="Arial"/>
              </w:rPr>
            </w:pPr>
            <w:r w:rsidRPr="008C7FE9">
              <w:rPr>
                <w:rFonts w:ascii="Arial" w:hAnsi="Arial" w:cs="Arial"/>
              </w:rPr>
              <w:t xml:space="preserve"> 644.8</w:t>
            </w:r>
          </w:p>
        </w:tc>
      </w:tr>
    </w:tbl>
    <w:p w14:paraId="1145DA70" w14:textId="77777777" w:rsidR="008C7FE9" w:rsidRDefault="008C7FE9" w:rsidP="008C7FE9">
      <w:pPr>
        <w:pStyle w:val="Body"/>
        <w:rPr>
          <w:rFonts w:ascii="Arial" w:hAnsi="Arial" w:cs="Arial"/>
        </w:rPr>
      </w:pPr>
    </w:p>
    <w:p w14:paraId="0926C3AF" w14:textId="04677D7D" w:rsidR="008C7FE9" w:rsidRPr="008C7FE9" w:rsidRDefault="008C7FE9" w:rsidP="008C7FE9">
      <w:pPr>
        <w:pStyle w:val="Body"/>
        <w:ind w:firstLine="720"/>
        <w:rPr>
          <w:rFonts w:ascii="Arial" w:hAnsi="Arial" w:cs="Arial"/>
        </w:rPr>
      </w:pPr>
      <w:r w:rsidRPr="008C7FE9">
        <w:rPr>
          <w:rFonts w:ascii="Arial" w:hAnsi="Arial" w:cs="Arial"/>
        </w:rPr>
        <w:t xml:space="preserve">Table 1 presents the mechanical performance results of biodegradable pots produced from corn cob and rice hulls, compared to commercial biodegradable pots. Three biodegradable pot samples with a 1:1 ratio of corn cob and rice hulls were subjected to tensile and compressive strength tests. </w:t>
      </w:r>
    </w:p>
    <w:p w14:paraId="2F2DBFEE" w14:textId="41B23E7F" w:rsidR="008C7FE9" w:rsidRPr="008C7FE9" w:rsidRDefault="008C7FE9" w:rsidP="008C7FE9">
      <w:pPr>
        <w:pStyle w:val="Body"/>
        <w:ind w:firstLine="720"/>
        <w:rPr>
          <w:rFonts w:ascii="Arial" w:hAnsi="Arial" w:cs="Arial"/>
        </w:rPr>
      </w:pPr>
      <w:r w:rsidRPr="008C7FE9">
        <w:rPr>
          <w:rFonts w:ascii="Arial" w:hAnsi="Arial" w:cs="Arial"/>
        </w:rPr>
        <w:t>Tensile strength is the maximum tensile stress a material can withstand before failure. In simpler terms, it's the resistance of a material to breaking under tension (</w:t>
      </w:r>
      <w:proofErr w:type="spellStart"/>
      <w:r w:rsidRPr="008C7FE9">
        <w:rPr>
          <w:rFonts w:ascii="Arial" w:hAnsi="Arial" w:cs="Arial"/>
        </w:rPr>
        <w:t>Otutu</w:t>
      </w:r>
      <w:proofErr w:type="spellEnd"/>
      <w:r w:rsidRPr="008C7FE9">
        <w:rPr>
          <w:rFonts w:ascii="Arial" w:hAnsi="Arial" w:cs="Arial"/>
        </w:rPr>
        <w:t>, 2020). In this study, the tensile strength results revealed an inverse relationship between thickness and strength. The thinnest sample exhibited the highest tensile strength (0.3 MPa), peak force (68.2 N), and deformation (5.8 mm)</w:t>
      </w:r>
      <w:r w:rsidR="004907AA" w:rsidRPr="004907AA">
        <w:rPr>
          <w:rFonts w:ascii="Arial" w:hAnsi="Arial" w:cs="Arial"/>
        </w:rPr>
        <w:t>. Conversely, the thickest sample demonstrated the lowest strength and peak force. This aligns with the study of Iannucci et al. (2018) which reveals a clear inverse relationship between specimen thickness and tensile strength, with thicker samples significantly exhibiting reduced tensile strength. This phenomenon is attributed to structural and manufacturing factors.</w:t>
      </w:r>
      <w:r w:rsidR="004907AA">
        <w:rPr>
          <w:rFonts w:ascii="Arial" w:hAnsi="Arial" w:cs="Arial"/>
        </w:rPr>
        <w:t xml:space="preserve"> However, w</w:t>
      </w:r>
      <w:r w:rsidR="004907AA" w:rsidRPr="004907AA">
        <w:rPr>
          <w:rFonts w:ascii="Arial" w:hAnsi="Arial" w:cs="Arial"/>
        </w:rPr>
        <w:t xml:space="preserve">hile sample thickness can influence tensile strength and compressive strength, it is primarily determined by the constituent materials and the </w:t>
      </w:r>
      <w:proofErr w:type="spellStart"/>
      <w:r w:rsidR="004907AA" w:rsidRPr="004907AA">
        <w:rPr>
          <w:rFonts w:ascii="Arial" w:hAnsi="Arial" w:cs="Arial"/>
        </w:rPr>
        <w:t>moulding</w:t>
      </w:r>
      <w:proofErr w:type="spellEnd"/>
      <w:r w:rsidR="004907AA" w:rsidRPr="004907AA">
        <w:rPr>
          <w:rFonts w:ascii="Arial" w:hAnsi="Arial" w:cs="Arial"/>
        </w:rPr>
        <w:t xml:space="preserve"> temperature</w:t>
      </w:r>
      <w:r w:rsidRPr="008C7FE9">
        <w:rPr>
          <w:rFonts w:ascii="Arial" w:hAnsi="Arial" w:cs="Arial"/>
        </w:rPr>
        <w:t xml:space="preserve">. Acknowledging that thickness is not the sole determinant of tensile strength is crucial. This is supported by the study of (Zhao &amp; Liu, 2018), which states that the material composition significantly impacts mechanical properties. Furthermore, the average tensile strength of the biodegradable pots (0.2 MPa) was lower than that of the commercial biodegradable pots (61 MPa). This finding is consistent with the study by Castro et al. (2022), which reported tensile strengths ranging from (0.0024 MPa) to (0.00526 MPa) for biodegradable pots produced from Apple Pomace (Malus domestica), Banana Peel (Musa </w:t>
      </w:r>
      <w:proofErr w:type="spellStart"/>
      <w:r w:rsidRPr="008C7FE9">
        <w:rPr>
          <w:rFonts w:ascii="Arial" w:hAnsi="Arial" w:cs="Arial"/>
        </w:rPr>
        <w:lastRenderedPageBreak/>
        <w:t>acuminata</w:t>
      </w:r>
      <w:proofErr w:type="spellEnd"/>
      <w:r w:rsidRPr="00951446">
        <w:rPr>
          <w:rFonts w:ascii="Arial" w:hAnsi="Arial" w:cs="Arial"/>
          <w:highlight w:val="yellow"/>
        </w:rPr>
        <w:t xml:space="preserve">), Coconut </w:t>
      </w:r>
      <w:proofErr w:type="spellStart"/>
      <w:r w:rsidR="00951446" w:rsidRPr="00951446">
        <w:rPr>
          <w:rFonts w:ascii="Arial" w:hAnsi="Arial" w:cs="Arial"/>
          <w:highlight w:val="yellow"/>
        </w:rPr>
        <w:t>fibre</w:t>
      </w:r>
      <w:proofErr w:type="spellEnd"/>
      <w:r w:rsidR="00951446" w:rsidRPr="00951446">
        <w:rPr>
          <w:rFonts w:ascii="Arial" w:hAnsi="Arial" w:cs="Arial"/>
          <w:highlight w:val="yellow"/>
        </w:rPr>
        <w:t xml:space="preserve"> </w:t>
      </w:r>
      <w:r w:rsidRPr="00951446">
        <w:rPr>
          <w:rFonts w:ascii="Arial" w:hAnsi="Arial" w:cs="Arial"/>
          <w:highlight w:val="yellow"/>
        </w:rPr>
        <w:t>(Coco</w:t>
      </w:r>
      <w:r w:rsidRPr="008C7FE9">
        <w:rPr>
          <w:rFonts w:ascii="Arial" w:hAnsi="Arial" w:cs="Arial"/>
        </w:rPr>
        <w:t>s nucifera), all of which were lower than commercially available options.</w:t>
      </w:r>
    </w:p>
    <w:p w14:paraId="62245304" w14:textId="368DE2D8" w:rsidR="008C7FE9" w:rsidRPr="008C7FE9" w:rsidRDefault="008C7FE9" w:rsidP="004907AA">
      <w:pPr>
        <w:pStyle w:val="Body"/>
        <w:ind w:firstLine="720"/>
        <w:rPr>
          <w:rFonts w:ascii="Arial" w:hAnsi="Arial" w:cs="Arial"/>
        </w:rPr>
      </w:pPr>
      <w:r w:rsidRPr="008C7FE9">
        <w:rPr>
          <w:rFonts w:ascii="Arial" w:hAnsi="Arial" w:cs="Arial"/>
        </w:rPr>
        <w:t xml:space="preserve">Compressive strength or compression strength is the capacity of a material or </w:t>
      </w:r>
      <w:r w:rsidR="004907AA" w:rsidRPr="004907AA">
        <w:rPr>
          <w:rFonts w:ascii="Arial" w:hAnsi="Arial" w:cs="Arial"/>
        </w:rPr>
        <w:t>Compressive strength or compression strength is the capacity of a material or structure to withstand loads (</w:t>
      </w:r>
      <w:proofErr w:type="spellStart"/>
      <w:r w:rsidR="004907AA" w:rsidRPr="004907AA">
        <w:rPr>
          <w:rFonts w:ascii="Arial" w:hAnsi="Arial" w:cs="Arial"/>
        </w:rPr>
        <w:t>Sabhadiya</w:t>
      </w:r>
      <w:proofErr w:type="spellEnd"/>
      <w:r w:rsidR="004907AA" w:rsidRPr="004907AA">
        <w:rPr>
          <w:rFonts w:ascii="Arial" w:hAnsi="Arial" w:cs="Arial"/>
        </w:rPr>
        <w:t xml:space="preserve">, 2024). The compressive strength test results indicated significant variations in the performance of the three tested samples, with Sample 1 exhibiting the lowest peak force (1213.8 N) and compressive strength (0.2 MPa), while Sample 2 demonstrated the highest performance with a peak force of (2625.2 N) and a compressive strength of (0.5 MPa). Sample 3 displayed intermediate performance, aligning with its deformation value, and recorded a peak force of (2225.6 N) and a compressive strength of (0.4 MPa). The average compressive strength across all samples was calculated to be (0.4 MPa). The observed variations in compressive strength among the bio-pot samples, ranging from 1213.8 N to 2225.6 N, can be attributed to several interacting factors. Firstly, the manual molding process likely introduced dimensional inconsistencies, as noted by </w:t>
      </w:r>
      <w:proofErr w:type="spellStart"/>
      <w:r w:rsidR="004907AA" w:rsidRPr="004907AA">
        <w:rPr>
          <w:rFonts w:ascii="Arial" w:hAnsi="Arial" w:cs="Arial"/>
        </w:rPr>
        <w:t>Gyurkó</w:t>
      </w:r>
      <w:proofErr w:type="spellEnd"/>
      <w:r w:rsidR="004907AA" w:rsidRPr="004907AA">
        <w:rPr>
          <w:rFonts w:ascii="Arial" w:hAnsi="Arial" w:cs="Arial"/>
        </w:rPr>
        <w:t xml:space="preserve"> &amp; </w:t>
      </w:r>
      <w:proofErr w:type="spellStart"/>
      <w:r w:rsidR="004907AA" w:rsidRPr="004907AA">
        <w:rPr>
          <w:rFonts w:ascii="Arial" w:hAnsi="Arial" w:cs="Arial"/>
        </w:rPr>
        <w:t>Nemes</w:t>
      </w:r>
      <w:proofErr w:type="spellEnd"/>
      <w:r w:rsidR="004907AA" w:rsidRPr="004907AA">
        <w:rPr>
          <w:rFonts w:ascii="Arial" w:hAnsi="Arial" w:cs="Arial"/>
        </w:rPr>
        <w:t xml:space="preserve"> (2020), which can significantly influence peak force. Subtle variations in size and wall thickness can lead to differing stress concentrations under compression. Secondly, the hollow geometry of the bio-pots contributed to non-uniform stress distribution. Unlike a solid cube, which facilitates even stress application, the hollow structure may have resulted in localized stress peaks, leading to the observed variability in peak force. This aligns with the established practice of utilizing cube-shaped specimens for compressive strength testing, as they ensure a more uniform stress field, yielding more consistent and reliable results. Therefore, both the inherent inconsistencies of manual molding and the non-ideal hollow geometry of the bio-pots likely contributed to the observed range of compressive strengths. Furthermore, as highlighted by Anum and Job (2021), the significant impact of material property variations on compressive strength emphasizes the critical role of optimal material selection in achieving desired mechanical performance. Furthermore, a study by Younis and </w:t>
      </w:r>
      <w:proofErr w:type="spellStart"/>
      <w:r w:rsidR="004907AA" w:rsidRPr="004907AA">
        <w:rPr>
          <w:rFonts w:ascii="Arial" w:hAnsi="Arial" w:cs="Arial"/>
        </w:rPr>
        <w:t>Pilakoutas</w:t>
      </w:r>
      <w:proofErr w:type="spellEnd"/>
      <w:r w:rsidR="004907AA" w:rsidRPr="004907AA">
        <w:rPr>
          <w:rFonts w:ascii="Arial" w:hAnsi="Arial" w:cs="Arial"/>
        </w:rPr>
        <w:t xml:space="preserve"> (2013) established that the specific gravity and water absorption of aggregates play critical roles in determining the compressive strength of concrete, which may explain the performance discrepancies observed among samples. Additionally, Zhang et al. (2018) presented a model incorporating various factors affecting concrete strength, including aggregate size and composition, further supporting the findings that different materials yield varying mechanical properties.</w:t>
      </w:r>
    </w:p>
    <w:p w14:paraId="2691AED8" w14:textId="77777777" w:rsidR="008C7FE9" w:rsidRPr="008C7FE9" w:rsidRDefault="008C7FE9" w:rsidP="00FC15A1">
      <w:pPr>
        <w:pStyle w:val="Body"/>
        <w:jc w:val="center"/>
        <w:rPr>
          <w:rFonts w:ascii="Arial" w:hAnsi="Arial" w:cs="Arial"/>
        </w:rPr>
      </w:pPr>
      <w:r w:rsidRPr="00FC15A1">
        <w:rPr>
          <w:rFonts w:ascii="Arial" w:hAnsi="Arial" w:cs="Arial"/>
          <w:i/>
          <w:iCs/>
        </w:rPr>
        <w:t>Table 2. Results of the significant difference between the biodegradable pots produced and commercial pots</w:t>
      </w:r>
      <w:r w:rsidRPr="008C7FE9">
        <w:rPr>
          <w:rFonts w:ascii="Arial" w:hAnsi="Arial" w:cs="Arial"/>
        </w:rPr>
        <w:t>.</w:t>
      </w:r>
    </w:p>
    <w:tbl>
      <w:tblPr>
        <w:tblW w:w="8350" w:type="dxa"/>
        <w:tblLayout w:type="fixed"/>
        <w:tblLook w:val="0400" w:firstRow="0" w:lastRow="0" w:firstColumn="0" w:lastColumn="0" w:noHBand="0" w:noVBand="1"/>
      </w:tblPr>
      <w:tblGrid>
        <w:gridCol w:w="2388"/>
        <w:gridCol w:w="1525"/>
        <w:gridCol w:w="1250"/>
        <w:gridCol w:w="1925"/>
        <w:gridCol w:w="1262"/>
      </w:tblGrid>
      <w:tr w:rsidR="00FC15A1" w:rsidRPr="00FC15A1" w14:paraId="00C11628" w14:textId="77777777" w:rsidTr="00FC15A1">
        <w:trPr>
          <w:trHeight w:val="191"/>
        </w:trPr>
        <w:tc>
          <w:tcPr>
            <w:tcW w:w="2388" w:type="dxa"/>
            <w:tcBorders>
              <w:top w:val="single" w:sz="4" w:space="0" w:color="000000"/>
              <w:left w:val="nil"/>
              <w:bottom w:val="nil"/>
              <w:right w:val="nil"/>
            </w:tcBorders>
            <w:tcMar>
              <w:top w:w="100" w:type="dxa"/>
              <w:left w:w="100" w:type="dxa"/>
              <w:bottom w:w="100" w:type="dxa"/>
              <w:right w:w="100" w:type="dxa"/>
            </w:tcMar>
          </w:tcPr>
          <w:p w14:paraId="0CF201FC" w14:textId="77777777" w:rsidR="00FC15A1" w:rsidRPr="00FC15A1" w:rsidRDefault="00FC15A1" w:rsidP="00DA552B">
            <w:pPr>
              <w:ind w:left="-135" w:hanging="225"/>
              <w:jc w:val="center"/>
              <w:rPr>
                <w:rFonts w:ascii="Arial" w:hAnsi="Arial" w:cs="Arial"/>
              </w:rPr>
            </w:pPr>
            <w:r w:rsidRPr="00FC15A1">
              <w:rPr>
                <w:rFonts w:ascii="Arial" w:hAnsi="Arial" w:cs="Arial"/>
                <w:b/>
              </w:rPr>
              <w:t>Dependent Variable</w:t>
            </w:r>
          </w:p>
        </w:tc>
        <w:tc>
          <w:tcPr>
            <w:tcW w:w="1525" w:type="dxa"/>
            <w:tcBorders>
              <w:top w:val="single" w:sz="4" w:space="0" w:color="000000"/>
              <w:bottom w:val="single" w:sz="4" w:space="0" w:color="000000"/>
            </w:tcBorders>
            <w:tcMar>
              <w:top w:w="100" w:type="dxa"/>
              <w:left w:w="100" w:type="dxa"/>
              <w:bottom w:w="100" w:type="dxa"/>
              <w:right w:w="100" w:type="dxa"/>
            </w:tcMar>
          </w:tcPr>
          <w:p w14:paraId="3B42C9FC" w14:textId="77777777" w:rsidR="00FC15A1" w:rsidRPr="00FC15A1" w:rsidRDefault="00FC15A1" w:rsidP="00DA552B">
            <w:pPr>
              <w:ind w:left="140" w:right="140"/>
              <w:jc w:val="center"/>
              <w:rPr>
                <w:rFonts w:ascii="Arial" w:hAnsi="Arial" w:cs="Arial"/>
                <w:b/>
              </w:rPr>
            </w:pPr>
            <w:r w:rsidRPr="00FC15A1">
              <w:rPr>
                <w:rFonts w:ascii="Arial" w:hAnsi="Arial" w:cs="Arial"/>
                <w:b/>
              </w:rPr>
              <w:t>H (χ²)</w:t>
            </w:r>
          </w:p>
        </w:tc>
        <w:tc>
          <w:tcPr>
            <w:tcW w:w="1250" w:type="dxa"/>
            <w:tcBorders>
              <w:top w:val="single" w:sz="4" w:space="0" w:color="000000"/>
              <w:bottom w:val="single" w:sz="4" w:space="0" w:color="000000"/>
            </w:tcBorders>
            <w:tcMar>
              <w:top w:w="100" w:type="dxa"/>
              <w:left w:w="100" w:type="dxa"/>
              <w:bottom w:w="100" w:type="dxa"/>
              <w:right w:w="100" w:type="dxa"/>
            </w:tcMar>
          </w:tcPr>
          <w:p w14:paraId="0C4B8D2F" w14:textId="77777777" w:rsidR="00FC15A1" w:rsidRPr="00FC15A1" w:rsidRDefault="00FC15A1" w:rsidP="00DA552B">
            <w:pPr>
              <w:ind w:left="140" w:right="140"/>
              <w:jc w:val="center"/>
              <w:rPr>
                <w:rFonts w:ascii="Arial" w:hAnsi="Arial" w:cs="Arial"/>
                <w:b/>
                <w:color w:val="000000"/>
              </w:rPr>
            </w:pPr>
            <w:r w:rsidRPr="00FC15A1">
              <w:rPr>
                <w:rFonts w:ascii="Arial" w:hAnsi="Arial" w:cs="Arial"/>
                <w:b/>
              </w:rPr>
              <w:t>df</w:t>
            </w:r>
          </w:p>
        </w:tc>
        <w:tc>
          <w:tcPr>
            <w:tcW w:w="1925" w:type="dxa"/>
            <w:tcBorders>
              <w:top w:val="single" w:sz="4" w:space="0" w:color="000000"/>
              <w:bottom w:val="single" w:sz="4" w:space="0" w:color="000000"/>
            </w:tcBorders>
            <w:tcMar>
              <w:top w:w="100" w:type="dxa"/>
              <w:left w:w="100" w:type="dxa"/>
              <w:bottom w:w="100" w:type="dxa"/>
              <w:right w:w="100" w:type="dxa"/>
            </w:tcMar>
          </w:tcPr>
          <w:p w14:paraId="4974063C" w14:textId="5C88C12A" w:rsidR="00FC15A1" w:rsidRPr="00FC15A1" w:rsidRDefault="00FC15A1" w:rsidP="00DA552B">
            <w:pPr>
              <w:ind w:left="140" w:right="140"/>
              <w:jc w:val="center"/>
              <w:rPr>
                <w:rFonts w:ascii="Arial" w:hAnsi="Arial" w:cs="Arial"/>
              </w:rPr>
            </w:pPr>
            <w:r>
              <w:rPr>
                <w:rFonts w:ascii="Arial" w:hAnsi="Arial" w:cs="Arial"/>
                <w:b/>
                <w:i/>
              </w:rPr>
              <w:t>P</w:t>
            </w:r>
            <w:r w:rsidRPr="00FC15A1">
              <w:rPr>
                <w:rFonts w:ascii="Arial" w:hAnsi="Arial" w:cs="Arial"/>
                <w:b/>
              </w:rPr>
              <w:t>-value</w:t>
            </w:r>
          </w:p>
        </w:tc>
        <w:tc>
          <w:tcPr>
            <w:tcW w:w="1262" w:type="dxa"/>
            <w:tcBorders>
              <w:top w:val="single" w:sz="4" w:space="0" w:color="000000"/>
              <w:bottom w:val="single" w:sz="4" w:space="0" w:color="000000"/>
            </w:tcBorders>
            <w:tcMar>
              <w:top w:w="100" w:type="dxa"/>
              <w:left w:w="100" w:type="dxa"/>
              <w:bottom w:w="100" w:type="dxa"/>
              <w:right w:w="100" w:type="dxa"/>
            </w:tcMar>
          </w:tcPr>
          <w:p w14:paraId="0320148D" w14:textId="77777777" w:rsidR="00FC15A1" w:rsidRPr="00FC15A1" w:rsidRDefault="00FC15A1" w:rsidP="00DA552B">
            <w:pPr>
              <w:ind w:left="140" w:right="140"/>
              <w:jc w:val="center"/>
              <w:rPr>
                <w:rFonts w:ascii="Arial" w:hAnsi="Arial" w:cs="Arial"/>
              </w:rPr>
            </w:pPr>
            <w:r w:rsidRPr="00FC15A1">
              <w:rPr>
                <w:rFonts w:ascii="Arial" w:hAnsi="Arial" w:cs="Arial"/>
                <w:b/>
                <w:color w:val="000000"/>
              </w:rPr>
              <w:t>Decision</w:t>
            </w:r>
          </w:p>
        </w:tc>
      </w:tr>
      <w:tr w:rsidR="00FC15A1" w:rsidRPr="00FC15A1" w14:paraId="4EF9DDBB" w14:textId="77777777" w:rsidTr="00FC15A1">
        <w:trPr>
          <w:trHeight w:val="608"/>
        </w:trPr>
        <w:tc>
          <w:tcPr>
            <w:tcW w:w="2388" w:type="dxa"/>
            <w:tcBorders>
              <w:top w:val="single" w:sz="4" w:space="0" w:color="000000"/>
              <w:bottom w:val="single" w:sz="4" w:space="0" w:color="000000"/>
            </w:tcBorders>
            <w:tcMar>
              <w:top w:w="100" w:type="dxa"/>
              <w:left w:w="100" w:type="dxa"/>
              <w:bottom w:w="100" w:type="dxa"/>
              <w:right w:w="100" w:type="dxa"/>
            </w:tcMar>
          </w:tcPr>
          <w:p w14:paraId="0A7BA11A" w14:textId="77777777" w:rsidR="00FC15A1" w:rsidRPr="00FC15A1" w:rsidRDefault="00FC15A1" w:rsidP="00DA552B">
            <w:pPr>
              <w:ind w:left="-90"/>
              <w:jc w:val="center"/>
              <w:rPr>
                <w:rFonts w:ascii="Arial" w:hAnsi="Arial" w:cs="Arial"/>
              </w:rPr>
            </w:pPr>
            <w:r w:rsidRPr="00FC15A1">
              <w:rPr>
                <w:rFonts w:ascii="Arial" w:hAnsi="Arial" w:cs="Arial"/>
              </w:rPr>
              <w:t>Tensile Strength</w:t>
            </w:r>
          </w:p>
        </w:tc>
        <w:tc>
          <w:tcPr>
            <w:tcW w:w="1525" w:type="dxa"/>
            <w:tcBorders>
              <w:top w:val="single" w:sz="4" w:space="0" w:color="000000"/>
              <w:bottom w:val="single" w:sz="4" w:space="0" w:color="000000"/>
            </w:tcBorders>
            <w:tcMar>
              <w:top w:w="100" w:type="dxa"/>
              <w:left w:w="100" w:type="dxa"/>
              <w:bottom w:w="100" w:type="dxa"/>
              <w:right w:w="100" w:type="dxa"/>
            </w:tcMar>
          </w:tcPr>
          <w:p w14:paraId="43E01F22" w14:textId="77777777" w:rsidR="00FC15A1" w:rsidRPr="00FC15A1" w:rsidRDefault="00FC15A1" w:rsidP="00DA552B">
            <w:pPr>
              <w:ind w:left="90" w:right="-45"/>
              <w:jc w:val="center"/>
              <w:rPr>
                <w:rFonts w:ascii="Arial" w:hAnsi="Arial" w:cs="Arial"/>
              </w:rPr>
            </w:pPr>
            <w:r w:rsidRPr="00FC15A1">
              <w:rPr>
                <w:rFonts w:ascii="Arial" w:hAnsi="Arial" w:cs="Arial"/>
              </w:rPr>
              <w:t>3.00</w:t>
            </w:r>
          </w:p>
        </w:tc>
        <w:tc>
          <w:tcPr>
            <w:tcW w:w="1250" w:type="dxa"/>
            <w:tcBorders>
              <w:top w:val="single" w:sz="4" w:space="0" w:color="000000"/>
              <w:bottom w:val="single" w:sz="4" w:space="0" w:color="000000"/>
            </w:tcBorders>
            <w:tcMar>
              <w:top w:w="100" w:type="dxa"/>
              <w:left w:w="100" w:type="dxa"/>
              <w:bottom w:w="100" w:type="dxa"/>
              <w:right w:w="100" w:type="dxa"/>
            </w:tcMar>
          </w:tcPr>
          <w:p w14:paraId="08172704" w14:textId="77777777" w:rsidR="00FC15A1" w:rsidRPr="00FC15A1" w:rsidRDefault="00FC15A1" w:rsidP="00DA552B">
            <w:pPr>
              <w:ind w:left="90" w:right="-45"/>
              <w:jc w:val="center"/>
              <w:rPr>
                <w:rFonts w:ascii="Arial" w:hAnsi="Arial" w:cs="Arial"/>
              </w:rPr>
            </w:pPr>
            <w:r w:rsidRPr="00FC15A1">
              <w:rPr>
                <w:rFonts w:ascii="Arial" w:hAnsi="Arial" w:cs="Arial"/>
              </w:rPr>
              <w:t>3</w:t>
            </w:r>
          </w:p>
        </w:tc>
        <w:tc>
          <w:tcPr>
            <w:tcW w:w="1925" w:type="dxa"/>
            <w:tcBorders>
              <w:top w:val="single" w:sz="4" w:space="0" w:color="000000"/>
              <w:bottom w:val="single" w:sz="4" w:space="0" w:color="000000"/>
            </w:tcBorders>
            <w:tcMar>
              <w:top w:w="100" w:type="dxa"/>
              <w:left w:w="100" w:type="dxa"/>
              <w:bottom w:w="100" w:type="dxa"/>
              <w:right w:w="100" w:type="dxa"/>
            </w:tcMar>
          </w:tcPr>
          <w:p w14:paraId="7B406AF7" w14:textId="5C26D8C6" w:rsidR="00FC15A1" w:rsidRPr="00FC15A1" w:rsidRDefault="00FC15A1" w:rsidP="00DA552B">
            <w:pPr>
              <w:ind w:right="-90"/>
              <w:jc w:val="center"/>
              <w:rPr>
                <w:rFonts w:ascii="Arial" w:hAnsi="Arial" w:cs="Arial"/>
              </w:rPr>
            </w:pPr>
            <w:r>
              <w:rPr>
                <w:rFonts w:ascii="Arial" w:hAnsi="Arial" w:cs="Arial"/>
              </w:rPr>
              <w:t>.</w:t>
            </w:r>
            <w:r w:rsidRPr="00FC15A1">
              <w:rPr>
                <w:rFonts w:ascii="Arial" w:hAnsi="Arial" w:cs="Arial"/>
                <w:color w:val="000000"/>
              </w:rPr>
              <w:t>392</w:t>
            </w:r>
          </w:p>
        </w:tc>
        <w:tc>
          <w:tcPr>
            <w:tcW w:w="1262" w:type="dxa"/>
            <w:tcBorders>
              <w:top w:val="single" w:sz="4" w:space="0" w:color="000000"/>
              <w:bottom w:val="single" w:sz="4" w:space="0" w:color="000000"/>
            </w:tcBorders>
            <w:tcMar>
              <w:top w:w="100" w:type="dxa"/>
              <w:left w:w="100" w:type="dxa"/>
              <w:bottom w:w="100" w:type="dxa"/>
              <w:right w:w="100" w:type="dxa"/>
            </w:tcMar>
          </w:tcPr>
          <w:p w14:paraId="71546D81" w14:textId="77777777" w:rsidR="00FC15A1" w:rsidRPr="00FC15A1" w:rsidRDefault="00FC15A1" w:rsidP="00DA552B">
            <w:pPr>
              <w:ind w:right="-45" w:hanging="140"/>
              <w:jc w:val="center"/>
              <w:rPr>
                <w:rFonts w:ascii="Arial" w:hAnsi="Arial" w:cs="Arial"/>
              </w:rPr>
            </w:pPr>
            <w:r w:rsidRPr="00FC15A1">
              <w:rPr>
                <w:rFonts w:ascii="Arial" w:hAnsi="Arial" w:cs="Arial"/>
                <w:color w:val="000000"/>
              </w:rPr>
              <w:t>Retain the null hypothesis</w:t>
            </w:r>
          </w:p>
        </w:tc>
      </w:tr>
      <w:tr w:rsidR="00FC15A1" w:rsidRPr="00FC15A1" w14:paraId="2738B924" w14:textId="77777777" w:rsidTr="00FC15A1">
        <w:trPr>
          <w:trHeight w:val="595"/>
        </w:trPr>
        <w:tc>
          <w:tcPr>
            <w:tcW w:w="2388" w:type="dxa"/>
            <w:tcBorders>
              <w:top w:val="single" w:sz="4" w:space="0" w:color="000000"/>
              <w:bottom w:val="single" w:sz="4" w:space="0" w:color="000000"/>
            </w:tcBorders>
            <w:tcMar>
              <w:top w:w="100" w:type="dxa"/>
              <w:left w:w="100" w:type="dxa"/>
              <w:bottom w:w="100" w:type="dxa"/>
              <w:right w:w="100" w:type="dxa"/>
            </w:tcMar>
          </w:tcPr>
          <w:p w14:paraId="62BC301D" w14:textId="77777777" w:rsidR="00FC15A1" w:rsidRPr="00FC15A1" w:rsidRDefault="00FC15A1" w:rsidP="00DA552B">
            <w:pPr>
              <w:ind w:left="-90"/>
              <w:jc w:val="center"/>
              <w:rPr>
                <w:rFonts w:ascii="Arial" w:hAnsi="Arial" w:cs="Arial"/>
                <w:color w:val="000000"/>
              </w:rPr>
            </w:pPr>
            <w:r w:rsidRPr="00FC15A1">
              <w:rPr>
                <w:rFonts w:ascii="Arial" w:hAnsi="Arial" w:cs="Arial"/>
              </w:rPr>
              <w:t xml:space="preserve">Compressive Strength </w:t>
            </w:r>
          </w:p>
        </w:tc>
        <w:tc>
          <w:tcPr>
            <w:tcW w:w="1525" w:type="dxa"/>
            <w:tcBorders>
              <w:top w:val="single" w:sz="4" w:space="0" w:color="000000"/>
              <w:bottom w:val="single" w:sz="4" w:space="0" w:color="000000"/>
            </w:tcBorders>
            <w:tcMar>
              <w:top w:w="100" w:type="dxa"/>
              <w:left w:w="100" w:type="dxa"/>
              <w:bottom w:w="100" w:type="dxa"/>
              <w:right w:w="100" w:type="dxa"/>
            </w:tcMar>
          </w:tcPr>
          <w:p w14:paraId="688EB8ED" w14:textId="77777777" w:rsidR="00FC15A1" w:rsidRPr="00FC15A1" w:rsidRDefault="00FC15A1" w:rsidP="00DA552B">
            <w:pPr>
              <w:ind w:left="90" w:right="-45"/>
              <w:jc w:val="center"/>
              <w:rPr>
                <w:rFonts w:ascii="Arial" w:hAnsi="Arial" w:cs="Arial"/>
                <w:color w:val="000000"/>
              </w:rPr>
            </w:pPr>
            <w:r w:rsidRPr="00FC15A1">
              <w:rPr>
                <w:rFonts w:ascii="Arial" w:hAnsi="Arial" w:cs="Arial"/>
              </w:rPr>
              <w:t>3.00</w:t>
            </w:r>
          </w:p>
        </w:tc>
        <w:tc>
          <w:tcPr>
            <w:tcW w:w="1250" w:type="dxa"/>
            <w:tcBorders>
              <w:top w:val="single" w:sz="4" w:space="0" w:color="000000"/>
              <w:bottom w:val="single" w:sz="4" w:space="0" w:color="000000"/>
            </w:tcBorders>
            <w:tcMar>
              <w:top w:w="100" w:type="dxa"/>
              <w:left w:w="100" w:type="dxa"/>
              <w:bottom w:w="100" w:type="dxa"/>
              <w:right w:w="100" w:type="dxa"/>
            </w:tcMar>
          </w:tcPr>
          <w:p w14:paraId="4659479F" w14:textId="77777777" w:rsidR="00FC15A1" w:rsidRPr="00FC15A1" w:rsidRDefault="00FC15A1" w:rsidP="00DA552B">
            <w:pPr>
              <w:ind w:left="90" w:right="-45"/>
              <w:jc w:val="center"/>
              <w:rPr>
                <w:rFonts w:ascii="Arial" w:hAnsi="Arial" w:cs="Arial"/>
              </w:rPr>
            </w:pPr>
            <w:r w:rsidRPr="00FC15A1">
              <w:rPr>
                <w:rFonts w:ascii="Arial" w:hAnsi="Arial" w:cs="Arial"/>
              </w:rPr>
              <w:t>3</w:t>
            </w:r>
          </w:p>
        </w:tc>
        <w:tc>
          <w:tcPr>
            <w:tcW w:w="1925" w:type="dxa"/>
            <w:tcBorders>
              <w:top w:val="single" w:sz="4" w:space="0" w:color="000000"/>
              <w:bottom w:val="single" w:sz="4" w:space="0" w:color="000000"/>
            </w:tcBorders>
            <w:tcMar>
              <w:top w:w="100" w:type="dxa"/>
              <w:left w:w="100" w:type="dxa"/>
              <w:bottom w:w="100" w:type="dxa"/>
              <w:right w:w="100" w:type="dxa"/>
            </w:tcMar>
          </w:tcPr>
          <w:p w14:paraId="6A1D6B56" w14:textId="595713DF" w:rsidR="00FC15A1" w:rsidRPr="00FC15A1" w:rsidRDefault="00FC15A1" w:rsidP="00DA552B">
            <w:pPr>
              <w:ind w:right="-90"/>
              <w:jc w:val="center"/>
              <w:rPr>
                <w:rFonts w:ascii="Arial" w:hAnsi="Arial" w:cs="Arial"/>
              </w:rPr>
            </w:pPr>
            <w:r w:rsidRPr="00FC15A1">
              <w:rPr>
                <w:rFonts w:ascii="Arial" w:hAnsi="Arial" w:cs="Arial"/>
              </w:rPr>
              <w:t>.392</w:t>
            </w:r>
          </w:p>
        </w:tc>
        <w:tc>
          <w:tcPr>
            <w:tcW w:w="1262" w:type="dxa"/>
            <w:tcBorders>
              <w:top w:val="single" w:sz="4" w:space="0" w:color="000000"/>
              <w:bottom w:val="single" w:sz="4" w:space="0" w:color="000000"/>
            </w:tcBorders>
            <w:tcMar>
              <w:top w:w="100" w:type="dxa"/>
              <w:left w:w="100" w:type="dxa"/>
              <w:bottom w:w="100" w:type="dxa"/>
              <w:right w:w="100" w:type="dxa"/>
            </w:tcMar>
          </w:tcPr>
          <w:p w14:paraId="05ABB483" w14:textId="77777777" w:rsidR="00FC15A1" w:rsidRPr="00FC15A1" w:rsidRDefault="00FC15A1" w:rsidP="00DA552B">
            <w:pPr>
              <w:ind w:right="-45" w:hanging="140"/>
              <w:jc w:val="center"/>
              <w:rPr>
                <w:rFonts w:ascii="Arial" w:hAnsi="Arial" w:cs="Arial"/>
              </w:rPr>
            </w:pPr>
            <w:r w:rsidRPr="00FC15A1">
              <w:rPr>
                <w:rFonts w:ascii="Arial" w:hAnsi="Arial" w:cs="Arial"/>
              </w:rPr>
              <w:t>Retain the null hypothesis</w:t>
            </w:r>
          </w:p>
        </w:tc>
      </w:tr>
      <w:tr w:rsidR="00FC15A1" w:rsidRPr="00FC15A1" w14:paraId="1F4347BA" w14:textId="77777777" w:rsidTr="00FC15A1">
        <w:trPr>
          <w:trHeight w:val="555"/>
        </w:trPr>
        <w:tc>
          <w:tcPr>
            <w:tcW w:w="2388" w:type="dxa"/>
            <w:tcBorders>
              <w:top w:val="single" w:sz="4" w:space="0" w:color="000000"/>
              <w:bottom w:val="single" w:sz="4" w:space="0" w:color="000000"/>
            </w:tcBorders>
            <w:tcMar>
              <w:top w:w="100" w:type="dxa"/>
              <w:left w:w="100" w:type="dxa"/>
              <w:bottom w:w="100" w:type="dxa"/>
              <w:right w:w="100" w:type="dxa"/>
            </w:tcMar>
          </w:tcPr>
          <w:p w14:paraId="462372B8" w14:textId="77777777" w:rsidR="00FC15A1" w:rsidRPr="00FC15A1" w:rsidRDefault="00FC15A1" w:rsidP="00DA552B">
            <w:pPr>
              <w:ind w:left="-90"/>
              <w:jc w:val="center"/>
              <w:rPr>
                <w:rFonts w:ascii="Arial" w:hAnsi="Arial" w:cs="Arial"/>
              </w:rPr>
            </w:pPr>
            <w:r w:rsidRPr="00FC15A1">
              <w:rPr>
                <w:rFonts w:ascii="Arial" w:hAnsi="Arial" w:cs="Arial"/>
              </w:rPr>
              <w:t>Compressive Strength</w:t>
            </w:r>
          </w:p>
          <w:p w14:paraId="58F4D21C" w14:textId="77777777" w:rsidR="00FC15A1" w:rsidRPr="00FC15A1" w:rsidRDefault="00FC15A1" w:rsidP="00DA552B">
            <w:pPr>
              <w:ind w:left="-90"/>
              <w:jc w:val="center"/>
              <w:rPr>
                <w:rFonts w:ascii="Arial" w:hAnsi="Arial" w:cs="Arial"/>
                <w:i/>
                <w:color w:val="000000"/>
              </w:rPr>
            </w:pPr>
            <w:r w:rsidRPr="00FC15A1">
              <w:rPr>
                <w:rFonts w:ascii="Arial" w:hAnsi="Arial" w:cs="Arial"/>
                <w:i/>
              </w:rPr>
              <w:t xml:space="preserve"> (Peak force)</w:t>
            </w:r>
          </w:p>
        </w:tc>
        <w:tc>
          <w:tcPr>
            <w:tcW w:w="1525" w:type="dxa"/>
            <w:tcBorders>
              <w:top w:val="single" w:sz="4" w:space="0" w:color="000000"/>
              <w:bottom w:val="single" w:sz="4" w:space="0" w:color="000000"/>
            </w:tcBorders>
            <w:tcMar>
              <w:top w:w="100" w:type="dxa"/>
              <w:left w:w="100" w:type="dxa"/>
              <w:bottom w:w="100" w:type="dxa"/>
              <w:right w:w="100" w:type="dxa"/>
            </w:tcMar>
          </w:tcPr>
          <w:p w14:paraId="432D7123" w14:textId="77777777" w:rsidR="00FC15A1" w:rsidRPr="00FC15A1" w:rsidRDefault="00FC15A1" w:rsidP="00DA552B">
            <w:pPr>
              <w:ind w:left="90" w:right="-45"/>
              <w:jc w:val="center"/>
              <w:rPr>
                <w:rFonts w:ascii="Arial" w:hAnsi="Arial" w:cs="Arial"/>
                <w:color w:val="000000"/>
              </w:rPr>
            </w:pPr>
            <w:r w:rsidRPr="00FC15A1">
              <w:rPr>
                <w:rFonts w:ascii="Arial" w:hAnsi="Arial" w:cs="Arial"/>
              </w:rPr>
              <w:t>3.00</w:t>
            </w:r>
          </w:p>
        </w:tc>
        <w:tc>
          <w:tcPr>
            <w:tcW w:w="1250" w:type="dxa"/>
            <w:tcBorders>
              <w:top w:val="single" w:sz="4" w:space="0" w:color="000000"/>
              <w:bottom w:val="single" w:sz="4" w:space="0" w:color="000000"/>
            </w:tcBorders>
            <w:tcMar>
              <w:top w:w="100" w:type="dxa"/>
              <w:left w:w="100" w:type="dxa"/>
              <w:bottom w:w="100" w:type="dxa"/>
              <w:right w:w="100" w:type="dxa"/>
            </w:tcMar>
          </w:tcPr>
          <w:p w14:paraId="415A13F2" w14:textId="77777777" w:rsidR="00FC15A1" w:rsidRPr="00FC15A1" w:rsidRDefault="00FC15A1" w:rsidP="00DA552B">
            <w:pPr>
              <w:ind w:left="90" w:right="-45"/>
              <w:jc w:val="center"/>
              <w:rPr>
                <w:rFonts w:ascii="Arial" w:hAnsi="Arial" w:cs="Arial"/>
              </w:rPr>
            </w:pPr>
            <w:r w:rsidRPr="00FC15A1">
              <w:rPr>
                <w:rFonts w:ascii="Arial" w:hAnsi="Arial" w:cs="Arial"/>
              </w:rPr>
              <w:t>3</w:t>
            </w:r>
          </w:p>
        </w:tc>
        <w:tc>
          <w:tcPr>
            <w:tcW w:w="1925" w:type="dxa"/>
            <w:tcBorders>
              <w:top w:val="single" w:sz="4" w:space="0" w:color="000000"/>
              <w:bottom w:val="single" w:sz="4" w:space="0" w:color="000000"/>
            </w:tcBorders>
            <w:tcMar>
              <w:top w:w="100" w:type="dxa"/>
              <w:left w:w="100" w:type="dxa"/>
              <w:bottom w:w="100" w:type="dxa"/>
              <w:right w:w="100" w:type="dxa"/>
            </w:tcMar>
          </w:tcPr>
          <w:p w14:paraId="37BC08A6" w14:textId="7CA23A15" w:rsidR="00FC15A1" w:rsidRPr="00FC15A1" w:rsidRDefault="00FC15A1" w:rsidP="00DA552B">
            <w:pPr>
              <w:ind w:right="-90"/>
              <w:jc w:val="center"/>
              <w:rPr>
                <w:rFonts w:ascii="Arial" w:hAnsi="Arial" w:cs="Arial"/>
              </w:rPr>
            </w:pPr>
            <w:r w:rsidRPr="00FC15A1">
              <w:rPr>
                <w:rFonts w:ascii="Arial" w:hAnsi="Arial" w:cs="Arial"/>
              </w:rPr>
              <w:t>.392</w:t>
            </w:r>
          </w:p>
        </w:tc>
        <w:tc>
          <w:tcPr>
            <w:tcW w:w="1262" w:type="dxa"/>
            <w:tcBorders>
              <w:top w:val="single" w:sz="4" w:space="0" w:color="000000"/>
              <w:bottom w:val="single" w:sz="4" w:space="0" w:color="000000"/>
            </w:tcBorders>
            <w:tcMar>
              <w:top w:w="100" w:type="dxa"/>
              <w:left w:w="100" w:type="dxa"/>
              <w:bottom w:w="100" w:type="dxa"/>
              <w:right w:w="100" w:type="dxa"/>
            </w:tcMar>
          </w:tcPr>
          <w:p w14:paraId="43A4AB0F" w14:textId="77777777" w:rsidR="00FC15A1" w:rsidRPr="00FC15A1" w:rsidRDefault="00FC15A1" w:rsidP="00DA552B">
            <w:pPr>
              <w:ind w:right="-45" w:hanging="140"/>
              <w:jc w:val="center"/>
              <w:rPr>
                <w:rFonts w:ascii="Arial" w:hAnsi="Arial" w:cs="Arial"/>
              </w:rPr>
            </w:pPr>
            <w:r w:rsidRPr="00FC15A1">
              <w:rPr>
                <w:rFonts w:ascii="Arial" w:hAnsi="Arial" w:cs="Arial"/>
              </w:rPr>
              <w:t>Retain the null hypothesis</w:t>
            </w:r>
          </w:p>
        </w:tc>
      </w:tr>
    </w:tbl>
    <w:p w14:paraId="34E47651" w14:textId="4C2BEE96" w:rsidR="008C7FE9" w:rsidRPr="008C7FE9" w:rsidRDefault="008C7FE9" w:rsidP="008C7FE9">
      <w:pPr>
        <w:pStyle w:val="Body"/>
        <w:rPr>
          <w:rFonts w:ascii="Arial" w:hAnsi="Arial" w:cs="Arial"/>
        </w:rPr>
      </w:pPr>
      <w:r w:rsidRPr="008C7FE9">
        <w:rPr>
          <w:rFonts w:ascii="Arial" w:hAnsi="Arial" w:cs="Arial"/>
        </w:rPr>
        <w:t>Legend: (</w:t>
      </w:r>
      <w:r w:rsidR="00FC15A1">
        <w:rPr>
          <w:rFonts w:ascii="Arial" w:hAnsi="Arial" w:cs="Arial"/>
          <w:i/>
          <w:iCs/>
        </w:rPr>
        <w:t>P</w:t>
      </w:r>
      <w:r w:rsidRPr="008C7FE9">
        <w:rPr>
          <w:rFonts w:ascii="Arial" w:hAnsi="Arial" w:cs="Arial"/>
        </w:rPr>
        <w:t xml:space="preserve"> </w:t>
      </w:r>
      <w:r w:rsidR="00FC15A1">
        <w:rPr>
          <w:rFonts w:ascii="Arial" w:hAnsi="Arial" w:cs="Arial"/>
        </w:rPr>
        <w:t>=</w:t>
      </w:r>
      <w:r w:rsidRPr="008C7FE9">
        <w:rPr>
          <w:rFonts w:ascii="Arial" w:hAnsi="Arial" w:cs="Arial"/>
        </w:rPr>
        <w:t xml:space="preserve"> .05), reject the null hypothesis.</w:t>
      </w:r>
      <w:r w:rsidRPr="008C7FE9">
        <w:rPr>
          <w:rFonts w:ascii="Arial" w:hAnsi="Arial" w:cs="Arial"/>
        </w:rPr>
        <w:tab/>
        <w:t>(</w:t>
      </w:r>
      <w:r w:rsidR="00FC15A1">
        <w:rPr>
          <w:rFonts w:ascii="Arial" w:hAnsi="Arial" w:cs="Arial"/>
          <w:i/>
          <w:iCs/>
        </w:rPr>
        <w:t>P</w:t>
      </w:r>
      <w:r w:rsidRPr="008C7FE9">
        <w:rPr>
          <w:rFonts w:ascii="Arial" w:hAnsi="Arial" w:cs="Arial"/>
        </w:rPr>
        <w:t xml:space="preserve"> </w:t>
      </w:r>
      <w:r w:rsidR="00FC15A1">
        <w:rPr>
          <w:rFonts w:ascii="Arial" w:hAnsi="Arial" w:cs="Arial"/>
        </w:rPr>
        <w:t xml:space="preserve">= </w:t>
      </w:r>
      <w:r w:rsidRPr="008C7FE9">
        <w:rPr>
          <w:rFonts w:ascii="Arial" w:hAnsi="Arial" w:cs="Arial"/>
        </w:rPr>
        <w:t>.05), retain the null hypothesis.</w:t>
      </w:r>
    </w:p>
    <w:p w14:paraId="3B9BBF18" w14:textId="77777777" w:rsidR="008C7FE9" w:rsidRPr="008C7FE9" w:rsidRDefault="008C7FE9" w:rsidP="008C7FE9">
      <w:pPr>
        <w:pStyle w:val="Body"/>
        <w:rPr>
          <w:rFonts w:ascii="Arial" w:hAnsi="Arial" w:cs="Arial"/>
        </w:rPr>
      </w:pPr>
    </w:p>
    <w:p w14:paraId="60FEC200" w14:textId="77777777" w:rsidR="008C7FE9" w:rsidRPr="008C7FE9" w:rsidRDefault="008C7FE9" w:rsidP="00FC15A1">
      <w:pPr>
        <w:pStyle w:val="Body"/>
        <w:ind w:firstLine="720"/>
        <w:rPr>
          <w:rFonts w:ascii="Arial" w:hAnsi="Arial" w:cs="Arial"/>
        </w:rPr>
      </w:pPr>
      <w:r w:rsidRPr="008C7FE9">
        <w:rPr>
          <w:rFonts w:ascii="Arial" w:hAnsi="Arial" w:cs="Arial"/>
        </w:rPr>
        <w:t>The table shows the results of a hypothesis test summary using the Kruskal-Wallis Test; the hypothesis test summary table provides the results of statistical tests conducted to determine if there are significant differences in the distributions of three variables: Tensile Strength, Compressive Strength, and Compressive Strength (Peak Force).</w:t>
      </w:r>
    </w:p>
    <w:p w14:paraId="28656260" w14:textId="403A0F5B" w:rsidR="008C7FE9" w:rsidRPr="008C7FE9" w:rsidRDefault="008C7FE9" w:rsidP="00FC15A1">
      <w:pPr>
        <w:pStyle w:val="Body"/>
        <w:ind w:firstLine="720"/>
        <w:rPr>
          <w:rFonts w:ascii="Arial" w:hAnsi="Arial" w:cs="Arial"/>
        </w:rPr>
      </w:pPr>
      <w:r w:rsidRPr="008C7FE9">
        <w:rPr>
          <w:rFonts w:ascii="Arial" w:hAnsi="Arial" w:cs="Arial"/>
        </w:rPr>
        <w:t xml:space="preserve">The results indicated no statistically significant difference among the three groups. In this table, the result of the distribution of tensile strength, compressive strength, and compressive strength (peak force) revealed a </w:t>
      </w:r>
      <w:r w:rsidR="00FC15A1" w:rsidRPr="00FC15A1">
        <w:rPr>
          <w:rFonts w:ascii="Arial" w:hAnsi="Arial" w:cs="Arial"/>
          <w:i/>
          <w:iCs/>
        </w:rPr>
        <w:t>P</w:t>
      </w:r>
      <w:r w:rsidRPr="008C7FE9">
        <w:rPr>
          <w:rFonts w:ascii="Arial" w:hAnsi="Arial" w:cs="Arial"/>
        </w:rPr>
        <w:t xml:space="preserve">-value of </w:t>
      </w:r>
      <w:r w:rsidR="00FC15A1" w:rsidRPr="00FC15A1">
        <w:rPr>
          <w:rFonts w:ascii="Arial" w:hAnsi="Arial" w:cs="Arial"/>
          <w:i/>
          <w:iCs/>
        </w:rPr>
        <w:t>P</w:t>
      </w:r>
      <w:r w:rsidRPr="008C7FE9">
        <w:rPr>
          <w:rFonts w:ascii="Arial" w:hAnsi="Arial" w:cs="Arial"/>
        </w:rPr>
        <w:t xml:space="preserve"> = .392. The significance level (</w:t>
      </w:r>
      <w:r w:rsidR="00FC15A1" w:rsidRPr="00FC15A1">
        <w:rPr>
          <w:rFonts w:ascii="Arial" w:hAnsi="Arial" w:cs="Arial"/>
          <w:i/>
          <w:iCs/>
        </w:rPr>
        <w:t>P</w:t>
      </w:r>
      <w:r w:rsidRPr="008C7FE9">
        <w:rPr>
          <w:rFonts w:ascii="Arial" w:hAnsi="Arial" w:cs="Arial"/>
        </w:rPr>
        <w:t xml:space="preserve"> </w:t>
      </w:r>
      <w:r w:rsidR="00FC15A1">
        <w:rPr>
          <w:rFonts w:ascii="Arial" w:hAnsi="Arial" w:cs="Arial"/>
        </w:rPr>
        <w:t xml:space="preserve">= </w:t>
      </w:r>
      <w:r w:rsidRPr="008C7FE9">
        <w:rPr>
          <w:rFonts w:ascii="Arial" w:hAnsi="Arial" w:cs="Arial"/>
        </w:rPr>
        <w:t xml:space="preserve">.05) is a standard threshold for rejecting the null hypothesis. However, since the </w:t>
      </w:r>
      <w:r w:rsidR="00FC15A1">
        <w:rPr>
          <w:rFonts w:ascii="Arial" w:hAnsi="Arial" w:cs="Arial"/>
          <w:i/>
          <w:iCs/>
        </w:rPr>
        <w:t>P</w:t>
      </w:r>
      <w:r w:rsidRPr="008C7FE9">
        <w:rPr>
          <w:rFonts w:ascii="Arial" w:hAnsi="Arial" w:cs="Arial"/>
        </w:rPr>
        <w:t xml:space="preserve"> = .392 is more significant than the significance level of (</w:t>
      </w:r>
      <w:r w:rsidR="00FC15A1">
        <w:rPr>
          <w:rFonts w:ascii="Arial" w:hAnsi="Arial" w:cs="Arial"/>
          <w:i/>
          <w:iCs/>
        </w:rPr>
        <w:t xml:space="preserve">P </w:t>
      </w:r>
      <w:r w:rsidR="00FC15A1">
        <w:rPr>
          <w:rFonts w:ascii="Arial" w:hAnsi="Arial" w:cs="Arial"/>
        </w:rPr>
        <w:t>=</w:t>
      </w:r>
      <w:r w:rsidRPr="008C7FE9">
        <w:rPr>
          <w:rFonts w:ascii="Arial" w:hAnsi="Arial" w:cs="Arial"/>
        </w:rPr>
        <w:t xml:space="preserve"> .05) for all three tests, it retains the null hypothesis for each variable. Moreover, it was concluded that there are no significant differences in the distributions of tensile strength, compressive strength, and compressive strength (peak force) across the different categories. Lastly, the results suggest that the treatment categories do not significantly impact these three variables statistically.</w:t>
      </w:r>
    </w:p>
    <w:p w14:paraId="547BD7B0" w14:textId="77777777" w:rsidR="008C7FE9" w:rsidRPr="008C7FE9" w:rsidRDefault="008C7FE9" w:rsidP="008C7FE9">
      <w:pPr>
        <w:pStyle w:val="Body"/>
        <w:rPr>
          <w:rFonts w:ascii="Arial" w:hAnsi="Arial" w:cs="Arial"/>
        </w:rPr>
      </w:pPr>
      <w:r w:rsidRPr="008C7FE9">
        <w:rPr>
          <w:rFonts w:ascii="Arial" w:hAnsi="Arial" w:cs="Arial"/>
        </w:rPr>
        <w:t>The mechanical performance of bio-pot varies significantly depending on the composition and the processing techniques employed. For instance, the study of Jaya et al. (2024) explores the mechanical characteristics of biodegradable pots made from sodium alginate combined with oil palm empty fruit bunches. The tensile tests revealed that incorporating sodium alginate as a polymeric matrix enhances the mechanical performance of the bio-pot. These findings emphasize the critical need for optimized processing methodologies and material compositions to improve the mechanical and practical performance of bio-pots.</w:t>
      </w:r>
    </w:p>
    <w:p w14:paraId="780769A2" w14:textId="6775C9F3" w:rsidR="00790ADA" w:rsidRDefault="008C7FE9" w:rsidP="008C7FE9">
      <w:pPr>
        <w:pStyle w:val="Body"/>
        <w:spacing w:after="0"/>
        <w:rPr>
          <w:rFonts w:ascii="Arial" w:hAnsi="Arial" w:cs="Arial"/>
        </w:rPr>
      </w:pPr>
      <w:r w:rsidRPr="008C7FE9">
        <w:rPr>
          <w:rFonts w:ascii="Arial" w:hAnsi="Arial" w:cs="Arial"/>
        </w:rPr>
        <w:t xml:space="preserve"> </w:t>
      </w:r>
      <w:r w:rsidRPr="008C7FE9">
        <w:rPr>
          <w:rFonts w:ascii="Arial" w:hAnsi="Arial" w:cs="Arial"/>
        </w:rPr>
        <w:tab/>
        <w:t>This optimization is paramount for ensuring superior product quality and achieving widespread consumer acceptance. Similarly, the study of Fuentes et al. (2021) explores the mechanical properties of biodegradable pots made from sodium alginate combined with various agro-industrial byproducts. The findings indicate that optimizing the composition and processing techniques can lead to improved tensile strength and overall mechanical performance of the bio-pots, emphasizing the role of sodium alginate in enhancing material properties.</w:t>
      </w:r>
    </w:p>
    <w:p w14:paraId="2CD15555" w14:textId="77777777" w:rsidR="008C7FE9" w:rsidRDefault="008C7FE9" w:rsidP="008C7FE9">
      <w:pPr>
        <w:pStyle w:val="Body"/>
        <w:spacing w:after="0"/>
        <w:rPr>
          <w:rFonts w:ascii="Arial" w:hAnsi="Arial" w:cs="Arial"/>
        </w:rPr>
      </w:pPr>
    </w:p>
    <w:p w14:paraId="18972638" w14:textId="77777777" w:rsidR="00790ADA" w:rsidRPr="00FB3A86" w:rsidRDefault="00790ADA" w:rsidP="00441B6F">
      <w:pPr>
        <w:pStyle w:val="Body"/>
        <w:spacing w:after="0"/>
        <w:rPr>
          <w:rFonts w:ascii="Arial" w:hAnsi="Arial" w:cs="Arial"/>
        </w:rPr>
      </w:pPr>
    </w:p>
    <w:p w14:paraId="79A1FE9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6B1F027" w14:textId="77777777" w:rsidR="00790ADA" w:rsidRPr="00FB3A86" w:rsidRDefault="00790ADA" w:rsidP="00441B6F">
      <w:pPr>
        <w:pStyle w:val="ConcHead"/>
        <w:spacing w:after="0"/>
        <w:jc w:val="both"/>
        <w:rPr>
          <w:rFonts w:ascii="Arial" w:hAnsi="Arial" w:cs="Arial"/>
        </w:rPr>
      </w:pPr>
    </w:p>
    <w:p w14:paraId="0356F2A5" w14:textId="53C57BFC" w:rsidR="00B01FCD" w:rsidRDefault="008F3048" w:rsidP="00441B6F">
      <w:pPr>
        <w:pStyle w:val="Body"/>
        <w:spacing w:after="0"/>
        <w:rPr>
          <w:rFonts w:ascii="Arial" w:hAnsi="Arial" w:cs="Arial"/>
        </w:rPr>
      </w:pPr>
      <w:r w:rsidRPr="008F3048">
        <w:rPr>
          <w:rFonts w:ascii="Arial" w:hAnsi="Arial" w:cs="Arial"/>
        </w:rPr>
        <w:tab/>
        <w:t xml:space="preserve">In conclusion, this research successfully demonstrated the feasibility of creating biodegradable plant pots from agricultural waste, specifically corn cobs and rice hulls, achieving comparable mechanical performance to commercially available options with a notable strength advantage in peak force. The result of the statistical analysis revealed no statistical difference between the mechanical performance of the biodegradable pots in terms of their Tensile Strength, Compressive Strength, and Compressive strength (Peak force), which indicated that the fabricated pots are viable alternatives. Although statistical analysis showed no significant difference, observed performance variations suggest further research is warranted to optimize material formulations and processing techniques, ultimately enhancing the strength and durability of these sustainable alternatives. Specifically, this study recommends the incorporation of methods and chemicals that enhance the fabrication of biodegradable pots. It includes the incorporation of sodium alginate that according to other studies, improves the mechanical performance of the pots. Moreover, acquiring a thermo-pressing machine or hydraulic press is highly advisable to achieve a significantly stronger material bond, substantially enhancing the final product's strength and long-term durability. Future studies should also investigate different ratios of raw materials used in pot production. By varying these ratios, researchers can identify ideal combinations that maximize the perfect </w:t>
      </w:r>
      <w:r w:rsidRPr="008F3048">
        <w:rPr>
          <w:rFonts w:ascii="Arial" w:hAnsi="Arial" w:cs="Arial"/>
        </w:rPr>
        <w:lastRenderedPageBreak/>
        <w:t>property of the material. Consequently, the environmental benefits of utilizing biodegradable pots manufactured from agricultural waste are substantial. This approach minimizes landfill burden by effectively repurposing materials that would otherwise contribute to environmental pollution. It significantly reduces the carbon footprint of producing and disposing of conventional plastic pots. This sustainable practice aligns perfectly with the escalating global emphasis on environmentally conscious agricultural practices. Furthermore, it actively supports the transition towards a circular economy, a model that prioritizes waste minimization and the efficient utilization of resources.</w:t>
      </w:r>
    </w:p>
    <w:p w14:paraId="5A325514" w14:textId="57F6B4A2" w:rsidR="00666B9F" w:rsidRDefault="00666B9F" w:rsidP="00441B6F">
      <w:pPr>
        <w:pStyle w:val="Body"/>
        <w:spacing w:after="0"/>
        <w:rPr>
          <w:rFonts w:ascii="Arial" w:hAnsi="Arial" w:cs="Arial"/>
        </w:rPr>
      </w:pPr>
    </w:p>
    <w:p w14:paraId="2E7C98EC" w14:textId="4DC1D715" w:rsidR="00666B9F" w:rsidRPr="00666B9F" w:rsidRDefault="00666B9F" w:rsidP="00441B6F">
      <w:pPr>
        <w:pStyle w:val="Body"/>
        <w:spacing w:after="0"/>
        <w:rPr>
          <w:rFonts w:ascii="Arial" w:hAnsi="Arial" w:cs="Arial"/>
          <w:b/>
        </w:rPr>
      </w:pPr>
      <w:r w:rsidRPr="00666B9F">
        <w:rPr>
          <w:rFonts w:ascii="Arial" w:hAnsi="Arial" w:cs="Arial"/>
          <w:b/>
        </w:rPr>
        <w:t xml:space="preserve">Ethical Approval: </w:t>
      </w:r>
    </w:p>
    <w:p w14:paraId="20652077" w14:textId="629B34EB" w:rsidR="00666B9F" w:rsidRDefault="00666B9F" w:rsidP="00441B6F">
      <w:pPr>
        <w:pStyle w:val="Body"/>
        <w:spacing w:after="0"/>
        <w:rPr>
          <w:rFonts w:ascii="Arial" w:hAnsi="Arial" w:cs="Arial"/>
        </w:rPr>
      </w:pPr>
    </w:p>
    <w:p w14:paraId="774A0458" w14:textId="24E8DDC2" w:rsidR="00666B9F" w:rsidRDefault="00666B9F" w:rsidP="00441B6F">
      <w:pPr>
        <w:pStyle w:val="Body"/>
        <w:spacing w:after="0"/>
        <w:rPr>
          <w:rFonts w:ascii="Arial" w:hAnsi="Arial" w:cs="Arial"/>
        </w:rPr>
      </w:pPr>
      <w:r>
        <w:rPr>
          <w:rFonts w:ascii="Arial" w:hAnsi="Arial" w:cs="Arial"/>
        </w:rPr>
        <w:t>Authors are</w:t>
      </w:r>
      <w:r w:rsidRPr="00666B9F">
        <w:rPr>
          <w:rFonts w:ascii="Arial" w:hAnsi="Arial" w:cs="Arial"/>
        </w:rPr>
        <w:t xml:space="preserve"> obtaining formal approval from authorities to carry out the research activities.</w:t>
      </w:r>
    </w:p>
    <w:p w14:paraId="6C29CC37" w14:textId="77777777" w:rsidR="001F0D4F" w:rsidRDefault="001F0D4F" w:rsidP="00441B6F">
      <w:pPr>
        <w:pStyle w:val="Body"/>
        <w:spacing w:after="0"/>
        <w:rPr>
          <w:rFonts w:ascii="Arial" w:hAnsi="Arial" w:cs="Arial"/>
        </w:rPr>
      </w:pPr>
    </w:p>
    <w:p w14:paraId="11FB96CB" w14:textId="77777777" w:rsidR="000813F3" w:rsidRPr="00666B9F" w:rsidRDefault="000813F3" w:rsidP="000813F3">
      <w:pPr>
        <w:rPr>
          <w:rFonts w:asciiTheme="minorHAnsi" w:hAnsiTheme="minorHAnsi"/>
          <w:b/>
          <w:highlight w:val="yellow"/>
        </w:rPr>
      </w:pPr>
      <w:r w:rsidRPr="00666B9F">
        <w:rPr>
          <w:b/>
          <w:highlight w:val="yellow"/>
        </w:rPr>
        <w:t>Disclaimer (Artificial intelligence)</w:t>
      </w:r>
    </w:p>
    <w:p w14:paraId="7BD4B5A5" w14:textId="77777777" w:rsidR="000813F3" w:rsidRDefault="000813F3" w:rsidP="000813F3">
      <w:pPr>
        <w:rPr>
          <w:highlight w:val="yellow"/>
        </w:rPr>
      </w:pPr>
      <w:r>
        <w:rPr>
          <w:highlight w:val="yellow"/>
        </w:rPr>
        <w:t xml:space="preserve">Option 1: </w:t>
      </w:r>
    </w:p>
    <w:p w14:paraId="2A497B38" w14:textId="77777777" w:rsidR="000813F3" w:rsidRDefault="000813F3" w:rsidP="000813F3">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6008EBFB" w14:textId="77777777" w:rsidR="000813F3" w:rsidRDefault="000813F3" w:rsidP="000813F3">
      <w:pPr>
        <w:rPr>
          <w:highlight w:val="yellow"/>
        </w:rPr>
      </w:pPr>
      <w:r>
        <w:rPr>
          <w:highlight w:val="yellow"/>
        </w:rPr>
        <w:t xml:space="preserve">Option 2: </w:t>
      </w:r>
    </w:p>
    <w:p w14:paraId="5151F7D1" w14:textId="77777777" w:rsidR="000813F3" w:rsidRDefault="000813F3" w:rsidP="000813F3">
      <w:pPr>
        <w:rPr>
          <w:highlight w:val="yellow"/>
        </w:rPr>
      </w:pPr>
      <w:r>
        <w:rPr>
          <w:highlight w:val="yellow"/>
        </w:rPr>
        <w:t>Author(s) hereby declare that generative AI technologies suc</w:t>
      </w:r>
      <w:bookmarkStart w:id="0" w:name="_GoBack"/>
      <w:bookmarkEnd w:id="0"/>
      <w:r>
        <w:rPr>
          <w:highlight w:val="yellow"/>
        </w:rPr>
        <w:t>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09CDB86" w14:textId="77777777" w:rsidR="000813F3" w:rsidRDefault="000813F3" w:rsidP="000813F3">
      <w:pPr>
        <w:rPr>
          <w:highlight w:val="yellow"/>
        </w:rPr>
      </w:pPr>
      <w:r>
        <w:rPr>
          <w:highlight w:val="yellow"/>
        </w:rPr>
        <w:t>Details of the AI usage are given below:</w:t>
      </w:r>
    </w:p>
    <w:p w14:paraId="2C9E9246" w14:textId="77777777" w:rsidR="000813F3" w:rsidRDefault="000813F3" w:rsidP="000813F3">
      <w:pPr>
        <w:rPr>
          <w:highlight w:val="yellow"/>
        </w:rPr>
      </w:pPr>
      <w:r>
        <w:rPr>
          <w:highlight w:val="yellow"/>
        </w:rPr>
        <w:t>1.</w:t>
      </w:r>
    </w:p>
    <w:p w14:paraId="5A5E652A" w14:textId="77777777" w:rsidR="000813F3" w:rsidRDefault="000813F3" w:rsidP="000813F3">
      <w:pPr>
        <w:rPr>
          <w:highlight w:val="yellow"/>
        </w:rPr>
      </w:pPr>
      <w:r>
        <w:rPr>
          <w:highlight w:val="yellow"/>
        </w:rPr>
        <w:t>2.</w:t>
      </w:r>
    </w:p>
    <w:p w14:paraId="725BDF03" w14:textId="77777777" w:rsidR="000813F3" w:rsidRDefault="000813F3" w:rsidP="000813F3">
      <w:r>
        <w:rPr>
          <w:highlight w:val="yellow"/>
        </w:rPr>
        <w:t>3.</w:t>
      </w:r>
    </w:p>
    <w:p w14:paraId="39A75BB0" w14:textId="3A08F627" w:rsidR="00790ADA" w:rsidRDefault="00790ADA" w:rsidP="00441B6F">
      <w:pPr>
        <w:pStyle w:val="Body"/>
        <w:spacing w:after="0"/>
        <w:rPr>
          <w:rFonts w:ascii="Arial" w:hAnsi="Arial" w:cs="Arial"/>
        </w:rPr>
      </w:pPr>
    </w:p>
    <w:p w14:paraId="017D1611" w14:textId="77777777" w:rsidR="00C52253" w:rsidRPr="00315186" w:rsidRDefault="00C52253" w:rsidP="003351A5">
      <w:pPr>
        <w:ind w:firstLine="720"/>
        <w:jc w:val="both"/>
      </w:pPr>
    </w:p>
    <w:p w14:paraId="0352A5D0" w14:textId="7DC43572" w:rsidR="00790ADA" w:rsidRDefault="00790ADA" w:rsidP="003351A5">
      <w:pPr>
        <w:pStyle w:val="Body"/>
        <w:spacing w:after="0"/>
        <w:rPr>
          <w:rFonts w:ascii="Arial" w:hAnsi="Arial" w:cs="Arial"/>
        </w:rPr>
      </w:pPr>
    </w:p>
    <w:p w14:paraId="14AFD4C3" w14:textId="637B831C" w:rsidR="008B459E" w:rsidRPr="008F3048" w:rsidRDefault="008F3048" w:rsidP="00441B6F">
      <w:pPr>
        <w:pStyle w:val="Body"/>
        <w:spacing w:after="0"/>
        <w:rPr>
          <w:rFonts w:ascii="Arial" w:hAnsi="Arial" w:cs="Arial"/>
          <w:b/>
          <w:bCs/>
        </w:rPr>
      </w:pPr>
      <w:r w:rsidRPr="008F3048">
        <w:rPr>
          <w:rFonts w:ascii="Arial" w:hAnsi="Arial" w:cs="Arial"/>
          <w:b/>
          <w:bCs/>
        </w:rPr>
        <w:t>REFERENCES</w:t>
      </w:r>
    </w:p>
    <w:p w14:paraId="0B647B79" w14:textId="77777777" w:rsidR="008F3048" w:rsidRPr="002C57D2" w:rsidRDefault="008F3048" w:rsidP="00441B6F">
      <w:pPr>
        <w:pStyle w:val="Body"/>
        <w:spacing w:after="0"/>
        <w:rPr>
          <w:rFonts w:ascii="Arial" w:hAnsi="Arial" w:cs="Arial"/>
        </w:rPr>
      </w:pPr>
    </w:p>
    <w:p w14:paraId="18CF9C90" w14:textId="77777777" w:rsidR="008F3048" w:rsidRPr="000D530C" w:rsidRDefault="008F3048" w:rsidP="008F3048">
      <w:pPr>
        <w:pStyle w:val="Body"/>
        <w:rPr>
          <w:rFonts w:ascii="Arial" w:hAnsi="Arial" w:cs="Arial"/>
        </w:rPr>
      </w:pPr>
      <w:r w:rsidRPr="000D530C">
        <w:rPr>
          <w:rFonts w:ascii="Arial" w:hAnsi="Arial" w:cs="Arial"/>
        </w:rPr>
        <w:t xml:space="preserve">Alves, B. (2024, January 10). Plastic waste worldwide - statistics &amp; facts. Statista. </w:t>
      </w:r>
      <w:r w:rsidRPr="000D530C">
        <w:rPr>
          <w:rFonts w:ascii="Arial" w:hAnsi="Arial" w:cs="Arial"/>
        </w:rPr>
        <w:tab/>
        <w:t>https://www.statista.com/topics/5401/global-plastic-waste/#topicOverview</w:t>
      </w:r>
    </w:p>
    <w:p w14:paraId="6FB5F4C2" w14:textId="7E57FE22" w:rsidR="008F3048" w:rsidRPr="000D530C" w:rsidRDefault="008F3048" w:rsidP="008F3048">
      <w:pPr>
        <w:pStyle w:val="Body"/>
        <w:rPr>
          <w:rFonts w:ascii="Arial" w:hAnsi="Arial" w:cs="Arial"/>
        </w:rPr>
      </w:pPr>
      <w:r w:rsidRPr="000D530C">
        <w:rPr>
          <w:rFonts w:ascii="Arial" w:hAnsi="Arial" w:cs="Arial"/>
        </w:rPr>
        <w:t xml:space="preserve">Anum, I., &amp; Job, F. (2021). Compressive Strength Characteristics of Concrete Modified </w:t>
      </w:r>
      <w:proofErr w:type="gramStart"/>
      <w:r w:rsidRPr="000D530C">
        <w:rPr>
          <w:rFonts w:ascii="Arial" w:hAnsi="Arial" w:cs="Arial"/>
        </w:rPr>
        <w:t>With</w:t>
      </w:r>
      <w:proofErr w:type="gramEnd"/>
      <w:r w:rsidRPr="000D530C">
        <w:rPr>
          <w:rFonts w:ascii="Arial" w:hAnsi="Arial" w:cs="Arial"/>
        </w:rPr>
        <w:t xml:space="preserve"> </w:t>
      </w:r>
      <w:r w:rsidR="000D530C" w:rsidRPr="000D530C">
        <w:rPr>
          <w:rFonts w:ascii="Arial" w:hAnsi="Arial" w:cs="Arial"/>
        </w:rPr>
        <w:tab/>
      </w:r>
      <w:r w:rsidRPr="000D530C">
        <w:rPr>
          <w:rFonts w:ascii="Arial" w:hAnsi="Arial" w:cs="Arial"/>
        </w:rPr>
        <w:t xml:space="preserve">Treated </w:t>
      </w:r>
      <w:r w:rsidRPr="000D530C">
        <w:rPr>
          <w:rFonts w:ascii="Arial" w:hAnsi="Arial" w:cs="Arial"/>
        </w:rPr>
        <w:tab/>
        <w:t xml:space="preserve">High-Density Polyethylene. CSID Journal of Infrastructure </w:t>
      </w:r>
      <w:r w:rsidR="000D530C" w:rsidRPr="000D530C">
        <w:rPr>
          <w:rFonts w:ascii="Arial" w:hAnsi="Arial" w:cs="Arial"/>
        </w:rPr>
        <w:tab/>
      </w:r>
      <w:r w:rsidRPr="000D530C">
        <w:rPr>
          <w:rFonts w:ascii="Arial" w:hAnsi="Arial" w:cs="Arial"/>
        </w:rPr>
        <w:t xml:space="preserve">Development, 4(1), 112. </w:t>
      </w:r>
      <w:r w:rsidRPr="000D530C">
        <w:rPr>
          <w:rFonts w:ascii="Arial" w:hAnsi="Arial" w:cs="Arial"/>
        </w:rPr>
        <w:tab/>
        <w:t>https://doi.org/10.32783/csid-jid.v4i1.201</w:t>
      </w:r>
      <w:r w:rsidRPr="000D530C">
        <w:rPr>
          <w:rFonts w:ascii="Arial" w:hAnsi="Arial" w:cs="Arial"/>
        </w:rPr>
        <w:tab/>
      </w:r>
    </w:p>
    <w:p w14:paraId="327BBC60" w14:textId="73BFD2D8" w:rsidR="008F3048" w:rsidRPr="000D530C" w:rsidRDefault="008F3048" w:rsidP="008F3048">
      <w:pPr>
        <w:pStyle w:val="Body"/>
        <w:rPr>
          <w:rFonts w:ascii="Arial" w:hAnsi="Arial" w:cs="Arial"/>
        </w:rPr>
      </w:pPr>
      <w:r w:rsidRPr="000D530C">
        <w:rPr>
          <w:rFonts w:ascii="Arial" w:hAnsi="Arial" w:cs="Arial"/>
        </w:rPr>
        <w:t xml:space="preserve">Beeks, S. A., &amp; Evans, M. R. (2013). Physical Properties of </w:t>
      </w:r>
      <w:proofErr w:type="spellStart"/>
      <w:r w:rsidRPr="000D530C">
        <w:rPr>
          <w:rFonts w:ascii="Arial" w:hAnsi="Arial" w:cs="Arial"/>
        </w:rPr>
        <w:t>Biocontainers</w:t>
      </w:r>
      <w:proofErr w:type="spellEnd"/>
      <w:r w:rsidRPr="000D530C">
        <w:rPr>
          <w:rFonts w:ascii="Arial" w:hAnsi="Arial" w:cs="Arial"/>
        </w:rPr>
        <w:t xml:space="preserve"> Used to Grow </w:t>
      </w:r>
      <w:r w:rsidR="000D530C" w:rsidRPr="000D530C">
        <w:rPr>
          <w:rFonts w:ascii="Arial" w:hAnsi="Arial" w:cs="Arial"/>
        </w:rPr>
        <w:tab/>
      </w:r>
      <w:r w:rsidRPr="000D530C">
        <w:rPr>
          <w:rFonts w:ascii="Arial" w:hAnsi="Arial" w:cs="Arial"/>
        </w:rPr>
        <w:t xml:space="preserve">Long-term </w:t>
      </w:r>
      <w:r w:rsidRPr="000D530C">
        <w:rPr>
          <w:rFonts w:ascii="Arial" w:hAnsi="Arial" w:cs="Arial"/>
        </w:rPr>
        <w:tab/>
        <w:t xml:space="preserve">Greenhouse Crops in an Ebb-and-flood Irrigation System. </w:t>
      </w:r>
      <w:r w:rsidR="000D530C" w:rsidRPr="000D530C">
        <w:rPr>
          <w:rFonts w:ascii="Arial" w:hAnsi="Arial" w:cs="Arial"/>
        </w:rPr>
        <w:tab/>
      </w:r>
      <w:proofErr w:type="spellStart"/>
      <w:r w:rsidRPr="000D530C">
        <w:rPr>
          <w:rFonts w:ascii="Arial" w:hAnsi="Arial" w:cs="Arial"/>
        </w:rPr>
        <w:t>HortScience</w:t>
      </w:r>
      <w:proofErr w:type="spellEnd"/>
      <w:r w:rsidRPr="000D530C">
        <w:rPr>
          <w:rFonts w:ascii="Arial" w:hAnsi="Arial" w:cs="Arial"/>
        </w:rPr>
        <w:t xml:space="preserve">, 48(6), 732–737. </w:t>
      </w:r>
      <w:r w:rsidRPr="000D530C">
        <w:rPr>
          <w:rFonts w:ascii="Arial" w:hAnsi="Arial" w:cs="Arial"/>
        </w:rPr>
        <w:tab/>
        <w:t>https://doi.org/10.21273/hortsci.48.6.732</w:t>
      </w:r>
    </w:p>
    <w:p w14:paraId="4FF67921" w14:textId="0A9C34E5" w:rsidR="008F3048" w:rsidRPr="000D530C" w:rsidRDefault="008F3048" w:rsidP="008F3048">
      <w:pPr>
        <w:pStyle w:val="Body"/>
        <w:rPr>
          <w:rFonts w:ascii="Arial" w:hAnsi="Arial" w:cs="Arial"/>
        </w:rPr>
      </w:pPr>
      <w:r w:rsidRPr="000D530C">
        <w:rPr>
          <w:rFonts w:ascii="Arial" w:hAnsi="Arial" w:cs="Arial"/>
        </w:rPr>
        <w:t xml:space="preserve">Chen, X., Zhang, Y., &amp; Ge, P. (2023). Research on the calculation method of concrete </w:t>
      </w:r>
      <w:r w:rsidR="000D530C" w:rsidRPr="000D530C">
        <w:rPr>
          <w:rFonts w:ascii="Arial" w:hAnsi="Arial" w:cs="Arial"/>
        </w:rPr>
        <w:tab/>
      </w:r>
      <w:r w:rsidRPr="000D530C">
        <w:rPr>
          <w:rFonts w:ascii="Arial" w:hAnsi="Arial" w:cs="Arial"/>
        </w:rPr>
        <w:t xml:space="preserve">compressive </w:t>
      </w:r>
      <w:r w:rsidRPr="000D530C">
        <w:rPr>
          <w:rFonts w:ascii="Arial" w:hAnsi="Arial" w:cs="Arial"/>
        </w:rPr>
        <w:tab/>
        <w:t xml:space="preserve">strength based on volume content of recycled coarse aggregate and </w:t>
      </w:r>
      <w:r w:rsidR="000D530C" w:rsidRPr="000D530C">
        <w:rPr>
          <w:rFonts w:ascii="Arial" w:hAnsi="Arial" w:cs="Arial"/>
        </w:rPr>
        <w:tab/>
      </w:r>
      <w:r w:rsidRPr="000D530C">
        <w:rPr>
          <w:rFonts w:ascii="Arial" w:hAnsi="Arial" w:cs="Arial"/>
        </w:rPr>
        <w:t xml:space="preserve">fine aggregate. Journal of </w:t>
      </w:r>
      <w:r w:rsidRPr="000D530C">
        <w:rPr>
          <w:rFonts w:ascii="Arial" w:hAnsi="Arial" w:cs="Arial"/>
        </w:rPr>
        <w:tab/>
        <w:t xml:space="preserve">Asian Architecture and Building Engineering, 23(1), </w:t>
      </w:r>
      <w:r w:rsidR="000D530C" w:rsidRPr="000D530C">
        <w:rPr>
          <w:rFonts w:ascii="Arial" w:hAnsi="Arial" w:cs="Arial"/>
        </w:rPr>
        <w:tab/>
      </w:r>
      <w:r w:rsidRPr="000D530C">
        <w:rPr>
          <w:rFonts w:ascii="Arial" w:hAnsi="Arial" w:cs="Arial"/>
        </w:rPr>
        <w:t xml:space="preserve">204–219. </w:t>
      </w:r>
      <w:r w:rsidRPr="000D530C">
        <w:rPr>
          <w:rFonts w:ascii="Arial" w:hAnsi="Arial" w:cs="Arial"/>
        </w:rPr>
        <w:tab/>
        <w:t>https://doi.org/10.1080/13467581.2023.2238021</w:t>
      </w:r>
    </w:p>
    <w:p w14:paraId="3D91C10D" w14:textId="5805B767" w:rsidR="008F3048" w:rsidRPr="000D530C" w:rsidRDefault="008F3048" w:rsidP="008F3048">
      <w:pPr>
        <w:pStyle w:val="Body"/>
        <w:rPr>
          <w:rFonts w:ascii="Arial" w:hAnsi="Arial" w:cs="Arial"/>
        </w:rPr>
      </w:pPr>
      <w:proofErr w:type="spellStart"/>
      <w:r w:rsidRPr="000D530C">
        <w:rPr>
          <w:rFonts w:ascii="Arial" w:hAnsi="Arial" w:cs="Arial"/>
        </w:rPr>
        <w:t>Choowang</w:t>
      </w:r>
      <w:proofErr w:type="spellEnd"/>
      <w:r w:rsidRPr="000D530C">
        <w:rPr>
          <w:rFonts w:ascii="Arial" w:hAnsi="Arial" w:cs="Arial"/>
        </w:rPr>
        <w:t xml:space="preserve">, R., </w:t>
      </w:r>
      <w:proofErr w:type="spellStart"/>
      <w:r w:rsidRPr="000D530C">
        <w:rPr>
          <w:rFonts w:ascii="Arial" w:hAnsi="Arial" w:cs="Arial"/>
        </w:rPr>
        <w:t>Thitithanakul</w:t>
      </w:r>
      <w:proofErr w:type="spellEnd"/>
      <w:r w:rsidRPr="000D530C">
        <w:rPr>
          <w:rFonts w:ascii="Arial" w:hAnsi="Arial" w:cs="Arial"/>
        </w:rPr>
        <w:t xml:space="preserve">, S., &amp; </w:t>
      </w:r>
      <w:proofErr w:type="spellStart"/>
      <w:r w:rsidRPr="000D530C">
        <w:rPr>
          <w:rFonts w:ascii="Arial" w:hAnsi="Arial" w:cs="Arial"/>
        </w:rPr>
        <w:t>Luengchavanon</w:t>
      </w:r>
      <w:proofErr w:type="spellEnd"/>
      <w:r w:rsidRPr="000D530C">
        <w:rPr>
          <w:rFonts w:ascii="Arial" w:hAnsi="Arial" w:cs="Arial"/>
        </w:rPr>
        <w:t xml:space="preserve">, M. (2022). The fabrication and </w:t>
      </w:r>
      <w:r w:rsidR="000D530C" w:rsidRPr="000D530C">
        <w:rPr>
          <w:rFonts w:ascii="Arial" w:hAnsi="Arial" w:cs="Arial"/>
        </w:rPr>
        <w:tab/>
      </w:r>
      <w:r w:rsidRPr="000D530C">
        <w:rPr>
          <w:rFonts w:ascii="Arial" w:hAnsi="Arial" w:cs="Arial"/>
        </w:rPr>
        <w:t xml:space="preserve">performance of </w:t>
      </w:r>
      <w:r w:rsidRPr="000D530C">
        <w:rPr>
          <w:rFonts w:ascii="Arial" w:hAnsi="Arial" w:cs="Arial"/>
        </w:rPr>
        <w:tab/>
      </w:r>
      <w:proofErr w:type="spellStart"/>
      <w:r w:rsidRPr="000D530C">
        <w:rPr>
          <w:rFonts w:ascii="Arial" w:hAnsi="Arial" w:cs="Arial"/>
        </w:rPr>
        <w:t>plantable</w:t>
      </w:r>
      <w:proofErr w:type="spellEnd"/>
      <w:r w:rsidRPr="000D530C">
        <w:rPr>
          <w:rFonts w:ascii="Arial" w:hAnsi="Arial" w:cs="Arial"/>
        </w:rPr>
        <w:t xml:space="preserve"> bio-pots from thick sheets of oil palm </w:t>
      </w:r>
      <w:proofErr w:type="gramStart"/>
      <w:r w:rsidRPr="000D530C">
        <w:rPr>
          <w:rFonts w:ascii="Arial" w:hAnsi="Arial" w:cs="Arial"/>
        </w:rPr>
        <w:t>trunk:</w:t>
      </w:r>
      <w:r w:rsidR="000D530C" w:rsidRPr="000D530C">
        <w:rPr>
          <w:rFonts w:ascii="Arial" w:hAnsi="Arial" w:cs="Arial"/>
        </w:rPr>
        <w:tab/>
      </w:r>
      <w:r w:rsidRPr="000D530C">
        <w:rPr>
          <w:rFonts w:ascii="Arial" w:hAnsi="Arial" w:cs="Arial"/>
        </w:rPr>
        <w:t>BioResources.Bioresources.cnr.ncsu.edu.https://bioresources.cnr.ncsu.edu/</w:t>
      </w:r>
      <w:r w:rsidR="000D530C" w:rsidRPr="000D530C">
        <w:rPr>
          <w:rFonts w:ascii="Arial" w:hAnsi="Arial" w:cs="Arial"/>
        </w:rPr>
        <w:t>resoure</w:t>
      </w:r>
      <w:proofErr w:type="gramEnd"/>
      <w:r w:rsidR="000D530C" w:rsidRPr="000D530C">
        <w:rPr>
          <w:rFonts w:ascii="Arial" w:hAnsi="Arial" w:cs="Arial"/>
        </w:rPr>
        <w:tab/>
      </w:r>
      <w:r w:rsidRPr="000D530C">
        <w:rPr>
          <w:rFonts w:ascii="Arial" w:hAnsi="Arial" w:cs="Arial"/>
        </w:rPr>
        <w:t>es/the-fabrication-and-</w:t>
      </w:r>
      <w:r w:rsidRPr="000D530C">
        <w:rPr>
          <w:rFonts w:ascii="Arial" w:hAnsi="Arial" w:cs="Arial"/>
        </w:rPr>
        <w:tab/>
        <w:t>performance-of-</w:t>
      </w:r>
      <w:proofErr w:type="spellStart"/>
      <w:r w:rsidRPr="000D530C">
        <w:rPr>
          <w:rFonts w:ascii="Arial" w:hAnsi="Arial" w:cs="Arial"/>
        </w:rPr>
        <w:t>plantable</w:t>
      </w:r>
      <w:proofErr w:type="spellEnd"/>
      <w:r w:rsidRPr="000D530C">
        <w:rPr>
          <w:rFonts w:ascii="Arial" w:hAnsi="Arial" w:cs="Arial"/>
        </w:rPr>
        <w:t>-bio-pots-from-thick-sheets-of-oil-</w:t>
      </w:r>
      <w:r w:rsidR="000D530C" w:rsidRPr="000D530C">
        <w:rPr>
          <w:rFonts w:ascii="Arial" w:hAnsi="Arial" w:cs="Arial"/>
        </w:rPr>
        <w:tab/>
      </w:r>
      <w:r w:rsidRPr="000D530C">
        <w:rPr>
          <w:rFonts w:ascii="Arial" w:hAnsi="Arial" w:cs="Arial"/>
        </w:rPr>
        <w:t>palm-trunk/</w:t>
      </w:r>
    </w:p>
    <w:p w14:paraId="1BA7F64D" w14:textId="596EAB8A" w:rsidR="008F3048" w:rsidRPr="000D530C" w:rsidRDefault="008F3048" w:rsidP="008F3048">
      <w:pPr>
        <w:pStyle w:val="Body"/>
        <w:rPr>
          <w:rFonts w:ascii="Arial" w:hAnsi="Arial" w:cs="Arial"/>
        </w:rPr>
      </w:pPr>
      <w:r w:rsidRPr="000D530C">
        <w:rPr>
          <w:rFonts w:ascii="Arial" w:hAnsi="Arial" w:cs="Arial"/>
        </w:rPr>
        <w:lastRenderedPageBreak/>
        <w:t xml:space="preserve">De Castro, J. N., </w:t>
      </w:r>
      <w:proofErr w:type="spellStart"/>
      <w:r w:rsidRPr="000D530C">
        <w:rPr>
          <w:rFonts w:ascii="Arial" w:hAnsi="Arial" w:cs="Arial"/>
        </w:rPr>
        <w:t>Aventurado</w:t>
      </w:r>
      <w:proofErr w:type="spellEnd"/>
      <w:r w:rsidRPr="000D530C">
        <w:rPr>
          <w:rFonts w:ascii="Arial" w:hAnsi="Arial" w:cs="Arial"/>
        </w:rPr>
        <w:t xml:space="preserve">, J. A., Belan, X. A., Manuel, D., &amp; Geronimo, C. (2022). </w:t>
      </w:r>
      <w:r w:rsidR="000D530C" w:rsidRPr="000D530C">
        <w:rPr>
          <w:rFonts w:ascii="Arial" w:hAnsi="Arial" w:cs="Arial"/>
        </w:rPr>
        <w:tab/>
      </w:r>
      <w:r w:rsidRPr="000D530C">
        <w:rPr>
          <w:rFonts w:ascii="Arial" w:hAnsi="Arial" w:cs="Arial"/>
        </w:rPr>
        <w:t xml:space="preserve">Efficacy of </w:t>
      </w:r>
      <w:r w:rsidRPr="000D530C">
        <w:rPr>
          <w:rFonts w:ascii="Arial" w:hAnsi="Arial" w:cs="Arial"/>
        </w:rPr>
        <w:tab/>
        <w:t xml:space="preserve">Malus domestica (Apple) Pomace, Musa acuminata (Banana) Peel, </w:t>
      </w:r>
      <w:r w:rsidR="000D530C" w:rsidRPr="000D530C">
        <w:rPr>
          <w:rFonts w:ascii="Arial" w:hAnsi="Arial" w:cs="Arial"/>
        </w:rPr>
        <w:tab/>
      </w:r>
      <w:r w:rsidRPr="000D530C">
        <w:rPr>
          <w:rFonts w:ascii="Arial" w:hAnsi="Arial" w:cs="Arial"/>
        </w:rPr>
        <w:t xml:space="preserve">and Cocos nucifera </w:t>
      </w:r>
      <w:r w:rsidRPr="000D530C">
        <w:rPr>
          <w:rFonts w:ascii="Arial" w:hAnsi="Arial" w:cs="Arial"/>
        </w:rPr>
        <w:tab/>
        <w:t xml:space="preserve">(Coconut) Fiber as Biopolymers in Producing Biodegradable </w:t>
      </w:r>
      <w:r w:rsidR="000D530C" w:rsidRPr="000D530C">
        <w:rPr>
          <w:rFonts w:ascii="Arial" w:hAnsi="Arial" w:cs="Arial"/>
        </w:rPr>
        <w:tab/>
      </w:r>
      <w:r w:rsidRPr="000D530C">
        <w:rPr>
          <w:rFonts w:ascii="Arial" w:hAnsi="Arial" w:cs="Arial"/>
        </w:rPr>
        <w:t>PlantPots.https://animorepository.dlsu.edu.ph/cgi/viewcontent.cgi?article=1041&amp;cont</w:t>
      </w:r>
      <w:r w:rsidR="000D530C" w:rsidRPr="000D530C">
        <w:rPr>
          <w:rFonts w:ascii="Arial" w:hAnsi="Arial" w:cs="Arial"/>
        </w:rPr>
        <w:tab/>
      </w:r>
      <w:proofErr w:type="spellStart"/>
      <w:r w:rsidRPr="000D530C">
        <w:rPr>
          <w:rFonts w:ascii="Arial" w:hAnsi="Arial" w:cs="Arial"/>
        </w:rPr>
        <w:t>ext</w:t>
      </w:r>
      <w:proofErr w:type="spellEnd"/>
      <w:r w:rsidRPr="000D530C">
        <w:rPr>
          <w:rFonts w:ascii="Arial" w:hAnsi="Arial" w:cs="Arial"/>
        </w:rPr>
        <w:t>=</w:t>
      </w:r>
      <w:proofErr w:type="spellStart"/>
      <w:r w:rsidRPr="000D530C">
        <w:rPr>
          <w:rFonts w:ascii="Arial" w:hAnsi="Arial" w:cs="Arial"/>
        </w:rPr>
        <w:t>conf_shsrescon</w:t>
      </w:r>
      <w:proofErr w:type="spellEnd"/>
    </w:p>
    <w:p w14:paraId="32769309" w14:textId="77777777" w:rsidR="004907AA" w:rsidRDefault="008F3048" w:rsidP="008F3048">
      <w:pPr>
        <w:pStyle w:val="Body"/>
        <w:rPr>
          <w:rFonts w:ascii="Arial" w:hAnsi="Arial" w:cs="Arial"/>
        </w:rPr>
      </w:pPr>
      <w:r w:rsidRPr="000D530C">
        <w:rPr>
          <w:rFonts w:ascii="Arial" w:hAnsi="Arial" w:cs="Arial"/>
        </w:rPr>
        <w:t xml:space="preserve">Fuentes, R. A., Berthe, J. A., Barbosa, S. E., &amp; Castillo, L. A. (2021). Development of </w:t>
      </w:r>
      <w:r w:rsidR="000D530C" w:rsidRPr="000D530C">
        <w:rPr>
          <w:rFonts w:ascii="Arial" w:hAnsi="Arial" w:cs="Arial"/>
        </w:rPr>
        <w:tab/>
      </w:r>
      <w:r w:rsidRPr="000D530C">
        <w:rPr>
          <w:rFonts w:ascii="Arial" w:hAnsi="Arial" w:cs="Arial"/>
        </w:rPr>
        <w:t xml:space="preserve">biodegradable </w:t>
      </w:r>
      <w:r w:rsidRPr="000D530C">
        <w:rPr>
          <w:rFonts w:ascii="Arial" w:hAnsi="Arial" w:cs="Arial"/>
        </w:rPr>
        <w:tab/>
        <w:t xml:space="preserve">pots from different </w:t>
      </w:r>
      <w:proofErr w:type="spellStart"/>
      <w:r w:rsidRPr="000D530C">
        <w:rPr>
          <w:rFonts w:ascii="Arial" w:hAnsi="Arial" w:cs="Arial"/>
        </w:rPr>
        <w:t>agroindustrial</w:t>
      </w:r>
      <w:proofErr w:type="spellEnd"/>
      <w:r w:rsidRPr="000D530C">
        <w:rPr>
          <w:rFonts w:ascii="Arial" w:hAnsi="Arial" w:cs="Arial"/>
        </w:rPr>
        <w:t xml:space="preserve"> wastes and byproducts. </w:t>
      </w:r>
      <w:r w:rsidR="000D530C" w:rsidRPr="000D530C">
        <w:rPr>
          <w:rFonts w:ascii="Arial" w:hAnsi="Arial" w:cs="Arial"/>
        </w:rPr>
        <w:tab/>
      </w:r>
      <w:r w:rsidRPr="000D530C">
        <w:rPr>
          <w:rFonts w:ascii="Arial" w:hAnsi="Arial" w:cs="Arial"/>
        </w:rPr>
        <w:t xml:space="preserve">Sustainable Materials and </w:t>
      </w:r>
      <w:r w:rsidRPr="000D530C">
        <w:rPr>
          <w:rFonts w:ascii="Arial" w:hAnsi="Arial" w:cs="Arial"/>
        </w:rPr>
        <w:tab/>
        <w:t xml:space="preserve">Technologies, 30, e00338. </w:t>
      </w:r>
      <w:r w:rsidR="000D530C" w:rsidRPr="000D530C">
        <w:rPr>
          <w:rFonts w:ascii="Arial" w:hAnsi="Arial" w:cs="Arial"/>
        </w:rPr>
        <w:tab/>
      </w:r>
      <w:r w:rsidRPr="000D530C">
        <w:rPr>
          <w:rFonts w:ascii="Arial" w:hAnsi="Arial" w:cs="Arial"/>
        </w:rPr>
        <w:t>https://doi.org/10.1016/j.susmat.2021.e00338</w:t>
      </w:r>
      <w:r w:rsidRPr="000D530C">
        <w:rPr>
          <w:rFonts w:ascii="Arial" w:hAnsi="Arial" w:cs="Arial"/>
        </w:rPr>
        <w:tab/>
      </w:r>
    </w:p>
    <w:p w14:paraId="15A0B500" w14:textId="39D9DE84" w:rsidR="008F3048" w:rsidRDefault="004907AA" w:rsidP="008F3048">
      <w:pPr>
        <w:pStyle w:val="Body"/>
        <w:rPr>
          <w:rFonts w:ascii="Arial" w:hAnsi="Arial" w:cs="Arial"/>
        </w:rPr>
      </w:pPr>
      <w:proofErr w:type="spellStart"/>
      <w:r w:rsidRPr="004907AA">
        <w:rPr>
          <w:rFonts w:ascii="Arial" w:hAnsi="Arial" w:cs="Arial"/>
        </w:rPr>
        <w:t>Gyurkó</w:t>
      </w:r>
      <w:proofErr w:type="spellEnd"/>
      <w:r w:rsidRPr="004907AA">
        <w:rPr>
          <w:rFonts w:ascii="Arial" w:hAnsi="Arial" w:cs="Arial"/>
        </w:rPr>
        <w:t xml:space="preserve">, Z., &amp; </w:t>
      </w:r>
      <w:proofErr w:type="spellStart"/>
      <w:r w:rsidRPr="004907AA">
        <w:rPr>
          <w:rFonts w:ascii="Arial" w:hAnsi="Arial" w:cs="Arial"/>
        </w:rPr>
        <w:t>Nemes</w:t>
      </w:r>
      <w:proofErr w:type="spellEnd"/>
      <w:r w:rsidRPr="004907AA">
        <w:rPr>
          <w:rFonts w:ascii="Arial" w:hAnsi="Arial" w:cs="Arial"/>
        </w:rPr>
        <w:t xml:space="preserve">, R. (2020). Specimen Size and Shape Effect on the Compressive </w:t>
      </w:r>
      <w:r>
        <w:rPr>
          <w:rFonts w:ascii="Arial" w:hAnsi="Arial" w:cs="Arial"/>
        </w:rPr>
        <w:tab/>
      </w:r>
      <w:r w:rsidRPr="004907AA">
        <w:rPr>
          <w:rFonts w:ascii="Arial" w:hAnsi="Arial" w:cs="Arial"/>
        </w:rPr>
        <w:t xml:space="preserve">Strength of Normal Strength Concrete. </w:t>
      </w:r>
      <w:proofErr w:type="spellStart"/>
      <w:r w:rsidRPr="004907AA">
        <w:rPr>
          <w:rFonts w:ascii="Arial" w:hAnsi="Arial" w:cs="Arial"/>
        </w:rPr>
        <w:t>Periodica</w:t>
      </w:r>
      <w:proofErr w:type="spellEnd"/>
      <w:r w:rsidRPr="004907AA">
        <w:rPr>
          <w:rFonts w:ascii="Arial" w:hAnsi="Arial" w:cs="Arial"/>
        </w:rPr>
        <w:t xml:space="preserve"> </w:t>
      </w:r>
      <w:proofErr w:type="spellStart"/>
      <w:r w:rsidRPr="004907AA">
        <w:rPr>
          <w:rFonts w:ascii="Arial" w:hAnsi="Arial" w:cs="Arial"/>
        </w:rPr>
        <w:t>Polytechnica</w:t>
      </w:r>
      <w:proofErr w:type="spellEnd"/>
      <w:r w:rsidRPr="004907AA">
        <w:rPr>
          <w:rFonts w:ascii="Arial" w:hAnsi="Arial" w:cs="Arial"/>
        </w:rPr>
        <w:t xml:space="preserve"> Civil Engineering. </w:t>
      </w:r>
      <w:r>
        <w:rPr>
          <w:rFonts w:ascii="Arial" w:hAnsi="Arial" w:cs="Arial"/>
        </w:rPr>
        <w:tab/>
      </w:r>
      <w:r w:rsidRPr="004907AA">
        <w:rPr>
          <w:rFonts w:ascii="Arial" w:hAnsi="Arial" w:cs="Arial"/>
        </w:rPr>
        <w:t>https://doi.org/10.3311/ppci.15338</w:t>
      </w:r>
      <w:r w:rsidR="008F3048" w:rsidRPr="000D530C">
        <w:rPr>
          <w:rFonts w:ascii="Arial" w:hAnsi="Arial" w:cs="Arial"/>
        </w:rPr>
        <w:tab/>
      </w:r>
    </w:p>
    <w:p w14:paraId="763A4385" w14:textId="4F907F6A" w:rsidR="004907AA" w:rsidRPr="000D530C" w:rsidRDefault="004907AA" w:rsidP="008F3048">
      <w:pPr>
        <w:pStyle w:val="Body"/>
        <w:rPr>
          <w:rFonts w:ascii="Arial" w:hAnsi="Arial" w:cs="Arial"/>
        </w:rPr>
      </w:pPr>
      <w:r w:rsidRPr="004907AA">
        <w:rPr>
          <w:rFonts w:ascii="Arial" w:hAnsi="Arial" w:cs="Arial"/>
        </w:rPr>
        <w:t xml:space="preserve">Iannucci, L., Del Rosso, S., Curtis, P., Pope, D., &amp; Duke, P. (2018). Understanding the </w:t>
      </w:r>
      <w:r>
        <w:rPr>
          <w:rFonts w:ascii="Arial" w:hAnsi="Arial" w:cs="Arial"/>
        </w:rPr>
        <w:tab/>
      </w:r>
      <w:r w:rsidRPr="004907AA">
        <w:rPr>
          <w:rFonts w:ascii="Arial" w:hAnsi="Arial" w:cs="Arial"/>
        </w:rPr>
        <w:t xml:space="preserve">Thickness Effect on the Tensile Strength Property of Dyneema®HB26 Laminates. </w:t>
      </w:r>
      <w:r>
        <w:rPr>
          <w:rFonts w:ascii="Arial" w:hAnsi="Arial" w:cs="Arial"/>
        </w:rPr>
        <w:tab/>
      </w:r>
      <w:r w:rsidRPr="004907AA">
        <w:rPr>
          <w:rFonts w:ascii="Arial" w:hAnsi="Arial" w:cs="Arial"/>
        </w:rPr>
        <w:t>Materials, 11(8), 1431. https://doi.org/10.3390/ma11081431</w:t>
      </w:r>
    </w:p>
    <w:p w14:paraId="514C9059" w14:textId="5FC0FC08" w:rsidR="008F3048" w:rsidRPr="000D530C" w:rsidRDefault="008F3048" w:rsidP="008F3048">
      <w:pPr>
        <w:pStyle w:val="Body"/>
        <w:rPr>
          <w:rFonts w:ascii="Arial" w:hAnsi="Arial" w:cs="Arial"/>
        </w:rPr>
      </w:pPr>
      <w:r w:rsidRPr="000D530C">
        <w:rPr>
          <w:rFonts w:ascii="Arial" w:hAnsi="Arial" w:cs="Arial"/>
        </w:rPr>
        <w:t xml:space="preserve">Jaya, J. D., Elma, M., </w:t>
      </w:r>
      <w:proofErr w:type="spellStart"/>
      <w:r w:rsidRPr="000D530C">
        <w:rPr>
          <w:rFonts w:ascii="Arial" w:hAnsi="Arial" w:cs="Arial"/>
        </w:rPr>
        <w:t>Sunardi</w:t>
      </w:r>
      <w:proofErr w:type="spellEnd"/>
      <w:r w:rsidRPr="000D530C">
        <w:rPr>
          <w:rFonts w:ascii="Arial" w:hAnsi="Arial" w:cs="Arial"/>
        </w:rPr>
        <w:t xml:space="preserve">, S., &amp; Nugroho, A. (2022). Physical and Mechanical </w:t>
      </w:r>
      <w:r w:rsidR="000D530C" w:rsidRPr="000D530C">
        <w:rPr>
          <w:rFonts w:ascii="Arial" w:hAnsi="Arial" w:cs="Arial"/>
        </w:rPr>
        <w:tab/>
      </w:r>
      <w:r w:rsidRPr="000D530C">
        <w:rPr>
          <w:rFonts w:ascii="Arial" w:hAnsi="Arial" w:cs="Arial"/>
        </w:rPr>
        <w:t xml:space="preserve">Properties of </w:t>
      </w:r>
      <w:r w:rsidRPr="000D530C">
        <w:rPr>
          <w:rFonts w:ascii="Arial" w:hAnsi="Arial" w:cs="Arial"/>
        </w:rPr>
        <w:tab/>
        <w:t xml:space="preserve">Biodegradable Pot Derived from Oil Palm Empty Fruit Bunch and </w:t>
      </w:r>
      <w:r w:rsidR="000D530C" w:rsidRPr="000D530C">
        <w:rPr>
          <w:rFonts w:ascii="Arial" w:hAnsi="Arial" w:cs="Arial"/>
        </w:rPr>
        <w:tab/>
      </w:r>
      <w:r w:rsidRPr="000D530C">
        <w:rPr>
          <w:rFonts w:ascii="Arial" w:hAnsi="Arial" w:cs="Arial"/>
        </w:rPr>
        <w:t xml:space="preserve">Sodium Alginate. Brazilian </w:t>
      </w:r>
      <w:r w:rsidRPr="000D530C">
        <w:rPr>
          <w:rFonts w:ascii="Arial" w:hAnsi="Arial" w:cs="Arial"/>
        </w:rPr>
        <w:tab/>
        <w:t xml:space="preserve">Archives of Biology and Technology, 65. </w:t>
      </w:r>
      <w:r w:rsidR="000D530C" w:rsidRPr="000D530C">
        <w:rPr>
          <w:rFonts w:ascii="Arial" w:hAnsi="Arial" w:cs="Arial"/>
        </w:rPr>
        <w:tab/>
      </w:r>
      <w:r w:rsidRPr="000D530C">
        <w:rPr>
          <w:rFonts w:ascii="Arial" w:hAnsi="Arial" w:cs="Arial"/>
        </w:rPr>
        <w:t>https://doi.org/10.1590/1678-4324-2022210789</w:t>
      </w:r>
    </w:p>
    <w:p w14:paraId="014A8DE3" w14:textId="162152BC" w:rsidR="008F3048" w:rsidRPr="000D530C" w:rsidRDefault="008F3048" w:rsidP="008F3048">
      <w:pPr>
        <w:pStyle w:val="Body"/>
        <w:rPr>
          <w:rFonts w:ascii="Arial" w:hAnsi="Arial" w:cs="Arial"/>
        </w:rPr>
      </w:pPr>
      <w:proofErr w:type="spellStart"/>
      <w:r w:rsidRPr="000D530C">
        <w:rPr>
          <w:rFonts w:ascii="Arial" w:hAnsi="Arial" w:cs="Arial"/>
        </w:rPr>
        <w:t>Jirapornvaree</w:t>
      </w:r>
      <w:proofErr w:type="spellEnd"/>
      <w:r w:rsidRPr="000D530C">
        <w:rPr>
          <w:rFonts w:ascii="Arial" w:hAnsi="Arial" w:cs="Arial"/>
        </w:rPr>
        <w:t xml:space="preserve">, I., </w:t>
      </w:r>
      <w:proofErr w:type="spellStart"/>
      <w:r w:rsidRPr="000D530C">
        <w:rPr>
          <w:rFonts w:ascii="Arial" w:hAnsi="Arial" w:cs="Arial"/>
        </w:rPr>
        <w:t>Suppadit</w:t>
      </w:r>
      <w:proofErr w:type="spellEnd"/>
      <w:r w:rsidRPr="000D530C">
        <w:rPr>
          <w:rFonts w:ascii="Arial" w:hAnsi="Arial" w:cs="Arial"/>
        </w:rPr>
        <w:t xml:space="preserve">, T., &amp; Popan, A. (2017). Use of pineapple waste for production of </w:t>
      </w:r>
      <w:r w:rsidRPr="000D530C">
        <w:rPr>
          <w:rFonts w:ascii="Arial" w:hAnsi="Arial" w:cs="Arial"/>
        </w:rPr>
        <w:tab/>
        <w:t xml:space="preserve">decomposable pots. International Journal of Recycling of Organic Waste in </w:t>
      </w:r>
      <w:r w:rsidR="000D530C" w:rsidRPr="000D530C">
        <w:rPr>
          <w:rFonts w:ascii="Arial" w:hAnsi="Arial" w:cs="Arial"/>
        </w:rPr>
        <w:tab/>
      </w:r>
      <w:r w:rsidRPr="000D530C">
        <w:rPr>
          <w:rFonts w:ascii="Arial" w:hAnsi="Arial" w:cs="Arial"/>
        </w:rPr>
        <w:t xml:space="preserve">Agriculture, 6(4), </w:t>
      </w:r>
      <w:r w:rsidRPr="000D530C">
        <w:rPr>
          <w:rFonts w:ascii="Arial" w:hAnsi="Arial" w:cs="Arial"/>
        </w:rPr>
        <w:tab/>
        <w:t>345–350. https://doi.org/10.1007/s40093-017-0183-5</w:t>
      </w:r>
    </w:p>
    <w:p w14:paraId="2431F1FE" w14:textId="678A40A1" w:rsidR="008F3048" w:rsidRPr="00030E66" w:rsidRDefault="008F3048" w:rsidP="008F3048">
      <w:pPr>
        <w:pStyle w:val="Body"/>
        <w:rPr>
          <w:rFonts w:ascii="Arial" w:hAnsi="Arial" w:cs="Arial"/>
          <w:highlight w:val="yellow"/>
        </w:rPr>
      </w:pPr>
      <w:r w:rsidRPr="00030E66">
        <w:rPr>
          <w:rFonts w:ascii="Arial" w:hAnsi="Arial" w:cs="Arial"/>
          <w:highlight w:val="yellow"/>
        </w:rPr>
        <w:t xml:space="preserve">Kumar, R., Verma, A., Shome, A., Sinha, R., Sinha, S., Jha, P. K., Kumar, R., Kumar, P., </w:t>
      </w:r>
      <w:r w:rsidR="000D530C" w:rsidRPr="00030E66">
        <w:rPr>
          <w:rFonts w:ascii="Arial" w:hAnsi="Arial" w:cs="Arial"/>
          <w:highlight w:val="yellow"/>
        </w:rPr>
        <w:tab/>
      </w:r>
      <w:r w:rsidRPr="00030E66">
        <w:rPr>
          <w:rFonts w:ascii="Arial" w:hAnsi="Arial" w:cs="Arial"/>
          <w:highlight w:val="yellow"/>
        </w:rPr>
        <w:t xml:space="preserve">Shubham, </w:t>
      </w:r>
      <w:r w:rsidRPr="00030E66">
        <w:rPr>
          <w:rFonts w:ascii="Arial" w:hAnsi="Arial" w:cs="Arial"/>
          <w:highlight w:val="yellow"/>
        </w:rPr>
        <w:tab/>
        <w:t xml:space="preserve">Das, S., Sharma, P., &amp; Vara Prasad, P. V. (2021). Impacts of Plastic </w:t>
      </w:r>
      <w:r w:rsidR="000D530C" w:rsidRPr="00030E66">
        <w:rPr>
          <w:rFonts w:ascii="Arial" w:hAnsi="Arial" w:cs="Arial"/>
          <w:highlight w:val="yellow"/>
        </w:rPr>
        <w:tab/>
      </w:r>
      <w:r w:rsidRPr="00030E66">
        <w:rPr>
          <w:rFonts w:ascii="Arial" w:hAnsi="Arial" w:cs="Arial"/>
          <w:highlight w:val="yellow"/>
        </w:rPr>
        <w:t xml:space="preserve">Pollution on Ecosystem </w:t>
      </w:r>
      <w:r w:rsidRPr="00030E66">
        <w:rPr>
          <w:rFonts w:ascii="Arial" w:hAnsi="Arial" w:cs="Arial"/>
          <w:highlight w:val="yellow"/>
        </w:rPr>
        <w:tab/>
        <w:t xml:space="preserve">Services, Sustainable Development Goals, and Need to </w:t>
      </w:r>
      <w:r w:rsidR="000D530C" w:rsidRPr="00030E66">
        <w:rPr>
          <w:rFonts w:ascii="Arial" w:hAnsi="Arial" w:cs="Arial"/>
          <w:highlight w:val="yellow"/>
        </w:rPr>
        <w:tab/>
      </w:r>
      <w:r w:rsidRPr="00030E66">
        <w:rPr>
          <w:rFonts w:ascii="Arial" w:hAnsi="Arial" w:cs="Arial"/>
          <w:highlight w:val="yellow"/>
        </w:rPr>
        <w:t xml:space="preserve">Focus on Circular Economy and Policy </w:t>
      </w:r>
      <w:r w:rsidRPr="00030E66">
        <w:rPr>
          <w:rFonts w:ascii="Arial" w:hAnsi="Arial" w:cs="Arial"/>
          <w:highlight w:val="yellow"/>
        </w:rPr>
        <w:tab/>
        <w:t xml:space="preserve">Interventions. Sustainability, 13(17), 9963. </w:t>
      </w:r>
      <w:r w:rsidR="000D530C" w:rsidRPr="00030E66">
        <w:rPr>
          <w:rFonts w:ascii="Arial" w:hAnsi="Arial" w:cs="Arial"/>
          <w:highlight w:val="yellow"/>
        </w:rPr>
        <w:tab/>
      </w:r>
      <w:proofErr w:type="spellStart"/>
      <w:r w:rsidRPr="00030E66">
        <w:rPr>
          <w:rFonts w:ascii="Arial" w:hAnsi="Arial" w:cs="Arial"/>
          <w:highlight w:val="yellow"/>
        </w:rPr>
        <w:t>mdpi</w:t>
      </w:r>
      <w:proofErr w:type="spellEnd"/>
      <w:r w:rsidRPr="00030E66">
        <w:rPr>
          <w:rFonts w:ascii="Arial" w:hAnsi="Arial" w:cs="Arial"/>
          <w:highlight w:val="yellow"/>
        </w:rPr>
        <w:t>. https://doi.org/10.3390/su13179963</w:t>
      </w:r>
    </w:p>
    <w:p w14:paraId="2B1D5D6A" w14:textId="4D30EF39" w:rsidR="008F3048" w:rsidRPr="000D530C" w:rsidRDefault="008F3048" w:rsidP="008F3048">
      <w:pPr>
        <w:pStyle w:val="Body"/>
        <w:rPr>
          <w:rFonts w:ascii="Arial" w:hAnsi="Arial" w:cs="Arial"/>
        </w:rPr>
      </w:pPr>
      <w:proofErr w:type="spellStart"/>
      <w:r w:rsidRPr="00030E66">
        <w:rPr>
          <w:rFonts w:ascii="Arial" w:hAnsi="Arial" w:cs="Arial"/>
          <w:highlight w:val="yellow"/>
        </w:rPr>
        <w:t>Maitlo</w:t>
      </w:r>
      <w:proofErr w:type="spellEnd"/>
      <w:r w:rsidRPr="00030E66">
        <w:rPr>
          <w:rFonts w:ascii="Arial" w:hAnsi="Arial" w:cs="Arial"/>
          <w:highlight w:val="yellow"/>
        </w:rPr>
        <w:t xml:space="preserve">, G., Ali, I., </w:t>
      </w:r>
      <w:proofErr w:type="spellStart"/>
      <w:r w:rsidRPr="00030E66">
        <w:rPr>
          <w:rFonts w:ascii="Arial" w:hAnsi="Arial" w:cs="Arial"/>
          <w:highlight w:val="yellow"/>
        </w:rPr>
        <w:t>Maitlo</w:t>
      </w:r>
      <w:proofErr w:type="spellEnd"/>
      <w:r w:rsidRPr="00030E66">
        <w:rPr>
          <w:rFonts w:ascii="Arial" w:hAnsi="Arial" w:cs="Arial"/>
          <w:highlight w:val="yellow"/>
        </w:rPr>
        <w:t xml:space="preserve">, H. A., Ali, S., Unar, I. N., Ahmad, M. B., Bhutto, D. K., Karmani, R. </w:t>
      </w:r>
      <w:r w:rsidR="000D530C" w:rsidRPr="00030E66">
        <w:rPr>
          <w:rFonts w:ascii="Arial" w:hAnsi="Arial" w:cs="Arial"/>
          <w:highlight w:val="yellow"/>
        </w:rPr>
        <w:tab/>
      </w:r>
      <w:r w:rsidRPr="00030E66">
        <w:rPr>
          <w:rFonts w:ascii="Arial" w:hAnsi="Arial" w:cs="Arial"/>
          <w:highlight w:val="yellow"/>
        </w:rPr>
        <w:t xml:space="preserve">K., </w:t>
      </w:r>
      <w:r w:rsidRPr="00030E66">
        <w:rPr>
          <w:rFonts w:ascii="Arial" w:hAnsi="Arial" w:cs="Arial"/>
          <w:highlight w:val="yellow"/>
        </w:rPr>
        <w:tab/>
      </w:r>
      <w:proofErr w:type="spellStart"/>
      <w:r w:rsidRPr="00030E66">
        <w:rPr>
          <w:rFonts w:ascii="Arial" w:hAnsi="Arial" w:cs="Arial"/>
          <w:highlight w:val="yellow"/>
        </w:rPr>
        <w:t>Naich</w:t>
      </w:r>
      <w:proofErr w:type="spellEnd"/>
      <w:r w:rsidRPr="00030E66">
        <w:rPr>
          <w:rFonts w:ascii="Arial" w:hAnsi="Arial" w:cs="Arial"/>
          <w:highlight w:val="yellow"/>
        </w:rPr>
        <w:t xml:space="preserve">, S. </w:t>
      </w:r>
      <w:proofErr w:type="spellStart"/>
      <w:r w:rsidRPr="00030E66">
        <w:rPr>
          <w:rFonts w:ascii="Arial" w:hAnsi="Arial" w:cs="Arial"/>
          <w:highlight w:val="yellow"/>
        </w:rPr>
        <w:t>ur</w:t>
      </w:r>
      <w:proofErr w:type="spellEnd"/>
      <w:r w:rsidRPr="00030E66">
        <w:rPr>
          <w:rFonts w:ascii="Arial" w:hAnsi="Arial" w:cs="Arial"/>
          <w:highlight w:val="yellow"/>
        </w:rPr>
        <w:t xml:space="preserve"> R., Sajjad, R. U., Ali, S., &amp; Afridi, M. N. (2022). Plastic Waste </w:t>
      </w:r>
      <w:r w:rsidR="000D530C" w:rsidRPr="00030E66">
        <w:rPr>
          <w:rFonts w:ascii="Arial" w:hAnsi="Arial" w:cs="Arial"/>
          <w:highlight w:val="yellow"/>
        </w:rPr>
        <w:tab/>
      </w:r>
      <w:r w:rsidRPr="00030E66">
        <w:rPr>
          <w:rFonts w:ascii="Arial" w:hAnsi="Arial" w:cs="Arial"/>
          <w:highlight w:val="yellow"/>
        </w:rPr>
        <w:t xml:space="preserve">Recycling, </w:t>
      </w:r>
      <w:r w:rsidRPr="00030E66">
        <w:rPr>
          <w:rFonts w:ascii="Arial" w:hAnsi="Arial" w:cs="Arial"/>
          <w:highlight w:val="yellow"/>
        </w:rPr>
        <w:tab/>
        <w:t xml:space="preserve">Applications, and Future Prospects for a Sustainable Environment. </w:t>
      </w:r>
      <w:r w:rsidR="000D530C" w:rsidRPr="00030E66">
        <w:rPr>
          <w:rFonts w:ascii="Arial" w:hAnsi="Arial" w:cs="Arial"/>
          <w:highlight w:val="yellow"/>
        </w:rPr>
        <w:tab/>
      </w:r>
      <w:r w:rsidRPr="00030E66">
        <w:rPr>
          <w:rFonts w:ascii="Arial" w:hAnsi="Arial" w:cs="Arial"/>
          <w:highlight w:val="yellow"/>
        </w:rPr>
        <w:t xml:space="preserve">Sustainability, 14(18), </w:t>
      </w:r>
      <w:r w:rsidRPr="00030E66">
        <w:rPr>
          <w:rFonts w:ascii="Arial" w:hAnsi="Arial" w:cs="Arial"/>
          <w:highlight w:val="yellow"/>
        </w:rPr>
        <w:tab/>
        <w:t>11637. https://doi.org/10.3390/su141811637</w:t>
      </w:r>
    </w:p>
    <w:p w14:paraId="20957D12" w14:textId="3766EF20" w:rsidR="008F3048" w:rsidRPr="000D530C" w:rsidRDefault="008F3048" w:rsidP="008F3048">
      <w:pPr>
        <w:pStyle w:val="Body"/>
        <w:rPr>
          <w:rFonts w:ascii="Arial" w:hAnsi="Arial" w:cs="Arial"/>
        </w:rPr>
      </w:pPr>
      <w:r w:rsidRPr="000D530C">
        <w:rPr>
          <w:rFonts w:ascii="Arial" w:hAnsi="Arial" w:cs="Arial"/>
        </w:rPr>
        <w:t xml:space="preserve">Miller, S. A., Cunningham, P. R., &amp; Harvey, J. T. (2019). Rice-based ash in concrete: A </w:t>
      </w:r>
      <w:r w:rsidR="000D530C" w:rsidRPr="000D530C">
        <w:rPr>
          <w:rFonts w:ascii="Arial" w:hAnsi="Arial" w:cs="Arial"/>
        </w:rPr>
        <w:tab/>
      </w:r>
      <w:r w:rsidRPr="000D530C">
        <w:rPr>
          <w:rFonts w:ascii="Arial" w:hAnsi="Arial" w:cs="Arial"/>
        </w:rPr>
        <w:t xml:space="preserve">review of past </w:t>
      </w:r>
      <w:r w:rsidRPr="000D530C">
        <w:rPr>
          <w:rFonts w:ascii="Arial" w:hAnsi="Arial" w:cs="Arial"/>
        </w:rPr>
        <w:tab/>
        <w:t xml:space="preserve">work and potential environmental sustainability. </w:t>
      </w:r>
      <w:r w:rsidR="000D530C" w:rsidRPr="000D530C">
        <w:rPr>
          <w:rFonts w:ascii="Arial" w:hAnsi="Arial" w:cs="Arial"/>
        </w:rPr>
        <w:tab/>
      </w:r>
      <w:proofErr w:type="spellStart"/>
      <w:proofErr w:type="gramStart"/>
      <w:r w:rsidRPr="000D530C">
        <w:rPr>
          <w:rFonts w:ascii="Arial" w:hAnsi="Arial" w:cs="Arial"/>
        </w:rPr>
        <w:t>Resources,Conservation</w:t>
      </w:r>
      <w:proofErr w:type="spellEnd"/>
      <w:proofErr w:type="gramEnd"/>
      <w:r w:rsidRPr="000D530C">
        <w:rPr>
          <w:rFonts w:ascii="Arial" w:hAnsi="Arial" w:cs="Arial"/>
        </w:rPr>
        <w:t xml:space="preserve"> and Recycling, 146, </w:t>
      </w:r>
      <w:r w:rsidRPr="000D530C">
        <w:rPr>
          <w:rFonts w:ascii="Arial" w:hAnsi="Arial" w:cs="Arial"/>
        </w:rPr>
        <w:tab/>
        <w:t>416–430.</w:t>
      </w:r>
      <w:r w:rsidR="000D530C" w:rsidRPr="000D530C">
        <w:rPr>
          <w:rFonts w:ascii="Arial" w:hAnsi="Arial" w:cs="Arial"/>
        </w:rPr>
        <w:t xml:space="preserve"> </w:t>
      </w:r>
      <w:r w:rsidR="000D530C" w:rsidRPr="000D530C">
        <w:rPr>
          <w:rFonts w:ascii="Arial" w:hAnsi="Arial" w:cs="Arial"/>
        </w:rPr>
        <w:tab/>
      </w:r>
      <w:r w:rsidRPr="000D530C">
        <w:rPr>
          <w:rFonts w:ascii="Arial" w:hAnsi="Arial" w:cs="Arial"/>
        </w:rPr>
        <w:t>https://doi.org/10.1016/j.resconrec.2019.03.041</w:t>
      </w:r>
    </w:p>
    <w:p w14:paraId="21EBD74C" w14:textId="77777777" w:rsidR="008F3048" w:rsidRPr="000D530C" w:rsidRDefault="008F3048" w:rsidP="008F3048">
      <w:pPr>
        <w:pStyle w:val="Body"/>
        <w:rPr>
          <w:rFonts w:ascii="Arial" w:hAnsi="Arial" w:cs="Arial"/>
        </w:rPr>
      </w:pPr>
      <w:proofErr w:type="gramStart"/>
      <w:r w:rsidRPr="00030E66">
        <w:rPr>
          <w:rFonts w:ascii="Arial" w:hAnsi="Arial" w:cs="Arial"/>
          <w:highlight w:val="yellow"/>
        </w:rPr>
        <w:t>Minay ,</w:t>
      </w:r>
      <w:proofErr w:type="gramEnd"/>
      <w:r w:rsidRPr="00030E66">
        <w:rPr>
          <w:rFonts w:ascii="Arial" w:hAnsi="Arial" w:cs="Arial"/>
          <w:highlight w:val="yellow"/>
        </w:rPr>
        <w:t xml:space="preserve"> P. H. (2023). PRODUCTION OF BIODEGRADABLE GROW POTS USING BANANA </w:t>
      </w:r>
      <w:r w:rsidRPr="00030E66">
        <w:rPr>
          <w:rFonts w:ascii="Arial" w:hAnsi="Arial" w:cs="Arial"/>
          <w:highlight w:val="yellow"/>
        </w:rPr>
        <w:tab/>
        <w:t>PEELINGS (Musa acuminata) AND CORN HUSK (</w:t>
      </w:r>
      <w:proofErr w:type="spellStart"/>
      <w:r w:rsidRPr="00030E66">
        <w:rPr>
          <w:rFonts w:ascii="Arial" w:hAnsi="Arial" w:cs="Arial"/>
          <w:highlight w:val="yellow"/>
        </w:rPr>
        <w:t>Zea</w:t>
      </w:r>
      <w:proofErr w:type="spellEnd"/>
      <w:r w:rsidRPr="00030E66">
        <w:rPr>
          <w:rFonts w:ascii="Arial" w:hAnsi="Arial" w:cs="Arial"/>
          <w:highlight w:val="yellow"/>
        </w:rPr>
        <w:t xml:space="preserve"> mays</w:t>
      </w:r>
      <w:proofErr w:type="gramStart"/>
      <w:r w:rsidRPr="00030E66">
        <w:rPr>
          <w:rFonts w:ascii="Arial" w:hAnsi="Arial" w:cs="Arial"/>
          <w:highlight w:val="yellow"/>
        </w:rPr>
        <w:t>) .</w:t>
      </w:r>
      <w:proofErr w:type="gramEnd"/>
      <w:r w:rsidRPr="00030E66">
        <w:rPr>
          <w:rFonts w:ascii="Arial" w:hAnsi="Arial" w:cs="Arial"/>
          <w:highlight w:val="yellow"/>
        </w:rPr>
        <w:t xml:space="preserve"> Scribd. </w:t>
      </w:r>
      <w:r w:rsidRPr="00030E66">
        <w:rPr>
          <w:rFonts w:ascii="Arial" w:hAnsi="Arial" w:cs="Arial"/>
          <w:highlight w:val="yellow"/>
        </w:rPr>
        <w:tab/>
        <w:t>https://www.scribd.com/document/649894486/LIKHA</w:t>
      </w:r>
    </w:p>
    <w:p w14:paraId="6FAF3FD5" w14:textId="41C971ED" w:rsidR="008F3048" w:rsidRPr="000D530C" w:rsidRDefault="008F3048" w:rsidP="008F3048">
      <w:pPr>
        <w:pStyle w:val="Body"/>
        <w:rPr>
          <w:rFonts w:ascii="Arial" w:hAnsi="Arial" w:cs="Arial"/>
        </w:rPr>
      </w:pPr>
      <w:r w:rsidRPr="000D530C">
        <w:rPr>
          <w:rFonts w:ascii="Arial" w:hAnsi="Arial" w:cs="Arial"/>
        </w:rPr>
        <w:t xml:space="preserve">Mohammed, O., &amp; Salih, W. (2023). The Effect of Grain Size of Reinforcing Material (Corn </w:t>
      </w:r>
      <w:r w:rsidR="000D530C" w:rsidRPr="000D530C">
        <w:rPr>
          <w:rFonts w:ascii="Arial" w:hAnsi="Arial" w:cs="Arial"/>
        </w:rPr>
        <w:tab/>
      </w:r>
      <w:r w:rsidRPr="000D530C">
        <w:rPr>
          <w:rFonts w:ascii="Arial" w:hAnsi="Arial" w:cs="Arial"/>
        </w:rPr>
        <w:t xml:space="preserve">Cob) </w:t>
      </w:r>
      <w:r w:rsidRPr="000D530C">
        <w:rPr>
          <w:rFonts w:ascii="Arial" w:hAnsi="Arial" w:cs="Arial"/>
        </w:rPr>
        <w:tab/>
        <w:t xml:space="preserve">on         </w:t>
      </w:r>
      <w:r w:rsidRPr="000D530C">
        <w:rPr>
          <w:rFonts w:ascii="Arial" w:hAnsi="Arial" w:cs="Arial"/>
        </w:rPr>
        <w:tab/>
        <w:t xml:space="preserve">Some Mechanical Properties of the Composite Material. </w:t>
      </w:r>
      <w:r w:rsidR="000D530C" w:rsidRPr="000D530C">
        <w:rPr>
          <w:rFonts w:ascii="Arial" w:hAnsi="Arial" w:cs="Arial"/>
        </w:rPr>
        <w:tab/>
      </w:r>
      <w:r w:rsidRPr="000D530C">
        <w:rPr>
          <w:rFonts w:ascii="Arial" w:hAnsi="Arial" w:cs="Arial"/>
        </w:rPr>
        <w:t xml:space="preserve">Journal of University </w:t>
      </w:r>
      <w:r w:rsidRPr="000D530C">
        <w:rPr>
          <w:rFonts w:ascii="Arial" w:hAnsi="Arial" w:cs="Arial"/>
        </w:rPr>
        <w:tab/>
        <w:t xml:space="preserve">of Anbar </w:t>
      </w:r>
      <w:proofErr w:type="gramStart"/>
      <w:r w:rsidRPr="000D530C">
        <w:rPr>
          <w:rFonts w:ascii="Arial" w:hAnsi="Arial" w:cs="Arial"/>
        </w:rPr>
        <w:t xml:space="preserve">for  </w:t>
      </w:r>
      <w:r w:rsidRPr="000D530C">
        <w:rPr>
          <w:rFonts w:ascii="Arial" w:hAnsi="Arial" w:cs="Arial"/>
        </w:rPr>
        <w:tab/>
      </w:r>
      <w:proofErr w:type="gramEnd"/>
      <w:r w:rsidRPr="000D530C">
        <w:rPr>
          <w:rFonts w:ascii="Arial" w:hAnsi="Arial" w:cs="Arial"/>
        </w:rPr>
        <w:t xml:space="preserve">Pure Science, 17(2), 203–209. </w:t>
      </w:r>
      <w:r w:rsidR="000D530C" w:rsidRPr="000D530C">
        <w:rPr>
          <w:rFonts w:ascii="Arial" w:hAnsi="Arial" w:cs="Arial"/>
        </w:rPr>
        <w:tab/>
      </w:r>
      <w:r w:rsidRPr="000D530C">
        <w:rPr>
          <w:rFonts w:ascii="Arial" w:hAnsi="Arial" w:cs="Arial"/>
        </w:rPr>
        <w:t>https://doi.org/10.37652/juaps.2023.181565</w:t>
      </w:r>
    </w:p>
    <w:p w14:paraId="3130BFEF" w14:textId="77777777" w:rsidR="008F3048" w:rsidRPr="000D530C" w:rsidRDefault="008F3048" w:rsidP="008F3048">
      <w:pPr>
        <w:pStyle w:val="Body"/>
        <w:rPr>
          <w:rFonts w:ascii="Arial" w:hAnsi="Arial" w:cs="Arial"/>
        </w:rPr>
      </w:pPr>
      <w:r w:rsidRPr="000D530C">
        <w:rPr>
          <w:rFonts w:ascii="Arial" w:hAnsi="Arial" w:cs="Arial"/>
        </w:rPr>
        <w:lastRenderedPageBreak/>
        <w:t xml:space="preserve">Mohanan, N., </w:t>
      </w:r>
      <w:proofErr w:type="spellStart"/>
      <w:r w:rsidRPr="000D530C">
        <w:rPr>
          <w:rFonts w:ascii="Arial" w:hAnsi="Arial" w:cs="Arial"/>
        </w:rPr>
        <w:t>Montazer</w:t>
      </w:r>
      <w:proofErr w:type="spellEnd"/>
      <w:r w:rsidRPr="000D530C">
        <w:rPr>
          <w:rFonts w:ascii="Arial" w:hAnsi="Arial" w:cs="Arial"/>
        </w:rPr>
        <w:t xml:space="preserve">, Z., Sharma, P. K., &amp; Levin, D. B. (2020). Microbial and Enzymatic </w:t>
      </w:r>
      <w:r w:rsidRPr="000D530C">
        <w:rPr>
          <w:rFonts w:ascii="Arial" w:hAnsi="Arial" w:cs="Arial"/>
        </w:rPr>
        <w:tab/>
        <w:t xml:space="preserve">Degradation of Synthetic Plastics. Frontiers in Microbiology, 11(1664-302X). </w:t>
      </w:r>
      <w:r w:rsidRPr="000D530C">
        <w:rPr>
          <w:rFonts w:ascii="Arial" w:hAnsi="Arial" w:cs="Arial"/>
        </w:rPr>
        <w:tab/>
        <w:t>https://doi.org/10.3389/fmicb.2020.580709</w:t>
      </w:r>
    </w:p>
    <w:p w14:paraId="3640051F" w14:textId="4DAE7D88" w:rsidR="008F3048" w:rsidRPr="000D530C" w:rsidRDefault="008F3048" w:rsidP="008F3048">
      <w:pPr>
        <w:pStyle w:val="Body"/>
        <w:rPr>
          <w:rFonts w:ascii="Arial" w:hAnsi="Arial" w:cs="Arial"/>
        </w:rPr>
      </w:pPr>
      <w:proofErr w:type="spellStart"/>
      <w:r w:rsidRPr="000D530C">
        <w:rPr>
          <w:rFonts w:ascii="Arial" w:hAnsi="Arial" w:cs="Arial"/>
        </w:rPr>
        <w:t>Otutu</w:t>
      </w:r>
      <w:proofErr w:type="spellEnd"/>
      <w:r w:rsidRPr="000D530C">
        <w:rPr>
          <w:rFonts w:ascii="Arial" w:hAnsi="Arial" w:cs="Arial"/>
        </w:rPr>
        <w:t xml:space="preserve">, M. (2020, September 2). What is Tensile Strength? - Definition from </w:t>
      </w:r>
      <w:proofErr w:type="spellStart"/>
      <w:r w:rsidRPr="000D530C">
        <w:rPr>
          <w:rFonts w:ascii="Arial" w:hAnsi="Arial" w:cs="Arial"/>
        </w:rPr>
        <w:t>Corrosionpedia</w:t>
      </w:r>
      <w:proofErr w:type="spellEnd"/>
      <w:r w:rsidRPr="000D530C">
        <w:rPr>
          <w:rFonts w:ascii="Arial" w:hAnsi="Arial" w:cs="Arial"/>
        </w:rPr>
        <w:t xml:space="preserve">. </w:t>
      </w:r>
      <w:r w:rsidRPr="000D530C">
        <w:rPr>
          <w:rFonts w:ascii="Arial" w:hAnsi="Arial" w:cs="Arial"/>
        </w:rPr>
        <w:tab/>
      </w:r>
      <w:proofErr w:type="gramStart"/>
      <w:r w:rsidRPr="000D530C">
        <w:rPr>
          <w:rFonts w:ascii="Arial" w:hAnsi="Arial" w:cs="Arial"/>
        </w:rPr>
        <w:t>Corrosionpedia;Corrosionpedia.https://www.corrosionpedia.com/definition/1072/tens</w:t>
      </w:r>
      <w:proofErr w:type="gramEnd"/>
      <w:r w:rsidR="000D530C" w:rsidRPr="000D530C">
        <w:rPr>
          <w:rFonts w:ascii="Arial" w:hAnsi="Arial" w:cs="Arial"/>
        </w:rPr>
        <w:tab/>
      </w:r>
      <w:proofErr w:type="spellStart"/>
      <w:r w:rsidRPr="000D530C">
        <w:rPr>
          <w:rFonts w:ascii="Arial" w:hAnsi="Arial" w:cs="Arial"/>
        </w:rPr>
        <w:t>ile</w:t>
      </w:r>
      <w:proofErr w:type="spellEnd"/>
      <w:r w:rsidRPr="000D530C">
        <w:rPr>
          <w:rFonts w:ascii="Arial" w:hAnsi="Arial" w:cs="Arial"/>
        </w:rPr>
        <w:t>-</w:t>
      </w:r>
      <w:r w:rsidRPr="000D530C">
        <w:rPr>
          <w:rFonts w:ascii="Arial" w:hAnsi="Arial" w:cs="Arial"/>
        </w:rPr>
        <w:tab/>
        <w:t>strength</w:t>
      </w:r>
    </w:p>
    <w:p w14:paraId="5111532C" w14:textId="03653CA9" w:rsidR="008F3048" w:rsidRPr="000D530C" w:rsidRDefault="008F3048" w:rsidP="008F3048">
      <w:pPr>
        <w:pStyle w:val="Body"/>
        <w:rPr>
          <w:rFonts w:ascii="Arial" w:hAnsi="Arial" w:cs="Arial"/>
        </w:rPr>
      </w:pPr>
      <w:proofErr w:type="spellStart"/>
      <w:r w:rsidRPr="000D530C">
        <w:rPr>
          <w:rFonts w:ascii="Arial" w:hAnsi="Arial" w:cs="Arial"/>
        </w:rPr>
        <w:t>Pilapitiya</w:t>
      </w:r>
      <w:proofErr w:type="spellEnd"/>
      <w:r w:rsidRPr="000D530C">
        <w:rPr>
          <w:rFonts w:ascii="Arial" w:hAnsi="Arial" w:cs="Arial"/>
        </w:rPr>
        <w:t xml:space="preserve">, P. G. C. N. T., &amp; Ratnayake, A. S. (2024). The world of plastic waste: A review. </w:t>
      </w:r>
      <w:r w:rsidR="000D530C" w:rsidRPr="000D530C">
        <w:rPr>
          <w:rFonts w:ascii="Arial" w:hAnsi="Arial" w:cs="Arial"/>
        </w:rPr>
        <w:tab/>
      </w:r>
      <w:r w:rsidRPr="000D530C">
        <w:rPr>
          <w:rFonts w:ascii="Arial" w:hAnsi="Arial" w:cs="Arial"/>
        </w:rPr>
        <w:t xml:space="preserve">Cleaner </w:t>
      </w:r>
      <w:r w:rsidRPr="000D530C">
        <w:rPr>
          <w:rFonts w:ascii="Arial" w:hAnsi="Arial" w:cs="Arial"/>
        </w:rPr>
        <w:tab/>
        <w:t>Materials, 11, 100220. https://doi.org/10.1016/j.clema.2024.100220</w:t>
      </w:r>
    </w:p>
    <w:p w14:paraId="20B0A1D1" w14:textId="5A3434BF" w:rsidR="008F3048" w:rsidRPr="000D530C" w:rsidRDefault="008F3048" w:rsidP="008F3048">
      <w:pPr>
        <w:pStyle w:val="Body"/>
        <w:rPr>
          <w:rFonts w:ascii="Arial" w:hAnsi="Arial" w:cs="Arial"/>
        </w:rPr>
      </w:pPr>
      <w:r w:rsidRPr="000D530C">
        <w:rPr>
          <w:rFonts w:ascii="Arial" w:hAnsi="Arial" w:cs="Arial"/>
        </w:rPr>
        <w:t xml:space="preserve">Raut N.A., </w:t>
      </w:r>
      <w:proofErr w:type="spellStart"/>
      <w:r w:rsidRPr="000D530C">
        <w:rPr>
          <w:rFonts w:ascii="Arial" w:hAnsi="Arial" w:cs="Arial"/>
        </w:rPr>
        <w:t>Kokare</w:t>
      </w:r>
      <w:proofErr w:type="spellEnd"/>
      <w:r w:rsidRPr="000D530C">
        <w:rPr>
          <w:rFonts w:ascii="Arial" w:hAnsi="Arial" w:cs="Arial"/>
        </w:rPr>
        <w:t xml:space="preserve"> D.M., </w:t>
      </w:r>
      <w:proofErr w:type="spellStart"/>
      <w:r w:rsidRPr="000D530C">
        <w:rPr>
          <w:rFonts w:ascii="Arial" w:hAnsi="Arial" w:cs="Arial"/>
        </w:rPr>
        <w:t>Randive</w:t>
      </w:r>
      <w:proofErr w:type="spellEnd"/>
      <w:r w:rsidRPr="000D530C">
        <w:rPr>
          <w:rFonts w:ascii="Arial" w:hAnsi="Arial" w:cs="Arial"/>
        </w:rPr>
        <w:t xml:space="preserve"> K.R., </w:t>
      </w:r>
      <w:proofErr w:type="spellStart"/>
      <w:r w:rsidRPr="000D530C">
        <w:rPr>
          <w:rFonts w:ascii="Arial" w:hAnsi="Arial" w:cs="Arial"/>
        </w:rPr>
        <w:t>Bhanvase</w:t>
      </w:r>
      <w:proofErr w:type="spellEnd"/>
      <w:r w:rsidRPr="000D530C">
        <w:rPr>
          <w:rFonts w:ascii="Arial" w:hAnsi="Arial" w:cs="Arial"/>
        </w:rPr>
        <w:t xml:space="preserve"> B.A., Dhole S.J. Introduction: </w:t>
      </w:r>
      <w:r w:rsidR="000D530C" w:rsidRPr="000D530C">
        <w:rPr>
          <w:rFonts w:ascii="Arial" w:hAnsi="Arial" w:cs="Arial"/>
        </w:rPr>
        <w:tab/>
      </w:r>
      <w:r w:rsidRPr="000D530C">
        <w:rPr>
          <w:rFonts w:ascii="Arial" w:hAnsi="Arial" w:cs="Arial"/>
        </w:rPr>
        <w:t xml:space="preserve">fundamentals of </w:t>
      </w:r>
      <w:r w:rsidRPr="000D530C">
        <w:rPr>
          <w:rFonts w:ascii="Arial" w:hAnsi="Arial" w:cs="Arial"/>
        </w:rPr>
        <w:tab/>
        <w:t xml:space="preserve">waste removal technologies. In: Raut NA, </w:t>
      </w:r>
      <w:proofErr w:type="spellStart"/>
      <w:r w:rsidRPr="000D530C">
        <w:rPr>
          <w:rFonts w:ascii="Arial" w:hAnsi="Arial" w:cs="Arial"/>
        </w:rPr>
        <w:t>Kokare</w:t>
      </w:r>
      <w:proofErr w:type="spellEnd"/>
      <w:r w:rsidRPr="000D530C">
        <w:rPr>
          <w:rFonts w:ascii="Arial" w:hAnsi="Arial" w:cs="Arial"/>
        </w:rPr>
        <w:t xml:space="preserve"> DM, </w:t>
      </w:r>
      <w:r w:rsidR="000D530C" w:rsidRPr="000D530C">
        <w:rPr>
          <w:rFonts w:ascii="Arial" w:hAnsi="Arial" w:cs="Arial"/>
        </w:rPr>
        <w:tab/>
      </w:r>
      <w:proofErr w:type="spellStart"/>
      <w:r w:rsidRPr="000D530C">
        <w:rPr>
          <w:rFonts w:ascii="Arial" w:hAnsi="Arial" w:cs="Arial"/>
        </w:rPr>
        <w:t>Randive</w:t>
      </w:r>
      <w:proofErr w:type="spellEnd"/>
      <w:r w:rsidRPr="000D530C">
        <w:rPr>
          <w:rFonts w:ascii="Arial" w:hAnsi="Arial" w:cs="Arial"/>
        </w:rPr>
        <w:t xml:space="preserve"> KR, A BB, Dhole SJ, editors. </w:t>
      </w:r>
      <w:r w:rsidRPr="000D530C">
        <w:rPr>
          <w:rFonts w:ascii="Arial" w:hAnsi="Arial" w:cs="Arial"/>
        </w:rPr>
        <w:tab/>
        <w:t xml:space="preserve">360-Degree Waste Management. 2023. p. </w:t>
      </w:r>
      <w:r w:rsidR="000D530C" w:rsidRPr="000D530C">
        <w:rPr>
          <w:rFonts w:ascii="Arial" w:hAnsi="Arial" w:cs="Arial"/>
        </w:rPr>
        <w:tab/>
      </w:r>
      <w:r w:rsidRPr="000D530C">
        <w:rPr>
          <w:rFonts w:ascii="Arial" w:hAnsi="Arial" w:cs="Arial"/>
        </w:rPr>
        <w:t>1–16.</w:t>
      </w:r>
      <w:r w:rsidR="000D530C" w:rsidRPr="000D530C">
        <w:rPr>
          <w:rFonts w:ascii="Arial" w:hAnsi="Arial" w:cs="Arial"/>
        </w:rPr>
        <w:tab/>
      </w:r>
    </w:p>
    <w:p w14:paraId="333C98CE" w14:textId="3BDADE80" w:rsidR="008F3048" w:rsidRPr="000D530C" w:rsidRDefault="008F3048" w:rsidP="008F3048">
      <w:pPr>
        <w:pStyle w:val="Body"/>
        <w:rPr>
          <w:rFonts w:ascii="Arial" w:hAnsi="Arial" w:cs="Arial"/>
        </w:rPr>
      </w:pPr>
      <w:proofErr w:type="spellStart"/>
      <w:r w:rsidRPr="000D530C">
        <w:rPr>
          <w:rFonts w:ascii="Arial" w:hAnsi="Arial" w:cs="Arial"/>
        </w:rPr>
        <w:t>Shivansh</w:t>
      </w:r>
      <w:proofErr w:type="spellEnd"/>
      <w:r w:rsidRPr="000D530C">
        <w:rPr>
          <w:rFonts w:ascii="Arial" w:hAnsi="Arial" w:cs="Arial"/>
        </w:rPr>
        <w:t xml:space="preserve"> </w:t>
      </w:r>
      <w:proofErr w:type="spellStart"/>
      <w:r w:rsidRPr="000D530C">
        <w:rPr>
          <w:rFonts w:ascii="Arial" w:hAnsi="Arial" w:cs="Arial"/>
        </w:rPr>
        <w:t>Sabhadiya</w:t>
      </w:r>
      <w:proofErr w:type="spellEnd"/>
      <w:r w:rsidRPr="000D530C">
        <w:rPr>
          <w:rFonts w:ascii="Arial" w:hAnsi="Arial" w:cs="Arial"/>
        </w:rPr>
        <w:t xml:space="preserve">. (2024, June 11). What is Compressive </w:t>
      </w:r>
      <w:proofErr w:type="gramStart"/>
      <w:r w:rsidRPr="000D530C">
        <w:rPr>
          <w:rFonts w:ascii="Arial" w:hAnsi="Arial" w:cs="Arial"/>
        </w:rPr>
        <w:t>Strength?-</w:t>
      </w:r>
      <w:proofErr w:type="gramEnd"/>
      <w:r w:rsidRPr="000D530C">
        <w:rPr>
          <w:rFonts w:ascii="Arial" w:hAnsi="Arial" w:cs="Arial"/>
        </w:rPr>
        <w:t xml:space="preserve"> Definition, Formula. </w:t>
      </w:r>
      <w:r w:rsidR="000D530C" w:rsidRPr="000D530C">
        <w:rPr>
          <w:rFonts w:ascii="Arial" w:hAnsi="Arial" w:cs="Arial"/>
        </w:rPr>
        <w:tab/>
      </w:r>
      <w:r w:rsidRPr="000D530C">
        <w:rPr>
          <w:rFonts w:ascii="Arial" w:hAnsi="Arial" w:cs="Arial"/>
        </w:rPr>
        <w:t xml:space="preserve">The </w:t>
      </w:r>
      <w:r w:rsidRPr="000D530C">
        <w:rPr>
          <w:rFonts w:ascii="Arial" w:hAnsi="Arial" w:cs="Arial"/>
        </w:rPr>
        <w:tab/>
        <w:t xml:space="preserve">Engineering Choice. </w:t>
      </w:r>
      <w:hyperlink r:id="rId19" w:history="1">
        <w:r w:rsidR="000D530C" w:rsidRPr="000D530C">
          <w:rPr>
            <w:rStyle w:val="Hyperlink"/>
            <w:rFonts w:ascii="Arial" w:hAnsi="Arial" w:cs="Arial"/>
            <w:color w:val="auto"/>
            <w:u w:val="none"/>
          </w:rPr>
          <w:t>https://www.theengineeringchoice.com/what-is-</w:t>
        </w:r>
      </w:hyperlink>
      <w:r w:rsidR="000D530C" w:rsidRPr="000D530C">
        <w:rPr>
          <w:rFonts w:ascii="Arial" w:hAnsi="Arial" w:cs="Arial"/>
        </w:rPr>
        <w:tab/>
      </w:r>
      <w:r w:rsidRPr="000D530C">
        <w:rPr>
          <w:rFonts w:ascii="Arial" w:hAnsi="Arial" w:cs="Arial"/>
        </w:rPr>
        <w:t>compressive-strength/</w:t>
      </w:r>
    </w:p>
    <w:p w14:paraId="36BEF46C" w14:textId="6ABB5411" w:rsidR="008F3048" w:rsidRPr="000D530C" w:rsidRDefault="008F3048" w:rsidP="008F3048">
      <w:pPr>
        <w:pStyle w:val="Body"/>
        <w:rPr>
          <w:rFonts w:ascii="Arial" w:hAnsi="Arial" w:cs="Arial"/>
        </w:rPr>
      </w:pPr>
      <w:r w:rsidRPr="000D530C">
        <w:rPr>
          <w:rFonts w:ascii="Arial" w:hAnsi="Arial" w:cs="Arial"/>
        </w:rPr>
        <w:t xml:space="preserve">The Vanella Group. (2022, July 25). The Negative Effects </w:t>
      </w:r>
      <w:proofErr w:type="gramStart"/>
      <w:r w:rsidRPr="000D530C">
        <w:rPr>
          <w:rFonts w:ascii="Arial" w:hAnsi="Arial" w:cs="Arial"/>
        </w:rPr>
        <w:t>Of</w:t>
      </w:r>
      <w:proofErr w:type="gramEnd"/>
      <w:r w:rsidRPr="000D530C">
        <w:rPr>
          <w:rFonts w:ascii="Arial" w:hAnsi="Arial" w:cs="Arial"/>
        </w:rPr>
        <w:t xml:space="preserve"> Plastic On The Environment. </w:t>
      </w:r>
      <w:r w:rsidRPr="000D530C">
        <w:rPr>
          <w:rFonts w:ascii="Arial" w:hAnsi="Arial" w:cs="Arial"/>
        </w:rPr>
        <w:tab/>
        <w:t xml:space="preserve">Www.vanellagroupmn.com. </w:t>
      </w:r>
      <w:hyperlink r:id="rId20" w:history="1">
        <w:r w:rsidR="000D530C" w:rsidRPr="000D530C">
          <w:rPr>
            <w:rStyle w:val="Hyperlink"/>
            <w:rFonts w:ascii="Arial" w:hAnsi="Arial" w:cs="Arial"/>
            <w:color w:val="auto"/>
            <w:u w:val="none"/>
          </w:rPr>
          <w:t>https://www.vanellagroupmn.com/the-negative-effects-</w:t>
        </w:r>
      </w:hyperlink>
      <w:r w:rsidR="000D530C" w:rsidRPr="000D530C">
        <w:rPr>
          <w:rFonts w:ascii="Arial" w:hAnsi="Arial" w:cs="Arial"/>
        </w:rPr>
        <w:tab/>
      </w:r>
      <w:r w:rsidRPr="000D530C">
        <w:rPr>
          <w:rFonts w:ascii="Arial" w:hAnsi="Arial" w:cs="Arial"/>
        </w:rPr>
        <w:t>of-</w:t>
      </w:r>
      <w:r w:rsidR="000D530C" w:rsidRPr="000D530C">
        <w:rPr>
          <w:rFonts w:ascii="Arial" w:hAnsi="Arial" w:cs="Arial"/>
        </w:rPr>
        <w:t xml:space="preserve"> </w:t>
      </w:r>
      <w:r w:rsidRPr="000D530C">
        <w:rPr>
          <w:rFonts w:ascii="Arial" w:hAnsi="Arial" w:cs="Arial"/>
        </w:rPr>
        <w:t>plastic-on-the-environment</w:t>
      </w:r>
    </w:p>
    <w:p w14:paraId="56B3A80D" w14:textId="29DFEBA1" w:rsidR="008F3048" w:rsidRPr="000D530C" w:rsidRDefault="008F3048" w:rsidP="008F3048">
      <w:pPr>
        <w:pStyle w:val="Body"/>
        <w:rPr>
          <w:rFonts w:ascii="Arial" w:hAnsi="Arial" w:cs="Arial"/>
        </w:rPr>
      </w:pPr>
      <w:proofErr w:type="spellStart"/>
      <w:r w:rsidRPr="000D530C">
        <w:rPr>
          <w:rFonts w:ascii="Arial" w:hAnsi="Arial" w:cs="Arial"/>
        </w:rPr>
        <w:t>Treeranut</w:t>
      </w:r>
      <w:proofErr w:type="spellEnd"/>
      <w:r w:rsidRPr="000D530C">
        <w:rPr>
          <w:rFonts w:ascii="Arial" w:hAnsi="Arial" w:cs="Arial"/>
        </w:rPr>
        <w:t xml:space="preserve"> </w:t>
      </w:r>
      <w:proofErr w:type="spellStart"/>
      <w:r w:rsidRPr="000D530C">
        <w:rPr>
          <w:rFonts w:ascii="Arial" w:hAnsi="Arial" w:cs="Arial"/>
        </w:rPr>
        <w:t>Srisunont</w:t>
      </w:r>
      <w:proofErr w:type="spellEnd"/>
      <w:r w:rsidRPr="000D530C">
        <w:rPr>
          <w:rFonts w:ascii="Arial" w:hAnsi="Arial" w:cs="Arial"/>
        </w:rPr>
        <w:t xml:space="preserve">, </w:t>
      </w:r>
      <w:proofErr w:type="spellStart"/>
      <w:r w:rsidRPr="000D530C">
        <w:rPr>
          <w:rFonts w:ascii="Arial" w:hAnsi="Arial" w:cs="Arial"/>
        </w:rPr>
        <w:t>Watcharaporn</w:t>
      </w:r>
      <w:proofErr w:type="spellEnd"/>
      <w:r w:rsidRPr="000D530C">
        <w:rPr>
          <w:rFonts w:ascii="Arial" w:hAnsi="Arial" w:cs="Arial"/>
        </w:rPr>
        <w:t xml:space="preserve"> </w:t>
      </w:r>
      <w:proofErr w:type="spellStart"/>
      <w:r w:rsidRPr="000D530C">
        <w:rPr>
          <w:rFonts w:ascii="Arial" w:hAnsi="Arial" w:cs="Arial"/>
        </w:rPr>
        <w:t>Wongsakoonkan</w:t>
      </w:r>
      <w:proofErr w:type="spellEnd"/>
      <w:r w:rsidRPr="000D530C">
        <w:rPr>
          <w:rFonts w:ascii="Arial" w:hAnsi="Arial" w:cs="Arial"/>
        </w:rPr>
        <w:t xml:space="preserve">, </w:t>
      </w:r>
      <w:proofErr w:type="spellStart"/>
      <w:r w:rsidRPr="000D530C">
        <w:rPr>
          <w:rFonts w:ascii="Arial" w:hAnsi="Arial" w:cs="Arial"/>
        </w:rPr>
        <w:t>Natagarn</w:t>
      </w:r>
      <w:proofErr w:type="spellEnd"/>
      <w:r w:rsidRPr="000D530C">
        <w:rPr>
          <w:rFonts w:ascii="Arial" w:hAnsi="Arial" w:cs="Arial"/>
        </w:rPr>
        <w:t xml:space="preserve"> </w:t>
      </w:r>
      <w:proofErr w:type="spellStart"/>
      <w:r w:rsidRPr="000D530C">
        <w:rPr>
          <w:rFonts w:ascii="Arial" w:hAnsi="Arial" w:cs="Arial"/>
        </w:rPr>
        <w:t>Tongphanpharn</w:t>
      </w:r>
      <w:proofErr w:type="spellEnd"/>
      <w:r w:rsidRPr="000D530C">
        <w:rPr>
          <w:rFonts w:ascii="Arial" w:hAnsi="Arial" w:cs="Arial"/>
        </w:rPr>
        <w:t xml:space="preserve">, </w:t>
      </w:r>
      <w:r w:rsidR="000D530C" w:rsidRPr="000D530C">
        <w:rPr>
          <w:rFonts w:ascii="Arial" w:hAnsi="Arial" w:cs="Arial"/>
        </w:rPr>
        <w:tab/>
      </w:r>
      <w:proofErr w:type="spellStart"/>
      <w:r w:rsidRPr="000D530C">
        <w:rPr>
          <w:rFonts w:ascii="Arial" w:hAnsi="Arial" w:cs="Arial"/>
        </w:rPr>
        <w:t>Pacharawan</w:t>
      </w:r>
      <w:proofErr w:type="spellEnd"/>
      <w:r w:rsidRPr="000D530C">
        <w:rPr>
          <w:rFonts w:ascii="Arial" w:hAnsi="Arial" w:cs="Arial"/>
        </w:rPr>
        <w:t xml:space="preserve"> </w:t>
      </w:r>
      <w:r w:rsidRPr="000D530C">
        <w:rPr>
          <w:rFonts w:ascii="Arial" w:hAnsi="Arial" w:cs="Arial"/>
        </w:rPr>
        <w:tab/>
      </w:r>
      <w:proofErr w:type="spellStart"/>
      <w:r w:rsidRPr="000D530C">
        <w:rPr>
          <w:rFonts w:ascii="Arial" w:hAnsi="Arial" w:cs="Arial"/>
        </w:rPr>
        <w:t>Ratanasongtham</w:t>
      </w:r>
      <w:proofErr w:type="spellEnd"/>
      <w:r w:rsidRPr="000D530C">
        <w:rPr>
          <w:rFonts w:ascii="Arial" w:hAnsi="Arial" w:cs="Arial"/>
        </w:rPr>
        <w:t xml:space="preserve">, &amp; </w:t>
      </w:r>
      <w:proofErr w:type="spellStart"/>
      <w:r w:rsidRPr="000D530C">
        <w:rPr>
          <w:rFonts w:ascii="Arial" w:hAnsi="Arial" w:cs="Arial"/>
        </w:rPr>
        <w:t>Chayarat</w:t>
      </w:r>
      <w:proofErr w:type="spellEnd"/>
      <w:r w:rsidRPr="000D530C">
        <w:rPr>
          <w:rFonts w:ascii="Arial" w:hAnsi="Arial" w:cs="Arial"/>
        </w:rPr>
        <w:t xml:space="preserve"> </w:t>
      </w:r>
      <w:proofErr w:type="spellStart"/>
      <w:r w:rsidRPr="000D530C">
        <w:rPr>
          <w:rFonts w:ascii="Arial" w:hAnsi="Arial" w:cs="Arial"/>
        </w:rPr>
        <w:t>Srisunont</w:t>
      </w:r>
      <w:proofErr w:type="spellEnd"/>
      <w:r w:rsidRPr="000D530C">
        <w:rPr>
          <w:rFonts w:ascii="Arial" w:hAnsi="Arial" w:cs="Arial"/>
        </w:rPr>
        <w:t xml:space="preserve">. (2024). A Brief Overview of </w:t>
      </w:r>
      <w:r w:rsidR="000D530C" w:rsidRPr="000D530C">
        <w:rPr>
          <w:rFonts w:ascii="Arial" w:hAnsi="Arial" w:cs="Arial"/>
        </w:rPr>
        <w:tab/>
      </w:r>
      <w:r w:rsidRPr="000D530C">
        <w:rPr>
          <w:rFonts w:ascii="Arial" w:hAnsi="Arial" w:cs="Arial"/>
        </w:rPr>
        <w:t xml:space="preserve">Biodegradable Pots for </w:t>
      </w:r>
      <w:r w:rsidRPr="000D530C">
        <w:rPr>
          <w:rFonts w:ascii="Arial" w:hAnsi="Arial" w:cs="Arial"/>
        </w:rPr>
        <w:tab/>
        <w:t xml:space="preserve">Sustainable Environment in Thailand. Current Applied </w:t>
      </w:r>
      <w:r w:rsidR="000D530C" w:rsidRPr="000D530C">
        <w:rPr>
          <w:rFonts w:ascii="Arial" w:hAnsi="Arial" w:cs="Arial"/>
        </w:rPr>
        <w:tab/>
      </w:r>
      <w:r w:rsidRPr="000D530C">
        <w:rPr>
          <w:rFonts w:ascii="Arial" w:hAnsi="Arial" w:cs="Arial"/>
        </w:rPr>
        <w:t>Science and Technology, e0260109–</w:t>
      </w:r>
      <w:r w:rsidRPr="000D530C">
        <w:rPr>
          <w:rFonts w:ascii="Arial" w:hAnsi="Arial" w:cs="Arial"/>
        </w:rPr>
        <w:tab/>
        <w:t>e0260109.https://doi.org/10.55003/cast.2024.260109</w:t>
      </w:r>
    </w:p>
    <w:p w14:paraId="4542EC3D" w14:textId="3E4984F6" w:rsidR="008F3048" w:rsidRPr="000D530C" w:rsidRDefault="008F3048" w:rsidP="008F3048">
      <w:pPr>
        <w:pStyle w:val="Body"/>
        <w:rPr>
          <w:rFonts w:ascii="Arial" w:hAnsi="Arial" w:cs="Arial"/>
        </w:rPr>
      </w:pPr>
      <w:r w:rsidRPr="000D530C">
        <w:rPr>
          <w:rFonts w:ascii="Arial" w:hAnsi="Arial" w:cs="Arial"/>
        </w:rPr>
        <w:t xml:space="preserve">Zhang, Y., Ren, W., Chen, Y., Mi, Y., Lei, J., &amp; Sun, L. (2024). Predicting the compressive </w:t>
      </w:r>
      <w:r w:rsidR="000D530C" w:rsidRPr="000D530C">
        <w:rPr>
          <w:rFonts w:ascii="Arial" w:hAnsi="Arial" w:cs="Arial"/>
        </w:rPr>
        <w:tab/>
      </w:r>
      <w:r w:rsidRPr="000D530C">
        <w:rPr>
          <w:rFonts w:ascii="Arial" w:hAnsi="Arial" w:cs="Arial"/>
        </w:rPr>
        <w:t xml:space="preserve">strength </w:t>
      </w:r>
      <w:r w:rsidRPr="000D530C">
        <w:rPr>
          <w:rFonts w:ascii="Arial" w:hAnsi="Arial" w:cs="Arial"/>
        </w:rPr>
        <w:tab/>
        <w:t xml:space="preserve">of high-performance concrete using an interpretable machine </w:t>
      </w:r>
      <w:r w:rsidR="000D530C" w:rsidRPr="000D530C">
        <w:rPr>
          <w:rFonts w:ascii="Arial" w:hAnsi="Arial" w:cs="Arial"/>
        </w:rPr>
        <w:tab/>
      </w:r>
      <w:r w:rsidRPr="000D530C">
        <w:rPr>
          <w:rFonts w:ascii="Arial" w:hAnsi="Arial" w:cs="Arial"/>
        </w:rPr>
        <w:t xml:space="preserve">learning model. Scientific </w:t>
      </w:r>
      <w:r w:rsidRPr="000D530C">
        <w:rPr>
          <w:rFonts w:ascii="Arial" w:hAnsi="Arial" w:cs="Arial"/>
        </w:rPr>
        <w:tab/>
        <w:t xml:space="preserve">Reports, 14(1). </w:t>
      </w:r>
      <w:hyperlink r:id="rId21" w:history="1">
        <w:r w:rsidR="000D530C" w:rsidRPr="000D530C">
          <w:rPr>
            <w:rStyle w:val="Hyperlink"/>
            <w:rFonts w:ascii="Arial" w:hAnsi="Arial" w:cs="Arial"/>
            <w:color w:val="auto"/>
            <w:u w:val="none"/>
          </w:rPr>
          <w:t>https://doi.org/10.1038/s41598-024-</w:t>
        </w:r>
        <w:r w:rsidR="000D530C" w:rsidRPr="000D530C">
          <w:rPr>
            <w:rStyle w:val="Hyperlink"/>
            <w:rFonts w:ascii="Arial" w:hAnsi="Arial" w:cs="Arial"/>
            <w:color w:val="auto"/>
            <w:u w:val="none"/>
          </w:rPr>
          <w:tab/>
          <w:t>79502-z</w:t>
        </w:r>
      </w:hyperlink>
      <w:r w:rsidR="000D530C" w:rsidRPr="000D530C">
        <w:rPr>
          <w:rFonts w:ascii="Arial" w:hAnsi="Arial" w:cs="Arial"/>
        </w:rPr>
        <w:tab/>
      </w:r>
    </w:p>
    <w:p w14:paraId="336DC11E" w14:textId="1D662C11" w:rsidR="008F3048" w:rsidRDefault="008F3048" w:rsidP="008F3048">
      <w:pPr>
        <w:pStyle w:val="Body"/>
        <w:rPr>
          <w:rFonts w:ascii="Arial" w:hAnsi="Arial" w:cs="Arial"/>
        </w:rPr>
      </w:pPr>
      <w:r w:rsidRPr="000D530C">
        <w:rPr>
          <w:rFonts w:ascii="Arial" w:hAnsi="Arial" w:cs="Arial"/>
        </w:rPr>
        <w:t xml:space="preserve">Zhao, Y., &amp; Liu, Z. (2018). Study of Material Composition Effects on the Mechanical </w:t>
      </w:r>
      <w:r w:rsidR="000D530C" w:rsidRPr="000D530C">
        <w:rPr>
          <w:rFonts w:ascii="Arial" w:hAnsi="Arial" w:cs="Arial"/>
        </w:rPr>
        <w:tab/>
      </w:r>
      <w:r w:rsidRPr="000D530C">
        <w:rPr>
          <w:rFonts w:ascii="Arial" w:hAnsi="Arial" w:cs="Arial"/>
        </w:rPr>
        <w:t xml:space="preserve">Properties of </w:t>
      </w:r>
      <w:r w:rsidRPr="000D530C">
        <w:rPr>
          <w:rFonts w:ascii="Arial" w:hAnsi="Arial" w:cs="Arial"/>
        </w:rPr>
        <w:tab/>
        <w:t xml:space="preserve">Soil-Rock Mixtures. Advances in Civil Engineering, 2018(4), 1–10. </w:t>
      </w:r>
      <w:r w:rsidRPr="000D530C">
        <w:rPr>
          <w:rFonts w:ascii="Arial" w:hAnsi="Arial" w:cs="Arial"/>
        </w:rPr>
        <w:tab/>
      </w:r>
      <w:hyperlink r:id="rId22" w:history="1">
        <w:r w:rsidR="00F6067B" w:rsidRPr="00067B1C">
          <w:rPr>
            <w:rStyle w:val="Hyperlink"/>
            <w:rFonts w:ascii="Arial" w:hAnsi="Arial" w:cs="Arial"/>
          </w:rPr>
          <w:t>https://doi.org/10.1155/2018/3854727</w:t>
        </w:r>
      </w:hyperlink>
    </w:p>
    <w:p w14:paraId="68D063E1" w14:textId="41ABC1EA" w:rsidR="0054437B" w:rsidRPr="0054437B" w:rsidRDefault="0054437B" w:rsidP="008F3048">
      <w:pPr>
        <w:pStyle w:val="Body"/>
        <w:rPr>
          <w:rFonts w:ascii="Arial" w:hAnsi="Arial" w:cs="Arial"/>
          <w:color w:val="222222"/>
          <w:highlight w:val="yellow"/>
          <w:shd w:val="clear" w:color="auto" w:fill="FFFFFF"/>
        </w:rPr>
      </w:pPr>
      <w:r w:rsidRPr="0054437B">
        <w:rPr>
          <w:rFonts w:ascii="Arial" w:hAnsi="Arial" w:cs="Arial"/>
          <w:color w:val="222222"/>
          <w:highlight w:val="yellow"/>
          <w:shd w:val="clear" w:color="auto" w:fill="FFFFFF"/>
        </w:rPr>
        <w:t>Hall, C. R., Campbell, B. L., Behe, B. K., Yue, C., Lopez, R. G., &amp; Dennis, J. H. (2010). The appeal of biodegradable packaging to floral consumers. </w:t>
      </w:r>
      <w:proofErr w:type="spellStart"/>
      <w:r w:rsidRPr="0054437B">
        <w:rPr>
          <w:rFonts w:ascii="Arial" w:hAnsi="Arial" w:cs="Arial"/>
          <w:i/>
          <w:iCs/>
          <w:color w:val="222222"/>
          <w:highlight w:val="yellow"/>
          <w:shd w:val="clear" w:color="auto" w:fill="FFFFFF"/>
        </w:rPr>
        <w:t>HortScience</w:t>
      </w:r>
      <w:proofErr w:type="spellEnd"/>
      <w:r w:rsidRPr="0054437B">
        <w:rPr>
          <w:rFonts w:ascii="Arial" w:hAnsi="Arial" w:cs="Arial"/>
          <w:color w:val="222222"/>
          <w:highlight w:val="yellow"/>
          <w:shd w:val="clear" w:color="auto" w:fill="FFFFFF"/>
        </w:rPr>
        <w:t>, </w:t>
      </w:r>
      <w:r w:rsidRPr="0054437B">
        <w:rPr>
          <w:rFonts w:ascii="Arial" w:hAnsi="Arial" w:cs="Arial"/>
          <w:i/>
          <w:iCs/>
          <w:color w:val="222222"/>
          <w:highlight w:val="yellow"/>
          <w:shd w:val="clear" w:color="auto" w:fill="FFFFFF"/>
        </w:rPr>
        <w:t>45</w:t>
      </w:r>
      <w:r w:rsidRPr="0054437B">
        <w:rPr>
          <w:rFonts w:ascii="Arial" w:hAnsi="Arial" w:cs="Arial"/>
          <w:color w:val="222222"/>
          <w:highlight w:val="yellow"/>
          <w:shd w:val="clear" w:color="auto" w:fill="FFFFFF"/>
        </w:rPr>
        <w:t>(4), 583-591.</w:t>
      </w:r>
    </w:p>
    <w:p w14:paraId="6196AE81" w14:textId="7F0BBF60" w:rsidR="0054437B" w:rsidRDefault="0054437B" w:rsidP="008F3048">
      <w:pPr>
        <w:pStyle w:val="Body"/>
        <w:rPr>
          <w:rFonts w:ascii="Arial" w:hAnsi="Arial" w:cs="Arial"/>
          <w:color w:val="222222"/>
          <w:shd w:val="clear" w:color="auto" w:fill="FFFFFF"/>
        </w:rPr>
      </w:pPr>
      <w:r w:rsidRPr="0054437B">
        <w:rPr>
          <w:rFonts w:ascii="Arial" w:hAnsi="Arial" w:cs="Arial"/>
          <w:color w:val="222222"/>
          <w:highlight w:val="yellow"/>
          <w:shd w:val="clear" w:color="auto" w:fill="FFFFFF"/>
        </w:rPr>
        <w:t>Helgeson, M. S., Graves, W. R., Grewell, D., &amp; Srinivasan, G. (2009). Degradation and nitrogen release of zein-based bioplastic containers. </w:t>
      </w:r>
      <w:r w:rsidRPr="0054437B">
        <w:rPr>
          <w:rFonts w:ascii="Arial" w:hAnsi="Arial" w:cs="Arial"/>
          <w:i/>
          <w:iCs/>
          <w:color w:val="222222"/>
          <w:highlight w:val="yellow"/>
          <w:shd w:val="clear" w:color="auto" w:fill="FFFFFF"/>
        </w:rPr>
        <w:t>Journal of Environmental Horticulture</w:t>
      </w:r>
      <w:r w:rsidRPr="0054437B">
        <w:rPr>
          <w:rFonts w:ascii="Arial" w:hAnsi="Arial" w:cs="Arial"/>
          <w:color w:val="222222"/>
          <w:highlight w:val="yellow"/>
          <w:shd w:val="clear" w:color="auto" w:fill="FFFFFF"/>
        </w:rPr>
        <w:t>, </w:t>
      </w:r>
      <w:r w:rsidRPr="0054437B">
        <w:rPr>
          <w:rFonts w:ascii="Arial" w:hAnsi="Arial" w:cs="Arial"/>
          <w:i/>
          <w:iCs/>
          <w:color w:val="222222"/>
          <w:highlight w:val="yellow"/>
          <w:shd w:val="clear" w:color="auto" w:fill="FFFFFF"/>
        </w:rPr>
        <w:t>27</w:t>
      </w:r>
      <w:r w:rsidRPr="0054437B">
        <w:rPr>
          <w:rFonts w:ascii="Arial" w:hAnsi="Arial" w:cs="Arial"/>
          <w:color w:val="222222"/>
          <w:highlight w:val="yellow"/>
          <w:shd w:val="clear" w:color="auto" w:fill="FFFFFF"/>
        </w:rPr>
        <w:t>(2), 123-127.</w:t>
      </w:r>
    </w:p>
    <w:p w14:paraId="196308B6" w14:textId="03C5D49F" w:rsidR="006E4629" w:rsidRDefault="00C4475E" w:rsidP="008F3048">
      <w:pPr>
        <w:pStyle w:val="Body"/>
        <w:rPr>
          <w:rFonts w:ascii="Arial" w:hAnsi="Arial" w:cs="Arial"/>
          <w:color w:val="222222"/>
          <w:shd w:val="clear" w:color="auto" w:fill="FFFFFF"/>
        </w:rPr>
      </w:pPr>
      <w:proofErr w:type="spellStart"/>
      <w:r w:rsidRPr="00C4475E">
        <w:rPr>
          <w:rFonts w:ascii="Arial" w:hAnsi="Arial" w:cs="Arial"/>
          <w:color w:val="222222"/>
          <w:highlight w:val="yellow"/>
          <w:shd w:val="clear" w:color="auto" w:fill="FFFFFF"/>
        </w:rPr>
        <w:t>Saha</w:t>
      </w:r>
      <w:proofErr w:type="spellEnd"/>
      <w:r w:rsidRPr="00C4475E">
        <w:rPr>
          <w:rFonts w:ascii="Arial" w:hAnsi="Arial" w:cs="Arial"/>
          <w:color w:val="222222"/>
          <w:highlight w:val="yellow"/>
          <w:shd w:val="clear" w:color="auto" w:fill="FFFFFF"/>
        </w:rPr>
        <w:t>, S., &amp; Hariprasad, P. (2022). Paddy straw-based biodegradable horticultural pots: an integrated greener approach to reduce plastic waste, valorize paddy straw and improve plant health. </w:t>
      </w:r>
      <w:r w:rsidRPr="00C4475E">
        <w:rPr>
          <w:rFonts w:ascii="Arial" w:hAnsi="Arial" w:cs="Arial"/>
          <w:i/>
          <w:iCs/>
          <w:color w:val="222222"/>
          <w:highlight w:val="yellow"/>
          <w:shd w:val="clear" w:color="auto" w:fill="FFFFFF"/>
        </w:rPr>
        <w:t>Journal of Cleaner Production</w:t>
      </w:r>
      <w:r w:rsidRPr="00C4475E">
        <w:rPr>
          <w:rFonts w:ascii="Arial" w:hAnsi="Arial" w:cs="Arial"/>
          <w:color w:val="222222"/>
          <w:highlight w:val="yellow"/>
          <w:shd w:val="clear" w:color="auto" w:fill="FFFFFF"/>
        </w:rPr>
        <w:t>, </w:t>
      </w:r>
      <w:r w:rsidRPr="00C4475E">
        <w:rPr>
          <w:rFonts w:ascii="Arial" w:hAnsi="Arial" w:cs="Arial"/>
          <w:i/>
          <w:iCs/>
          <w:color w:val="222222"/>
          <w:highlight w:val="yellow"/>
          <w:shd w:val="clear" w:color="auto" w:fill="FFFFFF"/>
        </w:rPr>
        <w:t>337</w:t>
      </w:r>
      <w:r w:rsidRPr="00C4475E">
        <w:rPr>
          <w:rFonts w:ascii="Arial" w:hAnsi="Arial" w:cs="Arial"/>
          <w:color w:val="222222"/>
          <w:highlight w:val="yellow"/>
          <w:shd w:val="clear" w:color="auto" w:fill="FFFFFF"/>
        </w:rPr>
        <w:t>, 130588.</w:t>
      </w:r>
    </w:p>
    <w:sectPr w:rsidR="006E4629" w:rsidSect="00DF23A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787202" w14:textId="77777777" w:rsidR="000E2902" w:rsidRDefault="000E2902" w:rsidP="00C37E61">
      <w:r>
        <w:separator/>
      </w:r>
    </w:p>
  </w:endnote>
  <w:endnote w:type="continuationSeparator" w:id="0">
    <w:p w14:paraId="41177C17" w14:textId="77777777" w:rsidR="000E2902" w:rsidRDefault="000E290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D41BE" w14:textId="77777777" w:rsidR="001800FE" w:rsidRDefault="001800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E373F" w14:textId="77777777" w:rsidR="001800FE" w:rsidRDefault="001800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784EB" w14:textId="77777777" w:rsidR="009E048A" w:rsidRDefault="009E048A">
    <w:pPr>
      <w:pStyle w:val="Footer"/>
      <w:rPr>
        <w:rFonts w:ascii="Arial" w:hAnsi="Arial" w:cs="Arial"/>
        <w:sz w:val="16"/>
      </w:rPr>
    </w:pPr>
  </w:p>
  <w:p w14:paraId="1F83098F"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11272CB" w14:textId="77777777" w:rsidR="009E048A" w:rsidRDefault="009E048A">
    <w:pPr>
      <w:pStyle w:val="Footer"/>
      <w:rPr>
        <w:rFonts w:ascii="Arial" w:hAnsi="Arial" w:cs="Arial"/>
        <w:sz w:val="16"/>
      </w:rPr>
    </w:pPr>
  </w:p>
  <w:p w14:paraId="3BCA7FEE"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601299" w14:textId="77777777" w:rsidR="000E2902" w:rsidRDefault="000E2902" w:rsidP="00C37E61">
      <w:r>
        <w:separator/>
      </w:r>
    </w:p>
  </w:footnote>
  <w:footnote w:type="continuationSeparator" w:id="0">
    <w:p w14:paraId="1AA57120" w14:textId="77777777" w:rsidR="000E2902" w:rsidRDefault="000E290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655C5" w14:textId="686CDC7F" w:rsidR="001800FE" w:rsidRDefault="000E2902">
    <w:pPr>
      <w:pStyle w:val="Header"/>
    </w:pPr>
    <w:r>
      <w:rPr>
        <w:noProof/>
      </w:rPr>
      <w:pict w14:anchorId="7310D9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419907" o:spid="_x0000_s205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76637" w14:textId="2D3F2F21" w:rsidR="001800FE" w:rsidRDefault="000E2902">
    <w:pPr>
      <w:pStyle w:val="Header"/>
    </w:pPr>
    <w:r>
      <w:rPr>
        <w:noProof/>
      </w:rPr>
      <w:pict w14:anchorId="171575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419908" o:spid="_x0000_s205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FEC68" w14:textId="0AD48A1D" w:rsidR="00296529" w:rsidRPr="00296529" w:rsidRDefault="000E2902" w:rsidP="00296529">
    <w:pPr>
      <w:ind w:left="2160"/>
      <w:jc w:val="center"/>
      <w:rPr>
        <w:rFonts w:ascii="Times New Roman" w:eastAsia="Calibri" w:hAnsi="Times New Roman"/>
        <w:i/>
        <w:sz w:val="18"/>
        <w:szCs w:val="22"/>
      </w:rPr>
    </w:pPr>
    <w:r>
      <w:rPr>
        <w:noProof/>
      </w:rPr>
      <w:pict w14:anchorId="09A49A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419906" o:spid="_x0000_s205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81D428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58EDCD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4BBC24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2182BC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453536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BB41494"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c2MzEzNDMwNjI3MDJW0lEKTi0uzszPAykwrAUARfiveSwAAAA="/>
  </w:docVars>
  <w:rsids>
    <w:rsidRoot w:val="00AA6219"/>
    <w:rsid w:val="00000F8F"/>
    <w:rsid w:val="000079F3"/>
    <w:rsid w:val="00030174"/>
    <w:rsid w:val="00030E66"/>
    <w:rsid w:val="0004579C"/>
    <w:rsid w:val="000813F3"/>
    <w:rsid w:val="000A3C61"/>
    <w:rsid w:val="000A47FA"/>
    <w:rsid w:val="000A5897"/>
    <w:rsid w:val="000A65D3"/>
    <w:rsid w:val="000B1E33"/>
    <w:rsid w:val="000D4ACB"/>
    <w:rsid w:val="000D530C"/>
    <w:rsid w:val="000D689F"/>
    <w:rsid w:val="000E2902"/>
    <w:rsid w:val="000E7B7B"/>
    <w:rsid w:val="000E7D62"/>
    <w:rsid w:val="000F6A57"/>
    <w:rsid w:val="00103357"/>
    <w:rsid w:val="00123C9F"/>
    <w:rsid w:val="00126190"/>
    <w:rsid w:val="00130F17"/>
    <w:rsid w:val="001320BF"/>
    <w:rsid w:val="00163BC4"/>
    <w:rsid w:val="00163E30"/>
    <w:rsid w:val="00164D94"/>
    <w:rsid w:val="001800FE"/>
    <w:rsid w:val="00186656"/>
    <w:rsid w:val="00191062"/>
    <w:rsid w:val="00192B72"/>
    <w:rsid w:val="001A29D8"/>
    <w:rsid w:val="001A5CAA"/>
    <w:rsid w:val="001B0427"/>
    <w:rsid w:val="001D3A51"/>
    <w:rsid w:val="001E10D2"/>
    <w:rsid w:val="001E25B4"/>
    <w:rsid w:val="001E44FE"/>
    <w:rsid w:val="001F0D4F"/>
    <w:rsid w:val="00200595"/>
    <w:rsid w:val="00204835"/>
    <w:rsid w:val="00231920"/>
    <w:rsid w:val="0023195C"/>
    <w:rsid w:val="0024282C"/>
    <w:rsid w:val="002460DC"/>
    <w:rsid w:val="00250985"/>
    <w:rsid w:val="002556F6"/>
    <w:rsid w:val="00260680"/>
    <w:rsid w:val="0026567A"/>
    <w:rsid w:val="00283105"/>
    <w:rsid w:val="00284C4C"/>
    <w:rsid w:val="00287E68"/>
    <w:rsid w:val="00296529"/>
    <w:rsid w:val="002B27FB"/>
    <w:rsid w:val="002B2A8A"/>
    <w:rsid w:val="002B685A"/>
    <w:rsid w:val="002C57D2"/>
    <w:rsid w:val="002D0845"/>
    <w:rsid w:val="002E0D56"/>
    <w:rsid w:val="002F31E1"/>
    <w:rsid w:val="00315186"/>
    <w:rsid w:val="0033343E"/>
    <w:rsid w:val="003351A5"/>
    <w:rsid w:val="003512C2"/>
    <w:rsid w:val="00371FB6"/>
    <w:rsid w:val="003763C1"/>
    <w:rsid w:val="00376BBE"/>
    <w:rsid w:val="0039224F"/>
    <w:rsid w:val="003A43A4"/>
    <w:rsid w:val="003A5D05"/>
    <w:rsid w:val="003A7E18"/>
    <w:rsid w:val="003B4CA3"/>
    <w:rsid w:val="003B74DC"/>
    <w:rsid w:val="003C4C86"/>
    <w:rsid w:val="003C6258"/>
    <w:rsid w:val="003E2904"/>
    <w:rsid w:val="003F6D77"/>
    <w:rsid w:val="00401927"/>
    <w:rsid w:val="0041027F"/>
    <w:rsid w:val="00412475"/>
    <w:rsid w:val="00423789"/>
    <w:rsid w:val="00440F43"/>
    <w:rsid w:val="00441B6F"/>
    <w:rsid w:val="00443328"/>
    <w:rsid w:val="00446221"/>
    <w:rsid w:val="00450E62"/>
    <w:rsid w:val="004539DB"/>
    <w:rsid w:val="00471A80"/>
    <w:rsid w:val="004907AA"/>
    <w:rsid w:val="004A35DD"/>
    <w:rsid w:val="004A3901"/>
    <w:rsid w:val="004D0647"/>
    <w:rsid w:val="004D109C"/>
    <w:rsid w:val="004D305E"/>
    <w:rsid w:val="004D4277"/>
    <w:rsid w:val="00502516"/>
    <w:rsid w:val="00505F06"/>
    <w:rsid w:val="00506828"/>
    <w:rsid w:val="0053056E"/>
    <w:rsid w:val="00535270"/>
    <w:rsid w:val="00536FCA"/>
    <w:rsid w:val="0054437B"/>
    <w:rsid w:val="00554FDA"/>
    <w:rsid w:val="00561584"/>
    <w:rsid w:val="00563943"/>
    <w:rsid w:val="00592ED6"/>
    <w:rsid w:val="005A0609"/>
    <w:rsid w:val="005A5CFA"/>
    <w:rsid w:val="005B6B50"/>
    <w:rsid w:val="005C784C"/>
    <w:rsid w:val="005D17F6"/>
    <w:rsid w:val="005D75C5"/>
    <w:rsid w:val="005E5539"/>
    <w:rsid w:val="005E6C75"/>
    <w:rsid w:val="005F1100"/>
    <w:rsid w:val="00602BF5"/>
    <w:rsid w:val="00617FDD"/>
    <w:rsid w:val="00633614"/>
    <w:rsid w:val="00633F68"/>
    <w:rsid w:val="00636EB2"/>
    <w:rsid w:val="006375B8"/>
    <w:rsid w:val="0066510A"/>
    <w:rsid w:val="00666B9F"/>
    <w:rsid w:val="00673F9F"/>
    <w:rsid w:val="00686953"/>
    <w:rsid w:val="00687DEA"/>
    <w:rsid w:val="00687E67"/>
    <w:rsid w:val="006967F7"/>
    <w:rsid w:val="006A250C"/>
    <w:rsid w:val="006B21D3"/>
    <w:rsid w:val="006B57D0"/>
    <w:rsid w:val="006C6B0E"/>
    <w:rsid w:val="006D30FF"/>
    <w:rsid w:val="006D6816"/>
    <w:rsid w:val="006D6940"/>
    <w:rsid w:val="006E4629"/>
    <w:rsid w:val="006E5904"/>
    <w:rsid w:val="006F11EC"/>
    <w:rsid w:val="0070082C"/>
    <w:rsid w:val="007369E6"/>
    <w:rsid w:val="00746E59"/>
    <w:rsid w:val="00754C9A"/>
    <w:rsid w:val="0075599A"/>
    <w:rsid w:val="00761D52"/>
    <w:rsid w:val="0077749E"/>
    <w:rsid w:val="00790ADA"/>
    <w:rsid w:val="007A06B7"/>
    <w:rsid w:val="007D2288"/>
    <w:rsid w:val="007E088F"/>
    <w:rsid w:val="007F7B32"/>
    <w:rsid w:val="00804BC2"/>
    <w:rsid w:val="0081431A"/>
    <w:rsid w:val="0083216F"/>
    <w:rsid w:val="00860000"/>
    <w:rsid w:val="00863BD3"/>
    <w:rsid w:val="008641ED"/>
    <w:rsid w:val="00865177"/>
    <w:rsid w:val="00866D66"/>
    <w:rsid w:val="008671C6"/>
    <w:rsid w:val="00875803"/>
    <w:rsid w:val="008B459E"/>
    <w:rsid w:val="008C7FE9"/>
    <w:rsid w:val="008E13AE"/>
    <w:rsid w:val="008E1506"/>
    <w:rsid w:val="008E710C"/>
    <w:rsid w:val="008F036C"/>
    <w:rsid w:val="008F24A2"/>
    <w:rsid w:val="008F3048"/>
    <w:rsid w:val="008F69D6"/>
    <w:rsid w:val="00902823"/>
    <w:rsid w:val="00915CA6"/>
    <w:rsid w:val="0091618E"/>
    <w:rsid w:val="00927834"/>
    <w:rsid w:val="009500A6"/>
    <w:rsid w:val="0095144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1551"/>
    <w:rsid w:val="00A24E7E"/>
    <w:rsid w:val="00A258C3"/>
    <w:rsid w:val="00A347C0"/>
    <w:rsid w:val="00A42175"/>
    <w:rsid w:val="00A51431"/>
    <w:rsid w:val="00A539AD"/>
    <w:rsid w:val="00A94063"/>
    <w:rsid w:val="00AA4328"/>
    <w:rsid w:val="00AA6219"/>
    <w:rsid w:val="00AA74E0"/>
    <w:rsid w:val="00AB703F"/>
    <w:rsid w:val="00AC6BB8"/>
    <w:rsid w:val="00AD7F03"/>
    <w:rsid w:val="00AE008F"/>
    <w:rsid w:val="00B01FCD"/>
    <w:rsid w:val="00B1776C"/>
    <w:rsid w:val="00B4466B"/>
    <w:rsid w:val="00B52583"/>
    <w:rsid w:val="00B52896"/>
    <w:rsid w:val="00B95236"/>
    <w:rsid w:val="00B96BD9"/>
    <w:rsid w:val="00BA1B01"/>
    <w:rsid w:val="00BA2641"/>
    <w:rsid w:val="00BB37AA"/>
    <w:rsid w:val="00BC53A0"/>
    <w:rsid w:val="00BE62AD"/>
    <w:rsid w:val="00BE7686"/>
    <w:rsid w:val="00BF121F"/>
    <w:rsid w:val="00BF1F80"/>
    <w:rsid w:val="00C166EF"/>
    <w:rsid w:val="00C17EB0"/>
    <w:rsid w:val="00C27F5F"/>
    <w:rsid w:val="00C30A0F"/>
    <w:rsid w:val="00C37E61"/>
    <w:rsid w:val="00C4475E"/>
    <w:rsid w:val="00C52253"/>
    <w:rsid w:val="00C608A9"/>
    <w:rsid w:val="00C70F1B"/>
    <w:rsid w:val="00C71A47"/>
    <w:rsid w:val="00C7464C"/>
    <w:rsid w:val="00C85588"/>
    <w:rsid w:val="00CB21FC"/>
    <w:rsid w:val="00CD6755"/>
    <w:rsid w:val="00CD6856"/>
    <w:rsid w:val="00CE0089"/>
    <w:rsid w:val="00CE793C"/>
    <w:rsid w:val="00CF193C"/>
    <w:rsid w:val="00D173F1"/>
    <w:rsid w:val="00D426AC"/>
    <w:rsid w:val="00D74CB0"/>
    <w:rsid w:val="00D8295D"/>
    <w:rsid w:val="00DA2B4C"/>
    <w:rsid w:val="00DC2A65"/>
    <w:rsid w:val="00DE15F0"/>
    <w:rsid w:val="00DE5663"/>
    <w:rsid w:val="00DE78AA"/>
    <w:rsid w:val="00DF23A1"/>
    <w:rsid w:val="00E031C5"/>
    <w:rsid w:val="00E053D0"/>
    <w:rsid w:val="00E15994"/>
    <w:rsid w:val="00E1702E"/>
    <w:rsid w:val="00E2425A"/>
    <w:rsid w:val="00E3114E"/>
    <w:rsid w:val="00E31A70"/>
    <w:rsid w:val="00E31B1A"/>
    <w:rsid w:val="00E35B02"/>
    <w:rsid w:val="00E57FFD"/>
    <w:rsid w:val="00E66496"/>
    <w:rsid w:val="00E66B35"/>
    <w:rsid w:val="00E66E10"/>
    <w:rsid w:val="00E769F6"/>
    <w:rsid w:val="00E8407C"/>
    <w:rsid w:val="00E84F3C"/>
    <w:rsid w:val="00E910B0"/>
    <w:rsid w:val="00EA012C"/>
    <w:rsid w:val="00EA6B93"/>
    <w:rsid w:val="00EC6A55"/>
    <w:rsid w:val="00ED0288"/>
    <w:rsid w:val="00EE52CB"/>
    <w:rsid w:val="00EF581D"/>
    <w:rsid w:val="00EF7FD8"/>
    <w:rsid w:val="00F06F59"/>
    <w:rsid w:val="00F17988"/>
    <w:rsid w:val="00F35F65"/>
    <w:rsid w:val="00F469F0"/>
    <w:rsid w:val="00F53273"/>
    <w:rsid w:val="00F6067B"/>
    <w:rsid w:val="00F65B57"/>
    <w:rsid w:val="00F755E4"/>
    <w:rsid w:val="00F77D02"/>
    <w:rsid w:val="00F97C69"/>
    <w:rsid w:val="00FB3A86"/>
    <w:rsid w:val="00FC15A1"/>
    <w:rsid w:val="00FD36C8"/>
    <w:rsid w:val="00FE1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20C9631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ommentSubject">
    <w:name w:val="annotation subject"/>
    <w:basedOn w:val="CommentText"/>
    <w:next w:val="CommentText"/>
    <w:link w:val="CommentSubjectChar"/>
    <w:semiHidden/>
    <w:unhideWhenUsed/>
    <w:rsid w:val="00592ED6"/>
    <w:rPr>
      <w:rFonts w:ascii="Helvetica" w:hAnsi="Helvetica"/>
      <w:b/>
      <w:bCs/>
      <w:lang w:val="en-US" w:eastAsia="en-US"/>
    </w:rPr>
  </w:style>
  <w:style w:type="character" w:customStyle="1" w:styleId="CommentSubjectChar">
    <w:name w:val="Comment Subject Char"/>
    <w:basedOn w:val="CommentTextChar"/>
    <w:link w:val="CommentSubject"/>
    <w:semiHidden/>
    <w:rsid w:val="00592ED6"/>
    <w:rPr>
      <w:rFonts w:ascii="Helvetica" w:hAnsi="Helvetica"/>
      <w:b/>
      <w:bCs/>
      <w:lang w:val="nb-NO" w:eastAsia="nb-NO"/>
    </w:rPr>
  </w:style>
  <w:style w:type="paragraph" w:styleId="BodyText">
    <w:name w:val="Body Text"/>
    <w:basedOn w:val="Normal"/>
    <w:link w:val="BodyTextChar"/>
    <w:semiHidden/>
    <w:unhideWhenUsed/>
    <w:rsid w:val="00F6067B"/>
    <w:pPr>
      <w:spacing w:after="120"/>
    </w:pPr>
  </w:style>
  <w:style w:type="character" w:customStyle="1" w:styleId="BodyTextChar">
    <w:name w:val="Body Text Char"/>
    <w:basedOn w:val="DefaultParagraphFont"/>
    <w:link w:val="BodyText"/>
    <w:semiHidden/>
    <w:rsid w:val="00F6067B"/>
    <w:rPr>
      <w:rFonts w:ascii="Helvetica" w:hAnsi="Helvetica"/>
    </w:rPr>
  </w:style>
  <w:style w:type="paragraph" w:styleId="Revision">
    <w:name w:val="Revision"/>
    <w:hidden/>
    <w:uiPriority w:val="99"/>
    <w:semiHidden/>
    <w:rsid w:val="00951446"/>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3193304">
      <w:bodyDiv w:val="1"/>
      <w:marLeft w:val="0"/>
      <w:marRight w:val="0"/>
      <w:marTop w:val="0"/>
      <w:marBottom w:val="0"/>
      <w:divBdr>
        <w:top w:val="none" w:sz="0" w:space="0" w:color="auto"/>
        <w:left w:val="none" w:sz="0" w:space="0" w:color="auto"/>
        <w:bottom w:val="none" w:sz="0" w:space="0" w:color="auto"/>
        <w:right w:val="none" w:sz="0" w:space="0" w:color="auto"/>
      </w:divBdr>
      <w:divsChild>
        <w:div w:id="2089423650">
          <w:marLeft w:val="-720"/>
          <w:marRight w:val="0"/>
          <w:marTop w:val="0"/>
          <w:marBottom w:val="0"/>
          <w:divBdr>
            <w:top w:val="none" w:sz="0" w:space="0" w:color="auto"/>
            <w:left w:val="none" w:sz="0" w:space="0" w:color="auto"/>
            <w:bottom w:val="none" w:sz="0" w:space="0" w:color="auto"/>
            <w:right w:val="none" w:sz="0" w:space="0" w:color="auto"/>
          </w:divBdr>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92042029">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3732953">
      <w:bodyDiv w:val="1"/>
      <w:marLeft w:val="0"/>
      <w:marRight w:val="0"/>
      <w:marTop w:val="0"/>
      <w:marBottom w:val="0"/>
      <w:divBdr>
        <w:top w:val="none" w:sz="0" w:space="0" w:color="auto"/>
        <w:left w:val="none" w:sz="0" w:space="0" w:color="auto"/>
        <w:bottom w:val="none" w:sz="0" w:space="0" w:color="auto"/>
        <w:right w:val="none" w:sz="0" w:space="0" w:color="auto"/>
      </w:divBdr>
    </w:div>
    <w:div w:id="307442617">
      <w:bodyDiv w:val="1"/>
      <w:marLeft w:val="0"/>
      <w:marRight w:val="0"/>
      <w:marTop w:val="0"/>
      <w:marBottom w:val="0"/>
      <w:divBdr>
        <w:top w:val="none" w:sz="0" w:space="0" w:color="auto"/>
        <w:left w:val="none" w:sz="0" w:space="0" w:color="auto"/>
        <w:bottom w:val="none" w:sz="0" w:space="0" w:color="auto"/>
        <w:right w:val="none" w:sz="0" w:space="0" w:color="auto"/>
      </w:divBdr>
    </w:div>
    <w:div w:id="444544570">
      <w:bodyDiv w:val="1"/>
      <w:marLeft w:val="0"/>
      <w:marRight w:val="0"/>
      <w:marTop w:val="0"/>
      <w:marBottom w:val="0"/>
      <w:divBdr>
        <w:top w:val="none" w:sz="0" w:space="0" w:color="auto"/>
        <w:left w:val="none" w:sz="0" w:space="0" w:color="auto"/>
        <w:bottom w:val="none" w:sz="0" w:space="0" w:color="auto"/>
        <w:right w:val="none" w:sz="0" w:space="0" w:color="auto"/>
      </w:divBdr>
      <w:divsChild>
        <w:div w:id="765420645">
          <w:marLeft w:val="-720"/>
          <w:marRight w:val="0"/>
          <w:marTop w:val="0"/>
          <w:marBottom w:val="0"/>
          <w:divBdr>
            <w:top w:val="none" w:sz="0" w:space="0" w:color="auto"/>
            <w:left w:val="none" w:sz="0" w:space="0" w:color="auto"/>
            <w:bottom w:val="none" w:sz="0" w:space="0" w:color="auto"/>
            <w:right w:val="none" w:sz="0" w:space="0" w:color="auto"/>
          </w:divBdr>
        </w:div>
      </w:divsChild>
    </w:div>
    <w:div w:id="477386253">
      <w:bodyDiv w:val="1"/>
      <w:marLeft w:val="0"/>
      <w:marRight w:val="0"/>
      <w:marTop w:val="0"/>
      <w:marBottom w:val="0"/>
      <w:divBdr>
        <w:top w:val="none" w:sz="0" w:space="0" w:color="auto"/>
        <w:left w:val="none" w:sz="0" w:space="0" w:color="auto"/>
        <w:bottom w:val="none" w:sz="0" w:space="0" w:color="auto"/>
        <w:right w:val="none" w:sz="0" w:space="0" w:color="auto"/>
      </w:divBdr>
    </w:div>
    <w:div w:id="58006400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58598354">
      <w:bodyDiv w:val="1"/>
      <w:marLeft w:val="0"/>
      <w:marRight w:val="0"/>
      <w:marTop w:val="0"/>
      <w:marBottom w:val="0"/>
      <w:divBdr>
        <w:top w:val="none" w:sz="0" w:space="0" w:color="auto"/>
        <w:left w:val="none" w:sz="0" w:space="0" w:color="auto"/>
        <w:bottom w:val="none" w:sz="0" w:space="0" w:color="auto"/>
        <w:right w:val="none" w:sz="0" w:space="0" w:color="auto"/>
      </w:divBdr>
    </w:div>
    <w:div w:id="820778603">
      <w:bodyDiv w:val="1"/>
      <w:marLeft w:val="0"/>
      <w:marRight w:val="0"/>
      <w:marTop w:val="0"/>
      <w:marBottom w:val="0"/>
      <w:divBdr>
        <w:top w:val="none" w:sz="0" w:space="0" w:color="auto"/>
        <w:left w:val="none" w:sz="0" w:space="0" w:color="auto"/>
        <w:bottom w:val="none" w:sz="0" w:space="0" w:color="auto"/>
        <w:right w:val="none" w:sz="0" w:space="0" w:color="auto"/>
      </w:divBdr>
    </w:div>
    <w:div w:id="96790146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8988037">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34980224">
      <w:bodyDiv w:val="1"/>
      <w:marLeft w:val="0"/>
      <w:marRight w:val="0"/>
      <w:marTop w:val="0"/>
      <w:marBottom w:val="0"/>
      <w:divBdr>
        <w:top w:val="none" w:sz="0" w:space="0" w:color="auto"/>
        <w:left w:val="none" w:sz="0" w:space="0" w:color="auto"/>
        <w:bottom w:val="none" w:sz="0" w:space="0" w:color="auto"/>
        <w:right w:val="none" w:sz="0" w:space="0" w:color="auto"/>
      </w:divBdr>
    </w:div>
    <w:div w:id="1308049610">
      <w:bodyDiv w:val="1"/>
      <w:marLeft w:val="0"/>
      <w:marRight w:val="0"/>
      <w:marTop w:val="0"/>
      <w:marBottom w:val="0"/>
      <w:divBdr>
        <w:top w:val="none" w:sz="0" w:space="0" w:color="auto"/>
        <w:left w:val="none" w:sz="0" w:space="0" w:color="auto"/>
        <w:bottom w:val="none" w:sz="0" w:space="0" w:color="auto"/>
        <w:right w:val="none" w:sz="0" w:space="0" w:color="auto"/>
      </w:divBdr>
    </w:div>
    <w:div w:id="1342202825">
      <w:bodyDiv w:val="1"/>
      <w:marLeft w:val="0"/>
      <w:marRight w:val="0"/>
      <w:marTop w:val="0"/>
      <w:marBottom w:val="0"/>
      <w:divBdr>
        <w:top w:val="none" w:sz="0" w:space="0" w:color="auto"/>
        <w:left w:val="none" w:sz="0" w:space="0" w:color="auto"/>
        <w:bottom w:val="none" w:sz="0" w:space="0" w:color="auto"/>
        <w:right w:val="none" w:sz="0" w:space="0" w:color="auto"/>
      </w:divBdr>
    </w:div>
    <w:div w:id="1393430354">
      <w:bodyDiv w:val="1"/>
      <w:marLeft w:val="0"/>
      <w:marRight w:val="0"/>
      <w:marTop w:val="0"/>
      <w:marBottom w:val="0"/>
      <w:divBdr>
        <w:top w:val="none" w:sz="0" w:space="0" w:color="auto"/>
        <w:left w:val="none" w:sz="0" w:space="0" w:color="auto"/>
        <w:bottom w:val="none" w:sz="0" w:space="0" w:color="auto"/>
        <w:right w:val="none" w:sz="0" w:space="0" w:color="auto"/>
      </w:divBdr>
    </w:div>
    <w:div w:id="173207195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8268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doi.org/10.1038/s41598-024-%0979502-z"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vanellagroupmn.com/the-negative-effec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theengineeringchoice.com/what-i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155/2018/385472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C1798-F766-443A-9514-54A1B0461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47</TotalTime>
  <Pages>10</Pages>
  <Words>4720</Words>
  <Characters>26909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31566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49</cp:revision>
  <cp:lastPrinted>1999-07-06T11:00:00Z</cp:lastPrinted>
  <dcterms:created xsi:type="dcterms:W3CDTF">2025-03-12T08:01:00Z</dcterms:created>
  <dcterms:modified xsi:type="dcterms:W3CDTF">2025-03-29T11:00:00Z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eb5b6c7277e5a732e93b68a45672b286bde5d9df68a48d22d45ca010821aa015</vt:lpwstr>
  </property>
</Properties>
</file>